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C7512" w14:textId="77777777" w:rsidR="001042DA" w:rsidRPr="006B1A5A" w:rsidRDefault="001042DA" w:rsidP="00760BFA">
      <w:pPr>
        <w:pStyle w:val="CSRTableTitle"/>
      </w:pPr>
      <w:r w:rsidRPr="006B1A5A">
        <w:rPr>
          <w:noProof/>
        </w:rPr>
        <mc:AlternateContent>
          <mc:Choice Requires="wps">
            <w:drawing>
              <wp:anchor distT="0" distB="0" distL="114300" distR="114300" simplePos="0" relativeHeight="251658240" behindDoc="0" locked="0" layoutInCell="1" allowOverlap="1" wp14:anchorId="1C87D460" wp14:editId="21EB328E">
                <wp:simplePos x="0" y="0"/>
                <wp:positionH relativeFrom="column">
                  <wp:posOffset>-394335</wp:posOffset>
                </wp:positionH>
                <wp:positionV relativeFrom="paragraph">
                  <wp:posOffset>6985</wp:posOffset>
                </wp:positionV>
                <wp:extent cx="6528435" cy="8867775"/>
                <wp:effectExtent l="0" t="0" r="24765" b="2857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4DBC8" id="Rectangle 4" o:spid="_x0000_s1026" style="position:absolute;margin-left:-31.05pt;margin-top:.55pt;width:514.05pt;height:6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" filled="f"/>
            </w:pict>
          </mc:Fallback>
        </mc:AlternateContent>
      </w:r>
      <w:r w:rsidRPr="006B1A5A">
        <w:t>Regulation (EU) No 528/2012 concerning the making available on the market and use of biocidal products</w:t>
      </w:r>
    </w:p>
    <w:p w14:paraId="3C443CCF" w14:textId="77777777" w:rsidR="001042DA" w:rsidRPr="006B1A5A" w:rsidRDefault="001042DA" w:rsidP="001042DA">
      <w:pPr>
        <w:tabs>
          <w:tab w:val="left" w:pos="8505"/>
        </w:tabs>
        <w:ind w:left="-142" w:right="-45"/>
      </w:pPr>
    </w:p>
    <w:p w14:paraId="20DDA20D" w14:textId="5E0EC43C" w:rsidR="001042DA" w:rsidRPr="006B1A5A" w:rsidRDefault="001042DA" w:rsidP="001042DA">
      <w:pPr>
        <w:jc w:val="center"/>
        <w:rPr>
          <w:b/>
          <w:bCs/>
          <w:sz w:val="36"/>
          <w:szCs w:val="36"/>
        </w:rPr>
      </w:pPr>
      <w:r w:rsidRPr="006B1A5A">
        <w:rPr>
          <w:b/>
          <w:bCs/>
          <w:sz w:val="36"/>
          <w:szCs w:val="36"/>
        </w:rPr>
        <w:t>RISK ASSESSMENT OF A BIOCIDAL PRODUCT (FAMILY) FOR NATIONAL AUTHORISATION APPLICATIONS</w:t>
      </w:r>
    </w:p>
    <w:p w14:paraId="689A96D8" w14:textId="77777777" w:rsidR="001042DA" w:rsidRPr="006B1A5A" w:rsidRDefault="001042DA" w:rsidP="001042DA">
      <w:pPr>
        <w:tabs>
          <w:tab w:val="left" w:pos="8505"/>
        </w:tabs>
        <w:ind w:left="-142" w:right="-45"/>
        <w:jc w:val="center"/>
        <w:rPr>
          <w:bCs/>
          <w:sz w:val="24"/>
          <w:szCs w:val="24"/>
        </w:rPr>
      </w:pPr>
    </w:p>
    <w:p w14:paraId="0D99CA8B" w14:textId="77777777" w:rsidR="001042DA" w:rsidRPr="006B1A5A" w:rsidRDefault="001042DA" w:rsidP="001042DA">
      <w:pPr>
        <w:tabs>
          <w:tab w:val="left" w:pos="8505"/>
        </w:tabs>
        <w:ind w:left="-142" w:right="-45"/>
        <w:jc w:val="center"/>
        <w:rPr>
          <w:b/>
          <w:sz w:val="36"/>
        </w:rPr>
      </w:pPr>
    </w:p>
    <w:p w14:paraId="5FFBE374" w14:textId="77777777" w:rsidR="001042DA" w:rsidRPr="006B1A5A" w:rsidRDefault="001042DA" w:rsidP="001042DA">
      <w:pPr>
        <w:tabs>
          <w:tab w:val="left" w:pos="8505"/>
        </w:tabs>
        <w:ind w:left="-142" w:right="-45"/>
        <w:jc w:val="center"/>
        <w:rPr>
          <w:b/>
          <w:sz w:val="36"/>
        </w:rPr>
      </w:pPr>
      <w:r w:rsidRPr="006B1A5A">
        <w:rPr>
          <w:noProof/>
          <w:lang w:eastAsia="en-GB"/>
        </w:rPr>
        <w:drawing>
          <wp:inline distT="0" distB="0" distL="0" distR="0" wp14:anchorId="56FF3698" wp14:editId="17DE4A3A">
            <wp:extent cx="1200150" cy="1247775"/>
            <wp:effectExtent l="0" t="0" r="0" b="9525"/>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0150" cy="1247775"/>
                    </a:xfrm>
                    <a:prstGeom prst="rect">
                      <a:avLst/>
                    </a:prstGeom>
                    <a:noFill/>
                    <a:ln>
                      <a:noFill/>
                    </a:ln>
                  </pic:spPr>
                </pic:pic>
              </a:graphicData>
            </a:graphic>
          </wp:inline>
        </w:drawing>
      </w:r>
    </w:p>
    <w:p w14:paraId="450B2F08" w14:textId="77777777" w:rsidR="00BF36B3" w:rsidRDefault="00BF36B3" w:rsidP="001042DA">
      <w:pPr>
        <w:pStyle w:val="Merknadstekst"/>
        <w:jc w:val="center"/>
        <w:rPr>
          <w:bCs/>
          <w:sz w:val="32"/>
          <w:szCs w:val="32"/>
        </w:rPr>
      </w:pPr>
    </w:p>
    <w:p w14:paraId="0DDFD00E" w14:textId="77777777" w:rsidR="00BF36B3" w:rsidRDefault="00BF36B3" w:rsidP="001042DA">
      <w:pPr>
        <w:pStyle w:val="Merknadstekst"/>
        <w:jc w:val="center"/>
        <w:rPr>
          <w:bCs/>
          <w:sz w:val="32"/>
          <w:szCs w:val="32"/>
        </w:rPr>
      </w:pPr>
    </w:p>
    <w:p w14:paraId="711DC89D" w14:textId="77777777" w:rsidR="00BF36B3" w:rsidRDefault="00BF36B3" w:rsidP="001042DA">
      <w:pPr>
        <w:pStyle w:val="Merknadstekst"/>
        <w:jc w:val="center"/>
        <w:rPr>
          <w:bCs/>
          <w:sz w:val="32"/>
          <w:szCs w:val="32"/>
        </w:rPr>
      </w:pPr>
    </w:p>
    <w:p w14:paraId="6735B714" w14:textId="77777777" w:rsidR="00BF36B3" w:rsidRDefault="00BF36B3" w:rsidP="001042DA">
      <w:pPr>
        <w:pStyle w:val="Merknadstekst"/>
        <w:jc w:val="center"/>
        <w:rPr>
          <w:bCs/>
          <w:sz w:val="32"/>
          <w:szCs w:val="32"/>
        </w:rPr>
      </w:pPr>
    </w:p>
    <w:p w14:paraId="368316CF" w14:textId="77777777" w:rsidR="00BE0E79" w:rsidRDefault="00BE0E79" w:rsidP="001042DA">
      <w:pPr>
        <w:pStyle w:val="Merknadstekst"/>
        <w:jc w:val="center"/>
        <w:rPr>
          <w:bCs/>
          <w:sz w:val="32"/>
          <w:szCs w:val="32"/>
        </w:rPr>
      </w:pPr>
    </w:p>
    <w:p w14:paraId="5D51B261" w14:textId="5A63821A" w:rsidR="001042DA" w:rsidRPr="006B1A5A" w:rsidRDefault="001042DA" w:rsidP="001042DA">
      <w:pPr>
        <w:pStyle w:val="Merknadstekst"/>
        <w:jc w:val="center"/>
        <w:rPr>
          <w:bCs/>
          <w:sz w:val="32"/>
          <w:szCs w:val="32"/>
        </w:rPr>
      </w:pPr>
      <w:r w:rsidRPr="006B1A5A">
        <w:rPr>
          <w:bCs/>
          <w:sz w:val="32"/>
          <w:szCs w:val="32"/>
        </w:rPr>
        <w:t>AquaNet 360 Biocidal Product Family:</w:t>
      </w:r>
    </w:p>
    <w:p w14:paraId="223519E4" w14:textId="77777777" w:rsidR="001042DA" w:rsidRPr="006B1A5A" w:rsidRDefault="001042DA" w:rsidP="001042DA">
      <w:pPr>
        <w:pStyle w:val="Merknadstekst"/>
        <w:jc w:val="center"/>
      </w:pPr>
    </w:p>
    <w:p w14:paraId="6A2F13D2" w14:textId="77777777" w:rsidR="001042DA" w:rsidRPr="006B1A5A" w:rsidRDefault="001042DA" w:rsidP="001042DA">
      <w:pPr>
        <w:keepNext/>
        <w:widowControl w:val="0"/>
        <w:tabs>
          <w:tab w:val="left" w:pos="1304"/>
        </w:tabs>
        <w:suppressAutoHyphens/>
        <w:autoSpaceDE w:val="0"/>
        <w:autoSpaceDN w:val="0"/>
        <w:adjustRightInd w:val="0"/>
        <w:spacing w:line="400" w:lineRule="atLeast"/>
        <w:jc w:val="center"/>
        <w:rPr>
          <w:sz w:val="32"/>
          <w:szCs w:val="32"/>
        </w:rPr>
      </w:pPr>
      <w:r w:rsidRPr="006B1A5A">
        <w:rPr>
          <w:sz w:val="32"/>
          <w:szCs w:val="32"/>
        </w:rPr>
        <w:t>Product names: AquaNet LG 360, AquaNet HG 360, AquaNet RFU 360</w:t>
      </w:r>
    </w:p>
    <w:p w14:paraId="2B1850E2" w14:textId="77777777" w:rsidR="001042DA" w:rsidRPr="006B1A5A" w:rsidRDefault="001042DA" w:rsidP="001042DA">
      <w:pPr>
        <w:keepNext/>
        <w:widowControl w:val="0"/>
        <w:tabs>
          <w:tab w:val="left" w:pos="1304"/>
        </w:tabs>
        <w:suppressAutoHyphens/>
        <w:autoSpaceDE w:val="0"/>
        <w:autoSpaceDN w:val="0"/>
        <w:adjustRightInd w:val="0"/>
        <w:spacing w:line="400" w:lineRule="atLeast"/>
        <w:jc w:val="center"/>
        <w:rPr>
          <w:bCs/>
          <w:sz w:val="32"/>
          <w:szCs w:val="32"/>
        </w:rPr>
      </w:pPr>
    </w:p>
    <w:p w14:paraId="5EE3AFAA" w14:textId="77777777" w:rsidR="001042DA" w:rsidRPr="006B1A5A" w:rsidRDefault="001042DA" w:rsidP="001042DA">
      <w:pPr>
        <w:rPr>
          <w:bCs/>
        </w:rPr>
      </w:pPr>
    </w:p>
    <w:p w14:paraId="5FD6E41F" w14:textId="77777777" w:rsidR="001042DA" w:rsidRPr="006B1A5A" w:rsidRDefault="001042DA" w:rsidP="001042DA">
      <w:pPr>
        <w:tabs>
          <w:tab w:val="left" w:pos="8505"/>
        </w:tabs>
        <w:ind w:left="-142" w:right="-45"/>
        <w:jc w:val="center"/>
        <w:rPr>
          <w:bCs/>
          <w:sz w:val="32"/>
          <w:szCs w:val="32"/>
        </w:rPr>
      </w:pPr>
      <w:r w:rsidRPr="006B1A5A">
        <w:rPr>
          <w:bCs/>
          <w:sz w:val="32"/>
          <w:szCs w:val="32"/>
        </w:rPr>
        <w:t>Product type(s) 21</w:t>
      </w:r>
    </w:p>
    <w:p w14:paraId="51FA7185" w14:textId="77777777" w:rsidR="001042DA" w:rsidRPr="006B1A5A" w:rsidRDefault="001042DA" w:rsidP="001042DA">
      <w:pPr>
        <w:tabs>
          <w:tab w:val="left" w:pos="8505"/>
        </w:tabs>
        <w:ind w:right="-45"/>
        <w:rPr>
          <w:bCs/>
        </w:rPr>
      </w:pPr>
    </w:p>
    <w:p w14:paraId="0FE1E99D" w14:textId="77777777" w:rsidR="001042DA" w:rsidRPr="006B1A5A" w:rsidRDefault="001042DA" w:rsidP="001042DA">
      <w:pPr>
        <w:tabs>
          <w:tab w:val="left" w:pos="8505"/>
        </w:tabs>
        <w:ind w:left="-142" w:right="-45"/>
        <w:jc w:val="center"/>
        <w:rPr>
          <w:bCs/>
          <w:sz w:val="32"/>
          <w:szCs w:val="32"/>
        </w:rPr>
      </w:pPr>
      <w:r w:rsidRPr="006B1A5A">
        <w:rPr>
          <w:bCs/>
          <w:sz w:val="32"/>
          <w:szCs w:val="32"/>
        </w:rPr>
        <w:t>Dicopper oxide and copper thiocyanate</w:t>
      </w:r>
    </w:p>
    <w:p w14:paraId="68CBEDE5" w14:textId="77777777" w:rsidR="001042DA" w:rsidRPr="006B1A5A" w:rsidRDefault="001042DA" w:rsidP="001042DA">
      <w:pPr>
        <w:tabs>
          <w:tab w:val="left" w:pos="8505"/>
        </w:tabs>
        <w:ind w:right="-45"/>
        <w:rPr>
          <w:bCs/>
        </w:rPr>
      </w:pPr>
    </w:p>
    <w:p w14:paraId="525CB4B1" w14:textId="5B27CED4" w:rsidR="00CC2CC7" w:rsidRDefault="001042DA" w:rsidP="001042DA">
      <w:pPr>
        <w:tabs>
          <w:tab w:val="left" w:pos="8505"/>
        </w:tabs>
        <w:ind w:right="-45"/>
        <w:jc w:val="center"/>
        <w:rPr>
          <w:bCs/>
          <w:sz w:val="32"/>
          <w:szCs w:val="32"/>
        </w:rPr>
      </w:pPr>
      <w:r w:rsidRPr="006B1A5A">
        <w:rPr>
          <w:bCs/>
          <w:sz w:val="32"/>
          <w:szCs w:val="32"/>
        </w:rPr>
        <w:t>Case Number in R4BP3: [</w:t>
      </w:r>
      <w:bookmarkStart w:id="0" w:name="_Hlk23841469"/>
      <w:r w:rsidR="00CC2CC7" w:rsidRPr="00CC2CC7">
        <w:rPr>
          <w:bCs/>
          <w:sz w:val="32"/>
          <w:szCs w:val="32"/>
        </w:rPr>
        <w:t>BC-FA036514-64</w:t>
      </w:r>
      <w:bookmarkEnd w:id="0"/>
      <w:r w:rsidR="00CC2CC7">
        <w:rPr>
          <w:bCs/>
          <w:sz w:val="32"/>
          <w:szCs w:val="32"/>
        </w:rPr>
        <w:t>]</w:t>
      </w:r>
    </w:p>
    <w:p w14:paraId="3872C912" w14:textId="77777777" w:rsidR="00CC2CC7" w:rsidRDefault="00CC2CC7" w:rsidP="001042DA">
      <w:pPr>
        <w:tabs>
          <w:tab w:val="left" w:pos="8505"/>
        </w:tabs>
        <w:ind w:right="-45"/>
        <w:jc w:val="center"/>
        <w:rPr>
          <w:bCs/>
          <w:sz w:val="32"/>
          <w:szCs w:val="32"/>
        </w:rPr>
      </w:pPr>
    </w:p>
    <w:p w14:paraId="28772CBD" w14:textId="77777777" w:rsidR="001042DA" w:rsidRPr="006B1A5A" w:rsidRDefault="001042DA" w:rsidP="001042DA">
      <w:pPr>
        <w:tabs>
          <w:tab w:val="left" w:pos="8505"/>
        </w:tabs>
        <w:ind w:right="-45"/>
        <w:rPr>
          <w:bCs/>
        </w:rPr>
      </w:pPr>
    </w:p>
    <w:p w14:paraId="7EFC1829" w14:textId="77777777" w:rsidR="001042DA" w:rsidRPr="006B1A5A" w:rsidRDefault="001042DA" w:rsidP="001042DA">
      <w:pPr>
        <w:tabs>
          <w:tab w:val="left" w:pos="8505"/>
        </w:tabs>
        <w:ind w:left="-142" w:right="-45"/>
        <w:jc w:val="center"/>
        <w:rPr>
          <w:bCs/>
          <w:sz w:val="32"/>
          <w:szCs w:val="32"/>
        </w:rPr>
      </w:pPr>
      <w:r w:rsidRPr="006B1A5A">
        <w:rPr>
          <w:bCs/>
          <w:sz w:val="32"/>
          <w:szCs w:val="32"/>
        </w:rPr>
        <w:t>Evaluating Competent Authority: Norway</w:t>
      </w:r>
    </w:p>
    <w:p w14:paraId="2837E45E" w14:textId="77777777" w:rsidR="001042DA" w:rsidRPr="006B1A5A" w:rsidRDefault="001042DA" w:rsidP="001042DA">
      <w:pPr>
        <w:tabs>
          <w:tab w:val="left" w:pos="8505"/>
        </w:tabs>
        <w:ind w:left="-142" w:right="-45"/>
        <w:jc w:val="center"/>
      </w:pPr>
      <w:r w:rsidRPr="006B1A5A">
        <w:t xml:space="preserve"> </w:t>
      </w:r>
    </w:p>
    <w:p w14:paraId="0340AD37" w14:textId="544206E9" w:rsidR="001042DA" w:rsidRPr="006B1A5A" w:rsidRDefault="001042DA" w:rsidP="001042DA">
      <w:pPr>
        <w:tabs>
          <w:tab w:val="left" w:pos="8505"/>
        </w:tabs>
        <w:ind w:left="-142" w:right="-45"/>
        <w:jc w:val="center"/>
      </w:pPr>
      <w:r w:rsidRPr="006B1A5A">
        <w:rPr>
          <w:bCs/>
          <w:sz w:val="32"/>
          <w:szCs w:val="32"/>
        </w:rPr>
        <w:t>Date: [</w:t>
      </w:r>
      <w:r w:rsidR="00665185">
        <w:rPr>
          <w:bCs/>
          <w:sz w:val="32"/>
          <w:szCs w:val="32"/>
        </w:rPr>
        <w:t>12</w:t>
      </w:r>
      <w:r w:rsidR="00665185" w:rsidRPr="00665185">
        <w:rPr>
          <w:bCs/>
          <w:sz w:val="32"/>
          <w:szCs w:val="32"/>
          <w:vertAlign w:val="superscript"/>
        </w:rPr>
        <w:t>th</w:t>
      </w:r>
      <w:r w:rsidR="00665185">
        <w:rPr>
          <w:bCs/>
          <w:sz w:val="32"/>
          <w:szCs w:val="32"/>
        </w:rPr>
        <w:t xml:space="preserve"> </w:t>
      </w:r>
      <w:r w:rsidR="0095150D">
        <w:rPr>
          <w:bCs/>
          <w:sz w:val="32"/>
          <w:szCs w:val="32"/>
        </w:rPr>
        <w:t>March</w:t>
      </w:r>
      <w:r w:rsidRPr="00D85EB4">
        <w:rPr>
          <w:bCs/>
          <w:sz w:val="32"/>
          <w:szCs w:val="32"/>
        </w:rPr>
        <w:t>/20</w:t>
      </w:r>
      <w:r w:rsidR="00EC5A7B" w:rsidRPr="00D85EB4">
        <w:rPr>
          <w:bCs/>
          <w:sz w:val="32"/>
          <w:szCs w:val="32"/>
        </w:rPr>
        <w:t>2</w:t>
      </w:r>
      <w:r w:rsidR="008F5A0E">
        <w:rPr>
          <w:bCs/>
          <w:sz w:val="32"/>
          <w:szCs w:val="32"/>
        </w:rPr>
        <w:t>1</w:t>
      </w:r>
      <w:r w:rsidRPr="00D85EB4">
        <w:rPr>
          <w:bCs/>
          <w:sz w:val="32"/>
          <w:szCs w:val="32"/>
        </w:rPr>
        <w:t>]</w:t>
      </w:r>
    </w:p>
    <w:p w14:paraId="6341B9E5" w14:textId="77777777" w:rsidR="001042DA" w:rsidRPr="006B1A5A" w:rsidRDefault="001042DA" w:rsidP="001042DA">
      <w:pPr>
        <w:pStyle w:val="Inhaltsverzeichnisberschrift1"/>
        <w:rPr>
          <w:rFonts w:ascii="Verdana" w:hAnsi="Verdana"/>
          <w:color w:val="auto"/>
          <w:u w:val="single"/>
          <w:lang w:val="en-GB"/>
        </w:rPr>
      </w:pPr>
      <w:r w:rsidRPr="006B1A5A">
        <w:rPr>
          <w:rFonts w:ascii="Times New Roman" w:hAnsi="Times New Roman"/>
          <w:color w:val="auto"/>
          <w:sz w:val="50"/>
          <w:szCs w:val="50"/>
          <w:lang w:val="en-GB"/>
        </w:rPr>
        <w:br w:type="page"/>
      </w:r>
      <w:r w:rsidRPr="006B1A5A">
        <w:rPr>
          <w:rFonts w:ascii="Verdana" w:hAnsi="Verdana"/>
          <w:color w:val="auto"/>
          <w:u w:val="single"/>
          <w:lang w:val="en-GB"/>
        </w:rPr>
        <w:lastRenderedPageBreak/>
        <w:t>Table of Contents</w:t>
      </w:r>
    </w:p>
    <w:p w14:paraId="6B8578C2" w14:textId="77777777" w:rsidR="001042DA" w:rsidRPr="006B1A5A" w:rsidRDefault="001042DA" w:rsidP="001042DA">
      <w:pPr>
        <w:rPr>
          <w:lang w:eastAsia="ja-JP"/>
        </w:rPr>
      </w:pPr>
    </w:p>
    <w:p w14:paraId="48A83AFF" w14:textId="67CFEEC7" w:rsidR="00F54E2C" w:rsidRDefault="001042DA">
      <w:pPr>
        <w:pStyle w:val="INNH1"/>
        <w:tabs>
          <w:tab w:val="left" w:pos="400"/>
          <w:tab w:val="right" w:leader="dot" w:pos="9062"/>
        </w:tabs>
        <w:rPr>
          <w:rFonts w:asciiTheme="minorHAnsi" w:eastAsiaTheme="minorEastAsia" w:hAnsiTheme="minorHAnsi" w:cstheme="minorBidi"/>
          <w:b w:val="0"/>
          <w:bCs w:val="0"/>
          <w:caps w:val="0"/>
          <w:noProof/>
          <w:sz w:val="22"/>
          <w:szCs w:val="22"/>
          <w:lang w:val="nb-NO" w:eastAsia="nb-NO"/>
        </w:rPr>
      </w:pPr>
      <w:r w:rsidRPr="006B1A5A">
        <w:rPr>
          <w:rFonts w:ascii="Verdana" w:eastAsia="Calibri" w:hAnsi="Verdana"/>
          <w:b w:val="0"/>
          <w:bCs w:val="0"/>
          <w:caps w:val="0"/>
          <w:lang w:eastAsia="en-US"/>
        </w:rPr>
        <w:fldChar w:fldCharType="begin"/>
      </w:r>
      <w:r w:rsidRPr="006B1A5A">
        <w:rPr>
          <w:rFonts w:ascii="Verdana" w:eastAsia="Calibri" w:hAnsi="Verdana"/>
          <w:b w:val="0"/>
          <w:bCs w:val="0"/>
          <w:caps w:val="0"/>
          <w:lang w:eastAsia="en-US"/>
        </w:rPr>
        <w:instrText xml:space="preserve"> TOC \o "1-4" \h \z \u </w:instrText>
      </w:r>
      <w:r w:rsidRPr="006B1A5A">
        <w:rPr>
          <w:rFonts w:ascii="Verdana" w:eastAsia="Calibri" w:hAnsi="Verdana"/>
          <w:b w:val="0"/>
          <w:bCs w:val="0"/>
          <w:caps w:val="0"/>
          <w:lang w:eastAsia="en-US"/>
        </w:rPr>
        <w:fldChar w:fldCharType="separate"/>
      </w:r>
      <w:hyperlink w:anchor="_Toc66448783" w:history="1">
        <w:r w:rsidR="00F54E2C" w:rsidRPr="00DC78CC">
          <w:rPr>
            <w:rStyle w:val="Hyperkobling"/>
            <w:rFonts w:eastAsia="Calibri"/>
            <w:noProof/>
            <w14:scene3d>
              <w14:camera w14:prst="orthographicFront"/>
              <w14:lightRig w14:rig="threePt" w14:dir="t">
                <w14:rot w14:lat="0" w14:lon="0" w14:rev="0"/>
              </w14:lightRig>
            </w14:scene3d>
          </w:rPr>
          <w:t>1</w:t>
        </w:r>
        <w:r w:rsidR="00F54E2C">
          <w:rPr>
            <w:rFonts w:asciiTheme="minorHAnsi" w:eastAsiaTheme="minorEastAsia" w:hAnsiTheme="minorHAnsi" w:cstheme="minorBidi"/>
            <w:b w:val="0"/>
            <w:bCs w:val="0"/>
            <w:caps w:val="0"/>
            <w:noProof/>
            <w:sz w:val="22"/>
            <w:szCs w:val="22"/>
            <w:lang w:val="nb-NO" w:eastAsia="nb-NO"/>
          </w:rPr>
          <w:tab/>
        </w:r>
        <w:r w:rsidR="00F54E2C" w:rsidRPr="00DC78CC">
          <w:rPr>
            <w:rStyle w:val="Hyperkobling"/>
            <w:rFonts w:eastAsia="Calibri"/>
            <w:noProof/>
          </w:rPr>
          <w:t>CONCLUSION</w:t>
        </w:r>
        <w:r w:rsidR="00F54E2C">
          <w:rPr>
            <w:noProof/>
            <w:webHidden/>
          </w:rPr>
          <w:tab/>
        </w:r>
        <w:r w:rsidR="00F54E2C">
          <w:rPr>
            <w:noProof/>
            <w:webHidden/>
          </w:rPr>
          <w:fldChar w:fldCharType="begin"/>
        </w:r>
        <w:r w:rsidR="00F54E2C">
          <w:rPr>
            <w:noProof/>
            <w:webHidden/>
          </w:rPr>
          <w:instrText xml:space="preserve"> PAGEREF _Toc66448783 \h </w:instrText>
        </w:r>
        <w:r w:rsidR="00F54E2C">
          <w:rPr>
            <w:noProof/>
            <w:webHidden/>
          </w:rPr>
        </w:r>
        <w:r w:rsidR="00F54E2C">
          <w:rPr>
            <w:noProof/>
            <w:webHidden/>
          </w:rPr>
          <w:fldChar w:fldCharType="separate"/>
        </w:r>
        <w:r w:rsidR="00FF5B6D">
          <w:rPr>
            <w:noProof/>
            <w:webHidden/>
          </w:rPr>
          <w:t>4</w:t>
        </w:r>
        <w:r w:rsidR="00F54E2C">
          <w:rPr>
            <w:noProof/>
            <w:webHidden/>
          </w:rPr>
          <w:fldChar w:fldCharType="end"/>
        </w:r>
      </w:hyperlink>
    </w:p>
    <w:p w14:paraId="78EC27A5" w14:textId="6B53877F" w:rsidR="00F54E2C" w:rsidRDefault="00661DE6">
      <w:pPr>
        <w:pStyle w:val="INNH1"/>
        <w:tabs>
          <w:tab w:val="left" w:pos="400"/>
          <w:tab w:val="right" w:leader="dot" w:pos="9062"/>
        </w:tabs>
        <w:rPr>
          <w:rFonts w:asciiTheme="minorHAnsi" w:eastAsiaTheme="minorEastAsia" w:hAnsiTheme="minorHAnsi" w:cstheme="minorBidi"/>
          <w:b w:val="0"/>
          <w:bCs w:val="0"/>
          <w:caps w:val="0"/>
          <w:noProof/>
          <w:sz w:val="22"/>
          <w:szCs w:val="22"/>
          <w:lang w:val="nb-NO" w:eastAsia="nb-NO"/>
        </w:rPr>
      </w:pPr>
      <w:hyperlink w:anchor="_Toc66448784" w:history="1">
        <w:r w:rsidR="00F54E2C" w:rsidRPr="00DC78CC">
          <w:rPr>
            <w:rStyle w:val="Hyperkobling"/>
            <w:rFonts w:eastAsia="Calibri"/>
            <w:noProof/>
            <w14:scene3d>
              <w14:camera w14:prst="orthographicFront"/>
              <w14:lightRig w14:rig="threePt" w14:dir="t">
                <w14:rot w14:lat="0" w14:lon="0" w14:rev="0"/>
              </w14:lightRig>
            </w14:scene3d>
          </w:rPr>
          <w:t>2</w:t>
        </w:r>
        <w:r w:rsidR="00F54E2C">
          <w:rPr>
            <w:rFonts w:asciiTheme="minorHAnsi" w:eastAsiaTheme="minorEastAsia" w:hAnsiTheme="minorHAnsi" w:cstheme="minorBidi"/>
            <w:b w:val="0"/>
            <w:bCs w:val="0"/>
            <w:caps w:val="0"/>
            <w:noProof/>
            <w:sz w:val="22"/>
            <w:szCs w:val="22"/>
            <w:lang w:val="nb-NO" w:eastAsia="nb-NO"/>
          </w:rPr>
          <w:tab/>
        </w:r>
        <w:r w:rsidR="00F54E2C" w:rsidRPr="00DC78CC">
          <w:rPr>
            <w:rStyle w:val="Hyperkobling"/>
            <w:rFonts w:eastAsia="Calibri"/>
            <w:noProof/>
          </w:rPr>
          <w:t>ASSESSMENT REPORT</w:t>
        </w:r>
        <w:r w:rsidR="00F54E2C">
          <w:rPr>
            <w:noProof/>
            <w:webHidden/>
          </w:rPr>
          <w:tab/>
        </w:r>
        <w:r w:rsidR="00F54E2C">
          <w:rPr>
            <w:noProof/>
            <w:webHidden/>
          </w:rPr>
          <w:fldChar w:fldCharType="begin"/>
        </w:r>
        <w:r w:rsidR="00F54E2C">
          <w:rPr>
            <w:noProof/>
            <w:webHidden/>
          </w:rPr>
          <w:instrText xml:space="preserve"> PAGEREF _Toc66448784 \h </w:instrText>
        </w:r>
        <w:r w:rsidR="00F54E2C">
          <w:rPr>
            <w:noProof/>
            <w:webHidden/>
          </w:rPr>
        </w:r>
        <w:r w:rsidR="00F54E2C">
          <w:rPr>
            <w:noProof/>
            <w:webHidden/>
          </w:rPr>
          <w:fldChar w:fldCharType="separate"/>
        </w:r>
        <w:r w:rsidR="00FF5B6D">
          <w:rPr>
            <w:noProof/>
            <w:webHidden/>
          </w:rPr>
          <w:t>5</w:t>
        </w:r>
        <w:r w:rsidR="00F54E2C">
          <w:rPr>
            <w:noProof/>
            <w:webHidden/>
          </w:rPr>
          <w:fldChar w:fldCharType="end"/>
        </w:r>
      </w:hyperlink>
    </w:p>
    <w:p w14:paraId="16B9CB12" w14:textId="5D89153B" w:rsidR="00F54E2C" w:rsidRDefault="00661DE6">
      <w:pPr>
        <w:pStyle w:val="INNH2"/>
        <w:tabs>
          <w:tab w:val="left" w:pos="800"/>
          <w:tab w:val="right" w:leader="dot" w:pos="9062"/>
        </w:tabs>
        <w:rPr>
          <w:rFonts w:asciiTheme="minorHAnsi" w:eastAsiaTheme="minorEastAsia" w:hAnsiTheme="minorHAnsi" w:cstheme="minorBidi"/>
          <w:smallCaps w:val="0"/>
          <w:noProof/>
          <w:sz w:val="22"/>
          <w:szCs w:val="22"/>
          <w:lang w:val="nb-NO" w:eastAsia="nb-NO"/>
        </w:rPr>
      </w:pPr>
      <w:hyperlink w:anchor="_Toc66448785" w:history="1">
        <w:r w:rsidR="00F54E2C" w:rsidRPr="00DC78CC">
          <w:rPr>
            <w:rStyle w:val="Hyperkobling"/>
            <w:noProof/>
            <w:snapToGrid w:val="0"/>
            <w:lang w:val="de-DE"/>
          </w:rPr>
          <w:t>2.1</w:t>
        </w:r>
        <w:r w:rsidR="00F54E2C">
          <w:rPr>
            <w:rFonts w:asciiTheme="minorHAnsi" w:eastAsiaTheme="minorEastAsia" w:hAnsiTheme="minorHAnsi" w:cstheme="minorBidi"/>
            <w:smallCaps w:val="0"/>
            <w:noProof/>
            <w:sz w:val="22"/>
            <w:szCs w:val="22"/>
            <w:lang w:val="nb-NO" w:eastAsia="nb-NO"/>
          </w:rPr>
          <w:tab/>
        </w:r>
        <w:r w:rsidR="00F54E2C" w:rsidRPr="00DC78CC">
          <w:rPr>
            <w:rStyle w:val="Hyperkobling"/>
            <w:noProof/>
            <w:snapToGrid w:val="0"/>
          </w:rPr>
          <w:t>Summary of the product assessment</w:t>
        </w:r>
        <w:r w:rsidR="00F54E2C">
          <w:rPr>
            <w:noProof/>
            <w:webHidden/>
          </w:rPr>
          <w:tab/>
        </w:r>
        <w:r w:rsidR="00F54E2C">
          <w:rPr>
            <w:noProof/>
            <w:webHidden/>
          </w:rPr>
          <w:fldChar w:fldCharType="begin"/>
        </w:r>
        <w:r w:rsidR="00F54E2C">
          <w:rPr>
            <w:noProof/>
            <w:webHidden/>
          </w:rPr>
          <w:instrText xml:space="preserve"> PAGEREF _Toc66448785 \h </w:instrText>
        </w:r>
        <w:r w:rsidR="00F54E2C">
          <w:rPr>
            <w:noProof/>
            <w:webHidden/>
          </w:rPr>
        </w:r>
        <w:r w:rsidR="00F54E2C">
          <w:rPr>
            <w:noProof/>
            <w:webHidden/>
          </w:rPr>
          <w:fldChar w:fldCharType="separate"/>
        </w:r>
        <w:r w:rsidR="00FF5B6D">
          <w:rPr>
            <w:noProof/>
            <w:webHidden/>
          </w:rPr>
          <w:t>5</w:t>
        </w:r>
        <w:r w:rsidR="00F54E2C">
          <w:rPr>
            <w:noProof/>
            <w:webHidden/>
          </w:rPr>
          <w:fldChar w:fldCharType="end"/>
        </w:r>
      </w:hyperlink>
    </w:p>
    <w:p w14:paraId="70B03B31" w14:textId="7F4C2074" w:rsidR="00F54E2C" w:rsidRDefault="00661DE6">
      <w:pPr>
        <w:pStyle w:val="INNH3"/>
        <w:tabs>
          <w:tab w:val="left" w:pos="1200"/>
          <w:tab w:val="right" w:leader="dot" w:pos="9062"/>
        </w:tabs>
        <w:rPr>
          <w:rFonts w:asciiTheme="minorHAnsi" w:eastAsiaTheme="minorEastAsia" w:hAnsiTheme="minorHAnsi" w:cstheme="minorBidi"/>
          <w:i w:val="0"/>
          <w:iCs w:val="0"/>
          <w:noProof/>
          <w:sz w:val="22"/>
          <w:szCs w:val="22"/>
          <w:lang w:val="nb-NO" w:eastAsia="nb-NO"/>
        </w:rPr>
      </w:pPr>
      <w:hyperlink w:anchor="_Toc66448786" w:history="1">
        <w:r w:rsidR="00F54E2C" w:rsidRPr="00DC78CC">
          <w:rPr>
            <w:rStyle w:val="Hyperkobling"/>
            <w:noProof/>
            <w14:scene3d>
              <w14:camera w14:prst="orthographicFront"/>
              <w14:lightRig w14:rig="threePt" w14:dir="t">
                <w14:rot w14:lat="0" w14:lon="0" w14:rev="0"/>
              </w14:lightRig>
            </w14:scene3d>
          </w:rPr>
          <w:t>2.1.1</w:t>
        </w:r>
        <w:r w:rsidR="00F54E2C">
          <w:rPr>
            <w:rFonts w:asciiTheme="minorHAnsi" w:eastAsiaTheme="minorEastAsia" w:hAnsiTheme="minorHAnsi" w:cstheme="minorBidi"/>
            <w:i w:val="0"/>
            <w:iCs w:val="0"/>
            <w:noProof/>
            <w:sz w:val="22"/>
            <w:szCs w:val="22"/>
            <w:lang w:val="nb-NO" w:eastAsia="nb-NO"/>
          </w:rPr>
          <w:tab/>
        </w:r>
        <w:r w:rsidR="00F54E2C" w:rsidRPr="00DC78CC">
          <w:rPr>
            <w:rStyle w:val="Hyperkobling"/>
            <w:noProof/>
          </w:rPr>
          <w:t>Administrative information</w:t>
        </w:r>
        <w:r w:rsidR="00F54E2C">
          <w:rPr>
            <w:noProof/>
            <w:webHidden/>
          </w:rPr>
          <w:tab/>
        </w:r>
        <w:r w:rsidR="00F54E2C">
          <w:rPr>
            <w:noProof/>
            <w:webHidden/>
          </w:rPr>
          <w:fldChar w:fldCharType="begin"/>
        </w:r>
        <w:r w:rsidR="00F54E2C">
          <w:rPr>
            <w:noProof/>
            <w:webHidden/>
          </w:rPr>
          <w:instrText xml:space="preserve"> PAGEREF _Toc66448786 \h </w:instrText>
        </w:r>
        <w:r w:rsidR="00F54E2C">
          <w:rPr>
            <w:noProof/>
            <w:webHidden/>
          </w:rPr>
        </w:r>
        <w:r w:rsidR="00F54E2C">
          <w:rPr>
            <w:noProof/>
            <w:webHidden/>
          </w:rPr>
          <w:fldChar w:fldCharType="separate"/>
        </w:r>
        <w:r w:rsidR="00FF5B6D">
          <w:rPr>
            <w:noProof/>
            <w:webHidden/>
          </w:rPr>
          <w:t>5</w:t>
        </w:r>
        <w:r w:rsidR="00F54E2C">
          <w:rPr>
            <w:noProof/>
            <w:webHidden/>
          </w:rPr>
          <w:fldChar w:fldCharType="end"/>
        </w:r>
      </w:hyperlink>
    </w:p>
    <w:p w14:paraId="33DBB5D8" w14:textId="7DB8BFDA" w:rsidR="00F54E2C" w:rsidRDefault="00661DE6">
      <w:pPr>
        <w:pStyle w:val="INNH4"/>
        <w:tabs>
          <w:tab w:val="left" w:pos="1400"/>
          <w:tab w:val="right" w:leader="dot" w:pos="9062"/>
        </w:tabs>
        <w:rPr>
          <w:rFonts w:asciiTheme="minorHAnsi" w:eastAsiaTheme="minorEastAsia" w:hAnsiTheme="minorHAnsi" w:cstheme="minorBidi"/>
          <w:noProof/>
          <w:sz w:val="22"/>
          <w:szCs w:val="22"/>
          <w:lang w:val="nb-NO" w:eastAsia="nb-NO"/>
        </w:rPr>
      </w:pPr>
      <w:hyperlink w:anchor="_Toc66448787" w:history="1">
        <w:r w:rsidR="00F54E2C" w:rsidRPr="00DC78CC">
          <w:rPr>
            <w:rStyle w:val="Hyperkobling"/>
            <w:noProof/>
          </w:rPr>
          <w:t>2.1.1.1</w:t>
        </w:r>
        <w:r w:rsidR="00F54E2C">
          <w:rPr>
            <w:rFonts w:asciiTheme="minorHAnsi" w:eastAsiaTheme="minorEastAsia" w:hAnsiTheme="minorHAnsi" w:cstheme="minorBidi"/>
            <w:noProof/>
            <w:sz w:val="22"/>
            <w:szCs w:val="22"/>
            <w:lang w:val="nb-NO" w:eastAsia="nb-NO"/>
          </w:rPr>
          <w:tab/>
        </w:r>
        <w:r w:rsidR="00F54E2C" w:rsidRPr="00DC78CC">
          <w:rPr>
            <w:rStyle w:val="Hyperkobling"/>
            <w:noProof/>
          </w:rPr>
          <w:t>Identifier of the product / product family</w:t>
        </w:r>
        <w:r w:rsidR="00F54E2C">
          <w:rPr>
            <w:noProof/>
            <w:webHidden/>
          </w:rPr>
          <w:tab/>
        </w:r>
        <w:r w:rsidR="00F54E2C">
          <w:rPr>
            <w:noProof/>
            <w:webHidden/>
          </w:rPr>
          <w:fldChar w:fldCharType="begin"/>
        </w:r>
        <w:r w:rsidR="00F54E2C">
          <w:rPr>
            <w:noProof/>
            <w:webHidden/>
          </w:rPr>
          <w:instrText xml:space="preserve"> PAGEREF _Toc66448787 \h </w:instrText>
        </w:r>
        <w:r w:rsidR="00F54E2C">
          <w:rPr>
            <w:noProof/>
            <w:webHidden/>
          </w:rPr>
        </w:r>
        <w:r w:rsidR="00F54E2C">
          <w:rPr>
            <w:noProof/>
            <w:webHidden/>
          </w:rPr>
          <w:fldChar w:fldCharType="separate"/>
        </w:r>
        <w:r w:rsidR="00FF5B6D">
          <w:rPr>
            <w:noProof/>
            <w:webHidden/>
          </w:rPr>
          <w:t>5</w:t>
        </w:r>
        <w:r w:rsidR="00F54E2C">
          <w:rPr>
            <w:noProof/>
            <w:webHidden/>
          </w:rPr>
          <w:fldChar w:fldCharType="end"/>
        </w:r>
      </w:hyperlink>
    </w:p>
    <w:p w14:paraId="0EDC00CE" w14:textId="5BE46ADF" w:rsidR="00F54E2C" w:rsidRDefault="00661DE6">
      <w:pPr>
        <w:pStyle w:val="INNH4"/>
        <w:tabs>
          <w:tab w:val="left" w:pos="1400"/>
          <w:tab w:val="right" w:leader="dot" w:pos="9062"/>
        </w:tabs>
        <w:rPr>
          <w:rFonts w:asciiTheme="minorHAnsi" w:eastAsiaTheme="minorEastAsia" w:hAnsiTheme="minorHAnsi" w:cstheme="minorBidi"/>
          <w:noProof/>
          <w:sz w:val="22"/>
          <w:szCs w:val="22"/>
          <w:lang w:val="nb-NO" w:eastAsia="nb-NO"/>
        </w:rPr>
      </w:pPr>
      <w:hyperlink w:anchor="_Toc66448788" w:history="1">
        <w:r w:rsidR="00F54E2C" w:rsidRPr="00DC78CC">
          <w:rPr>
            <w:rStyle w:val="Hyperkobling"/>
            <w:noProof/>
          </w:rPr>
          <w:t>2.1.1.2</w:t>
        </w:r>
        <w:r w:rsidR="00F54E2C">
          <w:rPr>
            <w:rFonts w:asciiTheme="minorHAnsi" w:eastAsiaTheme="minorEastAsia" w:hAnsiTheme="minorHAnsi" w:cstheme="minorBidi"/>
            <w:noProof/>
            <w:sz w:val="22"/>
            <w:szCs w:val="22"/>
            <w:lang w:val="nb-NO" w:eastAsia="nb-NO"/>
          </w:rPr>
          <w:tab/>
        </w:r>
        <w:r w:rsidR="00F54E2C" w:rsidRPr="00DC78CC">
          <w:rPr>
            <w:rStyle w:val="Hyperkobling"/>
            <w:noProof/>
          </w:rPr>
          <w:t>Authorisation holder</w:t>
        </w:r>
        <w:r w:rsidR="00F54E2C">
          <w:rPr>
            <w:noProof/>
            <w:webHidden/>
          </w:rPr>
          <w:tab/>
        </w:r>
        <w:r w:rsidR="00F54E2C">
          <w:rPr>
            <w:noProof/>
            <w:webHidden/>
          </w:rPr>
          <w:fldChar w:fldCharType="begin"/>
        </w:r>
        <w:r w:rsidR="00F54E2C">
          <w:rPr>
            <w:noProof/>
            <w:webHidden/>
          </w:rPr>
          <w:instrText xml:space="preserve"> PAGEREF _Toc66448788 \h </w:instrText>
        </w:r>
        <w:r w:rsidR="00F54E2C">
          <w:rPr>
            <w:noProof/>
            <w:webHidden/>
          </w:rPr>
        </w:r>
        <w:r w:rsidR="00F54E2C">
          <w:rPr>
            <w:noProof/>
            <w:webHidden/>
          </w:rPr>
          <w:fldChar w:fldCharType="separate"/>
        </w:r>
        <w:r w:rsidR="00FF5B6D">
          <w:rPr>
            <w:noProof/>
            <w:webHidden/>
          </w:rPr>
          <w:t>5</w:t>
        </w:r>
        <w:r w:rsidR="00F54E2C">
          <w:rPr>
            <w:noProof/>
            <w:webHidden/>
          </w:rPr>
          <w:fldChar w:fldCharType="end"/>
        </w:r>
      </w:hyperlink>
    </w:p>
    <w:p w14:paraId="29179071" w14:textId="375A0E9E" w:rsidR="00F54E2C" w:rsidRDefault="00661DE6">
      <w:pPr>
        <w:pStyle w:val="INNH4"/>
        <w:tabs>
          <w:tab w:val="left" w:pos="1400"/>
          <w:tab w:val="right" w:leader="dot" w:pos="9062"/>
        </w:tabs>
        <w:rPr>
          <w:rFonts w:asciiTheme="minorHAnsi" w:eastAsiaTheme="minorEastAsia" w:hAnsiTheme="minorHAnsi" w:cstheme="minorBidi"/>
          <w:noProof/>
          <w:sz w:val="22"/>
          <w:szCs w:val="22"/>
          <w:lang w:val="nb-NO" w:eastAsia="nb-NO"/>
        </w:rPr>
      </w:pPr>
      <w:hyperlink w:anchor="_Toc66448789" w:history="1">
        <w:r w:rsidR="00F54E2C" w:rsidRPr="00DC78CC">
          <w:rPr>
            <w:rStyle w:val="Hyperkobling"/>
            <w:noProof/>
          </w:rPr>
          <w:t>2.1.1.3</w:t>
        </w:r>
        <w:r w:rsidR="00F54E2C">
          <w:rPr>
            <w:rFonts w:asciiTheme="minorHAnsi" w:eastAsiaTheme="minorEastAsia" w:hAnsiTheme="minorHAnsi" w:cstheme="minorBidi"/>
            <w:noProof/>
            <w:sz w:val="22"/>
            <w:szCs w:val="22"/>
            <w:lang w:val="nb-NO" w:eastAsia="nb-NO"/>
          </w:rPr>
          <w:tab/>
        </w:r>
        <w:r w:rsidR="00F54E2C" w:rsidRPr="00DC78CC">
          <w:rPr>
            <w:rStyle w:val="Hyperkobling"/>
            <w:noProof/>
          </w:rPr>
          <w:t>Manufacturer(s) of the products of the family</w:t>
        </w:r>
        <w:r w:rsidR="00F54E2C">
          <w:rPr>
            <w:noProof/>
            <w:webHidden/>
          </w:rPr>
          <w:tab/>
        </w:r>
        <w:r w:rsidR="00F54E2C">
          <w:rPr>
            <w:noProof/>
            <w:webHidden/>
          </w:rPr>
          <w:fldChar w:fldCharType="begin"/>
        </w:r>
        <w:r w:rsidR="00F54E2C">
          <w:rPr>
            <w:noProof/>
            <w:webHidden/>
          </w:rPr>
          <w:instrText xml:space="preserve"> PAGEREF _Toc66448789 \h </w:instrText>
        </w:r>
        <w:r w:rsidR="00F54E2C">
          <w:rPr>
            <w:noProof/>
            <w:webHidden/>
          </w:rPr>
        </w:r>
        <w:r w:rsidR="00F54E2C">
          <w:rPr>
            <w:noProof/>
            <w:webHidden/>
          </w:rPr>
          <w:fldChar w:fldCharType="separate"/>
        </w:r>
        <w:r w:rsidR="00FF5B6D">
          <w:rPr>
            <w:noProof/>
            <w:webHidden/>
          </w:rPr>
          <w:t>5</w:t>
        </w:r>
        <w:r w:rsidR="00F54E2C">
          <w:rPr>
            <w:noProof/>
            <w:webHidden/>
          </w:rPr>
          <w:fldChar w:fldCharType="end"/>
        </w:r>
      </w:hyperlink>
    </w:p>
    <w:p w14:paraId="080CFBF9" w14:textId="480857FA" w:rsidR="00F54E2C" w:rsidRDefault="00661DE6">
      <w:pPr>
        <w:pStyle w:val="INNH4"/>
        <w:tabs>
          <w:tab w:val="left" w:pos="1400"/>
          <w:tab w:val="right" w:leader="dot" w:pos="9062"/>
        </w:tabs>
        <w:rPr>
          <w:rFonts w:asciiTheme="minorHAnsi" w:eastAsiaTheme="minorEastAsia" w:hAnsiTheme="minorHAnsi" w:cstheme="minorBidi"/>
          <w:noProof/>
          <w:sz w:val="22"/>
          <w:szCs w:val="22"/>
          <w:lang w:val="nb-NO" w:eastAsia="nb-NO"/>
        </w:rPr>
      </w:pPr>
      <w:hyperlink w:anchor="_Toc66448790" w:history="1">
        <w:r w:rsidR="00F54E2C" w:rsidRPr="00DC78CC">
          <w:rPr>
            <w:rStyle w:val="Hyperkobling"/>
            <w:noProof/>
          </w:rPr>
          <w:t>2.1.1.4</w:t>
        </w:r>
        <w:r w:rsidR="00F54E2C">
          <w:rPr>
            <w:rFonts w:asciiTheme="minorHAnsi" w:eastAsiaTheme="minorEastAsia" w:hAnsiTheme="minorHAnsi" w:cstheme="minorBidi"/>
            <w:noProof/>
            <w:sz w:val="22"/>
            <w:szCs w:val="22"/>
            <w:lang w:val="nb-NO" w:eastAsia="nb-NO"/>
          </w:rPr>
          <w:tab/>
        </w:r>
        <w:r w:rsidR="00F54E2C" w:rsidRPr="00DC78CC">
          <w:rPr>
            <w:rStyle w:val="Hyperkobling"/>
            <w:noProof/>
          </w:rPr>
          <w:t>Manufacturer(s) of the active substance(s)</w:t>
        </w:r>
        <w:r w:rsidR="00F54E2C">
          <w:rPr>
            <w:noProof/>
            <w:webHidden/>
          </w:rPr>
          <w:tab/>
        </w:r>
        <w:r w:rsidR="00F54E2C">
          <w:rPr>
            <w:noProof/>
            <w:webHidden/>
          </w:rPr>
          <w:fldChar w:fldCharType="begin"/>
        </w:r>
        <w:r w:rsidR="00F54E2C">
          <w:rPr>
            <w:noProof/>
            <w:webHidden/>
          </w:rPr>
          <w:instrText xml:space="preserve"> PAGEREF _Toc66448790 \h </w:instrText>
        </w:r>
        <w:r w:rsidR="00F54E2C">
          <w:rPr>
            <w:noProof/>
            <w:webHidden/>
          </w:rPr>
        </w:r>
        <w:r w:rsidR="00F54E2C">
          <w:rPr>
            <w:noProof/>
            <w:webHidden/>
          </w:rPr>
          <w:fldChar w:fldCharType="separate"/>
        </w:r>
        <w:r w:rsidR="00FF5B6D">
          <w:rPr>
            <w:noProof/>
            <w:webHidden/>
          </w:rPr>
          <w:t>5</w:t>
        </w:r>
        <w:r w:rsidR="00F54E2C">
          <w:rPr>
            <w:noProof/>
            <w:webHidden/>
          </w:rPr>
          <w:fldChar w:fldCharType="end"/>
        </w:r>
      </w:hyperlink>
    </w:p>
    <w:p w14:paraId="752B266B" w14:textId="15C6908B" w:rsidR="00F54E2C" w:rsidRDefault="00661DE6">
      <w:pPr>
        <w:pStyle w:val="INNH3"/>
        <w:tabs>
          <w:tab w:val="left" w:pos="1200"/>
          <w:tab w:val="right" w:leader="dot" w:pos="9062"/>
        </w:tabs>
        <w:rPr>
          <w:rFonts w:asciiTheme="minorHAnsi" w:eastAsiaTheme="minorEastAsia" w:hAnsiTheme="minorHAnsi" w:cstheme="minorBidi"/>
          <w:i w:val="0"/>
          <w:iCs w:val="0"/>
          <w:noProof/>
          <w:sz w:val="22"/>
          <w:szCs w:val="22"/>
          <w:lang w:val="nb-NO" w:eastAsia="nb-NO"/>
        </w:rPr>
      </w:pPr>
      <w:hyperlink w:anchor="_Toc66448791" w:history="1">
        <w:r w:rsidR="00F54E2C" w:rsidRPr="00DC78CC">
          <w:rPr>
            <w:rStyle w:val="Hyperkobling"/>
            <w:noProof/>
            <w14:scene3d>
              <w14:camera w14:prst="orthographicFront"/>
              <w14:lightRig w14:rig="threePt" w14:dir="t">
                <w14:rot w14:lat="0" w14:lon="0" w14:rev="0"/>
              </w14:lightRig>
            </w14:scene3d>
          </w:rPr>
          <w:t>2.1.2</w:t>
        </w:r>
        <w:r w:rsidR="00F54E2C">
          <w:rPr>
            <w:rFonts w:asciiTheme="minorHAnsi" w:eastAsiaTheme="minorEastAsia" w:hAnsiTheme="minorHAnsi" w:cstheme="minorBidi"/>
            <w:i w:val="0"/>
            <w:iCs w:val="0"/>
            <w:noProof/>
            <w:sz w:val="22"/>
            <w:szCs w:val="22"/>
            <w:lang w:val="nb-NO" w:eastAsia="nb-NO"/>
          </w:rPr>
          <w:tab/>
        </w:r>
        <w:r w:rsidR="00F54E2C" w:rsidRPr="00DC78CC">
          <w:rPr>
            <w:rStyle w:val="Hyperkobling"/>
            <w:noProof/>
          </w:rPr>
          <w:t>Product (family) composition and formulation</w:t>
        </w:r>
        <w:r w:rsidR="00F54E2C">
          <w:rPr>
            <w:noProof/>
            <w:webHidden/>
          </w:rPr>
          <w:tab/>
        </w:r>
        <w:r w:rsidR="00F54E2C">
          <w:rPr>
            <w:noProof/>
            <w:webHidden/>
          </w:rPr>
          <w:fldChar w:fldCharType="begin"/>
        </w:r>
        <w:r w:rsidR="00F54E2C">
          <w:rPr>
            <w:noProof/>
            <w:webHidden/>
          </w:rPr>
          <w:instrText xml:space="preserve"> PAGEREF _Toc66448791 \h </w:instrText>
        </w:r>
        <w:r w:rsidR="00F54E2C">
          <w:rPr>
            <w:noProof/>
            <w:webHidden/>
          </w:rPr>
        </w:r>
        <w:r w:rsidR="00F54E2C">
          <w:rPr>
            <w:noProof/>
            <w:webHidden/>
          </w:rPr>
          <w:fldChar w:fldCharType="separate"/>
        </w:r>
        <w:r w:rsidR="00FF5B6D">
          <w:rPr>
            <w:noProof/>
            <w:webHidden/>
          </w:rPr>
          <w:t>6</w:t>
        </w:r>
        <w:r w:rsidR="00F54E2C">
          <w:rPr>
            <w:noProof/>
            <w:webHidden/>
          </w:rPr>
          <w:fldChar w:fldCharType="end"/>
        </w:r>
      </w:hyperlink>
    </w:p>
    <w:p w14:paraId="136DC219" w14:textId="104B4386" w:rsidR="00F54E2C" w:rsidRDefault="00661DE6">
      <w:pPr>
        <w:pStyle w:val="INNH4"/>
        <w:tabs>
          <w:tab w:val="left" w:pos="1400"/>
          <w:tab w:val="right" w:leader="dot" w:pos="9062"/>
        </w:tabs>
        <w:rPr>
          <w:rFonts w:asciiTheme="minorHAnsi" w:eastAsiaTheme="minorEastAsia" w:hAnsiTheme="minorHAnsi" w:cstheme="minorBidi"/>
          <w:noProof/>
          <w:sz w:val="22"/>
          <w:szCs w:val="22"/>
          <w:lang w:val="nb-NO" w:eastAsia="nb-NO"/>
        </w:rPr>
      </w:pPr>
      <w:hyperlink w:anchor="_Toc66448792" w:history="1">
        <w:r w:rsidR="00F54E2C" w:rsidRPr="00DC78CC">
          <w:rPr>
            <w:rStyle w:val="Hyperkobling"/>
            <w:noProof/>
          </w:rPr>
          <w:t>2.1.2.1</w:t>
        </w:r>
        <w:r w:rsidR="00F54E2C">
          <w:rPr>
            <w:rFonts w:asciiTheme="minorHAnsi" w:eastAsiaTheme="minorEastAsia" w:hAnsiTheme="minorHAnsi" w:cstheme="minorBidi"/>
            <w:noProof/>
            <w:sz w:val="22"/>
            <w:szCs w:val="22"/>
            <w:lang w:val="nb-NO" w:eastAsia="nb-NO"/>
          </w:rPr>
          <w:tab/>
        </w:r>
        <w:r w:rsidR="00F54E2C" w:rsidRPr="00DC78CC">
          <w:rPr>
            <w:rStyle w:val="Hyperkobling"/>
            <w:noProof/>
          </w:rPr>
          <w:t>Identity of the active substances</w:t>
        </w:r>
        <w:r w:rsidR="00F54E2C">
          <w:rPr>
            <w:noProof/>
            <w:webHidden/>
          </w:rPr>
          <w:tab/>
        </w:r>
        <w:r w:rsidR="00F54E2C">
          <w:rPr>
            <w:noProof/>
            <w:webHidden/>
          </w:rPr>
          <w:fldChar w:fldCharType="begin"/>
        </w:r>
        <w:r w:rsidR="00F54E2C">
          <w:rPr>
            <w:noProof/>
            <w:webHidden/>
          </w:rPr>
          <w:instrText xml:space="preserve"> PAGEREF _Toc66448792 \h </w:instrText>
        </w:r>
        <w:r w:rsidR="00F54E2C">
          <w:rPr>
            <w:noProof/>
            <w:webHidden/>
          </w:rPr>
        </w:r>
        <w:r w:rsidR="00F54E2C">
          <w:rPr>
            <w:noProof/>
            <w:webHidden/>
          </w:rPr>
          <w:fldChar w:fldCharType="separate"/>
        </w:r>
        <w:r w:rsidR="00FF5B6D">
          <w:rPr>
            <w:noProof/>
            <w:webHidden/>
          </w:rPr>
          <w:t>6</w:t>
        </w:r>
        <w:r w:rsidR="00F54E2C">
          <w:rPr>
            <w:noProof/>
            <w:webHidden/>
          </w:rPr>
          <w:fldChar w:fldCharType="end"/>
        </w:r>
      </w:hyperlink>
    </w:p>
    <w:p w14:paraId="74BBE9DC" w14:textId="2F536F83" w:rsidR="00F54E2C" w:rsidRDefault="00661DE6">
      <w:pPr>
        <w:pStyle w:val="INNH4"/>
        <w:tabs>
          <w:tab w:val="left" w:pos="1400"/>
          <w:tab w:val="right" w:leader="dot" w:pos="9062"/>
        </w:tabs>
        <w:rPr>
          <w:rFonts w:asciiTheme="minorHAnsi" w:eastAsiaTheme="minorEastAsia" w:hAnsiTheme="minorHAnsi" w:cstheme="minorBidi"/>
          <w:noProof/>
          <w:sz w:val="22"/>
          <w:szCs w:val="22"/>
          <w:lang w:val="nb-NO" w:eastAsia="nb-NO"/>
        </w:rPr>
      </w:pPr>
      <w:hyperlink w:anchor="_Toc66448793" w:history="1">
        <w:r w:rsidR="00F54E2C" w:rsidRPr="00DC78CC">
          <w:rPr>
            <w:rStyle w:val="Hyperkobling"/>
            <w:noProof/>
          </w:rPr>
          <w:t>2.1.2.2</w:t>
        </w:r>
        <w:r w:rsidR="00F54E2C">
          <w:rPr>
            <w:rFonts w:asciiTheme="minorHAnsi" w:eastAsiaTheme="minorEastAsia" w:hAnsiTheme="minorHAnsi" w:cstheme="minorBidi"/>
            <w:noProof/>
            <w:sz w:val="22"/>
            <w:szCs w:val="22"/>
            <w:lang w:val="nb-NO" w:eastAsia="nb-NO"/>
          </w:rPr>
          <w:tab/>
        </w:r>
        <w:r w:rsidR="00F54E2C" w:rsidRPr="00DC78CC">
          <w:rPr>
            <w:rStyle w:val="Hyperkobling"/>
            <w:noProof/>
          </w:rPr>
          <w:t>Candidate(s) for substitution</w:t>
        </w:r>
        <w:r w:rsidR="00F54E2C">
          <w:rPr>
            <w:noProof/>
            <w:webHidden/>
          </w:rPr>
          <w:tab/>
        </w:r>
        <w:r w:rsidR="00F54E2C">
          <w:rPr>
            <w:noProof/>
            <w:webHidden/>
          </w:rPr>
          <w:fldChar w:fldCharType="begin"/>
        </w:r>
        <w:r w:rsidR="00F54E2C">
          <w:rPr>
            <w:noProof/>
            <w:webHidden/>
          </w:rPr>
          <w:instrText xml:space="preserve"> PAGEREF _Toc66448793 \h </w:instrText>
        </w:r>
        <w:r w:rsidR="00F54E2C">
          <w:rPr>
            <w:noProof/>
            <w:webHidden/>
          </w:rPr>
        </w:r>
        <w:r w:rsidR="00F54E2C">
          <w:rPr>
            <w:noProof/>
            <w:webHidden/>
          </w:rPr>
          <w:fldChar w:fldCharType="separate"/>
        </w:r>
        <w:r w:rsidR="00FF5B6D">
          <w:rPr>
            <w:noProof/>
            <w:webHidden/>
          </w:rPr>
          <w:t>7</w:t>
        </w:r>
        <w:r w:rsidR="00F54E2C">
          <w:rPr>
            <w:noProof/>
            <w:webHidden/>
          </w:rPr>
          <w:fldChar w:fldCharType="end"/>
        </w:r>
      </w:hyperlink>
    </w:p>
    <w:p w14:paraId="68078046" w14:textId="56D58F58" w:rsidR="00F54E2C" w:rsidRDefault="00661DE6">
      <w:pPr>
        <w:pStyle w:val="INNH4"/>
        <w:tabs>
          <w:tab w:val="left" w:pos="1400"/>
          <w:tab w:val="right" w:leader="dot" w:pos="9062"/>
        </w:tabs>
        <w:rPr>
          <w:rFonts w:asciiTheme="minorHAnsi" w:eastAsiaTheme="minorEastAsia" w:hAnsiTheme="minorHAnsi" w:cstheme="minorBidi"/>
          <w:noProof/>
          <w:sz w:val="22"/>
          <w:szCs w:val="22"/>
          <w:lang w:val="nb-NO" w:eastAsia="nb-NO"/>
        </w:rPr>
      </w:pPr>
      <w:hyperlink w:anchor="_Toc66448794" w:history="1">
        <w:r w:rsidR="00F54E2C" w:rsidRPr="00DC78CC">
          <w:rPr>
            <w:rStyle w:val="Hyperkobling"/>
            <w:noProof/>
          </w:rPr>
          <w:t>2.1.2.3</w:t>
        </w:r>
        <w:r w:rsidR="00F54E2C">
          <w:rPr>
            <w:rFonts w:asciiTheme="minorHAnsi" w:eastAsiaTheme="minorEastAsia" w:hAnsiTheme="minorHAnsi" w:cstheme="minorBidi"/>
            <w:noProof/>
            <w:sz w:val="22"/>
            <w:szCs w:val="22"/>
            <w:lang w:val="nb-NO" w:eastAsia="nb-NO"/>
          </w:rPr>
          <w:tab/>
        </w:r>
        <w:r w:rsidR="00F54E2C" w:rsidRPr="00DC78CC">
          <w:rPr>
            <w:rStyle w:val="Hyperkobling"/>
            <w:noProof/>
          </w:rPr>
          <w:t>Qualitative and quantitative information on the composition of the biocidal product family</w:t>
        </w:r>
        <w:r w:rsidR="00F54E2C">
          <w:rPr>
            <w:noProof/>
            <w:webHidden/>
          </w:rPr>
          <w:tab/>
        </w:r>
        <w:r w:rsidR="00F54E2C">
          <w:rPr>
            <w:noProof/>
            <w:webHidden/>
          </w:rPr>
          <w:fldChar w:fldCharType="begin"/>
        </w:r>
        <w:r w:rsidR="00F54E2C">
          <w:rPr>
            <w:noProof/>
            <w:webHidden/>
          </w:rPr>
          <w:instrText xml:space="preserve"> PAGEREF _Toc66448794 \h </w:instrText>
        </w:r>
        <w:r w:rsidR="00F54E2C">
          <w:rPr>
            <w:noProof/>
            <w:webHidden/>
          </w:rPr>
        </w:r>
        <w:r w:rsidR="00F54E2C">
          <w:rPr>
            <w:noProof/>
            <w:webHidden/>
          </w:rPr>
          <w:fldChar w:fldCharType="separate"/>
        </w:r>
        <w:r w:rsidR="00FF5B6D">
          <w:rPr>
            <w:noProof/>
            <w:webHidden/>
          </w:rPr>
          <w:t>7</w:t>
        </w:r>
        <w:r w:rsidR="00F54E2C">
          <w:rPr>
            <w:noProof/>
            <w:webHidden/>
          </w:rPr>
          <w:fldChar w:fldCharType="end"/>
        </w:r>
      </w:hyperlink>
    </w:p>
    <w:p w14:paraId="02D0F83E" w14:textId="5BEC4F36" w:rsidR="00F54E2C" w:rsidRDefault="00661DE6">
      <w:pPr>
        <w:pStyle w:val="INNH4"/>
        <w:tabs>
          <w:tab w:val="left" w:pos="1400"/>
          <w:tab w:val="right" w:leader="dot" w:pos="9062"/>
        </w:tabs>
        <w:rPr>
          <w:rFonts w:asciiTheme="minorHAnsi" w:eastAsiaTheme="minorEastAsia" w:hAnsiTheme="minorHAnsi" w:cstheme="minorBidi"/>
          <w:noProof/>
          <w:sz w:val="22"/>
          <w:szCs w:val="22"/>
          <w:lang w:val="nb-NO" w:eastAsia="nb-NO"/>
        </w:rPr>
      </w:pPr>
      <w:hyperlink w:anchor="_Toc66448795" w:history="1">
        <w:r w:rsidR="00F54E2C" w:rsidRPr="00DC78CC">
          <w:rPr>
            <w:rStyle w:val="Hyperkobling"/>
            <w:noProof/>
          </w:rPr>
          <w:t>2.1.2.4</w:t>
        </w:r>
        <w:r w:rsidR="00F54E2C">
          <w:rPr>
            <w:rFonts w:asciiTheme="minorHAnsi" w:eastAsiaTheme="minorEastAsia" w:hAnsiTheme="minorHAnsi" w:cstheme="minorBidi"/>
            <w:noProof/>
            <w:sz w:val="22"/>
            <w:szCs w:val="22"/>
            <w:lang w:val="nb-NO" w:eastAsia="nb-NO"/>
          </w:rPr>
          <w:tab/>
        </w:r>
        <w:r w:rsidR="00F54E2C" w:rsidRPr="00DC78CC">
          <w:rPr>
            <w:rStyle w:val="Hyperkobling"/>
            <w:noProof/>
          </w:rPr>
          <w:t>Information on technical equivalence</w:t>
        </w:r>
        <w:r w:rsidR="00F54E2C">
          <w:rPr>
            <w:noProof/>
            <w:webHidden/>
          </w:rPr>
          <w:tab/>
        </w:r>
        <w:r w:rsidR="00F54E2C">
          <w:rPr>
            <w:noProof/>
            <w:webHidden/>
          </w:rPr>
          <w:fldChar w:fldCharType="begin"/>
        </w:r>
        <w:r w:rsidR="00F54E2C">
          <w:rPr>
            <w:noProof/>
            <w:webHidden/>
          </w:rPr>
          <w:instrText xml:space="preserve"> PAGEREF _Toc66448795 \h </w:instrText>
        </w:r>
        <w:r w:rsidR="00F54E2C">
          <w:rPr>
            <w:noProof/>
            <w:webHidden/>
          </w:rPr>
        </w:r>
        <w:r w:rsidR="00F54E2C">
          <w:rPr>
            <w:noProof/>
            <w:webHidden/>
          </w:rPr>
          <w:fldChar w:fldCharType="separate"/>
        </w:r>
        <w:r w:rsidR="00FF5B6D">
          <w:rPr>
            <w:noProof/>
            <w:webHidden/>
          </w:rPr>
          <w:t>7</w:t>
        </w:r>
        <w:r w:rsidR="00F54E2C">
          <w:rPr>
            <w:noProof/>
            <w:webHidden/>
          </w:rPr>
          <w:fldChar w:fldCharType="end"/>
        </w:r>
      </w:hyperlink>
    </w:p>
    <w:p w14:paraId="25D00AD6" w14:textId="25288277" w:rsidR="00F54E2C" w:rsidRDefault="00661DE6">
      <w:pPr>
        <w:pStyle w:val="INNH4"/>
        <w:tabs>
          <w:tab w:val="left" w:pos="1400"/>
          <w:tab w:val="right" w:leader="dot" w:pos="9062"/>
        </w:tabs>
        <w:rPr>
          <w:rFonts w:asciiTheme="minorHAnsi" w:eastAsiaTheme="minorEastAsia" w:hAnsiTheme="minorHAnsi" w:cstheme="minorBidi"/>
          <w:noProof/>
          <w:sz w:val="22"/>
          <w:szCs w:val="22"/>
          <w:lang w:val="nb-NO" w:eastAsia="nb-NO"/>
        </w:rPr>
      </w:pPr>
      <w:hyperlink w:anchor="_Toc66448796" w:history="1">
        <w:r w:rsidR="00F54E2C" w:rsidRPr="00DC78CC">
          <w:rPr>
            <w:rStyle w:val="Hyperkobling"/>
            <w:noProof/>
          </w:rPr>
          <w:t>2.1.2.5</w:t>
        </w:r>
        <w:r w:rsidR="00F54E2C">
          <w:rPr>
            <w:rFonts w:asciiTheme="minorHAnsi" w:eastAsiaTheme="minorEastAsia" w:hAnsiTheme="minorHAnsi" w:cstheme="minorBidi"/>
            <w:noProof/>
            <w:sz w:val="22"/>
            <w:szCs w:val="22"/>
            <w:lang w:val="nb-NO" w:eastAsia="nb-NO"/>
          </w:rPr>
          <w:tab/>
        </w:r>
        <w:r w:rsidR="00F54E2C" w:rsidRPr="00DC78CC">
          <w:rPr>
            <w:rStyle w:val="Hyperkobling"/>
            <w:noProof/>
          </w:rPr>
          <w:t>Information on the substance(s) of concern</w:t>
        </w:r>
        <w:r w:rsidR="00F54E2C">
          <w:rPr>
            <w:noProof/>
            <w:webHidden/>
          </w:rPr>
          <w:tab/>
        </w:r>
        <w:r w:rsidR="00F54E2C">
          <w:rPr>
            <w:noProof/>
            <w:webHidden/>
          </w:rPr>
          <w:fldChar w:fldCharType="begin"/>
        </w:r>
        <w:r w:rsidR="00F54E2C">
          <w:rPr>
            <w:noProof/>
            <w:webHidden/>
          </w:rPr>
          <w:instrText xml:space="preserve"> PAGEREF _Toc66448796 \h </w:instrText>
        </w:r>
        <w:r w:rsidR="00F54E2C">
          <w:rPr>
            <w:noProof/>
            <w:webHidden/>
          </w:rPr>
        </w:r>
        <w:r w:rsidR="00F54E2C">
          <w:rPr>
            <w:noProof/>
            <w:webHidden/>
          </w:rPr>
          <w:fldChar w:fldCharType="separate"/>
        </w:r>
        <w:r w:rsidR="00FF5B6D">
          <w:rPr>
            <w:noProof/>
            <w:webHidden/>
          </w:rPr>
          <w:t>7</w:t>
        </w:r>
        <w:r w:rsidR="00F54E2C">
          <w:rPr>
            <w:noProof/>
            <w:webHidden/>
          </w:rPr>
          <w:fldChar w:fldCharType="end"/>
        </w:r>
      </w:hyperlink>
    </w:p>
    <w:p w14:paraId="393C82F2" w14:textId="141FBE6C" w:rsidR="00F54E2C" w:rsidRDefault="00661DE6">
      <w:pPr>
        <w:pStyle w:val="INNH4"/>
        <w:tabs>
          <w:tab w:val="left" w:pos="1400"/>
          <w:tab w:val="right" w:leader="dot" w:pos="9062"/>
        </w:tabs>
        <w:rPr>
          <w:rFonts w:asciiTheme="minorHAnsi" w:eastAsiaTheme="minorEastAsia" w:hAnsiTheme="minorHAnsi" w:cstheme="minorBidi"/>
          <w:noProof/>
          <w:sz w:val="22"/>
          <w:szCs w:val="22"/>
          <w:lang w:val="nb-NO" w:eastAsia="nb-NO"/>
        </w:rPr>
      </w:pPr>
      <w:hyperlink w:anchor="_Toc66448797" w:history="1">
        <w:r w:rsidR="00F54E2C" w:rsidRPr="00DC78CC">
          <w:rPr>
            <w:rStyle w:val="Hyperkobling"/>
            <w:noProof/>
          </w:rPr>
          <w:t>2.1.2.6</w:t>
        </w:r>
        <w:r w:rsidR="00F54E2C">
          <w:rPr>
            <w:rFonts w:asciiTheme="minorHAnsi" w:eastAsiaTheme="minorEastAsia" w:hAnsiTheme="minorHAnsi" w:cstheme="minorBidi"/>
            <w:noProof/>
            <w:sz w:val="22"/>
            <w:szCs w:val="22"/>
            <w:lang w:val="nb-NO" w:eastAsia="nb-NO"/>
          </w:rPr>
          <w:tab/>
        </w:r>
        <w:r w:rsidR="00F54E2C" w:rsidRPr="00DC78CC">
          <w:rPr>
            <w:rStyle w:val="Hyperkobling"/>
            <w:noProof/>
          </w:rPr>
          <w:t>Type of formulation</w:t>
        </w:r>
        <w:r w:rsidR="00F54E2C">
          <w:rPr>
            <w:noProof/>
            <w:webHidden/>
          </w:rPr>
          <w:tab/>
        </w:r>
        <w:r w:rsidR="00F54E2C">
          <w:rPr>
            <w:noProof/>
            <w:webHidden/>
          </w:rPr>
          <w:fldChar w:fldCharType="begin"/>
        </w:r>
        <w:r w:rsidR="00F54E2C">
          <w:rPr>
            <w:noProof/>
            <w:webHidden/>
          </w:rPr>
          <w:instrText xml:space="preserve"> PAGEREF _Toc66448797 \h </w:instrText>
        </w:r>
        <w:r w:rsidR="00F54E2C">
          <w:rPr>
            <w:noProof/>
            <w:webHidden/>
          </w:rPr>
        </w:r>
        <w:r w:rsidR="00F54E2C">
          <w:rPr>
            <w:noProof/>
            <w:webHidden/>
          </w:rPr>
          <w:fldChar w:fldCharType="separate"/>
        </w:r>
        <w:r w:rsidR="00FF5B6D">
          <w:rPr>
            <w:noProof/>
            <w:webHidden/>
          </w:rPr>
          <w:t>7</w:t>
        </w:r>
        <w:r w:rsidR="00F54E2C">
          <w:rPr>
            <w:noProof/>
            <w:webHidden/>
          </w:rPr>
          <w:fldChar w:fldCharType="end"/>
        </w:r>
      </w:hyperlink>
    </w:p>
    <w:p w14:paraId="6178482B" w14:textId="3FDF77B3" w:rsidR="00F54E2C" w:rsidRDefault="00661DE6">
      <w:pPr>
        <w:pStyle w:val="INNH3"/>
        <w:tabs>
          <w:tab w:val="left" w:pos="1200"/>
          <w:tab w:val="right" w:leader="dot" w:pos="9062"/>
        </w:tabs>
        <w:rPr>
          <w:rFonts w:asciiTheme="minorHAnsi" w:eastAsiaTheme="minorEastAsia" w:hAnsiTheme="minorHAnsi" w:cstheme="minorBidi"/>
          <w:i w:val="0"/>
          <w:iCs w:val="0"/>
          <w:noProof/>
          <w:sz w:val="22"/>
          <w:szCs w:val="22"/>
          <w:lang w:val="nb-NO" w:eastAsia="nb-NO"/>
        </w:rPr>
      </w:pPr>
      <w:hyperlink w:anchor="_Toc66448798" w:history="1">
        <w:r w:rsidR="00F54E2C" w:rsidRPr="00DC78CC">
          <w:rPr>
            <w:rStyle w:val="Hyperkobling"/>
            <w:noProof/>
            <w14:scene3d>
              <w14:camera w14:prst="orthographicFront"/>
              <w14:lightRig w14:rig="threePt" w14:dir="t">
                <w14:rot w14:lat="0" w14:lon="0" w14:rev="0"/>
              </w14:lightRig>
            </w14:scene3d>
          </w:rPr>
          <w:t>2.1.3</w:t>
        </w:r>
        <w:r w:rsidR="00F54E2C">
          <w:rPr>
            <w:rFonts w:asciiTheme="minorHAnsi" w:eastAsiaTheme="minorEastAsia" w:hAnsiTheme="minorHAnsi" w:cstheme="minorBidi"/>
            <w:i w:val="0"/>
            <w:iCs w:val="0"/>
            <w:noProof/>
            <w:sz w:val="22"/>
            <w:szCs w:val="22"/>
            <w:lang w:val="nb-NO" w:eastAsia="nb-NO"/>
          </w:rPr>
          <w:tab/>
        </w:r>
        <w:r w:rsidR="00F54E2C" w:rsidRPr="00DC78CC">
          <w:rPr>
            <w:rStyle w:val="Hyperkobling"/>
            <w:noProof/>
          </w:rPr>
          <w:t>Hazard and precautionary statements</w:t>
        </w:r>
        <w:r w:rsidR="00F54E2C">
          <w:rPr>
            <w:noProof/>
            <w:webHidden/>
          </w:rPr>
          <w:tab/>
        </w:r>
        <w:r w:rsidR="00F54E2C">
          <w:rPr>
            <w:noProof/>
            <w:webHidden/>
          </w:rPr>
          <w:fldChar w:fldCharType="begin"/>
        </w:r>
        <w:r w:rsidR="00F54E2C">
          <w:rPr>
            <w:noProof/>
            <w:webHidden/>
          </w:rPr>
          <w:instrText xml:space="preserve"> PAGEREF _Toc66448798 \h </w:instrText>
        </w:r>
        <w:r w:rsidR="00F54E2C">
          <w:rPr>
            <w:noProof/>
            <w:webHidden/>
          </w:rPr>
        </w:r>
        <w:r w:rsidR="00F54E2C">
          <w:rPr>
            <w:noProof/>
            <w:webHidden/>
          </w:rPr>
          <w:fldChar w:fldCharType="separate"/>
        </w:r>
        <w:r w:rsidR="00FF5B6D">
          <w:rPr>
            <w:noProof/>
            <w:webHidden/>
          </w:rPr>
          <w:t>8</w:t>
        </w:r>
        <w:r w:rsidR="00F54E2C">
          <w:rPr>
            <w:noProof/>
            <w:webHidden/>
          </w:rPr>
          <w:fldChar w:fldCharType="end"/>
        </w:r>
      </w:hyperlink>
    </w:p>
    <w:p w14:paraId="5E7573AF" w14:textId="44A31603" w:rsidR="00F54E2C" w:rsidRDefault="00661DE6">
      <w:pPr>
        <w:pStyle w:val="INNH3"/>
        <w:tabs>
          <w:tab w:val="left" w:pos="1200"/>
          <w:tab w:val="right" w:leader="dot" w:pos="9062"/>
        </w:tabs>
        <w:rPr>
          <w:rFonts w:asciiTheme="minorHAnsi" w:eastAsiaTheme="minorEastAsia" w:hAnsiTheme="minorHAnsi" w:cstheme="minorBidi"/>
          <w:i w:val="0"/>
          <w:iCs w:val="0"/>
          <w:noProof/>
          <w:sz w:val="22"/>
          <w:szCs w:val="22"/>
          <w:lang w:val="nb-NO" w:eastAsia="nb-NO"/>
        </w:rPr>
      </w:pPr>
      <w:hyperlink w:anchor="_Toc66448799" w:history="1">
        <w:r w:rsidR="00F54E2C" w:rsidRPr="00DC78CC">
          <w:rPr>
            <w:rStyle w:val="Hyperkobling"/>
            <w:noProof/>
            <w14:scene3d>
              <w14:camera w14:prst="orthographicFront"/>
              <w14:lightRig w14:rig="threePt" w14:dir="t">
                <w14:rot w14:lat="0" w14:lon="0" w14:rev="0"/>
              </w14:lightRig>
            </w14:scene3d>
          </w:rPr>
          <w:t>2.1.4</w:t>
        </w:r>
        <w:r w:rsidR="00F54E2C">
          <w:rPr>
            <w:rFonts w:asciiTheme="minorHAnsi" w:eastAsiaTheme="minorEastAsia" w:hAnsiTheme="minorHAnsi" w:cstheme="minorBidi"/>
            <w:i w:val="0"/>
            <w:iCs w:val="0"/>
            <w:noProof/>
            <w:sz w:val="22"/>
            <w:szCs w:val="22"/>
            <w:lang w:val="nb-NO" w:eastAsia="nb-NO"/>
          </w:rPr>
          <w:tab/>
        </w:r>
        <w:r w:rsidR="00F54E2C" w:rsidRPr="00DC78CC">
          <w:rPr>
            <w:rStyle w:val="Hyperkobling"/>
            <w:noProof/>
          </w:rPr>
          <w:t>Authorised use(s)</w:t>
        </w:r>
        <w:r w:rsidR="00F54E2C">
          <w:rPr>
            <w:noProof/>
            <w:webHidden/>
          </w:rPr>
          <w:tab/>
        </w:r>
        <w:r w:rsidR="00F54E2C">
          <w:rPr>
            <w:noProof/>
            <w:webHidden/>
          </w:rPr>
          <w:fldChar w:fldCharType="begin"/>
        </w:r>
        <w:r w:rsidR="00F54E2C">
          <w:rPr>
            <w:noProof/>
            <w:webHidden/>
          </w:rPr>
          <w:instrText xml:space="preserve"> PAGEREF _Toc66448799 \h </w:instrText>
        </w:r>
        <w:r w:rsidR="00F54E2C">
          <w:rPr>
            <w:noProof/>
            <w:webHidden/>
          </w:rPr>
        </w:r>
        <w:r w:rsidR="00F54E2C">
          <w:rPr>
            <w:noProof/>
            <w:webHidden/>
          </w:rPr>
          <w:fldChar w:fldCharType="separate"/>
        </w:r>
        <w:r w:rsidR="00FF5B6D">
          <w:rPr>
            <w:noProof/>
            <w:webHidden/>
          </w:rPr>
          <w:t>11</w:t>
        </w:r>
        <w:r w:rsidR="00F54E2C">
          <w:rPr>
            <w:noProof/>
            <w:webHidden/>
          </w:rPr>
          <w:fldChar w:fldCharType="end"/>
        </w:r>
      </w:hyperlink>
    </w:p>
    <w:p w14:paraId="5AE3E726" w14:textId="1E9FD23D" w:rsidR="00F54E2C" w:rsidRDefault="00661DE6">
      <w:pPr>
        <w:pStyle w:val="INNH4"/>
        <w:tabs>
          <w:tab w:val="left" w:pos="1400"/>
          <w:tab w:val="right" w:leader="dot" w:pos="9062"/>
        </w:tabs>
        <w:rPr>
          <w:rFonts w:asciiTheme="minorHAnsi" w:eastAsiaTheme="minorEastAsia" w:hAnsiTheme="minorHAnsi" w:cstheme="minorBidi"/>
          <w:noProof/>
          <w:sz w:val="22"/>
          <w:szCs w:val="22"/>
          <w:lang w:val="nb-NO" w:eastAsia="nb-NO"/>
        </w:rPr>
      </w:pPr>
      <w:hyperlink w:anchor="_Toc66448800" w:history="1">
        <w:r w:rsidR="00F54E2C" w:rsidRPr="00DC78CC">
          <w:rPr>
            <w:rStyle w:val="Hyperkobling"/>
            <w:noProof/>
          </w:rPr>
          <w:t>2.1.4.1</w:t>
        </w:r>
        <w:r w:rsidR="00F54E2C">
          <w:rPr>
            <w:rFonts w:asciiTheme="minorHAnsi" w:eastAsiaTheme="minorEastAsia" w:hAnsiTheme="minorHAnsi" w:cstheme="minorBidi"/>
            <w:noProof/>
            <w:sz w:val="22"/>
            <w:szCs w:val="22"/>
            <w:lang w:val="nb-NO" w:eastAsia="nb-NO"/>
          </w:rPr>
          <w:tab/>
        </w:r>
        <w:r w:rsidR="00F54E2C" w:rsidRPr="00DC78CC">
          <w:rPr>
            <w:rStyle w:val="Hyperkobling"/>
            <w:noProof/>
          </w:rPr>
          <w:t>Use description</w:t>
        </w:r>
        <w:r w:rsidR="00F54E2C">
          <w:rPr>
            <w:noProof/>
            <w:webHidden/>
          </w:rPr>
          <w:tab/>
        </w:r>
        <w:r w:rsidR="00F54E2C">
          <w:rPr>
            <w:noProof/>
            <w:webHidden/>
          </w:rPr>
          <w:fldChar w:fldCharType="begin"/>
        </w:r>
        <w:r w:rsidR="00F54E2C">
          <w:rPr>
            <w:noProof/>
            <w:webHidden/>
          </w:rPr>
          <w:instrText xml:space="preserve"> PAGEREF _Toc66448800 \h </w:instrText>
        </w:r>
        <w:r w:rsidR="00F54E2C">
          <w:rPr>
            <w:noProof/>
            <w:webHidden/>
          </w:rPr>
        </w:r>
        <w:r w:rsidR="00F54E2C">
          <w:rPr>
            <w:noProof/>
            <w:webHidden/>
          </w:rPr>
          <w:fldChar w:fldCharType="separate"/>
        </w:r>
        <w:r w:rsidR="00FF5B6D">
          <w:rPr>
            <w:noProof/>
            <w:webHidden/>
          </w:rPr>
          <w:t>11</w:t>
        </w:r>
        <w:r w:rsidR="00F54E2C">
          <w:rPr>
            <w:noProof/>
            <w:webHidden/>
          </w:rPr>
          <w:fldChar w:fldCharType="end"/>
        </w:r>
      </w:hyperlink>
    </w:p>
    <w:p w14:paraId="74279031" w14:textId="681F74E7" w:rsidR="00F54E2C" w:rsidRDefault="00661DE6">
      <w:pPr>
        <w:pStyle w:val="INNH4"/>
        <w:tabs>
          <w:tab w:val="left" w:pos="1400"/>
          <w:tab w:val="right" w:leader="dot" w:pos="9062"/>
        </w:tabs>
        <w:rPr>
          <w:rFonts w:asciiTheme="minorHAnsi" w:eastAsiaTheme="minorEastAsia" w:hAnsiTheme="minorHAnsi" w:cstheme="minorBidi"/>
          <w:noProof/>
          <w:sz w:val="22"/>
          <w:szCs w:val="22"/>
          <w:lang w:val="nb-NO" w:eastAsia="nb-NO"/>
        </w:rPr>
      </w:pPr>
      <w:hyperlink w:anchor="_Toc66448801" w:history="1">
        <w:r w:rsidR="00F54E2C" w:rsidRPr="00DC78CC">
          <w:rPr>
            <w:rStyle w:val="Hyperkobling"/>
            <w:noProof/>
          </w:rPr>
          <w:t>2.1.4.2</w:t>
        </w:r>
        <w:r w:rsidR="00F54E2C">
          <w:rPr>
            <w:rFonts w:asciiTheme="minorHAnsi" w:eastAsiaTheme="minorEastAsia" w:hAnsiTheme="minorHAnsi" w:cstheme="minorBidi"/>
            <w:noProof/>
            <w:sz w:val="22"/>
            <w:szCs w:val="22"/>
            <w:lang w:val="nb-NO" w:eastAsia="nb-NO"/>
          </w:rPr>
          <w:tab/>
        </w:r>
        <w:r w:rsidR="00F54E2C" w:rsidRPr="00DC78CC">
          <w:rPr>
            <w:rStyle w:val="Hyperkobling"/>
            <w:noProof/>
          </w:rPr>
          <w:t>Use-specific instructions for use</w:t>
        </w:r>
        <w:r w:rsidR="00F54E2C">
          <w:rPr>
            <w:noProof/>
            <w:webHidden/>
          </w:rPr>
          <w:tab/>
        </w:r>
        <w:r w:rsidR="00F54E2C">
          <w:rPr>
            <w:noProof/>
            <w:webHidden/>
          </w:rPr>
          <w:fldChar w:fldCharType="begin"/>
        </w:r>
        <w:r w:rsidR="00F54E2C">
          <w:rPr>
            <w:noProof/>
            <w:webHidden/>
          </w:rPr>
          <w:instrText xml:space="preserve"> PAGEREF _Toc66448801 \h </w:instrText>
        </w:r>
        <w:r w:rsidR="00F54E2C">
          <w:rPr>
            <w:noProof/>
            <w:webHidden/>
          </w:rPr>
        </w:r>
        <w:r w:rsidR="00F54E2C">
          <w:rPr>
            <w:noProof/>
            <w:webHidden/>
          </w:rPr>
          <w:fldChar w:fldCharType="separate"/>
        </w:r>
        <w:r w:rsidR="00FF5B6D">
          <w:rPr>
            <w:noProof/>
            <w:webHidden/>
          </w:rPr>
          <w:t>11</w:t>
        </w:r>
        <w:r w:rsidR="00F54E2C">
          <w:rPr>
            <w:noProof/>
            <w:webHidden/>
          </w:rPr>
          <w:fldChar w:fldCharType="end"/>
        </w:r>
      </w:hyperlink>
    </w:p>
    <w:p w14:paraId="2CD39D84" w14:textId="0D7C26BD" w:rsidR="00F54E2C" w:rsidRDefault="00661DE6">
      <w:pPr>
        <w:pStyle w:val="INNH4"/>
        <w:tabs>
          <w:tab w:val="left" w:pos="1400"/>
          <w:tab w:val="right" w:leader="dot" w:pos="9062"/>
        </w:tabs>
        <w:rPr>
          <w:rFonts w:asciiTheme="minorHAnsi" w:eastAsiaTheme="minorEastAsia" w:hAnsiTheme="minorHAnsi" w:cstheme="minorBidi"/>
          <w:noProof/>
          <w:sz w:val="22"/>
          <w:szCs w:val="22"/>
          <w:lang w:val="nb-NO" w:eastAsia="nb-NO"/>
        </w:rPr>
      </w:pPr>
      <w:hyperlink w:anchor="_Toc66448802" w:history="1">
        <w:r w:rsidR="00F54E2C" w:rsidRPr="00DC78CC">
          <w:rPr>
            <w:rStyle w:val="Hyperkobling"/>
            <w:noProof/>
          </w:rPr>
          <w:t>2.1.4.3</w:t>
        </w:r>
        <w:r w:rsidR="00F54E2C">
          <w:rPr>
            <w:rFonts w:asciiTheme="minorHAnsi" w:eastAsiaTheme="minorEastAsia" w:hAnsiTheme="minorHAnsi" w:cstheme="minorBidi"/>
            <w:noProof/>
            <w:sz w:val="22"/>
            <w:szCs w:val="22"/>
            <w:lang w:val="nb-NO" w:eastAsia="nb-NO"/>
          </w:rPr>
          <w:tab/>
        </w:r>
        <w:r w:rsidR="00F54E2C" w:rsidRPr="00DC78CC">
          <w:rPr>
            <w:rStyle w:val="Hyperkobling"/>
            <w:noProof/>
          </w:rPr>
          <w:t>Use-specific risk mitigation measures</w:t>
        </w:r>
        <w:r w:rsidR="00F54E2C">
          <w:rPr>
            <w:noProof/>
            <w:webHidden/>
          </w:rPr>
          <w:tab/>
        </w:r>
        <w:r w:rsidR="00F54E2C">
          <w:rPr>
            <w:noProof/>
            <w:webHidden/>
          </w:rPr>
          <w:fldChar w:fldCharType="begin"/>
        </w:r>
        <w:r w:rsidR="00F54E2C">
          <w:rPr>
            <w:noProof/>
            <w:webHidden/>
          </w:rPr>
          <w:instrText xml:space="preserve"> PAGEREF _Toc66448802 \h </w:instrText>
        </w:r>
        <w:r w:rsidR="00F54E2C">
          <w:rPr>
            <w:noProof/>
            <w:webHidden/>
          </w:rPr>
        </w:r>
        <w:r w:rsidR="00F54E2C">
          <w:rPr>
            <w:noProof/>
            <w:webHidden/>
          </w:rPr>
          <w:fldChar w:fldCharType="separate"/>
        </w:r>
        <w:r w:rsidR="00FF5B6D">
          <w:rPr>
            <w:noProof/>
            <w:webHidden/>
          </w:rPr>
          <w:t>11</w:t>
        </w:r>
        <w:r w:rsidR="00F54E2C">
          <w:rPr>
            <w:noProof/>
            <w:webHidden/>
          </w:rPr>
          <w:fldChar w:fldCharType="end"/>
        </w:r>
      </w:hyperlink>
    </w:p>
    <w:p w14:paraId="4D4E9237" w14:textId="2687E9DB" w:rsidR="00F54E2C" w:rsidRDefault="00661DE6">
      <w:pPr>
        <w:pStyle w:val="INNH4"/>
        <w:tabs>
          <w:tab w:val="left" w:pos="1400"/>
          <w:tab w:val="right" w:leader="dot" w:pos="9062"/>
        </w:tabs>
        <w:rPr>
          <w:rFonts w:asciiTheme="minorHAnsi" w:eastAsiaTheme="minorEastAsia" w:hAnsiTheme="minorHAnsi" w:cstheme="minorBidi"/>
          <w:noProof/>
          <w:sz w:val="22"/>
          <w:szCs w:val="22"/>
          <w:lang w:val="nb-NO" w:eastAsia="nb-NO"/>
        </w:rPr>
      </w:pPr>
      <w:hyperlink w:anchor="_Toc66448803" w:history="1">
        <w:r w:rsidR="00F54E2C" w:rsidRPr="00DC78CC">
          <w:rPr>
            <w:rStyle w:val="Hyperkobling"/>
            <w:noProof/>
          </w:rPr>
          <w:t>2.1.4.4</w:t>
        </w:r>
        <w:r w:rsidR="00F54E2C">
          <w:rPr>
            <w:rFonts w:asciiTheme="minorHAnsi" w:eastAsiaTheme="minorEastAsia" w:hAnsiTheme="minorHAnsi" w:cstheme="minorBidi"/>
            <w:noProof/>
            <w:sz w:val="22"/>
            <w:szCs w:val="22"/>
            <w:lang w:val="nb-NO" w:eastAsia="nb-NO"/>
          </w:rPr>
          <w:tab/>
        </w:r>
        <w:r w:rsidR="00F54E2C" w:rsidRPr="00DC78CC">
          <w:rPr>
            <w:rStyle w:val="Hyperkobling"/>
            <w:noProof/>
          </w:rPr>
          <w:t>Where specific to the use, the particulars of likely direct or indirect effects, first aid instructions and emergency measures to protect the environment</w:t>
        </w:r>
        <w:r w:rsidR="00F54E2C">
          <w:rPr>
            <w:noProof/>
            <w:webHidden/>
          </w:rPr>
          <w:tab/>
        </w:r>
        <w:r w:rsidR="00F54E2C">
          <w:rPr>
            <w:noProof/>
            <w:webHidden/>
          </w:rPr>
          <w:fldChar w:fldCharType="begin"/>
        </w:r>
        <w:r w:rsidR="00F54E2C">
          <w:rPr>
            <w:noProof/>
            <w:webHidden/>
          </w:rPr>
          <w:instrText xml:space="preserve"> PAGEREF _Toc66448803 \h </w:instrText>
        </w:r>
        <w:r w:rsidR="00F54E2C">
          <w:rPr>
            <w:noProof/>
            <w:webHidden/>
          </w:rPr>
        </w:r>
        <w:r w:rsidR="00F54E2C">
          <w:rPr>
            <w:noProof/>
            <w:webHidden/>
          </w:rPr>
          <w:fldChar w:fldCharType="separate"/>
        </w:r>
        <w:r w:rsidR="00FF5B6D">
          <w:rPr>
            <w:noProof/>
            <w:webHidden/>
          </w:rPr>
          <w:t>12</w:t>
        </w:r>
        <w:r w:rsidR="00F54E2C">
          <w:rPr>
            <w:noProof/>
            <w:webHidden/>
          </w:rPr>
          <w:fldChar w:fldCharType="end"/>
        </w:r>
      </w:hyperlink>
    </w:p>
    <w:p w14:paraId="5A4C29D6" w14:textId="2FC7B6A0" w:rsidR="00F54E2C" w:rsidRDefault="00661DE6">
      <w:pPr>
        <w:pStyle w:val="INNH4"/>
        <w:tabs>
          <w:tab w:val="left" w:pos="1400"/>
          <w:tab w:val="right" w:leader="dot" w:pos="9062"/>
        </w:tabs>
        <w:rPr>
          <w:rFonts w:asciiTheme="minorHAnsi" w:eastAsiaTheme="minorEastAsia" w:hAnsiTheme="minorHAnsi" w:cstheme="minorBidi"/>
          <w:noProof/>
          <w:sz w:val="22"/>
          <w:szCs w:val="22"/>
          <w:lang w:val="nb-NO" w:eastAsia="nb-NO"/>
        </w:rPr>
      </w:pPr>
      <w:hyperlink w:anchor="_Toc66448804" w:history="1">
        <w:r w:rsidR="00F54E2C" w:rsidRPr="00DC78CC">
          <w:rPr>
            <w:rStyle w:val="Hyperkobling"/>
            <w:noProof/>
          </w:rPr>
          <w:t>2.1.4.5</w:t>
        </w:r>
        <w:r w:rsidR="00F54E2C">
          <w:rPr>
            <w:rFonts w:asciiTheme="minorHAnsi" w:eastAsiaTheme="minorEastAsia" w:hAnsiTheme="minorHAnsi" w:cstheme="minorBidi"/>
            <w:noProof/>
            <w:sz w:val="22"/>
            <w:szCs w:val="22"/>
            <w:lang w:val="nb-NO" w:eastAsia="nb-NO"/>
          </w:rPr>
          <w:tab/>
        </w:r>
        <w:r w:rsidR="00F54E2C" w:rsidRPr="00DC78CC">
          <w:rPr>
            <w:rStyle w:val="Hyperkobling"/>
            <w:noProof/>
          </w:rPr>
          <w:t>Where specific to the use, the instructions for safe disposal of the product and its packaging</w:t>
        </w:r>
        <w:r w:rsidR="00F54E2C">
          <w:rPr>
            <w:noProof/>
            <w:webHidden/>
          </w:rPr>
          <w:tab/>
        </w:r>
        <w:r w:rsidR="00F54E2C">
          <w:rPr>
            <w:noProof/>
            <w:webHidden/>
          </w:rPr>
          <w:fldChar w:fldCharType="begin"/>
        </w:r>
        <w:r w:rsidR="00F54E2C">
          <w:rPr>
            <w:noProof/>
            <w:webHidden/>
          </w:rPr>
          <w:instrText xml:space="preserve"> PAGEREF _Toc66448804 \h </w:instrText>
        </w:r>
        <w:r w:rsidR="00F54E2C">
          <w:rPr>
            <w:noProof/>
            <w:webHidden/>
          </w:rPr>
        </w:r>
        <w:r w:rsidR="00F54E2C">
          <w:rPr>
            <w:noProof/>
            <w:webHidden/>
          </w:rPr>
          <w:fldChar w:fldCharType="separate"/>
        </w:r>
        <w:r w:rsidR="00FF5B6D">
          <w:rPr>
            <w:noProof/>
            <w:webHidden/>
          </w:rPr>
          <w:t>12</w:t>
        </w:r>
        <w:r w:rsidR="00F54E2C">
          <w:rPr>
            <w:noProof/>
            <w:webHidden/>
          </w:rPr>
          <w:fldChar w:fldCharType="end"/>
        </w:r>
      </w:hyperlink>
    </w:p>
    <w:p w14:paraId="36EDD920" w14:textId="2D52AAF0" w:rsidR="00F54E2C" w:rsidRDefault="00661DE6">
      <w:pPr>
        <w:pStyle w:val="INNH4"/>
        <w:tabs>
          <w:tab w:val="left" w:pos="1400"/>
          <w:tab w:val="right" w:leader="dot" w:pos="9062"/>
        </w:tabs>
        <w:rPr>
          <w:rFonts w:asciiTheme="minorHAnsi" w:eastAsiaTheme="minorEastAsia" w:hAnsiTheme="minorHAnsi" w:cstheme="minorBidi"/>
          <w:noProof/>
          <w:sz w:val="22"/>
          <w:szCs w:val="22"/>
          <w:lang w:val="nb-NO" w:eastAsia="nb-NO"/>
        </w:rPr>
      </w:pPr>
      <w:hyperlink w:anchor="_Toc66448805" w:history="1">
        <w:r w:rsidR="00F54E2C" w:rsidRPr="00DC78CC">
          <w:rPr>
            <w:rStyle w:val="Hyperkobling"/>
            <w:noProof/>
          </w:rPr>
          <w:t>2.1.4.6</w:t>
        </w:r>
        <w:r w:rsidR="00F54E2C">
          <w:rPr>
            <w:rFonts w:asciiTheme="minorHAnsi" w:eastAsiaTheme="minorEastAsia" w:hAnsiTheme="minorHAnsi" w:cstheme="minorBidi"/>
            <w:noProof/>
            <w:sz w:val="22"/>
            <w:szCs w:val="22"/>
            <w:lang w:val="nb-NO" w:eastAsia="nb-NO"/>
          </w:rPr>
          <w:tab/>
        </w:r>
        <w:r w:rsidR="00F54E2C" w:rsidRPr="00DC78CC">
          <w:rPr>
            <w:rStyle w:val="Hyperkobling"/>
            <w:noProof/>
          </w:rPr>
          <w:t>Where specific to the use, the conditions of storage and shelf-life of the product under normal conditions of storage</w:t>
        </w:r>
        <w:r w:rsidR="00F54E2C">
          <w:rPr>
            <w:noProof/>
            <w:webHidden/>
          </w:rPr>
          <w:tab/>
        </w:r>
        <w:r w:rsidR="00F54E2C">
          <w:rPr>
            <w:noProof/>
            <w:webHidden/>
          </w:rPr>
          <w:fldChar w:fldCharType="begin"/>
        </w:r>
        <w:r w:rsidR="00F54E2C">
          <w:rPr>
            <w:noProof/>
            <w:webHidden/>
          </w:rPr>
          <w:instrText xml:space="preserve"> PAGEREF _Toc66448805 \h </w:instrText>
        </w:r>
        <w:r w:rsidR="00F54E2C">
          <w:rPr>
            <w:noProof/>
            <w:webHidden/>
          </w:rPr>
        </w:r>
        <w:r w:rsidR="00F54E2C">
          <w:rPr>
            <w:noProof/>
            <w:webHidden/>
          </w:rPr>
          <w:fldChar w:fldCharType="separate"/>
        </w:r>
        <w:r w:rsidR="00FF5B6D">
          <w:rPr>
            <w:noProof/>
            <w:webHidden/>
          </w:rPr>
          <w:t>13</w:t>
        </w:r>
        <w:r w:rsidR="00F54E2C">
          <w:rPr>
            <w:noProof/>
            <w:webHidden/>
          </w:rPr>
          <w:fldChar w:fldCharType="end"/>
        </w:r>
      </w:hyperlink>
    </w:p>
    <w:p w14:paraId="5DAF670E" w14:textId="2EAC400B" w:rsidR="00F54E2C" w:rsidRDefault="00661DE6">
      <w:pPr>
        <w:pStyle w:val="INNH3"/>
        <w:tabs>
          <w:tab w:val="left" w:pos="1200"/>
          <w:tab w:val="right" w:leader="dot" w:pos="9062"/>
        </w:tabs>
        <w:rPr>
          <w:rFonts w:asciiTheme="minorHAnsi" w:eastAsiaTheme="minorEastAsia" w:hAnsiTheme="minorHAnsi" w:cstheme="minorBidi"/>
          <w:i w:val="0"/>
          <w:iCs w:val="0"/>
          <w:noProof/>
          <w:sz w:val="22"/>
          <w:szCs w:val="22"/>
          <w:lang w:val="nb-NO" w:eastAsia="nb-NO"/>
        </w:rPr>
      </w:pPr>
      <w:hyperlink w:anchor="_Toc66448806" w:history="1">
        <w:r w:rsidR="00F54E2C" w:rsidRPr="00DC78CC">
          <w:rPr>
            <w:rStyle w:val="Hyperkobling"/>
            <w:noProof/>
            <w14:scene3d>
              <w14:camera w14:prst="orthographicFront"/>
              <w14:lightRig w14:rig="threePt" w14:dir="t">
                <w14:rot w14:lat="0" w14:lon="0" w14:rev="0"/>
              </w14:lightRig>
            </w14:scene3d>
          </w:rPr>
          <w:t>2.1.5</w:t>
        </w:r>
        <w:r w:rsidR="00F54E2C">
          <w:rPr>
            <w:rFonts w:asciiTheme="minorHAnsi" w:eastAsiaTheme="minorEastAsia" w:hAnsiTheme="minorHAnsi" w:cstheme="minorBidi"/>
            <w:i w:val="0"/>
            <w:iCs w:val="0"/>
            <w:noProof/>
            <w:sz w:val="22"/>
            <w:szCs w:val="22"/>
            <w:lang w:val="nb-NO" w:eastAsia="nb-NO"/>
          </w:rPr>
          <w:tab/>
        </w:r>
        <w:r w:rsidR="00F54E2C" w:rsidRPr="00DC78CC">
          <w:rPr>
            <w:rStyle w:val="Hyperkobling"/>
            <w:noProof/>
          </w:rPr>
          <w:t>General directions for use</w:t>
        </w:r>
        <w:r w:rsidR="00F54E2C">
          <w:rPr>
            <w:noProof/>
            <w:webHidden/>
          </w:rPr>
          <w:tab/>
        </w:r>
        <w:r w:rsidR="00F54E2C">
          <w:rPr>
            <w:noProof/>
            <w:webHidden/>
          </w:rPr>
          <w:fldChar w:fldCharType="begin"/>
        </w:r>
        <w:r w:rsidR="00F54E2C">
          <w:rPr>
            <w:noProof/>
            <w:webHidden/>
          </w:rPr>
          <w:instrText xml:space="preserve"> PAGEREF _Toc66448806 \h </w:instrText>
        </w:r>
        <w:r w:rsidR="00F54E2C">
          <w:rPr>
            <w:noProof/>
            <w:webHidden/>
          </w:rPr>
        </w:r>
        <w:r w:rsidR="00F54E2C">
          <w:rPr>
            <w:noProof/>
            <w:webHidden/>
          </w:rPr>
          <w:fldChar w:fldCharType="separate"/>
        </w:r>
        <w:r w:rsidR="00FF5B6D">
          <w:rPr>
            <w:noProof/>
            <w:webHidden/>
          </w:rPr>
          <w:t>13</w:t>
        </w:r>
        <w:r w:rsidR="00F54E2C">
          <w:rPr>
            <w:noProof/>
            <w:webHidden/>
          </w:rPr>
          <w:fldChar w:fldCharType="end"/>
        </w:r>
      </w:hyperlink>
    </w:p>
    <w:p w14:paraId="2D117A66" w14:textId="25031AD9" w:rsidR="00F54E2C" w:rsidRDefault="00661DE6">
      <w:pPr>
        <w:pStyle w:val="INNH4"/>
        <w:tabs>
          <w:tab w:val="left" w:pos="1400"/>
          <w:tab w:val="right" w:leader="dot" w:pos="9062"/>
        </w:tabs>
        <w:rPr>
          <w:rFonts w:asciiTheme="minorHAnsi" w:eastAsiaTheme="minorEastAsia" w:hAnsiTheme="minorHAnsi" w:cstheme="minorBidi"/>
          <w:noProof/>
          <w:sz w:val="22"/>
          <w:szCs w:val="22"/>
          <w:lang w:val="nb-NO" w:eastAsia="nb-NO"/>
        </w:rPr>
      </w:pPr>
      <w:hyperlink w:anchor="_Toc66448807" w:history="1">
        <w:r w:rsidR="00F54E2C" w:rsidRPr="00DC78CC">
          <w:rPr>
            <w:rStyle w:val="Hyperkobling"/>
            <w:noProof/>
          </w:rPr>
          <w:t>2.1.5.1</w:t>
        </w:r>
        <w:r w:rsidR="00F54E2C">
          <w:rPr>
            <w:rFonts w:asciiTheme="minorHAnsi" w:eastAsiaTheme="minorEastAsia" w:hAnsiTheme="minorHAnsi" w:cstheme="minorBidi"/>
            <w:noProof/>
            <w:sz w:val="22"/>
            <w:szCs w:val="22"/>
            <w:lang w:val="nb-NO" w:eastAsia="nb-NO"/>
          </w:rPr>
          <w:tab/>
        </w:r>
        <w:r w:rsidR="00F54E2C" w:rsidRPr="00DC78CC">
          <w:rPr>
            <w:rStyle w:val="Hyperkobling"/>
            <w:noProof/>
          </w:rPr>
          <w:t>Instructions for use</w:t>
        </w:r>
        <w:r w:rsidR="00F54E2C">
          <w:rPr>
            <w:noProof/>
            <w:webHidden/>
          </w:rPr>
          <w:tab/>
        </w:r>
        <w:r w:rsidR="00F54E2C">
          <w:rPr>
            <w:noProof/>
            <w:webHidden/>
          </w:rPr>
          <w:fldChar w:fldCharType="begin"/>
        </w:r>
        <w:r w:rsidR="00F54E2C">
          <w:rPr>
            <w:noProof/>
            <w:webHidden/>
          </w:rPr>
          <w:instrText xml:space="preserve"> PAGEREF _Toc66448807 \h </w:instrText>
        </w:r>
        <w:r w:rsidR="00F54E2C">
          <w:rPr>
            <w:noProof/>
            <w:webHidden/>
          </w:rPr>
        </w:r>
        <w:r w:rsidR="00F54E2C">
          <w:rPr>
            <w:noProof/>
            <w:webHidden/>
          </w:rPr>
          <w:fldChar w:fldCharType="separate"/>
        </w:r>
        <w:r w:rsidR="00FF5B6D">
          <w:rPr>
            <w:noProof/>
            <w:webHidden/>
          </w:rPr>
          <w:t>13</w:t>
        </w:r>
        <w:r w:rsidR="00F54E2C">
          <w:rPr>
            <w:noProof/>
            <w:webHidden/>
          </w:rPr>
          <w:fldChar w:fldCharType="end"/>
        </w:r>
      </w:hyperlink>
    </w:p>
    <w:p w14:paraId="12916DA1" w14:textId="75FDAABD" w:rsidR="00F54E2C" w:rsidRDefault="00661DE6">
      <w:pPr>
        <w:pStyle w:val="INNH4"/>
        <w:tabs>
          <w:tab w:val="left" w:pos="1400"/>
          <w:tab w:val="right" w:leader="dot" w:pos="9062"/>
        </w:tabs>
        <w:rPr>
          <w:rFonts w:asciiTheme="minorHAnsi" w:eastAsiaTheme="minorEastAsia" w:hAnsiTheme="minorHAnsi" w:cstheme="minorBidi"/>
          <w:noProof/>
          <w:sz w:val="22"/>
          <w:szCs w:val="22"/>
          <w:lang w:val="nb-NO" w:eastAsia="nb-NO"/>
        </w:rPr>
      </w:pPr>
      <w:hyperlink w:anchor="_Toc66448808" w:history="1">
        <w:r w:rsidR="00F54E2C" w:rsidRPr="00DC78CC">
          <w:rPr>
            <w:rStyle w:val="Hyperkobling"/>
            <w:noProof/>
          </w:rPr>
          <w:t>2.1.5.2</w:t>
        </w:r>
        <w:r w:rsidR="00F54E2C">
          <w:rPr>
            <w:rFonts w:asciiTheme="minorHAnsi" w:eastAsiaTheme="minorEastAsia" w:hAnsiTheme="minorHAnsi" w:cstheme="minorBidi"/>
            <w:noProof/>
            <w:sz w:val="22"/>
            <w:szCs w:val="22"/>
            <w:lang w:val="nb-NO" w:eastAsia="nb-NO"/>
          </w:rPr>
          <w:tab/>
        </w:r>
        <w:r w:rsidR="00F54E2C" w:rsidRPr="00DC78CC">
          <w:rPr>
            <w:rStyle w:val="Hyperkobling"/>
            <w:noProof/>
          </w:rPr>
          <w:t>Risk mitigation measures</w:t>
        </w:r>
        <w:r w:rsidR="00F54E2C">
          <w:rPr>
            <w:noProof/>
            <w:webHidden/>
          </w:rPr>
          <w:tab/>
        </w:r>
        <w:r w:rsidR="00F54E2C">
          <w:rPr>
            <w:noProof/>
            <w:webHidden/>
          </w:rPr>
          <w:fldChar w:fldCharType="begin"/>
        </w:r>
        <w:r w:rsidR="00F54E2C">
          <w:rPr>
            <w:noProof/>
            <w:webHidden/>
          </w:rPr>
          <w:instrText xml:space="preserve"> PAGEREF _Toc66448808 \h </w:instrText>
        </w:r>
        <w:r w:rsidR="00F54E2C">
          <w:rPr>
            <w:noProof/>
            <w:webHidden/>
          </w:rPr>
        </w:r>
        <w:r w:rsidR="00F54E2C">
          <w:rPr>
            <w:noProof/>
            <w:webHidden/>
          </w:rPr>
          <w:fldChar w:fldCharType="separate"/>
        </w:r>
        <w:r w:rsidR="00FF5B6D">
          <w:rPr>
            <w:noProof/>
            <w:webHidden/>
          </w:rPr>
          <w:t>14</w:t>
        </w:r>
        <w:r w:rsidR="00F54E2C">
          <w:rPr>
            <w:noProof/>
            <w:webHidden/>
          </w:rPr>
          <w:fldChar w:fldCharType="end"/>
        </w:r>
      </w:hyperlink>
    </w:p>
    <w:p w14:paraId="70277368" w14:textId="5CD281E8" w:rsidR="00F54E2C" w:rsidRDefault="00661DE6">
      <w:pPr>
        <w:pStyle w:val="INNH4"/>
        <w:tabs>
          <w:tab w:val="left" w:pos="1400"/>
          <w:tab w:val="right" w:leader="dot" w:pos="9062"/>
        </w:tabs>
        <w:rPr>
          <w:rFonts w:asciiTheme="minorHAnsi" w:eastAsiaTheme="minorEastAsia" w:hAnsiTheme="minorHAnsi" w:cstheme="minorBidi"/>
          <w:noProof/>
          <w:sz w:val="22"/>
          <w:szCs w:val="22"/>
          <w:lang w:val="nb-NO" w:eastAsia="nb-NO"/>
        </w:rPr>
      </w:pPr>
      <w:hyperlink w:anchor="_Toc66448809" w:history="1">
        <w:r w:rsidR="00F54E2C" w:rsidRPr="00DC78CC">
          <w:rPr>
            <w:rStyle w:val="Hyperkobling"/>
            <w:noProof/>
          </w:rPr>
          <w:t>2.1.5.3</w:t>
        </w:r>
        <w:r w:rsidR="00F54E2C">
          <w:rPr>
            <w:rFonts w:asciiTheme="minorHAnsi" w:eastAsiaTheme="minorEastAsia" w:hAnsiTheme="minorHAnsi" w:cstheme="minorBidi"/>
            <w:noProof/>
            <w:sz w:val="22"/>
            <w:szCs w:val="22"/>
            <w:lang w:val="nb-NO" w:eastAsia="nb-NO"/>
          </w:rPr>
          <w:tab/>
        </w:r>
        <w:r w:rsidR="00F54E2C" w:rsidRPr="00DC78CC">
          <w:rPr>
            <w:rStyle w:val="Hyperkobling"/>
            <w:noProof/>
          </w:rPr>
          <w:t>Particulars of likely direct or indirect effects, first aid instructions and emergency measures to protect the environment</w:t>
        </w:r>
        <w:r w:rsidR="00F54E2C">
          <w:rPr>
            <w:noProof/>
            <w:webHidden/>
          </w:rPr>
          <w:tab/>
        </w:r>
        <w:r w:rsidR="00F54E2C">
          <w:rPr>
            <w:noProof/>
            <w:webHidden/>
          </w:rPr>
          <w:fldChar w:fldCharType="begin"/>
        </w:r>
        <w:r w:rsidR="00F54E2C">
          <w:rPr>
            <w:noProof/>
            <w:webHidden/>
          </w:rPr>
          <w:instrText xml:space="preserve"> PAGEREF _Toc66448809 \h </w:instrText>
        </w:r>
        <w:r w:rsidR="00F54E2C">
          <w:rPr>
            <w:noProof/>
            <w:webHidden/>
          </w:rPr>
        </w:r>
        <w:r w:rsidR="00F54E2C">
          <w:rPr>
            <w:noProof/>
            <w:webHidden/>
          </w:rPr>
          <w:fldChar w:fldCharType="separate"/>
        </w:r>
        <w:r w:rsidR="00FF5B6D">
          <w:rPr>
            <w:noProof/>
            <w:webHidden/>
          </w:rPr>
          <w:t>14</w:t>
        </w:r>
        <w:r w:rsidR="00F54E2C">
          <w:rPr>
            <w:noProof/>
            <w:webHidden/>
          </w:rPr>
          <w:fldChar w:fldCharType="end"/>
        </w:r>
      </w:hyperlink>
    </w:p>
    <w:p w14:paraId="34834648" w14:textId="17AC368C" w:rsidR="00F54E2C" w:rsidRDefault="00661DE6">
      <w:pPr>
        <w:pStyle w:val="INNH4"/>
        <w:tabs>
          <w:tab w:val="left" w:pos="1400"/>
          <w:tab w:val="right" w:leader="dot" w:pos="9062"/>
        </w:tabs>
        <w:rPr>
          <w:rFonts w:asciiTheme="minorHAnsi" w:eastAsiaTheme="minorEastAsia" w:hAnsiTheme="minorHAnsi" w:cstheme="minorBidi"/>
          <w:noProof/>
          <w:sz w:val="22"/>
          <w:szCs w:val="22"/>
          <w:lang w:val="nb-NO" w:eastAsia="nb-NO"/>
        </w:rPr>
      </w:pPr>
      <w:hyperlink w:anchor="_Toc66448810" w:history="1">
        <w:r w:rsidR="00F54E2C" w:rsidRPr="00DC78CC">
          <w:rPr>
            <w:rStyle w:val="Hyperkobling"/>
            <w:noProof/>
          </w:rPr>
          <w:t>2.1.5.4</w:t>
        </w:r>
        <w:r w:rsidR="00F54E2C">
          <w:rPr>
            <w:rFonts w:asciiTheme="minorHAnsi" w:eastAsiaTheme="minorEastAsia" w:hAnsiTheme="minorHAnsi" w:cstheme="minorBidi"/>
            <w:noProof/>
            <w:sz w:val="22"/>
            <w:szCs w:val="22"/>
            <w:lang w:val="nb-NO" w:eastAsia="nb-NO"/>
          </w:rPr>
          <w:tab/>
        </w:r>
        <w:r w:rsidR="00F54E2C" w:rsidRPr="00DC78CC">
          <w:rPr>
            <w:rStyle w:val="Hyperkobling"/>
            <w:noProof/>
          </w:rPr>
          <w:t>Instructions for safe disposal of the product and its packaging</w:t>
        </w:r>
        <w:r w:rsidR="00F54E2C">
          <w:rPr>
            <w:noProof/>
            <w:webHidden/>
          </w:rPr>
          <w:tab/>
        </w:r>
        <w:r w:rsidR="00F54E2C">
          <w:rPr>
            <w:noProof/>
            <w:webHidden/>
          </w:rPr>
          <w:fldChar w:fldCharType="begin"/>
        </w:r>
        <w:r w:rsidR="00F54E2C">
          <w:rPr>
            <w:noProof/>
            <w:webHidden/>
          </w:rPr>
          <w:instrText xml:space="preserve"> PAGEREF _Toc66448810 \h </w:instrText>
        </w:r>
        <w:r w:rsidR="00F54E2C">
          <w:rPr>
            <w:noProof/>
            <w:webHidden/>
          </w:rPr>
        </w:r>
        <w:r w:rsidR="00F54E2C">
          <w:rPr>
            <w:noProof/>
            <w:webHidden/>
          </w:rPr>
          <w:fldChar w:fldCharType="separate"/>
        </w:r>
        <w:r w:rsidR="00FF5B6D">
          <w:rPr>
            <w:noProof/>
            <w:webHidden/>
          </w:rPr>
          <w:t>14</w:t>
        </w:r>
        <w:r w:rsidR="00F54E2C">
          <w:rPr>
            <w:noProof/>
            <w:webHidden/>
          </w:rPr>
          <w:fldChar w:fldCharType="end"/>
        </w:r>
      </w:hyperlink>
    </w:p>
    <w:p w14:paraId="2B2C0868" w14:textId="7B6C2355" w:rsidR="00F54E2C" w:rsidRDefault="00661DE6">
      <w:pPr>
        <w:pStyle w:val="INNH4"/>
        <w:tabs>
          <w:tab w:val="left" w:pos="1400"/>
          <w:tab w:val="right" w:leader="dot" w:pos="9062"/>
        </w:tabs>
        <w:rPr>
          <w:rFonts w:asciiTheme="minorHAnsi" w:eastAsiaTheme="minorEastAsia" w:hAnsiTheme="minorHAnsi" w:cstheme="minorBidi"/>
          <w:noProof/>
          <w:sz w:val="22"/>
          <w:szCs w:val="22"/>
          <w:lang w:val="nb-NO" w:eastAsia="nb-NO"/>
        </w:rPr>
      </w:pPr>
      <w:hyperlink w:anchor="_Toc66448811" w:history="1">
        <w:r w:rsidR="00F54E2C" w:rsidRPr="00DC78CC">
          <w:rPr>
            <w:rStyle w:val="Hyperkobling"/>
            <w:noProof/>
          </w:rPr>
          <w:t>2.1.5.5</w:t>
        </w:r>
        <w:r w:rsidR="00F54E2C">
          <w:rPr>
            <w:rFonts w:asciiTheme="minorHAnsi" w:eastAsiaTheme="minorEastAsia" w:hAnsiTheme="minorHAnsi" w:cstheme="minorBidi"/>
            <w:noProof/>
            <w:sz w:val="22"/>
            <w:szCs w:val="22"/>
            <w:lang w:val="nb-NO" w:eastAsia="nb-NO"/>
          </w:rPr>
          <w:tab/>
        </w:r>
        <w:r w:rsidR="00F54E2C" w:rsidRPr="00DC78CC">
          <w:rPr>
            <w:rStyle w:val="Hyperkobling"/>
            <w:noProof/>
          </w:rPr>
          <w:t>Conditions of storage and shelf-life of the product under normal conditions of storage</w:t>
        </w:r>
        <w:r w:rsidR="00F54E2C">
          <w:rPr>
            <w:noProof/>
            <w:webHidden/>
          </w:rPr>
          <w:tab/>
        </w:r>
        <w:r w:rsidR="00F54E2C">
          <w:rPr>
            <w:noProof/>
            <w:webHidden/>
          </w:rPr>
          <w:fldChar w:fldCharType="begin"/>
        </w:r>
        <w:r w:rsidR="00F54E2C">
          <w:rPr>
            <w:noProof/>
            <w:webHidden/>
          </w:rPr>
          <w:instrText xml:space="preserve"> PAGEREF _Toc66448811 \h </w:instrText>
        </w:r>
        <w:r w:rsidR="00F54E2C">
          <w:rPr>
            <w:noProof/>
            <w:webHidden/>
          </w:rPr>
        </w:r>
        <w:r w:rsidR="00F54E2C">
          <w:rPr>
            <w:noProof/>
            <w:webHidden/>
          </w:rPr>
          <w:fldChar w:fldCharType="separate"/>
        </w:r>
        <w:r w:rsidR="00FF5B6D">
          <w:rPr>
            <w:noProof/>
            <w:webHidden/>
          </w:rPr>
          <w:t>14</w:t>
        </w:r>
        <w:r w:rsidR="00F54E2C">
          <w:rPr>
            <w:noProof/>
            <w:webHidden/>
          </w:rPr>
          <w:fldChar w:fldCharType="end"/>
        </w:r>
      </w:hyperlink>
    </w:p>
    <w:p w14:paraId="534B45DD" w14:textId="1E89CEB9" w:rsidR="00F54E2C" w:rsidRDefault="00661DE6">
      <w:pPr>
        <w:pStyle w:val="INNH3"/>
        <w:tabs>
          <w:tab w:val="left" w:pos="1200"/>
          <w:tab w:val="right" w:leader="dot" w:pos="9062"/>
        </w:tabs>
        <w:rPr>
          <w:rFonts w:asciiTheme="minorHAnsi" w:eastAsiaTheme="minorEastAsia" w:hAnsiTheme="minorHAnsi" w:cstheme="minorBidi"/>
          <w:i w:val="0"/>
          <w:iCs w:val="0"/>
          <w:noProof/>
          <w:sz w:val="22"/>
          <w:szCs w:val="22"/>
          <w:lang w:val="nb-NO" w:eastAsia="nb-NO"/>
        </w:rPr>
      </w:pPr>
      <w:hyperlink w:anchor="_Toc66448812" w:history="1">
        <w:r w:rsidR="00F54E2C" w:rsidRPr="00DC78CC">
          <w:rPr>
            <w:rStyle w:val="Hyperkobling"/>
            <w:noProof/>
            <w14:scene3d>
              <w14:camera w14:prst="orthographicFront"/>
              <w14:lightRig w14:rig="threePt" w14:dir="t">
                <w14:rot w14:lat="0" w14:lon="0" w14:rev="0"/>
              </w14:lightRig>
            </w14:scene3d>
          </w:rPr>
          <w:t>2.1.6</w:t>
        </w:r>
        <w:r w:rsidR="00F54E2C">
          <w:rPr>
            <w:rFonts w:asciiTheme="minorHAnsi" w:eastAsiaTheme="minorEastAsia" w:hAnsiTheme="minorHAnsi" w:cstheme="minorBidi"/>
            <w:i w:val="0"/>
            <w:iCs w:val="0"/>
            <w:noProof/>
            <w:sz w:val="22"/>
            <w:szCs w:val="22"/>
            <w:lang w:val="nb-NO" w:eastAsia="nb-NO"/>
          </w:rPr>
          <w:tab/>
        </w:r>
        <w:r w:rsidR="00F54E2C" w:rsidRPr="00DC78CC">
          <w:rPr>
            <w:rStyle w:val="Hyperkobling"/>
            <w:noProof/>
          </w:rPr>
          <w:t>Other information</w:t>
        </w:r>
        <w:r w:rsidR="00F54E2C">
          <w:rPr>
            <w:noProof/>
            <w:webHidden/>
          </w:rPr>
          <w:tab/>
        </w:r>
        <w:r w:rsidR="00F54E2C">
          <w:rPr>
            <w:noProof/>
            <w:webHidden/>
          </w:rPr>
          <w:fldChar w:fldCharType="begin"/>
        </w:r>
        <w:r w:rsidR="00F54E2C">
          <w:rPr>
            <w:noProof/>
            <w:webHidden/>
          </w:rPr>
          <w:instrText xml:space="preserve"> PAGEREF _Toc66448812 \h </w:instrText>
        </w:r>
        <w:r w:rsidR="00F54E2C">
          <w:rPr>
            <w:noProof/>
            <w:webHidden/>
          </w:rPr>
        </w:r>
        <w:r w:rsidR="00F54E2C">
          <w:rPr>
            <w:noProof/>
            <w:webHidden/>
          </w:rPr>
          <w:fldChar w:fldCharType="separate"/>
        </w:r>
        <w:r w:rsidR="00FF5B6D">
          <w:rPr>
            <w:noProof/>
            <w:webHidden/>
          </w:rPr>
          <w:t>15</w:t>
        </w:r>
        <w:r w:rsidR="00F54E2C">
          <w:rPr>
            <w:noProof/>
            <w:webHidden/>
          </w:rPr>
          <w:fldChar w:fldCharType="end"/>
        </w:r>
      </w:hyperlink>
    </w:p>
    <w:p w14:paraId="09C3FF16" w14:textId="6437ED73" w:rsidR="00F54E2C" w:rsidRDefault="00661DE6">
      <w:pPr>
        <w:pStyle w:val="INNH3"/>
        <w:tabs>
          <w:tab w:val="left" w:pos="1200"/>
          <w:tab w:val="right" w:leader="dot" w:pos="9062"/>
        </w:tabs>
        <w:rPr>
          <w:rFonts w:asciiTheme="minorHAnsi" w:eastAsiaTheme="minorEastAsia" w:hAnsiTheme="minorHAnsi" w:cstheme="minorBidi"/>
          <w:i w:val="0"/>
          <w:iCs w:val="0"/>
          <w:noProof/>
          <w:sz w:val="22"/>
          <w:szCs w:val="22"/>
          <w:lang w:val="nb-NO" w:eastAsia="nb-NO"/>
        </w:rPr>
      </w:pPr>
      <w:hyperlink w:anchor="_Toc66448813" w:history="1">
        <w:r w:rsidR="00F54E2C" w:rsidRPr="00DC78CC">
          <w:rPr>
            <w:rStyle w:val="Hyperkobling"/>
            <w:noProof/>
            <w14:scene3d>
              <w14:camera w14:prst="orthographicFront"/>
              <w14:lightRig w14:rig="threePt" w14:dir="t">
                <w14:rot w14:lat="0" w14:lon="0" w14:rev="0"/>
              </w14:lightRig>
            </w14:scene3d>
          </w:rPr>
          <w:t>2.1.7</w:t>
        </w:r>
        <w:r w:rsidR="00F54E2C">
          <w:rPr>
            <w:rFonts w:asciiTheme="minorHAnsi" w:eastAsiaTheme="minorEastAsia" w:hAnsiTheme="minorHAnsi" w:cstheme="minorBidi"/>
            <w:i w:val="0"/>
            <w:iCs w:val="0"/>
            <w:noProof/>
            <w:sz w:val="22"/>
            <w:szCs w:val="22"/>
            <w:lang w:val="nb-NO" w:eastAsia="nb-NO"/>
          </w:rPr>
          <w:tab/>
        </w:r>
        <w:r w:rsidR="00F54E2C" w:rsidRPr="00DC78CC">
          <w:rPr>
            <w:rStyle w:val="Hyperkobling"/>
            <w:noProof/>
          </w:rPr>
          <w:t>Packaging of the biocidal product</w:t>
        </w:r>
        <w:r w:rsidR="00F54E2C">
          <w:rPr>
            <w:noProof/>
            <w:webHidden/>
          </w:rPr>
          <w:tab/>
        </w:r>
        <w:r w:rsidR="00F54E2C">
          <w:rPr>
            <w:noProof/>
            <w:webHidden/>
          </w:rPr>
          <w:fldChar w:fldCharType="begin"/>
        </w:r>
        <w:r w:rsidR="00F54E2C">
          <w:rPr>
            <w:noProof/>
            <w:webHidden/>
          </w:rPr>
          <w:instrText xml:space="preserve"> PAGEREF _Toc66448813 \h </w:instrText>
        </w:r>
        <w:r w:rsidR="00F54E2C">
          <w:rPr>
            <w:noProof/>
            <w:webHidden/>
          </w:rPr>
        </w:r>
        <w:r w:rsidR="00F54E2C">
          <w:rPr>
            <w:noProof/>
            <w:webHidden/>
          </w:rPr>
          <w:fldChar w:fldCharType="separate"/>
        </w:r>
        <w:r w:rsidR="00FF5B6D">
          <w:rPr>
            <w:noProof/>
            <w:webHidden/>
          </w:rPr>
          <w:t>15</w:t>
        </w:r>
        <w:r w:rsidR="00F54E2C">
          <w:rPr>
            <w:noProof/>
            <w:webHidden/>
          </w:rPr>
          <w:fldChar w:fldCharType="end"/>
        </w:r>
      </w:hyperlink>
    </w:p>
    <w:p w14:paraId="3F1DB3A0" w14:textId="3A59E654" w:rsidR="00F54E2C" w:rsidRDefault="00661DE6">
      <w:pPr>
        <w:pStyle w:val="INNH3"/>
        <w:tabs>
          <w:tab w:val="left" w:pos="1200"/>
          <w:tab w:val="right" w:leader="dot" w:pos="9062"/>
        </w:tabs>
        <w:rPr>
          <w:rFonts w:asciiTheme="minorHAnsi" w:eastAsiaTheme="minorEastAsia" w:hAnsiTheme="minorHAnsi" w:cstheme="minorBidi"/>
          <w:i w:val="0"/>
          <w:iCs w:val="0"/>
          <w:noProof/>
          <w:sz w:val="22"/>
          <w:szCs w:val="22"/>
          <w:lang w:val="nb-NO" w:eastAsia="nb-NO"/>
        </w:rPr>
      </w:pPr>
      <w:hyperlink w:anchor="_Toc66448814" w:history="1">
        <w:r w:rsidR="00F54E2C" w:rsidRPr="00DC78CC">
          <w:rPr>
            <w:rStyle w:val="Hyperkobling"/>
            <w:noProof/>
            <w:lang w:eastAsia="en-US"/>
            <w14:scene3d>
              <w14:camera w14:prst="orthographicFront"/>
              <w14:lightRig w14:rig="threePt" w14:dir="t">
                <w14:rot w14:lat="0" w14:lon="0" w14:rev="0"/>
              </w14:lightRig>
            </w14:scene3d>
          </w:rPr>
          <w:t>2.1.8</w:t>
        </w:r>
        <w:r w:rsidR="00F54E2C">
          <w:rPr>
            <w:rFonts w:asciiTheme="minorHAnsi" w:eastAsiaTheme="minorEastAsia" w:hAnsiTheme="minorHAnsi" w:cstheme="minorBidi"/>
            <w:i w:val="0"/>
            <w:iCs w:val="0"/>
            <w:noProof/>
            <w:sz w:val="22"/>
            <w:szCs w:val="22"/>
            <w:lang w:val="nb-NO" w:eastAsia="nb-NO"/>
          </w:rPr>
          <w:tab/>
        </w:r>
        <w:r w:rsidR="00F54E2C" w:rsidRPr="00DC78CC">
          <w:rPr>
            <w:rStyle w:val="Hyperkobling"/>
            <w:noProof/>
            <w:lang w:eastAsia="en-US"/>
          </w:rPr>
          <w:t>Documentation</w:t>
        </w:r>
        <w:r w:rsidR="00F54E2C">
          <w:rPr>
            <w:noProof/>
            <w:webHidden/>
          </w:rPr>
          <w:tab/>
        </w:r>
        <w:r w:rsidR="00F54E2C">
          <w:rPr>
            <w:noProof/>
            <w:webHidden/>
          </w:rPr>
          <w:fldChar w:fldCharType="begin"/>
        </w:r>
        <w:r w:rsidR="00F54E2C">
          <w:rPr>
            <w:noProof/>
            <w:webHidden/>
          </w:rPr>
          <w:instrText xml:space="preserve"> PAGEREF _Toc66448814 \h </w:instrText>
        </w:r>
        <w:r w:rsidR="00F54E2C">
          <w:rPr>
            <w:noProof/>
            <w:webHidden/>
          </w:rPr>
        </w:r>
        <w:r w:rsidR="00F54E2C">
          <w:rPr>
            <w:noProof/>
            <w:webHidden/>
          </w:rPr>
          <w:fldChar w:fldCharType="separate"/>
        </w:r>
        <w:r w:rsidR="00FF5B6D">
          <w:rPr>
            <w:noProof/>
            <w:webHidden/>
          </w:rPr>
          <w:t>15</w:t>
        </w:r>
        <w:r w:rsidR="00F54E2C">
          <w:rPr>
            <w:noProof/>
            <w:webHidden/>
          </w:rPr>
          <w:fldChar w:fldCharType="end"/>
        </w:r>
      </w:hyperlink>
    </w:p>
    <w:p w14:paraId="7180E9A6" w14:textId="01E04BCE" w:rsidR="00F54E2C" w:rsidRDefault="00661DE6">
      <w:pPr>
        <w:pStyle w:val="INNH4"/>
        <w:tabs>
          <w:tab w:val="left" w:pos="1400"/>
          <w:tab w:val="right" w:leader="dot" w:pos="9062"/>
        </w:tabs>
        <w:rPr>
          <w:rFonts w:asciiTheme="minorHAnsi" w:eastAsiaTheme="minorEastAsia" w:hAnsiTheme="minorHAnsi" w:cstheme="minorBidi"/>
          <w:noProof/>
          <w:sz w:val="22"/>
          <w:szCs w:val="22"/>
          <w:lang w:val="nb-NO" w:eastAsia="nb-NO"/>
        </w:rPr>
      </w:pPr>
      <w:hyperlink w:anchor="_Toc66448815" w:history="1">
        <w:r w:rsidR="00F54E2C" w:rsidRPr="00DC78CC">
          <w:rPr>
            <w:rStyle w:val="Hyperkobling"/>
            <w:noProof/>
          </w:rPr>
          <w:t>2.1.8.1</w:t>
        </w:r>
        <w:r w:rsidR="00F54E2C">
          <w:rPr>
            <w:rFonts w:asciiTheme="minorHAnsi" w:eastAsiaTheme="minorEastAsia" w:hAnsiTheme="minorHAnsi" w:cstheme="minorBidi"/>
            <w:noProof/>
            <w:sz w:val="22"/>
            <w:szCs w:val="22"/>
            <w:lang w:val="nb-NO" w:eastAsia="nb-NO"/>
          </w:rPr>
          <w:tab/>
        </w:r>
        <w:r w:rsidR="00F54E2C" w:rsidRPr="00DC78CC">
          <w:rPr>
            <w:rStyle w:val="Hyperkobling"/>
            <w:noProof/>
          </w:rPr>
          <w:t>Data submitted in relation to product application</w:t>
        </w:r>
        <w:r w:rsidR="00F54E2C">
          <w:rPr>
            <w:noProof/>
            <w:webHidden/>
          </w:rPr>
          <w:tab/>
        </w:r>
        <w:r w:rsidR="00F54E2C">
          <w:rPr>
            <w:noProof/>
            <w:webHidden/>
          </w:rPr>
          <w:fldChar w:fldCharType="begin"/>
        </w:r>
        <w:r w:rsidR="00F54E2C">
          <w:rPr>
            <w:noProof/>
            <w:webHidden/>
          </w:rPr>
          <w:instrText xml:space="preserve"> PAGEREF _Toc66448815 \h </w:instrText>
        </w:r>
        <w:r w:rsidR="00F54E2C">
          <w:rPr>
            <w:noProof/>
            <w:webHidden/>
          </w:rPr>
        </w:r>
        <w:r w:rsidR="00F54E2C">
          <w:rPr>
            <w:noProof/>
            <w:webHidden/>
          </w:rPr>
          <w:fldChar w:fldCharType="separate"/>
        </w:r>
        <w:r w:rsidR="00FF5B6D">
          <w:rPr>
            <w:noProof/>
            <w:webHidden/>
          </w:rPr>
          <w:t>15</w:t>
        </w:r>
        <w:r w:rsidR="00F54E2C">
          <w:rPr>
            <w:noProof/>
            <w:webHidden/>
          </w:rPr>
          <w:fldChar w:fldCharType="end"/>
        </w:r>
      </w:hyperlink>
    </w:p>
    <w:p w14:paraId="79906E0D" w14:textId="7809F09D" w:rsidR="00F54E2C" w:rsidRDefault="00661DE6">
      <w:pPr>
        <w:pStyle w:val="INNH4"/>
        <w:tabs>
          <w:tab w:val="left" w:pos="1400"/>
          <w:tab w:val="right" w:leader="dot" w:pos="9062"/>
        </w:tabs>
        <w:rPr>
          <w:rFonts w:asciiTheme="minorHAnsi" w:eastAsiaTheme="minorEastAsia" w:hAnsiTheme="minorHAnsi" w:cstheme="minorBidi"/>
          <w:noProof/>
          <w:sz w:val="22"/>
          <w:szCs w:val="22"/>
          <w:lang w:val="nb-NO" w:eastAsia="nb-NO"/>
        </w:rPr>
      </w:pPr>
      <w:hyperlink w:anchor="_Toc66448816" w:history="1">
        <w:r w:rsidR="00F54E2C" w:rsidRPr="00DC78CC">
          <w:rPr>
            <w:rStyle w:val="Hyperkobling"/>
            <w:noProof/>
          </w:rPr>
          <w:t>2.1.8.2</w:t>
        </w:r>
        <w:r w:rsidR="00F54E2C">
          <w:rPr>
            <w:rFonts w:asciiTheme="minorHAnsi" w:eastAsiaTheme="minorEastAsia" w:hAnsiTheme="minorHAnsi" w:cstheme="minorBidi"/>
            <w:noProof/>
            <w:sz w:val="22"/>
            <w:szCs w:val="22"/>
            <w:lang w:val="nb-NO" w:eastAsia="nb-NO"/>
          </w:rPr>
          <w:tab/>
        </w:r>
        <w:r w:rsidR="00F54E2C" w:rsidRPr="00DC78CC">
          <w:rPr>
            <w:rStyle w:val="Hyperkobling"/>
            <w:noProof/>
          </w:rPr>
          <w:t>Access to documentation</w:t>
        </w:r>
        <w:r w:rsidR="00F54E2C">
          <w:rPr>
            <w:noProof/>
            <w:webHidden/>
          </w:rPr>
          <w:tab/>
        </w:r>
        <w:r w:rsidR="00F54E2C">
          <w:rPr>
            <w:noProof/>
            <w:webHidden/>
          </w:rPr>
          <w:fldChar w:fldCharType="begin"/>
        </w:r>
        <w:r w:rsidR="00F54E2C">
          <w:rPr>
            <w:noProof/>
            <w:webHidden/>
          </w:rPr>
          <w:instrText xml:space="preserve"> PAGEREF _Toc66448816 \h </w:instrText>
        </w:r>
        <w:r w:rsidR="00F54E2C">
          <w:rPr>
            <w:noProof/>
            <w:webHidden/>
          </w:rPr>
        </w:r>
        <w:r w:rsidR="00F54E2C">
          <w:rPr>
            <w:noProof/>
            <w:webHidden/>
          </w:rPr>
          <w:fldChar w:fldCharType="separate"/>
        </w:r>
        <w:r w:rsidR="00FF5B6D">
          <w:rPr>
            <w:noProof/>
            <w:webHidden/>
          </w:rPr>
          <w:t>15</w:t>
        </w:r>
        <w:r w:rsidR="00F54E2C">
          <w:rPr>
            <w:noProof/>
            <w:webHidden/>
          </w:rPr>
          <w:fldChar w:fldCharType="end"/>
        </w:r>
      </w:hyperlink>
    </w:p>
    <w:p w14:paraId="34DAE687" w14:textId="05A53C0D" w:rsidR="00F54E2C" w:rsidRDefault="00661DE6">
      <w:pPr>
        <w:pStyle w:val="INNH2"/>
        <w:tabs>
          <w:tab w:val="left" w:pos="800"/>
          <w:tab w:val="right" w:leader="dot" w:pos="9062"/>
        </w:tabs>
        <w:rPr>
          <w:rFonts w:asciiTheme="minorHAnsi" w:eastAsiaTheme="minorEastAsia" w:hAnsiTheme="minorHAnsi" w:cstheme="minorBidi"/>
          <w:smallCaps w:val="0"/>
          <w:noProof/>
          <w:sz w:val="22"/>
          <w:szCs w:val="22"/>
          <w:lang w:val="nb-NO" w:eastAsia="nb-NO"/>
        </w:rPr>
      </w:pPr>
      <w:hyperlink w:anchor="_Toc66448817" w:history="1">
        <w:r w:rsidR="00F54E2C" w:rsidRPr="00DC78CC">
          <w:rPr>
            <w:rStyle w:val="Hyperkobling"/>
            <w:noProof/>
            <w:lang w:val="de-DE"/>
          </w:rPr>
          <w:t>2.2</w:t>
        </w:r>
        <w:r w:rsidR="00F54E2C">
          <w:rPr>
            <w:rFonts w:asciiTheme="minorHAnsi" w:eastAsiaTheme="minorEastAsia" w:hAnsiTheme="minorHAnsi" w:cstheme="minorBidi"/>
            <w:smallCaps w:val="0"/>
            <w:noProof/>
            <w:sz w:val="22"/>
            <w:szCs w:val="22"/>
            <w:lang w:val="nb-NO" w:eastAsia="nb-NO"/>
          </w:rPr>
          <w:tab/>
        </w:r>
        <w:r w:rsidR="00F54E2C" w:rsidRPr="00DC78CC">
          <w:rPr>
            <w:rStyle w:val="Hyperkobling"/>
            <w:noProof/>
          </w:rPr>
          <w:t>Assessment of the biocidal product family</w:t>
        </w:r>
        <w:r w:rsidR="00F54E2C">
          <w:rPr>
            <w:noProof/>
            <w:webHidden/>
          </w:rPr>
          <w:tab/>
        </w:r>
        <w:r w:rsidR="00F54E2C">
          <w:rPr>
            <w:noProof/>
            <w:webHidden/>
          </w:rPr>
          <w:fldChar w:fldCharType="begin"/>
        </w:r>
        <w:r w:rsidR="00F54E2C">
          <w:rPr>
            <w:noProof/>
            <w:webHidden/>
          </w:rPr>
          <w:instrText xml:space="preserve"> PAGEREF _Toc66448817 \h </w:instrText>
        </w:r>
        <w:r w:rsidR="00F54E2C">
          <w:rPr>
            <w:noProof/>
            <w:webHidden/>
          </w:rPr>
        </w:r>
        <w:r w:rsidR="00F54E2C">
          <w:rPr>
            <w:noProof/>
            <w:webHidden/>
          </w:rPr>
          <w:fldChar w:fldCharType="separate"/>
        </w:r>
        <w:r w:rsidR="00FF5B6D">
          <w:rPr>
            <w:noProof/>
            <w:webHidden/>
          </w:rPr>
          <w:t>15</w:t>
        </w:r>
        <w:r w:rsidR="00F54E2C">
          <w:rPr>
            <w:noProof/>
            <w:webHidden/>
          </w:rPr>
          <w:fldChar w:fldCharType="end"/>
        </w:r>
      </w:hyperlink>
    </w:p>
    <w:p w14:paraId="4CCAA1FB" w14:textId="4CC7F80D" w:rsidR="00F54E2C" w:rsidRDefault="00661DE6">
      <w:pPr>
        <w:pStyle w:val="INNH3"/>
        <w:tabs>
          <w:tab w:val="left" w:pos="1200"/>
          <w:tab w:val="right" w:leader="dot" w:pos="9062"/>
        </w:tabs>
        <w:rPr>
          <w:rFonts w:asciiTheme="minorHAnsi" w:eastAsiaTheme="minorEastAsia" w:hAnsiTheme="minorHAnsi" w:cstheme="minorBidi"/>
          <w:i w:val="0"/>
          <w:iCs w:val="0"/>
          <w:noProof/>
          <w:sz w:val="22"/>
          <w:szCs w:val="22"/>
          <w:lang w:val="nb-NO" w:eastAsia="nb-NO"/>
        </w:rPr>
      </w:pPr>
      <w:hyperlink w:anchor="_Toc66448818" w:history="1">
        <w:r w:rsidR="00F54E2C" w:rsidRPr="00DC78CC">
          <w:rPr>
            <w:rStyle w:val="Hyperkobling"/>
            <w:noProof/>
            <w14:scene3d>
              <w14:camera w14:prst="orthographicFront"/>
              <w14:lightRig w14:rig="threePt" w14:dir="t">
                <w14:rot w14:lat="0" w14:lon="0" w14:rev="0"/>
              </w14:lightRig>
            </w14:scene3d>
          </w:rPr>
          <w:t>2.2.1</w:t>
        </w:r>
        <w:r w:rsidR="00F54E2C">
          <w:rPr>
            <w:rFonts w:asciiTheme="minorHAnsi" w:eastAsiaTheme="minorEastAsia" w:hAnsiTheme="minorHAnsi" w:cstheme="minorBidi"/>
            <w:i w:val="0"/>
            <w:iCs w:val="0"/>
            <w:noProof/>
            <w:sz w:val="22"/>
            <w:szCs w:val="22"/>
            <w:lang w:val="nb-NO" w:eastAsia="nb-NO"/>
          </w:rPr>
          <w:tab/>
        </w:r>
        <w:r w:rsidR="00F54E2C" w:rsidRPr="00DC78CC">
          <w:rPr>
            <w:rStyle w:val="Hyperkobling"/>
            <w:noProof/>
          </w:rPr>
          <w:t>Intended use(s) as applied for by the applicant</w:t>
        </w:r>
        <w:r w:rsidR="00F54E2C">
          <w:rPr>
            <w:noProof/>
            <w:webHidden/>
          </w:rPr>
          <w:tab/>
        </w:r>
        <w:r w:rsidR="00F54E2C">
          <w:rPr>
            <w:noProof/>
            <w:webHidden/>
          </w:rPr>
          <w:fldChar w:fldCharType="begin"/>
        </w:r>
        <w:r w:rsidR="00F54E2C">
          <w:rPr>
            <w:noProof/>
            <w:webHidden/>
          </w:rPr>
          <w:instrText xml:space="preserve"> PAGEREF _Toc66448818 \h </w:instrText>
        </w:r>
        <w:r w:rsidR="00F54E2C">
          <w:rPr>
            <w:noProof/>
            <w:webHidden/>
          </w:rPr>
        </w:r>
        <w:r w:rsidR="00F54E2C">
          <w:rPr>
            <w:noProof/>
            <w:webHidden/>
          </w:rPr>
          <w:fldChar w:fldCharType="separate"/>
        </w:r>
        <w:r w:rsidR="00FF5B6D">
          <w:rPr>
            <w:noProof/>
            <w:webHidden/>
          </w:rPr>
          <w:t>15</w:t>
        </w:r>
        <w:r w:rsidR="00F54E2C">
          <w:rPr>
            <w:noProof/>
            <w:webHidden/>
          </w:rPr>
          <w:fldChar w:fldCharType="end"/>
        </w:r>
      </w:hyperlink>
    </w:p>
    <w:p w14:paraId="14B50B54" w14:textId="16290B60" w:rsidR="00F54E2C" w:rsidRDefault="00661DE6">
      <w:pPr>
        <w:pStyle w:val="INNH3"/>
        <w:tabs>
          <w:tab w:val="left" w:pos="1200"/>
          <w:tab w:val="right" w:leader="dot" w:pos="9062"/>
        </w:tabs>
        <w:rPr>
          <w:rFonts w:asciiTheme="minorHAnsi" w:eastAsiaTheme="minorEastAsia" w:hAnsiTheme="minorHAnsi" w:cstheme="minorBidi"/>
          <w:i w:val="0"/>
          <w:iCs w:val="0"/>
          <w:noProof/>
          <w:sz w:val="22"/>
          <w:szCs w:val="22"/>
          <w:lang w:val="nb-NO" w:eastAsia="nb-NO"/>
        </w:rPr>
      </w:pPr>
      <w:hyperlink w:anchor="_Toc66448819" w:history="1">
        <w:r w:rsidR="00F54E2C" w:rsidRPr="00DC78CC">
          <w:rPr>
            <w:rStyle w:val="Hyperkobling"/>
            <w:noProof/>
            <w14:scene3d>
              <w14:camera w14:prst="orthographicFront"/>
              <w14:lightRig w14:rig="threePt" w14:dir="t">
                <w14:rot w14:lat="0" w14:lon="0" w14:rev="0"/>
              </w14:lightRig>
            </w14:scene3d>
          </w:rPr>
          <w:t>2.2.2</w:t>
        </w:r>
        <w:r w:rsidR="00F54E2C">
          <w:rPr>
            <w:rFonts w:asciiTheme="minorHAnsi" w:eastAsiaTheme="minorEastAsia" w:hAnsiTheme="minorHAnsi" w:cstheme="minorBidi"/>
            <w:i w:val="0"/>
            <w:iCs w:val="0"/>
            <w:noProof/>
            <w:sz w:val="22"/>
            <w:szCs w:val="22"/>
            <w:lang w:val="nb-NO" w:eastAsia="nb-NO"/>
          </w:rPr>
          <w:tab/>
        </w:r>
        <w:r w:rsidR="00F54E2C" w:rsidRPr="00DC78CC">
          <w:rPr>
            <w:rStyle w:val="Hyperkobling"/>
            <w:noProof/>
          </w:rPr>
          <w:t>Physical, chemical and technical properties</w:t>
        </w:r>
        <w:r w:rsidR="00F54E2C">
          <w:rPr>
            <w:noProof/>
            <w:webHidden/>
          </w:rPr>
          <w:tab/>
        </w:r>
        <w:r w:rsidR="00F54E2C">
          <w:rPr>
            <w:noProof/>
            <w:webHidden/>
          </w:rPr>
          <w:fldChar w:fldCharType="begin"/>
        </w:r>
        <w:r w:rsidR="00F54E2C">
          <w:rPr>
            <w:noProof/>
            <w:webHidden/>
          </w:rPr>
          <w:instrText xml:space="preserve"> PAGEREF _Toc66448819 \h </w:instrText>
        </w:r>
        <w:r w:rsidR="00F54E2C">
          <w:rPr>
            <w:noProof/>
            <w:webHidden/>
          </w:rPr>
        </w:r>
        <w:r w:rsidR="00F54E2C">
          <w:rPr>
            <w:noProof/>
            <w:webHidden/>
          </w:rPr>
          <w:fldChar w:fldCharType="separate"/>
        </w:r>
        <w:r w:rsidR="00FF5B6D">
          <w:rPr>
            <w:noProof/>
            <w:webHidden/>
          </w:rPr>
          <w:t>16</w:t>
        </w:r>
        <w:r w:rsidR="00F54E2C">
          <w:rPr>
            <w:noProof/>
            <w:webHidden/>
          </w:rPr>
          <w:fldChar w:fldCharType="end"/>
        </w:r>
      </w:hyperlink>
    </w:p>
    <w:p w14:paraId="008053A3" w14:textId="60B09953" w:rsidR="00F54E2C" w:rsidRDefault="00661DE6">
      <w:pPr>
        <w:pStyle w:val="INNH3"/>
        <w:tabs>
          <w:tab w:val="left" w:pos="1200"/>
          <w:tab w:val="right" w:leader="dot" w:pos="9062"/>
        </w:tabs>
        <w:rPr>
          <w:rFonts w:asciiTheme="minorHAnsi" w:eastAsiaTheme="minorEastAsia" w:hAnsiTheme="minorHAnsi" w:cstheme="minorBidi"/>
          <w:i w:val="0"/>
          <w:iCs w:val="0"/>
          <w:noProof/>
          <w:sz w:val="22"/>
          <w:szCs w:val="22"/>
          <w:lang w:val="nb-NO" w:eastAsia="nb-NO"/>
        </w:rPr>
      </w:pPr>
      <w:hyperlink w:anchor="_Toc66448820" w:history="1">
        <w:r w:rsidR="00F54E2C" w:rsidRPr="00DC78CC">
          <w:rPr>
            <w:rStyle w:val="Hyperkobling"/>
            <w:noProof/>
            <w14:scene3d>
              <w14:camera w14:prst="orthographicFront"/>
              <w14:lightRig w14:rig="threePt" w14:dir="t">
                <w14:rot w14:lat="0" w14:lon="0" w14:rev="0"/>
              </w14:lightRig>
            </w14:scene3d>
          </w:rPr>
          <w:t>2.2.3</w:t>
        </w:r>
        <w:r w:rsidR="00F54E2C">
          <w:rPr>
            <w:rFonts w:asciiTheme="minorHAnsi" w:eastAsiaTheme="minorEastAsia" w:hAnsiTheme="minorHAnsi" w:cstheme="minorBidi"/>
            <w:i w:val="0"/>
            <w:iCs w:val="0"/>
            <w:noProof/>
            <w:sz w:val="22"/>
            <w:szCs w:val="22"/>
            <w:lang w:val="nb-NO" w:eastAsia="nb-NO"/>
          </w:rPr>
          <w:tab/>
        </w:r>
        <w:r w:rsidR="00F54E2C" w:rsidRPr="00DC78CC">
          <w:rPr>
            <w:rStyle w:val="Hyperkobling"/>
            <w:noProof/>
          </w:rPr>
          <w:t>Physical hazards and respective characteristics</w:t>
        </w:r>
        <w:r w:rsidR="00F54E2C">
          <w:rPr>
            <w:noProof/>
            <w:webHidden/>
          </w:rPr>
          <w:tab/>
        </w:r>
        <w:r w:rsidR="00F54E2C">
          <w:rPr>
            <w:noProof/>
            <w:webHidden/>
          </w:rPr>
          <w:fldChar w:fldCharType="begin"/>
        </w:r>
        <w:r w:rsidR="00F54E2C">
          <w:rPr>
            <w:noProof/>
            <w:webHidden/>
          </w:rPr>
          <w:instrText xml:space="preserve"> PAGEREF _Toc66448820 \h </w:instrText>
        </w:r>
        <w:r w:rsidR="00F54E2C">
          <w:rPr>
            <w:noProof/>
            <w:webHidden/>
          </w:rPr>
        </w:r>
        <w:r w:rsidR="00F54E2C">
          <w:rPr>
            <w:noProof/>
            <w:webHidden/>
          </w:rPr>
          <w:fldChar w:fldCharType="separate"/>
        </w:r>
        <w:r w:rsidR="00FF5B6D">
          <w:rPr>
            <w:noProof/>
            <w:webHidden/>
          </w:rPr>
          <w:t>22</w:t>
        </w:r>
        <w:r w:rsidR="00F54E2C">
          <w:rPr>
            <w:noProof/>
            <w:webHidden/>
          </w:rPr>
          <w:fldChar w:fldCharType="end"/>
        </w:r>
      </w:hyperlink>
    </w:p>
    <w:p w14:paraId="56153794" w14:textId="2853D6BF" w:rsidR="00F54E2C" w:rsidRDefault="00661DE6">
      <w:pPr>
        <w:pStyle w:val="INNH3"/>
        <w:tabs>
          <w:tab w:val="left" w:pos="1200"/>
          <w:tab w:val="right" w:leader="dot" w:pos="9062"/>
        </w:tabs>
        <w:rPr>
          <w:rFonts w:asciiTheme="minorHAnsi" w:eastAsiaTheme="minorEastAsia" w:hAnsiTheme="minorHAnsi" w:cstheme="minorBidi"/>
          <w:i w:val="0"/>
          <w:iCs w:val="0"/>
          <w:noProof/>
          <w:sz w:val="22"/>
          <w:szCs w:val="22"/>
          <w:lang w:val="nb-NO" w:eastAsia="nb-NO"/>
        </w:rPr>
      </w:pPr>
      <w:hyperlink w:anchor="_Toc66448821" w:history="1">
        <w:r w:rsidR="00F54E2C" w:rsidRPr="00DC78CC">
          <w:rPr>
            <w:rStyle w:val="Hyperkobling"/>
            <w:noProof/>
            <w14:scene3d>
              <w14:camera w14:prst="orthographicFront"/>
              <w14:lightRig w14:rig="threePt" w14:dir="t">
                <w14:rot w14:lat="0" w14:lon="0" w14:rev="0"/>
              </w14:lightRig>
            </w14:scene3d>
          </w:rPr>
          <w:t>2.2.4</w:t>
        </w:r>
        <w:r w:rsidR="00F54E2C">
          <w:rPr>
            <w:rFonts w:asciiTheme="minorHAnsi" w:eastAsiaTheme="minorEastAsia" w:hAnsiTheme="minorHAnsi" w:cstheme="minorBidi"/>
            <w:i w:val="0"/>
            <w:iCs w:val="0"/>
            <w:noProof/>
            <w:sz w:val="22"/>
            <w:szCs w:val="22"/>
            <w:lang w:val="nb-NO" w:eastAsia="nb-NO"/>
          </w:rPr>
          <w:tab/>
        </w:r>
        <w:r w:rsidR="00F54E2C" w:rsidRPr="00DC78CC">
          <w:rPr>
            <w:rStyle w:val="Hyperkobling"/>
            <w:noProof/>
          </w:rPr>
          <w:t>Methods for detection and identification</w:t>
        </w:r>
        <w:r w:rsidR="00F54E2C">
          <w:rPr>
            <w:noProof/>
            <w:webHidden/>
          </w:rPr>
          <w:tab/>
        </w:r>
        <w:r w:rsidR="00F54E2C">
          <w:rPr>
            <w:noProof/>
            <w:webHidden/>
          </w:rPr>
          <w:fldChar w:fldCharType="begin"/>
        </w:r>
        <w:r w:rsidR="00F54E2C">
          <w:rPr>
            <w:noProof/>
            <w:webHidden/>
          </w:rPr>
          <w:instrText xml:space="preserve"> PAGEREF _Toc66448821 \h </w:instrText>
        </w:r>
        <w:r w:rsidR="00F54E2C">
          <w:rPr>
            <w:noProof/>
            <w:webHidden/>
          </w:rPr>
        </w:r>
        <w:r w:rsidR="00F54E2C">
          <w:rPr>
            <w:noProof/>
            <w:webHidden/>
          </w:rPr>
          <w:fldChar w:fldCharType="separate"/>
        </w:r>
        <w:r w:rsidR="00FF5B6D">
          <w:rPr>
            <w:noProof/>
            <w:webHidden/>
          </w:rPr>
          <w:t>24</w:t>
        </w:r>
        <w:r w:rsidR="00F54E2C">
          <w:rPr>
            <w:noProof/>
            <w:webHidden/>
          </w:rPr>
          <w:fldChar w:fldCharType="end"/>
        </w:r>
      </w:hyperlink>
    </w:p>
    <w:p w14:paraId="07021EC8" w14:textId="58389166" w:rsidR="00F54E2C" w:rsidRDefault="00661DE6">
      <w:pPr>
        <w:pStyle w:val="INNH3"/>
        <w:tabs>
          <w:tab w:val="left" w:pos="1200"/>
          <w:tab w:val="right" w:leader="dot" w:pos="9062"/>
        </w:tabs>
        <w:rPr>
          <w:rFonts w:asciiTheme="minorHAnsi" w:eastAsiaTheme="minorEastAsia" w:hAnsiTheme="minorHAnsi" w:cstheme="minorBidi"/>
          <w:i w:val="0"/>
          <w:iCs w:val="0"/>
          <w:noProof/>
          <w:sz w:val="22"/>
          <w:szCs w:val="22"/>
          <w:lang w:val="nb-NO" w:eastAsia="nb-NO"/>
        </w:rPr>
      </w:pPr>
      <w:hyperlink w:anchor="_Toc66448822" w:history="1">
        <w:r w:rsidR="00F54E2C" w:rsidRPr="00DC78CC">
          <w:rPr>
            <w:rStyle w:val="Hyperkobling"/>
            <w:noProof/>
            <w14:scene3d>
              <w14:camera w14:prst="orthographicFront"/>
              <w14:lightRig w14:rig="threePt" w14:dir="t">
                <w14:rot w14:lat="0" w14:lon="0" w14:rev="0"/>
              </w14:lightRig>
            </w14:scene3d>
          </w:rPr>
          <w:t>2.2.5</w:t>
        </w:r>
        <w:r w:rsidR="00F54E2C">
          <w:rPr>
            <w:rFonts w:asciiTheme="minorHAnsi" w:eastAsiaTheme="minorEastAsia" w:hAnsiTheme="minorHAnsi" w:cstheme="minorBidi"/>
            <w:i w:val="0"/>
            <w:iCs w:val="0"/>
            <w:noProof/>
            <w:sz w:val="22"/>
            <w:szCs w:val="22"/>
            <w:lang w:val="nb-NO" w:eastAsia="nb-NO"/>
          </w:rPr>
          <w:tab/>
        </w:r>
        <w:r w:rsidR="00F54E2C" w:rsidRPr="00DC78CC">
          <w:rPr>
            <w:rStyle w:val="Hyperkobling"/>
            <w:noProof/>
          </w:rPr>
          <w:t>Efficacy against target organisms</w:t>
        </w:r>
        <w:r w:rsidR="00F54E2C">
          <w:rPr>
            <w:noProof/>
            <w:webHidden/>
          </w:rPr>
          <w:tab/>
        </w:r>
        <w:r w:rsidR="00F54E2C">
          <w:rPr>
            <w:noProof/>
            <w:webHidden/>
          </w:rPr>
          <w:fldChar w:fldCharType="begin"/>
        </w:r>
        <w:r w:rsidR="00F54E2C">
          <w:rPr>
            <w:noProof/>
            <w:webHidden/>
          </w:rPr>
          <w:instrText xml:space="preserve"> PAGEREF _Toc66448822 \h </w:instrText>
        </w:r>
        <w:r w:rsidR="00F54E2C">
          <w:rPr>
            <w:noProof/>
            <w:webHidden/>
          </w:rPr>
        </w:r>
        <w:r w:rsidR="00F54E2C">
          <w:rPr>
            <w:noProof/>
            <w:webHidden/>
          </w:rPr>
          <w:fldChar w:fldCharType="separate"/>
        </w:r>
        <w:r w:rsidR="00FF5B6D">
          <w:rPr>
            <w:noProof/>
            <w:webHidden/>
          </w:rPr>
          <w:t>26</w:t>
        </w:r>
        <w:r w:rsidR="00F54E2C">
          <w:rPr>
            <w:noProof/>
            <w:webHidden/>
          </w:rPr>
          <w:fldChar w:fldCharType="end"/>
        </w:r>
      </w:hyperlink>
    </w:p>
    <w:p w14:paraId="7763A0D1" w14:textId="59BC00E9" w:rsidR="00F54E2C" w:rsidRDefault="00661DE6">
      <w:pPr>
        <w:pStyle w:val="INNH4"/>
        <w:tabs>
          <w:tab w:val="left" w:pos="1400"/>
          <w:tab w:val="right" w:leader="dot" w:pos="9062"/>
        </w:tabs>
        <w:rPr>
          <w:rFonts w:asciiTheme="minorHAnsi" w:eastAsiaTheme="minorEastAsia" w:hAnsiTheme="minorHAnsi" w:cstheme="minorBidi"/>
          <w:noProof/>
          <w:sz w:val="22"/>
          <w:szCs w:val="22"/>
          <w:lang w:val="nb-NO" w:eastAsia="nb-NO"/>
        </w:rPr>
      </w:pPr>
      <w:hyperlink w:anchor="_Toc66448823" w:history="1">
        <w:r w:rsidR="00F54E2C" w:rsidRPr="00DC78CC">
          <w:rPr>
            <w:rStyle w:val="Hyperkobling"/>
            <w:noProof/>
          </w:rPr>
          <w:t>2.2.5.1</w:t>
        </w:r>
        <w:r w:rsidR="00F54E2C">
          <w:rPr>
            <w:rFonts w:asciiTheme="minorHAnsi" w:eastAsiaTheme="minorEastAsia" w:hAnsiTheme="minorHAnsi" w:cstheme="minorBidi"/>
            <w:noProof/>
            <w:sz w:val="22"/>
            <w:szCs w:val="22"/>
            <w:lang w:val="nb-NO" w:eastAsia="nb-NO"/>
          </w:rPr>
          <w:tab/>
        </w:r>
        <w:r w:rsidR="00F54E2C" w:rsidRPr="00DC78CC">
          <w:rPr>
            <w:rStyle w:val="Hyperkobling"/>
            <w:noProof/>
          </w:rPr>
          <w:t>Function and field of use</w:t>
        </w:r>
        <w:r w:rsidR="00F54E2C">
          <w:rPr>
            <w:noProof/>
            <w:webHidden/>
          </w:rPr>
          <w:tab/>
        </w:r>
        <w:r w:rsidR="00F54E2C">
          <w:rPr>
            <w:noProof/>
            <w:webHidden/>
          </w:rPr>
          <w:fldChar w:fldCharType="begin"/>
        </w:r>
        <w:r w:rsidR="00F54E2C">
          <w:rPr>
            <w:noProof/>
            <w:webHidden/>
          </w:rPr>
          <w:instrText xml:space="preserve"> PAGEREF _Toc66448823 \h </w:instrText>
        </w:r>
        <w:r w:rsidR="00F54E2C">
          <w:rPr>
            <w:noProof/>
            <w:webHidden/>
          </w:rPr>
        </w:r>
        <w:r w:rsidR="00F54E2C">
          <w:rPr>
            <w:noProof/>
            <w:webHidden/>
          </w:rPr>
          <w:fldChar w:fldCharType="separate"/>
        </w:r>
        <w:r w:rsidR="00FF5B6D">
          <w:rPr>
            <w:noProof/>
            <w:webHidden/>
          </w:rPr>
          <w:t>26</w:t>
        </w:r>
        <w:r w:rsidR="00F54E2C">
          <w:rPr>
            <w:noProof/>
            <w:webHidden/>
          </w:rPr>
          <w:fldChar w:fldCharType="end"/>
        </w:r>
      </w:hyperlink>
    </w:p>
    <w:p w14:paraId="441D5AAD" w14:textId="568BF3EB" w:rsidR="00F54E2C" w:rsidRDefault="00661DE6">
      <w:pPr>
        <w:pStyle w:val="INNH4"/>
        <w:tabs>
          <w:tab w:val="left" w:pos="1400"/>
          <w:tab w:val="right" w:leader="dot" w:pos="9062"/>
        </w:tabs>
        <w:rPr>
          <w:rFonts w:asciiTheme="minorHAnsi" w:eastAsiaTheme="minorEastAsia" w:hAnsiTheme="minorHAnsi" w:cstheme="minorBidi"/>
          <w:noProof/>
          <w:sz w:val="22"/>
          <w:szCs w:val="22"/>
          <w:lang w:val="nb-NO" w:eastAsia="nb-NO"/>
        </w:rPr>
      </w:pPr>
      <w:hyperlink w:anchor="_Toc66448824" w:history="1">
        <w:r w:rsidR="00F54E2C" w:rsidRPr="00DC78CC">
          <w:rPr>
            <w:rStyle w:val="Hyperkobling"/>
            <w:noProof/>
          </w:rPr>
          <w:t>2.2.5.2</w:t>
        </w:r>
        <w:r w:rsidR="00F54E2C">
          <w:rPr>
            <w:rFonts w:asciiTheme="minorHAnsi" w:eastAsiaTheme="minorEastAsia" w:hAnsiTheme="minorHAnsi" w:cstheme="minorBidi"/>
            <w:noProof/>
            <w:sz w:val="22"/>
            <w:szCs w:val="22"/>
            <w:lang w:val="nb-NO" w:eastAsia="nb-NO"/>
          </w:rPr>
          <w:tab/>
        </w:r>
        <w:r w:rsidR="00F54E2C" w:rsidRPr="00DC78CC">
          <w:rPr>
            <w:rStyle w:val="Hyperkobling"/>
            <w:noProof/>
          </w:rPr>
          <w:t>Organisms to be controlled and products, organisms or objects to be protected</w:t>
        </w:r>
        <w:r w:rsidR="00F54E2C">
          <w:rPr>
            <w:noProof/>
            <w:webHidden/>
          </w:rPr>
          <w:tab/>
        </w:r>
        <w:r w:rsidR="00F54E2C">
          <w:rPr>
            <w:noProof/>
            <w:webHidden/>
          </w:rPr>
          <w:fldChar w:fldCharType="begin"/>
        </w:r>
        <w:r w:rsidR="00F54E2C">
          <w:rPr>
            <w:noProof/>
            <w:webHidden/>
          </w:rPr>
          <w:instrText xml:space="preserve"> PAGEREF _Toc66448824 \h </w:instrText>
        </w:r>
        <w:r w:rsidR="00F54E2C">
          <w:rPr>
            <w:noProof/>
            <w:webHidden/>
          </w:rPr>
        </w:r>
        <w:r w:rsidR="00F54E2C">
          <w:rPr>
            <w:noProof/>
            <w:webHidden/>
          </w:rPr>
          <w:fldChar w:fldCharType="separate"/>
        </w:r>
        <w:r w:rsidR="00FF5B6D">
          <w:rPr>
            <w:noProof/>
            <w:webHidden/>
          </w:rPr>
          <w:t>26</w:t>
        </w:r>
        <w:r w:rsidR="00F54E2C">
          <w:rPr>
            <w:noProof/>
            <w:webHidden/>
          </w:rPr>
          <w:fldChar w:fldCharType="end"/>
        </w:r>
      </w:hyperlink>
    </w:p>
    <w:p w14:paraId="352C764A" w14:textId="35BAEEDA" w:rsidR="00F54E2C" w:rsidRDefault="00661DE6">
      <w:pPr>
        <w:pStyle w:val="INNH4"/>
        <w:tabs>
          <w:tab w:val="left" w:pos="1400"/>
          <w:tab w:val="right" w:leader="dot" w:pos="9062"/>
        </w:tabs>
        <w:rPr>
          <w:rFonts w:asciiTheme="minorHAnsi" w:eastAsiaTheme="minorEastAsia" w:hAnsiTheme="minorHAnsi" w:cstheme="minorBidi"/>
          <w:noProof/>
          <w:sz w:val="22"/>
          <w:szCs w:val="22"/>
          <w:lang w:val="nb-NO" w:eastAsia="nb-NO"/>
        </w:rPr>
      </w:pPr>
      <w:hyperlink w:anchor="_Toc66448825" w:history="1">
        <w:r w:rsidR="00F54E2C" w:rsidRPr="00DC78CC">
          <w:rPr>
            <w:rStyle w:val="Hyperkobling"/>
            <w:noProof/>
          </w:rPr>
          <w:t>2.2.5.3</w:t>
        </w:r>
        <w:r w:rsidR="00F54E2C">
          <w:rPr>
            <w:rFonts w:asciiTheme="minorHAnsi" w:eastAsiaTheme="minorEastAsia" w:hAnsiTheme="minorHAnsi" w:cstheme="minorBidi"/>
            <w:noProof/>
            <w:sz w:val="22"/>
            <w:szCs w:val="22"/>
            <w:lang w:val="nb-NO" w:eastAsia="nb-NO"/>
          </w:rPr>
          <w:tab/>
        </w:r>
        <w:r w:rsidR="00F54E2C" w:rsidRPr="00DC78CC">
          <w:rPr>
            <w:rStyle w:val="Hyperkobling"/>
            <w:noProof/>
          </w:rPr>
          <w:t>Effects on target organisms, including unacceptable suffering</w:t>
        </w:r>
        <w:r w:rsidR="00F54E2C">
          <w:rPr>
            <w:noProof/>
            <w:webHidden/>
          </w:rPr>
          <w:tab/>
        </w:r>
        <w:r w:rsidR="00F54E2C">
          <w:rPr>
            <w:noProof/>
            <w:webHidden/>
          </w:rPr>
          <w:fldChar w:fldCharType="begin"/>
        </w:r>
        <w:r w:rsidR="00F54E2C">
          <w:rPr>
            <w:noProof/>
            <w:webHidden/>
          </w:rPr>
          <w:instrText xml:space="preserve"> PAGEREF _Toc66448825 \h </w:instrText>
        </w:r>
        <w:r w:rsidR="00F54E2C">
          <w:rPr>
            <w:noProof/>
            <w:webHidden/>
          </w:rPr>
        </w:r>
        <w:r w:rsidR="00F54E2C">
          <w:rPr>
            <w:noProof/>
            <w:webHidden/>
          </w:rPr>
          <w:fldChar w:fldCharType="separate"/>
        </w:r>
        <w:r w:rsidR="00FF5B6D">
          <w:rPr>
            <w:noProof/>
            <w:webHidden/>
          </w:rPr>
          <w:t>26</w:t>
        </w:r>
        <w:r w:rsidR="00F54E2C">
          <w:rPr>
            <w:noProof/>
            <w:webHidden/>
          </w:rPr>
          <w:fldChar w:fldCharType="end"/>
        </w:r>
      </w:hyperlink>
    </w:p>
    <w:p w14:paraId="05C2CDC0" w14:textId="005A53BD" w:rsidR="00F54E2C" w:rsidRDefault="00661DE6">
      <w:pPr>
        <w:pStyle w:val="INNH4"/>
        <w:tabs>
          <w:tab w:val="left" w:pos="1400"/>
          <w:tab w:val="right" w:leader="dot" w:pos="9062"/>
        </w:tabs>
        <w:rPr>
          <w:rFonts w:asciiTheme="minorHAnsi" w:eastAsiaTheme="minorEastAsia" w:hAnsiTheme="minorHAnsi" w:cstheme="minorBidi"/>
          <w:noProof/>
          <w:sz w:val="22"/>
          <w:szCs w:val="22"/>
          <w:lang w:val="nb-NO" w:eastAsia="nb-NO"/>
        </w:rPr>
      </w:pPr>
      <w:hyperlink w:anchor="_Toc66448826" w:history="1">
        <w:r w:rsidR="00F54E2C" w:rsidRPr="00DC78CC">
          <w:rPr>
            <w:rStyle w:val="Hyperkobling"/>
            <w:noProof/>
          </w:rPr>
          <w:t>2.2.5.4</w:t>
        </w:r>
        <w:r w:rsidR="00F54E2C">
          <w:rPr>
            <w:rFonts w:asciiTheme="minorHAnsi" w:eastAsiaTheme="minorEastAsia" w:hAnsiTheme="minorHAnsi" w:cstheme="minorBidi"/>
            <w:noProof/>
            <w:sz w:val="22"/>
            <w:szCs w:val="22"/>
            <w:lang w:val="nb-NO" w:eastAsia="nb-NO"/>
          </w:rPr>
          <w:tab/>
        </w:r>
        <w:r w:rsidR="00F54E2C" w:rsidRPr="00DC78CC">
          <w:rPr>
            <w:rStyle w:val="Hyperkobling"/>
            <w:noProof/>
          </w:rPr>
          <w:t>Mode of action, including time delay</w:t>
        </w:r>
        <w:r w:rsidR="00F54E2C">
          <w:rPr>
            <w:noProof/>
            <w:webHidden/>
          </w:rPr>
          <w:tab/>
        </w:r>
        <w:r w:rsidR="00F54E2C">
          <w:rPr>
            <w:noProof/>
            <w:webHidden/>
          </w:rPr>
          <w:fldChar w:fldCharType="begin"/>
        </w:r>
        <w:r w:rsidR="00F54E2C">
          <w:rPr>
            <w:noProof/>
            <w:webHidden/>
          </w:rPr>
          <w:instrText xml:space="preserve"> PAGEREF _Toc66448826 \h </w:instrText>
        </w:r>
        <w:r w:rsidR="00F54E2C">
          <w:rPr>
            <w:noProof/>
            <w:webHidden/>
          </w:rPr>
        </w:r>
        <w:r w:rsidR="00F54E2C">
          <w:rPr>
            <w:noProof/>
            <w:webHidden/>
          </w:rPr>
          <w:fldChar w:fldCharType="separate"/>
        </w:r>
        <w:r w:rsidR="00FF5B6D">
          <w:rPr>
            <w:noProof/>
            <w:webHidden/>
          </w:rPr>
          <w:t>26</w:t>
        </w:r>
        <w:r w:rsidR="00F54E2C">
          <w:rPr>
            <w:noProof/>
            <w:webHidden/>
          </w:rPr>
          <w:fldChar w:fldCharType="end"/>
        </w:r>
      </w:hyperlink>
    </w:p>
    <w:p w14:paraId="1D5C0290" w14:textId="72183482" w:rsidR="00F54E2C" w:rsidRDefault="00661DE6">
      <w:pPr>
        <w:pStyle w:val="INNH4"/>
        <w:tabs>
          <w:tab w:val="left" w:pos="1400"/>
          <w:tab w:val="right" w:leader="dot" w:pos="9062"/>
        </w:tabs>
        <w:rPr>
          <w:rFonts w:asciiTheme="minorHAnsi" w:eastAsiaTheme="minorEastAsia" w:hAnsiTheme="minorHAnsi" w:cstheme="minorBidi"/>
          <w:noProof/>
          <w:sz w:val="22"/>
          <w:szCs w:val="22"/>
          <w:lang w:val="nb-NO" w:eastAsia="nb-NO"/>
        </w:rPr>
      </w:pPr>
      <w:hyperlink w:anchor="_Toc66448827" w:history="1">
        <w:r w:rsidR="00F54E2C" w:rsidRPr="00DC78CC">
          <w:rPr>
            <w:rStyle w:val="Hyperkobling"/>
            <w:noProof/>
          </w:rPr>
          <w:t>2.2.5.5</w:t>
        </w:r>
        <w:r w:rsidR="00F54E2C">
          <w:rPr>
            <w:rFonts w:asciiTheme="minorHAnsi" w:eastAsiaTheme="minorEastAsia" w:hAnsiTheme="minorHAnsi" w:cstheme="minorBidi"/>
            <w:noProof/>
            <w:sz w:val="22"/>
            <w:szCs w:val="22"/>
            <w:lang w:val="nb-NO" w:eastAsia="nb-NO"/>
          </w:rPr>
          <w:tab/>
        </w:r>
        <w:r w:rsidR="00F54E2C" w:rsidRPr="00DC78CC">
          <w:rPr>
            <w:rStyle w:val="Hyperkobling"/>
            <w:noProof/>
          </w:rPr>
          <w:t>Efficacy data</w:t>
        </w:r>
        <w:r w:rsidR="00F54E2C">
          <w:rPr>
            <w:noProof/>
            <w:webHidden/>
          </w:rPr>
          <w:tab/>
        </w:r>
        <w:r w:rsidR="00F54E2C">
          <w:rPr>
            <w:noProof/>
            <w:webHidden/>
          </w:rPr>
          <w:fldChar w:fldCharType="begin"/>
        </w:r>
        <w:r w:rsidR="00F54E2C">
          <w:rPr>
            <w:noProof/>
            <w:webHidden/>
          </w:rPr>
          <w:instrText xml:space="preserve"> PAGEREF _Toc66448827 \h </w:instrText>
        </w:r>
        <w:r w:rsidR="00F54E2C">
          <w:rPr>
            <w:noProof/>
            <w:webHidden/>
          </w:rPr>
        </w:r>
        <w:r w:rsidR="00F54E2C">
          <w:rPr>
            <w:noProof/>
            <w:webHidden/>
          </w:rPr>
          <w:fldChar w:fldCharType="separate"/>
        </w:r>
        <w:r w:rsidR="00FF5B6D">
          <w:rPr>
            <w:noProof/>
            <w:webHidden/>
          </w:rPr>
          <w:t>26</w:t>
        </w:r>
        <w:r w:rsidR="00F54E2C">
          <w:rPr>
            <w:noProof/>
            <w:webHidden/>
          </w:rPr>
          <w:fldChar w:fldCharType="end"/>
        </w:r>
      </w:hyperlink>
    </w:p>
    <w:p w14:paraId="6DDB108C" w14:textId="05466B18" w:rsidR="00F54E2C" w:rsidRDefault="00661DE6">
      <w:pPr>
        <w:pStyle w:val="INNH4"/>
        <w:tabs>
          <w:tab w:val="left" w:pos="1400"/>
          <w:tab w:val="right" w:leader="dot" w:pos="9062"/>
        </w:tabs>
        <w:rPr>
          <w:rFonts w:asciiTheme="minorHAnsi" w:eastAsiaTheme="minorEastAsia" w:hAnsiTheme="minorHAnsi" w:cstheme="minorBidi"/>
          <w:noProof/>
          <w:sz w:val="22"/>
          <w:szCs w:val="22"/>
          <w:lang w:val="nb-NO" w:eastAsia="nb-NO"/>
        </w:rPr>
      </w:pPr>
      <w:hyperlink w:anchor="_Toc66448828" w:history="1">
        <w:r w:rsidR="00F54E2C" w:rsidRPr="00DC78CC">
          <w:rPr>
            <w:rStyle w:val="Hyperkobling"/>
            <w:noProof/>
          </w:rPr>
          <w:t>2.2.5.6</w:t>
        </w:r>
        <w:r w:rsidR="00F54E2C">
          <w:rPr>
            <w:rFonts w:asciiTheme="minorHAnsi" w:eastAsiaTheme="minorEastAsia" w:hAnsiTheme="minorHAnsi" w:cstheme="minorBidi"/>
            <w:noProof/>
            <w:sz w:val="22"/>
            <w:szCs w:val="22"/>
            <w:lang w:val="nb-NO" w:eastAsia="nb-NO"/>
          </w:rPr>
          <w:tab/>
        </w:r>
        <w:r w:rsidR="00F54E2C" w:rsidRPr="00DC78CC">
          <w:rPr>
            <w:rStyle w:val="Hyperkobling"/>
            <w:noProof/>
          </w:rPr>
          <w:t>Occurrence of resistance and resistance management</w:t>
        </w:r>
        <w:r w:rsidR="00F54E2C">
          <w:rPr>
            <w:noProof/>
            <w:webHidden/>
          </w:rPr>
          <w:tab/>
        </w:r>
        <w:r w:rsidR="00F54E2C">
          <w:rPr>
            <w:noProof/>
            <w:webHidden/>
          </w:rPr>
          <w:fldChar w:fldCharType="begin"/>
        </w:r>
        <w:r w:rsidR="00F54E2C">
          <w:rPr>
            <w:noProof/>
            <w:webHidden/>
          </w:rPr>
          <w:instrText xml:space="preserve"> PAGEREF _Toc66448828 \h </w:instrText>
        </w:r>
        <w:r w:rsidR="00F54E2C">
          <w:rPr>
            <w:noProof/>
            <w:webHidden/>
          </w:rPr>
        </w:r>
        <w:r w:rsidR="00F54E2C">
          <w:rPr>
            <w:noProof/>
            <w:webHidden/>
          </w:rPr>
          <w:fldChar w:fldCharType="separate"/>
        </w:r>
        <w:r w:rsidR="00FF5B6D">
          <w:rPr>
            <w:noProof/>
            <w:webHidden/>
          </w:rPr>
          <w:t>34</w:t>
        </w:r>
        <w:r w:rsidR="00F54E2C">
          <w:rPr>
            <w:noProof/>
            <w:webHidden/>
          </w:rPr>
          <w:fldChar w:fldCharType="end"/>
        </w:r>
      </w:hyperlink>
    </w:p>
    <w:p w14:paraId="0816BA95" w14:textId="520C8946" w:rsidR="00F54E2C" w:rsidRDefault="00661DE6">
      <w:pPr>
        <w:pStyle w:val="INNH4"/>
        <w:tabs>
          <w:tab w:val="left" w:pos="1400"/>
          <w:tab w:val="right" w:leader="dot" w:pos="9062"/>
        </w:tabs>
        <w:rPr>
          <w:rFonts w:asciiTheme="minorHAnsi" w:eastAsiaTheme="minorEastAsia" w:hAnsiTheme="minorHAnsi" w:cstheme="minorBidi"/>
          <w:noProof/>
          <w:sz w:val="22"/>
          <w:szCs w:val="22"/>
          <w:lang w:val="nb-NO" w:eastAsia="nb-NO"/>
        </w:rPr>
      </w:pPr>
      <w:hyperlink w:anchor="_Toc66448829" w:history="1">
        <w:r w:rsidR="00F54E2C" w:rsidRPr="00DC78CC">
          <w:rPr>
            <w:rStyle w:val="Hyperkobling"/>
            <w:noProof/>
          </w:rPr>
          <w:t>2.2.5.7</w:t>
        </w:r>
        <w:r w:rsidR="00F54E2C">
          <w:rPr>
            <w:rFonts w:asciiTheme="minorHAnsi" w:eastAsiaTheme="minorEastAsia" w:hAnsiTheme="minorHAnsi" w:cstheme="minorBidi"/>
            <w:noProof/>
            <w:sz w:val="22"/>
            <w:szCs w:val="22"/>
            <w:lang w:val="nb-NO" w:eastAsia="nb-NO"/>
          </w:rPr>
          <w:tab/>
        </w:r>
        <w:r w:rsidR="00F54E2C" w:rsidRPr="00DC78CC">
          <w:rPr>
            <w:rStyle w:val="Hyperkobling"/>
            <w:noProof/>
          </w:rPr>
          <w:t>Known limitations</w:t>
        </w:r>
        <w:r w:rsidR="00F54E2C">
          <w:rPr>
            <w:noProof/>
            <w:webHidden/>
          </w:rPr>
          <w:tab/>
        </w:r>
        <w:r w:rsidR="00F54E2C">
          <w:rPr>
            <w:noProof/>
            <w:webHidden/>
          </w:rPr>
          <w:fldChar w:fldCharType="begin"/>
        </w:r>
        <w:r w:rsidR="00F54E2C">
          <w:rPr>
            <w:noProof/>
            <w:webHidden/>
          </w:rPr>
          <w:instrText xml:space="preserve"> PAGEREF _Toc66448829 \h </w:instrText>
        </w:r>
        <w:r w:rsidR="00F54E2C">
          <w:rPr>
            <w:noProof/>
            <w:webHidden/>
          </w:rPr>
        </w:r>
        <w:r w:rsidR="00F54E2C">
          <w:rPr>
            <w:noProof/>
            <w:webHidden/>
          </w:rPr>
          <w:fldChar w:fldCharType="separate"/>
        </w:r>
        <w:r w:rsidR="00FF5B6D">
          <w:rPr>
            <w:noProof/>
            <w:webHidden/>
          </w:rPr>
          <w:t>35</w:t>
        </w:r>
        <w:r w:rsidR="00F54E2C">
          <w:rPr>
            <w:noProof/>
            <w:webHidden/>
          </w:rPr>
          <w:fldChar w:fldCharType="end"/>
        </w:r>
      </w:hyperlink>
    </w:p>
    <w:p w14:paraId="6B009302" w14:textId="4F9A7C2A" w:rsidR="00F54E2C" w:rsidRDefault="00661DE6">
      <w:pPr>
        <w:pStyle w:val="INNH4"/>
        <w:tabs>
          <w:tab w:val="left" w:pos="1400"/>
          <w:tab w:val="right" w:leader="dot" w:pos="9062"/>
        </w:tabs>
        <w:rPr>
          <w:rFonts w:asciiTheme="minorHAnsi" w:eastAsiaTheme="minorEastAsia" w:hAnsiTheme="minorHAnsi" w:cstheme="minorBidi"/>
          <w:noProof/>
          <w:sz w:val="22"/>
          <w:szCs w:val="22"/>
          <w:lang w:val="nb-NO" w:eastAsia="nb-NO"/>
        </w:rPr>
      </w:pPr>
      <w:hyperlink w:anchor="_Toc66448830" w:history="1">
        <w:r w:rsidR="00F54E2C" w:rsidRPr="00DC78CC">
          <w:rPr>
            <w:rStyle w:val="Hyperkobling"/>
            <w:noProof/>
          </w:rPr>
          <w:t>2.2.5.8</w:t>
        </w:r>
        <w:r w:rsidR="00F54E2C">
          <w:rPr>
            <w:rFonts w:asciiTheme="minorHAnsi" w:eastAsiaTheme="minorEastAsia" w:hAnsiTheme="minorHAnsi" w:cstheme="minorBidi"/>
            <w:noProof/>
            <w:sz w:val="22"/>
            <w:szCs w:val="22"/>
            <w:lang w:val="nb-NO" w:eastAsia="nb-NO"/>
          </w:rPr>
          <w:tab/>
        </w:r>
        <w:r w:rsidR="00F54E2C" w:rsidRPr="00DC78CC">
          <w:rPr>
            <w:rStyle w:val="Hyperkobling"/>
            <w:noProof/>
          </w:rPr>
          <w:t>Evaluation of the label claims</w:t>
        </w:r>
        <w:r w:rsidR="00F54E2C">
          <w:rPr>
            <w:noProof/>
            <w:webHidden/>
          </w:rPr>
          <w:tab/>
        </w:r>
        <w:r w:rsidR="00F54E2C">
          <w:rPr>
            <w:noProof/>
            <w:webHidden/>
          </w:rPr>
          <w:fldChar w:fldCharType="begin"/>
        </w:r>
        <w:r w:rsidR="00F54E2C">
          <w:rPr>
            <w:noProof/>
            <w:webHidden/>
          </w:rPr>
          <w:instrText xml:space="preserve"> PAGEREF _Toc66448830 \h </w:instrText>
        </w:r>
        <w:r w:rsidR="00F54E2C">
          <w:rPr>
            <w:noProof/>
            <w:webHidden/>
          </w:rPr>
        </w:r>
        <w:r w:rsidR="00F54E2C">
          <w:rPr>
            <w:noProof/>
            <w:webHidden/>
          </w:rPr>
          <w:fldChar w:fldCharType="separate"/>
        </w:r>
        <w:r w:rsidR="00FF5B6D">
          <w:rPr>
            <w:noProof/>
            <w:webHidden/>
          </w:rPr>
          <w:t>35</w:t>
        </w:r>
        <w:r w:rsidR="00F54E2C">
          <w:rPr>
            <w:noProof/>
            <w:webHidden/>
          </w:rPr>
          <w:fldChar w:fldCharType="end"/>
        </w:r>
      </w:hyperlink>
    </w:p>
    <w:p w14:paraId="1014AC5D" w14:textId="5DAD3779" w:rsidR="00F54E2C" w:rsidRDefault="00661DE6">
      <w:pPr>
        <w:pStyle w:val="INNH3"/>
        <w:tabs>
          <w:tab w:val="left" w:pos="1200"/>
          <w:tab w:val="right" w:leader="dot" w:pos="9062"/>
        </w:tabs>
        <w:rPr>
          <w:rFonts w:asciiTheme="minorHAnsi" w:eastAsiaTheme="minorEastAsia" w:hAnsiTheme="minorHAnsi" w:cstheme="minorBidi"/>
          <w:i w:val="0"/>
          <w:iCs w:val="0"/>
          <w:noProof/>
          <w:sz w:val="22"/>
          <w:szCs w:val="22"/>
          <w:lang w:val="nb-NO" w:eastAsia="nb-NO"/>
        </w:rPr>
      </w:pPr>
      <w:hyperlink w:anchor="_Toc66448831" w:history="1">
        <w:r w:rsidR="00F54E2C" w:rsidRPr="00DC78CC">
          <w:rPr>
            <w:rStyle w:val="Hyperkobling"/>
            <w:noProof/>
            <w14:scene3d>
              <w14:camera w14:prst="orthographicFront"/>
              <w14:lightRig w14:rig="threePt" w14:dir="t">
                <w14:rot w14:lat="0" w14:lon="0" w14:rev="0"/>
              </w14:lightRig>
            </w14:scene3d>
          </w:rPr>
          <w:t>2.2.6</w:t>
        </w:r>
        <w:r w:rsidR="00F54E2C">
          <w:rPr>
            <w:rFonts w:asciiTheme="minorHAnsi" w:eastAsiaTheme="minorEastAsia" w:hAnsiTheme="minorHAnsi" w:cstheme="minorBidi"/>
            <w:i w:val="0"/>
            <w:iCs w:val="0"/>
            <w:noProof/>
            <w:sz w:val="22"/>
            <w:szCs w:val="22"/>
            <w:lang w:val="nb-NO" w:eastAsia="nb-NO"/>
          </w:rPr>
          <w:tab/>
        </w:r>
        <w:r w:rsidR="00F54E2C" w:rsidRPr="00DC78CC">
          <w:rPr>
            <w:rStyle w:val="Hyperkobling"/>
            <w:noProof/>
          </w:rPr>
          <w:t>Risk assessment for human health</w:t>
        </w:r>
        <w:r w:rsidR="00F54E2C">
          <w:rPr>
            <w:noProof/>
            <w:webHidden/>
          </w:rPr>
          <w:tab/>
        </w:r>
        <w:r w:rsidR="00F54E2C">
          <w:rPr>
            <w:noProof/>
            <w:webHidden/>
          </w:rPr>
          <w:fldChar w:fldCharType="begin"/>
        </w:r>
        <w:r w:rsidR="00F54E2C">
          <w:rPr>
            <w:noProof/>
            <w:webHidden/>
          </w:rPr>
          <w:instrText xml:space="preserve"> PAGEREF _Toc66448831 \h </w:instrText>
        </w:r>
        <w:r w:rsidR="00F54E2C">
          <w:rPr>
            <w:noProof/>
            <w:webHidden/>
          </w:rPr>
        </w:r>
        <w:r w:rsidR="00F54E2C">
          <w:rPr>
            <w:noProof/>
            <w:webHidden/>
          </w:rPr>
          <w:fldChar w:fldCharType="separate"/>
        </w:r>
        <w:r w:rsidR="00FF5B6D">
          <w:rPr>
            <w:noProof/>
            <w:webHidden/>
          </w:rPr>
          <w:t>35</w:t>
        </w:r>
        <w:r w:rsidR="00F54E2C">
          <w:rPr>
            <w:noProof/>
            <w:webHidden/>
          </w:rPr>
          <w:fldChar w:fldCharType="end"/>
        </w:r>
      </w:hyperlink>
    </w:p>
    <w:p w14:paraId="04253059" w14:textId="076934DA" w:rsidR="00F54E2C" w:rsidRDefault="00661DE6">
      <w:pPr>
        <w:pStyle w:val="INNH4"/>
        <w:tabs>
          <w:tab w:val="left" w:pos="1400"/>
          <w:tab w:val="right" w:leader="dot" w:pos="9062"/>
        </w:tabs>
        <w:rPr>
          <w:rFonts w:asciiTheme="minorHAnsi" w:eastAsiaTheme="minorEastAsia" w:hAnsiTheme="minorHAnsi" w:cstheme="minorBidi"/>
          <w:noProof/>
          <w:sz w:val="22"/>
          <w:szCs w:val="22"/>
          <w:lang w:val="nb-NO" w:eastAsia="nb-NO"/>
        </w:rPr>
      </w:pPr>
      <w:hyperlink w:anchor="_Toc66448832" w:history="1">
        <w:r w:rsidR="00F54E2C" w:rsidRPr="00DC78CC">
          <w:rPr>
            <w:rStyle w:val="Hyperkobling"/>
            <w:noProof/>
          </w:rPr>
          <w:t>2.2.6.1</w:t>
        </w:r>
        <w:r w:rsidR="00F54E2C">
          <w:rPr>
            <w:rFonts w:asciiTheme="minorHAnsi" w:eastAsiaTheme="minorEastAsia" w:hAnsiTheme="minorHAnsi" w:cstheme="minorBidi"/>
            <w:noProof/>
            <w:sz w:val="22"/>
            <w:szCs w:val="22"/>
            <w:lang w:val="nb-NO" w:eastAsia="nb-NO"/>
          </w:rPr>
          <w:tab/>
        </w:r>
        <w:r w:rsidR="00F54E2C" w:rsidRPr="00DC78CC">
          <w:rPr>
            <w:rStyle w:val="Hyperkobling"/>
            <w:noProof/>
          </w:rPr>
          <w:t>Assessment of effects on Human Health</w:t>
        </w:r>
        <w:r w:rsidR="00F54E2C">
          <w:rPr>
            <w:noProof/>
            <w:webHidden/>
          </w:rPr>
          <w:tab/>
        </w:r>
        <w:r w:rsidR="00F54E2C">
          <w:rPr>
            <w:noProof/>
            <w:webHidden/>
          </w:rPr>
          <w:fldChar w:fldCharType="begin"/>
        </w:r>
        <w:r w:rsidR="00F54E2C">
          <w:rPr>
            <w:noProof/>
            <w:webHidden/>
          </w:rPr>
          <w:instrText xml:space="preserve"> PAGEREF _Toc66448832 \h </w:instrText>
        </w:r>
        <w:r w:rsidR="00F54E2C">
          <w:rPr>
            <w:noProof/>
            <w:webHidden/>
          </w:rPr>
        </w:r>
        <w:r w:rsidR="00F54E2C">
          <w:rPr>
            <w:noProof/>
            <w:webHidden/>
          </w:rPr>
          <w:fldChar w:fldCharType="separate"/>
        </w:r>
        <w:r w:rsidR="00FF5B6D">
          <w:rPr>
            <w:noProof/>
            <w:webHidden/>
          </w:rPr>
          <w:t>37</w:t>
        </w:r>
        <w:r w:rsidR="00F54E2C">
          <w:rPr>
            <w:noProof/>
            <w:webHidden/>
          </w:rPr>
          <w:fldChar w:fldCharType="end"/>
        </w:r>
      </w:hyperlink>
    </w:p>
    <w:p w14:paraId="21BC8187" w14:textId="00FDC1DE" w:rsidR="00F54E2C" w:rsidRDefault="00661DE6">
      <w:pPr>
        <w:pStyle w:val="INNH4"/>
        <w:tabs>
          <w:tab w:val="left" w:pos="1400"/>
          <w:tab w:val="right" w:leader="dot" w:pos="9062"/>
        </w:tabs>
        <w:rPr>
          <w:rFonts w:asciiTheme="minorHAnsi" w:eastAsiaTheme="minorEastAsia" w:hAnsiTheme="minorHAnsi" w:cstheme="minorBidi"/>
          <w:noProof/>
          <w:sz w:val="22"/>
          <w:szCs w:val="22"/>
          <w:lang w:val="nb-NO" w:eastAsia="nb-NO"/>
        </w:rPr>
      </w:pPr>
      <w:hyperlink w:anchor="_Toc66448833" w:history="1">
        <w:r w:rsidR="00F54E2C" w:rsidRPr="00DC78CC">
          <w:rPr>
            <w:rStyle w:val="Hyperkobling"/>
            <w:noProof/>
          </w:rPr>
          <w:t>2.2.6.2</w:t>
        </w:r>
        <w:r w:rsidR="00F54E2C">
          <w:rPr>
            <w:rFonts w:asciiTheme="minorHAnsi" w:eastAsiaTheme="minorEastAsia" w:hAnsiTheme="minorHAnsi" w:cstheme="minorBidi"/>
            <w:noProof/>
            <w:sz w:val="22"/>
            <w:szCs w:val="22"/>
            <w:lang w:val="nb-NO" w:eastAsia="nb-NO"/>
          </w:rPr>
          <w:tab/>
        </w:r>
        <w:r w:rsidR="00F54E2C" w:rsidRPr="00DC78CC">
          <w:rPr>
            <w:rStyle w:val="Hyperkobling"/>
            <w:noProof/>
          </w:rPr>
          <w:t>Exposure assessment</w:t>
        </w:r>
        <w:r w:rsidR="00F54E2C">
          <w:rPr>
            <w:noProof/>
            <w:webHidden/>
          </w:rPr>
          <w:tab/>
        </w:r>
        <w:r w:rsidR="00F54E2C">
          <w:rPr>
            <w:noProof/>
            <w:webHidden/>
          </w:rPr>
          <w:fldChar w:fldCharType="begin"/>
        </w:r>
        <w:r w:rsidR="00F54E2C">
          <w:rPr>
            <w:noProof/>
            <w:webHidden/>
          </w:rPr>
          <w:instrText xml:space="preserve"> PAGEREF _Toc66448833 \h </w:instrText>
        </w:r>
        <w:r w:rsidR="00F54E2C">
          <w:rPr>
            <w:noProof/>
            <w:webHidden/>
          </w:rPr>
        </w:r>
        <w:r w:rsidR="00F54E2C">
          <w:rPr>
            <w:noProof/>
            <w:webHidden/>
          </w:rPr>
          <w:fldChar w:fldCharType="separate"/>
        </w:r>
        <w:r w:rsidR="00FF5B6D">
          <w:rPr>
            <w:noProof/>
            <w:webHidden/>
          </w:rPr>
          <w:t>50</w:t>
        </w:r>
        <w:r w:rsidR="00F54E2C">
          <w:rPr>
            <w:noProof/>
            <w:webHidden/>
          </w:rPr>
          <w:fldChar w:fldCharType="end"/>
        </w:r>
      </w:hyperlink>
    </w:p>
    <w:p w14:paraId="57C1DE8D" w14:textId="68296282" w:rsidR="00F54E2C" w:rsidRDefault="00661DE6">
      <w:pPr>
        <w:pStyle w:val="INNH4"/>
        <w:tabs>
          <w:tab w:val="left" w:pos="1400"/>
          <w:tab w:val="right" w:leader="dot" w:pos="9062"/>
        </w:tabs>
        <w:rPr>
          <w:rFonts w:asciiTheme="minorHAnsi" w:eastAsiaTheme="minorEastAsia" w:hAnsiTheme="minorHAnsi" w:cstheme="minorBidi"/>
          <w:noProof/>
          <w:sz w:val="22"/>
          <w:szCs w:val="22"/>
          <w:lang w:val="nb-NO" w:eastAsia="nb-NO"/>
        </w:rPr>
      </w:pPr>
      <w:hyperlink w:anchor="_Toc66448834" w:history="1">
        <w:r w:rsidR="00F54E2C" w:rsidRPr="00DC78CC">
          <w:rPr>
            <w:rStyle w:val="Hyperkobling"/>
            <w:noProof/>
          </w:rPr>
          <w:t>2.2.6.3</w:t>
        </w:r>
        <w:r w:rsidR="00F54E2C">
          <w:rPr>
            <w:rFonts w:asciiTheme="minorHAnsi" w:eastAsiaTheme="minorEastAsia" w:hAnsiTheme="minorHAnsi" w:cstheme="minorBidi"/>
            <w:noProof/>
            <w:sz w:val="22"/>
            <w:szCs w:val="22"/>
            <w:lang w:val="nb-NO" w:eastAsia="nb-NO"/>
          </w:rPr>
          <w:tab/>
        </w:r>
        <w:r w:rsidR="00F54E2C" w:rsidRPr="00DC78CC">
          <w:rPr>
            <w:rStyle w:val="Hyperkobling"/>
            <w:noProof/>
          </w:rPr>
          <w:t>Risk characterisation for human health</w:t>
        </w:r>
        <w:r w:rsidR="00F54E2C">
          <w:rPr>
            <w:noProof/>
            <w:webHidden/>
          </w:rPr>
          <w:tab/>
        </w:r>
        <w:r w:rsidR="00F54E2C">
          <w:rPr>
            <w:noProof/>
            <w:webHidden/>
          </w:rPr>
          <w:fldChar w:fldCharType="begin"/>
        </w:r>
        <w:r w:rsidR="00F54E2C">
          <w:rPr>
            <w:noProof/>
            <w:webHidden/>
          </w:rPr>
          <w:instrText xml:space="preserve"> PAGEREF _Toc66448834 \h </w:instrText>
        </w:r>
        <w:r w:rsidR="00F54E2C">
          <w:rPr>
            <w:noProof/>
            <w:webHidden/>
          </w:rPr>
        </w:r>
        <w:r w:rsidR="00F54E2C">
          <w:rPr>
            <w:noProof/>
            <w:webHidden/>
          </w:rPr>
          <w:fldChar w:fldCharType="separate"/>
        </w:r>
        <w:r w:rsidR="00FF5B6D">
          <w:rPr>
            <w:noProof/>
            <w:webHidden/>
          </w:rPr>
          <w:t>65</w:t>
        </w:r>
        <w:r w:rsidR="00F54E2C">
          <w:rPr>
            <w:noProof/>
            <w:webHidden/>
          </w:rPr>
          <w:fldChar w:fldCharType="end"/>
        </w:r>
      </w:hyperlink>
    </w:p>
    <w:p w14:paraId="43839E24" w14:textId="385F28A3" w:rsidR="00F54E2C" w:rsidRDefault="00661DE6">
      <w:pPr>
        <w:pStyle w:val="INNH3"/>
        <w:tabs>
          <w:tab w:val="left" w:pos="1200"/>
          <w:tab w:val="right" w:leader="dot" w:pos="9062"/>
        </w:tabs>
        <w:rPr>
          <w:rFonts w:asciiTheme="minorHAnsi" w:eastAsiaTheme="minorEastAsia" w:hAnsiTheme="minorHAnsi" w:cstheme="minorBidi"/>
          <w:i w:val="0"/>
          <w:iCs w:val="0"/>
          <w:noProof/>
          <w:sz w:val="22"/>
          <w:szCs w:val="22"/>
          <w:lang w:val="nb-NO" w:eastAsia="nb-NO"/>
        </w:rPr>
      </w:pPr>
      <w:hyperlink w:anchor="_Toc66448835" w:history="1">
        <w:r w:rsidR="00F54E2C" w:rsidRPr="00DC78CC">
          <w:rPr>
            <w:rStyle w:val="Hyperkobling"/>
            <w:noProof/>
            <w14:scene3d>
              <w14:camera w14:prst="orthographicFront"/>
              <w14:lightRig w14:rig="threePt" w14:dir="t">
                <w14:rot w14:lat="0" w14:lon="0" w14:rev="0"/>
              </w14:lightRig>
            </w14:scene3d>
          </w:rPr>
          <w:t>2.2.7</w:t>
        </w:r>
        <w:r w:rsidR="00F54E2C">
          <w:rPr>
            <w:rFonts w:asciiTheme="minorHAnsi" w:eastAsiaTheme="minorEastAsia" w:hAnsiTheme="minorHAnsi" w:cstheme="minorBidi"/>
            <w:i w:val="0"/>
            <w:iCs w:val="0"/>
            <w:noProof/>
            <w:sz w:val="22"/>
            <w:szCs w:val="22"/>
            <w:lang w:val="nb-NO" w:eastAsia="nb-NO"/>
          </w:rPr>
          <w:tab/>
        </w:r>
        <w:r w:rsidR="00F54E2C" w:rsidRPr="00DC78CC">
          <w:rPr>
            <w:rStyle w:val="Hyperkobling"/>
            <w:noProof/>
          </w:rPr>
          <w:t>Risk assessment for animal health</w:t>
        </w:r>
        <w:r w:rsidR="00F54E2C">
          <w:rPr>
            <w:noProof/>
            <w:webHidden/>
          </w:rPr>
          <w:tab/>
        </w:r>
        <w:r w:rsidR="00F54E2C">
          <w:rPr>
            <w:noProof/>
            <w:webHidden/>
          </w:rPr>
          <w:fldChar w:fldCharType="begin"/>
        </w:r>
        <w:r w:rsidR="00F54E2C">
          <w:rPr>
            <w:noProof/>
            <w:webHidden/>
          </w:rPr>
          <w:instrText xml:space="preserve"> PAGEREF _Toc66448835 \h </w:instrText>
        </w:r>
        <w:r w:rsidR="00F54E2C">
          <w:rPr>
            <w:noProof/>
            <w:webHidden/>
          </w:rPr>
        </w:r>
        <w:r w:rsidR="00F54E2C">
          <w:rPr>
            <w:noProof/>
            <w:webHidden/>
          </w:rPr>
          <w:fldChar w:fldCharType="separate"/>
        </w:r>
        <w:r w:rsidR="00FF5B6D">
          <w:rPr>
            <w:noProof/>
            <w:webHidden/>
          </w:rPr>
          <w:t>72</w:t>
        </w:r>
        <w:r w:rsidR="00F54E2C">
          <w:rPr>
            <w:noProof/>
            <w:webHidden/>
          </w:rPr>
          <w:fldChar w:fldCharType="end"/>
        </w:r>
      </w:hyperlink>
    </w:p>
    <w:p w14:paraId="2B569988" w14:textId="5B0621E5" w:rsidR="00F54E2C" w:rsidRDefault="00661DE6">
      <w:pPr>
        <w:pStyle w:val="INNH3"/>
        <w:tabs>
          <w:tab w:val="left" w:pos="1200"/>
          <w:tab w:val="right" w:leader="dot" w:pos="9062"/>
        </w:tabs>
        <w:rPr>
          <w:rFonts w:asciiTheme="minorHAnsi" w:eastAsiaTheme="minorEastAsia" w:hAnsiTheme="minorHAnsi" w:cstheme="minorBidi"/>
          <w:i w:val="0"/>
          <w:iCs w:val="0"/>
          <w:noProof/>
          <w:sz w:val="22"/>
          <w:szCs w:val="22"/>
          <w:lang w:val="nb-NO" w:eastAsia="nb-NO"/>
        </w:rPr>
      </w:pPr>
      <w:hyperlink w:anchor="_Toc66448836" w:history="1">
        <w:r w:rsidR="00F54E2C" w:rsidRPr="00DC78CC">
          <w:rPr>
            <w:rStyle w:val="Hyperkobling"/>
            <w:noProof/>
            <w14:scene3d>
              <w14:camera w14:prst="orthographicFront"/>
              <w14:lightRig w14:rig="threePt" w14:dir="t">
                <w14:rot w14:lat="0" w14:lon="0" w14:rev="0"/>
              </w14:lightRig>
            </w14:scene3d>
          </w:rPr>
          <w:t>2.2.8</w:t>
        </w:r>
        <w:r w:rsidR="00F54E2C">
          <w:rPr>
            <w:rFonts w:asciiTheme="minorHAnsi" w:eastAsiaTheme="minorEastAsia" w:hAnsiTheme="minorHAnsi" w:cstheme="minorBidi"/>
            <w:i w:val="0"/>
            <w:iCs w:val="0"/>
            <w:noProof/>
            <w:sz w:val="22"/>
            <w:szCs w:val="22"/>
            <w:lang w:val="nb-NO" w:eastAsia="nb-NO"/>
          </w:rPr>
          <w:tab/>
        </w:r>
        <w:r w:rsidR="00F54E2C" w:rsidRPr="00DC78CC">
          <w:rPr>
            <w:rStyle w:val="Hyperkobling"/>
            <w:noProof/>
          </w:rPr>
          <w:t>Risk assessment for the environment</w:t>
        </w:r>
        <w:r w:rsidR="00F54E2C">
          <w:rPr>
            <w:noProof/>
            <w:webHidden/>
          </w:rPr>
          <w:tab/>
        </w:r>
        <w:r w:rsidR="00F54E2C">
          <w:rPr>
            <w:noProof/>
            <w:webHidden/>
          </w:rPr>
          <w:fldChar w:fldCharType="begin"/>
        </w:r>
        <w:r w:rsidR="00F54E2C">
          <w:rPr>
            <w:noProof/>
            <w:webHidden/>
          </w:rPr>
          <w:instrText xml:space="preserve"> PAGEREF _Toc66448836 \h </w:instrText>
        </w:r>
        <w:r w:rsidR="00F54E2C">
          <w:rPr>
            <w:noProof/>
            <w:webHidden/>
          </w:rPr>
        </w:r>
        <w:r w:rsidR="00F54E2C">
          <w:rPr>
            <w:noProof/>
            <w:webHidden/>
          </w:rPr>
          <w:fldChar w:fldCharType="separate"/>
        </w:r>
        <w:r w:rsidR="00FF5B6D">
          <w:rPr>
            <w:noProof/>
            <w:webHidden/>
          </w:rPr>
          <w:t>73</w:t>
        </w:r>
        <w:r w:rsidR="00F54E2C">
          <w:rPr>
            <w:noProof/>
            <w:webHidden/>
          </w:rPr>
          <w:fldChar w:fldCharType="end"/>
        </w:r>
      </w:hyperlink>
    </w:p>
    <w:p w14:paraId="344CB0B4" w14:textId="1B323063" w:rsidR="00F54E2C" w:rsidRDefault="00661DE6">
      <w:pPr>
        <w:pStyle w:val="INNH4"/>
        <w:tabs>
          <w:tab w:val="left" w:pos="1400"/>
          <w:tab w:val="right" w:leader="dot" w:pos="9062"/>
        </w:tabs>
        <w:rPr>
          <w:rFonts w:asciiTheme="minorHAnsi" w:eastAsiaTheme="minorEastAsia" w:hAnsiTheme="minorHAnsi" w:cstheme="minorBidi"/>
          <w:noProof/>
          <w:sz w:val="22"/>
          <w:szCs w:val="22"/>
          <w:lang w:val="nb-NO" w:eastAsia="nb-NO"/>
        </w:rPr>
      </w:pPr>
      <w:hyperlink w:anchor="_Toc66448837" w:history="1">
        <w:r w:rsidR="00F54E2C" w:rsidRPr="00DC78CC">
          <w:rPr>
            <w:rStyle w:val="Hyperkobling"/>
            <w:noProof/>
          </w:rPr>
          <w:t>2.2.8.1</w:t>
        </w:r>
        <w:r w:rsidR="00F54E2C">
          <w:rPr>
            <w:rFonts w:asciiTheme="minorHAnsi" w:eastAsiaTheme="minorEastAsia" w:hAnsiTheme="minorHAnsi" w:cstheme="minorBidi"/>
            <w:noProof/>
            <w:sz w:val="22"/>
            <w:szCs w:val="22"/>
            <w:lang w:val="nb-NO" w:eastAsia="nb-NO"/>
          </w:rPr>
          <w:tab/>
        </w:r>
        <w:r w:rsidR="00F54E2C" w:rsidRPr="00DC78CC">
          <w:rPr>
            <w:rStyle w:val="Hyperkobling"/>
            <w:noProof/>
          </w:rPr>
          <w:t>Effects assessment on the environment</w:t>
        </w:r>
        <w:r w:rsidR="00F54E2C">
          <w:rPr>
            <w:noProof/>
            <w:webHidden/>
          </w:rPr>
          <w:tab/>
        </w:r>
        <w:r w:rsidR="00F54E2C">
          <w:rPr>
            <w:noProof/>
            <w:webHidden/>
          </w:rPr>
          <w:fldChar w:fldCharType="begin"/>
        </w:r>
        <w:r w:rsidR="00F54E2C">
          <w:rPr>
            <w:noProof/>
            <w:webHidden/>
          </w:rPr>
          <w:instrText xml:space="preserve"> PAGEREF _Toc66448837 \h </w:instrText>
        </w:r>
        <w:r w:rsidR="00F54E2C">
          <w:rPr>
            <w:noProof/>
            <w:webHidden/>
          </w:rPr>
        </w:r>
        <w:r w:rsidR="00F54E2C">
          <w:rPr>
            <w:noProof/>
            <w:webHidden/>
          </w:rPr>
          <w:fldChar w:fldCharType="separate"/>
        </w:r>
        <w:r w:rsidR="00FF5B6D">
          <w:rPr>
            <w:noProof/>
            <w:webHidden/>
          </w:rPr>
          <w:t>73</w:t>
        </w:r>
        <w:r w:rsidR="00F54E2C">
          <w:rPr>
            <w:noProof/>
            <w:webHidden/>
          </w:rPr>
          <w:fldChar w:fldCharType="end"/>
        </w:r>
      </w:hyperlink>
    </w:p>
    <w:p w14:paraId="7D23A900" w14:textId="45938FF6" w:rsidR="00F54E2C" w:rsidRDefault="00661DE6">
      <w:pPr>
        <w:pStyle w:val="INNH4"/>
        <w:tabs>
          <w:tab w:val="left" w:pos="1400"/>
          <w:tab w:val="right" w:leader="dot" w:pos="9062"/>
        </w:tabs>
        <w:rPr>
          <w:rFonts w:asciiTheme="minorHAnsi" w:eastAsiaTheme="minorEastAsia" w:hAnsiTheme="minorHAnsi" w:cstheme="minorBidi"/>
          <w:noProof/>
          <w:sz w:val="22"/>
          <w:szCs w:val="22"/>
          <w:lang w:val="nb-NO" w:eastAsia="nb-NO"/>
        </w:rPr>
      </w:pPr>
      <w:hyperlink w:anchor="_Toc66448838" w:history="1">
        <w:r w:rsidR="00F54E2C" w:rsidRPr="00DC78CC">
          <w:rPr>
            <w:rStyle w:val="Hyperkobling"/>
            <w:noProof/>
          </w:rPr>
          <w:t>2.2.8.2</w:t>
        </w:r>
        <w:r w:rsidR="00F54E2C">
          <w:rPr>
            <w:rFonts w:asciiTheme="minorHAnsi" w:eastAsiaTheme="minorEastAsia" w:hAnsiTheme="minorHAnsi" w:cstheme="minorBidi"/>
            <w:noProof/>
            <w:sz w:val="22"/>
            <w:szCs w:val="22"/>
            <w:lang w:val="nb-NO" w:eastAsia="nb-NO"/>
          </w:rPr>
          <w:tab/>
        </w:r>
        <w:r w:rsidR="00F54E2C" w:rsidRPr="00DC78CC">
          <w:rPr>
            <w:rStyle w:val="Hyperkobling"/>
            <w:noProof/>
          </w:rPr>
          <w:t>Environmental exposure assessment and risk characterisation</w:t>
        </w:r>
        <w:r w:rsidR="00F54E2C">
          <w:rPr>
            <w:noProof/>
            <w:webHidden/>
          </w:rPr>
          <w:tab/>
        </w:r>
        <w:r w:rsidR="00F54E2C">
          <w:rPr>
            <w:noProof/>
            <w:webHidden/>
          </w:rPr>
          <w:fldChar w:fldCharType="begin"/>
        </w:r>
        <w:r w:rsidR="00F54E2C">
          <w:rPr>
            <w:noProof/>
            <w:webHidden/>
          </w:rPr>
          <w:instrText xml:space="preserve"> PAGEREF _Toc66448838 \h </w:instrText>
        </w:r>
        <w:r w:rsidR="00F54E2C">
          <w:rPr>
            <w:noProof/>
            <w:webHidden/>
          </w:rPr>
        </w:r>
        <w:r w:rsidR="00F54E2C">
          <w:rPr>
            <w:noProof/>
            <w:webHidden/>
          </w:rPr>
          <w:fldChar w:fldCharType="separate"/>
        </w:r>
        <w:r w:rsidR="00FF5B6D">
          <w:rPr>
            <w:noProof/>
            <w:webHidden/>
          </w:rPr>
          <w:t>78</w:t>
        </w:r>
        <w:r w:rsidR="00F54E2C">
          <w:rPr>
            <w:noProof/>
            <w:webHidden/>
          </w:rPr>
          <w:fldChar w:fldCharType="end"/>
        </w:r>
      </w:hyperlink>
    </w:p>
    <w:p w14:paraId="5C176D5E" w14:textId="1D949DC2" w:rsidR="00F54E2C" w:rsidRDefault="00661DE6">
      <w:pPr>
        <w:pStyle w:val="INNH4"/>
        <w:tabs>
          <w:tab w:val="left" w:pos="1400"/>
          <w:tab w:val="right" w:leader="dot" w:pos="9062"/>
        </w:tabs>
        <w:rPr>
          <w:rFonts w:asciiTheme="minorHAnsi" w:eastAsiaTheme="minorEastAsia" w:hAnsiTheme="minorHAnsi" w:cstheme="minorBidi"/>
          <w:noProof/>
          <w:sz w:val="22"/>
          <w:szCs w:val="22"/>
          <w:lang w:val="nb-NO" w:eastAsia="nb-NO"/>
        </w:rPr>
      </w:pPr>
      <w:hyperlink w:anchor="_Toc66448839" w:history="1">
        <w:r w:rsidR="00F54E2C" w:rsidRPr="00DC78CC">
          <w:rPr>
            <w:rStyle w:val="Hyperkobling"/>
            <w:noProof/>
          </w:rPr>
          <w:t>2.2.8.3</w:t>
        </w:r>
        <w:r w:rsidR="00F54E2C">
          <w:rPr>
            <w:rFonts w:asciiTheme="minorHAnsi" w:eastAsiaTheme="minorEastAsia" w:hAnsiTheme="minorHAnsi" w:cstheme="minorBidi"/>
            <w:noProof/>
            <w:sz w:val="22"/>
            <w:szCs w:val="22"/>
            <w:lang w:val="nb-NO" w:eastAsia="nb-NO"/>
          </w:rPr>
          <w:tab/>
        </w:r>
        <w:r w:rsidR="00F54E2C" w:rsidRPr="00DC78CC">
          <w:rPr>
            <w:rStyle w:val="Hyperkobling"/>
            <w:noProof/>
          </w:rPr>
          <w:t>Risk characterisation</w:t>
        </w:r>
        <w:r w:rsidR="00F54E2C">
          <w:rPr>
            <w:noProof/>
            <w:webHidden/>
          </w:rPr>
          <w:tab/>
        </w:r>
        <w:r w:rsidR="00F54E2C">
          <w:rPr>
            <w:noProof/>
            <w:webHidden/>
          </w:rPr>
          <w:fldChar w:fldCharType="begin"/>
        </w:r>
        <w:r w:rsidR="00F54E2C">
          <w:rPr>
            <w:noProof/>
            <w:webHidden/>
          </w:rPr>
          <w:instrText xml:space="preserve"> PAGEREF _Toc66448839 \h </w:instrText>
        </w:r>
        <w:r w:rsidR="00F54E2C">
          <w:rPr>
            <w:noProof/>
            <w:webHidden/>
          </w:rPr>
        </w:r>
        <w:r w:rsidR="00F54E2C">
          <w:rPr>
            <w:noProof/>
            <w:webHidden/>
          </w:rPr>
          <w:fldChar w:fldCharType="separate"/>
        </w:r>
        <w:r w:rsidR="00FF5B6D">
          <w:rPr>
            <w:noProof/>
            <w:webHidden/>
          </w:rPr>
          <w:t>87</w:t>
        </w:r>
        <w:r w:rsidR="00F54E2C">
          <w:rPr>
            <w:noProof/>
            <w:webHidden/>
          </w:rPr>
          <w:fldChar w:fldCharType="end"/>
        </w:r>
      </w:hyperlink>
    </w:p>
    <w:p w14:paraId="09CB9F78" w14:textId="44BACFB4" w:rsidR="00F54E2C" w:rsidRDefault="00661DE6">
      <w:pPr>
        <w:pStyle w:val="INNH3"/>
        <w:tabs>
          <w:tab w:val="left" w:pos="1200"/>
          <w:tab w:val="right" w:leader="dot" w:pos="9062"/>
        </w:tabs>
        <w:rPr>
          <w:rFonts w:asciiTheme="minorHAnsi" w:eastAsiaTheme="minorEastAsia" w:hAnsiTheme="minorHAnsi" w:cstheme="minorBidi"/>
          <w:i w:val="0"/>
          <w:iCs w:val="0"/>
          <w:noProof/>
          <w:sz w:val="22"/>
          <w:szCs w:val="22"/>
          <w:lang w:val="nb-NO" w:eastAsia="nb-NO"/>
        </w:rPr>
      </w:pPr>
      <w:hyperlink w:anchor="_Toc66448840" w:history="1">
        <w:r w:rsidR="00F54E2C" w:rsidRPr="00DC78CC">
          <w:rPr>
            <w:rStyle w:val="Hyperkobling"/>
            <w:noProof/>
            <w14:scene3d>
              <w14:camera w14:prst="orthographicFront"/>
              <w14:lightRig w14:rig="threePt" w14:dir="t">
                <w14:rot w14:lat="0" w14:lon="0" w14:rev="0"/>
              </w14:lightRig>
            </w14:scene3d>
          </w:rPr>
          <w:t>2.2.9</w:t>
        </w:r>
        <w:r w:rsidR="00F54E2C">
          <w:rPr>
            <w:rFonts w:asciiTheme="minorHAnsi" w:eastAsiaTheme="minorEastAsia" w:hAnsiTheme="minorHAnsi" w:cstheme="minorBidi"/>
            <w:i w:val="0"/>
            <w:iCs w:val="0"/>
            <w:noProof/>
            <w:sz w:val="22"/>
            <w:szCs w:val="22"/>
            <w:lang w:val="nb-NO" w:eastAsia="nb-NO"/>
          </w:rPr>
          <w:tab/>
        </w:r>
        <w:r w:rsidR="00F54E2C" w:rsidRPr="00DC78CC">
          <w:rPr>
            <w:rStyle w:val="Hyperkobling"/>
            <w:noProof/>
          </w:rPr>
          <w:t>Measures to protect man, animals and the environment</w:t>
        </w:r>
        <w:r w:rsidR="00F54E2C">
          <w:rPr>
            <w:noProof/>
            <w:webHidden/>
          </w:rPr>
          <w:tab/>
        </w:r>
        <w:r w:rsidR="00F54E2C">
          <w:rPr>
            <w:noProof/>
            <w:webHidden/>
          </w:rPr>
          <w:fldChar w:fldCharType="begin"/>
        </w:r>
        <w:r w:rsidR="00F54E2C">
          <w:rPr>
            <w:noProof/>
            <w:webHidden/>
          </w:rPr>
          <w:instrText xml:space="preserve"> PAGEREF _Toc66448840 \h </w:instrText>
        </w:r>
        <w:r w:rsidR="00F54E2C">
          <w:rPr>
            <w:noProof/>
            <w:webHidden/>
          </w:rPr>
        </w:r>
        <w:r w:rsidR="00F54E2C">
          <w:rPr>
            <w:noProof/>
            <w:webHidden/>
          </w:rPr>
          <w:fldChar w:fldCharType="separate"/>
        </w:r>
        <w:r w:rsidR="00FF5B6D">
          <w:rPr>
            <w:noProof/>
            <w:webHidden/>
          </w:rPr>
          <w:t>94</w:t>
        </w:r>
        <w:r w:rsidR="00F54E2C">
          <w:rPr>
            <w:noProof/>
            <w:webHidden/>
          </w:rPr>
          <w:fldChar w:fldCharType="end"/>
        </w:r>
      </w:hyperlink>
    </w:p>
    <w:p w14:paraId="63B17CC8" w14:textId="35DA4609" w:rsidR="00F54E2C" w:rsidRDefault="00661DE6">
      <w:pPr>
        <w:pStyle w:val="INNH3"/>
        <w:tabs>
          <w:tab w:val="left" w:pos="1200"/>
          <w:tab w:val="right" w:leader="dot" w:pos="9062"/>
        </w:tabs>
        <w:rPr>
          <w:rFonts w:asciiTheme="minorHAnsi" w:eastAsiaTheme="minorEastAsia" w:hAnsiTheme="minorHAnsi" w:cstheme="minorBidi"/>
          <w:i w:val="0"/>
          <w:iCs w:val="0"/>
          <w:noProof/>
          <w:sz w:val="22"/>
          <w:szCs w:val="22"/>
          <w:lang w:val="nb-NO" w:eastAsia="nb-NO"/>
        </w:rPr>
      </w:pPr>
      <w:hyperlink w:anchor="_Toc66448841" w:history="1">
        <w:r w:rsidR="00F54E2C" w:rsidRPr="00DC78CC">
          <w:rPr>
            <w:rStyle w:val="Hyperkobling"/>
            <w:noProof/>
            <w14:scene3d>
              <w14:camera w14:prst="orthographicFront"/>
              <w14:lightRig w14:rig="threePt" w14:dir="t">
                <w14:rot w14:lat="0" w14:lon="0" w14:rev="0"/>
              </w14:lightRig>
            </w14:scene3d>
          </w:rPr>
          <w:t>2.2.10</w:t>
        </w:r>
        <w:r w:rsidR="00F54E2C">
          <w:rPr>
            <w:rFonts w:asciiTheme="minorHAnsi" w:eastAsiaTheme="minorEastAsia" w:hAnsiTheme="minorHAnsi" w:cstheme="minorBidi"/>
            <w:i w:val="0"/>
            <w:iCs w:val="0"/>
            <w:noProof/>
            <w:sz w:val="22"/>
            <w:szCs w:val="22"/>
            <w:lang w:val="nb-NO" w:eastAsia="nb-NO"/>
          </w:rPr>
          <w:tab/>
        </w:r>
        <w:r w:rsidR="00F54E2C" w:rsidRPr="00DC78CC">
          <w:rPr>
            <w:rStyle w:val="Hyperkobling"/>
            <w:noProof/>
          </w:rPr>
          <w:t>Assessment of a combination of biocidal products</w:t>
        </w:r>
        <w:r w:rsidR="00F54E2C">
          <w:rPr>
            <w:noProof/>
            <w:webHidden/>
          </w:rPr>
          <w:tab/>
        </w:r>
        <w:r w:rsidR="00F54E2C">
          <w:rPr>
            <w:noProof/>
            <w:webHidden/>
          </w:rPr>
          <w:fldChar w:fldCharType="begin"/>
        </w:r>
        <w:r w:rsidR="00F54E2C">
          <w:rPr>
            <w:noProof/>
            <w:webHidden/>
          </w:rPr>
          <w:instrText xml:space="preserve"> PAGEREF _Toc66448841 \h </w:instrText>
        </w:r>
        <w:r w:rsidR="00F54E2C">
          <w:rPr>
            <w:noProof/>
            <w:webHidden/>
          </w:rPr>
        </w:r>
        <w:r w:rsidR="00F54E2C">
          <w:rPr>
            <w:noProof/>
            <w:webHidden/>
          </w:rPr>
          <w:fldChar w:fldCharType="separate"/>
        </w:r>
        <w:r w:rsidR="00FF5B6D">
          <w:rPr>
            <w:noProof/>
            <w:webHidden/>
          </w:rPr>
          <w:t>94</w:t>
        </w:r>
        <w:r w:rsidR="00F54E2C">
          <w:rPr>
            <w:noProof/>
            <w:webHidden/>
          </w:rPr>
          <w:fldChar w:fldCharType="end"/>
        </w:r>
      </w:hyperlink>
    </w:p>
    <w:p w14:paraId="2B0CFBB8" w14:textId="31C0CD85" w:rsidR="00F54E2C" w:rsidRDefault="00661DE6">
      <w:pPr>
        <w:pStyle w:val="INNH3"/>
        <w:tabs>
          <w:tab w:val="left" w:pos="1200"/>
          <w:tab w:val="right" w:leader="dot" w:pos="9062"/>
        </w:tabs>
        <w:rPr>
          <w:rFonts w:asciiTheme="minorHAnsi" w:eastAsiaTheme="minorEastAsia" w:hAnsiTheme="minorHAnsi" w:cstheme="minorBidi"/>
          <w:i w:val="0"/>
          <w:iCs w:val="0"/>
          <w:noProof/>
          <w:sz w:val="22"/>
          <w:szCs w:val="22"/>
          <w:lang w:val="nb-NO" w:eastAsia="nb-NO"/>
        </w:rPr>
      </w:pPr>
      <w:hyperlink w:anchor="_Toc66448842" w:history="1">
        <w:r w:rsidR="00F54E2C" w:rsidRPr="00DC78CC">
          <w:rPr>
            <w:rStyle w:val="Hyperkobling"/>
            <w:noProof/>
            <w14:scene3d>
              <w14:camera w14:prst="orthographicFront"/>
              <w14:lightRig w14:rig="threePt" w14:dir="t">
                <w14:rot w14:lat="0" w14:lon="0" w14:rev="0"/>
              </w14:lightRig>
            </w14:scene3d>
          </w:rPr>
          <w:t>2.2.11</w:t>
        </w:r>
        <w:r w:rsidR="00F54E2C">
          <w:rPr>
            <w:rFonts w:asciiTheme="minorHAnsi" w:eastAsiaTheme="minorEastAsia" w:hAnsiTheme="minorHAnsi" w:cstheme="minorBidi"/>
            <w:i w:val="0"/>
            <w:iCs w:val="0"/>
            <w:noProof/>
            <w:sz w:val="22"/>
            <w:szCs w:val="22"/>
            <w:lang w:val="nb-NO" w:eastAsia="nb-NO"/>
          </w:rPr>
          <w:tab/>
        </w:r>
        <w:r w:rsidR="00F54E2C" w:rsidRPr="00DC78CC">
          <w:rPr>
            <w:rStyle w:val="Hyperkobling"/>
            <w:noProof/>
          </w:rPr>
          <w:t>Comparative assessment</w:t>
        </w:r>
        <w:r w:rsidR="00F54E2C">
          <w:rPr>
            <w:noProof/>
            <w:webHidden/>
          </w:rPr>
          <w:tab/>
        </w:r>
        <w:r w:rsidR="00F54E2C">
          <w:rPr>
            <w:noProof/>
            <w:webHidden/>
          </w:rPr>
          <w:fldChar w:fldCharType="begin"/>
        </w:r>
        <w:r w:rsidR="00F54E2C">
          <w:rPr>
            <w:noProof/>
            <w:webHidden/>
          </w:rPr>
          <w:instrText xml:space="preserve"> PAGEREF _Toc66448842 \h </w:instrText>
        </w:r>
        <w:r w:rsidR="00F54E2C">
          <w:rPr>
            <w:noProof/>
            <w:webHidden/>
          </w:rPr>
        </w:r>
        <w:r w:rsidR="00F54E2C">
          <w:rPr>
            <w:noProof/>
            <w:webHidden/>
          </w:rPr>
          <w:fldChar w:fldCharType="separate"/>
        </w:r>
        <w:r w:rsidR="00FF5B6D">
          <w:rPr>
            <w:noProof/>
            <w:webHidden/>
          </w:rPr>
          <w:t>94</w:t>
        </w:r>
        <w:r w:rsidR="00F54E2C">
          <w:rPr>
            <w:noProof/>
            <w:webHidden/>
          </w:rPr>
          <w:fldChar w:fldCharType="end"/>
        </w:r>
      </w:hyperlink>
    </w:p>
    <w:p w14:paraId="2C218D5F" w14:textId="2B9C8D47" w:rsidR="00F54E2C" w:rsidRDefault="00661DE6">
      <w:pPr>
        <w:pStyle w:val="INNH1"/>
        <w:tabs>
          <w:tab w:val="left" w:pos="400"/>
          <w:tab w:val="right" w:leader="dot" w:pos="9062"/>
        </w:tabs>
        <w:rPr>
          <w:rFonts w:asciiTheme="minorHAnsi" w:eastAsiaTheme="minorEastAsia" w:hAnsiTheme="minorHAnsi" w:cstheme="minorBidi"/>
          <w:b w:val="0"/>
          <w:bCs w:val="0"/>
          <w:caps w:val="0"/>
          <w:noProof/>
          <w:sz w:val="22"/>
          <w:szCs w:val="22"/>
          <w:lang w:val="nb-NO" w:eastAsia="nb-NO"/>
        </w:rPr>
      </w:pPr>
      <w:hyperlink w:anchor="_Toc66448843" w:history="1">
        <w:r w:rsidR="00F54E2C" w:rsidRPr="00DC78CC">
          <w:rPr>
            <w:rStyle w:val="Hyperkobling"/>
            <w:rFonts w:eastAsia="Calibri"/>
            <w:noProof/>
            <w14:scene3d>
              <w14:camera w14:prst="orthographicFront"/>
              <w14:lightRig w14:rig="threePt" w14:dir="t">
                <w14:rot w14:lat="0" w14:lon="0" w14:rev="0"/>
              </w14:lightRig>
            </w14:scene3d>
          </w:rPr>
          <w:t>3</w:t>
        </w:r>
        <w:r w:rsidR="00F54E2C">
          <w:rPr>
            <w:rFonts w:asciiTheme="minorHAnsi" w:eastAsiaTheme="minorEastAsia" w:hAnsiTheme="minorHAnsi" w:cstheme="minorBidi"/>
            <w:b w:val="0"/>
            <w:bCs w:val="0"/>
            <w:caps w:val="0"/>
            <w:noProof/>
            <w:sz w:val="22"/>
            <w:szCs w:val="22"/>
            <w:lang w:val="nb-NO" w:eastAsia="nb-NO"/>
          </w:rPr>
          <w:tab/>
        </w:r>
        <w:r w:rsidR="00F54E2C" w:rsidRPr="00DC78CC">
          <w:rPr>
            <w:rStyle w:val="Hyperkobling"/>
            <w:rFonts w:eastAsia="Calibri"/>
            <w:noProof/>
          </w:rPr>
          <w:t>Annexes</w:t>
        </w:r>
        <w:r w:rsidR="00F54E2C">
          <w:rPr>
            <w:noProof/>
            <w:webHidden/>
          </w:rPr>
          <w:tab/>
        </w:r>
        <w:r w:rsidR="00F54E2C">
          <w:rPr>
            <w:noProof/>
            <w:webHidden/>
          </w:rPr>
          <w:fldChar w:fldCharType="begin"/>
        </w:r>
        <w:r w:rsidR="00F54E2C">
          <w:rPr>
            <w:noProof/>
            <w:webHidden/>
          </w:rPr>
          <w:instrText xml:space="preserve"> PAGEREF _Toc66448843 \h </w:instrText>
        </w:r>
        <w:r w:rsidR="00F54E2C">
          <w:rPr>
            <w:noProof/>
            <w:webHidden/>
          </w:rPr>
        </w:r>
        <w:r w:rsidR="00F54E2C">
          <w:rPr>
            <w:noProof/>
            <w:webHidden/>
          </w:rPr>
          <w:fldChar w:fldCharType="separate"/>
        </w:r>
        <w:r w:rsidR="00FF5B6D">
          <w:rPr>
            <w:noProof/>
            <w:webHidden/>
          </w:rPr>
          <w:t>95</w:t>
        </w:r>
        <w:r w:rsidR="00F54E2C">
          <w:rPr>
            <w:noProof/>
            <w:webHidden/>
          </w:rPr>
          <w:fldChar w:fldCharType="end"/>
        </w:r>
      </w:hyperlink>
    </w:p>
    <w:p w14:paraId="1E3952F3" w14:textId="721D0F18" w:rsidR="00F54E2C" w:rsidRDefault="00661DE6">
      <w:pPr>
        <w:pStyle w:val="INNH2"/>
        <w:tabs>
          <w:tab w:val="left" w:pos="800"/>
          <w:tab w:val="right" w:leader="dot" w:pos="9062"/>
        </w:tabs>
        <w:rPr>
          <w:rFonts w:asciiTheme="minorHAnsi" w:eastAsiaTheme="minorEastAsia" w:hAnsiTheme="minorHAnsi" w:cstheme="minorBidi"/>
          <w:smallCaps w:val="0"/>
          <w:noProof/>
          <w:sz w:val="22"/>
          <w:szCs w:val="22"/>
          <w:lang w:val="nb-NO" w:eastAsia="nb-NO"/>
        </w:rPr>
      </w:pPr>
      <w:hyperlink w:anchor="_Toc66448844" w:history="1">
        <w:r w:rsidR="00F54E2C" w:rsidRPr="00DC78CC">
          <w:rPr>
            <w:rStyle w:val="Hyperkobling"/>
            <w:noProof/>
            <w:lang w:val="de-DE"/>
          </w:rPr>
          <w:t>3.1</w:t>
        </w:r>
        <w:r w:rsidR="00F54E2C">
          <w:rPr>
            <w:rFonts w:asciiTheme="minorHAnsi" w:eastAsiaTheme="minorEastAsia" w:hAnsiTheme="minorHAnsi" w:cstheme="minorBidi"/>
            <w:smallCaps w:val="0"/>
            <w:noProof/>
            <w:sz w:val="22"/>
            <w:szCs w:val="22"/>
            <w:lang w:val="nb-NO" w:eastAsia="nb-NO"/>
          </w:rPr>
          <w:tab/>
        </w:r>
        <w:r w:rsidR="00F54E2C" w:rsidRPr="00DC78CC">
          <w:rPr>
            <w:rStyle w:val="Hyperkobling"/>
            <w:noProof/>
          </w:rPr>
          <w:t>List of studies for the biocidal product (FAMILY)</w:t>
        </w:r>
        <w:r w:rsidR="00F54E2C">
          <w:rPr>
            <w:noProof/>
            <w:webHidden/>
          </w:rPr>
          <w:tab/>
        </w:r>
        <w:r w:rsidR="00F54E2C">
          <w:rPr>
            <w:noProof/>
            <w:webHidden/>
          </w:rPr>
          <w:fldChar w:fldCharType="begin"/>
        </w:r>
        <w:r w:rsidR="00F54E2C">
          <w:rPr>
            <w:noProof/>
            <w:webHidden/>
          </w:rPr>
          <w:instrText xml:space="preserve"> PAGEREF _Toc66448844 \h </w:instrText>
        </w:r>
        <w:r w:rsidR="00F54E2C">
          <w:rPr>
            <w:noProof/>
            <w:webHidden/>
          </w:rPr>
        </w:r>
        <w:r w:rsidR="00F54E2C">
          <w:rPr>
            <w:noProof/>
            <w:webHidden/>
          </w:rPr>
          <w:fldChar w:fldCharType="separate"/>
        </w:r>
        <w:r w:rsidR="00FF5B6D">
          <w:rPr>
            <w:noProof/>
            <w:webHidden/>
          </w:rPr>
          <w:t>95</w:t>
        </w:r>
        <w:r w:rsidR="00F54E2C">
          <w:rPr>
            <w:noProof/>
            <w:webHidden/>
          </w:rPr>
          <w:fldChar w:fldCharType="end"/>
        </w:r>
      </w:hyperlink>
    </w:p>
    <w:p w14:paraId="182FFB2A" w14:textId="2135D651" w:rsidR="00F54E2C" w:rsidRDefault="00661DE6">
      <w:pPr>
        <w:pStyle w:val="INNH2"/>
        <w:tabs>
          <w:tab w:val="left" w:pos="800"/>
          <w:tab w:val="right" w:leader="dot" w:pos="9062"/>
        </w:tabs>
        <w:rPr>
          <w:rFonts w:asciiTheme="minorHAnsi" w:eastAsiaTheme="minorEastAsia" w:hAnsiTheme="minorHAnsi" w:cstheme="minorBidi"/>
          <w:smallCaps w:val="0"/>
          <w:noProof/>
          <w:sz w:val="22"/>
          <w:szCs w:val="22"/>
          <w:lang w:val="nb-NO" w:eastAsia="nb-NO"/>
        </w:rPr>
      </w:pPr>
      <w:hyperlink w:anchor="_Toc66448845" w:history="1">
        <w:r w:rsidR="00F54E2C" w:rsidRPr="00DC78CC">
          <w:rPr>
            <w:rStyle w:val="Hyperkobling"/>
            <w:noProof/>
            <w:lang w:val="de-DE"/>
          </w:rPr>
          <w:t>3.2</w:t>
        </w:r>
        <w:r w:rsidR="00F54E2C">
          <w:rPr>
            <w:rFonts w:asciiTheme="minorHAnsi" w:eastAsiaTheme="minorEastAsia" w:hAnsiTheme="minorHAnsi" w:cstheme="minorBidi"/>
            <w:smallCaps w:val="0"/>
            <w:noProof/>
            <w:sz w:val="22"/>
            <w:szCs w:val="22"/>
            <w:lang w:val="nb-NO" w:eastAsia="nb-NO"/>
          </w:rPr>
          <w:tab/>
        </w:r>
        <w:r w:rsidR="00F54E2C" w:rsidRPr="00DC78CC">
          <w:rPr>
            <w:rStyle w:val="Hyperkobling"/>
            <w:noProof/>
          </w:rPr>
          <w:t>Output tables from exposure assessment tools</w:t>
        </w:r>
        <w:r w:rsidR="00F54E2C">
          <w:rPr>
            <w:noProof/>
            <w:webHidden/>
          </w:rPr>
          <w:tab/>
        </w:r>
        <w:r w:rsidR="00F54E2C">
          <w:rPr>
            <w:noProof/>
            <w:webHidden/>
          </w:rPr>
          <w:fldChar w:fldCharType="begin"/>
        </w:r>
        <w:r w:rsidR="00F54E2C">
          <w:rPr>
            <w:noProof/>
            <w:webHidden/>
          </w:rPr>
          <w:instrText xml:space="preserve"> PAGEREF _Toc66448845 \h </w:instrText>
        </w:r>
        <w:r w:rsidR="00F54E2C">
          <w:rPr>
            <w:noProof/>
            <w:webHidden/>
          </w:rPr>
        </w:r>
        <w:r w:rsidR="00F54E2C">
          <w:rPr>
            <w:noProof/>
            <w:webHidden/>
          </w:rPr>
          <w:fldChar w:fldCharType="separate"/>
        </w:r>
        <w:r w:rsidR="00FF5B6D">
          <w:rPr>
            <w:noProof/>
            <w:webHidden/>
          </w:rPr>
          <w:t>97</w:t>
        </w:r>
        <w:r w:rsidR="00F54E2C">
          <w:rPr>
            <w:noProof/>
            <w:webHidden/>
          </w:rPr>
          <w:fldChar w:fldCharType="end"/>
        </w:r>
      </w:hyperlink>
    </w:p>
    <w:p w14:paraId="03C3274B" w14:textId="20B4C2A6" w:rsidR="00F54E2C" w:rsidRDefault="00661DE6">
      <w:pPr>
        <w:pStyle w:val="INNH3"/>
        <w:tabs>
          <w:tab w:val="left" w:pos="1200"/>
          <w:tab w:val="right" w:leader="dot" w:pos="9062"/>
        </w:tabs>
        <w:rPr>
          <w:rFonts w:asciiTheme="minorHAnsi" w:eastAsiaTheme="minorEastAsia" w:hAnsiTheme="minorHAnsi" w:cstheme="minorBidi"/>
          <w:i w:val="0"/>
          <w:iCs w:val="0"/>
          <w:noProof/>
          <w:sz w:val="22"/>
          <w:szCs w:val="22"/>
          <w:lang w:val="nb-NO" w:eastAsia="nb-NO"/>
        </w:rPr>
      </w:pPr>
      <w:hyperlink w:anchor="_Toc66448846" w:history="1">
        <w:r w:rsidR="00F54E2C" w:rsidRPr="00DC78CC">
          <w:rPr>
            <w:rStyle w:val="Hyperkobling"/>
            <w:noProof/>
            <w:lang w:eastAsia="en-US"/>
            <w14:scene3d>
              <w14:camera w14:prst="orthographicFront"/>
              <w14:lightRig w14:rig="threePt" w14:dir="t">
                <w14:rot w14:lat="0" w14:lon="0" w14:rev="0"/>
              </w14:lightRig>
            </w14:scene3d>
          </w:rPr>
          <w:t>3.2.1</w:t>
        </w:r>
        <w:r w:rsidR="00F54E2C">
          <w:rPr>
            <w:rFonts w:asciiTheme="minorHAnsi" w:eastAsiaTheme="minorEastAsia" w:hAnsiTheme="minorHAnsi" w:cstheme="minorBidi"/>
            <w:i w:val="0"/>
            <w:iCs w:val="0"/>
            <w:noProof/>
            <w:sz w:val="22"/>
            <w:szCs w:val="22"/>
            <w:lang w:val="nb-NO" w:eastAsia="nb-NO"/>
          </w:rPr>
          <w:tab/>
        </w:r>
        <w:r w:rsidR="00F54E2C" w:rsidRPr="00DC78CC">
          <w:rPr>
            <w:rStyle w:val="Hyperkobling"/>
            <w:noProof/>
            <w:lang w:eastAsia="en-US"/>
          </w:rPr>
          <w:t>Output tables from the environmental exposure assessments</w:t>
        </w:r>
        <w:r w:rsidR="00F54E2C">
          <w:rPr>
            <w:noProof/>
            <w:webHidden/>
          </w:rPr>
          <w:tab/>
        </w:r>
        <w:r w:rsidR="00F54E2C">
          <w:rPr>
            <w:noProof/>
            <w:webHidden/>
          </w:rPr>
          <w:fldChar w:fldCharType="begin"/>
        </w:r>
        <w:r w:rsidR="00F54E2C">
          <w:rPr>
            <w:noProof/>
            <w:webHidden/>
          </w:rPr>
          <w:instrText xml:space="preserve"> PAGEREF _Toc66448846 \h </w:instrText>
        </w:r>
        <w:r w:rsidR="00F54E2C">
          <w:rPr>
            <w:noProof/>
            <w:webHidden/>
          </w:rPr>
        </w:r>
        <w:r w:rsidR="00F54E2C">
          <w:rPr>
            <w:noProof/>
            <w:webHidden/>
          </w:rPr>
          <w:fldChar w:fldCharType="separate"/>
        </w:r>
        <w:r w:rsidR="00FF5B6D">
          <w:rPr>
            <w:noProof/>
            <w:webHidden/>
          </w:rPr>
          <w:t>97</w:t>
        </w:r>
        <w:r w:rsidR="00F54E2C">
          <w:rPr>
            <w:noProof/>
            <w:webHidden/>
          </w:rPr>
          <w:fldChar w:fldCharType="end"/>
        </w:r>
      </w:hyperlink>
    </w:p>
    <w:p w14:paraId="70C72217" w14:textId="700DA6AC" w:rsidR="00F54E2C" w:rsidRDefault="00661DE6">
      <w:pPr>
        <w:pStyle w:val="INNH3"/>
        <w:tabs>
          <w:tab w:val="left" w:pos="1200"/>
          <w:tab w:val="right" w:leader="dot" w:pos="9062"/>
        </w:tabs>
        <w:rPr>
          <w:rFonts w:asciiTheme="minorHAnsi" w:eastAsiaTheme="minorEastAsia" w:hAnsiTheme="minorHAnsi" w:cstheme="minorBidi"/>
          <w:i w:val="0"/>
          <w:iCs w:val="0"/>
          <w:noProof/>
          <w:sz w:val="22"/>
          <w:szCs w:val="22"/>
          <w:lang w:val="nb-NO" w:eastAsia="nb-NO"/>
        </w:rPr>
      </w:pPr>
      <w:hyperlink w:anchor="_Toc66448847" w:history="1">
        <w:r w:rsidR="00F54E2C" w:rsidRPr="00DC78CC">
          <w:rPr>
            <w:rStyle w:val="Hyperkobling"/>
            <w:noProof/>
            <w:lang w:eastAsia="en-US"/>
            <w14:scene3d>
              <w14:camera w14:prst="orthographicFront"/>
              <w14:lightRig w14:rig="threePt" w14:dir="t">
                <w14:rot w14:lat="0" w14:lon="0" w14:rev="0"/>
              </w14:lightRig>
            </w14:scene3d>
          </w:rPr>
          <w:t>3.2.2</w:t>
        </w:r>
        <w:r w:rsidR="00F54E2C">
          <w:rPr>
            <w:rFonts w:asciiTheme="minorHAnsi" w:eastAsiaTheme="minorEastAsia" w:hAnsiTheme="minorHAnsi" w:cstheme="minorBidi"/>
            <w:i w:val="0"/>
            <w:iCs w:val="0"/>
            <w:noProof/>
            <w:sz w:val="22"/>
            <w:szCs w:val="22"/>
            <w:lang w:val="nb-NO" w:eastAsia="nb-NO"/>
          </w:rPr>
          <w:tab/>
        </w:r>
        <w:r w:rsidR="00F54E2C" w:rsidRPr="00DC78CC">
          <w:rPr>
            <w:rStyle w:val="Hyperkobling"/>
            <w:noProof/>
            <w:lang w:eastAsia="en-US"/>
          </w:rPr>
          <w:t>Output tables from the human exposure assessments</w:t>
        </w:r>
        <w:r w:rsidR="00F54E2C">
          <w:rPr>
            <w:noProof/>
            <w:webHidden/>
          </w:rPr>
          <w:tab/>
        </w:r>
        <w:r w:rsidR="00F54E2C">
          <w:rPr>
            <w:noProof/>
            <w:webHidden/>
          </w:rPr>
          <w:fldChar w:fldCharType="begin"/>
        </w:r>
        <w:r w:rsidR="00F54E2C">
          <w:rPr>
            <w:noProof/>
            <w:webHidden/>
          </w:rPr>
          <w:instrText xml:space="preserve"> PAGEREF _Toc66448847 \h </w:instrText>
        </w:r>
        <w:r w:rsidR="00F54E2C">
          <w:rPr>
            <w:noProof/>
            <w:webHidden/>
          </w:rPr>
        </w:r>
        <w:r w:rsidR="00F54E2C">
          <w:rPr>
            <w:noProof/>
            <w:webHidden/>
          </w:rPr>
          <w:fldChar w:fldCharType="separate"/>
        </w:r>
        <w:r w:rsidR="00FF5B6D">
          <w:rPr>
            <w:noProof/>
            <w:webHidden/>
          </w:rPr>
          <w:t>97</w:t>
        </w:r>
        <w:r w:rsidR="00F54E2C">
          <w:rPr>
            <w:noProof/>
            <w:webHidden/>
          </w:rPr>
          <w:fldChar w:fldCharType="end"/>
        </w:r>
      </w:hyperlink>
    </w:p>
    <w:p w14:paraId="2273AEE3" w14:textId="1FA4AFC2" w:rsidR="00F54E2C" w:rsidRDefault="00661DE6">
      <w:pPr>
        <w:pStyle w:val="INNH2"/>
        <w:tabs>
          <w:tab w:val="left" w:pos="800"/>
          <w:tab w:val="right" w:leader="dot" w:pos="9062"/>
        </w:tabs>
        <w:rPr>
          <w:rFonts w:asciiTheme="minorHAnsi" w:eastAsiaTheme="minorEastAsia" w:hAnsiTheme="minorHAnsi" w:cstheme="minorBidi"/>
          <w:smallCaps w:val="0"/>
          <w:noProof/>
          <w:sz w:val="22"/>
          <w:szCs w:val="22"/>
          <w:lang w:val="nb-NO" w:eastAsia="nb-NO"/>
        </w:rPr>
      </w:pPr>
      <w:hyperlink w:anchor="_Toc66448848" w:history="1">
        <w:r w:rsidR="00F54E2C" w:rsidRPr="00DC78CC">
          <w:rPr>
            <w:rStyle w:val="Hyperkobling"/>
            <w:noProof/>
            <w:lang w:val="de-DE"/>
          </w:rPr>
          <w:t>3.3</w:t>
        </w:r>
        <w:r w:rsidR="00F54E2C">
          <w:rPr>
            <w:rFonts w:asciiTheme="minorHAnsi" w:eastAsiaTheme="minorEastAsia" w:hAnsiTheme="minorHAnsi" w:cstheme="minorBidi"/>
            <w:smallCaps w:val="0"/>
            <w:noProof/>
            <w:sz w:val="22"/>
            <w:szCs w:val="22"/>
            <w:lang w:val="nb-NO" w:eastAsia="nb-NO"/>
          </w:rPr>
          <w:tab/>
        </w:r>
        <w:r w:rsidR="00F54E2C" w:rsidRPr="00DC78CC">
          <w:rPr>
            <w:rStyle w:val="Hyperkobling"/>
            <w:noProof/>
          </w:rPr>
          <w:t>New information on the active substances</w:t>
        </w:r>
        <w:r w:rsidR="00F54E2C">
          <w:rPr>
            <w:noProof/>
            <w:webHidden/>
          </w:rPr>
          <w:tab/>
        </w:r>
        <w:r w:rsidR="00F54E2C">
          <w:rPr>
            <w:noProof/>
            <w:webHidden/>
          </w:rPr>
          <w:fldChar w:fldCharType="begin"/>
        </w:r>
        <w:r w:rsidR="00F54E2C">
          <w:rPr>
            <w:noProof/>
            <w:webHidden/>
          </w:rPr>
          <w:instrText xml:space="preserve"> PAGEREF _Toc66448848 \h </w:instrText>
        </w:r>
        <w:r w:rsidR="00F54E2C">
          <w:rPr>
            <w:noProof/>
            <w:webHidden/>
          </w:rPr>
        </w:r>
        <w:r w:rsidR="00F54E2C">
          <w:rPr>
            <w:noProof/>
            <w:webHidden/>
          </w:rPr>
          <w:fldChar w:fldCharType="separate"/>
        </w:r>
        <w:r w:rsidR="00FF5B6D">
          <w:rPr>
            <w:noProof/>
            <w:webHidden/>
          </w:rPr>
          <w:t>97</w:t>
        </w:r>
        <w:r w:rsidR="00F54E2C">
          <w:rPr>
            <w:noProof/>
            <w:webHidden/>
          </w:rPr>
          <w:fldChar w:fldCharType="end"/>
        </w:r>
      </w:hyperlink>
    </w:p>
    <w:p w14:paraId="4B090EE9" w14:textId="2AC8FE11" w:rsidR="00F54E2C" w:rsidRDefault="00661DE6">
      <w:pPr>
        <w:pStyle w:val="INNH2"/>
        <w:tabs>
          <w:tab w:val="left" w:pos="800"/>
          <w:tab w:val="right" w:leader="dot" w:pos="9062"/>
        </w:tabs>
        <w:rPr>
          <w:rFonts w:asciiTheme="minorHAnsi" w:eastAsiaTheme="minorEastAsia" w:hAnsiTheme="minorHAnsi" w:cstheme="minorBidi"/>
          <w:smallCaps w:val="0"/>
          <w:noProof/>
          <w:sz w:val="22"/>
          <w:szCs w:val="22"/>
          <w:lang w:val="nb-NO" w:eastAsia="nb-NO"/>
        </w:rPr>
      </w:pPr>
      <w:hyperlink w:anchor="_Toc66448849" w:history="1">
        <w:r w:rsidR="00F54E2C" w:rsidRPr="00DC78CC">
          <w:rPr>
            <w:rStyle w:val="Hyperkobling"/>
            <w:noProof/>
            <w:lang w:val="de-DE"/>
          </w:rPr>
          <w:t>3.4</w:t>
        </w:r>
        <w:r w:rsidR="00F54E2C">
          <w:rPr>
            <w:rFonts w:asciiTheme="minorHAnsi" w:eastAsiaTheme="minorEastAsia" w:hAnsiTheme="minorHAnsi" w:cstheme="minorBidi"/>
            <w:smallCaps w:val="0"/>
            <w:noProof/>
            <w:sz w:val="22"/>
            <w:szCs w:val="22"/>
            <w:lang w:val="nb-NO" w:eastAsia="nb-NO"/>
          </w:rPr>
          <w:tab/>
        </w:r>
        <w:r w:rsidR="00F54E2C" w:rsidRPr="00DC78CC">
          <w:rPr>
            <w:rStyle w:val="Hyperkobling"/>
            <w:noProof/>
          </w:rPr>
          <w:t>Residue behaviour</w:t>
        </w:r>
        <w:r w:rsidR="00F54E2C">
          <w:rPr>
            <w:noProof/>
            <w:webHidden/>
          </w:rPr>
          <w:tab/>
        </w:r>
        <w:r w:rsidR="00F54E2C">
          <w:rPr>
            <w:noProof/>
            <w:webHidden/>
          </w:rPr>
          <w:fldChar w:fldCharType="begin"/>
        </w:r>
        <w:r w:rsidR="00F54E2C">
          <w:rPr>
            <w:noProof/>
            <w:webHidden/>
          </w:rPr>
          <w:instrText xml:space="preserve"> PAGEREF _Toc66448849 \h </w:instrText>
        </w:r>
        <w:r w:rsidR="00F54E2C">
          <w:rPr>
            <w:noProof/>
            <w:webHidden/>
          </w:rPr>
        </w:r>
        <w:r w:rsidR="00F54E2C">
          <w:rPr>
            <w:noProof/>
            <w:webHidden/>
          </w:rPr>
          <w:fldChar w:fldCharType="separate"/>
        </w:r>
        <w:r w:rsidR="00FF5B6D">
          <w:rPr>
            <w:noProof/>
            <w:webHidden/>
          </w:rPr>
          <w:t>97</w:t>
        </w:r>
        <w:r w:rsidR="00F54E2C">
          <w:rPr>
            <w:noProof/>
            <w:webHidden/>
          </w:rPr>
          <w:fldChar w:fldCharType="end"/>
        </w:r>
      </w:hyperlink>
    </w:p>
    <w:p w14:paraId="358DCF52" w14:textId="30F7827D" w:rsidR="00F54E2C" w:rsidRDefault="00661DE6">
      <w:pPr>
        <w:pStyle w:val="INNH2"/>
        <w:tabs>
          <w:tab w:val="left" w:pos="800"/>
          <w:tab w:val="right" w:leader="dot" w:pos="9062"/>
        </w:tabs>
        <w:rPr>
          <w:rFonts w:asciiTheme="minorHAnsi" w:eastAsiaTheme="minorEastAsia" w:hAnsiTheme="minorHAnsi" w:cstheme="minorBidi"/>
          <w:smallCaps w:val="0"/>
          <w:noProof/>
          <w:sz w:val="22"/>
          <w:szCs w:val="22"/>
          <w:lang w:val="nb-NO" w:eastAsia="nb-NO"/>
        </w:rPr>
      </w:pPr>
      <w:hyperlink w:anchor="_Toc66448850" w:history="1">
        <w:r w:rsidR="00F54E2C" w:rsidRPr="00DC78CC">
          <w:rPr>
            <w:rStyle w:val="Hyperkobling"/>
            <w:noProof/>
            <w:lang w:val="de-DE"/>
          </w:rPr>
          <w:t>3.5</w:t>
        </w:r>
        <w:r w:rsidR="00F54E2C">
          <w:rPr>
            <w:rFonts w:asciiTheme="minorHAnsi" w:eastAsiaTheme="minorEastAsia" w:hAnsiTheme="minorHAnsi" w:cstheme="minorBidi"/>
            <w:smallCaps w:val="0"/>
            <w:noProof/>
            <w:sz w:val="22"/>
            <w:szCs w:val="22"/>
            <w:lang w:val="nb-NO" w:eastAsia="nb-NO"/>
          </w:rPr>
          <w:tab/>
        </w:r>
        <w:r w:rsidR="00F54E2C" w:rsidRPr="00DC78CC">
          <w:rPr>
            <w:rStyle w:val="Hyperkobling"/>
            <w:noProof/>
          </w:rPr>
          <w:t>Summaries of the efficacy studies (B.5.10.1-xx)</w:t>
        </w:r>
        <w:r w:rsidR="00F54E2C">
          <w:rPr>
            <w:noProof/>
            <w:webHidden/>
          </w:rPr>
          <w:tab/>
        </w:r>
        <w:r w:rsidR="00F54E2C">
          <w:rPr>
            <w:noProof/>
            <w:webHidden/>
          </w:rPr>
          <w:fldChar w:fldCharType="begin"/>
        </w:r>
        <w:r w:rsidR="00F54E2C">
          <w:rPr>
            <w:noProof/>
            <w:webHidden/>
          </w:rPr>
          <w:instrText xml:space="preserve"> PAGEREF _Toc66448850 \h </w:instrText>
        </w:r>
        <w:r w:rsidR="00F54E2C">
          <w:rPr>
            <w:noProof/>
            <w:webHidden/>
          </w:rPr>
        </w:r>
        <w:r w:rsidR="00F54E2C">
          <w:rPr>
            <w:noProof/>
            <w:webHidden/>
          </w:rPr>
          <w:fldChar w:fldCharType="separate"/>
        </w:r>
        <w:r w:rsidR="00FF5B6D">
          <w:rPr>
            <w:noProof/>
            <w:webHidden/>
          </w:rPr>
          <w:t>97</w:t>
        </w:r>
        <w:r w:rsidR="00F54E2C">
          <w:rPr>
            <w:noProof/>
            <w:webHidden/>
          </w:rPr>
          <w:fldChar w:fldCharType="end"/>
        </w:r>
      </w:hyperlink>
    </w:p>
    <w:p w14:paraId="1C574BFE" w14:textId="4CF1CA7B" w:rsidR="00F54E2C" w:rsidRDefault="00661DE6">
      <w:pPr>
        <w:pStyle w:val="INNH2"/>
        <w:tabs>
          <w:tab w:val="left" w:pos="800"/>
          <w:tab w:val="right" w:leader="dot" w:pos="9062"/>
        </w:tabs>
        <w:rPr>
          <w:rFonts w:asciiTheme="minorHAnsi" w:eastAsiaTheme="minorEastAsia" w:hAnsiTheme="minorHAnsi" w:cstheme="minorBidi"/>
          <w:smallCaps w:val="0"/>
          <w:noProof/>
          <w:sz w:val="22"/>
          <w:szCs w:val="22"/>
          <w:lang w:val="nb-NO" w:eastAsia="nb-NO"/>
        </w:rPr>
      </w:pPr>
      <w:hyperlink w:anchor="_Toc66448851" w:history="1">
        <w:r w:rsidR="00F54E2C" w:rsidRPr="00DC78CC">
          <w:rPr>
            <w:rStyle w:val="Hyperkobling"/>
            <w:noProof/>
            <w:lang w:val="de-DE"/>
          </w:rPr>
          <w:t>3.6</w:t>
        </w:r>
        <w:r w:rsidR="00F54E2C">
          <w:rPr>
            <w:rFonts w:asciiTheme="minorHAnsi" w:eastAsiaTheme="minorEastAsia" w:hAnsiTheme="minorHAnsi" w:cstheme="minorBidi"/>
            <w:smallCaps w:val="0"/>
            <w:noProof/>
            <w:sz w:val="22"/>
            <w:szCs w:val="22"/>
            <w:lang w:val="nb-NO" w:eastAsia="nb-NO"/>
          </w:rPr>
          <w:tab/>
        </w:r>
        <w:r w:rsidR="00F54E2C" w:rsidRPr="00DC78CC">
          <w:rPr>
            <w:rStyle w:val="Hyperkobling"/>
            <w:noProof/>
          </w:rPr>
          <w:t>Confidential annex</w:t>
        </w:r>
        <w:r w:rsidR="00F54E2C">
          <w:rPr>
            <w:noProof/>
            <w:webHidden/>
          </w:rPr>
          <w:tab/>
        </w:r>
        <w:r w:rsidR="00F54E2C">
          <w:rPr>
            <w:noProof/>
            <w:webHidden/>
          </w:rPr>
          <w:fldChar w:fldCharType="begin"/>
        </w:r>
        <w:r w:rsidR="00F54E2C">
          <w:rPr>
            <w:noProof/>
            <w:webHidden/>
          </w:rPr>
          <w:instrText xml:space="preserve"> PAGEREF _Toc66448851 \h </w:instrText>
        </w:r>
        <w:r w:rsidR="00F54E2C">
          <w:rPr>
            <w:noProof/>
            <w:webHidden/>
          </w:rPr>
        </w:r>
        <w:r w:rsidR="00F54E2C">
          <w:rPr>
            <w:noProof/>
            <w:webHidden/>
          </w:rPr>
          <w:fldChar w:fldCharType="separate"/>
        </w:r>
        <w:r w:rsidR="00FF5B6D">
          <w:rPr>
            <w:noProof/>
            <w:webHidden/>
          </w:rPr>
          <w:t>97</w:t>
        </w:r>
        <w:r w:rsidR="00F54E2C">
          <w:rPr>
            <w:noProof/>
            <w:webHidden/>
          </w:rPr>
          <w:fldChar w:fldCharType="end"/>
        </w:r>
      </w:hyperlink>
    </w:p>
    <w:p w14:paraId="5C0B0286" w14:textId="3A337EDB" w:rsidR="00F54E2C" w:rsidRDefault="00661DE6">
      <w:pPr>
        <w:pStyle w:val="INNH2"/>
        <w:tabs>
          <w:tab w:val="left" w:pos="800"/>
          <w:tab w:val="right" w:leader="dot" w:pos="9062"/>
        </w:tabs>
        <w:rPr>
          <w:rFonts w:asciiTheme="minorHAnsi" w:eastAsiaTheme="minorEastAsia" w:hAnsiTheme="minorHAnsi" w:cstheme="minorBidi"/>
          <w:smallCaps w:val="0"/>
          <w:noProof/>
          <w:sz w:val="22"/>
          <w:szCs w:val="22"/>
          <w:lang w:val="nb-NO" w:eastAsia="nb-NO"/>
        </w:rPr>
      </w:pPr>
      <w:hyperlink w:anchor="_Toc66448852" w:history="1">
        <w:r w:rsidR="00F54E2C" w:rsidRPr="00DC78CC">
          <w:rPr>
            <w:rStyle w:val="Hyperkobling"/>
            <w:noProof/>
            <w:lang w:val="de-DE"/>
          </w:rPr>
          <w:t>3.7</w:t>
        </w:r>
        <w:r w:rsidR="00F54E2C">
          <w:rPr>
            <w:rFonts w:asciiTheme="minorHAnsi" w:eastAsiaTheme="minorEastAsia" w:hAnsiTheme="minorHAnsi" w:cstheme="minorBidi"/>
            <w:smallCaps w:val="0"/>
            <w:noProof/>
            <w:sz w:val="22"/>
            <w:szCs w:val="22"/>
            <w:lang w:val="nb-NO" w:eastAsia="nb-NO"/>
          </w:rPr>
          <w:tab/>
        </w:r>
        <w:r w:rsidR="00F54E2C" w:rsidRPr="00DC78CC">
          <w:rPr>
            <w:rStyle w:val="Hyperkobling"/>
            <w:noProof/>
          </w:rPr>
          <w:t>Other</w:t>
        </w:r>
        <w:r w:rsidR="00F54E2C">
          <w:rPr>
            <w:noProof/>
            <w:webHidden/>
          </w:rPr>
          <w:tab/>
        </w:r>
        <w:r w:rsidR="00F54E2C">
          <w:rPr>
            <w:noProof/>
            <w:webHidden/>
          </w:rPr>
          <w:fldChar w:fldCharType="begin"/>
        </w:r>
        <w:r w:rsidR="00F54E2C">
          <w:rPr>
            <w:noProof/>
            <w:webHidden/>
          </w:rPr>
          <w:instrText xml:space="preserve"> PAGEREF _Toc66448852 \h </w:instrText>
        </w:r>
        <w:r w:rsidR="00F54E2C">
          <w:rPr>
            <w:noProof/>
            <w:webHidden/>
          </w:rPr>
        </w:r>
        <w:r w:rsidR="00F54E2C">
          <w:rPr>
            <w:noProof/>
            <w:webHidden/>
          </w:rPr>
          <w:fldChar w:fldCharType="separate"/>
        </w:r>
        <w:r w:rsidR="00FF5B6D">
          <w:rPr>
            <w:noProof/>
            <w:webHidden/>
          </w:rPr>
          <w:t>98</w:t>
        </w:r>
        <w:r w:rsidR="00F54E2C">
          <w:rPr>
            <w:noProof/>
            <w:webHidden/>
          </w:rPr>
          <w:fldChar w:fldCharType="end"/>
        </w:r>
      </w:hyperlink>
    </w:p>
    <w:p w14:paraId="2D6CB1D0" w14:textId="78B1BCEF" w:rsidR="00F54E2C" w:rsidRDefault="00661DE6">
      <w:pPr>
        <w:pStyle w:val="INNH1"/>
        <w:tabs>
          <w:tab w:val="right" w:leader="dot" w:pos="9062"/>
        </w:tabs>
        <w:rPr>
          <w:rFonts w:asciiTheme="minorHAnsi" w:eastAsiaTheme="minorEastAsia" w:hAnsiTheme="minorHAnsi" w:cstheme="minorBidi"/>
          <w:b w:val="0"/>
          <w:bCs w:val="0"/>
          <w:caps w:val="0"/>
          <w:noProof/>
          <w:sz w:val="22"/>
          <w:szCs w:val="22"/>
          <w:lang w:val="nb-NO" w:eastAsia="nb-NO"/>
        </w:rPr>
      </w:pPr>
      <w:hyperlink w:anchor="_Toc66448853" w:history="1">
        <w:r w:rsidR="00F54E2C" w:rsidRPr="00DC78CC">
          <w:rPr>
            <w:rStyle w:val="Hyperkobling"/>
            <w:rFonts w:ascii="Verdana" w:eastAsia="Calibri" w:hAnsi="Verdana"/>
            <w:noProof/>
            <w:lang w:eastAsia="en-US"/>
          </w:rPr>
          <w:t>REFERENCES</w:t>
        </w:r>
        <w:r w:rsidR="00F54E2C">
          <w:rPr>
            <w:noProof/>
            <w:webHidden/>
          </w:rPr>
          <w:tab/>
        </w:r>
        <w:r w:rsidR="00F54E2C">
          <w:rPr>
            <w:noProof/>
            <w:webHidden/>
          </w:rPr>
          <w:fldChar w:fldCharType="begin"/>
        </w:r>
        <w:r w:rsidR="00F54E2C">
          <w:rPr>
            <w:noProof/>
            <w:webHidden/>
          </w:rPr>
          <w:instrText xml:space="preserve"> PAGEREF _Toc66448853 \h </w:instrText>
        </w:r>
        <w:r w:rsidR="00F54E2C">
          <w:rPr>
            <w:noProof/>
            <w:webHidden/>
          </w:rPr>
        </w:r>
        <w:r w:rsidR="00F54E2C">
          <w:rPr>
            <w:noProof/>
            <w:webHidden/>
          </w:rPr>
          <w:fldChar w:fldCharType="separate"/>
        </w:r>
        <w:r w:rsidR="00FF5B6D">
          <w:rPr>
            <w:noProof/>
            <w:webHidden/>
          </w:rPr>
          <w:t>98</w:t>
        </w:r>
        <w:r w:rsidR="00F54E2C">
          <w:rPr>
            <w:noProof/>
            <w:webHidden/>
          </w:rPr>
          <w:fldChar w:fldCharType="end"/>
        </w:r>
      </w:hyperlink>
    </w:p>
    <w:p w14:paraId="7BC319B1" w14:textId="3DEE37F4" w:rsidR="001042DA" w:rsidRPr="006B1A5A" w:rsidRDefault="001042DA" w:rsidP="001042DA">
      <w:pPr>
        <w:spacing w:line="260" w:lineRule="atLeast"/>
        <w:rPr>
          <w:rFonts w:eastAsia="Calibri"/>
          <w:lang w:eastAsia="en-US"/>
        </w:rPr>
      </w:pPr>
      <w:r w:rsidRPr="006B1A5A">
        <w:rPr>
          <w:rFonts w:eastAsia="Calibri"/>
          <w:b/>
          <w:bCs/>
          <w:caps/>
          <w:lang w:eastAsia="en-US"/>
        </w:rPr>
        <w:fldChar w:fldCharType="end"/>
      </w:r>
    </w:p>
    <w:p w14:paraId="06BD943D" w14:textId="77777777" w:rsidR="001042DA" w:rsidRPr="006B1A5A" w:rsidRDefault="001042DA" w:rsidP="001042DA">
      <w:pPr>
        <w:pStyle w:val="Overskrift1"/>
        <w:rPr>
          <w:rFonts w:eastAsia="Calibri"/>
          <w:lang w:val="en-GB"/>
        </w:rPr>
      </w:pPr>
      <w:r w:rsidRPr="006B1A5A">
        <w:rPr>
          <w:rFonts w:eastAsia="Calibri"/>
          <w:lang w:val="en-GB" w:eastAsia="en-US"/>
        </w:rPr>
        <w:br w:type="page"/>
      </w:r>
      <w:bookmarkStart w:id="1" w:name="_Toc389728849"/>
      <w:bookmarkStart w:id="2" w:name="_Toc66448783"/>
      <w:r w:rsidRPr="006B1A5A">
        <w:rPr>
          <w:rFonts w:eastAsia="Calibri"/>
          <w:lang w:val="en-GB"/>
        </w:rPr>
        <w:lastRenderedPageBreak/>
        <w:t>CONCLUSION</w:t>
      </w:r>
      <w:bookmarkEnd w:id="1"/>
      <w:bookmarkEnd w:id="2"/>
    </w:p>
    <w:p w14:paraId="0E24F394" w14:textId="1C32DDDA" w:rsidR="00E35D48" w:rsidRDefault="00E35D48" w:rsidP="00627E64">
      <w:pPr>
        <w:spacing w:line="260" w:lineRule="atLeast"/>
        <w:rPr>
          <w:rFonts w:eastAsia="Calibri"/>
          <w:lang w:eastAsia="en-US"/>
        </w:rPr>
      </w:pPr>
    </w:p>
    <w:p w14:paraId="1DB88CFC" w14:textId="4143C43E" w:rsidR="004F43A6" w:rsidRDefault="004F43A6" w:rsidP="004F43A6">
      <w:pPr>
        <w:tabs>
          <w:tab w:val="left" w:pos="8505"/>
        </w:tabs>
        <w:ind w:right="-45"/>
        <w:jc w:val="both"/>
      </w:pPr>
      <w:r>
        <w:rPr>
          <w:rFonts w:eastAsia="Calibri"/>
          <w:lang w:val="de-DE" w:eastAsia="en-US"/>
        </w:rPr>
        <w:t xml:space="preserve">The biocidal product </w:t>
      </w:r>
      <w:r>
        <w:rPr>
          <w:rFonts w:eastAsia="Calibri"/>
          <w:lang w:eastAsia="en-US"/>
        </w:rPr>
        <w:t>family Aquanet 360</w:t>
      </w:r>
      <w:r w:rsidRPr="003764D2">
        <w:rPr>
          <w:rFonts w:eastAsia="Calibri"/>
          <w:b/>
          <w:bCs/>
          <w:lang w:val="en-US" w:eastAsia="en-US"/>
        </w:rPr>
        <w:t xml:space="preserve"> </w:t>
      </w:r>
      <w:r>
        <w:rPr>
          <w:rFonts w:eastAsia="Calibri"/>
          <w:lang w:val="de-DE" w:eastAsia="en-US"/>
        </w:rPr>
        <w:t>contains the active substances dicopper oxide and copper thiocyanate.</w:t>
      </w:r>
      <w:r>
        <w:t xml:space="preserve"> The product </w:t>
      </w:r>
      <w:r w:rsidR="00F8054F">
        <w:t xml:space="preserve">family is intended for treatment of fish nets to prevent fouling of the nets during use. The treatment of the </w:t>
      </w:r>
      <w:r w:rsidR="0049776D">
        <w:t xml:space="preserve">net </w:t>
      </w:r>
      <w:r w:rsidR="00F8054F">
        <w:t>is performed in specialised facilities</w:t>
      </w:r>
      <w:r w:rsidR="0049776D">
        <w:t>,</w:t>
      </w:r>
      <w:r w:rsidR="00F8054F">
        <w:t xml:space="preserve"> and the user categories are industrial users.</w:t>
      </w:r>
    </w:p>
    <w:p w14:paraId="1FF3EFA7" w14:textId="77777777" w:rsidR="00F8054F" w:rsidRDefault="00F8054F" w:rsidP="004F43A6">
      <w:pPr>
        <w:tabs>
          <w:tab w:val="left" w:pos="8505"/>
        </w:tabs>
        <w:ind w:right="-45"/>
        <w:jc w:val="both"/>
        <w:rPr>
          <w:bCs/>
          <w:sz w:val="32"/>
          <w:szCs w:val="32"/>
        </w:rPr>
      </w:pPr>
    </w:p>
    <w:p w14:paraId="4C055D5D" w14:textId="77777777" w:rsidR="004F43A6" w:rsidRDefault="004F43A6" w:rsidP="004F43A6">
      <w:pPr>
        <w:tabs>
          <w:tab w:val="left" w:pos="8505"/>
        </w:tabs>
        <w:ind w:right="-45"/>
        <w:jc w:val="both"/>
      </w:pPr>
      <w:r w:rsidRPr="00425041">
        <w:t xml:space="preserve">It is concluded </w:t>
      </w:r>
      <w:r>
        <w:t xml:space="preserve">by the eCA </w:t>
      </w:r>
      <w:r w:rsidRPr="00425041">
        <w:t xml:space="preserve">that sufficient data have been provided to </w:t>
      </w:r>
      <w:r>
        <w:t>fulfil the conditions of Article 19 of regulation (EU) 528/2012.</w:t>
      </w:r>
      <w:r w:rsidRPr="00425041">
        <w:t xml:space="preserve"> </w:t>
      </w:r>
      <w:r>
        <w:t>When using the product</w:t>
      </w:r>
      <w:r w:rsidRPr="00425041">
        <w:t xml:space="preserve"> according to the conditions as stated in the SPC, the product will be efficacious and will not present an unacceptable risk to human and animal health nor to the environment. </w:t>
      </w:r>
    </w:p>
    <w:p w14:paraId="6675B1EF" w14:textId="4C381170" w:rsidR="004F43A6" w:rsidRDefault="004F43A6" w:rsidP="00627E64">
      <w:pPr>
        <w:spacing w:line="260" w:lineRule="atLeast"/>
        <w:rPr>
          <w:rFonts w:eastAsia="Calibri"/>
          <w:lang w:eastAsia="en-US"/>
        </w:rPr>
      </w:pPr>
    </w:p>
    <w:p w14:paraId="1E01D9F2" w14:textId="31818D43" w:rsidR="004F43A6" w:rsidRDefault="002E6D4D" w:rsidP="00627E64">
      <w:pPr>
        <w:spacing w:line="260" w:lineRule="atLeast"/>
        <w:rPr>
          <w:rFonts w:eastAsia="Calibri"/>
          <w:lang w:eastAsia="en-US"/>
        </w:rPr>
      </w:pPr>
      <w:r>
        <w:rPr>
          <w:rFonts w:eastAsia="Calibri"/>
          <w:lang w:eastAsia="en-US"/>
        </w:rPr>
        <w:t xml:space="preserve">The identity, physico-chemical properties and analytical methods were adequately addressed. </w:t>
      </w:r>
      <w:r w:rsidR="00300383">
        <w:rPr>
          <w:rFonts w:eastAsia="Calibri"/>
          <w:lang w:eastAsia="en-US"/>
        </w:rPr>
        <w:t xml:space="preserve">The biocidal product family contains 12.3-24.52% dicopper oxide in combination with 1.7-8.04% copper thiocyanate. </w:t>
      </w:r>
      <w:r>
        <w:rPr>
          <w:rFonts w:eastAsia="Calibri"/>
          <w:lang w:eastAsia="en-US"/>
        </w:rPr>
        <w:t xml:space="preserve">The representative </w:t>
      </w:r>
      <w:r w:rsidR="00300383">
        <w:rPr>
          <w:rFonts w:eastAsia="Calibri"/>
          <w:lang w:eastAsia="en-US"/>
        </w:rPr>
        <w:t>products are red in colour with a pH of 8.8. The density of the concentrated products is 1.43 g/cm</w:t>
      </w:r>
      <w:r w:rsidR="00300383" w:rsidRPr="00300383">
        <w:rPr>
          <w:rFonts w:eastAsia="Calibri"/>
          <w:vertAlign w:val="superscript"/>
          <w:lang w:eastAsia="en-US"/>
        </w:rPr>
        <w:t>3</w:t>
      </w:r>
      <w:r w:rsidR="00300383">
        <w:rPr>
          <w:rFonts w:eastAsia="Calibri"/>
          <w:lang w:eastAsia="en-US"/>
        </w:rPr>
        <w:t xml:space="preserve"> and 1.22 g/cm</w:t>
      </w:r>
      <w:r w:rsidR="00300383" w:rsidRPr="00300383">
        <w:rPr>
          <w:rFonts w:eastAsia="Calibri"/>
          <w:vertAlign w:val="superscript"/>
          <w:lang w:eastAsia="en-US"/>
        </w:rPr>
        <w:t>3</w:t>
      </w:r>
      <w:r w:rsidR="00300383">
        <w:rPr>
          <w:rFonts w:eastAsia="Calibri"/>
          <w:lang w:eastAsia="en-US"/>
        </w:rPr>
        <w:t xml:space="preserve"> for the in-use concentrations. </w:t>
      </w:r>
      <w:r w:rsidR="007A6AEF">
        <w:rPr>
          <w:rFonts w:eastAsia="Calibri"/>
          <w:lang w:eastAsia="en-US"/>
        </w:rPr>
        <w:t>The products have a shelf life of 12 months when stored protected from frost.</w:t>
      </w:r>
    </w:p>
    <w:p w14:paraId="2FDDB67D" w14:textId="77777777" w:rsidR="007A6AEF" w:rsidRDefault="007A6AEF" w:rsidP="00627E64">
      <w:pPr>
        <w:spacing w:line="260" w:lineRule="atLeast"/>
        <w:rPr>
          <w:rFonts w:eastAsia="Calibri"/>
          <w:lang w:eastAsia="en-US"/>
        </w:rPr>
      </w:pPr>
    </w:p>
    <w:p w14:paraId="146BA7AD" w14:textId="77777777" w:rsidR="004F43A6" w:rsidRDefault="004F43A6" w:rsidP="00627E64">
      <w:pPr>
        <w:spacing w:line="260" w:lineRule="atLeast"/>
        <w:rPr>
          <w:rFonts w:eastAsia="Calibri"/>
          <w:lang w:eastAsia="en-US"/>
        </w:rPr>
      </w:pPr>
    </w:p>
    <w:p w14:paraId="0005D8C1" w14:textId="2E462145" w:rsidR="00627E64" w:rsidRPr="00627E64" w:rsidRDefault="00627E64" w:rsidP="00627E64">
      <w:pPr>
        <w:spacing w:line="260" w:lineRule="atLeast"/>
        <w:rPr>
          <w:rFonts w:eastAsia="Calibri"/>
          <w:lang w:eastAsia="en-US"/>
        </w:rPr>
      </w:pPr>
      <w:r w:rsidRPr="00627E64">
        <w:rPr>
          <w:rFonts w:eastAsia="Calibri"/>
          <w:lang w:eastAsia="en-US"/>
        </w:rPr>
        <w:t xml:space="preserve">Exposure to the environment from the use of the AquaNet 360 BPF has been assessed in </w:t>
      </w:r>
      <w:r w:rsidR="009C4962">
        <w:rPr>
          <w:rFonts w:eastAsia="Calibri"/>
          <w:lang w:eastAsia="en-US"/>
        </w:rPr>
        <w:t>a</w:t>
      </w:r>
      <w:r w:rsidR="009C4962" w:rsidRPr="00627E64">
        <w:rPr>
          <w:rFonts w:eastAsia="Calibri"/>
          <w:lang w:eastAsia="en-US"/>
        </w:rPr>
        <w:t xml:space="preserve"> </w:t>
      </w:r>
      <w:r w:rsidRPr="00627E64">
        <w:rPr>
          <w:rFonts w:eastAsia="Calibri"/>
          <w:lang w:eastAsia="en-US"/>
        </w:rPr>
        <w:t>tier</w:t>
      </w:r>
      <w:r w:rsidR="009C4962">
        <w:rPr>
          <w:rFonts w:eastAsia="Calibri"/>
          <w:lang w:eastAsia="en-US"/>
        </w:rPr>
        <w:t>ed approach</w:t>
      </w:r>
      <w:r w:rsidRPr="00627E64">
        <w:rPr>
          <w:rFonts w:eastAsia="Calibri"/>
          <w:lang w:eastAsia="en-US"/>
        </w:rPr>
        <w:t>.</w:t>
      </w:r>
      <w:r>
        <w:rPr>
          <w:rFonts w:eastAsia="Calibri"/>
          <w:lang w:eastAsia="en-US"/>
        </w:rPr>
        <w:t xml:space="preserve"> </w:t>
      </w:r>
      <w:r w:rsidRPr="00627E64">
        <w:rPr>
          <w:rFonts w:eastAsia="Calibri"/>
          <w:lang w:eastAsia="en-US"/>
        </w:rPr>
        <w:t>For the assessment covering use in the EU, the EU fish farm scenario was used</w:t>
      </w:r>
      <w:r w:rsidR="009C4962">
        <w:rPr>
          <w:rFonts w:eastAsia="Calibri"/>
          <w:lang w:eastAsia="en-US"/>
        </w:rPr>
        <w:t>. In addition, an</w:t>
      </w:r>
      <w:r w:rsidRPr="00627E64">
        <w:rPr>
          <w:rFonts w:eastAsia="Calibri"/>
          <w:lang w:eastAsia="en-US"/>
        </w:rPr>
        <w:t xml:space="preserve"> assessment with special regard to Norwegian fish farms has been conducted based on the Norwegian fish farm scenario document. This represents an adjustment of the EU scenario to reflect a realistic worst case fish farm in Norway.</w:t>
      </w:r>
    </w:p>
    <w:p w14:paraId="7B590B86" w14:textId="77777777" w:rsidR="00627E64" w:rsidRPr="00627E64" w:rsidRDefault="00627E64" w:rsidP="00627E64">
      <w:pPr>
        <w:spacing w:line="260" w:lineRule="atLeast"/>
        <w:rPr>
          <w:rFonts w:eastAsia="Calibri"/>
          <w:lang w:eastAsia="en-US"/>
        </w:rPr>
      </w:pPr>
    </w:p>
    <w:p w14:paraId="5E188281" w14:textId="4B1EB718" w:rsidR="001042DA" w:rsidRDefault="00627E64" w:rsidP="00627E64">
      <w:pPr>
        <w:spacing w:line="260" w:lineRule="atLeast"/>
        <w:rPr>
          <w:rFonts w:eastAsia="Calibri"/>
          <w:lang w:eastAsia="en-US"/>
        </w:rPr>
      </w:pPr>
      <w:r w:rsidRPr="00627E64">
        <w:rPr>
          <w:rFonts w:eastAsia="Calibri"/>
          <w:lang w:eastAsia="en-US"/>
        </w:rPr>
        <w:t xml:space="preserve">In the tier 1 calculations, PECdissolved/PNECwater ratios based on PEC values calculated with the EU fish farm scenario were slightly above the trigger value for all AquaNet 360 products.  </w:t>
      </w:r>
      <w:r w:rsidR="00EC3A3D">
        <w:rPr>
          <w:rFonts w:eastAsia="Calibri"/>
          <w:lang w:eastAsia="en-US"/>
        </w:rPr>
        <w:t>A refined risk assessment based on PEC values calculated from field data and a refinement of the mixture toxicity assessment resulted in PEC</w:t>
      </w:r>
      <w:r w:rsidR="00B418C1">
        <w:rPr>
          <w:rFonts w:eastAsia="Calibri"/>
          <w:lang w:eastAsia="en-US"/>
        </w:rPr>
        <w:t>/</w:t>
      </w:r>
      <w:r w:rsidR="00EC3A3D">
        <w:rPr>
          <w:rFonts w:eastAsia="Calibri"/>
          <w:lang w:eastAsia="en-US"/>
        </w:rPr>
        <w:t>PNEC ratio</w:t>
      </w:r>
      <w:r w:rsidR="00B418C1">
        <w:rPr>
          <w:rFonts w:eastAsia="Calibri"/>
          <w:lang w:eastAsia="en-US"/>
        </w:rPr>
        <w:t>s</w:t>
      </w:r>
      <w:r w:rsidR="00EC3A3D">
        <w:rPr>
          <w:rFonts w:eastAsia="Calibri"/>
          <w:lang w:eastAsia="en-US"/>
        </w:rPr>
        <w:t xml:space="preserve"> below 1</w:t>
      </w:r>
      <w:r w:rsidR="00B418C1">
        <w:rPr>
          <w:rFonts w:eastAsia="Calibri"/>
          <w:lang w:eastAsia="en-US"/>
        </w:rPr>
        <w:t>,</w:t>
      </w:r>
      <w:r w:rsidR="00EC3A3D">
        <w:rPr>
          <w:rFonts w:eastAsia="Calibri"/>
          <w:lang w:eastAsia="en-US"/>
        </w:rPr>
        <w:t xml:space="preserve"> indication acceptable environmental risk</w:t>
      </w:r>
      <w:r w:rsidR="00274CF9">
        <w:rPr>
          <w:rFonts w:eastAsia="Calibri"/>
          <w:lang w:eastAsia="en-US"/>
        </w:rPr>
        <w:t xml:space="preserve"> for use in the EU</w:t>
      </w:r>
      <w:r w:rsidR="00EC3A3D">
        <w:rPr>
          <w:rFonts w:eastAsia="Calibri"/>
          <w:lang w:eastAsia="en-US"/>
        </w:rPr>
        <w:t xml:space="preserve">. </w:t>
      </w:r>
      <w:r w:rsidR="009C4962">
        <w:rPr>
          <w:rFonts w:eastAsia="Calibri"/>
          <w:lang w:eastAsia="en-US"/>
        </w:rPr>
        <w:t xml:space="preserve">The </w:t>
      </w:r>
      <w:r w:rsidRPr="00627E64">
        <w:rPr>
          <w:rFonts w:eastAsia="Calibri"/>
          <w:lang w:eastAsia="en-US"/>
        </w:rPr>
        <w:t>PEC/PNEC ratios based on PEC values calculated with the Norwegian fish farm scenario, were found to be ≤ 1 indicating acceptable environmental risk.</w:t>
      </w:r>
    </w:p>
    <w:p w14:paraId="4D9033B8" w14:textId="301D00B9" w:rsidR="002E6D4D" w:rsidRDefault="002E6D4D" w:rsidP="00627E64">
      <w:pPr>
        <w:spacing w:line="260" w:lineRule="atLeast"/>
        <w:rPr>
          <w:rFonts w:eastAsia="Calibri"/>
          <w:lang w:eastAsia="en-US"/>
        </w:rPr>
      </w:pPr>
    </w:p>
    <w:p w14:paraId="571F8455" w14:textId="77777777" w:rsidR="003A5EDF" w:rsidRDefault="003A5EDF" w:rsidP="00627E64">
      <w:pPr>
        <w:spacing w:line="260" w:lineRule="atLeast"/>
        <w:rPr>
          <w:rFonts w:eastAsia="Calibri"/>
          <w:lang w:eastAsia="en-US"/>
        </w:rPr>
      </w:pPr>
      <w:r>
        <w:rPr>
          <w:rFonts w:eastAsia="Calibri"/>
          <w:lang w:eastAsia="en-US"/>
        </w:rPr>
        <w:t xml:space="preserve">Exposure to human health </w:t>
      </w:r>
      <w:r w:rsidRPr="00627E64">
        <w:rPr>
          <w:rFonts w:eastAsia="Calibri"/>
          <w:lang w:eastAsia="en-US"/>
        </w:rPr>
        <w:t xml:space="preserve">from the use of the AquaNet 360 BPF </w:t>
      </w:r>
      <w:r>
        <w:rPr>
          <w:rFonts w:eastAsia="Calibri"/>
          <w:lang w:eastAsia="en-US"/>
        </w:rPr>
        <w:t xml:space="preserve">(net treatment as well as net deployment) has been assessed in a tiered approach. </w:t>
      </w:r>
    </w:p>
    <w:p w14:paraId="6F24841F" w14:textId="77777777" w:rsidR="003A5EDF" w:rsidRDefault="003A5EDF" w:rsidP="00627E64">
      <w:pPr>
        <w:spacing w:line="260" w:lineRule="atLeast"/>
        <w:rPr>
          <w:rFonts w:eastAsia="Calibri"/>
          <w:lang w:eastAsia="en-US"/>
        </w:rPr>
      </w:pPr>
    </w:p>
    <w:p w14:paraId="66ED91E5" w14:textId="77777777" w:rsidR="003A5EDF" w:rsidRPr="006B1A5A" w:rsidRDefault="003A5EDF" w:rsidP="003A5EDF">
      <w:pPr>
        <w:rPr>
          <w:rFonts w:eastAsia="Calibri"/>
          <w:lang w:eastAsia="en-US"/>
        </w:rPr>
      </w:pPr>
      <w:r w:rsidRPr="006B1A5A">
        <w:rPr>
          <w:rFonts w:eastAsia="Calibri"/>
          <w:lang w:eastAsia="en-US"/>
        </w:rPr>
        <w:t xml:space="preserve">The risk to industrial workers involved in net </w:t>
      </w:r>
      <w:r>
        <w:rPr>
          <w:rFonts w:eastAsia="Calibri"/>
          <w:lang w:eastAsia="en-US"/>
        </w:rPr>
        <w:t>impregnation</w:t>
      </w:r>
      <w:r w:rsidRPr="006B1A5A">
        <w:rPr>
          <w:rFonts w:eastAsia="Calibri"/>
          <w:lang w:eastAsia="en-US"/>
        </w:rPr>
        <w:t xml:space="preserve"> activities was assessed using the Dipping model 4 in </w:t>
      </w:r>
      <w:r w:rsidRPr="006B1A5A">
        <w:rPr>
          <w:rFonts w:eastAsia="Calibri"/>
          <w:iCs/>
          <w:lang w:eastAsia="en-US"/>
        </w:rPr>
        <w:t>the Biocides Human Health Exposure Methodology</w:t>
      </w:r>
      <w:r w:rsidRPr="006B1A5A">
        <w:rPr>
          <w:rFonts w:eastAsia="Calibri"/>
          <w:lang w:eastAsia="en-US"/>
        </w:rPr>
        <w:t xml:space="preserve">, based on surveys of personnel performing aquaculture net dipping tasks. </w:t>
      </w:r>
      <w:r w:rsidRPr="001F4F3A">
        <w:rPr>
          <w:rFonts w:eastAsia="Calibri"/>
          <w:lang w:eastAsia="en-US"/>
        </w:rPr>
        <w:t xml:space="preserve">The risk was demonstrated to be acceptable for </w:t>
      </w:r>
      <w:r>
        <w:rPr>
          <w:rFonts w:eastAsia="Calibri"/>
          <w:lang w:eastAsia="en-US"/>
        </w:rPr>
        <w:t>AquaNet LG 360 and AquaNet HG 360, provided that the workers wear coated coveralls and gloves</w:t>
      </w:r>
      <w:r w:rsidR="001B741F">
        <w:rPr>
          <w:rFonts w:eastAsia="Calibri"/>
          <w:lang w:eastAsia="en-US"/>
        </w:rPr>
        <w:t xml:space="preserve"> and </w:t>
      </w:r>
      <w:r w:rsidRPr="001F4F3A">
        <w:rPr>
          <w:rFonts w:eastAsia="Calibri"/>
          <w:lang w:eastAsia="en-US"/>
        </w:rPr>
        <w:t xml:space="preserve">for </w:t>
      </w:r>
      <w:r>
        <w:rPr>
          <w:rFonts w:eastAsia="Calibri"/>
          <w:lang w:eastAsia="en-US"/>
        </w:rPr>
        <w:t>AquaNet 360 RFU provided that the workers wear impermeable coveralls and gloves.</w:t>
      </w:r>
    </w:p>
    <w:p w14:paraId="4302E91D" w14:textId="77777777" w:rsidR="003A5EDF" w:rsidRDefault="003A5EDF" w:rsidP="003A5EDF">
      <w:pPr>
        <w:rPr>
          <w:rFonts w:eastAsia="Calibri"/>
          <w:lang w:eastAsia="en-US"/>
        </w:rPr>
      </w:pPr>
    </w:p>
    <w:p w14:paraId="61B5DF17" w14:textId="25001052" w:rsidR="001B741F" w:rsidRDefault="001B741F" w:rsidP="001B741F">
      <w:pPr>
        <w:rPr>
          <w:rFonts w:eastAsia="Calibri"/>
          <w:lang w:eastAsia="en-US"/>
        </w:rPr>
      </w:pPr>
      <w:r w:rsidRPr="006B1A5A">
        <w:rPr>
          <w:rFonts w:eastAsia="Calibri"/>
          <w:lang w:eastAsia="en-US"/>
        </w:rPr>
        <w:t xml:space="preserve">The risk to professional workers involved in net deployment activities was assessed using the Handling model 2 in </w:t>
      </w:r>
      <w:r w:rsidRPr="006B1A5A">
        <w:rPr>
          <w:rFonts w:eastAsia="Calibri"/>
          <w:iCs/>
          <w:lang w:eastAsia="en-US"/>
        </w:rPr>
        <w:t>the Biocides Human Health Exposure Methodology</w:t>
      </w:r>
      <w:r w:rsidRPr="006B1A5A">
        <w:rPr>
          <w:rFonts w:eastAsia="Calibri"/>
          <w:lang w:eastAsia="en-US"/>
        </w:rPr>
        <w:t>, based on surveys of personnel performing aquaculture net deployment activities.</w:t>
      </w:r>
      <w:r>
        <w:rPr>
          <w:rFonts w:eastAsia="Calibri"/>
          <w:lang w:eastAsia="en-US"/>
        </w:rPr>
        <w:t xml:space="preserve"> </w:t>
      </w:r>
      <w:r w:rsidRPr="006B1A5A">
        <w:rPr>
          <w:rFonts w:eastAsia="Calibri"/>
          <w:lang w:eastAsia="en-US"/>
        </w:rPr>
        <w:t xml:space="preserve">The risk was demonstrated to be acceptable in the </w:t>
      </w:r>
      <w:r>
        <w:rPr>
          <w:rFonts w:eastAsia="Calibri"/>
          <w:lang w:eastAsia="en-US"/>
        </w:rPr>
        <w:t>t</w:t>
      </w:r>
      <w:r w:rsidRPr="006B1A5A">
        <w:rPr>
          <w:rFonts w:eastAsia="Calibri"/>
          <w:lang w:eastAsia="en-US"/>
        </w:rPr>
        <w:t>ier 1 assessment for all family members</w:t>
      </w:r>
      <w:r>
        <w:rPr>
          <w:rFonts w:eastAsia="Calibri"/>
          <w:lang w:eastAsia="en-US"/>
        </w:rPr>
        <w:t xml:space="preserve">, assuming use of gloves (the </w:t>
      </w:r>
      <w:r w:rsidRPr="006B1A5A">
        <w:rPr>
          <w:rFonts w:eastAsia="Calibri"/>
          <w:lang w:eastAsia="en-US"/>
        </w:rPr>
        <w:t xml:space="preserve">indicative hand exposure value in </w:t>
      </w:r>
      <w:r>
        <w:rPr>
          <w:rFonts w:eastAsia="Calibri"/>
          <w:lang w:eastAsia="en-US"/>
        </w:rPr>
        <w:t xml:space="preserve">the </w:t>
      </w:r>
      <w:r w:rsidR="00A60496">
        <w:rPr>
          <w:rFonts w:eastAsia="Calibri"/>
          <w:lang w:eastAsia="en-US"/>
        </w:rPr>
        <w:t xml:space="preserve">exposure </w:t>
      </w:r>
      <w:r w:rsidRPr="006B1A5A">
        <w:rPr>
          <w:rFonts w:eastAsia="Calibri"/>
          <w:lang w:eastAsia="en-US"/>
        </w:rPr>
        <w:t xml:space="preserve">model </w:t>
      </w:r>
      <w:r>
        <w:rPr>
          <w:rFonts w:eastAsia="Calibri"/>
          <w:lang w:eastAsia="en-US"/>
        </w:rPr>
        <w:t xml:space="preserve">was </w:t>
      </w:r>
      <w:r w:rsidRPr="006B1A5A">
        <w:rPr>
          <w:rFonts w:eastAsia="Calibri"/>
          <w:lang w:eastAsia="en-US"/>
        </w:rPr>
        <w:t>actual measured values inside gloves</w:t>
      </w:r>
      <w:r>
        <w:rPr>
          <w:rFonts w:eastAsia="Calibri"/>
          <w:lang w:eastAsia="en-US"/>
        </w:rPr>
        <w:t>)</w:t>
      </w:r>
      <w:r w:rsidRPr="006B1A5A">
        <w:rPr>
          <w:rFonts w:eastAsia="Calibri"/>
          <w:lang w:eastAsia="en-US"/>
        </w:rPr>
        <w:t xml:space="preserve">. Gloves are always worn when performing this task, due to mechanical strain, and in the Atlantic region usually also due to low temperatures. </w:t>
      </w:r>
    </w:p>
    <w:p w14:paraId="193C623B" w14:textId="77777777" w:rsidR="001B741F" w:rsidRDefault="001B741F" w:rsidP="001B741F">
      <w:pPr>
        <w:rPr>
          <w:rFonts w:eastAsia="Calibri"/>
          <w:lang w:eastAsia="en-US"/>
        </w:rPr>
      </w:pPr>
    </w:p>
    <w:p w14:paraId="3C9121FD" w14:textId="77777777" w:rsidR="001B741F" w:rsidRPr="006B1A5A" w:rsidRDefault="001B741F" w:rsidP="001B741F">
      <w:pPr>
        <w:spacing w:line="260" w:lineRule="atLeast"/>
        <w:rPr>
          <w:rFonts w:eastAsia="Calibri"/>
          <w:bCs/>
          <w:lang w:eastAsia="en-US"/>
        </w:rPr>
      </w:pPr>
      <w:r>
        <w:rPr>
          <w:rFonts w:eastAsia="Calibri"/>
          <w:bCs/>
          <w:lang w:eastAsia="en-US"/>
        </w:rPr>
        <w:t xml:space="preserve">Due to the classification of the products </w:t>
      </w:r>
      <w:r w:rsidRPr="006B1A5A">
        <w:rPr>
          <w:rFonts w:eastAsia="Calibri"/>
          <w:bCs/>
          <w:lang w:eastAsia="en-US"/>
        </w:rPr>
        <w:t>for Eye damage 1 (H318)</w:t>
      </w:r>
      <w:r>
        <w:rPr>
          <w:rFonts w:eastAsia="Calibri"/>
          <w:bCs/>
          <w:lang w:eastAsia="en-US"/>
        </w:rPr>
        <w:t>,</w:t>
      </w:r>
      <w:r w:rsidRPr="006B1A5A">
        <w:rPr>
          <w:rFonts w:eastAsia="Calibri"/>
          <w:bCs/>
          <w:lang w:eastAsia="en-US"/>
        </w:rPr>
        <w:t xml:space="preserve"> </w:t>
      </w:r>
      <w:r>
        <w:rPr>
          <w:rFonts w:eastAsia="Calibri"/>
          <w:bCs/>
          <w:lang w:eastAsia="en-US"/>
        </w:rPr>
        <w:t xml:space="preserve">eye protection should additionally be used. </w:t>
      </w:r>
    </w:p>
    <w:p w14:paraId="6D537D3B" w14:textId="77777777" w:rsidR="001042DA" w:rsidRPr="006B1A5A" w:rsidRDefault="001042DA" w:rsidP="001042DA">
      <w:pPr>
        <w:pStyle w:val="Overskrift1"/>
        <w:rPr>
          <w:rFonts w:eastAsia="Calibri"/>
          <w:lang w:val="en-GB"/>
        </w:rPr>
      </w:pPr>
      <w:r w:rsidRPr="006B1A5A">
        <w:rPr>
          <w:rFonts w:eastAsia="Calibri"/>
          <w:lang w:val="en-GB" w:eastAsia="en-US"/>
        </w:rPr>
        <w:br w:type="page"/>
      </w:r>
      <w:bookmarkStart w:id="3" w:name="_Toc389728850"/>
      <w:bookmarkStart w:id="4" w:name="_Toc66448784"/>
      <w:r w:rsidRPr="006B1A5A">
        <w:rPr>
          <w:rFonts w:eastAsia="Calibri"/>
          <w:lang w:val="en-GB"/>
        </w:rPr>
        <w:lastRenderedPageBreak/>
        <w:t>ASSESSMENT REPORT</w:t>
      </w:r>
      <w:bookmarkEnd w:id="3"/>
      <w:bookmarkEnd w:id="4"/>
    </w:p>
    <w:p w14:paraId="36F82FA1" w14:textId="77777777" w:rsidR="001042DA" w:rsidRPr="006B1A5A" w:rsidRDefault="001042DA" w:rsidP="00E25F93">
      <w:pPr>
        <w:pStyle w:val="Overskrift2"/>
        <w:rPr>
          <w:snapToGrid w:val="0"/>
        </w:rPr>
      </w:pPr>
      <w:bookmarkStart w:id="5" w:name="_Toc387244910"/>
      <w:bookmarkStart w:id="6" w:name="_Toc387250732"/>
      <w:bookmarkStart w:id="7" w:name="_Toc388281221"/>
      <w:bookmarkStart w:id="8" w:name="_Toc388281677"/>
      <w:bookmarkStart w:id="9" w:name="_Toc387244911"/>
      <w:bookmarkStart w:id="10" w:name="_Toc387250733"/>
      <w:bookmarkStart w:id="11" w:name="_Toc388281222"/>
      <w:bookmarkStart w:id="12" w:name="_Toc388281678"/>
      <w:bookmarkStart w:id="13" w:name="_Toc418784128"/>
      <w:bookmarkStart w:id="14" w:name="_Toc418784129"/>
      <w:bookmarkStart w:id="15" w:name="_Toc425344061"/>
      <w:bookmarkStart w:id="16" w:name="_Toc66448785"/>
      <w:bookmarkStart w:id="17" w:name="_Toc366658839"/>
      <w:bookmarkStart w:id="18" w:name="d0e7"/>
      <w:bookmarkStart w:id="19" w:name="d0e6"/>
      <w:bookmarkStart w:id="20" w:name="_Toc389729188"/>
      <w:bookmarkStart w:id="21" w:name="_Toc403472826"/>
      <w:bookmarkEnd w:id="5"/>
      <w:bookmarkEnd w:id="6"/>
      <w:bookmarkEnd w:id="7"/>
      <w:bookmarkEnd w:id="8"/>
      <w:bookmarkEnd w:id="9"/>
      <w:bookmarkEnd w:id="10"/>
      <w:bookmarkEnd w:id="11"/>
      <w:bookmarkEnd w:id="12"/>
      <w:bookmarkEnd w:id="13"/>
      <w:bookmarkEnd w:id="14"/>
      <w:r w:rsidRPr="006B1A5A">
        <w:rPr>
          <w:snapToGrid w:val="0"/>
        </w:rPr>
        <w:t>Summary of the product assessment</w:t>
      </w:r>
      <w:bookmarkEnd w:id="15"/>
      <w:bookmarkEnd w:id="16"/>
      <w:r w:rsidRPr="006B1A5A">
        <w:rPr>
          <w:snapToGrid w:val="0"/>
        </w:rPr>
        <w:t xml:space="preserve"> </w:t>
      </w:r>
    </w:p>
    <w:p w14:paraId="6A47FC3E" w14:textId="30C164B3" w:rsidR="001042DA" w:rsidRPr="006B1A5A" w:rsidRDefault="001042DA" w:rsidP="00E25F93">
      <w:pPr>
        <w:pStyle w:val="Overskrift3"/>
        <w:rPr>
          <w:lang w:val="en-GB"/>
        </w:rPr>
      </w:pPr>
      <w:bookmarkStart w:id="22" w:name="_Toc425344062"/>
      <w:bookmarkStart w:id="23" w:name="_Toc66448786"/>
      <w:r w:rsidRPr="006B1A5A">
        <w:rPr>
          <w:lang w:val="en-GB"/>
        </w:rPr>
        <w:t>Administrative information</w:t>
      </w:r>
      <w:bookmarkEnd w:id="17"/>
      <w:bookmarkEnd w:id="22"/>
      <w:bookmarkEnd w:id="23"/>
    </w:p>
    <w:p w14:paraId="66A4BEAC" w14:textId="77777777" w:rsidR="001042DA" w:rsidRPr="0055417B" w:rsidRDefault="001042DA" w:rsidP="00916E44">
      <w:pPr>
        <w:pStyle w:val="Overskrift4"/>
      </w:pPr>
      <w:bookmarkStart w:id="24" w:name="_Toc366658840"/>
      <w:bookmarkStart w:id="25" w:name="d0e10"/>
      <w:bookmarkStart w:id="26" w:name="_Toc425344063"/>
      <w:bookmarkStart w:id="27" w:name="_Toc66448787"/>
      <w:bookmarkEnd w:id="18"/>
      <w:bookmarkEnd w:id="19"/>
      <w:r w:rsidRPr="0055417B">
        <w:t>Identifier of the product / product family</w:t>
      </w:r>
      <w:bookmarkEnd w:id="24"/>
      <w:bookmarkEnd w:id="25"/>
      <w:bookmarkEnd w:id="26"/>
      <w:bookmarkEnd w:id="27"/>
    </w:p>
    <w:tbl>
      <w:tblPr>
        <w:tblW w:w="9067" w:type="dxa"/>
        <w:tblInd w:w="45" w:type="dxa"/>
        <w:tblLayout w:type="fixed"/>
        <w:tblCellMar>
          <w:left w:w="0" w:type="dxa"/>
          <w:right w:w="0" w:type="dxa"/>
        </w:tblCellMar>
        <w:tblLook w:val="0000" w:firstRow="0" w:lastRow="0" w:firstColumn="0" w:lastColumn="0" w:noHBand="0" w:noVBand="0"/>
      </w:tblPr>
      <w:tblGrid>
        <w:gridCol w:w="4815"/>
        <w:gridCol w:w="4252"/>
      </w:tblGrid>
      <w:tr w:rsidR="001042DA" w:rsidRPr="006B1A5A" w14:paraId="2FC42C25" w14:textId="77777777" w:rsidTr="00AF2AEA">
        <w:trPr>
          <w:tblHeader/>
        </w:trPr>
        <w:tc>
          <w:tcPr>
            <w:tcW w:w="4815"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5933B8C1" w14:textId="77777777" w:rsidR="001042DA" w:rsidRPr="006B1A5A" w:rsidRDefault="001042DA" w:rsidP="00AF2AEA">
            <w:r w:rsidRPr="006B1A5A">
              <w:rPr>
                <w:b/>
                <w:bCs/>
                <w:szCs w:val="24"/>
                <w:lang w:eastAsia="en-GB"/>
              </w:rPr>
              <w:t>Identifier</w:t>
            </w:r>
            <w:r w:rsidRPr="006B1A5A">
              <w:rPr>
                <w:rStyle w:val="Fotnotereferanse"/>
                <w:b/>
                <w:bCs/>
                <w:szCs w:val="24"/>
                <w:lang w:eastAsia="en-GB"/>
              </w:rPr>
              <w:footnoteReference w:id="2"/>
            </w:r>
          </w:p>
        </w:tc>
        <w:tc>
          <w:tcPr>
            <w:tcW w:w="4252"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3043B003" w14:textId="77777777" w:rsidR="001042DA" w:rsidRPr="006B1A5A" w:rsidRDefault="001042DA" w:rsidP="00AF2AEA">
            <w:r w:rsidRPr="006B1A5A">
              <w:rPr>
                <w:b/>
                <w:bCs/>
                <w:szCs w:val="24"/>
                <w:lang w:eastAsia="en-GB"/>
              </w:rPr>
              <w:t>Country (if relevant)</w:t>
            </w:r>
          </w:p>
        </w:tc>
      </w:tr>
      <w:tr w:rsidR="001042DA" w:rsidRPr="006B1A5A" w14:paraId="12002ED5" w14:textId="77777777" w:rsidTr="00AF2AEA">
        <w:tc>
          <w:tcPr>
            <w:tcW w:w="481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3DE651B" w14:textId="77777777" w:rsidR="001042DA" w:rsidRPr="006B1A5A" w:rsidRDefault="001042DA" w:rsidP="00AF2AEA">
            <w:r w:rsidRPr="006B1A5A">
              <w:t>Product family: 360 products, consisting of</w:t>
            </w:r>
          </w:p>
        </w:tc>
        <w:tc>
          <w:tcPr>
            <w:tcW w:w="425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5D9723B" w14:textId="77777777" w:rsidR="001042DA" w:rsidRPr="006B1A5A" w:rsidRDefault="001042DA" w:rsidP="00AF2AEA">
            <w:r w:rsidRPr="006B1A5A">
              <w:t>NO, IT, ES, UK, EL</w:t>
            </w:r>
          </w:p>
        </w:tc>
      </w:tr>
      <w:tr w:rsidR="001042DA" w:rsidRPr="006B1A5A" w14:paraId="64FC38E3" w14:textId="77777777" w:rsidTr="00AF2AEA">
        <w:tc>
          <w:tcPr>
            <w:tcW w:w="481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C115C59" w14:textId="77777777" w:rsidR="001042DA" w:rsidRPr="006B1A5A" w:rsidRDefault="001042DA" w:rsidP="00AF2AEA">
            <w:r w:rsidRPr="006B1A5A">
              <w:t>AquaNet LG360</w:t>
            </w:r>
          </w:p>
        </w:tc>
        <w:tc>
          <w:tcPr>
            <w:tcW w:w="425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1109A4D" w14:textId="77777777" w:rsidR="001042DA" w:rsidRPr="006B1A5A" w:rsidRDefault="001042DA" w:rsidP="00AF2AEA"/>
        </w:tc>
      </w:tr>
      <w:tr w:rsidR="001042DA" w:rsidRPr="006B1A5A" w14:paraId="73847A64" w14:textId="77777777" w:rsidTr="00AF2AEA">
        <w:tc>
          <w:tcPr>
            <w:tcW w:w="481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B1F5028" w14:textId="77777777" w:rsidR="001042DA" w:rsidRPr="006B1A5A" w:rsidRDefault="001042DA" w:rsidP="00AF2AEA">
            <w:r w:rsidRPr="006B1A5A">
              <w:t>AquaNet HG360</w:t>
            </w:r>
          </w:p>
        </w:tc>
        <w:tc>
          <w:tcPr>
            <w:tcW w:w="425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B52D364" w14:textId="77777777" w:rsidR="001042DA" w:rsidRPr="006B1A5A" w:rsidRDefault="001042DA" w:rsidP="00AF2AEA"/>
        </w:tc>
      </w:tr>
      <w:tr w:rsidR="001042DA" w:rsidRPr="006B1A5A" w14:paraId="4DF98DCF" w14:textId="77777777" w:rsidTr="00AF2AEA">
        <w:tc>
          <w:tcPr>
            <w:tcW w:w="481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C585114" w14:textId="77777777" w:rsidR="001042DA" w:rsidRPr="006B1A5A" w:rsidRDefault="001042DA" w:rsidP="00AF2AEA">
            <w:bookmarkStart w:id="28" w:name="_Toc425344064"/>
            <w:bookmarkStart w:id="29" w:name="_Toc366658844"/>
            <w:bookmarkStart w:id="30" w:name="d0e350"/>
            <w:r w:rsidRPr="006B1A5A">
              <w:t>RFU 360</w:t>
            </w:r>
          </w:p>
        </w:tc>
        <w:tc>
          <w:tcPr>
            <w:tcW w:w="425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32B44C2" w14:textId="77777777" w:rsidR="001042DA" w:rsidRPr="006B1A5A" w:rsidRDefault="001042DA" w:rsidP="00AF2AEA"/>
        </w:tc>
      </w:tr>
    </w:tbl>
    <w:p w14:paraId="79C2150A" w14:textId="77777777" w:rsidR="001042DA" w:rsidRPr="006B1A5A" w:rsidRDefault="001042DA" w:rsidP="00916E44">
      <w:pPr>
        <w:pStyle w:val="Overskrift4"/>
      </w:pPr>
      <w:bookmarkStart w:id="31" w:name="_Toc66448788"/>
      <w:r w:rsidRPr="006B1A5A">
        <w:t>Authorisation holder</w:t>
      </w:r>
      <w:bookmarkEnd w:id="28"/>
      <w:bookmarkEnd w:id="31"/>
    </w:p>
    <w:tbl>
      <w:tblPr>
        <w:tblW w:w="0" w:type="auto"/>
        <w:tblInd w:w="45" w:type="dxa"/>
        <w:tblLayout w:type="fixed"/>
        <w:tblCellMar>
          <w:left w:w="0" w:type="dxa"/>
          <w:right w:w="0" w:type="dxa"/>
        </w:tblCellMar>
        <w:tblLook w:val="0000" w:firstRow="0" w:lastRow="0" w:firstColumn="0" w:lastColumn="0" w:noHBand="0" w:noVBand="0"/>
      </w:tblPr>
      <w:tblGrid>
        <w:gridCol w:w="3397"/>
        <w:gridCol w:w="1115"/>
        <w:gridCol w:w="4513"/>
      </w:tblGrid>
      <w:tr w:rsidR="001042DA" w:rsidRPr="006B1A5A" w14:paraId="692121E2" w14:textId="77777777" w:rsidTr="00AF2AEA">
        <w:tc>
          <w:tcPr>
            <w:tcW w:w="3397"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25AE0E7B" w14:textId="77777777" w:rsidR="001042DA" w:rsidRPr="006B1A5A" w:rsidRDefault="001042DA" w:rsidP="00AF2AEA">
            <w:pPr>
              <w:rPr>
                <w:b/>
              </w:rPr>
            </w:pPr>
            <w:bookmarkStart w:id="32" w:name="d0e66"/>
            <w:r w:rsidRPr="006B1A5A">
              <w:rPr>
                <w:b/>
                <w:bCs/>
                <w:color w:val="000000"/>
                <w:szCs w:val="24"/>
                <w:lang w:eastAsia="en-GB"/>
              </w:rPr>
              <w:t>Name and address of the authorisation holder</w:t>
            </w:r>
          </w:p>
        </w:tc>
        <w:tc>
          <w:tcPr>
            <w:tcW w:w="11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16E4340" w14:textId="77777777" w:rsidR="001042DA" w:rsidRPr="006B1A5A" w:rsidRDefault="001042DA" w:rsidP="00AF2AEA">
            <w:pPr>
              <w:rPr>
                <w:b/>
              </w:rPr>
            </w:pPr>
            <w:r w:rsidRPr="006B1A5A">
              <w:rPr>
                <w:b/>
              </w:rPr>
              <w:t>Name</w:t>
            </w:r>
          </w:p>
        </w:tc>
        <w:tc>
          <w:tcPr>
            <w:tcW w:w="451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E16BB6E" w14:textId="77777777" w:rsidR="001042DA" w:rsidRPr="006B1A5A" w:rsidRDefault="001042DA" w:rsidP="00AF2AEA">
            <w:r w:rsidRPr="006B1A5A">
              <w:t xml:space="preserve">Steen-Hansen A/S </w:t>
            </w:r>
          </w:p>
        </w:tc>
      </w:tr>
      <w:bookmarkEnd w:id="32"/>
      <w:tr w:rsidR="001042DA" w:rsidRPr="006B1A5A" w14:paraId="25DF6864" w14:textId="77777777" w:rsidTr="00AF2AEA">
        <w:tc>
          <w:tcPr>
            <w:tcW w:w="3397" w:type="dxa"/>
            <w:vMerge/>
            <w:tcBorders>
              <w:top w:val="nil"/>
              <w:left w:val="single" w:sz="4" w:space="0" w:color="000000"/>
              <w:bottom w:val="single" w:sz="4" w:space="0" w:color="000000"/>
              <w:right w:val="single" w:sz="4" w:space="0" w:color="000000"/>
            </w:tcBorders>
            <w:tcMar>
              <w:left w:w="40" w:type="dxa"/>
              <w:bottom w:w="40" w:type="dxa"/>
              <w:right w:w="40" w:type="dxa"/>
            </w:tcMar>
          </w:tcPr>
          <w:p w14:paraId="371DBA69" w14:textId="77777777" w:rsidR="001042DA" w:rsidRPr="006B1A5A" w:rsidRDefault="001042DA" w:rsidP="00AF2AEA">
            <w:pPr>
              <w:pStyle w:val="Special"/>
              <w:rPr>
                <w:b/>
                <w:lang w:val="en-GB"/>
              </w:rPr>
            </w:pPr>
          </w:p>
        </w:tc>
        <w:tc>
          <w:tcPr>
            <w:tcW w:w="1115" w:type="dxa"/>
            <w:tcBorders>
              <w:top w:val="nil"/>
              <w:left w:val="nil"/>
              <w:bottom w:val="single" w:sz="4" w:space="0" w:color="000000"/>
              <w:right w:val="single" w:sz="4" w:space="0" w:color="000000"/>
            </w:tcBorders>
            <w:tcMar>
              <w:top w:w="40" w:type="dxa"/>
              <w:left w:w="40" w:type="dxa"/>
              <w:bottom w:w="40" w:type="dxa"/>
              <w:right w:w="40" w:type="dxa"/>
            </w:tcMar>
          </w:tcPr>
          <w:p w14:paraId="0A8529C9" w14:textId="77777777" w:rsidR="001042DA" w:rsidRPr="006B1A5A" w:rsidRDefault="001042DA" w:rsidP="00AF2AEA">
            <w:pPr>
              <w:rPr>
                <w:b/>
              </w:rPr>
            </w:pPr>
            <w:r w:rsidRPr="006B1A5A">
              <w:rPr>
                <w:b/>
              </w:rPr>
              <w:t>Address</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14:paraId="31A0BD1E" w14:textId="77777777" w:rsidR="001042DA" w:rsidRPr="006B1A5A" w:rsidRDefault="001042DA" w:rsidP="00AF2AEA">
            <w:r w:rsidRPr="006B1A5A">
              <w:t>Ulsmågveien 24, NO-5224 Nesttun</w:t>
            </w:r>
          </w:p>
          <w:p w14:paraId="7E83EB1B" w14:textId="77777777" w:rsidR="001042DA" w:rsidRPr="006B1A5A" w:rsidRDefault="001042DA" w:rsidP="00AF2AEA">
            <w:r w:rsidRPr="006B1A5A">
              <w:t>Norway</w:t>
            </w:r>
          </w:p>
        </w:tc>
      </w:tr>
      <w:tr w:rsidR="001042DA" w:rsidRPr="006B1A5A" w14:paraId="032EB391" w14:textId="77777777" w:rsidTr="00AF2AEA">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6B4884B" w14:textId="77777777" w:rsidR="001042DA" w:rsidRPr="006B1A5A" w:rsidRDefault="001042DA" w:rsidP="00AF2AEA">
            <w:pPr>
              <w:rPr>
                <w:b/>
              </w:rPr>
            </w:pPr>
            <w:r w:rsidRPr="006B1A5A">
              <w:rPr>
                <w:b/>
                <w:bCs/>
                <w:color w:val="000000"/>
                <w:szCs w:val="24"/>
                <w:lang w:eastAsia="en-GB"/>
              </w:rPr>
              <w:t>Authorisation number</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14:paraId="56DD4F0E" w14:textId="77777777" w:rsidR="001042DA" w:rsidRPr="006B1A5A" w:rsidRDefault="001042DA" w:rsidP="00AF2AEA"/>
        </w:tc>
      </w:tr>
      <w:tr w:rsidR="001042DA" w:rsidRPr="006B1A5A" w14:paraId="0E4FBD24" w14:textId="77777777" w:rsidTr="00AF2AEA">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AB6F3C" w14:textId="77777777" w:rsidR="001042DA" w:rsidRPr="006B1A5A" w:rsidRDefault="001042DA" w:rsidP="00AF2AEA">
            <w:pPr>
              <w:rPr>
                <w:b/>
              </w:rPr>
            </w:pPr>
            <w:r w:rsidRPr="006B1A5A">
              <w:rPr>
                <w:b/>
                <w:bCs/>
                <w:color w:val="000000"/>
                <w:szCs w:val="24"/>
                <w:lang w:eastAsia="en-GB"/>
              </w:rPr>
              <w:t>Date of the authorisation</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14:paraId="18D71510" w14:textId="77777777" w:rsidR="001042DA" w:rsidRPr="006B1A5A" w:rsidRDefault="001042DA" w:rsidP="00AF2AEA"/>
        </w:tc>
      </w:tr>
      <w:tr w:rsidR="001042DA" w:rsidRPr="006B1A5A" w14:paraId="679796C0" w14:textId="77777777" w:rsidTr="00AF2AEA">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417B5A4" w14:textId="77777777" w:rsidR="001042DA" w:rsidRPr="006B1A5A" w:rsidRDefault="001042DA" w:rsidP="00AF2AEA">
            <w:pPr>
              <w:rPr>
                <w:b/>
              </w:rPr>
            </w:pPr>
            <w:r w:rsidRPr="006B1A5A">
              <w:rPr>
                <w:b/>
                <w:bCs/>
                <w:color w:val="000000"/>
                <w:szCs w:val="24"/>
                <w:lang w:eastAsia="en-GB"/>
              </w:rPr>
              <w:t>Expiry date of the authorisation</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14:paraId="3CA02AD2" w14:textId="77777777" w:rsidR="001042DA" w:rsidRPr="006B1A5A" w:rsidRDefault="001042DA" w:rsidP="00AF2AEA"/>
        </w:tc>
      </w:tr>
    </w:tbl>
    <w:p w14:paraId="3D7F2322" w14:textId="77777777" w:rsidR="001042DA" w:rsidRPr="006B1A5A" w:rsidRDefault="001042DA" w:rsidP="00916E44">
      <w:pPr>
        <w:pStyle w:val="Overskrift4"/>
      </w:pPr>
      <w:bookmarkStart w:id="33" w:name="_Toc366658842"/>
      <w:bookmarkStart w:id="34" w:name="d0e146"/>
      <w:bookmarkStart w:id="35" w:name="_Toc425344065"/>
      <w:bookmarkStart w:id="36" w:name="_Toc66448789"/>
      <w:r w:rsidRPr="006B1A5A">
        <w:t>Manufacturer(s) of the products of the family</w:t>
      </w:r>
      <w:bookmarkEnd w:id="33"/>
      <w:bookmarkEnd w:id="34"/>
      <w:bookmarkEnd w:id="35"/>
      <w:bookmarkEnd w:id="36"/>
    </w:p>
    <w:tbl>
      <w:tblPr>
        <w:tblW w:w="0" w:type="auto"/>
        <w:tblInd w:w="45" w:type="dxa"/>
        <w:tblLayout w:type="fixed"/>
        <w:tblCellMar>
          <w:left w:w="0" w:type="dxa"/>
          <w:right w:w="0" w:type="dxa"/>
        </w:tblCellMar>
        <w:tblLook w:val="0000" w:firstRow="0" w:lastRow="0" w:firstColumn="0" w:lastColumn="0" w:noHBand="0" w:noVBand="0"/>
      </w:tblPr>
      <w:tblGrid>
        <w:gridCol w:w="3397"/>
        <w:gridCol w:w="5628"/>
      </w:tblGrid>
      <w:tr w:rsidR="001042DA" w:rsidRPr="006B1A5A" w14:paraId="444AF68E" w14:textId="77777777" w:rsidTr="00AF2AEA">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73B1F5" w14:textId="77777777" w:rsidR="001042DA" w:rsidRPr="006B1A5A" w:rsidRDefault="001042DA" w:rsidP="00AF2AEA">
            <w:pPr>
              <w:rPr>
                <w:b/>
              </w:rPr>
            </w:pPr>
            <w:r w:rsidRPr="006B1A5A">
              <w:rPr>
                <w:b/>
                <w:bCs/>
                <w:color w:val="000000"/>
                <w:szCs w:val="24"/>
                <w:lang w:eastAsia="en-GB"/>
              </w:rPr>
              <w:t>Name of manufacturer</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E7EDF57" w14:textId="77777777" w:rsidR="001042DA" w:rsidRPr="006B1A5A" w:rsidRDefault="001042DA" w:rsidP="00AF2AEA">
            <w:r w:rsidRPr="006B1A5A">
              <w:t>Steen-Hansen A/S</w:t>
            </w:r>
          </w:p>
        </w:tc>
      </w:tr>
      <w:tr w:rsidR="001042DA" w:rsidRPr="006B1A5A" w14:paraId="3CBA276C" w14:textId="77777777" w:rsidTr="00AF2AEA">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AE17949" w14:textId="77777777" w:rsidR="001042DA" w:rsidRPr="006B1A5A" w:rsidRDefault="001042DA" w:rsidP="00AF2AEA">
            <w:pPr>
              <w:rPr>
                <w:b/>
              </w:rPr>
            </w:pPr>
            <w:r w:rsidRPr="006B1A5A">
              <w:rPr>
                <w:b/>
                <w:bCs/>
                <w:color w:val="000000"/>
                <w:szCs w:val="24"/>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06F694E1" w14:textId="77777777" w:rsidR="001042DA" w:rsidRPr="006B1A5A" w:rsidRDefault="001042DA" w:rsidP="00AF2AEA">
            <w:r w:rsidRPr="006B1A5A">
              <w:t>Ulsmågveien 24, NO-5224 Nesttun</w:t>
            </w:r>
          </w:p>
        </w:tc>
      </w:tr>
      <w:tr w:rsidR="001042DA" w:rsidRPr="006B1A5A" w14:paraId="22078A97" w14:textId="77777777" w:rsidTr="00AF2AEA">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87301A" w14:textId="77777777" w:rsidR="001042DA" w:rsidRPr="006B1A5A" w:rsidRDefault="001042DA" w:rsidP="00AF2AEA">
            <w:pPr>
              <w:rPr>
                <w:b/>
              </w:rPr>
            </w:pPr>
            <w:r w:rsidRPr="006B1A5A">
              <w:rPr>
                <w:b/>
                <w:bCs/>
                <w:color w:val="000000"/>
                <w:szCs w:val="24"/>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794D356D" w14:textId="77777777" w:rsidR="001042DA" w:rsidRPr="006B1A5A" w:rsidRDefault="001042DA" w:rsidP="00AF2AEA">
            <w:r w:rsidRPr="006B1A5A">
              <w:t>Norway</w:t>
            </w:r>
          </w:p>
        </w:tc>
      </w:tr>
    </w:tbl>
    <w:p w14:paraId="165C7D3A" w14:textId="22F73F8B" w:rsidR="001042DA" w:rsidRPr="006B1A5A" w:rsidRDefault="001042DA" w:rsidP="00916E44">
      <w:pPr>
        <w:pStyle w:val="Overskrift4"/>
      </w:pPr>
      <w:bookmarkStart w:id="37" w:name="_Toc366658843"/>
      <w:bookmarkStart w:id="38" w:name="_Toc425344066"/>
      <w:bookmarkStart w:id="39" w:name="_Toc66448790"/>
      <w:r w:rsidRPr="006B1A5A">
        <w:t>Manufacturer(s) of the active substance(s)</w:t>
      </w:r>
      <w:bookmarkEnd w:id="37"/>
      <w:bookmarkEnd w:id="38"/>
      <w:bookmarkEnd w:id="39"/>
    </w:p>
    <w:tbl>
      <w:tblPr>
        <w:tblW w:w="9025" w:type="dxa"/>
        <w:tblInd w:w="45" w:type="dxa"/>
        <w:tblLayout w:type="fixed"/>
        <w:tblCellMar>
          <w:left w:w="0" w:type="dxa"/>
          <w:right w:w="0" w:type="dxa"/>
        </w:tblCellMar>
        <w:tblLook w:val="0000" w:firstRow="0" w:lastRow="0" w:firstColumn="0" w:lastColumn="0" w:noHBand="0" w:noVBand="0"/>
      </w:tblPr>
      <w:tblGrid>
        <w:gridCol w:w="3397"/>
        <w:gridCol w:w="5628"/>
      </w:tblGrid>
      <w:tr w:rsidR="001042DA" w:rsidRPr="006B1A5A" w14:paraId="35E9C5FE" w14:textId="77777777" w:rsidTr="00AF2AEA">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53CE0A6" w14:textId="77777777" w:rsidR="001042DA" w:rsidRPr="006B1A5A" w:rsidRDefault="001042DA" w:rsidP="00AF2AEA">
            <w:pPr>
              <w:rPr>
                <w:b/>
              </w:rPr>
            </w:pPr>
            <w:bookmarkStart w:id="40" w:name="d0e246"/>
            <w:r w:rsidRPr="006B1A5A">
              <w:rPr>
                <w:b/>
                <w:bCs/>
                <w:color w:val="000000"/>
                <w:szCs w:val="24"/>
                <w:lang w:eastAsia="en-GB"/>
              </w:rPr>
              <w:t>Active substance</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B83448E" w14:textId="77777777" w:rsidR="001042DA" w:rsidRPr="006B1A5A" w:rsidRDefault="001042DA" w:rsidP="00AF2AEA">
            <w:r w:rsidRPr="006B1A5A">
              <w:t>Dicopper oxide</w:t>
            </w:r>
          </w:p>
        </w:tc>
      </w:tr>
      <w:bookmarkEnd w:id="40"/>
      <w:tr w:rsidR="001042DA" w:rsidRPr="006B1A5A" w14:paraId="6FEA04F5" w14:textId="77777777" w:rsidTr="00AF2AEA">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45D62E9" w14:textId="77777777" w:rsidR="001042DA" w:rsidRPr="006B1A5A" w:rsidRDefault="001042DA" w:rsidP="00AF2AEA">
            <w:pPr>
              <w:rPr>
                <w:b/>
              </w:rPr>
            </w:pPr>
            <w:r w:rsidRPr="006B1A5A">
              <w:rPr>
                <w:b/>
                <w:bCs/>
                <w:color w:val="000000"/>
                <w:szCs w:val="24"/>
                <w:lang w:eastAsia="en-GB"/>
              </w:rPr>
              <w:t>Name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6DA862FA" w14:textId="77777777" w:rsidR="001042DA" w:rsidRPr="006B1A5A" w:rsidRDefault="001042DA" w:rsidP="00AF2AEA">
            <w:r w:rsidRPr="006B1A5A">
              <w:t>Spiess-Urania Chemicals GmbH</w:t>
            </w:r>
          </w:p>
        </w:tc>
      </w:tr>
      <w:tr w:rsidR="001042DA" w:rsidRPr="006B1A5A" w14:paraId="7C8F83CC" w14:textId="77777777" w:rsidTr="00AF2AEA">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FCD19D2" w14:textId="77777777" w:rsidR="001042DA" w:rsidRPr="006B1A5A" w:rsidRDefault="001042DA" w:rsidP="00AF2AEA">
            <w:pPr>
              <w:rPr>
                <w:b/>
              </w:rPr>
            </w:pPr>
            <w:bookmarkStart w:id="41" w:name="d0e269"/>
            <w:r w:rsidRPr="006B1A5A">
              <w:rPr>
                <w:b/>
                <w:bCs/>
                <w:color w:val="000000"/>
                <w:szCs w:val="24"/>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7A648000" w14:textId="77777777" w:rsidR="001042DA" w:rsidRPr="006B1A5A" w:rsidRDefault="001042DA" w:rsidP="00AF2AEA">
            <w:r w:rsidRPr="006B1A5A">
              <w:t>Frankenstraβe 18b 20097 Hamburg Germany</w:t>
            </w:r>
          </w:p>
        </w:tc>
      </w:tr>
      <w:bookmarkEnd w:id="41"/>
      <w:tr w:rsidR="001042DA" w:rsidRPr="006B1A5A" w14:paraId="0897B01D" w14:textId="77777777" w:rsidTr="00AF2AEA">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8C0166E" w14:textId="77777777" w:rsidR="001042DA" w:rsidRPr="006B1A5A" w:rsidRDefault="001042DA" w:rsidP="00AF2AEA">
            <w:pPr>
              <w:rPr>
                <w:b/>
              </w:rPr>
            </w:pPr>
            <w:r w:rsidRPr="006B1A5A">
              <w:rPr>
                <w:b/>
                <w:bCs/>
                <w:color w:val="000000"/>
                <w:szCs w:val="24"/>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1256A73E" w14:textId="77777777" w:rsidR="00E951E0" w:rsidRDefault="00E951E0" w:rsidP="00E951E0">
            <w:pPr>
              <w:rPr>
                <w:rFonts w:ascii="Calibri" w:hAnsi="Calibri"/>
                <w:lang w:val="de-DE"/>
              </w:rPr>
            </w:pPr>
            <w:r>
              <w:rPr>
                <w:lang w:val="de-DE"/>
              </w:rPr>
              <w:t xml:space="preserve">c/o Aurubis AG  </w:t>
            </w:r>
          </w:p>
          <w:p w14:paraId="215AB5E4" w14:textId="77777777" w:rsidR="00E951E0" w:rsidRDefault="00E951E0" w:rsidP="00E951E0">
            <w:pPr>
              <w:rPr>
                <w:lang w:val="de-DE"/>
              </w:rPr>
            </w:pPr>
            <w:r>
              <w:rPr>
                <w:lang w:val="de-DE"/>
              </w:rPr>
              <w:t>Müggenburger Hauptdeich 2</w:t>
            </w:r>
          </w:p>
          <w:p w14:paraId="3000A06E" w14:textId="551B5DE9" w:rsidR="00E951E0" w:rsidRDefault="00E951E0" w:rsidP="00E951E0">
            <w:pPr>
              <w:rPr>
                <w:lang w:val="de-DE"/>
              </w:rPr>
            </w:pPr>
            <w:r>
              <w:rPr>
                <w:lang w:val="de-DE"/>
              </w:rPr>
              <w:t>20539 Hamburg</w:t>
            </w:r>
          </w:p>
          <w:p w14:paraId="6C295466" w14:textId="6967FB2A" w:rsidR="001042DA" w:rsidRPr="006B1A5A" w:rsidRDefault="001042DA" w:rsidP="00AF2AEA"/>
        </w:tc>
      </w:tr>
    </w:tbl>
    <w:p w14:paraId="3E4C011B" w14:textId="77777777" w:rsidR="001042DA" w:rsidRPr="006B1A5A" w:rsidRDefault="001042DA" w:rsidP="001042DA">
      <w:pPr>
        <w:pStyle w:val="Overskrift1"/>
        <w:numPr>
          <w:ilvl w:val="0"/>
          <w:numId w:val="0"/>
        </w:numPr>
        <w:spacing w:after="120"/>
        <w:ind w:left="432" w:hanging="432"/>
        <w:rPr>
          <w:lang w:val="en-GB"/>
        </w:rPr>
      </w:pPr>
    </w:p>
    <w:tbl>
      <w:tblPr>
        <w:tblW w:w="0" w:type="auto"/>
        <w:tblInd w:w="45" w:type="dxa"/>
        <w:tblLayout w:type="fixed"/>
        <w:tblCellMar>
          <w:left w:w="0" w:type="dxa"/>
          <w:right w:w="0" w:type="dxa"/>
        </w:tblCellMar>
        <w:tblLook w:val="0000" w:firstRow="0" w:lastRow="0" w:firstColumn="0" w:lastColumn="0" w:noHBand="0" w:noVBand="0"/>
      </w:tblPr>
      <w:tblGrid>
        <w:gridCol w:w="3397"/>
        <w:gridCol w:w="5628"/>
      </w:tblGrid>
      <w:tr w:rsidR="001042DA" w:rsidRPr="006B1A5A" w14:paraId="2549CD73" w14:textId="77777777" w:rsidTr="00AF2AEA">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4D347F9" w14:textId="77777777" w:rsidR="001042DA" w:rsidRPr="006B1A5A" w:rsidRDefault="001042DA" w:rsidP="00AF2AEA">
            <w:pPr>
              <w:rPr>
                <w:b/>
              </w:rPr>
            </w:pPr>
            <w:r w:rsidRPr="006B1A5A">
              <w:rPr>
                <w:b/>
                <w:bCs/>
                <w:color w:val="000000"/>
                <w:szCs w:val="24"/>
                <w:lang w:eastAsia="en-GB"/>
              </w:rPr>
              <w:t>Active substance</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87CC2CC" w14:textId="77777777" w:rsidR="001042DA" w:rsidRPr="006B1A5A" w:rsidRDefault="001042DA" w:rsidP="00AF2AEA">
            <w:r w:rsidRPr="006B1A5A">
              <w:t>Copper thiocyanate</w:t>
            </w:r>
          </w:p>
        </w:tc>
      </w:tr>
      <w:tr w:rsidR="001042DA" w:rsidRPr="006B1A5A" w14:paraId="01131F0C" w14:textId="77777777" w:rsidTr="00AF2AEA">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B5B773E" w14:textId="77777777" w:rsidR="001042DA" w:rsidRPr="006B1A5A" w:rsidRDefault="001042DA" w:rsidP="00AF2AEA">
            <w:pPr>
              <w:rPr>
                <w:b/>
              </w:rPr>
            </w:pPr>
            <w:r w:rsidRPr="006B1A5A">
              <w:rPr>
                <w:b/>
                <w:bCs/>
                <w:color w:val="000000"/>
                <w:szCs w:val="24"/>
                <w:lang w:eastAsia="en-GB"/>
              </w:rPr>
              <w:t>Name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1EFA3D6C" w14:textId="77777777" w:rsidR="001042DA" w:rsidRPr="006B1A5A" w:rsidRDefault="001042DA" w:rsidP="00AF2AEA">
            <w:r w:rsidRPr="006B1A5A">
              <w:t>Bardyke Chemicals Limited</w:t>
            </w:r>
          </w:p>
        </w:tc>
      </w:tr>
      <w:tr w:rsidR="001042DA" w:rsidRPr="006B1A5A" w14:paraId="3E9D85EF" w14:textId="77777777" w:rsidTr="00AF2AEA">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59AB56C" w14:textId="77777777" w:rsidR="001042DA" w:rsidRPr="006B1A5A" w:rsidRDefault="001042DA" w:rsidP="00AF2AEA">
            <w:pPr>
              <w:rPr>
                <w:b/>
              </w:rPr>
            </w:pPr>
            <w:r w:rsidRPr="006B1A5A">
              <w:rPr>
                <w:b/>
                <w:bCs/>
                <w:color w:val="000000"/>
                <w:szCs w:val="24"/>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2B2ED491" w14:textId="15EEA3D1" w:rsidR="001042DA" w:rsidRPr="006B1A5A" w:rsidRDefault="001042DA" w:rsidP="00AF2AEA">
            <w:r w:rsidRPr="006B1A5A">
              <w:t xml:space="preserve">Hamilton Road, Cambuslang, </w:t>
            </w:r>
            <w:r w:rsidR="00EC5FCF">
              <w:t>Scotland</w:t>
            </w:r>
            <w:r w:rsidR="00EC5FCF" w:rsidRPr="006B1A5A">
              <w:t xml:space="preserve"> </w:t>
            </w:r>
            <w:r w:rsidRPr="006B1A5A">
              <w:t>G72 7XJ</w:t>
            </w:r>
          </w:p>
        </w:tc>
      </w:tr>
      <w:tr w:rsidR="001042DA" w:rsidRPr="006B1A5A" w14:paraId="6146A3E4" w14:textId="77777777" w:rsidTr="00AF2AEA">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C27F1B3" w14:textId="77777777" w:rsidR="001042DA" w:rsidRPr="006B1A5A" w:rsidRDefault="001042DA" w:rsidP="00AF2AEA">
            <w:pPr>
              <w:rPr>
                <w:b/>
              </w:rPr>
            </w:pPr>
            <w:r w:rsidRPr="006B1A5A">
              <w:rPr>
                <w:b/>
                <w:bCs/>
                <w:color w:val="000000"/>
                <w:szCs w:val="24"/>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63702BA1" w14:textId="77777777" w:rsidR="001042DA" w:rsidRPr="006B1A5A" w:rsidRDefault="001042DA" w:rsidP="00AF2AEA">
            <w:r w:rsidRPr="006B1A5A">
              <w:t>As per the active substance data set</w:t>
            </w:r>
          </w:p>
        </w:tc>
      </w:tr>
    </w:tbl>
    <w:p w14:paraId="6E0A4AF3" w14:textId="77777777" w:rsidR="001042DA" w:rsidRPr="006B1A5A" w:rsidRDefault="001042DA" w:rsidP="001042DA">
      <w:pPr>
        <w:pStyle w:val="Absatz"/>
      </w:pPr>
    </w:p>
    <w:p w14:paraId="1BEA466A" w14:textId="77777777" w:rsidR="001042DA" w:rsidRPr="006B1A5A" w:rsidRDefault="001042DA" w:rsidP="001042DA">
      <w:pPr>
        <w:pStyle w:val="Absatz"/>
        <w:sectPr w:rsidR="001042DA" w:rsidRPr="006B1A5A" w:rsidSect="00AF2AEA">
          <w:headerReference w:type="default" r:id="rId14"/>
          <w:footerReference w:type="default" r:id="rId15"/>
          <w:pgSz w:w="11906" w:h="16838"/>
          <w:pgMar w:top="1417" w:right="1417" w:bottom="1134" w:left="1417" w:header="708" w:footer="708" w:gutter="0"/>
          <w:cols w:space="708"/>
          <w:docGrid w:linePitch="360"/>
        </w:sectPr>
      </w:pPr>
    </w:p>
    <w:p w14:paraId="059C06FC" w14:textId="77777777" w:rsidR="001042DA" w:rsidRPr="006B1A5A" w:rsidRDefault="001042DA" w:rsidP="005B1044">
      <w:pPr>
        <w:pStyle w:val="Overskrift3"/>
        <w:rPr>
          <w:lang w:val="en-GB"/>
        </w:rPr>
      </w:pPr>
      <w:bookmarkStart w:id="42" w:name="_Toc425344067"/>
      <w:bookmarkStart w:id="43" w:name="_Toc66448791"/>
      <w:r w:rsidRPr="006B1A5A">
        <w:rPr>
          <w:lang w:val="en-GB"/>
        </w:rPr>
        <w:lastRenderedPageBreak/>
        <w:t>Product (family) composition and formulation</w:t>
      </w:r>
      <w:bookmarkEnd w:id="29"/>
      <w:bookmarkEnd w:id="42"/>
      <w:bookmarkEnd w:id="43"/>
    </w:p>
    <w:p w14:paraId="4DC4A70C" w14:textId="77777777" w:rsidR="001042DA" w:rsidRPr="006B1A5A" w:rsidRDefault="001042DA" w:rsidP="001042DA">
      <w:pPr>
        <w:spacing w:line="260" w:lineRule="atLeast"/>
        <w:rPr>
          <w:rFonts w:eastAsia="Calibri"/>
          <w:lang w:eastAsia="en-US"/>
        </w:rPr>
      </w:pPr>
      <w:bookmarkStart w:id="44" w:name="_Toc366658845"/>
      <w:bookmarkEnd w:id="30"/>
      <w:r w:rsidRPr="006B1A5A">
        <w:rPr>
          <w:rFonts w:eastAsia="Calibri"/>
          <w:lang w:eastAsia="en-US"/>
        </w:rPr>
        <w:t>The full composition of the product family is provided in the confidential annex to this document.</w:t>
      </w:r>
    </w:p>
    <w:p w14:paraId="0C49455D" w14:textId="77777777" w:rsidR="001042DA" w:rsidRPr="006B1A5A" w:rsidRDefault="001042DA" w:rsidP="001042DA">
      <w:pPr>
        <w:spacing w:line="260" w:lineRule="atLeast"/>
        <w:rPr>
          <w:rFonts w:eastAsia="Calibri"/>
          <w:lang w:eastAsia="en-US"/>
        </w:rPr>
      </w:pPr>
    </w:p>
    <w:p w14:paraId="71F6B7A1" w14:textId="77777777" w:rsidR="001042DA" w:rsidRPr="006B1A5A" w:rsidRDefault="001042DA" w:rsidP="001042DA">
      <w:pPr>
        <w:spacing w:line="260" w:lineRule="atLeast"/>
        <w:rPr>
          <w:rFonts w:eastAsia="Calibri"/>
          <w:lang w:eastAsia="en-US"/>
        </w:rPr>
      </w:pPr>
    </w:p>
    <w:p w14:paraId="20EF9A32" w14:textId="77777777" w:rsidR="001042DA" w:rsidRPr="006B1A5A" w:rsidRDefault="001042DA" w:rsidP="001042DA">
      <w:pPr>
        <w:spacing w:line="260" w:lineRule="atLeast"/>
        <w:rPr>
          <w:rFonts w:eastAsia="Calibri"/>
          <w:lang w:eastAsia="en-US"/>
        </w:rPr>
      </w:pPr>
    </w:p>
    <w:p w14:paraId="22FB29A3" w14:textId="77777777" w:rsidR="001042DA" w:rsidRPr="006B1A5A" w:rsidRDefault="001042DA" w:rsidP="001042DA">
      <w:pPr>
        <w:spacing w:line="260" w:lineRule="atLeast"/>
        <w:jc w:val="both"/>
        <w:rPr>
          <w:rFonts w:eastAsia="Calibri"/>
          <w:lang w:eastAsia="en-US"/>
        </w:rPr>
      </w:pPr>
      <w:r w:rsidRPr="006B1A5A">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187911E8" w14:textId="77777777" w:rsidR="001042DA" w:rsidRPr="006B1A5A" w:rsidRDefault="001042DA" w:rsidP="001042DA">
      <w:pPr>
        <w:spacing w:line="260" w:lineRule="atLeast"/>
        <w:ind w:left="720"/>
        <w:jc w:val="both"/>
        <w:rPr>
          <w:rFonts w:eastAsia="Calibri"/>
          <w:lang w:eastAsia="fr-FR"/>
        </w:rPr>
      </w:pPr>
      <w:r w:rsidRPr="006B1A5A">
        <w:rPr>
          <w:rFonts w:eastAsia="Calibri"/>
          <w:lang w:eastAsia="en-US"/>
        </w:rPr>
        <w:t xml:space="preserve">Yes </w:t>
      </w:r>
      <w:r w:rsidRPr="006B1A5A">
        <w:rPr>
          <w:rFonts w:eastAsia="Calibri"/>
          <w:lang w:eastAsia="en-US"/>
        </w:rPr>
        <w:tab/>
      </w:r>
      <w:r w:rsidRPr="006B1A5A">
        <w:rPr>
          <w:rFonts w:eastAsia="Calibri"/>
          <w:lang w:eastAsia="fr-FR"/>
        </w:rPr>
        <w:fldChar w:fldCharType="begin">
          <w:ffData>
            <w:name w:val="Check1"/>
            <w:enabled/>
            <w:calcOnExit w:val="0"/>
            <w:checkBox>
              <w:sizeAuto/>
              <w:default w:val="0"/>
              <w:checked w:val="0"/>
            </w:checkBox>
          </w:ffData>
        </w:fldChar>
      </w:r>
      <w:r w:rsidRPr="006B1A5A">
        <w:rPr>
          <w:rFonts w:eastAsia="Calibri"/>
          <w:lang w:eastAsia="fr-FR"/>
        </w:rPr>
        <w:instrText xml:space="preserve"> FORMCHECKBOX </w:instrText>
      </w:r>
      <w:r w:rsidR="00661DE6">
        <w:rPr>
          <w:rFonts w:eastAsia="Calibri"/>
          <w:lang w:eastAsia="fr-FR"/>
        </w:rPr>
      </w:r>
      <w:r w:rsidR="00661DE6">
        <w:rPr>
          <w:rFonts w:eastAsia="Calibri"/>
          <w:lang w:eastAsia="fr-FR"/>
        </w:rPr>
        <w:fldChar w:fldCharType="separate"/>
      </w:r>
      <w:r w:rsidRPr="006B1A5A">
        <w:rPr>
          <w:rFonts w:eastAsia="Calibri"/>
          <w:lang w:eastAsia="fr-FR"/>
        </w:rPr>
        <w:fldChar w:fldCharType="end"/>
      </w:r>
    </w:p>
    <w:p w14:paraId="77B0B3E4" w14:textId="77777777" w:rsidR="001042DA" w:rsidRPr="006B1A5A" w:rsidRDefault="001042DA" w:rsidP="001042DA">
      <w:pPr>
        <w:spacing w:line="260" w:lineRule="atLeast"/>
        <w:ind w:left="720"/>
        <w:jc w:val="both"/>
        <w:rPr>
          <w:rFonts w:eastAsia="Calibri"/>
          <w:lang w:eastAsia="fr-FR"/>
        </w:rPr>
      </w:pPr>
      <w:r w:rsidRPr="006B1A5A">
        <w:rPr>
          <w:rFonts w:eastAsia="Calibri"/>
          <w:lang w:eastAsia="en-US"/>
        </w:rPr>
        <w:t xml:space="preserve">No </w:t>
      </w:r>
      <w:r w:rsidRPr="006B1A5A">
        <w:rPr>
          <w:rFonts w:eastAsia="Calibri"/>
          <w:lang w:eastAsia="en-US"/>
        </w:rPr>
        <w:tab/>
      </w:r>
      <w:r w:rsidRPr="006B1A5A">
        <w:rPr>
          <w:rFonts w:eastAsia="Calibri"/>
          <w:lang w:eastAsia="fr-FR"/>
        </w:rPr>
        <w:fldChar w:fldCharType="begin">
          <w:ffData>
            <w:name w:val="Check1"/>
            <w:enabled/>
            <w:calcOnExit w:val="0"/>
            <w:checkBox>
              <w:sizeAuto/>
              <w:default w:val="1"/>
            </w:checkBox>
          </w:ffData>
        </w:fldChar>
      </w:r>
      <w:bookmarkStart w:id="45" w:name="Check1"/>
      <w:r w:rsidRPr="006B1A5A">
        <w:rPr>
          <w:rFonts w:eastAsia="Calibri"/>
          <w:lang w:eastAsia="fr-FR"/>
        </w:rPr>
        <w:instrText xml:space="preserve"> FORMCHECKBOX </w:instrText>
      </w:r>
      <w:r w:rsidR="00661DE6">
        <w:rPr>
          <w:rFonts w:eastAsia="Calibri"/>
          <w:lang w:eastAsia="fr-FR"/>
        </w:rPr>
      </w:r>
      <w:r w:rsidR="00661DE6">
        <w:rPr>
          <w:rFonts w:eastAsia="Calibri"/>
          <w:lang w:eastAsia="fr-FR"/>
        </w:rPr>
        <w:fldChar w:fldCharType="separate"/>
      </w:r>
      <w:r w:rsidRPr="006B1A5A">
        <w:rPr>
          <w:rFonts w:eastAsia="Calibri"/>
          <w:lang w:eastAsia="fr-FR"/>
        </w:rPr>
        <w:fldChar w:fldCharType="end"/>
      </w:r>
      <w:bookmarkEnd w:id="45"/>
    </w:p>
    <w:p w14:paraId="50F21E06" w14:textId="77777777" w:rsidR="001042DA" w:rsidRPr="006B1A5A" w:rsidRDefault="001042DA" w:rsidP="00916E44">
      <w:pPr>
        <w:pStyle w:val="Overskrift4"/>
      </w:pPr>
      <w:bookmarkStart w:id="46" w:name="_Toc425344068"/>
      <w:bookmarkStart w:id="47" w:name="_Toc66448792"/>
      <w:r w:rsidRPr="006B1A5A">
        <w:t>Identity of the active substance</w:t>
      </w:r>
      <w:bookmarkEnd w:id="46"/>
      <w:r w:rsidRPr="006B1A5A">
        <w:t>s</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5"/>
        <w:gridCol w:w="5229"/>
      </w:tblGrid>
      <w:tr w:rsidR="001042DA" w:rsidRPr="006B1A5A" w14:paraId="2B754C5A" w14:textId="77777777" w:rsidTr="00AF2AEA">
        <w:tc>
          <w:tcPr>
            <w:tcW w:w="9430" w:type="dxa"/>
            <w:gridSpan w:val="2"/>
            <w:shd w:val="clear" w:color="auto" w:fill="FFFFCC"/>
          </w:tcPr>
          <w:p w14:paraId="7376B11B" w14:textId="77777777" w:rsidR="001042DA" w:rsidRPr="006B1A5A" w:rsidRDefault="001042DA" w:rsidP="00AF2AEA">
            <w:pPr>
              <w:spacing w:line="260" w:lineRule="atLeast"/>
              <w:jc w:val="center"/>
              <w:rPr>
                <w:rFonts w:eastAsia="Calibri"/>
                <w:b/>
                <w:lang w:eastAsia="en-US"/>
              </w:rPr>
            </w:pPr>
            <w:r w:rsidRPr="006B1A5A">
              <w:rPr>
                <w:rFonts w:eastAsia="Calibri"/>
                <w:b/>
                <w:lang w:eastAsia="en-US"/>
              </w:rPr>
              <w:t>Main constituent(s)</w:t>
            </w:r>
          </w:p>
        </w:tc>
      </w:tr>
      <w:tr w:rsidR="001042DA" w:rsidRPr="006B1A5A" w14:paraId="0DA7322D" w14:textId="77777777" w:rsidTr="00AF2AEA">
        <w:tc>
          <w:tcPr>
            <w:tcW w:w="4077" w:type="dxa"/>
            <w:shd w:val="clear" w:color="auto" w:fill="auto"/>
          </w:tcPr>
          <w:p w14:paraId="4DFECFC4" w14:textId="77777777" w:rsidR="001042DA" w:rsidRPr="006B1A5A" w:rsidRDefault="001042DA" w:rsidP="00AF2AEA">
            <w:pPr>
              <w:spacing w:line="260" w:lineRule="atLeast"/>
              <w:rPr>
                <w:rFonts w:eastAsia="Calibri"/>
                <w:b/>
                <w:lang w:eastAsia="en-US"/>
              </w:rPr>
            </w:pPr>
            <w:r w:rsidRPr="006B1A5A">
              <w:rPr>
                <w:rFonts w:eastAsia="Calibri"/>
                <w:b/>
                <w:lang w:eastAsia="en-US"/>
              </w:rPr>
              <w:t>ISO name</w:t>
            </w:r>
          </w:p>
        </w:tc>
        <w:tc>
          <w:tcPr>
            <w:tcW w:w="5353" w:type="dxa"/>
            <w:shd w:val="clear" w:color="auto" w:fill="auto"/>
          </w:tcPr>
          <w:p w14:paraId="43757F73" w14:textId="77777777" w:rsidR="001042DA" w:rsidRPr="006B1A5A" w:rsidRDefault="001042DA" w:rsidP="00AF2AEA">
            <w:pPr>
              <w:spacing w:line="260" w:lineRule="atLeast"/>
              <w:rPr>
                <w:rFonts w:eastAsia="Calibri"/>
                <w:lang w:eastAsia="en-US"/>
              </w:rPr>
            </w:pPr>
            <w:r w:rsidRPr="006B1A5A">
              <w:rPr>
                <w:rFonts w:eastAsia="Calibri"/>
                <w:lang w:eastAsia="en-US"/>
              </w:rPr>
              <w:t>Dicopper oxide</w:t>
            </w:r>
          </w:p>
        </w:tc>
      </w:tr>
      <w:tr w:rsidR="001042DA" w:rsidRPr="006B1A5A" w14:paraId="3543D540" w14:textId="77777777" w:rsidTr="00AF2AEA">
        <w:tc>
          <w:tcPr>
            <w:tcW w:w="4077" w:type="dxa"/>
            <w:shd w:val="clear" w:color="auto" w:fill="auto"/>
          </w:tcPr>
          <w:p w14:paraId="623CA231" w14:textId="77777777" w:rsidR="001042DA" w:rsidRPr="006B1A5A" w:rsidRDefault="001042DA" w:rsidP="00AF2AEA">
            <w:pPr>
              <w:spacing w:line="260" w:lineRule="atLeast"/>
              <w:rPr>
                <w:rFonts w:eastAsia="Calibri"/>
                <w:b/>
                <w:lang w:eastAsia="en-US"/>
              </w:rPr>
            </w:pPr>
            <w:r w:rsidRPr="006B1A5A">
              <w:rPr>
                <w:rFonts w:eastAsia="Calibri"/>
                <w:b/>
                <w:lang w:eastAsia="en-US"/>
              </w:rPr>
              <w:t>IUPAC or EC name</w:t>
            </w:r>
          </w:p>
        </w:tc>
        <w:tc>
          <w:tcPr>
            <w:tcW w:w="5353" w:type="dxa"/>
            <w:shd w:val="clear" w:color="auto" w:fill="auto"/>
          </w:tcPr>
          <w:p w14:paraId="4B271455" w14:textId="77777777" w:rsidR="001042DA" w:rsidRPr="006B1A5A" w:rsidRDefault="001042DA" w:rsidP="00AF2AEA">
            <w:pPr>
              <w:spacing w:line="260" w:lineRule="atLeast"/>
              <w:rPr>
                <w:rFonts w:eastAsia="Calibri"/>
                <w:lang w:eastAsia="en-US"/>
              </w:rPr>
            </w:pPr>
            <w:r w:rsidRPr="006B1A5A">
              <w:rPr>
                <w:rFonts w:eastAsia="Calibri"/>
                <w:lang w:eastAsia="en-US"/>
              </w:rPr>
              <w:t>Dicopper oxide, copper (I) oxide</w:t>
            </w:r>
          </w:p>
        </w:tc>
      </w:tr>
      <w:tr w:rsidR="001042DA" w:rsidRPr="006B1A5A" w14:paraId="58456264" w14:textId="77777777" w:rsidTr="00AF2AEA">
        <w:tc>
          <w:tcPr>
            <w:tcW w:w="4077" w:type="dxa"/>
            <w:shd w:val="clear" w:color="auto" w:fill="auto"/>
          </w:tcPr>
          <w:p w14:paraId="0658BFF6" w14:textId="77777777" w:rsidR="001042DA" w:rsidRPr="006B1A5A" w:rsidRDefault="001042DA" w:rsidP="00AF2AEA">
            <w:pPr>
              <w:spacing w:line="260" w:lineRule="atLeast"/>
              <w:rPr>
                <w:rFonts w:eastAsia="Calibri"/>
                <w:b/>
                <w:lang w:eastAsia="en-US"/>
              </w:rPr>
            </w:pPr>
            <w:r w:rsidRPr="006B1A5A">
              <w:rPr>
                <w:rFonts w:eastAsia="Calibri"/>
                <w:b/>
                <w:lang w:eastAsia="en-US"/>
              </w:rPr>
              <w:t>EC number</w:t>
            </w:r>
          </w:p>
        </w:tc>
        <w:tc>
          <w:tcPr>
            <w:tcW w:w="5353" w:type="dxa"/>
            <w:shd w:val="clear" w:color="auto" w:fill="auto"/>
          </w:tcPr>
          <w:p w14:paraId="15C8ED54" w14:textId="77777777" w:rsidR="001042DA" w:rsidRPr="006B1A5A" w:rsidRDefault="001042DA" w:rsidP="00AF2AEA">
            <w:pPr>
              <w:spacing w:line="260" w:lineRule="atLeast"/>
              <w:rPr>
                <w:rFonts w:eastAsia="Calibri"/>
                <w:lang w:eastAsia="en-US"/>
              </w:rPr>
            </w:pPr>
            <w:r w:rsidRPr="006B1A5A">
              <w:rPr>
                <w:rFonts w:eastAsia="Calibri"/>
                <w:lang w:eastAsia="en-US"/>
              </w:rPr>
              <w:t>215-270-7</w:t>
            </w:r>
          </w:p>
        </w:tc>
      </w:tr>
      <w:tr w:rsidR="001042DA" w:rsidRPr="006B1A5A" w14:paraId="29D61904" w14:textId="77777777" w:rsidTr="00AF2AEA">
        <w:tc>
          <w:tcPr>
            <w:tcW w:w="4077" w:type="dxa"/>
            <w:shd w:val="clear" w:color="auto" w:fill="auto"/>
          </w:tcPr>
          <w:p w14:paraId="78DC7CFA" w14:textId="77777777" w:rsidR="001042DA" w:rsidRPr="006B1A5A" w:rsidRDefault="001042DA" w:rsidP="00AF2AEA">
            <w:pPr>
              <w:spacing w:line="260" w:lineRule="atLeast"/>
              <w:rPr>
                <w:rFonts w:eastAsia="Calibri"/>
                <w:b/>
                <w:lang w:eastAsia="en-US"/>
              </w:rPr>
            </w:pPr>
            <w:r w:rsidRPr="006B1A5A">
              <w:rPr>
                <w:rFonts w:eastAsia="Calibri"/>
                <w:b/>
                <w:lang w:eastAsia="en-US"/>
              </w:rPr>
              <w:t>CAS number</w:t>
            </w:r>
          </w:p>
        </w:tc>
        <w:tc>
          <w:tcPr>
            <w:tcW w:w="5353" w:type="dxa"/>
            <w:shd w:val="clear" w:color="auto" w:fill="auto"/>
          </w:tcPr>
          <w:p w14:paraId="3DB37D2E" w14:textId="77777777" w:rsidR="001042DA" w:rsidRPr="006B1A5A" w:rsidRDefault="001042DA" w:rsidP="00AF2AEA">
            <w:pPr>
              <w:spacing w:line="260" w:lineRule="atLeast"/>
              <w:rPr>
                <w:rFonts w:eastAsia="Calibri"/>
                <w:lang w:eastAsia="en-US"/>
              </w:rPr>
            </w:pPr>
            <w:r w:rsidRPr="006B1A5A">
              <w:rPr>
                <w:rFonts w:eastAsia="Calibri"/>
                <w:lang w:eastAsia="en-US"/>
              </w:rPr>
              <w:t>1317-39-1</w:t>
            </w:r>
          </w:p>
        </w:tc>
      </w:tr>
      <w:tr w:rsidR="001042DA" w:rsidRPr="006B1A5A" w14:paraId="2BA46205" w14:textId="77777777" w:rsidTr="00AF2AEA">
        <w:tc>
          <w:tcPr>
            <w:tcW w:w="4077" w:type="dxa"/>
            <w:shd w:val="clear" w:color="auto" w:fill="auto"/>
          </w:tcPr>
          <w:p w14:paraId="158A76FD" w14:textId="77777777" w:rsidR="001042DA" w:rsidRPr="006B1A5A" w:rsidRDefault="001042DA" w:rsidP="00AF2AEA">
            <w:pPr>
              <w:spacing w:line="260" w:lineRule="atLeast"/>
              <w:rPr>
                <w:rFonts w:eastAsia="Calibri"/>
                <w:b/>
                <w:lang w:eastAsia="en-US"/>
              </w:rPr>
            </w:pPr>
            <w:r w:rsidRPr="006B1A5A">
              <w:rPr>
                <w:rFonts w:eastAsia="Calibri"/>
                <w:b/>
                <w:lang w:eastAsia="en-US"/>
              </w:rPr>
              <w:t>Index number in Annex VI of CLP</w:t>
            </w:r>
          </w:p>
        </w:tc>
        <w:tc>
          <w:tcPr>
            <w:tcW w:w="5353" w:type="dxa"/>
            <w:shd w:val="clear" w:color="auto" w:fill="auto"/>
          </w:tcPr>
          <w:p w14:paraId="7C0374CA" w14:textId="77777777" w:rsidR="001042DA" w:rsidRPr="006B1A5A" w:rsidRDefault="001042DA" w:rsidP="00AF2AEA">
            <w:pPr>
              <w:spacing w:line="260" w:lineRule="atLeast"/>
              <w:rPr>
                <w:rFonts w:eastAsia="Calibri"/>
                <w:lang w:eastAsia="en-US"/>
              </w:rPr>
            </w:pPr>
            <w:r w:rsidRPr="006B1A5A">
              <w:rPr>
                <w:rFonts w:eastAsia="Calibri"/>
                <w:lang w:eastAsia="en-US"/>
              </w:rPr>
              <w:t>029-002-00-X</w:t>
            </w:r>
          </w:p>
        </w:tc>
      </w:tr>
      <w:tr w:rsidR="001042DA" w:rsidRPr="006B1A5A" w14:paraId="40F3AAD5" w14:textId="77777777" w:rsidTr="00AF2AEA">
        <w:tc>
          <w:tcPr>
            <w:tcW w:w="4077" w:type="dxa"/>
            <w:shd w:val="clear" w:color="auto" w:fill="auto"/>
          </w:tcPr>
          <w:p w14:paraId="5C511E60" w14:textId="77777777" w:rsidR="001042DA" w:rsidRPr="006B1A5A" w:rsidRDefault="001042DA" w:rsidP="00AF2AEA">
            <w:pPr>
              <w:spacing w:line="260" w:lineRule="atLeast"/>
              <w:rPr>
                <w:rFonts w:eastAsia="Calibri"/>
                <w:b/>
                <w:lang w:eastAsia="en-US"/>
              </w:rPr>
            </w:pPr>
            <w:r w:rsidRPr="006B1A5A">
              <w:rPr>
                <w:rFonts w:eastAsia="Calibri"/>
                <w:b/>
                <w:lang w:eastAsia="en-US"/>
              </w:rPr>
              <w:t>Minimum purity / content</w:t>
            </w:r>
          </w:p>
        </w:tc>
        <w:tc>
          <w:tcPr>
            <w:tcW w:w="5353" w:type="dxa"/>
            <w:shd w:val="clear" w:color="auto" w:fill="auto"/>
          </w:tcPr>
          <w:p w14:paraId="2F072A6F" w14:textId="77777777" w:rsidR="001042DA" w:rsidRPr="006B1A5A" w:rsidRDefault="001042DA" w:rsidP="00AF2AEA">
            <w:pPr>
              <w:spacing w:line="260" w:lineRule="atLeast"/>
              <w:rPr>
                <w:rFonts w:eastAsia="Calibri"/>
                <w:lang w:eastAsia="en-US"/>
              </w:rPr>
            </w:pPr>
            <w:r w:rsidRPr="006B1A5A">
              <w:rPr>
                <w:rFonts w:eastAsia="Calibri"/>
                <w:lang w:eastAsia="en-US"/>
              </w:rPr>
              <w:t>94.2%</w:t>
            </w:r>
          </w:p>
        </w:tc>
      </w:tr>
      <w:tr w:rsidR="001042DA" w:rsidRPr="006B1A5A" w14:paraId="6935EE1B" w14:textId="77777777" w:rsidTr="00AF2AEA">
        <w:trPr>
          <w:trHeight w:val="1359"/>
        </w:trPr>
        <w:tc>
          <w:tcPr>
            <w:tcW w:w="4077" w:type="dxa"/>
            <w:shd w:val="clear" w:color="auto" w:fill="auto"/>
          </w:tcPr>
          <w:p w14:paraId="5EED844B" w14:textId="77777777" w:rsidR="001042DA" w:rsidRPr="006B1A5A" w:rsidRDefault="001042DA" w:rsidP="00AF2AEA">
            <w:pPr>
              <w:spacing w:line="260" w:lineRule="atLeast"/>
              <w:rPr>
                <w:rFonts w:eastAsia="Calibri"/>
                <w:b/>
                <w:lang w:eastAsia="en-US"/>
              </w:rPr>
            </w:pPr>
            <w:r w:rsidRPr="006B1A5A">
              <w:rPr>
                <w:rFonts w:eastAsia="Calibri"/>
                <w:b/>
                <w:lang w:eastAsia="en-US"/>
              </w:rPr>
              <w:t>Structural formula</w:t>
            </w:r>
          </w:p>
        </w:tc>
        <w:tc>
          <w:tcPr>
            <w:tcW w:w="5353" w:type="dxa"/>
            <w:shd w:val="clear" w:color="auto" w:fill="auto"/>
          </w:tcPr>
          <w:p w14:paraId="58F9260F" w14:textId="77777777" w:rsidR="001042DA" w:rsidRPr="006B1A5A" w:rsidRDefault="001042DA" w:rsidP="00AF2AEA">
            <w:pPr>
              <w:spacing w:line="260" w:lineRule="atLeast"/>
              <w:rPr>
                <w:rFonts w:eastAsia="Calibri"/>
                <w:lang w:eastAsia="en-US"/>
              </w:rPr>
            </w:pPr>
            <w:r w:rsidRPr="006B1A5A">
              <w:rPr>
                <w:noProof/>
                <w:lang w:eastAsia="en-GB"/>
              </w:rPr>
              <w:drawing>
                <wp:inline distT="0" distB="0" distL="0" distR="0" wp14:anchorId="45D240DA" wp14:editId="2E0EC45D">
                  <wp:extent cx="1143000" cy="55646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57792" cy="563663"/>
                          </a:xfrm>
                          <a:prstGeom prst="rect">
                            <a:avLst/>
                          </a:prstGeom>
                        </pic:spPr>
                      </pic:pic>
                    </a:graphicData>
                  </a:graphic>
                </wp:inline>
              </w:drawing>
            </w:r>
          </w:p>
        </w:tc>
      </w:tr>
    </w:tbl>
    <w:p w14:paraId="54FC67C9" w14:textId="77777777" w:rsidR="001042DA" w:rsidRPr="006B1A5A" w:rsidRDefault="001042DA" w:rsidP="001042DA">
      <w:pPr>
        <w:spacing w:line="260" w:lineRule="atLeast"/>
        <w:jc w:val="both"/>
        <w:rPr>
          <w:rFonts w:eastAsia="Calibri"/>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1"/>
        <w:gridCol w:w="5223"/>
      </w:tblGrid>
      <w:tr w:rsidR="001042DA" w:rsidRPr="006B1A5A" w14:paraId="470B127F" w14:textId="77777777" w:rsidTr="00AF2AEA">
        <w:tc>
          <w:tcPr>
            <w:tcW w:w="9430" w:type="dxa"/>
            <w:gridSpan w:val="2"/>
            <w:shd w:val="clear" w:color="auto" w:fill="FFFFCC"/>
          </w:tcPr>
          <w:p w14:paraId="72266C06" w14:textId="77777777" w:rsidR="001042DA" w:rsidRPr="006B1A5A" w:rsidRDefault="001042DA" w:rsidP="00AF2AEA">
            <w:pPr>
              <w:spacing w:line="260" w:lineRule="atLeast"/>
              <w:jc w:val="center"/>
              <w:rPr>
                <w:rFonts w:eastAsia="Calibri"/>
                <w:b/>
                <w:lang w:eastAsia="en-US"/>
              </w:rPr>
            </w:pPr>
            <w:r w:rsidRPr="006B1A5A">
              <w:rPr>
                <w:rFonts w:eastAsia="Calibri"/>
                <w:b/>
                <w:lang w:eastAsia="en-US"/>
              </w:rPr>
              <w:t>Main constituent(s)</w:t>
            </w:r>
          </w:p>
        </w:tc>
      </w:tr>
      <w:tr w:rsidR="001042DA" w:rsidRPr="006B1A5A" w14:paraId="0E1B766C" w14:textId="77777777" w:rsidTr="00AF2AEA">
        <w:tc>
          <w:tcPr>
            <w:tcW w:w="4077" w:type="dxa"/>
            <w:shd w:val="clear" w:color="auto" w:fill="auto"/>
          </w:tcPr>
          <w:p w14:paraId="0ED176C5" w14:textId="77777777" w:rsidR="001042DA" w:rsidRPr="006B1A5A" w:rsidRDefault="001042DA" w:rsidP="00AF2AEA">
            <w:pPr>
              <w:spacing w:line="260" w:lineRule="atLeast"/>
              <w:rPr>
                <w:rFonts w:eastAsia="Calibri"/>
                <w:b/>
                <w:lang w:eastAsia="en-US"/>
              </w:rPr>
            </w:pPr>
            <w:r w:rsidRPr="006B1A5A">
              <w:rPr>
                <w:rFonts w:eastAsia="Calibri"/>
                <w:b/>
                <w:lang w:eastAsia="en-US"/>
              </w:rPr>
              <w:t>ISO name</w:t>
            </w:r>
          </w:p>
        </w:tc>
        <w:tc>
          <w:tcPr>
            <w:tcW w:w="5353" w:type="dxa"/>
            <w:shd w:val="clear" w:color="auto" w:fill="auto"/>
          </w:tcPr>
          <w:p w14:paraId="14C614DF" w14:textId="77777777" w:rsidR="001042DA" w:rsidRPr="006B1A5A" w:rsidRDefault="001042DA" w:rsidP="00AF2AEA">
            <w:pPr>
              <w:spacing w:line="260" w:lineRule="atLeast"/>
              <w:rPr>
                <w:rFonts w:eastAsia="Calibri"/>
                <w:lang w:eastAsia="en-US"/>
              </w:rPr>
            </w:pPr>
            <w:r w:rsidRPr="006B1A5A">
              <w:rPr>
                <w:rFonts w:eastAsia="Calibri"/>
                <w:lang w:eastAsia="en-US"/>
              </w:rPr>
              <w:t>Copper thiocyanate</w:t>
            </w:r>
          </w:p>
        </w:tc>
      </w:tr>
      <w:tr w:rsidR="001042DA" w:rsidRPr="006B1A5A" w14:paraId="77FA25F9" w14:textId="77777777" w:rsidTr="00AF2AEA">
        <w:tc>
          <w:tcPr>
            <w:tcW w:w="4077" w:type="dxa"/>
            <w:shd w:val="clear" w:color="auto" w:fill="auto"/>
          </w:tcPr>
          <w:p w14:paraId="4E9AC4AE" w14:textId="77777777" w:rsidR="001042DA" w:rsidRPr="006B1A5A" w:rsidRDefault="001042DA" w:rsidP="00AF2AEA">
            <w:pPr>
              <w:spacing w:line="260" w:lineRule="atLeast"/>
              <w:rPr>
                <w:rFonts w:eastAsia="Calibri"/>
                <w:b/>
                <w:lang w:eastAsia="en-US"/>
              </w:rPr>
            </w:pPr>
            <w:r w:rsidRPr="006B1A5A">
              <w:rPr>
                <w:rFonts w:eastAsia="Calibri"/>
                <w:b/>
                <w:lang w:eastAsia="en-US"/>
              </w:rPr>
              <w:t>IUPAC or EC name</w:t>
            </w:r>
          </w:p>
        </w:tc>
        <w:tc>
          <w:tcPr>
            <w:tcW w:w="5353" w:type="dxa"/>
            <w:shd w:val="clear" w:color="auto" w:fill="auto"/>
          </w:tcPr>
          <w:p w14:paraId="227830F0" w14:textId="77777777" w:rsidR="001042DA" w:rsidRPr="006B1A5A" w:rsidRDefault="001042DA" w:rsidP="00AF2AEA">
            <w:pPr>
              <w:spacing w:line="260" w:lineRule="atLeast"/>
              <w:rPr>
                <w:rFonts w:eastAsia="Calibri"/>
                <w:lang w:eastAsia="en-US"/>
              </w:rPr>
            </w:pPr>
            <w:r w:rsidRPr="006B1A5A">
              <w:rPr>
                <w:rFonts w:eastAsia="Calibri"/>
              </w:rPr>
              <w:t>Copper (I) thiocyanate</w:t>
            </w:r>
          </w:p>
        </w:tc>
      </w:tr>
      <w:tr w:rsidR="001042DA" w:rsidRPr="006B1A5A" w14:paraId="7708BF68" w14:textId="77777777" w:rsidTr="00AF2AEA">
        <w:tc>
          <w:tcPr>
            <w:tcW w:w="4077" w:type="dxa"/>
            <w:shd w:val="clear" w:color="auto" w:fill="auto"/>
          </w:tcPr>
          <w:p w14:paraId="528FC9E7" w14:textId="77777777" w:rsidR="001042DA" w:rsidRPr="006B1A5A" w:rsidRDefault="001042DA" w:rsidP="00AF2AEA">
            <w:pPr>
              <w:spacing w:line="260" w:lineRule="atLeast"/>
              <w:rPr>
                <w:rFonts w:eastAsia="Calibri"/>
                <w:b/>
                <w:lang w:eastAsia="en-US"/>
              </w:rPr>
            </w:pPr>
            <w:r w:rsidRPr="006B1A5A">
              <w:rPr>
                <w:rFonts w:eastAsia="Calibri"/>
                <w:b/>
                <w:lang w:eastAsia="en-US"/>
              </w:rPr>
              <w:t>EC number</w:t>
            </w:r>
          </w:p>
        </w:tc>
        <w:tc>
          <w:tcPr>
            <w:tcW w:w="5353" w:type="dxa"/>
            <w:shd w:val="clear" w:color="auto" w:fill="auto"/>
          </w:tcPr>
          <w:p w14:paraId="714173EA" w14:textId="77777777" w:rsidR="001042DA" w:rsidRPr="006B1A5A" w:rsidRDefault="001042DA" w:rsidP="00AF2AEA">
            <w:pPr>
              <w:spacing w:line="260" w:lineRule="atLeast"/>
              <w:rPr>
                <w:rFonts w:eastAsia="Calibri"/>
                <w:lang w:eastAsia="en-US"/>
              </w:rPr>
            </w:pPr>
            <w:r w:rsidRPr="006B1A5A">
              <w:rPr>
                <w:rFonts w:eastAsia="Calibri"/>
                <w:lang w:eastAsia="en-US"/>
              </w:rPr>
              <w:t>214-183-1</w:t>
            </w:r>
          </w:p>
        </w:tc>
      </w:tr>
      <w:tr w:rsidR="001042DA" w:rsidRPr="006B1A5A" w14:paraId="0B1CD16A" w14:textId="77777777" w:rsidTr="00AF2AEA">
        <w:tc>
          <w:tcPr>
            <w:tcW w:w="4077" w:type="dxa"/>
            <w:shd w:val="clear" w:color="auto" w:fill="auto"/>
          </w:tcPr>
          <w:p w14:paraId="25A3EC19" w14:textId="77777777" w:rsidR="001042DA" w:rsidRPr="006B1A5A" w:rsidRDefault="001042DA" w:rsidP="00AF2AEA">
            <w:pPr>
              <w:spacing w:line="260" w:lineRule="atLeast"/>
              <w:rPr>
                <w:rFonts w:eastAsia="Calibri"/>
                <w:b/>
                <w:lang w:eastAsia="en-US"/>
              </w:rPr>
            </w:pPr>
            <w:r w:rsidRPr="006B1A5A">
              <w:rPr>
                <w:rFonts w:eastAsia="Calibri"/>
                <w:b/>
                <w:lang w:eastAsia="en-US"/>
              </w:rPr>
              <w:t>CAS number</w:t>
            </w:r>
          </w:p>
        </w:tc>
        <w:tc>
          <w:tcPr>
            <w:tcW w:w="5353" w:type="dxa"/>
            <w:shd w:val="clear" w:color="auto" w:fill="auto"/>
          </w:tcPr>
          <w:p w14:paraId="1CA5438A" w14:textId="77777777" w:rsidR="001042DA" w:rsidRPr="006B1A5A" w:rsidRDefault="001042DA" w:rsidP="00AF2AEA">
            <w:pPr>
              <w:spacing w:line="260" w:lineRule="atLeast"/>
              <w:rPr>
                <w:rFonts w:eastAsia="Calibri"/>
                <w:lang w:eastAsia="en-US"/>
              </w:rPr>
            </w:pPr>
            <w:r w:rsidRPr="006B1A5A">
              <w:rPr>
                <w:rFonts w:eastAsia="Calibri"/>
                <w:lang w:eastAsia="en-US"/>
              </w:rPr>
              <w:t>1111-67-7</w:t>
            </w:r>
          </w:p>
        </w:tc>
      </w:tr>
      <w:tr w:rsidR="001042DA" w:rsidRPr="006B1A5A" w14:paraId="3A3669C3" w14:textId="77777777" w:rsidTr="00AF2AEA">
        <w:tc>
          <w:tcPr>
            <w:tcW w:w="4077" w:type="dxa"/>
            <w:shd w:val="clear" w:color="auto" w:fill="auto"/>
          </w:tcPr>
          <w:p w14:paraId="6B9A7F89" w14:textId="77777777" w:rsidR="001042DA" w:rsidRPr="006B1A5A" w:rsidRDefault="001042DA" w:rsidP="00AF2AEA">
            <w:pPr>
              <w:spacing w:line="260" w:lineRule="atLeast"/>
              <w:rPr>
                <w:rFonts w:eastAsia="Calibri"/>
                <w:b/>
                <w:lang w:eastAsia="en-US"/>
              </w:rPr>
            </w:pPr>
            <w:r w:rsidRPr="006B1A5A">
              <w:rPr>
                <w:rFonts w:eastAsia="Calibri"/>
                <w:b/>
                <w:lang w:eastAsia="en-US"/>
              </w:rPr>
              <w:t>Index number in Annex VI of CLP</w:t>
            </w:r>
          </w:p>
        </w:tc>
        <w:tc>
          <w:tcPr>
            <w:tcW w:w="5353" w:type="dxa"/>
            <w:shd w:val="clear" w:color="auto" w:fill="auto"/>
          </w:tcPr>
          <w:p w14:paraId="211B952B" w14:textId="77777777" w:rsidR="001042DA" w:rsidRPr="006B1A5A" w:rsidRDefault="001042DA" w:rsidP="00AF2AEA">
            <w:pPr>
              <w:spacing w:line="260" w:lineRule="atLeast"/>
              <w:rPr>
                <w:rFonts w:eastAsia="Calibri"/>
                <w:lang w:eastAsia="en-US"/>
              </w:rPr>
            </w:pPr>
            <w:r w:rsidRPr="006B1A5A">
              <w:rPr>
                <w:rFonts w:eastAsia="Calibri"/>
                <w:lang w:eastAsia="en-US"/>
              </w:rPr>
              <w:t>N/A</w:t>
            </w:r>
          </w:p>
        </w:tc>
      </w:tr>
      <w:tr w:rsidR="001042DA" w:rsidRPr="006B1A5A" w14:paraId="7480429A" w14:textId="77777777" w:rsidTr="00AF2AEA">
        <w:tc>
          <w:tcPr>
            <w:tcW w:w="4077" w:type="dxa"/>
            <w:shd w:val="clear" w:color="auto" w:fill="auto"/>
          </w:tcPr>
          <w:p w14:paraId="54844132" w14:textId="77777777" w:rsidR="001042DA" w:rsidRPr="006B1A5A" w:rsidRDefault="001042DA" w:rsidP="00AF2AEA">
            <w:pPr>
              <w:spacing w:line="260" w:lineRule="atLeast"/>
              <w:rPr>
                <w:rFonts w:eastAsia="Calibri"/>
                <w:b/>
                <w:lang w:eastAsia="en-US"/>
              </w:rPr>
            </w:pPr>
            <w:r w:rsidRPr="006B1A5A">
              <w:rPr>
                <w:rFonts w:eastAsia="Calibri"/>
                <w:b/>
                <w:lang w:eastAsia="en-US"/>
              </w:rPr>
              <w:t>Minimum purity / content</w:t>
            </w:r>
          </w:p>
        </w:tc>
        <w:tc>
          <w:tcPr>
            <w:tcW w:w="5353" w:type="dxa"/>
            <w:shd w:val="clear" w:color="auto" w:fill="auto"/>
          </w:tcPr>
          <w:p w14:paraId="70C5EF75" w14:textId="77777777" w:rsidR="001042DA" w:rsidRPr="006B1A5A" w:rsidRDefault="001042DA" w:rsidP="00AF2AEA">
            <w:pPr>
              <w:spacing w:line="260" w:lineRule="atLeast"/>
              <w:rPr>
                <w:rFonts w:eastAsia="Calibri"/>
                <w:lang w:eastAsia="en-US"/>
              </w:rPr>
            </w:pPr>
            <w:r w:rsidRPr="006B1A5A">
              <w:rPr>
                <w:rFonts w:eastAsia="Calibri"/>
                <w:lang w:eastAsia="en-US"/>
              </w:rPr>
              <w:t>99.5%</w:t>
            </w:r>
          </w:p>
        </w:tc>
      </w:tr>
      <w:tr w:rsidR="001042DA" w:rsidRPr="006B1A5A" w14:paraId="6CF4759D" w14:textId="77777777" w:rsidTr="00AF2AEA">
        <w:trPr>
          <w:trHeight w:val="1359"/>
        </w:trPr>
        <w:tc>
          <w:tcPr>
            <w:tcW w:w="4077" w:type="dxa"/>
            <w:shd w:val="clear" w:color="auto" w:fill="auto"/>
          </w:tcPr>
          <w:p w14:paraId="77880BBF" w14:textId="77777777" w:rsidR="001042DA" w:rsidRPr="006B1A5A" w:rsidRDefault="001042DA" w:rsidP="00AF2AEA">
            <w:pPr>
              <w:spacing w:line="260" w:lineRule="atLeast"/>
              <w:rPr>
                <w:rFonts w:eastAsia="Calibri"/>
                <w:b/>
                <w:lang w:eastAsia="en-US"/>
              </w:rPr>
            </w:pPr>
            <w:r w:rsidRPr="006B1A5A">
              <w:rPr>
                <w:rFonts w:eastAsia="Calibri"/>
                <w:b/>
                <w:lang w:eastAsia="en-US"/>
              </w:rPr>
              <w:t>Structural formula</w:t>
            </w:r>
          </w:p>
        </w:tc>
        <w:tc>
          <w:tcPr>
            <w:tcW w:w="5353" w:type="dxa"/>
            <w:shd w:val="clear" w:color="auto" w:fill="auto"/>
          </w:tcPr>
          <w:p w14:paraId="39379DB1" w14:textId="77777777" w:rsidR="001042DA" w:rsidRPr="006B1A5A" w:rsidRDefault="001042DA" w:rsidP="00AF2AEA">
            <w:pPr>
              <w:spacing w:line="260" w:lineRule="atLeast"/>
              <w:rPr>
                <w:rFonts w:eastAsia="Calibri"/>
                <w:lang w:eastAsia="en-US"/>
              </w:rPr>
            </w:pPr>
          </w:p>
          <w:p w14:paraId="25A95A28" w14:textId="77777777" w:rsidR="001042DA" w:rsidRPr="006B1A5A" w:rsidRDefault="001042DA" w:rsidP="00AF2AEA">
            <w:pPr>
              <w:spacing w:line="260" w:lineRule="atLeast"/>
              <w:rPr>
                <w:rFonts w:eastAsia="Calibri"/>
                <w:lang w:eastAsia="en-US"/>
              </w:rPr>
            </w:pPr>
            <w:r w:rsidRPr="006B1A5A">
              <w:object w:dxaOrig="1095" w:dyaOrig="1891" w14:anchorId="6AAC19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29.75pt" o:ole="">
                  <v:imagedata r:id="rId17" o:title=""/>
                </v:shape>
                <o:OLEObject Type="Embed" ProgID="MDLDrawOLE.MDLDrawObject.1" ShapeID="_x0000_i1025" DrawAspect="Content" ObjectID="_1732594442" r:id="rId18"/>
              </w:object>
            </w:r>
          </w:p>
        </w:tc>
      </w:tr>
    </w:tbl>
    <w:p w14:paraId="7950F401" w14:textId="77777777" w:rsidR="001042DA" w:rsidRPr="006B1A5A" w:rsidRDefault="001042DA" w:rsidP="001042DA">
      <w:pPr>
        <w:spacing w:line="260" w:lineRule="atLeast"/>
        <w:jc w:val="both"/>
        <w:rPr>
          <w:rFonts w:eastAsia="Calibri"/>
          <w:lang w:eastAsia="fr-FR"/>
        </w:rPr>
      </w:pPr>
    </w:p>
    <w:p w14:paraId="31ADC0D3" w14:textId="77777777" w:rsidR="001042DA" w:rsidRPr="006B1A5A" w:rsidRDefault="001042DA" w:rsidP="00916E44">
      <w:pPr>
        <w:pStyle w:val="Overskrift4"/>
      </w:pPr>
      <w:bookmarkStart w:id="48" w:name="_Toc425344069"/>
      <w:bookmarkStart w:id="49" w:name="_Toc66448793"/>
      <w:r w:rsidRPr="006B1A5A">
        <w:lastRenderedPageBreak/>
        <w:t>Candidate(s) for substitution</w:t>
      </w:r>
      <w:bookmarkEnd w:id="48"/>
      <w:bookmarkEnd w:id="49"/>
    </w:p>
    <w:p w14:paraId="71CB3F3B" w14:textId="77777777" w:rsidR="001042DA" w:rsidRPr="006B1A5A" w:rsidRDefault="001042DA" w:rsidP="001042DA">
      <w:pPr>
        <w:spacing w:line="260" w:lineRule="atLeast"/>
        <w:rPr>
          <w:rFonts w:eastAsia="Calibri"/>
          <w:lang w:eastAsia="en-US"/>
        </w:rPr>
      </w:pPr>
      <w:r w:rsidRPr="006B1A5A">
        <w:rPr>
          <w:rFonts w:eastAsia="Calibri"/>
          <w:lang w:eastAsia="en-US"/>
        </w:rPr>
        <w:t>None of the active substances, dicopper oxide and copper thiocyanate, are considered as candidates for substitution.</w:t>
      </w:r>
    </w:p>
    <w:p w14:paraId="1D45BFCF" w14:textId="77777777" w:rsidR="001042DA" w:rsidRPr="006B1A5A" w:rsidRDefault="001042DA" w:rsidP="001042DA">
      <w:pPr>
        <w:spacing w:line="260" w:lineRule="atLeast"/>
        <w:rPr>
          <w:rFonts w:eastAsia="Calibri"/>
          <w:lang w:eastAsia="en-US"/>
        </w:rPr>
      </w:pPr>
    </w:p>
    <w:p w14:paraId="17DC27F7" w14:textId="35AF9F58" w:rsidR="001042DA" w:rsidRPr="006B1A5A" w:rsidRDefault="001042DA" w:rsidP="00916E44">
      <w:pPr>
        <w:pStyle w:val="Overskrift4"/>
      </w:pPr>
      <w:bookmarkStart w:id="50" w:name="_Toc425344070"/>
      <w:bookmarkStart w:id="51" w:name="_Toc66448794"/>
      <w:r w:rsidRPr="006B1A5A">
        <w:t>Qualitative and quantitative information on the composition of the biocidal product</w:t>
      </w:r>
      <w:bookmarkEnd w:id="50"/>
      <w:r w:rsidRPr="006B1A5A">
        <w:t xml:space="preserve"> family</w:t>
      </w:r>
      <w:bookmarkEnd w:id="51"/>
      <w:r w:rsidRPr="006B1A5A">
        <w:rPr>
          <w:vertAlign w:val="superscript"/>
        </w:rPr>
        <w:t xml:space="preserve"> </w:t>
      </w:r>
      <w:bookmarkEnd w:id="44"/>
    </w:p>
    <w:p w14:paraId="73F5F84F" w14:textId="77777777" w:rsidR="001042DA" w:rsidRPr="006B1A5A" w:rsidRDefault="001042DA" w:rsidP="001042DA">
      <w:pPr>
        <w:spacing w:line="260" w:lineRule="atLeast"/>
        <w:jc w:val="both"/>
        <w:rPr>
          <w:rFonts w:eastAsia="Calibri" w:cs="Times"/>
          <w:bCs/>
          <w:szCs w:val="29"/>
        </w:rPr>
      </w:pPr>
    </w:p>
    <w:p w14:paraId="3E43D6C6" w14:textId="77777777" w:rsidR="001042DA" w:rsidRPr="006B1A5A" w:rsidRDefault="001042DA" w:rsidP="001042DA">
      <w:pPr>
        <w:spacing w:line="260" w:lineRule="atLeast"/>
        <w:jc w:val="both"/>
        <w:rPr>
          <w:rFonts w:eastAsia="Calibri" w:cs="Times"/>
          <w:bCs/>
          <w:szCs w:val="29"/>
        </w:rPr>
      </w:pPr>
    </w:p>
    <w:tbl>
      <w:tblPr>
        <w:tblStyle w:val="Tabellrutenett"/>
        <w:tblW w:w="0" w:type="auto"/>
        <w:tblLook w:val="04A0" w:firstRow="1" w:lastRow="0" w:firstColumn="1" w:lastColumn="0" w:noHBand="0" w:noVBand="1"/>
      </w:tblPr>
      <w:tblGrid>
        <w:gridCol w:w="2301"/>
        <w:gridCol w:w="2939"/>
        <w:gridCol w:w="1985"/>
        <w:gridCol w:w="1979"/>
      </w:tblGrid>
      <w:tr w:rsidR="001042DA" w:rsidRPr="006B1A5A" w14:paraId="63B75439" w14:textId="77777777" w:rsidTr="00AF2AEA">
        <w:tc>
          <w:tcPr>
            <w:tcW w:w="2301" w:type="dxa"/>
          </w:tcPr>
          <w:p w14:paraId="4B934F4F" w14:textId="77777777" w:rsidR="001042DA" w:rsidRPr="006B1A5A" w:rsidRDefault="001042DA" w:rsidP="00AF2AEA">
            <w:pPr>
              <w:spacing w:line="260" w:lineRule="atLeast"/>
              <w:rPr>
                <w:rFonts w:eastAsia="Calibri"/>
                <w:lang w:eastAsia="en-US"/>
              </w:rPr>
            </w:pPr>
            <w:r w:rsidRPr="006B1A5A">
              <w:rPr>
                <w:rFonts w:eastAsia="Calibri"/>
                <w:lang w:eastAsia="en-US"/>
              </w:rPr>
              <w:t>Product name</w:t>
            </w:r>
          </w:p>
        </w:tc>
        <w:tc>
          <w:tcPr>
            <w:tcW w:w="2939" w:type="dxa"/>
          </w:tcPr>
          <w:p w14:paraId="6D565A52" w14:textId="77777777" w:rsidR="001042DA" w:rsidRPr="006B1A5A" w:rsidRDefault="001042DA" w:rsidP="00AF2AEA">
            <w:pPr>
              <w:spacing w:line="260" w:lineRule="atLeast"/>
              <w:rPr>
                <w:rFonts w:eastAsia="Calibri"/>
                <w:lang w:eastAsia="en-US"/>
              </w:rPr>
            </w:pPr>
            <w:r w:rsidRPr="006B1A5A">
              <w:rPr>
                <w:rFonts w:eastAsia="Calibri"/>
                <w:lang w:eastAsia="en-US"/>
              </w:rPr>
              <w:t>Formulation:</w:t>
            </w:r>
          </w:p>
        </w:tc>
        <w:tc>
          <w:tcPr>
            <w:tcW w:w="1985" w:type="dxa"/>
          </w:tcPr>
          <w:p w14:paraId="24D3E6B7" w14:textId="77777777" w:rsidR="001042DA" w:rsidRPr="006B1A5A" w:rsidRDefault="001042DA" w:rsidP="00AF2AEA">
            <w:pPr>
              <w:spacing w:line="260" w:lineRule="atLeast"/>
              <w:rPr>
                <w:rFonts w:eastAsia="Calibri"/>
                <w:lang w:eastAsia="en-US"/>
              </w:rPr>
            </w:pPr>
            <w:r w:rsidRPr="006B1A5A">
              <w:rPr>
                <w:rFonts w:eastAsia="Calibri"/>
                <w:lang w:eastAsia="en-US"/>
              </w:rPr>
              <w:t>Copper oxide (Cu</w:t>
            </w:r>
            <w:r w:rsidRPr="006B1A5A">
              <w:rPr>
                <w:rFonts w:eastAsia="Calibri"/>
                <w:vertAlign w:val="subscript"/>
                <w:lang w:eastAsia="en-US"/>
              </w:rPr>
              <w:t>2</w:t>
            </w:r>
            <w:r w:rsidRPr="006B1A5A">
              <w:rPr>
                <w:rFonts w:eastAsia="Calibri"/>
                <w:lang w:eastAsia="en-US"/>
              </w:rPr>
              <w:t>O; % w/w)</w:t>
            </w:r>
          </w:p>
        </w:tc>
        <w:tc>
          <w:tcPr>
            <w:tcW w:w="1979" w:type="dxa"/>
          </w:tcPr>
          <w:p w14:paraId="7046B5BF" w14:textId="77777777" w:rsidR="001042DA" w:rsidRPr="006B1A5A" w:rsidRDefault="001042DA" w:rsidP="00AF2AEA">
            <w:pPr>
              <w:spacing w:line="260" w:lineRule="atLeast"/>
              <w:rPr>
                <w:rFonts w:eastAsia="Calibri"/>
                <w:lang w:eastAsia="en-US"/>
              </w:rPr>
            </w:pPr>
            <w:r w:rsidRPr="006B1A5A">
              <w:rPr>
                <w:rFonts w:eastAsia="Calibri"/>
                <w:lang w:eastAsia="en-US"/>
              </w:rPr>
              <w:t>Copper thiocyanate (CuSCN; % w/w)</w:t>
            </w:r>
          </w:p>
        </w:tc>
      </w:tr>
      <w:tr w:rsidR="001042DA" w:rsidRPr="006B1A5A" w14:paraId="3A0CB3EB" w14:textId="77777777" w:rsidTr="00AF2AEA">
        <w:tc>
          <w:tcPr>
            <w:tcW w:w="2301" w:type="dxa"/>
          </w:tcPr>
          <w:p w14:paraId="0B270805" w14:textId="77777777" w:rsidR="001042DA" w:rsidRPr="006B1A5A" w:rsidRDefault="001042DA" w:rsidP="00AF2AEA">
            <w:pPr>
              <w:spacing w:line="260" w:lineRule="atLeast"/>
              <w:rPr>
                <w:rFonts w:eastAsia="Calibri"/>
                <w:b/>
                <w:lang w:eastAsia="en-US"/>
              </w:rPr>
            </w:pPr>
            <w:r w:rsidRPr="006B1A5A">
              <w:rPr>
                <w:rFonts w:eastAsia="Calibri"/>
                <w:b/>
                <w:lang w:eastAsia="en-US"/>
              </w:rPr>
              <w:t>AquaNet 360 BPF</w:t>
            </w:r>
          </w:p>
        </w:tc>
        <w:tc>
          <w:tcPr>
            <w:tcW w:w="2939" w:type="dxa"/>
          </w:tcPr>
          <w:p w14:paraId="736B5E36" w14:textId="77777777" w:rsidR="001042DA" w:rsidRPr="006B1A5A" w:rsidRDefault="001042DA" w:rsidP="00AF2AEA">
            <w:pPr>
              <w:spacing w:line="260" w:lineRule="atLeast"/>
              <w:rPr>
                <w:rFonts w:eastAsia="Calibri"/>
                <w:lang w:eastAsia="en-US"/>
              </w:rPr>
            </w:pPr>
          </w:p>
        </w:tc>
        <w:tc>
          <w:tcPr>
            <w:tcW w:w="1985" w:type="dxa"/>
          </w:tcPr>
          <w:p w14:paraId="790A38DF" w14:textId="15F85458" w:rsidR="001042DA" w:rsidRPr="006B1A5A" w:rsidRDefault="001042DA" w:rsidP="00AF2AEA">
            <w:pPr>
              <w:spacing w:line="260" w:lineRule="atLeast"/>
              <w:rPr>
                <w:rFonts w:eastAsia="Calibri"/>
                <w:lang w:eastAsia="en-US"/>
              </w:rPr>
            </w:pPr>
            <w:r w:rsidRPr="006B1A5A">
              <w:rPr>
                <w:rFonts w:eastAsia="Calibri"/>
                <w:lang w:eastAsia="en-US"/>
              </w:rPr>
              <w:t>12.3 – 24.5</w:t>
            </w:r>
            <w:r w:rsidR="0035371E">
              <w:rPr>
                <w:rFonts w:eastAsia="Calibri"/>
                <w:lang w:eastAsia="en-US"/>
              </w:rPr>
              <w:t>2</w:t>
            </w:r>
          </w:p>
        </w:tc>
        <w:tc>
          <w:tcPr>
            <w:tcW w:w="1979" w:type="dxa"/>
          </w:tcPr>
          <w:p w14:paraId="1834BB93" w14:textId="77777777" w:rsidR="001042DA" w:rsidRPr="006B1A5A" w:rsidRDefault="001042DA" w:rsidP="00AF2AEA">
            <w:pPr>
              <w:spacing w:line="260" w:lineRule="atLeast"/>
              <w:rPr>
                <w:rFonts w:eastAsia="Calibri"/>
                <w:lang w:eastAsia="en-US"/>
              </w:rPr>
            </w:pPr>
            <w:r w:rsidRPr="006B1A5A">
              <w:rPr>
                <w:rFonts w:eastAsia="Calibri"/>
                <w:lang w:eastAsia="en-US"/>
              </w:rPr>
              <w:t>1.7 – 8.04</w:t>
            </w:r>
          </w:p>
        </w:tc>
      </w:tr>
      <w:tr w:rsidR="001042DA" w:rsidRPr="006B1A5A" w14:paraId="654B7BC4" w14:textId="77777777" w:rsidTr="00AF2AEA">
        <w:tc>
          <w:tcPr>
            <w:tcW w:w="2301" w:type="dxa"/>
          </w:tcPr>
          <w:p w14:paraId="145F1D15" w14:textId="77777777" w:rsidR="001042DA" w:rsidRPr="006B1A5A" w:rsidRDefault="001042DA" w:rsidP="00AF2AEA">
            <w:pPr>
              <w:spacing w:line="260" w:lineRule="atLeast"/>
              <w:rPr>
                <w:rFonts w:eastAsia="Calibri"/>
                <w:b/>
                <w:lang w:eastAsia="en-US"/>
              </w:rPr>
            </w:pPr>
            <w:r w:rsidRPr="006B1A5A">
              <w:rPr>
                <w:rFonts w:eastAsia="Calibri"/>
                <w:b/>
                <w:lang w:eastAsia="en-US"/>
              </w:rPr>
              <w:t>AquaNet RFU 360</w:t>
            </w:r>
          </w:p>
        </w:tc>
        <w:tc>
          <w:tcPr>
            <w:tcW w:w="2939" w:type="dxa"/>
          </w:tcPr>
          <w:p w14:paraId="1FEB78E3" w14:textId="77777777" w:rsidR="001042DA" w:rsidRPr="006B1A5A" w:rsidRDefault="001042DA" w:rsidP="00AF2AEA">
            <w:pPr>
              <w:spacing w:line="260" w:lineRule="atLeast"/>
              <w:rPr>
                <w:rFonts w:eastAsia="Calibri"/>
                <w:lang w:eastAsia="en-US"/>
              </w:rPr>
            </w:pPr>
            <w:r w:rsidRPr="006B1A5A">
              <w:rPr>
                <w:rFonts w:eastAsia="Calibri"/>
                <w:lang w:eastAsia="en-US"/>
              </w:rPr>
              <w:t>Ready for use</w:t>
            </w:r>
          </w:p>
        </w:tc>
        <w:tc>
          <w:tcPr>
            <w:tcW w:w="1985" w:type="dxa"/>
          </w:tcPr>
          <w:p w14:paraId="2789502B" w14:textId="77777777" w:rsidR="001042DA" w:rsidRPr="006B1A5A" w:rsidRDefault="001042DA" w:rsidP="00AF2AEA">
            <w:pPr>
              <w:spacing w:line="260" w:lineRule="atLeast"/>
              <w:rPr>
                <w:rFonts w:eastAsia="Calibri"/>
                <w:lang w:eastAsia="en-US"/>
              </w:rPr>
            </w:pPr>
            <w:r w:rsidRPr="006B1A5A">
              <w:rPr>
                <w:rFonts w:eastAsia="Calibri"/>
                <w:lang w:eastAsia="en-US"/>
              </w:rPr>
              <w:t>12.3</w:t>
            </w:r>
          </w:p>
        </w:tc>
        <w:tc>
          <w:tcPr>
            <w:tcW w:w="1979" w:type="dxa"/>
          </w:tcPr>
          <w:p w14:paraId="59D541D5" w14:textId="6882877A" w:rsidR="001042DA" w:rsidRPr="006B1A5A" w:rsidRDefault="001042DA" w:rsidP="00AF2AEA">
            <w:pPr>
              <w:spacing w:line="260" w:lineRule="atLeast"/>
              <w:rPr>
                <w:rFonts w:eastAsia="Calibri"/>
                <w:lang w:eastAsia="en-US"/>
              </w:rPr>
            </w:pPr>
            <w:r w:rsidRPr="006B1A5A">
              <w:rPr>
                <w:rFonts w:eastAsia="Calibri"/>
                <w:lang w:eastAsia="en-US"/>
              </w:rPr>
              <w:t>1.72</w:t>
            </w:r>
          </w:p>
        </w:tc>
      </w:tr>
      <w:tr w:rsidR="001042DA" w:rsidRPr="006B1A5A" w14:paraId="6A8E21F1" w14:textId="77777777" w:rsidTr="00AF2AEA">
        <w:tc>
          <w:tcPr>
            <w:tcW w:w="2301" w:type="dxa"/>
          </w:tcPr>
          <w:p w14:paraId="1BD803EB" w14:textId="77777777" w:rsidR="001042DA" w:rsidRPr="006B1A5A" w:rsidRDefault="001042DA" w:rsidP="00AF2AEA">
            <w:pPr>
              <w:spacing w:line="260" w:lineRule="atLeast"/>
              <w:rPr>
                <w:rFonts w:eastAsia="Calibri"/>
                <w:b/>
                <w:lang w:eastAsia="en-US"/>
              </w:rPr>
            </w:pPr>
            <w:r w:rsidRPr="006B1A5A">
              <w:rPr>
                <w:rFonts w:eastAsia="Calibri"/>
                <w:b/>
                <w:lang w:eastAsia="en-US"/>
              </w:rPr>
              <w:t>AquaNet LG 360</w:t>
            </w:r>
          </w:p>
        </w:tc>
        <w:tc>
          <w:tcPr>
            <w:tcW w:w="2939" w:type="dxa"/>
          </w:tcPr>
          <w:p w14:paraId="491B0F8F" w14:textId="77777777" w:rsidR="001042DA" w:rsidRPr="006B1A5A" w:rsidRDefault="001042DA" w:rsidP="00AF2AEA">
            <w:pPr>
              <w:spacing w:line="260" w:lineRule="atLeast"/>
              <w:rPr>
                <w:rFonts w:eastAsia="Calibri"/>
                <w:lang w:eastAsia="en-US"/>
              </w:rPr>
            </w:pPr>
            <w:r w:rsidRPr="006B1A5A">
              <w:rPr>
                <w:rFonts w:eastAsia="Calibri"/>
                <w:lang w:eastAsia="en-US"/>
              </w:rPr>
              <w:t>Concentrate (1:1 dilution)</w:t>
            </w:r>
          </w:p>
        </w:tc>
        <w:tc>
          <w:tcPr>
            <w:tcW w:w="1985" w:type="dxa"/>
          </w:tcPr>
          <w:p w14:paraId="2E30BBD7" w14:textId="77777777" w:rsidR="001042DA" w:rsidRPr="006B1A5A" w:rsidRDefault="001042DA" w:rsidP="00AF2AEA">
            <w:pPr>
              <w:spacing w:line="260" w:lineRule="atLeast"/>
              <w:rPr>
                <w:rFonts w:eastAsia="Calibri"/>
                <w:lang w:eastAsia="en-US"/>
              </w:rPr>
            </w:pPr>
            <w:r w:rsidRPr="006B1A5A">
              <w:rPr>
                <w:rFonts w:eastAsia="Calibri"/>
                <w:lang w:eastAsia="en-US"/>
              </w:rPr>
              <w:t>13.8</w:t>
            </w:r>
          </w:p>
        </w:tc>
        <w:tc>
          <w:tcPr>
            <w:tcW w:w="1979" w:type="dxa"/>
          </w:tcPr>
          <w:p w14:paraId="1EA2E73F" w14:textId="77777777" w:rsidR="001042DA" w:rsidRPr="006B1A5A" w:rsidRDefault="001042DA" w:rsidP="00AF2AEA">
            <w:pPr>
              <w:spacing w:line="260" w:lineRule="atLeast"/>
              <w:rPr>
                <w:rFonts w:eastAsia="Calibri"/>
                <w:lang w:eastAsia="en-US"/>
              </w:rPr>
            </w:pPr>
            <w:r w:rsidRPr="006B1A5A">
              <w:rPr>
                <w:rFonts w:eastAsia="Calibri"/>
                <w:lang w:eastAsia="en-US"/>
              </w:rPr>
              <w:t>3.91</w:t>
            </w:r>
          </w:p>
        </w:tc>
      </w:tr>
      <w:tr w:rsidR="001042DA" w:rsidRPr="006B1A5A" w14:paraId="076F4AE7" w14:textId="77777777" w:rsidTr="00AF2AEA">
        <w:tc>
          <w:tcPr>
            <w:tcW w:w="2301" w:type="dxa"/>
          </w:tcPr>
          <w:p w14:paraId="69B91462" w14:textId="77777777" w:rsidR="001042DA" w:rsidRPr="006B1A5A" w:rsidRDefault="001042DA" w:rsidP="00AF2AEA">
            <w:pPr>
              <w:spacing w:line="260" w:lineRule="atLeast"/>
              <w:rPr>
                <w:rFonts w:eastAsia="Calibri"/>
                <w:b/>
                <w:lang w:eastAsia="en-US"/>
              </w:rPr>
            </w:pPr>
            <w:r w:rsidRPr="006B1A5A">
              <w:rPr>
                <w:rFonts w:eastAsia="Calibri"/>
                <w:b/>
                <w:lang w:eastAsia="en-US"/>
              </w:rPr>
              <w:t>AquaNet HG 360</w:t>
            </w:r>
          </w:p>
        </w:tc>
        <w:tc>
          <w:tcPr>
            <w:tcW w:w="2939" w:type="dxa"/>
          </w:tcPr>
          <w:p w14:paraId="7C4FDAC6" w14:textId="77777777" w:rsidR="001042DA" w:rsidRPr="006B1A5A" w:rsidRDefault="001042DA" w:rsidP="00AF2AEA">
            <w:pPr>
              <w:spacing w:line="260" w:lineRule="atLeast"/>
              <w:rPr>
                <w:rFonts w:eastAsia="Calibri"/>
                <w:lang w:eastAsia="en-US"/>
              </w:rPr>
            </w:pPr>
            <w:r w:rsidRPr="006B1A5A">
              <w:rPr>
                <w:rFonts w:eastAsia="Calibri"/>
                <w:lang w:eastAsia="en-US"/>
              </w:rPr>
              <w:t>Concentrate (1:1 dilution)</w:t>
            </w:r>
          </w:p>
        </w:tc>
        <w:tc>
          <w:tcPr>
            <w:tcW w:w="1985" w:type="dxa"/>
          </w:tcPr>
          <w:p w14:paraId="1E88E2B4" w14:textId="77777777" w:rsidR="001042DA" w:rsidRPr="006B1A5A" w:rsidRDefault="001042DA" w:rsidP="00AF2AEA">
            <w:pPr>
              <w:spacing w:line="260" w:lineRule="atLeast"/>
              <w:rPr>
                <w:rFonts w:eastAsia="Calibri"/>
                <w:lang w:eastAsia="en-US"/>
              </w:rPr>
            </w:pPr>
            <w:r w:rsidRPr="006B1A5A">
              <w:rPr>
                <w:rFonts w:eastAsia="Calibri"/>
                <w:lang w:eastAsia="en-US"/>
              </w:rPr>
              <w:t>24.52</w:t>
            </w:r>
          </w:p>
        </w:tc>
        <w:tc>
          <w:tcPr>
            <w:tcW w:w="1979" w:type="dxa"/>
          </w:tcPr>
          <w:p w14:paraId="046DE823" w14:textId="77777777" w:rsidR="001042DA" w:rsidRPr="006B1A5A" w:rsidRDefault="001042DA" w:rsidP="00AF2AEA">
            <w:pPr>
              <w:spacing w:line="260" w:lineRule="atLeast"/>
              <w:rPr>
                <w:rFonts w:eastAsia="Calibri"/>
                <w:lang w:eastAsia="en-US"/>
              </w:rPr>
            </w:pPr>
            <w:r w:rsidRPr="006B1A5A">
              <w:rPr>
                <w:rFonts w:eastAsia="Calibri"/>
                <w:lang w:eastAsia="en-US"/>
              </w:rPr>
              <w:t>8.04</w:t>
            </w:r>
          </w:p>
        </w:tc>
      </w:tr>
    </w:tbl>
    <w:p w14:paraId="53993EA2" w14:textId="77777777" w:rsidR="001042DA" w:rsidRPr="006B1A5A" w:rsidRDefault="001042DA" w:rsidP="001042DA">
      <w:pPr>
        <w:spacing w:line="260" w:lineRule="atLeast"/>
        <w:jc w:val="both"/>
        <w:rPr>
          <w:rFonts w:eastAsia="Calibri" w:cs="Times"/>
          <w:bCs/>
          <w:szCs w:val="29"/>
        </w:rPr>
      </w:pPr>
    </w:p>
    <w:p w14:paraId="3904A7F7" w14:textId="77777777" w:rsidR="001042DA" w:rsidRPr="006B1A5A" w:rsidRDefault="001042DA" w:rsidP="001042DA">
      <w:pPr>
        <w:spacing w:line="260" w:lineRule="atLeast"/>
        <w:jc w:val="both"/>
        <w:rPr>
          <w:rFonts w:eastAsia="Calibri" w:cs="Times"/>
          <w:bCs/>
          <w:szCs w:val="29"/>
        </w:rPr>
      </w:pPr>
      <w:bookmarkStart w:id="52" w:name="_Hlk20421692"/>
      <w:r w:rsidRPr="006B1A5A">
        <w:rPr>
          <w:rFonts w:eastAsia="Calibri" w:cs="Times"/>
          <w:bCs/>
          <w:szCs w:val="29"/>
        </w:rPr>
        <w:t>The full composition details of the formulations are contained within the confidential annex to this PAR.</w:t>
      </w:r>
    </w:p>
    <w:p w14:paraId="02AC83C7" w14:textId="77777777" w:rsidR="001042DA" w:rsidRPr="006B1A5A" w:rsidRDefault="001042DA" w:rsidP="001042DA">
      <w:pPr>
        <w:spacing w:line="260" w:lineRule="atLeast"/>
        <w:jc w:val="both"/>
        <w:rPr>
          <w:rFonts w:eastAsia="Calibri" w:cs="Times"/>
          <w:bCs/>
          <w:szCs w:val="29"/>
        </w:rPr>
      </w:pPr>
    </w:p>
    <w:p w14:paraId="2F4822FD" w14:textId="77777777" w:rsidR="001042DA" w:rsidRPr="006B1A5A" w:rsidRDefault="001042DA" w:rsidP="00916E44">
      <w:pPr>
        <w:pStyle w:val="Overskrift4"/>
      </w:pPr>
      <w:bookmarkStart w:id="53" w:name="_Toc403566543"/>
      <w:bookmarkStart w:id="54" w:name="_Toc425344072"/>
      <w:bookmarkStart w:id="55" w:name="_Toc66448795"/>
      <w:bookmarkStart w:id="56" w:name="_Toc366658846"/>
      <w:bookmarkStart w:id="57" w:name="d0e437"/>
      <w:bookmarkEnd w:id="52"/>
      <w:r w:rsidRPr="006B1A5A">
        <w:t>Information on technical equivalence</w:t>
      </w:r>
      <w:bookmarkEnd w:id="53"/>
      <w:bookmarkEnd w:id="54"/>
      <w:bookmarkEnd w:id="55"/>
    </w:p>
    <w:p w14:paraId="7D731881" w14:textId="77777777" w:rsidR="001042DA" w:rsidRPr="006B1A5A" w:rsidRDefault="001042DA" w:rsidP="001042DA">
      <w:pPr>
        <w:spacing w:line="260" w:lineRule="atLeast"/>
        <w:rPr>
          <w:rFonts w:eastAsia="Calibri"/>
          <w:lang w:eastAsia="en-US"/>
        </w:rPr>
      </w:pPr>
      <w:r w:rsidRPr="006B1A5A">
        <w:rPr>
          <w:rFonts w:eastAsia="Calibri"/>
          <w:lang w:eastAsia="en-US"/>
        </w:rPr>
        <w:t>Spiess-Urania Chemicals GmbH and Bardyke Chemicals Limited are listed as approved suppliers in accordance with Article 95 of the Biocidal Products Regulation (BPR).</w:t>
      </w:r>
    </w:p>
    <w:p w14:paraId="4380007A" w14:textId="77777777" w:rsidR="001042DA" w:rsidRPr="006B1A5A" w:rsidRDefault="001042DA" w:rsidP="001042DA">
      <w:pPr>
        <w:spacing w:line="260" w:lineRule="atLeast"/>
        <w:rPr>
          <w:rFonts w:eastAsia="Calibri"/>
          <w:lang w:eastAsia="en-US"/>
        </w:rPr>
      </w:pPr>
    </w:p>
    <w:p w14:paraId="209F2CA7" w14:textId="77777777" w:rsidR="001042DA" w:rsidRPr="006B1A5A" w:rsidRDefault="001042DA" w:rsidP="00916E44">
      <w:pPr>
        <w:pStyle w:val="Overskrift4"/>
      </w:pPr>
      <w:bookmarkStart w:id="58" w:name="_Toc403566544"/>
      <w:bookmarkStart w:id="59" w:name="_Toc425344073"/>
      <w:bookmarkStart w:id="60" w:name="_Toc66448796"/>
      <w:r w:rsidRPr="006B1A5A">
        <w:t>Information on the substance(s) of concern</w:t>
      </w:r>
      <w:bookmarkEnd w:id="58"/>
      <w:bookmarkEnd w:id="59"/>
      <w:bookmarkEnd w:id="60"/>
    </w:p>
    <w:p w14:paraId="1580BE77" w14:textId="77777777" w:rsidR="001042DA" w:rsidRPr="006B1A5A" w:rsidRDefault="001042DA" w:rsidP="001042DA">
      <w:pPr>
        <w:spacing w:line="260" w:lineRule="atLeast"/>
        <w:jc w:val="both"/>
        <w:rPr>
          <w:rFonts w:eastAsia="Calibri" w:cs="Times"/>
          <w:bCs/>
          <w:szCs w:val="29"/>
        </w:rPr>
      </w:pPr>
      <w:r w:rsidRPr="006B1A5A">
        <w:rPr>
          <w:rFonts w:eastAsia="Calibri" w:cs="Times"/>
          <w:bCs/>
          <w:szCs w:val="29"/>
        </w:rPr>
        <w:t>There are no substances of concern present in the AquaNet 360 products.</w:t>
      </w:r>
    </w:p>
    <w:p w14:paraId="07178CC3" w14:textId="77777777" w:rsidR="001042DA" w:rsidRPr="006B1A5A" w:rsidRDefault="001042DA" w:rsidP="001042DA">
      <w:pPr>
        <w:spacing w:line="260" w:lineRule="atLeast"/>
        <w:jc w:val="both"/>
        <w:rPr>
          <w:rFonts w:eastAsia="Calibri" w:cs="Times"/>
          <w:bCs/>
          <w:szCs w:val="29"/>
        </w:rPr>
      </w:pPr>
    </w:p>
    <w:p w14:paraId="2D7FCACA" w14:textId="77777777" w:rsidR="001042DA" w:rsidRPr="006B1A5A" w:rsidRDefault="001042DA" w:rsidP="00916E44">
      <w:pPr>
        <w:pStyle w:val="Overskrift4"/>
      </w:pPr>
      <w:bookmarkStart w:id="61" w:name="_Toc425344074"/>
      <w:bookmarkStart w:id="62" w:name="_Toc66448797"/>
      <w:r w:rsidRPr="006B1A5A">
        <w:t>Type of formulation</w:t>
      </w:r>
      <w:bookmarkEnd w:id="56"/>
      <w:bookmarkEnd w:id="61"/>
      <w:bookmarkEnd w:id="6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42DA" w:rsidRPr="006B1A5A" w14:paraId="61C4C3DF" w14:textId="77777777" w:rsidTr="00AF2AEA">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bookmarkEnd w:id="57"/>
          <w:p w14:paraId="1A9378D5" w14:textId="77777777" w:rsidR="001042DA" w:rsidRPr="006B1A5A" w:rsidRDefault="001042DA" w:rsidP="00AF2AEA">
            <w:r w:rsidRPr="006B1A5A">
              <w:t>SC – Suspension concentrate (= flowable concentrate)</w:t>
            </w:r>
          </w:p>
          <w:p w14:paraId="268F47DE" w14:textId="77777777" w:rsidR="001042DA" w:rsidRPr="006B1A5A" w:rsidRDefault="001042DA" w:rsidP="00AF2AEA">
            <w:r w:rsidRPr="006B1A5A">
              <w:t>SD – Suspension concentrate for direct application</w:t>
            </w:r>
          </w:p>
        </w:tc>
      </w:tr>
    </w:tbl>
    <w:p w14:paraId="549B3301" w14:textId="77777777" w:rsidR="001042DA" w:rsidRPr="006B1A5A" w:rsidRDefault="001042DA" w:rsidP="001042DA">
      <w:bookmarkStart w:id="63" w:name="_Toc366658847"/>
      <w:bookmarkStart w:id="64" w:name="d0e452"/>
    </w:p>
    <w:p w14:paraId="610083E7" w14:textId="77777777" w:rsidR="001042DA" w:rsidRPr="006B1A5A" w:rsidRDefault="001042DA" w:rsidP="001042DA">
      <w:pPr>
        <w:rPr>
          <w:i/>
          <w:sz w:val="22"/>
          <w:highlight w:val="lightGray"/>
        </w:rPr>
      </w:pPr>
      <w:bookmarkStart w:id="65" w:name="_Toc425344075"/>
      <w:r w:rsidRPr="006B1A5A">
        <w:rPr>
          <w:highlight w:val="lightGray"/>
        </w:rPr>
        <w:br w:type="page"/>
      </w:r>
    </w:p>
    <w:p w14:paraId="6BD12D40" w14:textId="442A2A26" w:rsidR="001042DA" w:rsidRPr="006B1A5A" w:rsidRDefault="001042DA" w:rsidP="001042DA">
      <w:pPr>
        <w:pStyle w:val="Overskrift3"/>
        <w:rPr>
          <w:lang w:val="en-GB"/>
        </w:rPr>
      </w:pPr>
      <w:bookmarkStart w:id="66" w:name="_Toc66448798"/>
      <w:r w:rsidRPr="006B1A5A">
        <w:rPr>
          <w:lang w:val="en-GB"/>
        </w:rPr>
        <w:lastRenderedPageBreak/>
        <w:t>Hazard and precautionary statements</w:t>
      </w:r>
      <w:bookmarkEnd w:id="65"/>
      <w:bookmarkEnd w:id="66"/>
    </w:p>
    <w:p w14:paraId="52C1E583" w14:textId="351C70D6" w:rsidR="001042DA" w:rsidRPr="006B1A5A" w:rsidRDefault="001042DA" w:rsidP="001042DA">
      <w:pPr>
        <w:rPr>
          <w:b/>
        </w:rPr>
      </w:pPr>
      <w:r w:rsidRPr="006B1A5A">
        <w:rPr>
          <w:b/>
        </w:rPr>
        <w:t>Classification and labelling of the products of the family according to the Regulation (EC) 1272/2008</w:t>
      </w:r>
    </w:p>
    <w:p w14:paraId="738EB6C4" w14:textId="77777777" w:rsidR="001042DA" w:rsidRPr="006B1A5A" w:rsidRDefault="001042DA" w:rsidP="001042DA">
      <w:pPr>
        <w:tabs>
          <w:tab w:val="left" w:pos="500"/>
        </w:tabs>
        <w:spacing w:line="260" w:lineRule="atLeast"/>
        <w:ind w:left="500" w:hanging="500"/>
        <w:rPr>
          <w:rFonts w:eastAsia="Calibri"/>
          <w:b/>
          <w:lang w:eastAsia="en-US"/>
        </w:rPr>
      </w:pPr>
    </w:p>
    <w:p w14:paraId="450677C9" w14:textId="77777777" w:rsidR="001042DA" w:rsidRPr="006B1A5A" w:rsidRDefault="001042DA" w:rsidP="001042DA">
      <w:pPr>
        <w:tabs>
          <w:tab w:val="left" w:pos="500"/>
        </w:tabs>
        <w:spacing w:line="260" w:lineRule="atLeast"/>
        <w:ind w:left="500" w:hanging="500"/>
        <w:rPr>
          <w:rFonts w:eastAsia="Calibri"/>
          <w:b/>
          <w:lang w:eastAsia="en-US"/>
        </w:rPr>
      </w:pPr>
      <w:bookmarkStart w:id="67" w:name="_Hlk23615365"/>
      <w:r w:rsidRPr="006B1A5A">
        <w:rPr>
          <w:rFonts w:eastAsia="Calibri"/>
          <w:b/>
          <w:lang w:eastAsia="en-US"/>
        </w:rPr>
        <w:t>Meta SPC 1</w:t>
      </w:r>
    </w:p>
    <w:bookmarkEnd w:id="67"/>
    <w:p w14:paraId="242E3A28" w14:textId="77777777" w:rsidR="001042DA" w:rsidRPr="006B1A5A" w:rsidRDefault="001042DA" w:rsidP="001042DA">
      <w:pPr>
        <w:tabs>
          <w:tab w:val="left" w:pos="500"/>
        </w:tabs>
        <w:ind w:left="500" w:hanging="500"/>
        <w:rPr>
          <w:b/>
          <w:bCs/>
          <w:szCs w:val="24"/>
          <w:lang w:eastAsia="en-GB"/>
        </w:rPr>
      </w:pPr>
    </w:p>
    <w:tbl>
      <w:tblPr>
        <w:tblW w:w="8829" w:type="dxa"/>
        <w:jc w:val="center"/>
        <w:tblLayout w:type="fixed"/>
        <w:tblLook w:val="04A0" w:firstRow="1" w:lastRow="0" w:firstColumn="1" w:lastColumn="0" w:noHBand="0" w:noVBand="1"/>
      </w:tblPr>
      <w:tblGrid>
        <w:gridCol w:w="2554"/>
        <w:gridCol w:w="3137"/>
        <w:gridCol w:w="3138"/>
      </w:tblGrid>
      <w:tr w:rsidR="001042DA" w:rsidRPr="006B1A5A" w14:paraId="06A36F6D" w14:textId="77777777" w:rsidTr="00AF2AEA">
        <w:trPr>
          <w:cantSplit/>
          <w:tblHeader/>
          <w:jc w:val="center"/>
        </w:trPr>
        <w:tc>
          <w:tcPr>
            <w:tcW w:w="8829" w:type="dxa"/>
            <w:gridSpan w:val="3"/>
            <w:tcBorders>
              <w:top w:val="single" w:sz="2" w:space="0" w:color="auto"/>
              <w:left w:val="single" w:sz="2" w:space="0" w:color="auto"/>
              <w:bottom w:val="single" w:sz="2" w:space="0" w:color="auto"/>
              <w:right w:val="single" w:sz="2" w:space="0" w:color="auto"/>
            </w:tcBorders>
          </w:tcPr>
          <w:p w14:paraId="1C79C5BC" w14:textId="77777777" w:rsidR="001042DA" w:rsidRPr="006B1A5A" w:rsidRDefault="001042DA" w:rsidP="00AF2AEA">
            <w:pPr>
              <w:tabs>
                <w:tab w:val="left" w:pos="2261"/>
              </w:tabs>
              <w:rPr>
                <w:b/>
                <w:lang w:eastAsia="en-US"/>
              </w:rPr>
            </w:pPr>
            <w:r w:rsidRPr="006B1A5A">
              <w:rPr>
                <w:b/>
                <w:lang w:eastAsia="en-US"/>
              </w:rPr>
              <w:t>AquaNet LG 360</w:t>
            </w:r>
          </w:p>
        </w:tc>
      </w:tr>
      <w:tr w:rsidR="001042DA" w:rsidRPr="006B1A5A" w14:paraId="7730D44D" w14:textId="77777777" w:rsidTr="00AF2AEA">
        <w:trPr>
          <w:cantSplit/>
          <w:tblHeader/>
          <w:jc w:val="center"/>
        </w:trPr>
        <w:tc>
          <w:tcPr>
            <w:tcW w:w="8829" w:type="dxa"/>
            <w:gridSpan w:val="3"/>
            <w:tcBorders>
              <w:top w:val="single" w:sz="2" w:space="0" w:color="auto"/>
              <w:left w:val="single" w:sz="2" w:space="0" w:color="auto"/>
              <w:bottom w:val="single" w:sz="2" w:space="0" w:color="auto"/>
              <w:right w:val="single" w:sz="2" w:space="0" w:color="auto"/>
            </w:tcBorders>
            <w:hideMark/>
          </w:tcPr>
          <w:p w14:paraId="46F66FEE" w14:textId="77777777" w:rsidR="001042DA" w:rsidRPr="006B1A5A" w:rsidRDefault="001042DA" w:rsidP="00AF2AEA">
            <w:pPr>
              <w:rPr>
                <w:b/>
                <w:lang w:eastAsia="fi-FI"/>
              </w:rPr>
            </w:pPr>
            <w:r w:rsidRPr="006B1A5A">
              <w:rPr>
                <w:b/>
                <w:lang w:eastAsia="en-US"/>
              </w:rPr>
              <w:t>Classification</w:t>
            </w:r>
          </w:p>
        </w:tc>
      </w:tr>
      <w:tr w:rsidR="001042DA" w:rsidRPr="006B1A5A" w14:paraId="2DA3FF70" w14:textId="77777777" w:rsidTr="00AF2AEA">
        <w:trPr>
          <w:cantSplit/>
          <w:tblHeader/>
          <w:jc w:val="center"/>
        </w:trPr>
        <w:tc>
          <w:tcPr>
            <w:tcW w:w="2554" w:type="dxa"/>
            <w:tcBorders>
              <w:top w:val="single" w:sz="2" w:space="0" w:color="auto"/>
              <w:left w:val="single" w:sz="2" w:space="0" w:color="auto"/>
              <w:bottom w:val="single" w:sz="2" w:space="0" w:color="auto"/>
              <w:right w:val="single" w:sz="2" w:space="0" w:color="auto"/>
            </w:tcBorders>
            <w:hideMark/>
          </w:tcPr>
          <w:p w14:paraId="274D7BD2" w14:textId="77777777" w:rsidR="001042DA" w:rsidRPr="006B1A5A" w:rsidRDefault="001042DA" w:rsidP="00AF2AEA">
            <w:pPr>
              <w:rPr>
                <w:lang w:eastAsia="fi-FI"/>
              </w:rPr>
            </w:pPr>
            <w:r w:rsidRPr="006B1A5A">
              <w:rPr>
                <w:lang w:eastAsia="en-US"/>
              </w:rPr>
              <w:t>Hazard category</w:t>
            </w:r>
          </w:p>
        </w:tc>
        <w:tc>
          <w:tcPr>
            <w:tcW w:w="6275" w:type="dxa"/>
            <w:gridSpan w:val="2"/>
            <w:tcBorders>
              <w:top w:val="single" w:sz="2" w:space="0" w:color="auto"/>
              <w:left w:val="single" w:sz="2" w:space="0" w:color="auto"/>
              <w:bottom w:val="single" w:sz="2" w:space="0" w:color="auto"/>
              <w:right w:val="single" w:sz="2" w:space="0" w:color="auto"/>
            </w:tcBorders>
          </w:tcPr>
          <w:p w14:paraId="6293E5DA" w14:textId="77777777" w:rsidR="001042DA" w:rsidRPr="006B1A5A" w:rsidRDefault="001042DA" w:rsidP="00AF2AEA">
            <w:pPr>
              <w:spacing w:before="120"/>
              <w:rPr>
                <w:lang w:eastAsia="fi-FI"/>
              </w:rPr>
            </w:pPr>
            <w:r w:rsidRPr="006B1A5A">
              <w:rPr>
                <w:lang w:eastAsia="fi-FI"/>
              </w:rPr>
              <w:t>Eye Dam. 1</w:t>
            </w:r>
          </w:p>
          <w:p w14:paraId="5EE5CFBC" w14:textId="77777777" w:rsidR="001042DA" w:rsidRPr="006B1A5A" w:rsidRDefault="001042DA" w:rsidP="00AF2AEA">
            <w:pPr>
              <w:spacing w:before="120"/>
              <w:rPr>
                <w:lang w:eastAsia="fi-FI"/>
              </w:rPr>
            </w:pPr>
            <w:r w:rsidRPr="006B1A5A">
              <w:rPr>
                <w:lang w:eastAsia="fi-FI"/>
              </w:rPr>
              <w:t>Aquatic Acute 1</w:t>
            </w:r>
          </w:p>
          <w:p w14:paraId="315F3C95" w14:textId="77777777" w:rsidR="001042DA" w:rsidRPr="006B1A5A" w:rsidRDefault="001042DA" w:rsidP="00AF2AEA">
            <w:pPr>
              <w:spacing w:before="120"/>
              <w:rPr>
                <w:lang w:eastAsia="fi-FI"/>
              </w:rPr>
            </w:pPr>
            <w:r w:rsidRPr="006B1A5A">
              <w:rPr>
                <w:lang w:eastAsia="fi-FI"/>
              </w:rPr>
              <w:t>Aquatic Chronic 1</w:t>
            </w:r>
          </w:p>
        </w:tc>
      </w:tr>
      <w:tr w:rsidR="001042DA" w:rsidRPr="006B1A5A" w14:paraId="0D7593C6" w14:textId="77777777" w:rsidTr="00AF2AEA">
        <w:trPr>
          <w:cantSplit/>
          <w:tblHeader/>
          <w:jc w:val="center"/>
        </w:trPr>
        <w:tc>
          <w:tcPr>
            <w:tcW w:w="2554" w:type="dxa"/>
            <w:tcBorders>
              <w:top w:val="single" w:sz="2" w:space="0" w:color="auto"/>
              <w:left w:val="single" w:sz="2" w:space="0" w:color="auto"/>
              <w:bottom w:val="single" w:sz="2" w:space="0" w:color="auto"/>
              <w:right w:val="single" w:sz="2" w:space="0" w:color="auto"/>
            </w:tcBorders>
            <w:hideMark/>
          </w:tcPr>
          <w:p w14:paraId="078B4754" w14:textId="77777777" w:rsidR="001042DA" w:rsidRPr="006B1A5A" w:rsidRDefault="001042DA" w:rsidP="00AF2AEA">
            <w:pPr>
              <w:rPr>
                <w:lang w:eastAsia="fi-FI"/>
              </w:rPr>
            </w:pPr>
            <w:r w:rsidRPr="006B1A5A">
              <w:rPr>
                <w:lang w:eastAsia="en-US"/>
              </w:rPr>
              <w:t>Hazard statement</w:t>
            </w:r>
          </w:p>
        </w:tc>
        <w:tc>
          <w:tcPr>
            <w:tcW w:w="6275" w:type="dxa"/>
            <w:gridSpan w:val="2"/>
            <w:tcBorders>
              <w:top w:val="single" w:sz="2" w:space="0" w:color="auto"/>
              <w:left w:val="single" w:sz="2" w:space="0" w:color="auto"/>
              <w:bottom w:val="single" w:sz="2" w:space="0" w:color="auto"/>
              <w:right w:val="single" w:sz="2" w:space="0" w:color="auto"/>
            </w:tcBorders>
          </w:tcPr>
          <w:p w14:paraId="053C1A9D" w14:textId="77777777" w:rsidR="001042DA" w:rsidRPr="006B1A5A" w:rsidRDefault="001042DA" w:rsidP="00AF2AEA">
            <w:pPr>
              <w:spacing w:before="120"/>
              <w:rPr>
                <w:lang w:eastAsia="fi-FI"/>
              </w:rPr>
            </w:pPr>
            <w:r w:rsidRPr="006B1A5A">
              <w:rPr>
                <w:lang w:eastAsia="fi-FI"/>
              </w:rPr>
              <w:t>H318: Causes serious eye damage</w:t>
            </w:r>
          </w:p>
          <w:p w14:paraId="6DD5BC3E" w14:textId="77777777" w:rsidR="001042DA" w:rsidRPr="006B1A5A" w:rsidRDefault="001042DA" w:rsidP="00AF2AEA">
            <w:pPr>
              <w:pStyle w:val="Default"/>
              <w:spacing w:before="120"/>
              <w:rPr>
                <w:rFonts w:ascii="Verdana" w:hAnsi="Verdana" w:cs="Verdana"/>
                <w:sz w:val="20"/>
                <w:szCs w:val="20"/>
                <w:lang w:eastAsia="en-US"/>
              </w:rPr>
            </w:pPr>
            <w:r w:rsidRPr="006B1A5A">
              <w:rPr>
                <w:rFonts w:ascii="Verdana" w:hAnsi="Verdana"/>
                <w:sz w:val="20"/>
                <w:szCs w:val="20"/>
                <w:lang w:eastAsia="fi-FI"/>
              </w:rPr>
              <w:t xml:space="preserve">H400: </w:t>
            </w:r>
            <w:r w:rsidRPr="006B1A5A">
              <w:rPr>
                <w:rFonts w:ascii="Verdana" w:hAnsi="Verdana" w:cs="Verdana"/>
                <w:sz w:val="20"/>
                <w:szCs w:val="20"/>
                <w:lang w:eastAsia="en-US"/>
              </w:rPr>
              <w:t xml:space="preserve">Very toxic to aquatic life </w:t>
            </w:r>
          </w:p>
          <w:p w14:paraId="3BA3941B" w14:textId="77777777" w:rsidR="001042DA" w:rsidRPr="006B1A5A" w:rsidRDefault="001042DA" w:rsidP="00AF2AEA">
            <w:pPr>
              <w:spacing w:before="120"/>
              <w:rPr>
                <w:lang w:eastAsia="fi-FI"/>
              </w:rPr>
            </w:pPr>
            <w:r w:rsidRPr="006B1A5A">
              <w:rPr>
                <w:lang w:eastAsia="fi-FI"/>
              </w:rPr>
              <w:t>H410: Very toxic to aquatic life with long lasting effects</w:t>
            </w:r>
          </w:p>
        </w:tc>
      </w:tr>
      <w:tr w:rsidR="001042DA" w:rsidRPr="006B1A5A" w14:paraId="4DFF8623" w14:textId="77777777" w:rsidTr="00AF2AEA">
        <w:trPr>
          <w:cantSplit/>
          <w:tblHeader/>
          <w:jc w:val="center"/>
        </w:trPr>
        <w:tc>
          <w:tcPr>
            <w:tcW w:w="8829" w:type="dxa"/>
            <w:gridSpan w:val="3"/>
            <w:tcBorders>
              <w:top w:val="single" w:sz="2" w:space="0" w:color="auto"/>
              <w:left w:val="single" w:sz="2" w:space="0" w:color="auto"/>
              <w:bottom w:val="single" w:sz="2" w:space="0" w:color="auto"/>
              <w:right w:val="single" w:sz="2" w:space="0" w:color="auto"/>
            </w:tcBorders>
            <w:hideMark/>
          </w:tcPr>
          <w:p w14:paraId="72B2BCBD" w14:textId="77777777" w:rsidR="001042DA" w:rsidRPr="006B1A5A" w:rsidRDefault="001042DA" w:rsidP="00AF2AEA">
            <w:pPr>
              <w:spacing w:before="120"/>
              <w:rPr>
                <w:b/>
                <w:lang w:eastAsia="fi-FI"/>
              </w:rPr>
            </w:pPr>
            <w:r w:rsidRPr="006B1A5A">
              <w:rPr>
                <w:b/>
                <w:lang w:eastAsia="en-US"/>
              </w:rPr>
              <w:t>Labelling</w:t>
            </w:r>
          </w:p>
        </w:tc>
      </w:tr>
      <w:tr w:rsidR="001042DA" w:rsidRPr="006B1A5A" w14:paraId="21069CA3" w14:textId="77777777" w:rsidTr="00AF2AEA">
        <w:trPr>
          <w:cantSplit/>
          <w:trHeight w:val="240"/>
          <w:tblHeader/>
          <w:jc w:val="center"/>
        </w:trPr>
        <w:tc>
          <w:tcPr>
            <w:tcW w:w="2554" w:type="dxa"/>
            <w:vMerge w:val="restart"/>
            <w:tcBorders>
              <w:top w:val="single" w:sz="2" w:space="0" w:color="auto"/>
              <w:left w:val="single" w:sz="2" w:space="0" w:color="auto"/>
              <w:right w:val="single" w:sz="2" w:space="0" w:color="auto"/>
            </w:tcBorders>
          </w:tcPr>
          <w:p w14:paraId="5EC9C0B5" w14:textId="77777777" w:rsidR="001042DA" w:rsidRPr="006B1A5A" w:rsidRDefault="001042DA" w:rsidP="00AF2AEA">
            <w:pPr>
              <w:rPr>
                <w:lang w:eastAsia="en-US"/>
              </w:rPr>
            </w:pPr>
            <w:bookmarkStart w:id="68" w:name="_Hlk21872313"/>
            <w:r w:rsidRPr="006B1A5A">
              <w:rPr>
                <w:lang w:eastAsia="en-US"/>
              </w:rPr>
              <w:t>Hazard pictograms</w:t>
            </w:r>
          </w:p>
        </w:tc>
        <w:tc>
          <w:tcPr>
            <w:tcW w:w="3137" w:type="dxa"/>
            <w:tcBorders>
              <w:top w:val="single" w:sz="2" w:space="0" w:color="auto"/>
              <w:left w:val="single" w:sz="2" w:space="0" w:color="auto"/>
              <w:bottom w:val="single" w:sz="2" w:space="0" w:color="auto"/>
              <w:right w:val="single" w:sz="2" w:space="0" w:color="auto"/>
            </w:tcBorders>
          </w:tcPr>
          <w:p w14:paraId="7CF2D158" w14:textId="77777777" w:rsidR="001042DA" w:rsidRPr="006B1A5A" w:rsidRDefault="001042DA" w:rsidP="00AF2AEA">
            <w:pPr>
              <w:spacing w:before="120"/>
              <w:rPr>
                <w:lang w:eastAsia="fi-FI"/>
              </w:rPr>
            </w:pPr>
            <w:r w:rsidRPr="006B1A5A">
              <w:rPr>
                <w:b/>
                <w:noProof/>
                <w:lang w:eastAsia="en-US"/>
              </w:rPr>
              <w:drawing>
                <wp:inline distT="0" distB="0" distL="0" distR="0" wp14:anchorId="35222CED" wp14:editId="7B224AF3">
                  <wp:extent cx="674293" cy="668475"/>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4162" cy="678259"/>
                          </a:xfrm>
                          <a:prstGeom prst="rect">
                            <a:avLst/>
                          </a:prstGeom>
                          <a:noFill/>
                          <a:ln>
                            <a:noFill/>
                          </a:ln>
                        </pic:spPr>
                      </pic:pic>
                    </a:graphicData>
                  </a:graphic>
                </wp:inline>
              </w:drawing>
            </w:r>
          </w:p>
        </w:tc>
        <w:tc>
          <w:tcPr>
            <w:tcW w:w="3138" w:type="dxa"/>
            <w:tcBorders>
              <w:top w:val="single" w:sz="2" w:space="0" w:color="auto"/>
              <w:left w:val="single" w:sz="2" w:space="0" w:color="auto"/>
              <w:bottom w:val="single" w:sz="2" w:space="0" w:color="auto"/>
              <w:right w:val="single" w:sz="2" w:space="0" w:color="auto"/>
            </w:tcBorders>
          </w:tcPr>
          <w:p w14:paraId="0A5604E6" w14:textId="77777777" w:rsidR="001042DA" w:rsidRPr="006B1A5A" w:rsidRDefault="001042DA" w:rsidP="00AF2AEA">
            <w:pPr>
              <w:spacing w:before="120"/>
              <w:rPr>
                <w:lang w:eastAsia="fi-FI"/>
              </w:rPr>
            </w:pPr>
            <w:r w:rsidRPr="006B1A5A">
              <w:rPr>
                <w:noProof/>
                <w:lang w:eastAsia="en-GB"/>
              </w:rPr>
              <w:drawing>
                <wp:inline distT="0" distB="0" distL="0" distR="0" wp14:anchorId="6DA237B9" wp14:editId="0340A055">
                  <wp:extent cx="702945" cy="702945"/>
                  <wp:effectExtent l="0" t="0" r="1905" b="1905"/>
                  <wp:docPr id="3" name="Bilde 3" descr="pollu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lut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2945" cy="702945"/>
                          </a:xfrm>
                          <a:prstGeom prst="rect">
                            <a:avLst/>
                          </a:prstGeom>
                          <a:noFill/>
                          <a:ln>
                            <a:noFill/>
                          </a:ln>
                        </pic:spPr>
                      </pic:pic>
                    </a:graphicData>
                  </a:graphic>
                </wp:inline>
              </w:drawing>
            </w:r>
          </w:p>
        </w:tc>
      </w:tr>
      <w:tr w:rsidR="001042DA" w:rsidRPr="006B1A5A" w14:paraId="119D706D" w14:textId="77777777" w:rsidTr="00AF2AEA">
        <w:trPr>
          <w:cantSplit/>
          <w:trHeight w:val="240"/>
          <w:tblHeader/>
          <w:jc w:val="center"/>
        </w:trPr>
        <w:tc>
          <w:tcPr>
            <w:tcW w:w="2554" w:type="dxa"/>
            <w:vMerge/>
            <w:tcBorders>
              <w:left w:val="single" w:sz="2" w:space="0" w:color="auto"/>
              <w:bottom w:val="single" w:sz="2" w:space="0" w:color="auto"/>
              <w:right w:val="single" w:sz="2" w:space="0" w:color="auto"/>
            </w:tcBorders>
          </w:tcPr>
          <w:p w14:paraId="15B3CBB8" w14:textId="77777777" w:rsidR="001042DA" w:rsidRPr="006B1A5A" w:rsidRDefault="001042DA" w:rsidP="00AF2AEA">
            <w:pPr>
              <w:rPr>
                <w:lang w:eastAsia="en-US"/>
              </w:rPr>
            </w:pPr>
          </w:p>
        </w:tc>
        <w:tc>
          <w:tcPr>
            <w:tcW w:w="3137" w:type="dxa"/>
            <w:tcBorders>
              <w:top w:val="single" w:sz="2" w:space="0" w:color="auto"/>
              <w:left w:val="single" w:sz="2" w:space="0" w:color="auto"/>
              <w:bottom w:val="single" w:sz="2" w:space="0" w:color="auto"/>
              <w:right w:val="single" w:sz="2" w:space="0" w:color="auto"/>
            </w:tcBorders>
          </w:tcPr>
          <w:p w14:paraId="2D9B15A8" w14:textId="77777777" w:rsidR="001042DA" w:rsidRPr="006B1A5A" w:rsidRDefault="001042DA" w:rsidP="00AF2AEA">
            <w:pPr>
              <w:spacing w:before="120"/>
              <w:rPr>
                <w:lang w:eastAsia="fi-FI"/>
              </w:rPr>
            </w:pPr>
            <w:r w:rsidRPr="006B1A5A">
              <w:rPr>
                <w:lang w:eastAsia="fi-FI"/>
              </w:rPr>
              <w:t>GHS05</w:t>
            </w:r>
          </w:p>
        </w:tc>
        <w:tc>
          <w:tcPr>
            <w:tcW w:w="3138" w:type="dxa"/>
            <w:tcBorders>
              <w:top w:val="single" w:sz="2" w:space="0" w:color="auto"/>
              <w:left w:val="single" w:sz="2" w:space="0" w:color="auto"/>
              <w:bottom w:val="single" w:sz="2" w:space="0" w:color="auto"/>
              <w:right w:val="single" w:sz="2" w:space="0" w:color="auto"/>
            </w:tcBorders>
          </w:tcPr>
          <w:p w14:paraId="319A9045" w14:textId="77777777" w:rsidR="001042DA" w:rsidRPr="006B1A5A" w:rsidRDefault="001042DA" w:rsidP="00AF2AEA">
            <w:pPr>
              <w:spacing w:before="120"/>
              <w:rPr>
                <w:lang w:eastAsia="fi-FI"/>
              </w:rPr>
            </w:pPr>
            <w:r w:rsidRPr="006B1A5A">
              <w:rPr>
                <w:lang w:eastAsia="fi-FI"/>
              </w:rPr>
              <w:t>GHS09</w:t>
            </w:r>
          </w:p>
        </w:tc>
      </w:tr>
      <w:bookmarkEnd w:id="68"/>
      <w:tr w:rsidR="001042DA" w:rsidRPr="006B1A5A" w14:paraId="04991387" w14:textId="77777777" w:rsidTr="00AF2AEA">
        <w:trPr>
          <w:cantSplit/>
          <w:tblHeader/>
          <w:jc w:val="center"/>
        </w:trPr>
        <w:tc>
          <w:tcPr>
            <w:tcW w:w="2554" w:type="dxa"/>
            <w:tcBorders>
              <w:top w:val="single" w:sz="2" w:space="0" w:color="auto"/>
              <w:left w:val="single" w:sz="2" w:space="0" w:color="auto"/>
              <w:bottom w:val="single" w:sz="2" w:space="0" w:color="auto"/>
              <w:right w:val="single" w:sz="2" w:space="0" w:color="auto"/>
            </w:tcBorders>
            <w:hideMark/>
          </w:tcPr>
          <w:p w14:paraId="5FEEB267" w14:textId="77777777" w:rsidR="001042DA" w:rsidRPr="006B1A5A" w:rsidRDefault="001042DA" w:rsidP="00AF2AEA">
            <w:pPr>
              <w:rPr>
                <w:lang w:eastAsia="en-US"/>
              </w:rPr>
            </w:pPr>
            <w:r w:rsidRPr="006B1A5A">
              <w:rPr>
                <w:lang w:eastAsia="en-US"/>
              </w:rPr>
              <w:t>Signal words</w:t>
            </w:r>
          </w:p>
        </w:tc>
        <w:tc>
          <w:tcPr>
            <w:tcW w:w="6275" w:type="dxa"/>
            <w:gridSpan w:val="2"/>
            <w:tcBorders>
              <w:top w:val="single" w:sz="2" w:space="0" w:color="auto"/>
              <w:left w:val="single" w:sz="2" w:space="0" w:color="auto"/>
              <w:bottom w:val="single" w:sz="2" w:space="0" w:color="auto"/>
              <w:right w:val="single" w:sz="2" w:space="0" w:color="auto"/>
            </w:tcBorders>
          </w:tcPr>
          <w:p w14:paraId="633F0B15" w14:textId="77777777" w:rsidR="001042DA" w:rsidRPr="006B1A5A" w:rsidRDefault="001042DA" w:rsidP="00AF2AEA">
            <w:pPr>
              <w:spacing w:before="120"/>
              <w:rPr>
                <w:lang w:eastAsia="fi-FI"/>
              </w:rPr>
            </w:pPr>
            <w:r w:rsidRPr="006B1A5A">
              <w:rPr>
                <w:lang w:eastAsia="fi-FI"/>
              </w:rPr>
              <w:t>Danger</w:t>
            </w:r>
          </w:p>
        </w:tc>
      </w:tr>
      <w:tr w:rsidR="001042DA" w:rsidRPr="006B1A5A" w14:paraId="01307D1A" w14:textId="77777777" w:rsidTr="00AF2AEA">
        <w:trPr>
          <w:cantSplit/>
          <w:tblHeader/>
          <w:jc w:val="center"/>
        </w:trPr>
        <w:tc>
          <w:tcPr>
            <w:tcW w:w="2554" w:type="dxa"/>
            <w:tcBorders>
              <w:top w:val="single" w:sz="2" w:space="0" w:color="auto"/>
              <w:left w:val="single" w:sz="2" w:space="0" w:color="auto"/>
              <w:bottom w:val="single" w:sz="2" w:space="0" w:color="auto"/>
              <w:right w:val="single" w:sz="2" w:space="0" w:color="auto"/>
            </w:tcBorders>
            <w:hideMark/>
          </w:tcPr>
          <w:p w14:paraId="7F8ECEEC" w14:textId="77777777" w:rsidR="001042DA" w:rsidRPr="006B1A5A" w:rsidRDefault="001042DA" w:rsidP="00AF2AEA">
            <w:pPr>
              <w:rPr>
                <w:lang w:eastAsia="en-US"/>
              </w:rPr>
            </w:pPr>
            <w:r w:rsidRPr="006B1A5A">
              <w:rPr>
                <w:lang w:eastAsia="en-US"/>
              </w:rPr>
              <w:t>Hazard statements</w:t>
            </w:r>
          </w:p>
        </w:tc>
        <w:tc>
          <w:tcPr>
            <w:tcW w:w="6275" w:type="dxa"/>
            <w:gridSpan w:val="2"/>
            <w:tcBorders>
              <w:top w:val="single" w:sz="2" w:space="0" w:color="auto"/>
              <w:left w:val="single" w:sz="2" w:space="0" w:color="auto"/>
              <w:bottom w:val="single" w:sz="2" w:space="0" w:color="auto"/>
              <w:right w:val="single" w:sz="2" w:space="0" w:color="auto"/>
            </w:tcBorders>
          </w:tcPr>
          <w:p w14:paraId="24A52C5F" w14:textId="77777777" w:rsidR="001042DA" w:rsidRPr="006B1A5A" w:rsidRDefault="001042DA" w:rsidP="00AF2AEA">
            <w:pPr>
              <w:spacing w:before="120"/>
              <w:rPr>
                <w:lang w:eastAsia="fi-FI"/>
              </w:rPr>
            </w:pPr>
            <w:r w:rsidRPr="006B1A5A">
              <w:rPr>
                <w:lang w:eastAsia="fi-FI"/>
              </w:rPr>
              <w:t>H318: Causes serious eye damage</w:t>
            </w:r>
          </w:p>
          <w:p w14:paraId="6FA3FD12" w14:textId="77777777" w:rsidR="001042DA" w:rsidRPr="006B1A5A" w:rsidRDefault="001042DA" w:rsidP="00AF2AEA">
            <w:pPr>
              <w:spacing w:before="120"/>
              <w:rPr>
                <w:highlight w:val="yellow"/>
                <w:lang w:eastAsia="fi-FI"/>
              </w:rPr>
            </w:pPr>
            <w:r w:rsidRPr="006B1A5A">
              <w:rPr>
                <w:lang w:eastAsia="fi-FI"/>
              </w:rPr>
              <w:t>H410: Very toxic to aquatic life with long lasting effects</w:t>
            </w:r>
          </w:p>
        </w:tc>
      </w:tr>
      <w:tr w:rsidR="001042DA" w:rsidRPr="006B1A5A" w14:paraId="46E53A49" w14:textId="77777777" w:rsidTr="00AF2AEA">
        <w:trPr>
          <w:cantSplit/>
          <w:tblHeader/>
          <w:jc w:val="center"/>
        </w:trPr>
        <w:tc>
          <w:tcPr>
            <w:tcW w:w="2554" w:type="dxa"/>
            <w:tcBorders>
              <w:top w:val="single" w:sz="2" w:space="0" w:color="auto"/>
              <w:left w:val="single" w:sz="2" w:space="0" w:color="auto"/>
              <w:bottom w:val="single" w:sz="2" w:space="0" w:color="auto"/>
              <w:right w:val="single" w:sz="2" w:space="0" w:color="auto"/>
            </w:tcBorders>
            <w:hideMark/>
          </w:tcPr>
          <w:p w14:paraId="3C3BEEBD" w14:textId="77777777" w:rsidR="001042DA" w:rsidRPr="006B1A5A" w:rsidRDefault="001042DA" w:rsidP="00AF2AEA">
            <w:pPr>
              <w:rPr>
                <w:highlight w:val="yellow"/>
                <w:lang w:eastAsia="en-US"/>
              </w:rPr>
            </w:pPr>
            <w:r w:rsidRPr="006B1A5A">
              <w:rPr>
                <w:lang w:eastAsia="en-US"/>
              </w:rPr>
              <w:t>Precautionary statements</w:t>
            </w:r>
          </w:p>
        </w:tc>
        <w:tc>
          <w:tcPr>
            <w:tcW w:w="6275" w:type="dxa"/>
            <w:gridSpan w:val="2"/>
            <w:tcBorders>
              <w:top w:val="single" w:sz="2" w:space="0" w:color="auto"/>
              <w:left w:val="single" w:sz="2" w:space="0" w:color="auto"/>
              <w:bottom w:val="single" w:sz="2" w:space="0" w:color="auto"/>
              <w:right w:val="single" w:sz="2" w:space="0" w:color="auto"/>
            </w:tcBorders>
          </w:tcPr>
          <w:p w14:paraId="6242AD83" w14:textId="77777777" w:rsidR="001042DA" w:rsidRPr="006B1A5A" w:rsidRDefault="001042DA" w:rsidP="00AF2AEA">
            <w:pPr>
              <w:autoSpaceDE w:val="0"/>
              <w:autoSpaceDN w:val="0"/>
              <w:adjustRightInd w:val="0"/>
              <w:spacing w:before="120"/>
              <w:rPr>
                <w:rFonts w:cs="ArialMT"/>
                <w:lang w:eastAsia="en-US"/>
              </w:rPr>
            </w:pPr>
            <w:r w:rsidRPr="006B1A5A">
              <w:rPr>
                <w:rFonts w:cs="ArialMT"/>
                <w:lang w:eastAsia="en-US"/>
              </w:rPr>
              <w:t>P273 - Avoid release to the environment.</w:t>
            </w:r>
          </w:p>
          <w:p w14:paraId="330772A0" w14:textId="5A882589" w:rsidR="001042DA" w:rsidRPr="006B1A5A" w:rsidRDefault="001042DA" w:rsidP="00AF2AEA">
            <w:pPr>
              <w:autoSpaceDE w:val="0"/>
              <w:autoSpaceDN w:val="0"/>
              <w:adjustRightInd w:val="0"/>
              <w:spacing w:before="120"/>
              <w:rPr>
                <w:rFonts w:cs="ArialMT"/>
                <w:lang w:eastAsia="en-US"/>
              </w:rPr>
            </w:pPr>
            <w:r w:rsidRPr="006B1A5A">
              <w:rPr>
                <w:rFonts w:cs="ArialMT"/>
                <w:lang w:eastAsia="en-US"/>
              </w:rPr>
              <w:t xml:space="preserve">P280 - Wear eye </w:t>
            </w:r>
            <w:r w:rsidR="000C6C7E">
              <w:rPr>
                <w:rFonts w:cs="ArialMT"/>
                <w:lang w:eastAsia="en-US"/>
              </w:rPr>
              <w:t xml:space="preserve">or face </w:t>
            </w:r>
            <w:r w:rsidRPr="006B1A5A">
              <w:rPr>
                <w:rFonts w:cs="ArialMT"/>
                <w:lang w:eastAsia="en-US"/>
              </w:rPr>
              <w:t>protection</w:t>
            </w:r>
            <w:r w:rsidR="008F46F5">
              <w:rPr>
                <w:rFonts w:cs="ArialMT"/>
                <w:lang w:eastAsia="en-US"/>
              </w:rPr>
              <w:t>.</w:t>
            </w:r>
          </w:p>
          <w:p w14:paraId="3FC53D84" w14:textId="21C8CF57" w:rsidR="001042DA" w:rsidRPr="006B1A5A" w:rsidRDefault="001042DA" w:rsidP="00AF2AEA">
            <w:pPr>
              <w:autoSpaceDE w:val="0"/>
              <w:autoSpaceDN w:val="0"/>
              <w:adjustRightInd w:val="0"/>
              <w:spacing w:before="120"/>
              <w:rPr>
                <w:rFonts w:cs="ArialMT"/>
                <w:lang w:eastAsia="en-US"/>
              </w:rPr>
            </w:pPr>
            <w:r w:rsidRPr="006B1A5A">
              <w:rPr>
                <w:rFonts w:cs="ArialMT"/>
                <w:lang w:eastAsia="en-US"/>
              </w:rPr>
              <w:t xml:space="preserve">P305+P351+P338 </w:t>
            </w:r>
            <w:r w:rsidR="000C6C7E">
              <w:rPr>
                <w:rFonts w:cs="ArialMT"/>
                <w:lang w:eastAsia="en-US"/>
              </w:rPr>
              <w:t>–</w:t>
            </w:r>
            <w:r w:rsidRPr="006B1A5A">
              <w:rPr>
                <w:rFonts w:cs="ArialMT"/>
                <w:lang w:eastAsia="en-US"/>
              </w:rPr>
              <w:t xml:space="preserve"> </w:t>
            </w:r>
            <w:r w:rsidR="000C6C7E">
              <w:rPr>
                <w:rFonts w:cs="ArialMT"/>
                <w:lang w:eastAsia="en-US"/>
              </w:rPr>
              <w:t>IF IN EYES</w:t>
            </w:r>
            <w:r w:rsidRPr="006B1A5A">
              <w:rPr>
                <w:rFonts w:cs="ArialMT"/>
                <w:lang w:eastAsia="en-US"/>
              </w:rPr>
              <w:t>: Rinse cautiously with water for several minutes. Remove contact lenses, if present and easy to do. Continue rinsing.</w:t>
            </w:r>
          </w:p>
          <w:p w14:paraId="0CD5BF2F" w14:textId="3E0023D9" w:rsidR="001042DA" w:rsidRPr="006B1A5A" w:rsidRDefault="001042DA" w:rsidP="00AF2AEA">
            <w:pPr>
              <w:autoSpaceDE w:val="0"/>
              <w:autoSpaceDN w:val="0"/>
              <w:adjustRightInd w:val="0"/>
              <w:spacing w:before="120"/>
              <w:rPr>
                <w:rFonts w:cs="ArialMT"/>
                <w:lang w:eastAsia="en-US"/>
              </w:rPr>
            </w:pPr>
            <w:r w:rsidRPr="006B1A5A">
              <w:rPr>
                <w:rFonts w:cs="ArialMT"/>
                <w:lang w:eastAsia="en-US"/>
              </w:rPr>
              <w:t>P310 - Immediately call a POISON CENTER or doctor.</w:t>
            </w:r>
          </w:p>
          <w:p w14:paraId="7F141376" w14:textId="77777777" w:rsidR="001042DA" w:rsidRPr="006B1A5A" w:rsidRDefault="001042DA" w:rsidP="00AF2AEA">
            <w:pPr>
              <w:autoSpaceDE w:val="0"/>
              <w:autoSpaceDN w:val="0"/>
              <w:adjustRightInd w:val="0"/>
              <w:spacing w:before="120"/>
              <w:rPr>
                <w:rFonts w:cs="ArialMT"/>
                <w:lang w:eastAsia="en-US"/>
              </w:rPr>
            </w:pPr>
            <w:r w:rsidRPr="006B1A5A">
              <w:rPr>
                <w:rFonts w:cs="ArialMT"/>
                <w:lang w:eastAsia="en-US"/>
              </w:rPr>
              <w:t>P391 - Collect spillage.</w:t>
            </w:r>
          </w:p>
          <w:p w14:paraId="403B8835" w14:textId="6E8CCD5E" w:rsidR="001042DA" w:rsidRPr="006B1A5A" w:rsidRDefault="001042DA" w:rsidP="00AF2AEA">
            <w:pPr>
              <w:autoSpaceDE w:val="0"/>
              <w:autoSpaceDN w:val="0"/>
              <w:adjustRightInd w:val="0"/>
              <w:spacing w:before="120"/>
              <w:rPr>
                <w:highlight w:val="yellow"/>
                <w:lang w:eastAsia="fi-FI"/>
              </w:rPr>
            </w:pPr>
            <w:r w:rsidRPr="006B1A5A">
              <w:rPr>
                <w:rFonts w:cs="ArialMT"/>
                <w:lang w:eastAsia="en-US"/>
              </w:rPr>
              <w:t>P501 - Dispose of contents/container to hazardous or special waste collection point, in accordance with local, regional, national and/or international regulation.</w:t>
            </w:r>
          </w:p>
        </w:tc>
      </w:tr>
      <w:tr w:rsidR="001042DA" w:rsidRPr="006B1A5A" w14:paraId="41F80E89" w14:textId="77777777" w:rsidTr="00AF2AEA">
        <w:trPr>
          <w:cantSplit/>
          <w:tblHeader/>
          <w:jc w:val="center"/>
        </w:trPr>
        <w:tc>
          <w:tcPr>
            <w:tcW w:w="2554" w:type="dxa"/>
            <w:tcBorders>
              <w:top w:val="single" w:sz="2" w:space="0" w:color="auto"/>
              <w:left w:val="single" w:sz="2" w:space="0" w:color="auto"/>
              <w:bottom w:val="single" w:sz="2" w:space="0" w:color="auto"/>
              <w:right w:val="single" w:sz="2" w:space="0" w:color="auto"/>
            </w:tcBorders>
          </w:tcPr>
          <w:p w14:paraId="62F9E4F9" w14:textId="77777777" w:rsidR="001042DA" w:rsidRPr="006B1A5A" w:rsidRDefault="001042DA" w:rsidP="00AF2AEA">
            <w:pPr>
              <w:rPr>
                <w:lang w:eastAsia="en-US"/>
              </w:rPr>
            </w:pPr>
            <w:bookmarkStart w:id="69" w:name="_Hlk18933363"/>
            <w:r w:rsidRPr="006B1A5A">
              <w:rPr>
                <w:lang w:eastAsia="en-US"/>
              </w:rPr>
              <w:t>Supplemental hazard information</w:t>
            </w:r>
          </w:p>
        </w:tc>
        <w:tc>
          <w:tcPr>
            <w:tcW w:w="6275" w:type="dxa"/>
            <w:gridSpan w:val="2"/>
            <w:tcBorders>
              <w:top w:val="single" w:sz="2" w:space="0" w:color="auto"/>
              <w:left w:val="single" w:sz="2" w:space="0" w:color="auto"/>
              <w:bottom w:val="single" w:sz="2" w:space="0" w:color="auto"/>
              <w:right w:val="single" w:sz="2" w:space="0" w:color="auto"/>
            </w:tcBorders>
          </w:tcPr>
          <w:p w14:paraId="27D21839" w14:textId="77777777" w:rsidR="001042DA" w:rsidRPr="006B1A5A" w:rsidRDefault="001042DA" w:rsidP="00AF2AEA">
            <w:pPr>
              <w:autoSpaceDE w:val="0"/>
              <w:autoSpaceDN w:val="0"/>
              <w:adjustRightInd w:val="0"/>
              <w:spacing w:before="120"/>
              <w:rPr>
                <w:rFonts w:cs="ArialMT"/>
                <w:lang w:eastAsia="en-US"/>
              </w:rPr>
            </w:pPr>
            <w:r w:rsidRPr="006B1A5A">
              <w:rPr>
                <w:lang w:eastAsia="fi-FI"/>
              </w:rPr>
              <w:t>EUH208: Contains a mixture of 5-chloro-2-methylisothiazol-3(2H)-one and 2-methylisothiazol-3(2H)-one (CMIT/MIT) 3:1. May produce an allergic reaction.</w:t>
            </w:r>
          </w:p>
        </w:tc>
      </w:tr>
      <w:bookmarkEnd w:id="69"/>
      <w:tr w:rsidR="001042DA" w:rsidRPr="006B1A5A" w14:paraId="24F8946B" w14:textId="77777777" w:rsidTr="00AF2AEA">
        <w:trPr>
          <w:cantSplit/>
          <w:tblHeader/>
          <w:jc w:val="center"/>
        </w:trPr>
        <w:tc>
          <w:tcPr>
            <w:tcW w:w="2554" w:type="dxa"/>
            <w:tcBorders>
              <w:top w:val="single" w:sz="2" w:space="0" w:color="auto"/>
              <w:left w:val="single" w:sz="2" w:space="0" w:color="auto"/>
              <w:bottom w:val="single" w:sz="2" w:space="0" w:color="auto"/>
              <w:right w:val="single" w:sz="2" w:space="0" w:color="auto"/>
            </w:tcBorders>
            <w:hideMark/>
          </w:tcPr>
          <w:p w14:paraId="645270B7" w14:textId="77777777" w:rsidR="001042DA" w:rsidRPr="006B1A5A" w:rsidRDefault="001042DA" w:rsidP="00AF2AEA">
            <w:pPr>
              <w:rPr>
                <w:lang w:eastAsia="fi-FI"/>
              </w:rPr>
            </w:pPr>
            <w:r w:rsidRPr="006B1A5A">
              <w:rPr>
                <w:lang w:eastAsia="en-US"/>
              </w:rPr>
              <w:t>Note</w:t>
            </w:r>
          </w:p>
        </w:tc>
        <w:tc>
          <w:tcPr>
            <w:tcW w:w="6275" w:type="dxa"/>
            <w:gridSpan w:val="2"/>
            <w:tcBorders>
              <w:top w:val="single" w:sz="2" w:space="0" w:color="auto"/>
              <w:left w:val="single" w:sz="2" w:space="0" w:color="auto"/>
              <w:bottom w:val="single" w:sz="2" w:space="0" w:color="auto"/>
              <w:right w:val="single" w:sz="2" w:space="0" w:color="auto"/>
            </w:tcBorders>
          </w:tcPr>
          <w:p w14:paraId="49BAF93E" w14:textId="77777777" w:rsidR="001042DA" w:rsidRPr="006B1A5A" w:rsidRDefault="001042DA" w:rsidP="00AF2AEA">
            <w:pPr>
              <w:spacing w:before="120"/>
              <w:rPr>
                <w:lang w:eastAsia="fi-FI"/>
              </w:rPr>
            </w:pPr>
            <w:r w:rsidRPr="006B1A5A">
              <w:rPr>
                <w:lang w:eastAsia="fi-FI"/>
              </w:rPr>
              <w:t>This mixture does not contain substances which meet the PBT or vPvB criteria of REACH regulation, annex XIII</w:t>
            </w:r>
          </w:p>
        </w:tc>
      </w:tr>
    </w:tbl>
    <w:p w14:paraId="6F629EFD" w14:textId="77777777" w:rsidR="001042DA" w:rsidRPr="006B1A5A" w:rsidRDefault="001042DA" w:rsidP="001042DA"/>
    <w:p w14:paraId="357A531C" w14:textId="77777777" w:rsidR="001042DA" w:rsidRPr="006B1A5A" w:rsidRDefault="001042DA" w:rsidP="001042DA">
      <w:r w:rsidRPr="006B1A5A">
        <w:br w:type="page"/>
      </w:r>
    </w:p>
    <w:p w14:paraId="30D3351C" w14:textId="77777777" w:rsidR="001042DA" w:rsidRPr="006B1A5A" w:rsidRDefault="001042DA" w:rsidP="001042DA">
      <w:pPr>
        <w:tabs>
          <w:tab w:val="left" w:pos="500"/>
        </w:tabs>
        <w:spacing w:line="260" w:lineRule="atLeast"/>
        <w:ind w:left="500" w:hanging="500"/>
        <w:rPr>
          <w:rFonts w:eastAsia="Calibri"/>
          <w:b/>
          <w:lang w:eastAsia="en-US"/>
        </w:rPr>
      </w:pPr>
      <w:r w:rsidRPr="006B1A5A">
        <w:rPr>
          <w:rFonts w:eastAsia="Calibri"/>
          <w:b/>
          <w:lang w:eastAsia="en-US"/>
        </w:rPr>
        <w:lastRenderedPageBreak/>
        <w:t>Meta SPC 2</w:t>
      </w:r>
    </w:p>
    <w:p w14:paraId="31A94824" w14:textId="77777777" w:rsidR="001042DA" w:rsidRPr="006B1A5A" w:rsidRDefault="001042DA" w:rsidP="001042DA"/>
    <w:tbl>
      <w:tblPr>
        <w:tblW w:w="9018" w:type="dxa"/>
        <w:jc w:val="center"/>
        <w:tblLayout w:type="fixed"/>
        <w:tblLook w:val="04A0" w:firstRow="1" w:lastRow="0" w:firstColumn="1" w:lastColumn="0" w:noHBand="0" w:noVBand="1"/>
      </w:tblPr>
      <w:tblGrid>
        <w:gridCol w:w="1698"/>
        <w:gridCol w:w="2463"/>
        <w:gridCol w:w="2221"/>
        <w:gridCol w:w="2636"/>
      </w:tblGrid>
      <w:tr w:rsidR="001042DA" w:rsidRPr="006B1A5A" w14:paraId="55F95856" w14:textId="77777777" w:rsidTr="00AF2AEA">
        <w:trPr>
          <w:cantSplit/>
          <w:tblHeader/>
          <w:jc w:val="center"/>
        </w:trPr>
        <w:tc>
          <w:tcPr>
            <w:tcW w:w="9018" w:type="dxa"/>
            <w:gridSpan w:val="4"/>
            <w:tcBorders>
              <w:top w:val="single" w:sz="2" w:space="0" w:color="auto"/>
              <w:left w:val="single" w:sz="2" w:space="0" w:color="auto"/>
              <w:bottom w:val="single" w:sz="2" w:space="0" w:color="auto"/>
              <w:right w:val="single" w:sz="2" w:space="0" w:color="auto"/>
            </w:tcBorders>
          </w:tcPr>
          <w:p w14:paraId="4641662B" w14:textId="77777777" w:rsidR="001042DA" w:rsidRPr="006B1A5A" w:rsidRDefault="001042DA" w:rsidP="00AF2AEA">
            <w:pPr>
              <w:rPr>
                <w:b/>
                <w:lang w:eastAsia="en-US"/>
              </w:rPr>
            </w:pPr>
            <w:r w:rsidRPr="006B1A5A">
              <w:rPr>
                <w:b/>
                <w:lang w:eastAsia="en-US"/>
              </w:rPr>
              <w:t>AquaNet HG 360</w:t>
            </w:r>
          </w:p>
        </w:tc>
      </w:tr>
      <w:tr w:rsidR="001042DA" w:rsidRPr="006B1A5A" w14:paraId="0491B42B" w14:textId="77777777" w:rsidTr="00AF2AEA">
        <w:trPr>
          <w:cantSplit/>
          <w:tblHeader/>
          <w:jc w:val="center"/>
        </w:trPr>
        <w:tc>
          <w:tcPr>
            <w:tcW w:w="9018" w:type="dxa"/>
            <w:gridSpan w:val="4"/>
            <w:tcBorders>
              <w:top w:val="single" w:sz="2" w:space="0" w:color="auto"/>
              <w:left w:val="single" w:sz="2" w:space="0" w:color="auto"/>
              <w:bottom w:val="single" w:sz="2" w:space="0" w:color="auto"/>
              <w:right w:val="single" w:sz="2" w:space="0" w:color="auto"/>
            </w:tcBorders>
          </w:tcPr>
          <w:p w14:paraId="59BEB77A" w14:textId="77777777" w:rsidR="001042DA" w:rsidRPr="006B1A5A" w:rsidRDefault="001042DA" w:rsidP="00AF2AEA">
            <w:pPr>
              <w:rPr>
                <w:b/>
                <w:lang w:eastAsia="fi-FI"/>
              </w:rPr>
            </w:pPr>
            <w:r w:rsidRPr="006B1A5A">
              <w:rPr>
                <w:b/>
                <w:lang w:eastAsia="en-US"/>
              </w:rPr>
              <w:t>Classification</w:t>
            </w:r>
          </w:p>
        </w:tc>
      </w:tr>
      <w:tr w:rsidR="001042DA" w:rsidRPr="006B1A5A" w14:paraId="59EC20BE" w14:textId="77777777" w:rsidTr="009A6BA6">
        <w:trPr>
          <w:cantSplit/>
          <w:tblHeader/>
          <w:jc w:val="center"/>
        </w:trPr>
        <w:tc>
          <w:tcPr>
            <w:tcW w:w="1698" w:type="dxa"/>
            <w:tcBorders>
              <w:top w:val="single" w:sz="2" w:space="0" w:color="auto"/>
              <w:left w:val="single" w:sz="2" w:space="0" w:color="auto"/>
              <w:bottom w:val="single" w:sz="2" w:space="0" w:color="auto"/>
              <w:right w:val="single" w:sz="2" w:space="0" w:color="auto"/>
            </w:tcBorders>
            <w:hideMark/>
          </w:tcPr>
          <w:p w14:paraId="64B977DD" w14:textId="77777777" w:rsidR="001042DA" w:rsidRPr="006B1A5A" w:rsidRDefault="001042DA" w:rsidP="00AF2AEA">
            <w:pPr>
              <w:rPr>
                <w:lang w:eastAsia="fi-FI"/>
              </w:rPr>
            </w:pPr>
            <w:r w:rsidRPr="006B1A5A">
              <w:rPr>
                <w:lang w:eastAsia="en-US"/>
              </w:rPr>
              <w:t>Hazard category</w:t>
            </w:r>
          </w:p>
        </w:tc>
        <w:tc>
          <w:tcPr>
            <w:tcW w:w="7320" w:type="dxa"/>
            <w:gridSpan w:val="3"/>
            <w:tcBorders>
              <w:top w:val="single" w:sz="2" w:space="0" w:color="auto"/>
              <w:left w:val="single" w:sz="2" w:space="0" w:color="auto"/>
              <w:bottom w:val="single" w:sz="2" w:space="0" w:color="auto"/>
              <w:right w:val="single" w:sz="2" w:space="0" w:color="auto"/>
            </w:tcBorders>
          </w:tcPr>
          <w:p w14:paraId="3A383380" w14:textId="77777777" w:rsidR="001042DA" w:rsidRPr="006B1A5A" w:rsidRDefault="001042DA" w:rsidP="00AF2AEA">
            <w:pPr>
              <w:spacing w:before="120"/>
              <w:rPr>
                <w:lang w:eastAsia="fi-FI"/>
              </w:rPr>
            </w:pPr>
            <w:r w:rsidRPr="006B1A5A">
              <w:rPr>
                <w:lang w:eastAsia="fi-FI"/>
              </w:rPr>
              <w:t>Acute Tox. 4 (Oral)</w:t>
            </w:r>
          </w:p>
          <w:p w14:paraId="191C83A7" w14:textId="77777777" w:rsidR="001042DA" w:rsidRPr="006B1A5A" w:rsidRDefault="001042DA" w:rsidP="00AF2AEA">
            <w:pPr>
              <w:spacing w:before="120"/>
              <w:rPr>
                <w:lang w:eastAsia="fi-FI"/>
              </w:rPr>
            </w:pPr>
            <w:r w:rsidRPr="006B1A5A">
              <w:rPr>
                <w:lang w:eastAsia="fi-FI"/>
              </w:rPr>
              <w:t>Eye Dam. 1</w:t>
            </w:r>
          </w:p>
          <w:p w14:paraId="75F36273" w14:textId="77777777" w:rsidR="001042DA" w:rsidRPr="006B1A5A" w:rsidRDefault="001042DA" w:rsidP="00AF2AEA">
            <w:pPr>
              <w:spacing w:before="120"/>
              <w:rPr>
                <w:lang w:eastAsia="fi-FI"/>
              </w:rPr>
            </w:pPr>
            <w:r w:rsidRPr="006B1A5A">
              <w:rPr>
                <w:lang w:eastAsia="fi-FI"/>
              </w:rPr>
              <w:t>Aquatic Acute 1</w:t>
            </w:r>
          </w:p>
          <w:p w14:paraId="1514CC3E" w14:textId="77777777" w:rsidR="001042DA" w:rsidRPr="006B1A5A" w:rsidRDefault="001042DA" w:rsidP="00AF2AEA">
            <w:pPr>
              <w:spacing w:before="120"/>
              <w:rPr>
                <w:lang w:eastAsia="fi-FI"/>
              </w:rPr>
            </w:pPr>
            <w:r w:rsidRPr="006B1A5A">
              <w:rPr>
                <w:lang w:eastAsia="fi-FI"/>
              </w:rPr>
              <w:t>Aquatic Chronic 1</w:t>
            </w:r>
          </w:p>
        </w:tc>
      </w:tr>
      <w:tr w:rsidR="001042DA" w:rsidRPr="006B1A5A" w14:paraId="104D2026" w14:textId="77777777" w:rsidTr="009A6BA6">
        <w:trPr>
          <w:cantSplit/>
          <w:tblHeader/>
          <w:jc w:val="center"/>
        </w:trPr>
        <w:tc>
          <w:tcPr>
            <w:tcW w:w="1698" w:type="dxa"/>
            <w:tcBorders>
              <w:top w:val="single" w:sz="2" w:space="0" w:color="auto"/>
              <w:left w:val="single" w:sz="2" w:space="0" w:color="auto"/>
              <w:bottom w:val="single" w:sz="2" w:space="0" w:color="auto"/>
              <w:right w:val="single" w:sz="2" w:space="0" w:color="auto"/>
            </w:tcBorders>
            <w:hideMark/>
          </w:tcPr>
          <w:p w14:paraId="52B0F808" w14:textId="77777777" w:rsidR="001042DA" w:rsidRPr="006B1A5A" w:rsidRDefault="001042DA" w:rsidP="00AF2AEA">
            <w:pPr>
              <w:rPr>
                <w:lang w:eastAsia="fi-FI"/>
              </w:rPr>
            </w:pPr>
            <w:r w:rsidRPr="006B1A5A">
              <w:rPr>
                <w:lang w:eastAsia="en-US"/>
              </w:rPr>
              <w:t>Hazard statement</w:t>
            </w:r>
          </w:p>
        </w:tc>
        <w:tc>
          <w:tcPr>
            <w:tcW w:w="7320" w:type="dxa"/>
            <w:gridSpan w:val="3"/>
            <w:tcBorders>
              <w:top w:val="single" w:sz="2" w:space="0" w:color="auto"/>
              <w:left w:val="single" w:sz="2" w:space="0" w:color="auto"/>
              <w:bottom w:val="single" w:sz="2" w:space="0" w:color="auto"/>
              <w:right w:val="single" w:sz="2" w:space="0" w:color="auto"/>
            </w:tcBorders>
          </w:tcPr>
          <w:p w14:paraId="6A283108" w14:textId="77777777" w:rsidR="001042DA" w:rsidRPr="006B1A5A" w:rsidRDefault="001042DA" w:rsidP="00AF2AEA">
            <w:pPr>
              <w:spacing w:before="120"/>
              <w:rPr>
                <w:lang w:eastAsia="fi-FI"/>
              </w:rPr>
            </w:pPr>
            <w:r w:rsidRPr="006B1A5A">
              <w:rPr>
                <w:lang w:eastAsia="fi-FI"/>
              </w:rPr>
              <w:t>H302: Harmful if swallowed</w:t>
            </w:r>
          </w:p>
          <w:p w14:paraId="22EDEFDA" w14:textId="77777777" w:rsidR="001042DA" w:rsidRPr="006B1A5A" w:rsidRDefault="001042DA" w:rsidP="00AF2AEA">
            <w:pPr>
              <w:spacing w:before="120"/>
              <w:rPr>
                <w:lang w:eastAsia="fi-FI"/>
              </w:rPr>
            </w:pPr>
            <w:r w:rsidRPr="006B1A5A">
              <w:rPr>
                <w:lang w:eastAsia="fi-FI"/>
              </w:rPr>
              <w:t>H318: Causes serious eye damage</w:t>
            </w:r>
          </w:p>
          <w:p w14:paraId="1D173FE9" w14:textId="77777777" w:rsidR="001042DA" w:rsidRPr="006B1A5A" w:rsidRDefault="001042DA" w:rsidP="00AF2AEA">
            <w:pPr>
              <w:pStyle w:val="Default"/>
              <w:spacing w:before="120"/>
              <w:rPr>
                <w:rFonts w:ascii="Verdana" w:hAnsi="Verdana" w:cs="Verdana"/>
                <w:sz w:val="20"/>
                <w:szCs w:val="20"/>
                <w:lang w:eastAsia="en-US"/>
              </w:rPr>
            </w:pPr>
            <w:bookmarkStart w:id="70" w:name="_Hlk19029997"/>
            <w:r w:rsidRPr="006B1A5A">
              <w:rPr>
                <w:rFonts w:ascii="Verdana" w:hAnsi="Verdana"/>
                <w:sz w:val="20"/>
                <w:szCs w:val="20"/>
                <w:lang w:eastAsia="fi-FI"/>
              </w:rPr>
              <w:t xml:space="preserve">H400: </w:t>
            </w:r>
            <w:r w:rsidRPr="006B1A5A">
              <w:rPr>
                <w:rFonts w:ascii="Verdana" w:hAnsi="Verdana" w:cs="Verdana"/>
                <w:sz w:val="20"/>
                <w:szCs w:val="20"/>
                <w:lang w:eastAsia="en-US"/>
              </w:rPr>
              <w:t xml:space="preserve">Very toxic to aquatic life </w:t>
            </w:r>
          </w:p>
          <w:p w14:paraId="1FFB8C96" w14:textId="77777777" w:rsidR="001042DA" w:rsidRPr="006B1A5A" w:rsidRDefault="001042DA" w:rsidP="00AF2AEA">
            <w:pPr>
              <w:spacing w:before="120"/>
              <w:rPr>
                <w:lang w:eastAsia="fi-FI"/>
              </w:rPr>
            </w:pPr>
            <w:r w:rsidRPr="006B1A5A">
              <w:rPr>
                <w:lang w:eastAsia="fi-FI"/>
              </w:rPr>
              <w:t>H410: Very toxic to aquatic life with long lasting effects</w:t>
            </w:r>
            <w:bookmarkEnd w:id="70"/>
          </w:p>
        </w:tc>
      </w:tr>
      <w:tr w:rsidR="001042DA" w:rsidRPr="006B1A5A" w14:paraId="4C1FE83A" w14:textId="77777777" w:rsidTr="00AF2AEA">
        <w:trPr>
          <w:cantSplit/>
          <w:tblHeader/>
          <w:jc w:val="center"/>
        </w:trPr>
        <w:tc>
          <w:tcPr>
            <w:tcW w:w="9018" w:type="dxa"/>
            <w:gridSpan w:val="4"/>
            <w:tcBorders>
              <w:top w:val="single" w:sz="2" w:space="0" w:color="auto"/>
              <w:left w:val="single" w:sz="2" w:space="0" w:color="auto"/>
              <w:bottom w:val="single" w:sz="2" w:space="0" w:color="auto"/>
              <w:right w:val="single" w:sz="2" w:space="0" w:color="auto"/>
            </w:tcBorders>
          </w:tcPr>
          <w:p w14:paraId="79D71A7B" w14:textId="77777777" w:rsidR="001042DA" w:rsidRPr="006B1A5A" w:rsidRDefault="001042DA" w:rsidP="00AF2AEA">
            <w:pPr>
              <w:spacing w:before="120"/>
              <w:rPr>
                <w:b/>
                <w:lang w:eastAsia="fi-FI"/>
              </w:rPr>
            </w:pPr>
            <w:r w:rsidRPr="006B1A5A">
              <w:rPr>
                <w:b/>
                <w:lang w:eastAsia="en-US"/>
              </w:rPr>
              <w:t>Labelling</w:t>
            </w:r>
          </w:p>
        </w:tc>
      </w:tr>
      <w:tr w:rsidR="001042DA" w:rsidRPr="006B1A5A" w14:paraId="7B164F81" w14:textId="77777777" w:rsidTr="009A6BA6">
        <w:trPr>
          <w:cantSplit/>
          <w:trHeight w:val="1110"/>
          <w:tblHeader/>
          <w:jc w:val="center"/>
        </w:trPr>
        <w:tc>
          <w:tcPr>
            <w:tcW w:w="1698" w:type="dxa"/>
            <w:tcBorders>
              <w:top w:val="single" w:sz="2" w:space="0" w:color="auto"/>
              <w:left w:val="single" w:sz="2" w:space="0" w:color="auto"/>
              <w:right w:val="single" w:sz="2" w:space="0" w:color="auto"/>
            </w:tcBorders>
          </w:tcPr>
          <w:p w14:paraId="7F1CE989" w14:textId="77777777" w:rsidR="001042DA" w:rsidRPr="006B1A5A" w:rsidRDefault="001042DA" w:rsidP="00AF2AEA">
            <w:pPr>
              <w:rPr>
                <w:lang w:eastAsia="en-US"/>
              </w:rPr>
            </w:pPr>
            <w:r w:rsidRPr="006B1A5A">
              <w:rPr>
                <w:lang w:eastAsia="en-US"/>
              </w:rPr>
              <w:t>Hazard pictograms</w:t>
            </w:r>
          </w:p>
        </w:tc>
        <w:tc>
          <w:tcPr>
            <w:tcW w:w="2463" w:type="dxa"/>
            <w:tcBorders>
              <w:top w:val="single" w:sz="2" w:space="0" w:color="auto"/>
              <w:left w:val="single" w:sz="2" w:space="0" w:color="auto"/>
              <w:bottom w:val="single" w:sz="2" w:space="0" w:color="auto"/>
              <w:right w:val="single" w:sz="2" w:space="0" w:color="auto"/>
            </w:tcBorders>
          </w:tcPr>
          <w:p w14:paraId="13381F43" w14:textId="77777777" w:rsidR="001042DA" w:rsidRPr="006B1A5A" w:rsidRDefault="001042DA" w:rsidP="00AF2AEA">
            <w:pPr>
              <w:spacing w:before="120"/>
              <w:rPr>
                <w:noProof/>
                <w:lang w:eastAsia="en-GB"/>
              </w:rPr>
            </w:pPr>
            <w:r w:rsidRPr="006B1A5A">
              <w:rPr>
                <w:noProof/>
                <w:lang w:eastAsia="en-GB"/>
              </w:rPr>
              <w:drawing>
                <wp:inline distT="0" distB="0" distL="0" distR="0" wp14:anchorId="6153948D" wp14:editId="5E76BD7D">
                  <wp:extent cx="678180" cy="670074"/>
                  <wp:effectExtent l="0" t="0" r="7620" b="0"/>
                  <wp:docPr id="299" name="Bild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2318" cy="684043"/>
                          </a:xfrm>
                          <a:prstGeom prst="rect">
                            <a:avLst/>
                          </a:prstGeom>
                          <a:noFill/>
                          <a:ln>
                            <a:noFill/>
                          </a:ln>
                        </pic:spPr>
                      </pic:pic>
                    </a:graphicData>
                  </a:graphic>
                </wp:inline>
              </w:drawing>
            </w:r>
          </w:p>
        </w:tc>
        <w:tc>
          <w:tcPr>
            <w:tcW w:w="2221" w:type="dxa"/>
            <w:tcBorders>
              <w:top w:val="single" w:sz="2" w:space="0" w:color="auto"/>
              <w:left w:val="single" w:sz="2" w:space="0" w:color="auto"/>
              <w:bottom w:val="single" w:sz="2" w:space="0" w:color="auto"/>
              <w:right w:val="single" w:sz="2" w:space="0" w:color="auto"/>
            </w:tcBorders>
          </w:tcPr>
          <w:p w14:paraId="6B1415CB" w14:textId="77777777" w:rsidR="001042DA" w:rsidRPr="006B1A5A" w:rsidRDefault="001042DA" w:rsidP="00AF2AEA">
            <w:pPr>
              <w:spacing w:before="120"/>
              <w:rPr>
                <w:lang w:eastAsia="fi-FI"/>
              </w:rPr>
            </w:pPr>
            <w:r w:rsidRPr="006B1A5A">
              <w:rPr>
                <w:b/>
                <w:noProof/>
                <w:lang w:eastAsia="en-US"/>
              </w:rPr>
              <w:drawing>
                <wp:inline distT="0" distB="0" distL="0" distR="0" wp14:anchorId="0C505435" wp14:editId="00BB2909">
                  <wp:extent cx="674293" cy="668475"/>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4162" cy="678259"/>
                          </a:xfrm>
                          <a:prstGeom prst="rect">
                            <a:avLst/>
                          </a:prstGeom>
                          <a:noFill/>
                          <a:ln>
                            <a:noFill/>
                          </a:ln>
                        </pic:spPr>
                      </pic:pic>
                    </a:graphicData>
                  </a:graphic>
                </wp:inline>
              </w:drawing>
            </w:r>
          </w:p>
        </w:tc>
        <w:tc>
          <w:tcPr>
            <w:tcW w:w="2636" w:type="dxa"/>
            <w:tcBorders>
              <w:top w:val="single" w:sz="2" w:space="0" w:color="auto"/>
              <w:left w:val="single" w:sz="2" w:space="0" w:color="auto"/>
              <w:bottom w:val="single" w:sz="2" w:space="0" w:color="auto"/>
              <w:right w:val="single" w:sz="2" w:space="0" w:color="auto"/>
            </w:tcBorders>
          </w:tcPr>
          <w:p w14:paraId="7C94FF62" w14:textId="77777777" w:rsidR="001042DA" w:rsidRPr="006B1A5A" w:rsidRDefault="001042DA" w:rsidP="00AF2AEA">
            <w:pPr>
              <w:spacing w:before="120"/>
              <w:rPr>
                <w:lang w:eastAsia="fi-FI"/>
              </w:rPr>
            </w:pPr>
            <w:r w:rsidRPr="006B1A5A">
              <w:rPr>
                <w:noProof/>
                <w:lang w:eastAsia="en-GB"/>
              </w:rPr>
              <w:drawing>
                <wp:inline distT="0" distB="0" distL="0" distR="0" wp14:anchorId="2721DF17" wp14:editId="59783E43">
                  <wp:extent cx="702945" cy="702945"/>
                  <wp:effectExtent l="0" t="0" r="1905" b="1905"/>
                  <wp:docPr id="6" name="Bilde 6" descr="pollu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lut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2945" cy="702945"/>
                          </a:xfrm>
                          <a:prstGeom prst="rect">
                            <a:avLst/>
                          </a:prstGeom>
                          <a:noFill/>
                          <a:ln>
                            <a:noFill/>
                          </a:ln>
                        </pic:spPr>
                      </pic:pic>
                    </a:graphicData>
                  </a:graphic>
                </wp:inline>
              </w:drawing>
            </w:r>
          </w:p>
        </w:tc>
      </w:tr>
      <w:tr w:rsidR="001042DA" w:rsidRPr="006B1A5A" w14:paraId="64338D7A" w14:textId="77777777" w:rsidTr="009A6BA6">
        <w:trPr>
          <w:cantSplit/>
          <w:trHeight w:val="300"/>
          <w:tblHeader/>
          <w:jc w:val="center"/>
        </w:trPr>
        <w:tc>
          <w:tcPr>
            <w:tcW w:w="1698" w:type="dxa"/>
            <w:tcBorders>
              <w:left w:val="single" w:sz="2" w:space="0" w:color="auto"/>
              <w:bottom w:val="single" w:sz="2" w:space="0" w:color="auto"/>
              <w:right w:val="single" w:sz="2" w:space="0" w:color="auto"/>
            </w:tcBorders>
          </w:tcPr>
          <w:p w14:paraId="21F50046" w14:textId="77777777" w:rsidR="001042DA" w:rsidRPr="006B1A5A" w:rsidRDefault="001042DA" w:rsidP="00AF2AEA">
            <w:pPr>
              <w:rPr>
                <w:lang w:eastAsia="en-US"/>
              </w:rPr>
            </w:pPr>
          </w:p>
        </w:tc>
        <w:tc>
          <w:tcPr>
            <w:tcW w:w="2463" w:type="dxa"/>
            <w:tcBorders>
              <w:top w:val="single" w:sz="2" w:space="0" w:color="auto"/>
              <w:left w:val="single" w:sz="2" w:space="0" w:color="auto"/>
              <w:bottom w:val="single" w:sz="2" w:space="0" w:color="auto"/>
              <w:right w:val="single" w:sz="2" w:space="0" w:color="auto"/>
            </w:tcBorders>
          </w:tcPr>
          <w:p w14:paraId="4F18535F" w14:textId="77777777" w:rsidR="001042DA" w:rsidRPr="006B1A5A" w:rsidRDefault="001042DA" w:rsidP="00AF2AEA">
            <w:pPr>
              <w:spacing w:before="120"/>
              <w:rPr>
                <w:noProof/>
                <w:lang w:eastAsia="en-GB"/>
              </w:rPr>
            </w:pPr>
            <w:r w:rsidRPr="006B1A5A">
              <w:rPr>
                <w:noProof/>
                <w:lang w:eastAsia="en-GB"/>
              </w:rPr>
              <w:t xml:space="preserve">GHS07 </w:t>
            </w:r>
          </w:p>
        </w:tc>
        <w:tc>
          <w:tcPr>
            <w:tcW w:w="2221" w:type="dxa"/>
            <w:tcBorders>
              <w:left w:val="single" w:sz="2" w:space="0" w:color="auto"/>
              <w:bottom w:val="single" w:sz="2" w:space="0" w:color="auto"/>
              <w:right w:val="single" w:sz="2" w:space="0" w:color="auto"/>
            </w:tcBorders>
          </w:tcPr>
          <w:p w14:paraId="73434A76" w14:textId="77777777" w:rsidR="001042DA" w:rsidRPr="006B1A5A" w:rsidRDefault="001042DA" w:rsidP="00AF2AEA">
            <w:pPr>
              <w:spacing w:before="120"/>
              <w:rPr>
                <w:lang w:eastAsia="fi-FI"/>
              </w:rPr>
            </w:pPr>
            <w:r w:rsidRPr="006B1A5A">
              <w:rPr>
                <w:lang w:eastAsia="fi-FI"/>
              </w:rPr>
              <w:t xml:space="preserve">GHS05 </w:t>
            </w:r>
          </w:p>
        </w:tc>
        <w:tc>
          <w:tcPr>
            <w:tcW w:w="2636" w:type="dxa"/>
            <w:tcBorders>
              <w:left w:val="single" w:sz="2" w:space="0" w:color="auto"/>
              <w:bottom w:val="single" w:sz="2" w:space="0" w:color="auto"/>
              <w:right w:val="single" w:sz="2" w:space="0" w:color="auto"/>
            </w:tcBorders>
          </w:tcPr>
          <w:p w14:paraId="778C80BB" w14:textId="77777777" w:rsidR="001042DA" w:rsidRPr="006B1A5A" w:rsidRDefault="001042DA" w:rsidP="00AF2AEA">
            <w:pPr>
              <w:spacing w:before="120"/>
              <w:rPr>
                <w:lang w:eastAsia="fi-FI"/>
              </w:rPr>
            </w:pPr>
            <w:r w:rsidRPr="006B1A5A">
              <w:rPr>
                <w:lang w:eastAsia="fi-FI"/>
              </w:rPr>
              <w:t>GHS09</w:t>
            </w:r>
          </w:p>
        </w:tc>
      </w:tr>
      <w:tr w:rsidR="001042DA" w:rsidRPr="006B1A5A" w14:paraId="7050500B" w14:textId="77777777" w:rsidTr="009A6BA6">
        <w:trPr>
          <w:cantSplit/>
          <w:tblHeader/>
          <w:jc w:val="center"/>
        </w:trPr>
        <w:tc>
          <w:tcPr>
            <w:tcW w:w="1698" w:type="dxa"/>
            <w:tcBorders>
              <w:top w:val="single" w:sz="2" w:space="0" w:color="auto"/>
              <w:left w:val="single" w:sz="2" w:space="0" w:color="auto"/>
              <w:bottom w:val="single" w:sz="2" w:space="0" w:color="auto"/>
              <w:right w:val="single" w:sz="2" w:space="0" w:color="auto"/>
            </w:tcBorders>
            <w:hideMark/>
          </w:tcPr>
          <w:p w14:paraId="28C771CA" w14:textId="77777777" w:rsidR="001042DA" w:rsidRPr="006B1A5A" w:rsidRDefault="001042DA" w:rsidP="00AF2AEA">
            <w:pPr>
              <w:rPr>
                <w:lang w:eastAsia="en-US"/>
              </w:rPr>
            </w:pPr>
            <w:r w:rsidRPr="006B1A5A">
              <w:rPr>
                <w:lang w:eastAsia="en-US"/>
              </w:rPr>
              <w:t>Signal words</w:t>
            </w:r>
          </w:p>
        </w:tc>
        <w:tc>
          <w:tcPr>
            <w:tcW w:w="7320" w:type="dxa"/>
            <w:gridSpan w:val="3"/>
            <w:tcBorders>
              <w:top w:val="single" w:sz="2" w:space="0" w:color="auto"/>
              <w:left w:val="single" w:sz="2" w:space="0" w:color="auto"/>
              <w:bottom w:val="single" w:sz="2" w:space="0" w:color="auto"/>
              <w:right w:val="single" w:sz="2" w:space="0" w:color="auto"/>
            </w:tcBorders>
          </w:tcPr>
          <w:p w14:paraId="06651E84" w14:textId="77777777" w:rsidR="001042DA" w:rsidRPr="006B1A5A" w:rsidRDefault="001042DA" w:rsidP="00AF2AEA">
            <w:pPr>
              <w:spacing w:before="120"/>
              <w:rPr>
                <w:lang w:eastAsia="fi-FI"/>
              </w:rPr>
            </w:pPr>
            <w:r w:rsidRPr="006B1A5A">
              <w:rPr>
                <w:lang w:eastAsia="fi-FI"/>
              </w:rPr>
              <w:t>Danger</w:t>
            </w:r>
          </w:p>
        </w:tc>
      </w:tr>
      <w:tr w:rsidR="001042DA" w:rsidRPr="006B1A5A" w14:paraId="7002EDF3" w14:textId="77777777" w:rsidTr="009A6BA6">
        <w:trPr>
          <w:cantSplit/>
          <w:tblHeader/>
          <w:jc w:val="center"/>
        </w:trPr>
        <w:tc>
          <w:tcPr>
            <w:tcW w:w="1698" w:type="dxa"/>
            <w:tcBorders>
              <w:top w:val="single" w:sz="2" w:space="0" w:color="auto"/>
              <w:left w:val="single" w:sz="2" w:space="0" w:color="auto"/>
              <w:bottom w:val="single" w:sz="2" w:space="0" w:color="auto"/>
              <w:right w:val="single" w:sz="2" w:space="0" w:color="auto"/>
            </w:tcBorders>
            <w:hideMark/>
          </w:tcPr>
          <w:p w14:paraId="541BA8A3" w14:textId="77777777" w:rsidR="001042DA" w:rsidRPr="006B1A5A" w:rsidRDefault="001042DA" w:rsidP="00AF2AEA">
            <w:pPr>
              <w:rPr>
                <w:highlight w:val="yellow"/>
                <w:lang w:eastAsia="en-US"/>
              </w:rPr>
            </w:pPr>
            <w:r w:rsidRPr="006B1A5A">
              <w:rPr>
                <w:lang w:eastAsia="en-US"/>
              </w:rPr>
              <w:t>Hazard statements</w:t>
            </w:r>
          </w:p>
        </w:tc>
        <w:tc>
          <w:tcPr>
            <w:tcW w:w="7320" w:type="dxa"/>
            <w:gridSpan w:val="3"/>
            <w:tcBorders>
              <w:top w:val="single" w:sz="2" w:space="0" w:color="auto"/>
              <w:left w:val="single" w:sz="2" w:space="0" w:color="auto"/>
              <w:bottom w:val="single" w:sz="2" w:space="0" w:color="auto"/>
              <w:right w:val="single" w:sz="2" w:space="0" w:color="auto"/>
            </w:tcBorders>
          </w:tcPr>
          <w:p w14:paraId="44214BC2" w14:textId="77777777" w:rsidR="001042DA" w:rsidRPr="006B1A5A" w:rsidRDefault="001042DA" w:rsidP="00AF2AEA">
            <w:pPr>
              <w:spacing w:before="120"/>
              <w:rPr>
                <w:lang w:eastAsia="fi-FI"/>
              </w:rPr>
            </w:pPr>
            <w:r w:rsidRPr="006B1A5A">
              <w:rPr>
                <w:lang w:eastAsia="fi-FI"/>
              </w:rPr>
              <w:t>H302: Harmful if swallowed</w:t>
            </w:r>
          </w:p>
          <w:p w14:paraId="4C642373" w14:textId="77777777" w:rsidR="001042DA" w:rsidRPr="006B1A5A" w:rsidRDefault="001042DA" w:rsidP="00AF2AEA">
            <w:pPr>
              <w:spacing w:before="120"/>
              <w:rPr>
                <w:lang w:eastAsia="fi-FI"/>
              </w:rPr>
            </w:pPr>
            <w:r w:rsidRPr="006B1A5A">
              <w:rPr>
                <w:lang w:eastAsia="fi-FI"/>
              </w:rPr>
              <w:t>H318: Causes serious eye damage</w:t>
            </w:r>
          </w:p>
          <w:p w14:paraId="38B0C1AD" w14:textId="77777777" w:rsidR="001042DA" w:rsidRPr="006B1A5A" w:rsidRDefault="001042DA" w:rsidP="00AF2AEA">
            <w:pPr>
              <w:spacing w:before="120"/>
              <w:rPr>
                <w:highlight w:val="yellow"/>
                <w:lang w:eastAsia="fi-FI"/>
              </w:rPr>
            </w:pPr>
            <w:r w:rsidRPr="006B1A5A">
              <w:rPr>
                <w:lang w:eastAsia="fi-FI"/>
              </w:rPr>
              <w:t>H410: Very toxic to aquatic life with long lasting effects</w:t>
            </w:r>
          </w:p>
        </w:tc>
      </w:tr>
      <w:tr w:rsidR="001042DA" w:rsidRPr="006B1A5A" w14:paraId="67B08891" w14:textId="77777777" w:rsidTr="009A6BA6">
        <w:trPr>
          <w:cantSplit/>
          <w:tblHeader/>
          <w:jc w:val="center"/>
        </w:trPr>
        <w:tc>
          <w:tcPr>
            <w:tcW w:w="1698" w:type="dxa"/>
            <w:tcBorders>
              <w:top w:val="single" w:sz="2" w:space="0" w:color="auto"/>
              <w:left w:val="single" w:sz="2" w:space="0" w:color="auto"/>
              <w:bottom w:val="single" w:sz="2" w:space="0" w:color="auto"/>
              <w:right w:val="single" w:sz="2" w:space="0" w:color="auto"/>
            </w:tcBorders>
            <w:hideMark/>
          </w:tcPr>
          <w:p w14:paraId="3B6F76E4" w14:textId="77777777" w:rsidR="001042DA" w:rsidRPr="006B1A5A" w:rsidRDefault="001042DA" w:rsidP="00AF2AEA">
            <w:pPr>
              <w:rPr>
                <w:highlight w:val="yellow"/>
                <w:lang w:eastAsia="en-US"/>
              </w:rPr>
            </w:pPr>
            <w:r w:rsidRPr="006B1A5A">
              <w:rPr>
                <w:lang w:eastAsia="en-US"/>
              </w:rPr>
              <w:t>Precautionary statements</w:t>
            </w:r>
          </w:p>
        </w:tc>
        <w:tc>
          <w:tcPr>
            <w:tcW w:w="7320" w:type="dxa"/>
            <w:gridSpan w:val="3"/>
            <w:tcBorders>
              <w:top w:val="single" w:sz="2" w:space="0" w:color="auto"/>
              <w:left w:val="single" w:sz="2" w:space="0" w:color="auto"/>
              <w:bottom w:val="single" w:sz="2" w:space="0" w:color="auto"/>
              <w:right w:val="single" w:sz="2" w:space="0" w:color="auto"/>
            </w:tcBorders>
          </w:tcPr>
          <w:p w14:paraId="3E30ED28" w14:textId="77777777" w:rsidR="001042DA" w:rsidRPr="006B1A5A" w:rsidRDefault="001042DA" w:rsidP="00AF2AEA">
            <w:pPr>
              <w:autoSpaceDE w:val="0"/>
              <w:autoSpaceDN w:val="0"/>
              <w:adjustRightInd w:val="0"/>
              <w:spacing w:before="120"/>
              <w:rPr>
                <w:rFonts w:cs="ArialMT"/>
                <w:lang w:eastAsia="en-US"/>
              </w:rPr>
            </w:pPr>
            <w:r w:rsidRPr="006B1A5A">
              <w:rPr>
                <w:rFonts w:cs="ArialMT"/>
                <w:lang w:eastAsia="en-US"/>
              </w:rPr>
              <w:t>P273 - Avoid release to the environment</w:t>
            </w:r>
          </w:p>
          <w:p w14:paraId="7606F9AF" w14:textId="4A35C878" w:rsidR="001042DA" w:rsidRPr="006B1A5A" w:rsidRDefault="001042DA" w:rsidP="00AF2AEA">
            <w:pPr>
              <w:autoSpaceDE w:val="0"/>
              <w:autoSpaceDN w:val="0"/>
              <w:adjustRightInd w:val="0"/>
              <w:spacing w:before="120"/>
              <w:rPr>
                <w:rFonts w:cs="ArialMT"/>
                <w:lang w:eastAsia="en-US"/>
              </w:rPr>
            </w:pPr>
            <w:r w:rsidRPr="006B1A5A">
              <w:rPr>
                <w:rFonts w:cs="ArialMT"/>
                <w:lang w:eastAsia="en-US"/>
              </w:rPr>
              <w:t xml:space="preserve">P280 - Wear eye </w:t>
            </w:r>
            <w:r w:rsidR="000C6C7E">
              <w:rPr>
                <w:rFonts w:cs="ArialMT"/>
                <w:lang w:eastAsia="en-US"/>
              </w:rPr>
              <w:t>or face</w:t>
            </w:r>
            <w:r w:rsidR="008F46F5">
              <w:rPr>
                <w:rFonts w:cs="ArialMT"/>
                <w:lang w:eastAsia="en-US"/>
              </w:rPr>
              <w:t xml:space="preserve"> </w:t>
            </w:r>
            <w:r w:rsidRPr="006B1A5A">
              <w:rPr>
                <w:rFonts w:cs="ArialMT"/>
                <w:lang w:eastAsia="en-US"/>
              </w:rPr>
              <w:t>protection</w:t>
            </w:r>
            <w:r w:rsidR="008F46F5">
              <w:rPr>
                <w:rFonts w:cs="ArialMT"/>
                <w:lang w:eastAsia="en-US"/>
              </w:rPr>
              <w:t>.</w:t>
            </w:r>
          </w:p>
          <w:p w14:paraId="04A5ACD5" w14:textId="77777777" w:rsidR="001042DA" w:rsidRPr="006B1A5A" w:rsidRDefault="001042DA" w:rsidP="00AF2AEA">
            <w:pPr>
              <w:autoSpaceDE w:val="0"/>
              <w:autoSpaceDN w:val="0"/>
              <w:adjustRightInd w:val="0"/>
              <w:spacing w:before="120"/>
              <w:rPr>
                <w:rFonts w:cs="ArialMT"/>
                <w:lang w:eastAsia="en-US"/>
              </w:rPr>
            </w:pPr>
            <w:r w:rsidRPr="006B1A5A">
              <w:rPr>
                <w:rFonts w:cs="ArialMT"/>
                <w:lang w:eastAsia="en-US"/>
              </w:rPr>
              <w:t>P305+P351+P338 - IF IN EYES: Rinse cautiously with water for several minutes. Remove contact lenses, if present and easy to do. Continue rinsing</w:t>
            </w:r>
          </w:p>
          <w:p w14:paraId="62E41D67" w14:textId="77777777" w:rsidR="001042DA" w:rsidRPr="006B1A5A" w:rsidRDefault="001042DA" w:rsidP="00AF2AEA">
            <w:pPr>
              <w:autoSpaceDE w:val="0"/>
              <w:autoSpaceDN w:val="0"/>
              <w:adjustRightInd w:val="0"/>
              <w:spacing w:before="120"/>
              <w:rPr>
                <w:rFonts w:cs="ArialMT"/>
                <w:lang w:eastAsia="en-US"/>
              </w:rPr>
            </w:pPr>
            <w:r w:rsidRPr="006B1A5A">
              <w:rPr>
                <w:rFonts w:cs="ArialMT"/>
                <w:lang w:eastAsia="en-US"/>
              </w:rPr>
              <w:t>P310 - Immediately call a POISON CENTER or doctor.</w:t>
            </w:r>
          </w:p>
          <w:p w14:paraId="6448D0D5" w14:textId="77777777" w:rsidR="001042DA" w:rsidRPr="006B1A5A" w:rsidRDefault="001042DA" w:rsidP="00AF2AEA">
            <w:pPr>
              <w:autoSpaceDE w:val="0"/>
              <w:autoSpaceDN w:val="0"/>
              <w:adjustRightInd w:val="0"/>
              <w:spacing w:before="120"/>
              <w:rPr>
                <w:rFonts w:cs="Arial"/>
                <w:szCs w:val="22"/>
              </w:rPr>
            </w:pPr>
            <w:r w:rsidRPr="006B1A5A">
              <w:rPr>
                <w:rFonts w:cs="Arial"/>
                <w:szCs w:val="22"/>
              </w:rPr>
              <w:t>P301+P312 IF SWALLOWED: Call a POISON CENTER/doctor if you feel unwell</w:t>
            </w:r>
          </w:p>
          <w:p w14:paraId="5880621B" w14:textId="77777777" w:rsidR="001042DA" w:rsidRPr="006B1A5A" w:rsidRDefault="001042DA" w:rsidP="00AF2AEA">
            <w:pPr>
              <w:spacing w:before="120"/>
              <w:ind w:left="2835" w:hanging="2835"/>
              <w:jc w:val="both"/>
              <w:rPr>
                <w:rFonts w:cs="Arial"/>
                <w:szCs w:val="22"/>
              </w:rPr>
            </w:pPr>
            <w:r w:rsidRPr="006B1A5A">
              <w:rPr>
                <w:rFonts w:cs="Arial"/>
                <w:szCs w:val="22"/>
              </w:rPr>
              <w:t xml:space="preserve">P330: Rinse mouth </w:t>
            </w:r>
          </w:p>
          <w:p w14:paraId="504080C5" w14:textId="77777777" w:rsidR="001042DA" w:rsidRPr="006B1A5A" w:rsidRDefault="001042DA" w:rsidP="00AF2AEA">
            <w:pPr>
              <w:autoSpaceDE w:val="0"/>
              <w:autoSpaceDN w:val="0"/>
              <w:adjustRightInd w:val="0"/>
              <w:spacing w:before="120"/>
              <w:rPr>
                <w:rFonts w:cs="ArialMT"/>
                <w:lang w:eastAsia="en-US"/>
              </w:rPr>
            </w:pPr>
            <w:r w:rsidRPr="006B1A5A">
              <w:rPr>
                <w:rFonts w:cs="ArialMT"/>
                <w:lang w:eastAsia="en-US"/>
              </w:rPr>
              <w:t>P391 - Collect spillage</w:t>
            </w:r>
          </w:p>
          <w:p w14:paraId="5598F309" w14:textId="77777777" w:rsidR="001042DA" w:rsidRPr="006B1A5A" w:rsidRDefault="001042DA" w:rsidP="00AF2AEA">
            <w:pPr>
              <w:autoSpaceDE w:val="0"/>
              <w:autoSpaceDN w:val="0"/>
              <w:adjustRightInd w:val="0"/>
              <w:spacing w:before="120"/>
              <w:rPr>
                <w:highlight w:val="yellow"/>
                <w:lang w:eastAsia="fi-FI"/>
              </w:rPr>
            </w:pPr>
            <w:r w:rsidRPr="006B1A5A">
              <w:rPr>
                <w:rFonts w:cs="ArialMT"/>
                <w:lang w:eastAsia="en-US"/>
              </w:rPr>
              <w:t>P501 - Dispose of contents/container to hazardous or special waste collection point, in accordance with local, regional, national and/or international regulation</w:t>
            </w:r>
          </w:p>
        </w:tc>
      </w:tr>
      <w:tr w:rsidR="001042DA" w:rsidRPr="006B1A5A" w14:paraId="2DA1F56F" w14:textId="77777777" w:rsidTr="009A6BA6">
        <w:trPr>
          <w:cantSplit/>
          <w:tblHeader/>
          <w:jc w:val="center"/>
        </w:trPr>
        <w:tc>
          <w:tcPr>
            <w:tcW w:w="1698" w:type="dxa"/>
            <w:tcBorders>
              <w:top w:val="single" w:sz="2" w:space="0" w:color="auto"/>
              <w:left w:val="single" w:sz="2" w:space="0" w:color="auto"/>
              <w:bottom w:val="single" w:sz="2" w:space="0" w:color="auto"/>
              <w:right w:val="single" w:sz="2" w:space="0" w:color="auto"/>
            </w:tcBorders>
          </w:tcPr>
          <w:p w14:paraId="7A741CE1" w14:textId="77777777" w:rsidR="001042DA" w:rsidRPr="006B1A5A" w:rsidRDefault="001042DA" w:rsidP="00AF2AEA">
            <w:pPr>
              <w:rPr>
                <w:lang w:eastAsia="en-US"/>
              </w:rPr>
            </w:pPr>
            <w:r w:rsidRPr="006B1A5A">
              <w:rPr>
                <w:lang w:eastAsia="en-US"/>
              </w:rPr>
              <w:t>Supplemental hazard information</w:t>
            </w:r>
          </w:p>
        </w:tc>
        <w:tc>
          <w:tcPr>
            <w:tcW w:w="7320" w:type="dxa"/>
            <w:gridSpan w:val="3"/>
            <w:tcBorders>
              <w:top w:val="single" w:sz="2" w:space="0" w:color="auto"/>
              <w:left w:val="single" w:sz="2" w:space="0" w:color="auto"/>
              <w:bottom w:val="single" w:sz="2" w:space="0" w:color="auto"/>
              <w:right w:val="single" w:sz="2" w:space="0" w:color="auto"/>
            </w:tcBorders>
          </w:tcPr>
          <w:p w14:paraId="5384EDC1" w14:textId="77777777" w:rsidR="001042DA" w:rsidRPr="006B1A5A" w:rsidRDefault="001042DA" w:rsidP="00AF2AEA">
            <w:pPr>
              <w:autoSpaceDE w:val="0"/>
              <w:autoSpaceDN w:val="0"/>
              <w:adjustRightInd w:val="0"/>
              <w:spacing w:before="120"/>
              <w:rPr>
                <w:rFonts w:cs="ArialMT"/>
                <w:lang w:eastAsia="en-US"/>
              </w:rPr>
            </w:pPr>
            <w:r w:rsidRPr="006B1A5A">
              <w:rPr>
                <w:lang w:eastAsia="fi-FI"/>
              </w:rPr>
              <w:t>EUH208: Contains a mixture of 5-chloro-2-methylisothiazol-3(2H)-one and 2-methylisothiazol-3(2H)-one (CMIT/MIT) 3:1. May produce an allergic reaction.</w:t>
            </w:r>
          </w:p>
        </w:tc>
      </w:tr>
      <w:tr w:rsidR="001042DA" w:rsidRPr="006B1A5A" w14:paraId="410F3332" w14:textId="77777777" w:rsidTr="009A6BA6">
        <w:trPr>
          <w:cantSplit/>
          <w:tblHeader/>
          <w:jc w:val="center"/>
        </w:trPr>
        <w:tc>
          <w:tcPr>
            <w:tcW w:w="1698" w:type="dxa"/>
            <w:tcBorders>
              <w:top w:val="single" w:sz="2" w:space="0" w:color="auto"/>
              <w:left w:val="single" w:sz="2" w:space="0" w:color="auto"/>
              <w:bottom w:val="single" w:sz="2" w:space="0" w:color="auto"/>
              <w:right w:val="single" w:sz="2" w:space="0" w:color="auto"/>
            </w:tcBorders>
            <w:hideMark/>
          </w:tcPr>
          <w:p w14:paraId="39516184" w14:textId="77777777" w:rsidR="001042DA" w:rsidRPr="006B1A5A" w:rsidRDefault="001042DA" w:rsidP="00AF2AEA">
            <w:pPr>
              <w:spacing w:before="120"/>
              <w:rPr>
                <w:lang w:eastAsia="en-US"/>
              </w:rPr>
            </w:pPr>
            <w:r w:rsidRPr="006B1A5A">
              <w:rPr>
                <w:lang w:eastAsia="en-US"/>
              </w:rPr>
              <w:t>Note</w:t>
            </w:r>
          </w:p>
        </w:tc>
        <w:tc>
          <w:tcPr>
            <w:tcW w:w="7320" w:type="dxa"/>
            <w:gridSpan w:val="3"/>
            <w:tcBorders>
              <w:top w:val="single" w:sz="2" w:space="0" w:color="auto"/>
              <w:left w:val="single" w:sz="2" w:space="0" w:color="auto"/>
              <w:bottom w:val="single" w:sz="2" w:space="0" w:color="auto"/>
              <w:right w:val="single" w:sz="2" w:space="0" w:color="auto"/>
            </w:tcBorders>
            <w:shd w:val="clear" w:color="auto" w:fill="auto"/>
          </w:tcPr>
          <w:p w14:paraId="0216D5A8" w14:textId="77777777" w:rsidR="001042DA" w:rsidRPr="006B1A5A" w:rsidRDefault="001042DA" w:rsidP="00AF2AEA">
            <w:pPr>
              <w:spacing w:before="120"/>
              <w:rPr>
                <w:lang w:eastAsia="fi-FI"/>
              </w:rPr>
            </w:pPr>
            <w:r w:rsidRPr="006B1A5A">
              <w:rPr>
                <w:lang w:eastAsia="fi-FI"/>
              </w:rPr>
              <w:t>This mixture does not contain substances which meet the PBT or vPvB criteria of REACH regulation, annex XIII</w:t>
            </w:r>
          </w:p>
        </w:tc>
      </w:tr>
    </w:tbl>
    <w:p w14:paraId="7F2BE299" w14:textId="77777777" w:rsidR="001042DA" w:rsidRPr="006B1A5A" w:rsidRDefault="001042DA" w:rsidP="001042DA">
      <w:pPr>
        <w:tabs>
          <w:tab w:val="left" w:pos="500"/>
        </w:tabs>
        <w:spacing w:line="260" w:lineRule="atLeast"/>
        <w:ind w:left="500" w:hanging="500"/>
        <w:rPr>
          <w:rFonts w:eastAsia="Calibri"/>
          <w:b/>
          <w:lang w:eastAsia="en-US"/>
        </w:rPr>
      </w:pPr>
    </w:p>
    <w:p w14:paraId="51A10BD4" w14:textId="77777777" w:rsidR="001042DA" w:rsidRPr="006B1A5A" w:rsidRDefault="001042DA" w:rsidP="001042DA">
      <w:pPr>
        <w:rPr>
          <w:rFonts w:eastAsia="Calibri"/>
          <w:b/>
          <w:lang w:eastAsia="en-US"/>
        </w:rPr>
      </w:pPr>
      <w:r w:rsidRPr="006B1A5A">
        <w:rPr>
          <w:rFonts w:eastAsia="Calibri"/>
          <w:b/>
          <w:lang w:eastAsia="en-US"/>
        </w:rPr>
        <w:lastRenderedPageBreak/>
        <w:t>Meta SPC 3</w:t>
      </w:r>
    </w:p>
    <w:p w14:paraId="2A4FB4C9" w14:textId="77777777" w:rsidR="001042DA" w:rsidRPr="006B1A5A" w:rsidRDefault="001042DA" w:rsidP="001042DA"/>
    <w:tbl>
      <w:tblPr>
        <w:tblW w:w="9018" w:type="dxa"/>
        <w:jc w:val="center"/>
        <w:tblLayout w:type="fixed"/>
        <w:tblLook w:val="04A0" w:firstRow="1" w:lastRow="0" w:firstColumn="1" w:lastColumn="0" w:noHBand="0" w:noVBand="1"/>
      </w:tblPr>
      <w:tblGrid>
        <w:gridCol w:w="2609"/>
        <w:gridCol w:w="3204"/>
        <w:gridCol w:w="3205"/>
      </w:tblGrid>
      <w:tr w:rsidR="001042DA" w:rsidRPr="006B1A5A" w14:paraId="3371BF5E" w14:textId="77777777" w:rsidTr="00AF2AEA">
        <w:trPr>
          <w:cantSplit/>
          <w:tblHeader/>
          <w:jc w:val="center"/>
        </w:trPr>
        <w:tc>
          <w:tcPr>
            <w:tcW w:w="9018" w:type="dxa"/>
            <w:gridSpan w:val="3"/>
            <w:tcBorders>
              <w:top w:val="single" w:sz="2" w:space="0" w:color="auto"/>
              <w:left w:val="single" w:sz="2" w:space="0" w:color="auto"/>
              <w:bottom w:val="single" w:sz="2" w:space="0" w:color="auto"/>
              <w:right w:val="single" w:sz="2" w:space="0" w:color="auto"/>
            </w:tcBorders>
          </w:tcPr>
          <w:p w14:paraId="4ED744A8" w14:textId="77777777" w:rsidR="001042DA" w:rsidRPr="006B1A5A" w:rsidRDefault="001042DA" w:rsidP="00AF2AEA">
            <w:pPr>
              <w:spacing w:before="120"/>
              <w:rPr>
                <w:b/>
                <w:lang w:eastAsia="en-US"/>
              </w:rPr>
            </w:pPr>
            <w:r w:rsidRPr="006B1A5A">
              <w:rPr>
                <w:b/>
                <w:lang w:eastAsia="en-US"/>
              </w:rPr>
              <w:t>AquaNet RFU 360</w:t>
            </w:r>
          </w:p>
        </w:tc>
      </w:tr>
      <w:tr w:rsidR="001042DA" w:rsidRPr="006B1A5A" w14:paraId="50F8BA67" w14:textId="77777777" w:rsidTr="00AF2AEA">
        <w:trPr>
          <w:cantSplit/>
          <w:tblHeader/>
          <w:jc w:val="center"/>
        </w:trPr>
        <w:tc>
          <w:tcPr>
            <w:tcW w:w="9018" w:type="dxa"/>
            <w:gridSpan w:val="3"/>
            <w:tcBorders>
              <w:top w:val="single" w:sz="2" w:space="0" w:color="auto"/>
              <w:left w:val="single" w:sz="2" w:space="0" w:color="auto"/>
              <w:bottom w:val="single" w:sz="2" w:space="0" w:color="auto"/>
              <w:right w:val="single" w:sz="2" w:space="0" w:color="auto"/>
            </w:tcBorders>
            <w:hideMark/>
          </w:tcPr>
          <w:p w14:paraId="2DC746ED" w14:textId="77777777" w:rsidR="001042DA" w:rsidRPr="006B1A5A" w:rsidRDefault="001042DA" w:rsidP="00AF2AEA">
            <w:pPr>
              <w:spacing w:before="120"/>
              <w:rPr>
                <w:b/>
                <w:lang w:eastAsia="fi-FI"/>
              </w:rPr>
            </w:pPr>
            <w:r w:rsidRPr="006B1A5A">
              <w:rPr>
                <w:b/>
                <w:lang w:eastAsia="en-US"/>
              </w:rPr>
              <w:t>Classification</w:t>
            </w:r>
          </w:p>
        </w:tc>
      </w:tr>
      <w:tr w:rsidR="001042DA" w:rsidRPr="006B1A5A" w14:paraId="576243F9" w14:textId="77777777" w:rsidTr="00AF2AEA">
        <w:trPr>
          <w:cantSplit/>
          <w:tblHeader/>
          <w:jc w:val="center"/>
        </w:trPr>
        <w:tc>
          <w:tcPr>
            <w:tcW w:w="2609" w:type="dxa"/>
            <w:tcBorders>
              <w:top w:val="single" w:sz="2" w:space="0" w:color="auto"/>
              <w:left w:val="single" w:sz="2" w:space="0" w:color="auto"/>
              <w:bottom w:val="single" w:sz="2" w:space="0" w:color="auto"/>
              <w:right w:val="single" w:sz="2" w:space="0" w:color="auto"/>
            </w:tcBorders>
            <w:hideMark/>
          </w:tcPr>
          <w:p w14:paraId="7113E61E" w14:textId="77777777" w:rsidR="001042DA" w:rsidRPr="006B1A5A" w:rsidRDefault="001042DA" w:rsidP="00AF2AEA">
            <w:pPr>
              <w:spacing w:before="120"/>
              <w:rPr>
                <w:lang w:eastAsia="fi-FI"/>
              </w:rPr>
            </w:pPr>
            <w:r w:rsidRPr="006B1A5A">
              <w:rPr>
                <w:lang w:eastAsia="en-US"/>
              </w:rPr>
              <w:t>Hazard category</w:t>
            </w:r>
          </w:p>
        </w:tc>
        <w:tc>
          <w:tcPr>
            <w:tcW w:w="6409" w:type="dxa"/>
            <w:gridSpan w:val="2"/>
            <w:tcBorders>
              <w:top w:val="single" w:sz="2" w:space="0" w:color="auto"/>
              <w:left w:val="single" w:sz="2" w:space="0" w:color="auto"/>
              <w:bottom w:val="single" w:sz="2" w:space="0" w:color="auto"/>
              <w:right w:val="single" w:sz="2" w:space="0" w:color="auto"/>
            </w:tcBorders>
          </w:tcPr>
          <w:p w14:paraId="237011E6" w14:textId="77777777" w:rsidR="001042DA" w:rsidRPr="006B1A5A" w:rsidRDefault="001042DA" w:rsidP="00AF2AEA">
            <w:pPr>
              <w:spacing w:before="120"/>
              <w:rPr>
                <w:lang w:eastAsia="fi-FI"/>
              </w:rPr>
            </w:pPr>
            <w:r w:rsidRPr="006B1A5A">
              <w:rPr>
                <w:lang w:eastAsia="fi-FI"/>
              </w:rPr>
              <w:t>Eye Dam. 1</w:t>
            </w:r>
          </w:p>
          <w:p w14:paraId="1D6B67EB" w14:textId="77777777" w:rsidR="001042DA" w:rsidRPr="006B1A5A" w:rsidRDefault="001042DA" w:rsidP="00AF2AEA">
            <w:pPr>
              <w:spacing w:before="120"/>
              <w:rPr>
                <w:lang w:eastAsia="fi-FI"/>
              </w:rPr>
            </w:pPr>
            <w:r w:rsidRPr="006B1A5A">
              <w:rPr>
                <w:lang w:eastAsia="fi-FI"/>
              </w:rPr>
              <w:t>Aquatic Acute 1</w:t>
            </w:r>
          </w:p>
          <w:p w14:paraId="3C7E6129" w14:textId="77777777" w:rsidR="001042DA" w:rsidRPr="006B1A5A" w:rsidRDefault="001042DA" w:rsidP="00AF2AEA">
            <w:pPr>
              <w:spacing w:before="120"/>
              <w:rPr>
                <w:lang w:eastAsia="fi-FI"/>
              </w:rPr>
            </w:pPr>
            <w:r w:rsidRPr="006B1A5A">
              <w:rPr>
                <w:lang w:eastAsia="fi-FI"/>
              </w:rPr>
              <w:t>Aquatic Chronic 1</w:t>
            </w:r>
          </w:p>
        </w:tc>
      </w:tr>
      <w:tr w:rsidR="001042DA" w:rsidRPr="006B1A5A" w14:paraId="472A7BA7" w14:textId="77777777" w:rsidTr="00AF2AEA">
        <w:trPr>
          <w:cantSplit/>
          <w:tblHeader/>
          <w:jc w:val="center"/>
        </w:trPr>
        <w:tc>
          <w:tcPr>
            <w:tcW w:w="2609" w:type="dxa"/>
            <w:tcBorders>
              <w:top w:val="single" w:sz="2" w:space="0" w:color="auto"/>
              <w:left w:val="single" w:sz="2" w:space="0" w:color="auto"/>
              <w:bottom w:val="single" w:sz="2" w:space="0" w:color="auto"/>
              <w:right w:val="single" w:sz="2" w:space="0" w:color="auto"/>
            </w:tcBorders>
            <w:hideMark/>
          </w:tcPr>
          <w:p w14:paraId="6FD69EBE" w14:textId="77777777" w:rsidR="001042DA" w:rsidRPr="006B1A5A" w:rsidRDefault="001042DA" w:rsidP="00AF2AEA">
            <w:pPr>
              <w:spacing w:before="120"/>
              <w:rPr>
                <w:lang w:eastAsia="fi-FI"/>
              </w:rPr>
            </w:pPr>
            <w:r w:rsidRPr="006B1A5A">
              <w:rPr>
                <w:lang w:eastAsia="en-US"/>
              </w:rPr>
              <w:t>Hazard statement</w:t>
            </w:r>
          </w:p>
        </w:tc>
        <w:tc>
          <w:tcPr>
            <w:tcW w:w="6409" w:type="dxa"/>
            <w:gridSpan w:val="2"/>
            <w:tcBorders>
              <w:top w:val="single" w:sz="2" w:space="0" w:color="auto"/>
              <w:left w:val="single" w:sz="2" w:space="0" w:color="auto"/>
              <w:bottom w:val="single" w:sz="2" w:space="0" w:color="auto"/>
              <w:right w:val="single" w:sz="2" w:space="0" w:color="auto"/>
            </w:tcBorders>
          </w:tcPr>
          <w:p w14:paraId="1794BF75" w14:textId="77777777" w:rsidR="001042DA" w:rsidRPr="006B1A5A" w:rsidRDefault="001042DA" w:rsidP="00AF2AEA">
            <w:pPr>
              <w:autoSpaceDE w:val="0"/>
              <w:autoSpaceDN w:val="0"/>
              <w:adjustRightInd w:val="0"/>
              <w:spacing w:before="120"/>
              <w:rPr>
                <w:rFonts w:cs="ArialMT"/>
                <w:lang w:eastAsia="en-US"/>
              </w:rPr>
            </w:pPr>
            <w:r w:rsidRPr="006B1A5A">
              <w:rPr>
                <w:rFonts w:cs="ArialMT"/>
                <w:lang w:eastAsia="en-US"/>
              </w:rPr>
              <w:t>H318 - Causes serious eye damage.</w:t>
            </w:r>
          </w:p>
          <w:p w14:paraId="4081BCA7" w14:textId="77777777" w:rsidR="001042DA" w:rsidRPr="006B1A5A" w:rsidRDefault="001042DA" w:rsidP="00AF2AEA">
            <w:pPr>
              <w:pStyle w:val="Default"/>
              <w:spacing w:before="120"/>
              <w:rPr>
                <w:rFonts w:ascii="Verdana" w:hAnsi="Verdana" w:cs="Verdana"/>
                <w:sz w:val="20"/>
                <w:szCs w:val="20"/>
                <w:lang w:eastAsia="en-US"/>
              </w:rPr>
            </w:pPr>
            <w:r w:rsidRPr="006B1A5A">
              <w:rPr>
                <w:rFonts w:ascii="Verdana" w:hAnsi="Verdana"/>
                <w:sz w:val="20"/>
                <w:szCs w:val="20"/>
                <w:lang w:eastAsia="fi-FI"/>
              </w:rPr>
              <w:t xml:space="preserve">H400: </w:t>
            </w:r>
            <w:r w:rsidRPr="006B1A5A">
              <w:rPr>
                <w:rFonts w:ascii="Verdana" w:hAnsi="Verdana" w:cs="Verdana"/>
                <w:sz w:val="20"/>
                <w:szCs w:val="20"/>
                <w:lang w:eastAsia="en-US"/>
              </w:rPr>
              <w:t xml:space="preserve">Very toxic to aquatic life </w:t>
            </w:r>
          </w:p>
          <w:p w14:paraId="4C2F21A4" w14:textId="77777777" w:rsidR="001042DA" w:rsidRPr="006B1A5A" w:rsidRDefault="001042DA" w:rsidP="00AF2AEA">
            <w:pPr>
              <w:spacing w:before="120"/>
              <w:rPr>
                <w:highlight w:val="yellow"/>
                <w:lang w:eastAsia="fi-FI"/>
              </w:rPr>
            </w:pPr>
            <w:r w:rsidRPr="006B1A5A">
              <w:rPr>
                <w:rFonts w:cs="ArialMT"/>
                <w:lang w:eastAsia="en-US"/>
              </w:rPr>
              <w:t>H410 - Very toxic to aquatic life with long lasting effects.</w:t>
            </w:r>
          </w:p>
        </w:tc>
      </w:tr>
      <w:tr w:rsidR="001042DA" w:rsidRPr="006B1A5A" w14:paraId="16CB3CBE" w14:textId="77777777" w:rsidTr="00AF2AEA">
        <w:trPr>
          <w:cantSplit/>
          <w:tblHeader/>
          <w:jc w:val="center"/>
        </w:trPr>
        <w:tc>
          <w:tcPr>
            <w:tcW w:w="9018" w:type="dxa"/>
            <w:gridSpan w:val="3"/>
            <w:tcBorders>
              <w:top w:val="single" w:sz="2" w:space="0" w:color="auto"/>
              <w:left w:val="single" w:sz="2" w:space="0" w:color="auto"/>
              <w:bottom w:val="single" w:sz="2" w:space="0" w:color="auto"/>
              <w:right w:val="single" w:sz="2" w:space="0" w:color="auto"/>
            </w:tcBorders>
            <w:hideMark/>
          </w:tcPr>
          <w:p w14:paraId="43D67ECC" w14:textId="77777777" w:rsidR="001042DA" w:rsidRPr="006B1A5A" w:rsidRDefault="001042DA" w:rsidP="00AF2AEA">
            <w:pPr>
              <w:spacing w:before="120"/>
              <w:rPr>
                <w:b/>
                <w:lang w:eastAsia="fi-FI"/>
              </w:rPr>
            </w:pPr>
            <w:r w:rsidRPr="006B1A5A">
              <w:rPr>
                <w:b/>
                <w:lang w:eastAsia="en-US"/>
              </w:rPr>
              <w:t>Labelling</w:t>
            </w:r>
          </w:p>
        </w:tc>
      </w:tr>
      <w:tr w:rsidR="001042DA" w:rsidRPr="006B1A5A" w14:paraId="37AA0039" w14:textId="77777777" w:rsidTr="00AF2AEA">
        <w:trPr>
          <w:cantSplit/>
          <w:trHeight w:val="240"/>
          <w:tblHeader/>
          <w:jc w:val="center"/>
        </w:trPr>
        <w:tc>
          <w:tcPr>
            <w:tcW w:w="2609" w:type="dxa"/>
            <w:vMerge w:val="restart"/>
            <w:tcBorders>
              <w:top w:val="single" w:sz="2" w:space="0" w:color="auto"/>
              <w:left w:val="single" w:sz="2" w:space="0" w:color="auto"/>
              <w:right w:val="single" w:sz="2" w:space="0" w:color="auto"/>
            </w:tcBorders>
          </w:tcPr>
          <w:p w14:paraId="0DE5F654" w14:textId="77777777" w:rsidR="001042DA" w:rsidRPr="006B1A5A" w:rsidRDefault="001042DA" w:rsidP="00AF2AEA">
            <w:pPr>
              <w:spacing w:before="120"/>
              <w:rPr>
                <w:lang w:eastAsia="en-US"/>
              </w:rPr>
            </w:pPr>
            <w:r w:rsidRPr="006B1A5A">
              <w:rPr>
                <w:lang w:eastAsia="en-US"/>
              </w:rPr>
              <w:t>Hazard pictograms</w:t>
            </w:r>
          </w:p>
        </w:tc>
        <w:tc>
          <w:tcPr>
            <w:tcW w:w="3204" w:type="dxa"/>
            <w:tcBorders>
              <w:top w:val="single" w:sz="2" w:space="0" w:color="auto"/>
              <w:left w:val="single" w:sz="2" w:space="0" w:color="auto"/>
              <w:bottom w:val="single" w:sz="2" w:space="0" w:color="auto"/>
              <w:right w:val="single" w:sz="2" w:space="0" w:color="auto"/>
            </w:tcBorders>
          </w:tcPr>
          <w:p w14:paraId="4A27BBEC" w14:textId="77777777" w:rsidR="001042DA" w:rsidRPr="006B1A5A" w:rsidRDefault="001042DA" w:rsidP="00AF2AEA">
            <w:pPr>
              <w:spacing w:before="120"/>
              <w:rPr>
                <w:lang w:eastAsia="fi-FI"/>
              </w:rPr>
            </w:pPr>
            <w:r w:rsidRPr="006B1A5A">
              <w:rPr>
                <w:b/>
                <w:noProof/>
                <w:lang w:eastAsia="en-US"/>
              </w:rPr>
              <w:drawing>
                <wp:inline distT="0" distB="0" distL="0" distR="0" wp14:anchorId="74F96B90" wp14:editId="1FA065F5">
                  <wp:extent cx="674293" cy="668475"/>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4162" cy="678259"/>
                          </a:xfrm>
                          <a:prstGeom prst="rect">
                            <a:avLst/>
                          </a:prstGeom>
                          <a:noFill/>
                          <a:ln>
                            <a:noFill/>
                          </a:ln>
                        </pic:spPr>
                      </pic:pic>
                    </a:graphicData>
                  </a:graphic>
                </wp:inline>
              </w:drawing>
            </w:r>
          </w:p>
        </w:tc>
        <w:tc>
          <w:tcPr>
            <w:tcW w:w="3205" w:type="dxa"/>
            <w:tcBorders>
              <w:top w:val="single" w:sz="2" w:space="0" w:color="auto"/>
              <w:left w:val="single" w:sz="2" w:space="0" w:color="auto"/>
              <w:bottom w:val="single" w:sz="2" w:space="0" w:color="auto"/>
              <w:right w:val="single" w:sz="2" w:space="0" w:color="auto"/>
            </w:tcBorders>
          </w:tcPr>
          <w:p w14:paraId="71612A8B" w14:textId="77777777" w:rsidR="001042DA" w:rsidRPr="006B1A5A" w:rsidRDefault="001042DA" w:rsidP="00AF2AEA">
            <w:pPr>
              <w:spacing w:before="120"/>
              <w:rPr>
                <w:lang w:eastAsia="fi-FI"/>
              </w:rPr>
            </w:pPr>
            <w:r w:rsidRPr="006B1A5A">
              <w:rPr>
                <w:noProof/>
                <w:lang w:eastAsia="en-GB"/>
              </w:rPr>
              <w:drawing>
                <wp:inline distT="0" distB="0" distL="0" distR="0" wp14:anchorId="6774182E" wp14:editId="6BD0950B">
                  <wp:extent cx="702945" cy="702945"/>
                  <wp:effectExtent l="0" t="0" r="1905" b="1905"/>
                  <wp:docPr id="8" name="Bilde 8" descr="pollu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lut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2945" cy="702945"/>
                          </a:xfrm>
                          <a:prstGeom prst="rect">
                            <a:avLst/>
                          </a:prstGeom>
                          <a:noFill/>
                          <a:ln>
                            <a:noFill/>
                          </a:ln>
                        </pic:spPr>
                      </pic:pic>
                    </a:graphicData>
                  </a:graphic>
                </wp:inline>
              </w:drawing>
            </w:r>
          </w:p>
        </w:tc>
      </w:tr>
      <w:tr w:rsidR="001042DA" w:rsidRPr="006B1A5A" w14:paraId="3802C957" w14:textId="77777777" w:rsidTr="00AF2AEA">
        <w:trPr>
          <w:cantSplit/>
          <w:trHeight w:val="240"/>
          <w:tblHeader/>
          <w:jc w:val="center"/>
        </w:trPr>
        <w:tc>
          <w:tcPr>
            <w:tcW w:w="2609" w:type="dxa"/>
            <w:vMerge/>
            <w:tcBorders>
              <w:left w:val="single" w:sz="2" w:space="0" w:color="auto"/>
              <w:bottom w:val="single" w:sz="2" w:space="0" w:color="auto"/>
              <w:right w:val="single" w:sz="2" w:space="0" w:color="auto"/>
            </w:tcBorders>
          </w:tcPr>
          <w:p w14:paraId="0FD74993" w14:textId="77777777" w:rsidR="001042DA" w:rsidRPr="006B1A5A" w:rsidRDefault="001042DA" w:rsidP="00AF2AEA">
            <w:pPr>
              <w:spacing w:before="120"/>
              <w:rPr>
                <w:lang w:eastAsia="en-US"/>
              </w:rPr>
            </w:pPr>
          </w:p>
        </w:tc>
        <w:tc>
          <w:tcPr>
            <w:tcW w:w="3204" w:type="dxa"/>
            <w:tcBorders>
              <w:top w:val="single" w:sz="2" w:space="0" w:color="auto"/>
              <w:left w:val="single" w:sz="2" w:space="0" w:color="auto"/>
              <w:bottom w:val="single" w:sz="2" w:space="0" w:color="auto"/>
              <w:right w:val="single" w:sz="2" w:space="0" w:color="auto"/>
            </w:tcBorders>
          </w:tcPr>
          <w:p w14:paraId="512E4F16" w14:textId="77777777" w:rsidR="001042DA" w:rsidRPr="006B1A5A" w:rsidRDefault="001042DA" w:rsidP="00AF2AEA">
            <w:pPr>
              <w:spacing w:before="120"/>
              <w:rPr>
                <w:lang w:eastAsia="fi-FI"/>
              </w:rPr>
            </w:pPr>
            <w:r w:rsidRPr="006B1A5A">
              <w:rPr>
                <w:lang w:eastAsia="fi-FI"/>
              </w:rPr>
              <w:t xml:space="preserve">GHS05 </w:t>
            </w:r>
          </w:p>
        </w:tc>
        <w:tc>
          <w:tcPr>
            <w:tcW w:w="3205" w:type="dxa"/>
            <w:tcBorders>
              <w:top w:val="single" w:sz="2" w:space="0" w:color="auto"/>
              <w:left w:val="single" w:sz="2" w:space="0" w:color="auto"/>
              <w:bottom w:val="single" w:sz="2" w:space="0" w:color="auto"/>
              <w:right w:val="single" w:sz="2" w:space="0" w:color="auto"/>
            </w:tcBorders>
          </w:tcPr>
          <w:p w14:paraId="789CF227" w14:textId="77777777" w:rsidR="001042DA" w:rsidRPr="006B1A5A" w:rsidRDefault="001042DA" w:rsidP="00AF2AEA">
            <w:pPr>
              <w:spacing w:before="120"/>
              <w:rPr>
                <w:lang w:eastAsia="fi-FI"/>
              </w:rPr>
            </w:pPr>
            <w:r w:rsidRPr="006B1A5A">
              <w:rPr>
                <w:lang w:eastAsia="fi-FI"/>
              </w:rPr>
              <w:t>GHS09</w:t>
            </w:r>
          </w:p>
        </w:tc>
      </w:tr>
      <w:tr w:rsidR="001042DA" w:rsidRPr="006B1A5A" w14:paraId="711B624F" w14:textId="77777777" w:rsidTr="00AF2AEA">
        <w:trPr>
          <w:cantSplit/>
          <w:tblHeader/>
          <w:jc w:val="center"/>
        </w:trPr>
        <w:tc>
          <w:tcPr>
            <w:tcW w:w="2609" w:type="dxa"/>
            <w:tcBorders>
              <w:top w:val="single" w:sz="2" w:space="0" w:color="auto"/>
              <w:left w:val="single" w:sz="2" w:space="0" w:color="auto"/>
              <w:bottom w:val="single" w:sz="2" w:space="0" w:color="auto"/>
              <w:right w:val="single" w:sz="2" w:space="0" w:color="auto"/>
            </w:tcBorders>
            <w:hideMark/>
          </w:tcPr>
          <w:p w14:paraId="5DF2DC28" w14:textId="77777777" w:rsidR="001042DA" w:rsidRPr="006B1A5A" w:rsidRDefault="001042DA" w:rsidP="00AF2AEA">
            <w:pPr>
              <w:spacing w:before="120"/>
              <w:rPr>
                <w:lang w:eastAsia="en-US"/>
              </w:rPr>
            </w:pPr>
            <w:r w:rsidRPr="006B1A5A">
              <w:rPr>
                <w:lang w:eastAsia="en-US"/>
              </w:rPr>
              <w:t>Signal words</w:t>
            </w:r>
          </w:p>
        </w:tc>
        <w:tc>
          <w:tcPr>
            <w:tcW w:w="6409" w:type="dxa"/>
            <w:gridSpan w:val="2"/>
            <w:tcBorders>
              <w:top w:val="single" w:sz="2" w:space="0" w:color="auto"/>
              <w:left w:val="single" w:sz="2" w:space="0" w:color="auto"/>
              <w:bottom w:val="single" w:sz="2" w:space="0" w:color="auto"/>
              <w:right w:val="single" w:sz="2" w:space="0" w:color="auto"/>
            </w:tcBorders>
          </w:tcPr>
          <w:p w14:paraId="48F4C44C" w14:textId="77777777" w:rsidR="001042DA" w:rsidRPr="006B1A5A" w:rsidRDefault="001042DA" w:rsidP="00AF2AEA">
            <w:pPr>
              <w:spacing w:before="120"/>
              <w:rPr>
                <w:lang w:eastAsia="fi-FI"/>
              </w:rPr>
            </w:pPr>
            <w:r w:rsidRPr="006B1A5A">
              <w:rPr>
                <w:lang w:eastAsia="fi-FI"/>
              </w:rPr>
              <w:t>Danger</w:t>
            </w:r>
          </w:p>
        </w:tc>
      </w:tr>
      <w:tr w:rsidR="001042DA" w:rsidRPr="006B1A5A" w14:paraId="7757420B" w14:textId="77777777" w:rsidTr="00AF2AEA">
        <w:trPr>
          <w:cantSplit/>
          <w:tblHeader/>
          <w:jc w:val="center"/>
        </w:trPr>
        <w:tc>
          <w:tcPr>
            <w:tcW w:w="2609" w:type="dxa"/>
            <w:tcBorders>
              <w:top w:val="single" w:sz="2" w:space="0" w:color="auto"/>
              <w:left w:val="single" w:sz="2" w:space="0" w:color="auto"/>
              <w:bottom w:val="single" w:sz="2" w:space="0" w:color="auto"/>
              <w:right w:val="single" w:sz="2" w:space="0" w:color="auto"/>
            </w:tcBorders>
            <w:hideMark/>
          </w:tcPr>
          <w:p w14:paraId="42977493" w14:textId="77777777" w:rsidR="001042DA" w:rsidRPr="006B1A5A" w:rsidRDefault="001042DA" w:rsidP="00AF2AEA">
            <w:pPr>
              <w:spacing w:before="120"/>
              <w:rPr>
                <w:highlight w:val="yellow"/>
                <w:lang w:eastAsia="en-US"/>
              </w:rPr>
            </w:pPr>
            <w:r w:rsidRPr="006B1A5A">
              <w:rPr>
                <w:lang w:eastAsia="en-US"/>
              </w:rPr>
              <w:t>Hazard statements</w:t>
            </w:r>
          </w:p>
        </w:tc>
        <w:tc>
          <w:tcPr>
            <w:tcW w:w="6409" w:type="dxa"/>
            <w:gridSpan w:val="2"/>
            <w:tcBorders>
              <w:top w:val="single" w:sz="2" w:space="0" w:color="auto"/>
              <w:left w:val="single" w:sz="2" w:space="0" w:color="auto"/>
              <w:bottom w:val="single" w:sz="2" w:space="0" w:color="auto"/>
              <w:right w:val="single" w:sz="2" w:space="0" w:color="auto"/>
            </w:tcBorders>
          </w:tcPr>
          <w:p w14:paraId="475FF941" w14:textId="77777777" w:rsidR="001042DA" w:rsidRPr="006B1A5A" w:rsidRDefault="001042DA" w:rsidP="00AF2AEA">
            <w:pPr>
              <w:autoSpaceDE w:val="0"/>
              <w:autoSpaceDN w:val="0"/>
              <w:adjustRightInd w:val="0"/>
              <w:spacing w:before="120"/>
              <w:rPr>
                <w:rFonts w:cs="ArialMT"/>
                <w:lang w:eastAsia="en-US"/>
              </w:rPr>
            </w:pPr>
            <w:r w:rsidRPr="006B1A5A">
              <w:rPr>
                <w:rFonts w:cs="ArialMT"/>
                <w:lang w:eastAsia="en-US"/>
              </w:rPr>
              <w:t>H318 - Causes serious eye damage.</w:t>
            </w:r>
          </w:p>
          <w:p w14:paraId="47EA01E3" w14:textId="77777777" w:rsidR="001042DA" w:rsidRPr="006B1A5A" w:rsidRDefault="001042DA" w:rsidP="00AF2AEA">
            <w:pPr>
              <w:spacing w:before="120"/>
              <w:rPr>
                <w:highlight w:val="yellow"/>
                <w:lang w:eastAsia="fi-FI"/>
              </w:rPr>
            </w:pPr>
            <w:r w:rsidRPr="006B1A5A">
              <w:rPr>
                <w:rFonts w:cs="ArialMT"/>
                <w:lang w:eastAsia="en-US"/>
              </w:rPr>
              <w:t>H410 - Very toxic to aquatic life with long lasting effects.</w:t>
            </w:r>
          </w:p>
        </w:tc>
      </w:tr>
      <w:tr w:rsidR="001042DA" w:rsidRPr="006B1A5A" w14:paraId="026A5576" w14:textId="77777777" w:rsidTr="00AF2AEA">
        <w:trPr>
          <w:cantSplit/>
          <w:tblHeader/>
          <w:jc w:val="center"/>
        </w:trPr>
        <w:tc>
          <w:tcPr>
            <w:tcW w:w="2609" w:type="dxa"/>
            <w:tcBorders>
              <w:top w:val="single" w:sz="2" w:space="0" w:color="auto"/>
              <w:left w:val="single" w:sz="2" w:space="0" w:color="auto"/>
              <w:bottom w:val="single" w:sz="2" w:space="0" w:color="auto"/>
              <w:right w:val="single" w:sz="2" w:space="0" w:color="auto"/>
            </w:tcBorders>
            <w:hideMark/>
          </w:tcPr>
          <w:p w14:paraId="7E5A9947" w14:textId="77777777" w:rsidR="001042DA" w:rsidRDefault="001042DA" w:rsidP="00AF2AEA">
            <w:pPr>
              <w:spacing w:before="120"/>
              <w:rPr>
                <w:lang w:eastAsia="en-US"/>
              </w:rPr>
            </w:pPr>
            <w:r w:rsidRPr="006B1A5A">
              <w:rPr>
                <w:lang w:eastAsia="en-US"/>
              </w:rPr>
              <w:t>Precautionary statements</w:t>
            </w:r>
          </w:p>
          <w:p w14:paraId="34F2964C" w14:textId="77777777" w:rsidR="00A77FAB" w:rsidRPr="00A77FAB" w:rsidRDefault="00A77FAB" w:rsidP="00A77FAB">
            <w:pPr>
              <w:rPr>
                <w:lang w:eastAsia="en-US"/>
              </w:rPr>
            </w:pPr>
          </w:p>
          <w:p w14:paraId="1FFF4A29" w14:textId="77777777" w:rsidR="00A77FAB" w:rsidRPr="00A77FAB" w:rsidRDefault="00A77FAB" w:rsidP="00A77FAB">
            <w:pPr>
              <w:rPr>
                <w:lang w:eastAsia="en-US"/>
              </w:rPr>
            </w:pPr>
          </w:p>
          <w:p w14:paraId="0E3E875B" w14:textId="77777777" w:rsidR="00A77FAB" w:rsidRPr="00A77FAB" w:rsidRDefault="00A77FAB" w:rsidP="00A77FAB">
            <w:pPr>
              <w:rPr>
                <w:lang w:eastAsia="en-US"/>
              </w:rPr>
            </w:pPr>
          </w:p>
          <w:p w14:paraId="70503E62" w14:textId="77777777" w:rsidR="00A77FAB" w:rsidRDefault="00A77FAB" w:rsidP="00A77FAB">
            <w:pPr>
              <w:rPr>
                <w:lang w:eastAsia="en-US"/>
              </w:rPr>
            </w:pPr>
          </w:p>
          <w:p w14:paraId="698DA55E" w14:textId="0FDB6F79" w:rsidR="00A77FAB" w:rsidRPr="00A77FAB" w:rsidRDefault="00A77FAB" w:rsidP="00A77FAB">
            <w:pPr>
              <w:rPr>
                <w:highlight w:val="yellow"/>
                <w:lang w:eastAsia="en-US"/>
              </w:rPr>
            </w:pPr>
          </w:p>
        </w:tc>
        <w:tc>
          <w:tcPr>
            <w:tcW w:w="6409" w:type="dxa"/>
            <w:gridSpan w:val="2"/>
            <w:tcBorders>
              <w:top w:val="single" w:sz="2" w:space="0" w:color="auto"/>
              <w:left w:val="single" w:sz="2" w:space="0" w:color="auto"/>
              <w:bottom w:val="single" w:sz="2" w:space="0" w:color="auto"/>
              <w:right w:val="single" w:sz="2" w:space="0" w:color="auto"/>
            </w:tcBorders>
          </w:tcPr>
          <w:p w14:paraId="7A0DED46" w14:textId="77777777" w:rsidR="001042DA" w:rsidRPr="006B1A5A" w:rsidRDefault="001042DA" w:rsidP="00AF2AEA">
            <w:pPr>
              <w:autoSpaceDE w:val="0"/>
              <w:autoSpaceDN w:val="0"/>
              <w:adjustRightInd w:val="0"/>
              <w:spacing w:before="120"/>
              <w:rPr>
                <w:rFonts w:cs="ArialMT"/>
                <w:lang w:eastAsia="en-US"/>
              </w:rPr>
            </w:pPr>
            <w:r w:rsidRPr="006B1A5A">
              <w:rPr>
                <w:rFonts w:cs="ArialMT"/>
                <w:lang w:eastAsia="en-US"/>
              </w:rPr>
              <w:t>P273 - Avoid release to the environment.</w:t>
            </w:r>
          </w:p>
          <w:p w14:paraId="03548660" w14:textId="0C5872DF" w:rsidR="001042DA" w:rsidRPr="006B1A5A" w:rsidRDefault="001042DA" w:rsidP="00AF2AEA">
            <w:pPr>
              <w:autoSpaceDE w:val="0"/>
              <w:autoSpaceDN w:val="0"/>
              <w:adjustRightInd w:val="0"/>
              <w:spacing w:before="120"/>
              <w:rPr>
                <w:rFonts w:cs="ArialMT"/>
                <w:lang w:eastAsia="en-US"/>
              </w:rPr>
            </w:pPr>
            <w:bookmarkStart w:id="71" w:name="_Hlk19030834"/>
            <w:r w:rsidRPr="006B1A5A">
              <w:rPr>
                <w:rFonts w:cs="ArialMT"/>
                <w:lang w:eastAsia="en-US"/>
              </w:rPr>
              <w:t xml:space="preserve">P280 - Wear eye </w:t>
            </w:r>
            <w:r w:rsidR="000C6C7E">
              <w:rPr>
                <w:rFonts w:cs="ArialMT"/>
                <w:lang w:eastAsia="en-US"/>
              </w:rPr>
              <w:t xml:space="preserve">or face </w:t>
            </w:r>
            <w:r w:rsidRPr="006B1A5A">
              <w:rPr>
                <w:rFonts w:cs="ArialMT"/>
                <w:lang w:eastAsia="en-US"/>
              </w:rPr>
              <w:t>protection</w:t>
            </w:r>
            <w:r w:rsidR="008F46F5">
              <w:rPr>
                <w:rFonts w:cs="ArialMT"/>
                <w:lang w:eastAsia="en-US"/>
              </w:rPr>
              <w:t>.</w:t>
            </w:r>
          </w:p>
          <w:bookmarkEnd w:id="71"/>
          <w:p w14:paraId="5CB3D2BC" w14:textId="5FBC9F24" w:rsidR="001042DA" w:rsidRPr="006B1A5A" w:rsidRDefault="001042DA" w:rsidP="00AF2AEA">
            <w:pPr>
              <w:autoSpaceDE w:val="0"/>
              <w:autoSpaceDN w:val="0"/>
              <w:adjustRightInd w:val="0"/>
              <w:spacing w:before="120"/>
              <w:rPr>
                <w:rFonts w:cs="ArialMT"/>
                <w:lang w:eastAsia="en-US"/>
              </w:rPr>
            </w:pPr>
            <w:r w:rsidRPr="006B1A5A">
              <w:rPr>
                <w:rFonts w:cs="ArialMT"/>
                <w:lang w:eastAsia="en-US"/>
              </w:rPr>
              <w:t xml:space="preserve">P305+P351+P338 </w:t>
            </w:r>
            <w:r w:rsidR="000C6C7E">
              <w:rPr>
                <w:rFonts w:cs="ArialMT"/>
                <w:lang w:eastAsia="en-US"/>
              </w:rPr>
              <w:t>–</w:t>
            </w:r>
            <w:r w:rsidRPr="006B1A5A">
              <w:rPr>
                <w:rFonts w:cs="ArialMT"/>
                <w:lang w:eastAsia="en-US"/>
              </w:rPr>
              <w:t xml:space="preserve"> </w:t>
            </w:r>
            <w:r w:rsidR="000C6C7E">
              <w:rPr>
                <w:rFonts w:cs="ArialMT"/>
                <w:lang w:eastAsia="en-US"/>
              </w:rPr>
              <w:t>IF IN EYES</w:t>
            </w:r>
            <w:r w:rsidRPr="006B1A5A">
              <w:rPr>
                <w:rFonts w:cs="ArialMT"/>
                <w:lang w:eastAsia="en-US"/>
              </w:rPr>
              <w:t>: Rinse cautiously with water for several minutes. Remove contact lenses, if present and easy to do. Continue rinsing</w:t>
            </w:r>
          </w:p>
          <w:p w14:paraId="79A86989" w14:textId="77777777" w:rsidR="001042DA" w:rsidRPr="006B1A5A" w:rsidRDefault="001042DA" w:rsidP="00AF2AEA">
            <w:pPr>
              <w:autoSpaceDE w:val="0"/>
              <w:autoSpaceDN w:val="0"/>
              <w:adjustRightInd w:val="0"/>
              <w:spacing w:before="120"/>
              <w:rPr>
                <w:rFonts w:cs="Arial"/>
                <w:szCs w:val="22"/>
              </w:rPr>
            </w:pPr>
            <w:r w:rsidRPr="006B1A5A">
              <w:rPr>
                <w:rFonts w:cs="Arial"/>
                <w:szCs w:val="22"/>
              </w:rPr>
              <w:t xml:space="preserve">P310– Immediately call a POISON CENTER/doctor if you feel unwell </w:t>
            </w:r>
          </w:p>
          <w:p w14:paraId="4CE5AB8C" w14:textId="77777777" w:rsidR="001042DA" w:rsidRPr="006B1A5A" w:rsidRDefault="001042DA" w:rsidP="00AF2AEA">
            <w:pPr>
              <w:autoSpaceDE w:val="0"/>
              <w:autoSpaceDN w:val="0"/>
              <w:adjustRightInd w:val="0"/>
              <w:spacing w:before="120"/>
              <w:rPr>
                <w:rFonts w:cs="ArialMT"/>
                <w:lang w:eastAsia="en-US"/>
              </w:rPr>
            </w:pPr>
            <w:r w:rsidRPr="006B1A5A">
              <w:rPr>
                <w:rFonts w:cs="ArialMT"/>
                <w:lang w:eastAsia="en-US"/>
              </w:rPr>
              <w:t>P391 - Collect spillage.</w:t>
            </w:r>
          </w:p>
          <w:p w14:paraId="21F30097" w14:textId="77777777" w:rsidR="001042DA" w:rsidRPr="006B1A5A" w:rsidRDefault="001042DA" w:rsidP="00AF2AEA">
            <w:pPr>
              <w:autoSpaceDE w:val="0"/>
              <w:autoSpaceDN w:val="0"/>
              <w:adjustRightInd w:val="0"/>
              <w:spacing w:before="120"/>
              <w:rPr>
                <w:highlight w:val="yellow"/>
                <w:lang w:eastAsia="fi-FI"/>
              </w:rPr>
            </w:pPr>
            <w:r w:rsidRPr="006B1A5A">
              <w:rPr>
                <w:rFonts w:cs="ArialMT"/>
                <w:lang w:eastAsia="en-US"/>
              </w:rPr>
              <w:t>P501 - Dispose of contents/container to hazardous or special waste collection point, in accordance with local, regional, national and/or international regulation.</w:t>
            </w:r>
          </w:p>
        </w:tc>
      </w:tr>
      <w:tr w:rsidR="001042DA" w:rsidRPr="006B1A5A" w14:paraId="23AB134F" w14:textId="77777777" w:rsidTr="00AF2AEA">
        <w:trPr>
          <w:cantSplit/>
          <w:tblHeader/>
          <w:jc w:val="center"/>
        </w:trPr>
        <w:tc>
          <w:tcPr>
            <w:tcW w:w="2609" w:type="dxa"/>
            <w:tcBorders>
              <w:top w:val="single" w:sz="2" w:space="0" w:color="auto"/>
              <w:left w:val="single" w:sz="2" w:space="0" w:color="auto"/>
              <w:bottom w:val="single" w:sz="2" w:space="0" w:color="auto"/>
              <w:right w:val="single" w:sz="2" w:space="0" w:color="auto"/>
            </w:tcBorders>
            <w:hideMark/>
          </w:tcPr>
          <w:p w14:paraId="445D309C" w14:textId="77777777" w:rsidR="001042DA" w:rsidRPr="006B1A5A" w:rsidRDefault="001042DA" w:rsidP="00AF2AEA">
            <w:pPr>
              <w:spacing w:before="120"/>
              <w:rPr>
                <w:lang w:eastAsia="fi-FI"/>
              </w:rPr>
            </w:pPr>
            <w:r w:rsidRPr="006B1A5A">
              <w:rPr>
                <w:lang w:eastAsia="en-US"/>
              </w:rPr>
              <w:t>Note</w:t>
            </w:r>
          </w:p>
        </w:tc>
        <w:tc>
          <w:tcPr>
            <w:tcW w:w="6409" w:type="dxa"/>
            <w:gridSpan w:val="2"/>
            <w:tcBorders>
              <w:top w:val="single" w:sz="2" w:space="0" w:color="auto"/>
              <w:left w:val="single" w:sz="2" w:space="0" w:color="auto"/>
              <w:bottom w:val="single" w:sz="2" w:space="0" w:color="auto"/>
              <w:right w:val="single" w:sz="2" w:space="0" w:color="auto"/>
            </w:tcBorders>
            <w:shd w:val="clear" w:color="auto" w:fill="auto"/>
          </w:tcPr>
          <w:p w14:paraId="461EB8F9" w14:textId="77777777" w:rsidR="001042DA" w:rsidRPr="006B1A5A" w:rsidRDefault="001042DA" w:rsidP="00AF2AEA">
            <w:pPr>
              <w:spacing w:before="120"/>
              <w:rPr>
                <w:lang w:eastAsia="fi-FI"/>
              </w:rPr>
            </w:pPr>
            <w:r w:rsidRPr="006B1A5A">
              <w:rPr>
                <w:lang w:eastAsia="fi-FI"/>
              </w:rPr>
              <w:t>This mixture does not contain substances which meet the PBT or vPvB criteria of REACH regulation, annex XIII</w:t>
            </w:r>
          </w:p>
        </w:tc>
      </w:tr>
    </w:tbl>
    <w:p w14:paraId="751071EC" w14:textId="77777777" w:rsidR="001042DA" w:rsidRPr="006B1A5A" w:rsidRDefault="001042DA" w:rsidP="001042DA"/>
    <w:p w14:paraId="12EF5BBB" w14:textId="4B3ECEE6" w:rsidR="001042DA" w:rsidRPr="006B1A5A" w:rsidRDefault="001042DA" w:rsidP="00242DE5">
      <w:pPr>
        <w:pStyle w:val="Overskrift3"/>
        <w:rPr>
          <w:lang w:val="en-GB"/>
        </w:rPr>
      </w:pPr>
      <w:bookmarkStart w:id="72" w:name="_Toc425344076"/>
      <w:bookmarkStart w:id="73" w:name="_Toc66448799"/>
      <w:r w:rsidRPr="00242DE5">
        <w:lastRenderedPageBreak/>
        <w:t>Authorised</w:t>
      </w:r>
      <w:r w:rsidRPr="006B1A5A">
        <w:rPr>
          <w:lang w:val="en-GB"/>
        </w:rPr>
        <w:t xml:space="preserve"> use(s)</w:t>
      </w:r>
      <w:bookmarkEnd w:id="63"/>
      <w:bookmarkEnd w:id="72"/>
      <w:bookmarkEnd w:id="73"/>
    </w:p>
    <w:p w14:paraId="039EC51E" w14:textId="77777777" w:rsidR="001042DA" w:rsidRPr="006B1A5A" w:rsidRDefault="001042DA" w:rsidP="00916E44">
      <w:pPr>
        <w:pStyle w:val="Overskrift4"/>
      </w:pPr>
      <w:bookmarkStart w:id="74" w:name="_Toc425344077"/>
      <w:bookmarkStart w:id="75" w:name="_Toc66448800"/>
      <w:r w:rsidRPr="006B1A5A">
        <w:t xml:space="preserve">Use </w:t>
      </w:r>
      <w:r w:rsidRPr="00916E44">
        <w:t>description</w:t>
      </w:r>
      <w:bookmarkEnd w:id="74"/>
      <w:bookmarkEnd w:id="75"/>
    </w:p>
    <w:bookmarkEnd w:id="64"/>
    <w:p w14:paraId="47095579" w14:textId="77777777" w:rsidR="001F727C" w:rsidRDefault="001F727C" w:rsidP="001042DA">
      <w:pPr>
        <w:pStyle w:val="Bildetekst"/>
        <w:keepNext/>
        <w:spacing w:after="120"/>
        <w:rPr>
          <w:rFonts w:ascii="Verdana" w:hAnsi="Verdana"/>
        </w:rPr>
      </w:pPr>
    </w:p>
    <w:p w14:paraId="22564035" w14:textId="77777777" w:rsidR="001F727C" w:rsidRDefault="001F727C" w:rsidP="001042DA">
      <w:pPr>
        <w:pStyle w:val="Bildetekst"/>
        <w:keepNext/>
        <w:spacing w:after="120"/>
        <w:rPr>
          <w:rFonts w:ascii="Verdana" w:hAnsi="Verdana"/>
        </w:rPr>
      </w:pPr>
    </w:p>
    <w:p w14:paraId="7CFCBB81" w14:textId="7E0165AA" w:rsidR="001042DA" w:rsidRPr="006B1A5A" w:rsidRDefault="001042DA" w:rsidP="001042DA">
      <w:pPr>
        <w:pStyle w:val="Bildetekst"/>
        <w:keepNext/>
        <w:spacing w:after="120"/>
        <w:rPr>
          <w:rFonts w:ascii="Verdana" w:hAnsi="Verdana"/>
        </w:rPr>
      </w:pPr>
      <w:r w:rsidRPr="006B1A5A">
        <w:rPr>
          <w:rFonts w:ascii="Verdana" w:hAnsi="Verdana"/>
        </w:rPr>
        <w:t xml:space="preserve">Table </w:t>
      </w:r>
      <w:r w:rsidRPr="006B1A5A">
        <w:rPr>
          <w:rFonts w:ascii="Verdana" w:hAnsi="Verdana"/>
        </w:rPr>
        <w:fldChar w:fldCharType="begin"/>
      </w:r>
      <w:r w:rsidRPr="006B1A5A">
        <w:rPr>
          <w:rFonts w:ascii="Verdana" w:hAnsi="Verdana"/>
        </w:rPr>
        <w:instrText xml:space="preserve"> SEQ Table \* ARABIC </w:instrText>
      </w:r>
      <w:r w:rsidRPr="006B1A5A">
        <w:rPr>
          <w:rFonts w:ascii="Verdana" w:hAnsi="Verdana"/>
        </w:rPr>
        <w:fldChar w:fldCharType="separate"/>
      </w:r>
      <w:r w:rsidR="00FF5B6D">
        <w:rPr>
          <w:rFonts w:ascii="Verdana" w:hAnsi="Verdana"/>
          <w:noProof/>
        </w:rPr>
        <w:t>1</w:t>
      </w:r>
      <w:r w:rsidRPr="006B1A5A">
        <w:rPr>
          <w:rFonts w:ascii="Verdana" w:hAnsi="Verdana"/>
        </w:rPr>
        <w:fldChar w:fldCharType="end"/>
      </w:r>
      <w:r w:rsidRPr="006B1A5A">
        <w:rPr>
          <w:rFonts w:ascii="Verdana" w:hAnsi="Verdana"/>
        </w:rPr>
        <w:t xml:space="preserve">. Use </w:t>
      </w:r>
      <w:r w:rsidR="001F727C">
        <w:rPr>
          <w:rFonts w:ascii="Verdana" w:hAnsi="Verdana"/>
        </w:rPr>
        <w:t>PT 21</w:t>
      </w:r>
      <w:r w:rsidRPr="006B1A5A">
        <w:rPr>
          <w:rFonts w:ascii="Verdana" w:hAnsi="Verdana"/>
        </w:rPr>
        <w:t xml:space="preserve"> – Antifouling</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1042DA" w:rsidRPr="006B1A5A" w14:paraId="6D96070E" w14:textId="77777777" w:rsidTr="00AF2AEA">
        <w:trPr>
          <w:cantSplit/>
        </w:trPr>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B23921" w14:textId="77777777" w:rsidR="001042DA" w:rsidRPr="006B1A5A" w:rsidRDefault="001042DA" w:rsidP="00AF2AEA">
            <w:pPr>
              <w:keepNext/>
              <w:rPr>
                <w:b/>
              </w:rPr>
            </w:pPr>
            <w:r w:rsidRPr="006B1A5A">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E4664CD" w14:textId="77777777" w:rsidR="001042DA" w:rsidRPr="006B1A5A" w:rsidRDefault="001042DA" w:rsidP="00AF2AEA">
            <w:pPr>
              <w:keepNext/>
            </w:pPr>
            <w:r w:rsidRPr="006B1A5A">
              <w:t>21</w:t>
            </w:r>
          </w:p>
        </w:tc>
      </w:tr>
      <w:tr w:rsidR="001042DA" w:rsidRPr="006B1A5A" w14:paraId="4B4103A4" w14:textId="77777777" w:rsidTr="00AF2AEA">
        <w:trPr>
          <w:cantSplit/>
        </w:trPr>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F998438" w14:textId="77777777" w:rsidR="001042DA" w:rsidRPr="006B1A5A" w:rsidRDefault="001042DA" w:rsidP="00AF2AEA">
            <w:pPr>
              <w:keepNext/>
              <w:rPr>
                <w:b/>
              </w:rPr>
            </w:pPr>
            <w:r w:rsidRPr="006B1A5A">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F7233FB" w14:textId="77777777" w:rsidR="001042DA" w:rsidRPr="006B1A5A" w:rsidRDefault="001042DA" w:rsidP="00AF2AEA">
            <w:pPr>
              <w:keepNext/>
            </w:pPr>
            <w:r w:rsidRPr="006B1A5A">
              <w:t>The AquaNet 360 products are intended to be used for the protection of nets used in aquaculture against fouling.</w:t>
            </w:r>
          </w:p>
        </w:tc>
      </w:tr>
      <w:tr w:rsidR="001042DA" w:rsidRPr="006B1A5A" w14:paraId="23C3027E" w14:textId="77777777" w:rsidTr="00AF2AEA">
        <w:trPr>
          <w:cantSplit/>
        </w:trPr>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8359428" w14:textId="77777777" w:rsidR="001042DA" w:rsidRPr="006B1A5A" w:rsidRDefault="001042DA" w:rsidP="00AF2AEA">
            <w:pPr>
              <w:keepNext/>
              <w:rPr>
                <w:b/>
              </w:rPr>
            </w:pPr>
            <w:r w:rsidRPr="006B1A5A">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A817362" w14:textId="77777777" w:rsidR="001042DA" w:rsidRPr="006B1A5A" w:rsidRDefault="001042DA" w:rsidP="00AF2AEA">
            <w:pPr>
              <w:keepNext/>
              <w:spacing w:before="200"/>
            </w:pPr>
            <w:r w:rsidRPr="006B1A5A">
              <w:t>There are over 4000 fouling species from a variety of phyla</w:t>
            </w:r>
          </w:p>
          <w:p w14:paraId="333460ED" w14:textId="77777777" w:rsidR="001042DA" w:rsidRPr="006B1A5A" w:rsidRDefault="001042DA" w:rsidP="006E51D1">
            <w:pPr>
              <w:pStyle w:val="Listeavsnitt"/>
              <w:keepNext/>
              <w:numPr>
                <w:ilvl w:val="0"/>
                <w:numId w:val="6"/>
              </w:numPr>
              <w:spacing w:before="200"/>
            </w:pPr>
            <w:r w:rsidRPr="006B1A5A">
              <w:t xml:space="preserve">Slime, </w:t>
            </w:r>
            <w:r w:rsidRPr="006B1A5A">
              <w:rPr>
                <w:i/>
              </w:rPr>
              <w:t>e.g.</w:t>
            </w:r>
            <w:r w:rsidRPr="006B1A5A">
              <w:t xml:space="preserve"> bacteria and diatoms species</w:t>
            </w:r>
          </w:p>
          <w:p w14:paraId="7B773445" w14:textId="77777777" w:rsidR="001042DA" w:rsidRPr="006B1A5A" w:rsidRDefault="001042DA" w:rsidP="006E51D1">
            <w:pPr>
              <w:pStyle w:val="Listeavsnitt"/>
              <w:keepNext/>
              <w:numPr>
                <w:ilvl w:val="0"/>
                <w:numId w:val="6"/>
              </w:numPr>
              <w:spacing w:before="200"/>
            </w:pPr>
            <w:r w:rsidRPr="006B1A5A">
              <w:t>Green, red and brown algae spores</w:t>
            </w:r>
          </w:p>
          <w:p w14:paraId="271D228B" w14:textId="77777777" w:rsidR="001042DA" w:rsidRPr="006B1A5A" w:rsidRDefault="001042DA" w:rsidP="006E51D1">
            <w:pPr>
              <w:pStyle w:val="Listeavsnitt"/>
              <w:keepNext/>
              <w:numPr>
                <w:ilvl w:val="0"/>
                <w:numId w:val="6"/>
              </w:numPr>
              <w:spacing w:before="200"/>
            </w:pPr>
            <w:r w:rsidRPr="006B1A5A">
              <w:t xml:space="preserve">Animals, </w:t>
            </w:r>
            <w:r w:rsidRPr="006B1A5A">
              <w:rPr>
                <w:i/>
              </w:rPr>
              <w:t>e.g.</w:t>
            </w:r>
            <w:r w:rsidRPr="006B1A5A">
              <w:t xml:space="preserve"> barnacles,</w:t>
            </w:r>
            <w:r w:rsidRPr="006B1A5A">
              <w:rPr>
                <w:i/>
              </w:rPr>
              <w:t xml:space="preserve"> </w:t>
            </w:r>
            <w:r w:rsidRPr="006B1A5A">
              <w:t>mussels and hydrozoans species</w:t>
            </w:r>
          </w:p>
        </w:tc>
      </w:tr>
      <w:tr w:rsidR="001042DA" w:rsidRPr="006B1A5A" w14:paraId="0BA71821" w14:textId="77777777" w:rsidTr="00AF2AEA">
        <w:trPr>
          <w:cantSplit/>
        </w:trPr>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B436701" w14:textId="77777777" w:rsidR="001042DA" w:rsidRPr="006B1A5A" w:rsidRDefault="001042DA" w:rsidP="00AF2AEA">
            <w:pPr>
              <w:keepNext/>
              <w:rPr>
                <w:b/>
              </w:rPr>
            </w:pPr>
            <w:r w:rsidRPr="006B1A5A">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3D352ED" w14:textId="77777777" w:rsidR="001042DA" w:rsidRPr="006B1A5A" w:rsidRDefault="001042DA" w:rsidP="00AF2AEA">
            <w:pPr>
              <w:keepNext/>
            </w:pPr>
            <w:r w:rsidRPr="006B1A5A">
              <w:t>PT 21 – Antifouling products</w:t>
            </w:r>
          </w:p>
          <w:p w14:paraId="4D212577" w14:textId="77777777" w:rsidR="001042DA" w:rsidRPr="006B1A5A" w:rsidRDefault="001042DA" w:rsidP="00AF2AEA">
            <w:pPr>
              <w:keepNext/>
            </w:pPr>
            <w:r w:rsidRPr="006B1A5A">
              <w:t>The AquaNet 360 products are used in the control of fouling organisms in marine environment.</w:t>
            </w:r>
          </w:p>
        </w:tc>
      </w:tr>
      <w:tr w:rsidR="001042DA" w:rsidRPr="006B1A5A" w14:paraId="5E538E6E" w14:textId="77777777" w:rsidTr="00AF2AEA">
        <w:trPr>
          <w:cantSplit/>
        </w:trPr>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45571EC" w14:textId="2F0054A3" w:rsidR="001042DA" w:rsidRPr="006B1A5A" w:rsidRDefault="001042DA" w:rsidP="00AF2AEA">
            <w:pPr>
              <w:keepNext/>
              <w:rPr>
                <w:b/>
              </w:rPr>
            </w:pPr>
            <w:r w:rsidRPr="006B1A5A">
              <w:rPr>
                <w:b/>
                <w:bCs/>
                <w:szCs w:val="24"/>
                <w:lang w:eastAsia="en-GB"/>
              </w:rPr>
              <w:t>Application method</w:t>
            </w:r>
            <w:r w:rsidR="001E2BD2">
              <w:rPr>
                <w:b/>
                <w:bCs/>
                <w:szCs w:val="24"/>
                <w:lang w:eastAsia="en-GB"/>
              </w:rPr>
              <w:t>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143ACD9" w14:textId="77777777" w:rsidR="0008498F" w:rsidRDefault="001042DA" w:rsidP="00AF2AEA">
            <w:pPr>
              <w:keepNext/>
            </w:pPr>
            <w:r w:rsidRPr="006B1A5A">
              <w:t xml:space="preserve">The AquaNet 360 products are marketed in 1000 litre IBC HDPE containers as liquid formulations. </w:t>
            </w:r>
          </w:p>
          <w:p w14:paraId="7D002C98" w14:textId="3C242246" w:rsidR="001042DA" w:rsidRPr="006B1A5A" w:rsidRDefault="001042DA" w:rsidP="00AF2AEA">
            <w:pPr>
              <w:keepNext/>
            </w:pPr>
            <w:r w:rsidRPr="006B1A5A">
              <w:t xml:space="preserve">AquaNet RFU 360 is a ready to use product, while AquaNet LG 360 and AquaNet HG 360 are concentrates which should be diluted 1:1 with water before use. </w:t>
            </w:r>
          </w:p>
          <w:p w14:paraId="0ABBB676" w14:textId="77777777" w:rsidR="001042DA" w:rsidRPr="006B1A5A" w:rsidRDefault="001042DA" w:rsidP="00AF2AEA">
            <w:pPr>
              <w:keepNext/>
            </w:pPr>
            <w:r w:rsidRPr="006B1A5A">
              <w:t>The products are intended to be applied by dipping or by vacuum treatment.</w:t>
            </w:r>
          </w:p>
        </w:tc>
      </w:tr>
      <w:tr w:rsidR="001042DA" w:rsidRPr="006B1A5A" w14:paraId="6CEEFA17" w14:textId="77777777" w:rsidTr="00AF2AEA">
        <w:trPr>
          <w:cantSplit/>
        </w:trPr>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68BE954" w14:textId="6F3CC9DE" w:rsidR="001042DA" w:rsidRPr="006B1A5A" w:rsidRDefault="001042DA" w:rsidP="00AF2AEA">
            <w:pPr>
              <w:keepNext/>
              <w:rPr>
                <w:b/>
              </w:rPr>
            </w:pPr>
            <w:r w:rsidRPr="006B1A5A">
              <w:rPr>
                <w:b/>
                <w:bCs/>
                <w:szCs w:val="24"/>
                <w:lang w:eastAsia="en-GB"/>
              </w:rPr>
              <w:t>Application rate</w:t>
            </w:r>
            <w:r w:rsidR="009B4DE6">
              <w:rPr>
                <w:b/>
                <w:bCs/>
                <w:szCs w:val="24"/>
                <w:lang w:eastAsia="en-GB"/>
              </w:rPr>
              <w:t xml:space="preserve"> </w:t>
            </w:r>
            <w:r w:rsidRPr="006B1A5A">
              <w:rPr>
                <w:b/>
                <w:bCs/>
                <w:szCs w:val="24"/>
                <w:lang w:eastAsia="en-GB"/>
              </w:rPr>
              <w:t>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0830D6B" w14:textId="77777777" w:rsidR="001042DA" w:rsidRPr="006B1A5A" w:rsidRDefault="001042DA" w:rsidP="00AF2AEA">
            <w:pPr>
              <w:keepNext/>
            </w:pPr>
            <w:r w:rsidRPr="006B1A5A">
              <w:t>Application rates:</w:t>
            </w:r>
          </w:p>
          <w:p w14:paraId="3EA66370" w14:textId="77777777" w:rsidR="001042DA" w:rsidRPr="006B1A5A" w:rsidRDefault="001042DA" w:rsidP="00AF2AEA">
            <w:pPr>
              <w:keepNext/>
            </w:pPr>
            <w:r w:rsidRPr="006B1A5A">
              <w:t>AquaNet RFU 360: 1 – 1.2 litre/kg net</w:t>
            </w:r>
          </w:p>
          <w:p w14:paraId="1041A7EB" w14:textId="64091DE2" w:rsidR="001042DA" w:rsidRPr="006B1A5A" w:rsidRDefault="001042DA" w:rsidP="00AF2AEA">
            <w:pPr>
              <w:keepNext/>
            </w:pPr>
            <w:r w:rsidRPr="006B1A5A">
              <w:t>AquaNet LG 360 and AquaNet HG 360: 1 – 1.1 litre (in-use concentration)/kg net.</w:t>
            </w:r>
          </w:p>
          <w:p w14:paraId="4CCC5E16" w14:textId="57425CEA" w:rsidR="008E2321" w:rsidRDefault="008E2321" w:rsidP="00AF2AEA">
            <w:pPr>
              <w:keepNext/>
            </w:pPr>
          </w:p>
          <w:p w14:paraId="27F35E91" w14:textId="39A963C0" w:rsidR="008E2321" w:rsidRPr="006B1A5A" w:rsidRDefault="008E2321" w:rsidP="00AF2AEA">
            <w:pPr>
              <w:keepNext/>
            </w:pPr>
            <w:r>
              <w:t>1 treatment per net.</w:t>
            </w:r>
          </w:p>
          <w:p w14:paraId="41D39459" w14:textId="77777777" w:rsidR="001042DA" w:rsidRPr="006B1A5A" w:rsidRDefault="001042DA" w:rsidP="00AF2AEA">
            <w:pPr>
              <w:keepNext/>
            </w:pPr>
          </w:p>
        </w:tc>
      </w:tr>
      <w:tr w:rsidR="001042DA" w:rsidRPr="006B1A5A" w14:paraId="7A6E0058" w14:textId="77777777" w:rsidTr="00AF2AEA">
        <w:trPr>
          <w:cantSplit/>
        </w:trPr>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6FD2371" w14:textId="0A192FDB" w:rsidR="001042DA" w:rsidRPr="006B1A5A" w:rsidRDefault="001042DA" w:rsidP="00AF2AEA">
            <w:pPr>
              <w:keepNext/>
              <w:rPr>
                <w:b/>
              </w:rPr>
            </w:pPr>
            <w:r w:rsidRPr="006B1A5A">
              <w:rPr>
                <w:b/>
                <w:bCs/>
                <w:szCs w:val="24"/>
                <w:lang w:eastAsia="en-GB"/>
              </w:rPr>
              <w:t>Category</w:t>
            </w:r>
            <w:r w:rsidR="009B4DE6">
              <w:rPr>
                <w:b/>
                <w:bCs/>
                <w:szCs w:val="24"/>
                <w:lang w:eastAsia="en-GB"/>
              </w:rPr>
              <w:t xml:space="preserve"> </w:t>
            </w:r>
            <w:r w:rsidRPr="006B1A5A">
              <w:rPr>
                <w:b/>
                <w:bCs/>
                <w:szCs w:val="24"/>
                <w:lang w:eastAsia="en-GB"/>
              </w:rPr>
              <w:t>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8456CDB" w14:textId="77777777" w:rsidR="001042DA" w:rsidRPr="006B1A5A" w:rsidRDefault="001042DA" w:rsidP="00AF2AEA">
            <w:pPr>
              <w:keepNext/>
            </w:pPr>
            <w:r w:rsidRPr="006B1A5A">
              <w:t>Industrial use</w:t>
            </w:r>
          </w:p>
        </w:tc>
      </w:tr>
      <w:tr w:rsidR="001042DA" w:rsidRPr="006B1A5A" w14:paraId="6273A3FC" w14:textId="77777777" w:rsidTr="00AF2AEA">
        <w:trPr>
          <w:cantSplit/>
        </w:trPr>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9103AA9" w14:textId="77777777" w:rsidR="001042DA" w:rsidRPr="006B1A5A" w:rsidRDefault="001042DA" w:rsidP="00AF2AEA">
            <w:pPr>
              <w:keepNext/>
              <w:rPr>
                <w:b/>
              </w:rPr>
            </w:pPr>
            <w:r w:rsidRPr="006B1A5A">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EA747A0" w14:textId="77777777" w:rsidR="001042DA" w:rsidRPr="006B1A5A" w:rsidRDefault="001042DA" w:rsidP="00AF2AEA">
            <w:pPr>
              <w:keepNext/>
            </w:pPr>
            <w:r w:rsidRPr="006B1A5A">
              <w:rPr>
                <w:rFonts w:eastAsia="Calibri"/>
                <w:lang w:eastAsia="en-US"/>
              </w:rPr>
              <w:t>1000 L IBC HDPE containers</w:t>
            </w:r>
          </w:p>
        </w:tc>
      </w:tr>
    </w:tbl>
    <w:p w14:paraId="0966D2BE" w14:textId="5A7B5561" w:rsidR="001042DA" w:rsidRDefault="001042DA" w:rsidP="00916E44">
      <w:pPr>
        <w:pStyle w:val="Overskrift4"/>
      </w:pPr>
      <w:bookmarkStart w:id="76" w:name="_Toc416859529"/>
      <w:bookmarkStart w:id="77" w:name="_Toc425344078"/>
      <w:bookmarkStart w:id="78" w:name="_Toc66448801"/>
      <w:bookmarkStart w:id="79" w:name="_Toc366658848"/>
      <w:bookmarkStart w:id="80" w:name="d0e1044"/>
      <w:r w:rsidRPr="006B1A5A">
        <w:t>Use-specific instructions for use</w:t>
      </w:r>
      <w:bookmarkEnd w:id="76"/>
      <w:bookmarkEnd w:id="77"/>
      <w:bookmarkEnd w:id="7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42DA" w:rsidRPr="006B1A5A" w14:paraId="74114A37" w14:textId="77777777" w:rsidTr="00AF2AEA">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B14B284" w14:textId="5881D043" w:rsidR="0089392D" w:rsidRPr="006B1A5A" w:rsidRDefault="00A6584E" w:rsidP="00A6584E">
            <w:pPr>
              <w:jc w:val="both"/>
            </w:pPr>
            <w:r>
              <w:rPr>
                <w:lang w:eastAsia="fi-FI"/>
              </w:rPr>
              <w:t>See section 2.1.5.1.</w:t>
            </w:r>
          </w:p>
        </w:tc>
      </w:tr>
    </w:tbl>
    <w:p w14:paraId="56591F22" w14:textId="77777777" w:rsidR="001042DA" w:rsidRPr="006B1A5A" w:rsidRDefault="001042DA" w:rsidP="00916E44">
      <w:pPr>
        <w:pStyle w:val="Overskrift4"/>
      </w:pPr>
      <w:bookmarkStart w:id="81" w:name="_Toc416859530"/>
      <w:bookmarkStart w:id="82" w:name="_Toc425344079"/>
      <w:bookmarkStart w:id="83" w:name="_Toc66448802"/>
      <w:r w:rsidRPr="006B1A5A">
        <w:t>Use-specific risk mitigation measures</w:t>
      </w:r>
      <w:bookmarkEnd w:id="81"/>
      <w:bookmarkEnd w:id="82"/>
      <w:bookmarkEnd w:id="83"/>
      <w:r w:rsidRPr="006B1A5A">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42DA" w:rsidRPr="006B1A5A" w14:paraId="6EE79D7D" w14:textId="77777777" w:rsidTr="00AF2AEA">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297AF18" w14:textId="6D6824D3" w:rsidR="00A6584E" w:rsidRDefault="00A6584E" w:rsidP="00A6584E">
            <w:pPr>
              <w:autoSpaceDE w:val="0"/>
              <w:autoSpaceDN w:val="0"/>
              <w:adjustRightInd w:val="0"/>
              <w:rPr>
                <w:rFonts w:cs="ArialMT"/>
                <w:lang w:eastAsia="en-US"/>
              </w:rPr>
            </w:pPr>
            <w:r>
              <w:rPr>
                <w:rFonts w:cs="ArialMT"/>
                <w:lang w:eastAsia="en-US"/>
              </w:rPr>
              <w:t>Meta-specific PPE to be worn:</w:t>
            </w:r>
          </w:p>
          <w:p w14:paraId="5F341DCD" w14:textId="5A684D50" w:rsidR="00A6584E" w:rsidRPr="006B1A5A" w:rsidRDefault="00A6584E" w:rsidP="00A6584E">
            <w:pPr>
              <w:autoSpaceDE w:val="0"/>
              <w:autoSpaceDN w:val="0"/>
              <w:adjustRightInd w:val="0"/>
              <w:rPr>
                <w:rFonts w:cs="ArialMT"/>
                <w:lang w:eastAsia="en-US"/>
              </w:rPr>
            </w:pPr>
          </w:p>
          <w:p w14:paraId="6E6AE999" w14:textId="272A70AC" w:rsidR="0049776D" w:rsidRDefault="0049776D" w:rsidP="00A6584E">
            <w:pPr>
              <w:autoSpaceDE w:val="0"/>
              <w:autoSpaceDN w:val="0"/>
              <w:adjustRightInd w:val="0"/>
              <w:rPr>
                <w:rFonts w:cs="ArialMT"/>
                <w:lang w:eastAsia="en-US"/>
              </w:rPr>
            </w:pPr>
            <w:r>
              <w:rPr>
                <w:rFonts w:cs="ArialMT"/>
                <w:lang w:eastAsia="en-US"/>
              </w:rPr>
              <w:t>Meta 1:</w:t>
            </w:r>
          </w:p>
          <w:p w14:paraId="78628A1B" w14:textId="77777777" w:rsidR="0049776D" w:rsidRDefault="0049776D" w:rsidP="0049776D">
            <w:pPr>
              <w:autoSpaceDE w:val="0"/>
              <w:autoSpaceDN w:val="0"/>
              <w:adjustRightInd w:val="0"/>
              <w:rPr>
                <w:rFonts w:cs="ArialMT"/>
                <w:lang w:eastAsia="en-US"/>
              </w:rPr>
            </w:pPr>
            <w:r w:rsidRPr="006B1A5A">
              <w:rPr>
                <w:rFonts w:cs="ArialMT"/>
                <w:lang w:eastAsia="en-US"/>
              </w:rPr>
              <w:lastRenderedPageBreak/>
              <w:t>Wear suitable gloves; i.e. Nitrile rubber gloves or natural rubber gloves. Layer thickness: &gt; 0.20 mm. Breakthrough time: 480 minutes. The protective gloves to be used must comply with the specifications of EC directive 89/686/EEC and the resultant standard EN 374.</w:t>
            </w:r>
          </w:p>
          <w:p w14:paraId="1393ACDF" w14:textId="77777777" w:rsidR="0049776D" w:rsidRDefault="0049776D" w:rsidP="0049776D">
            <w:pPr>
              <w:jc w:val="both"/>
              <w:rPr>
                <w:rFonts w:cs="ArialMT"/>
                <w:lang w:eastAsia="en-US"/>
              </w:rPr>
            </w:pPr>
          </w:p>
          <w:p w14:paraId="0D0E95E7" w14:textId="74EEDB50" w:rsidR="0049776D" w:rsidRDefault="0049776D" w:rsidP="0049776D">
            <w:pPr>
              <w:jc w:val="both"/>
              <w:rPr>
                <w:rFonts w:cs="ArialMT"/>
                <w:lang w:eastAsia="en-US"/>
              </w:rPr>
            </w:pPr>
            <w:r>
              <w:rPr>
                <w:rFonts w:cs="ArialMT"/>
                <w:lang w:eastAsia="en-US"/>
              </w:rPr>
              <w:t xml:space="preserve">A protective coverall (at least type 6, EN-13034) shall be worn (coverall material to be specified by the authorisation holder within the product information). </w:t>
            </w:r>
          </w:p>
          <w:p w14:paraId="0A608B85" w14:textId="77777777" w:rsidR="008C6B04" w:rsidRDefault="008C6B04" w:rsidP="0049776D">
            <w:pPr>
              <w:jc w:val="both"/>
              <w:rPr>
                <w:rFonts w:cs="ArialMT"/>
                <w:lang w:eastAsia="en-US"/>
              </w:rPr>
            </w:pPr>
          </w:p>
          <w:p w14:paraId="03998042" w14:textId="77777777" w:rsidR="0049776D" w:rsidRDefault="0049776D" w:rsidP="0049776D">
            <w:pPr>
              <w:jc w:val="both"/>
              <w:rPr>
                <w:rFonts w:cs="ArialMT"/>
                <w:lang w:eastAsia="en-US"/>
              </w:rPr>
            </w:pPr>
            <w:r w:rsidRPr="006B1A5A">
              <w:rPr>
                <w:rFonts w:cs="ArialMT"/>
                <w:lang w:eastAsia="en-US"/>
              </w:rPr>
              <w:t>Use eye protection to EN 166, designed to protect against liquid splashes.</w:t>
            </w:r>
          </w:p>
          <w:p w14:paraId="223145C3" w14:textId="574E040F" w:rsidR="0049776D" w:rsidRDefault="0049776D" w:rsidP="00A6584E">
            <w:pPr>
              <w:autoSpaceDE w:val="0"/>
              <w:autoSpaceDN w:val="0"/>
              <w:adjustRightInd w:val="0"/>
              <w:rPr>
                <w:rFonts w:cs="ArialMT"/>
                <w:lang w:eastAsia="en-US"/>
              </w:rPr>
            </w:pPr>
          </w:p>
          <w:p w14:paraId="66FE9275" w14:textId="28987A93" w:rsidR="0049776D" w:rsidRDefault="0049776D" w:rsidP="00A6584E">
            <w:pPr>
              <w:autoSpaceDE w:val="0"/>
              <w:autoSpaceDN w:val="0"/>
              <w:adjustRightInd w:val="0"/>
              <w:rPr>
                <w:rFonts w:cs="ArialMT"/>
                <w:lang w:eastAsia="en-US"/>
              </w:rPr>
            </w:pPr>
          </w:p>
          <w:p w14:paraId="7CA3230E" w14:textId="2E8BF1BC" w:rsidR="0049776D" w:rsidRDefault="0049776D" w:rsidP="00A6584E">
            <w:pPr>
              <w:autoSpaceDE w:val="0"/>
              <w:autoSpaceDN w:val="0"/>
              <w:adjustRightInd w:val="0"/>
              <w:rPr>
                <w:rFonts w:cs="ArialMT"/>
                <w:lang w:eastAsia="en-US"/>
              </w:rPr>
            </w:pPr>
            <w:r>
              <w:rPr>
                <w:rFonts w:cs="ArialMT"/>
                <w:lang w:eastAsia="en-US"/>
              </w:rPr>
              <w:t>Meta 2:</w:t>
            </w:r>
          </w:p>
          <w:p w14:paraId="49C58067" w14:textId="38DBD7B8" w:rsidR="0049776D" w:rsidRDefault="0049776D" w:rsidP="00A6584E">
            <w:pPr>
              <w:autoSpaceDE w:val="0"/>
              <w:autoSpaceDN w:val="0"/>
              <w:adjustRightInd w:val="0"/>
              <w:rPr>
                <w:rFonts w:cs="ArialMT"/>
                <w:lang w:eastAsia="en-US"/>
              </w:rPr>
            </w:pPr>
          </w:p>
          <w:p w14:paraId="7150EE97" w14:textId="77777777" w:rsidR="0049776D" w:rsidRDefault="0049776D" w:rsidP="0049776D">
            <w:pPr>
              <w:autoSpaceDE w:val="0"/>
              <w:autoSpaceDN w:val="0"/>
              <w:adjustRightInd w:val="0"/>
              <w:rPr>
                <w:rFonts w:cs="ArialMT"/>
                <w:lang w:eastAsia="en-US"/>
              </w:rPr>
            </w:pPr>
            <w:r w:rsidRPr="006B1A5A">
              <w:rPr>
                <w:rFonts w:cs="ArialMT"/>
                <w:lang w:eastAsia="en-US"/>
              </w:rPr>
              <w:t>Wear suitable gloves; i.e. Nitrile rubber gloves or natural rubber gloves. Layer thickness: &gt; 0.20 mm. Breakthrough time: 480 minutes. The protective gloves to be used must comply with the specifications of EC directive 89/686/EEC and the resultant standard EN 374.</w:t>
            </w:r>
          </w:p>
          <w:p w14:paraId="48DDFB56" w14:textId="77777777" w:rsidR="0049776D" w:rsidRPr="006B1A5A" w:rsidRDefault="0049776D" w:rsidP="0049776D">
            <w:pPr>
              <w:jc w:val="both"/>
              <w:rPr>
                <w:rFonts w:cs="ArialMT"/>
                <w:lang w:eastAsia="en-US"/>
              </w:rPr>
            </w:pPr>
          </w:p>
          <w:p w14:paraId="23DEE5C3" w14:textId="5078F7AE" w:rsidR="0049776D" w:rsidRDefault="0049776D" w:rsidP="0049776D">
            <w:pPr>
              <w:jc w:val="both"/>
              <w:rPr>
                <w:rFonts w:cs="ArialMT"/>
                <w:lang w:eastAsia="en-US"/>
              </w:rPr>
            </w:pPr>
            <w:r>
              <w:rPr>
                <w:rFonts w:cs="ArialMT"/>
                <w:lang w:eastAsia="en-US"/>
              </w:rPr>
              <w:t xml:space="preserve">A protective coverall (at least type 6, EN-13034) shall be worn (coverall material to be specified by the authorisation holder within the product information). </w:t>
            </w:r>
          </w:p>
          <w:p w14:paraId="3921349E" w14:textId="77777777" w:rsidR="0049776D" w:rsidRDefault="0049776D" w:rsidP="0049776D">
            <w:pPr>
              <w:jc w:val="both"/>
              <w:rPr>
                <w:rFonts w:cs="ArialMT"/>
                <w:lang w:eastAsia="en-US"/>
              </w:rPr>
            </w:pPr>
          </w:p>
          <w:p w14:paraId="49EC75E1" w14:textId="77777777" w:rsidR="0049776D" w:rsidRDefault="0049776D" w:rsidP="0049776D">
            <w:pPr>
              <w:jc w:val="both"/>
              <w:rPr>
                <w:rFonts w:cs="ArialMT"/>
                <w:lang w:eastAsia="en-US"/>
              </w:rPr>
            </w:pPr>
            <w:r w:rsidRPr="006B1A5A">
              <w:rPr>
                <w:rFonts w:cs="ArialMT"/>
                <w:lang w:eastAsia="en-US"/>
              </w:rPr>
              <w:t>Use eye protection to EN 166, designed to protect against liquid splashes.</w:t>
            </w:r>
          </w:p>
          <w:p w14:paraId="64EF81B0" w14:textId="0A96300E" w:rsidR="0049776D" w:rsidRDefault="0049776D" w:rsidP="00A6584E">
            <w:pPr>
              <w:autoSpaceDE w:val="0"/>
              <w:autoSpaceDN w:val="0"/>
              <w:adjustRightInd w:val="0"/>
              <w:rPr>
                <w:rFonts w:cs="ArialMT"/>
                <w:lang w:eastAsia="en-US"/>
              </w:rPr>
            </w:pPr>
          </w:p>
          <w:p w14:paraId="3EBE2D94" w14:textId="3AB5BCB6" w:rsidR="0049776D" w:rsidRDefault="0049776D" w:rsidP="00A6584E">
            <w:pPr>
              <w:autoSpaceDE w:val="0"/>
              <w:autoSpaceDN w:val="0"/>
              <w:adjustRightInd w:val="0"/>
              <w:rPr>
                <w:rFonts w:cs="ArialMT"/>
                <w:lang w:eastAsia="en-US"/>
              </w:rPr>
            </w:pPr>
            <w:r>
              <w:rPr>
                <w:rFonts w:cs="ArialMT"/>
                <w:lang w:eastAsia="en-US"/>
              </w:rPr>
              <w:t>Meta 3:</w:t>
            </w:r>
          </w:p>
          <w:p w14:paraId="69155DDE" w14:textId="73BEFFFC" w:rsidR="0049776D" w:rsidRDefault="0049776D" w:rsidP="00A6584E">
            <w:pPr>
              <w:autoSpaceDE w:val="0"/>
              <w:autoSpaceDN w:val="0"/>
              <w:adjustRightInd w:val="0"/>
              <w:rPr>
                <w:rFonts w:cs="ArialMT"/>
                <w:lang w:eastAsia="en-US"/>
              </w:rPr>
            </w:pPr>
          </w:p>
          <w:p w14:paraId="1024E2CB" w14:textId="77777777" w:rsidR="00A6584E" w:rsidRDefault="00A6584E" w:rsidP="00A6584E">
            <w:pPr>
              <w:autoSpaceDE w:val="0"/>
              <w:autoSpaceDN w:val="0"/>
              <w:adjustRightInd w:val="0"/>
              <w:rPr>
                <w:rFonts w:cs="ArialMT"/>
                <w:lang w:eastAsia="en-US"/>
              </w:rPr>
            </w:pPr>
            <w:bookmarkStart w:id="84" w:name="_Hlk52912837"/>
            <w:r w:rsidRPr="006B1A5A">
              <w:rPr>
                <w:rFonts w:cs="ArialMT"/>
                <w:lang w:eastAsia="en-US"/>
              </w:rPr>
              <w:t>Wear suitable gloves; i.e. Nitrile rubber gloves or natural rubber gloves. Layer thickness: &gt; 0.20 mm. Breakthrough time: 480 minutes. The protective gloves to be used must comply with the specifications of EC directive 89/686/EEC and the resultant standard EN 374.</w:t>
            </w:r>
          </w:p>
          <w:p w14:paraId="721D4CA1" w14:textId="77777777" w:rsidR="00A6584E" w:rsidRPr="006B1A5A" w:rsidRDefault="00A6584E" w:rsidP="00A6584E">
            <w:pPr>
              <w:jc w:val="both"/>
              <w:rPr>
                <w:rFonts w:cs="ArialMT"/>
                <w:lang w:eastAsia="en-US"/>
              </w:rPr>
            </w:pPr>
          </w:p>
          <w:p w14:paraId="6911A6E2" w14:textId="77A06857" w:rsidR="00A6584E" w:rsidRDefault="00A6584E" w:rsidP="00A6584E">
            <w:pPr>
              <w:jc w:val="both"/>
              <w:rPr>
                <w:rFonts w:cs="ArialMT"/>
                <w:lang w:eastAsia="en-US"/>
              </w:rPr>
            </w:pPr>
            <w:r>
              <w:rPr>
                <w:rFonts w:cs="ArialMT"/>
                <w:lang w:eastAsia="en-US"/>
              </w:rPr>
              <w:t xml:space="preserve">A protective coverall (at least type </w:t>
            </w:r>
            <w:r w:rsidR="008C6B04">
              <w:rPr>
                <w:rFonts w:cs="ArialMT"/>
                <w:lang w:eastAsia="en-US"/>
              </w:rPr>
              <w:t>3 or 4</w:t>
            </w:r>
            <w:r>
              <w:rPr>
                <w:rFonts w:cs="ArialMT"/>
                <w:lang w:eastAsia="en-US"/>
              </w:rPr>
              <w:t>, EN-</w:t>
            </w:r>
            <w:r w:rsidR="008C6B04">
              <w:rPr>
                <w:rFonts w:cs="ArialMT"/>
                <w:lang w:eastAsia="en-US"/>
              </w:rPr>
              <w:t>14605</w:t>
            </w:r>
            <w:r>
              <w:rPr>
                <w:rFonts w:cs="ArialMT"/>
                <w:lang w:eastAsia="en-US"/>
              </w:rPr>
              <w:t xml:space="preserve">) which is impermeable for the biocidal product shall be worn (coverall material to be specified by the authorisation holder within the product information). </w:t>
            </w:r>
          </w:p>
          <w:p w14:paraId="653C299B" w14:textId="77777777" w:rsidR="00A6584E" w:rsidRDefault="00A6584E" w:rsidP="00A6584E">
            <w:pPr>
              <w:jc w:val="both"/>
              <w:rPr>
                <w:rFonts w:cs="ArialMT"/>
                <w:lang w:eastAsia="en-US"/>
              </w:rPr>
            </w:pPr>
          </w:p>
          <w:p w14:paraId="0885C1D4" w14:textId="77777777" w:rsidR="00A6584E" w:rsidRDefault="00A6584E" w:rsidP="00A6584E">
            <w:pPr>
              <w:jc w:val="both"/>
              <w:rPr>
                <w:rFonts w:cs="ArialMT"/>
                <w:lang w:eastAsia="en-US"/>
              </w:rPr>
            </w:pPr>
            <w:r w:rsidRPr="006B1A5A">
              <w:rPr>
                <w:rFonts w:cs="ArialMT"/>
                <w:lang w:eastAsia="en-US"/>
              </w:rPr>
              <w:t>Use eye protection to EN 166, designed to protect against liquid splashes.</w:t>
            </w:r>
          </w:p>
          <w:bookmarkEnd w:id="84"/>
          <w:p w14:paraId="2CE49B9A" w14:textId="77777777" w:rsidR="001042DA" w:rsidRDefault="001042DA" w:rsidP="00AF2AEA">
            <w:pPr>
              <w:jc w:val="both"/>
              <w:rPr>
                <w:lang w:eastAsia="fi-FI"/>
              </w:rPr>
            </w:pPr>
          </w:p>
          <w:p w14:paraId="59322D6C" w14:textId="291007DD" w:rsidR="00B15238" w:rsidRDefault="00B15238" w:rsidP="00B15238">
            <w:pPr>
              <w:autoSpaceDE w:val="0"/>
              <w:autoSpaceDN w:val="0"/>
              <w:adjustRightInd w:val="0"/>
              <w:rPr>
                <w:lang w:eastAsia="fi-FI"/>
              </w:rPr>
            </w:pPr>
            <w:r>
              <w:rPr>
                <w:lang w:eastAsia="fi-FI"/>
              </w:rPr>
              <w:t>See also section 2.1.5.2.</w:t>
            </w:r>
          </w:p>
          <w:p w14:paraId="3E5C1D94" w14:textId="1D4D0CC1" w:rsidR="001042DA" w:rsidRPr="006B1A5A" w:rsidRDefault="001042DA" w:rsidP="00AF2AEA">
            <w:pPr>
              <w:jc w:val="both"/>
              <w:rPr>
                <w:lang w:eastAsia="fi-FI"/>
              </w:rPr>
            </w:pPr>
          </w:p>
        </w:tc>
      </w:tr>
    </w:tbl>
    <w:p w14:paraId="4691C5BC" w14:textId="3D8BF325" w:rsidR="001042DA" w:rsidRPr="006B1A5A" w:rsidRDefault="001042DA" w:rsidP="00916E44">
      <w:pPr>
        <w:pStyle w:val="Overskrift4"/>
      </w:pPr>
      <w:bookmarkStart w:id="85" w:name="_Toc416859531"/>
      <w:bookmarkStart w:id="86" w:name="_Toc425344080"/>
      <w:bookmarkStart w:id="87" w:name="_Toc66448803"/>
      <w:r w:rsidRPr="006B1A5A">
        <w:lastRenderedPageBreak/>
        <w:t>Where specific to the use, the particulars of likely direct or indirect effects, first aid instructions and emergency measures to protect the environment</w:t>
      </w:r>
      <w:bookmarkEnd w:id="85"/>
      <w:bookmarkEnd w:id="86"/>
      <w:bookmarkEnd w:id="8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42DA" w:rsidRPr="006B1A5A" w14:paraId="086393B6" w14:textId="77777777" w:rsidTr="00AF2AEA">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9A7E0B1" w14:textId="017F0BDE" w:rsidR="001042DA" w:rsidRPr="00B464FA" w:rsidRDefault="007E3C0F" w:rsidP="00AF2AEA">
            <w:pPr>
              <w:widowControl w:val="0"/>
              <w:autoSpaceDE w:val="0"/>
              <w:autoSpaceDN w:val="0"/>
              <w:adjustRightInd w:val="0"/>
              <w:spacing w:before="80"/>
              <w:rPr>
                <w:rFonts w:cs="Arial"/>
              </w:rPr>
            </w:pPr>
            <w:r>
              <w:rPr>
                <w:rFonts w:cs="Arial"/>
              </w:rPr>
              <w:t>See section 2.1.5.3.</w:t>
            </w:r>
          </w:p>
        </w:tc>
      </w:tr>
    </w:tbl>
    <w:p w14:paraId="6F266370" w14:textId="77777777" w:rsidR="001042DA" w:rsidRPr="006B1A5A" w:rsidRDefault="001042DA" w:rsidP="00916E44">
      <w:pPr>
        <w:pStyle w:val="Overskrift4"/>
      </w:pPr>
      <w:bookmarkStart w:id="88" w:name="_Toc416859532"/>
      <w:bookmarkStart w:id="89" w:name="_Toc425344081"/>
      <w:bookmarkStart w:id="90" w:name="_Toc66448804"/>
      <w:r w:rsidRPr="006B1A5A">
        <w:t>Where specific to the use, the instructions for safe disposal of the product and its packaging</w:t>
      </w:r>
      <w:bookmarkEnd w:id="88"/>
      <w:bookmarkEnd w:id="89"/>
      <w:bookmarkEnd w:id="90"/>
      <w:r w:rsidRPr="006B1A5A">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42DA" w:rsidRPr="006B1A5A" w14:paraId="7150F02A" w14:textId="77777777" w:rsidTr="00AF2AEA">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A664AD0" w14:textId="57383424" w:rsidR="001042DA" w:rsidRPr="006B1A5A" w:rsidRDefault="003D05A5" w:rsidP="00AF2AEA">
            <w:pPr>
              <w:widowControl w:val="0"/>
              <w:autoSpaceDE w:val="0"/>
              <w:autoSpaceDN w:val="0"/>
              <w:adjustRightInd w:val="0"/>
              <w:spacing w:before="120"/>
              <w:jc w:val="both"/>
              <w:rPr>
                <w:rFonts w:cs="Times"/>
                <w:bCs/>
                <w:szCs w:val="29"/>
              </w:rPr>
            </w:pPr>
            <w:r>
              <w:rPr>
                <w:rFonts w:cs="ArialMT"/>
                <w:lang w:eastAsia="en-US"/>
              </w:rPr>
              <w:t xml:space="preserve">See </w:t>
            </w:r>
            <w:r w:rsidR="00BE6BE9">
              <w:rPr>
                <w:rFonts w:cs="ArialMT"/>
                <w:lang w:eastAsia="en-US"/>
              </w:rPr>
              <w:t>section</w:t>
            </w:r>
            <w:r>
              <w:rPr>
                <w:rFonts w:cs="ArialMT"/>
                <w:lang w:eastAsia="en-US"/>
              </w:rPr>
              <w:t xml:space="preserve"> 2.1.</w:t>
            </w:r>
            <w:r w:rsidR="00BE6BE9">
              <w:rPr>
                <w:rFonts w:cs="ArialMT"/>
                <w:lang w:eastAsia="en-US"/>
              </w:rPr>
              <w:t>5.4</w:t>
            </w:r>
          </w:p>
        </w:tc>
      </w:tr>
    </w:tbl>
    <w:p w14:paraId="491A7CF5" w14:textId="77777777" w:rsidR="001042DA" w:rsidRPr="006B1A5A" w:rsidRDefault="001042DA" w:rsidP="001042DA">
      <w:pPr>
        <w:widowControl w:val="0"/>
        <w:autoSpaceDE w:val="0"/>
        <w:autoSpaceDN w:val="0"/>
        <w:adjustRightInd w:val="0"/>
        <w:rPr>
          <w:rFonts w:cs="Times"/>
          <w:bCs/>
          <w:szCs w:val="29"/>
        </w:rPr>
      </w:pPr>
    </w:p>
    <w:p w14:paraId="1838AD08" w14:textId="77777777" w:rsidR="001042DA" w:rsidRPr="006B1A5A" w:rsidRDefault="001042DA" w:rsidP="00916E44">
      <w:pPr>
        <w:pStyle w:val="Overskrift4"/>
      </w:pPr>
      <w:bookmarkStart w:id="91" w:name="_Toc416859533"/>
      <w:bookmarkStart w:id="92" w:name="_Toc425344082"/>
      <w:bookmarkStart w:id="93" w:name="_Toc66448805"/>
      <w:r w:rsidRPr="006B1A5A">
        <w:lastRenderedPageBreak/>
        <w:t>Where specific to the use, the conditions of storage and shelf-life of the product under normal conditions of storage</w:t>
      </w:r>
      <w:bookmarkEnd w:id="91"/>
      <w:bookmarkEnd w:id="92"/>
      <w:bookmarkEnd w:id="9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42DA" w:rsidRPr="006B1A5A" w14:paraId="6EA482D9" w14:textId="77777777" w:rsidTr="00AF2AEA">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52C035" w14:textId="19339E06" w:rsidR="001042DA" w:rsidRPr="006B1A5A" w:rsidRDefault="00516E25" w:rsidP="00AF2AEA">
            <w:pPr>
              <w:widowControl w:val="0"/>
              <w:autoSpaceDE w:val="0"/>
              <w:autoSpaceDN w:val="0"/>
              <w:adjustRightInd w:val="0"/>
              <w:spacing w:before="80"/>
              <w:rPr>
                <w:rFonts w:cs="Times"/>
                <w:bCs/>
                <w:szCs w:val="29"/>
              </w:rPr>
            </w:pPr>
            <w:r>
              <w:t>See section 2.1.5.5.</w:t>
            </w:r>
          </w:p>
        </w:tc>
      </w:tr>
    </w:tbl>
    <w:p w14:paraId="383CB79E" w14:textId="77777777" w:rsidR="001042DA" w:rsidRPr="006B1A5A" w:rsidRDefault="001042DA" w:rsidP="001042DA">
      <w:pPr>
        <w:widowControl w:val="0"/>
        <w:autoSpaceDE w:val="0"/>
        <w:autoSpaceDN w:val="0"/>
        <w:adjustRightInd w:val="0"/>
        <w:rPr>
          <w:rFonts w:cs="Times"/>
          <w:bCs/>
          <w:szCs w:val="29"/>
        </w:rPr>
      </w:pPr>
    </w:p>
    <w:p w14:paraId="0C5CFAC0" w14:textId="77777777" w:rsidR="001042DA" w:rsidRPr="006B1A5A" w:rsidRDefault="001042DA" w:rsidP="001042DA">
      <w:pPr>
        <w:widowControl w:val="0"/>
        <w:autoSpaceDE w:val="0"/>
        <w:autoSpaceDN w:val="0"/>
        <w:adjustRightInd w:val="0"/>
        <w:rPr>
          <w:rFonts w:cs="Times"/>
          <w:bCs/>
          <w:szCs w:val="29"/>
        </w:rPr>
      </w:pPr>
    </w:p>
    <w:p w14:paraId="660C3CC3" w14:textId="77777777" w:rsidR="001042DA" w:rsidRPr="00D85EB4" w:rsidRDefault="001042DA" w:rsidP="006E273F">
      <w:pPr>
        <w:pStyle w:val="Overskrift3"/>
      </w:pPr>
      <w:bookmarkStart w:id="94" w:name="_Toc425344083"/>
      <w:bookmarkStart w:id="95" w:name="_Toc66448806"/>
      <w:r w:rsidRPr="00D85EB4">
        <w:t>General directions for use</w:t>
      </w:r>
      <w:bookmarkEnd w:id="94"/>
      <w:bookmarkEnd w:id="95"/>
    </w:p>
    <w:p w14:paraId="7E83FAB3" w14:textId="77777777" w:rsidR="001042DA" w:rsidRPr="006B1A5A" w:rsidRDefault="001042DA" w:rsidP="00916E44">
      <w:pPr>
        <w:pStyle w:val="Overskrift4"/>
      </w:pPr>
      <w:bookmarkStart w:id="96" w:name="_Toc423017240"/>
      <w:bookmarkStart w:id="97" w:name="_Toc425344084"/>
      <w:bookmarkStart w:id="98" w:name="_Toc66448807"/>
      <w:r w:rsidRPr="006B1A5A">
        <w:t>Instructions for use</w:t>
      </w:r>
      <w:bookmarkEnd w:id="96"/>
      <w:bookmarkEnd w:id="97"/>
      <w:bookmarkEnd w:id="9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42DA" w:rsidRPr="006B1A5A" w14:paraId="28D4593C" w14:textId="77777777" w:rsidTr="00AF2AEA">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9FB0D5" w14:textId="77777777" w:rsidR="001042DA" w:rsidRPr="006B1A5A" w:rsidRDefault="001042DA" w:rsidP="00AF2AEA">
            <w:pPr>
              <w:widowControl w:val="0"/>
              <w:autoSpaceDE w:val="0"/>
              <w:autoSpaceDN w:val="0"/>
              <w:adjustRightInd w:val="0"/>
              <w:spacing w:before="80"/>
              <w:jc w:val="both"/>
              <w:rPr>
                <w:rFonts w:cs="Times"/>
                <w:bCs/>
                <w:szCs w:val="29"/>
              </w:rPr>
            </w:pPr>
            <w:r w:rsidRPr="006B1A5A">
              <w:rPr>
                <w:rFonts w:cs="Times"/>
                <w:bCs/>
                <w:szCs w:val="29"/>
              </w:rPr>
              <w:t>Ready for use-products must be stirred well before use.</w:t>
            </w:r>
          </w:p>
          <w:p w14:paraId="244FC0C2" w14:textId="77777777" w:rsidR="001042DA" w:rsidRPr="006B1A5A" w:rsidRDefault="001042DA" w:rsidP="00AF2AEA">
            <w:pPr>
              <w:widowControl w:val="0"/>
              <w:autoSpaceDE w:val="0"/>
              <w:autoSpaceDN w:val="0"/>
              <w:adjustRightInd w:val="0"/>
              <w:spacing w:before="80"/>
              <w:jc w:val="both"/>
              <w:rPr>
                <w:rFonts w:cs="Times"/>
                <w:bCs/>
                <w:szCs w:val="29"/>
              </w:rPr>
            </w:pPr>
          </w:p>
          <w:p w14:paraId="22A2A31A" w14:textId="77777777" w:rsidR="001042DA" w:rsidRPr="006B1A5A" w:rsidRDefault="001042DA" w:rsidP="00AF2AEA">
            <w:pPr>
              <w:widowControl w:val="0"/>
              <w:autoSpaceDE w:val="0"/>
              <w:autoSpaceDN w:val="0"/>
              <w:adjustRightInd w:val="0"/>
              <w:spacing w:before="80"/>
              <w:jc w:val="both"/>
              <w:rPr>
                <w:rFonts w:cs="Times"/>
                <w:bCs/>
                <w:szCs w:val="29"/>
              </w:rPr>
            </w:pPr>
            <w:r w:rsidRPr="006B1A5A">
              <w:rPr>
                <w:rFonts w:cs="Times"/>
                <w:bCs/>
                <w:szCs w:val="29"/>
              </w:rPr>
              <w:t xml:space="preserve">Concentrates must be diluted with the correct amount of water, as specified on the label.  The products must be stirred well after addition of water. Dipping tanks with stirring or pumping equipment must be used. </w:t>
            </w:r>
          </w:p>
          <w:p w14:paraId="5457E101" w14:textId="77777777" w:rsidR="001042DA" w:rsidRPr="006B1A5A" w:rsidRDefault="001042DA" w:rsidP="00AF2AEA">
            <w:pPr>
              <w:widowControl w:val="0"/>
              <w:autoSpaceDE w:val="0"/>
              <w:autoSpaceDN w:val="0"/>
              <w:adjustRightInd w:val="0"/>
              <w:spacing w:before="80"/>
              <w:jc w:val="both"/>
              <w:rPr>
                <w:rFonts w:cs="Times"/>
                <w:bCs/>
                <w:szCs w:val="29"/>
              </w:rPr>
            </w:pPr>
          </w:p>
          <w:p w14:paraId="4A5FC4EB" w14:textId="77777777" w:rsidR="001042DA" w:rsidRPr="006B1A5A" w:rsidRDefault="001042DA" w:rsidP="00AF2AEA">
            <w:pPr>
              <w:widowControl w:val="0"/>
              <w:autoSpaceDE w:val="0"/>
              <w:autoSpaceDN w:val="0"/>
              <w:adjustRightInd w:val="0"/>
              <w:spacing w:before="80"/>
              <w:jc w:val="both"/>
              <w:rPr>
                <w:rFonts w:cs="Times"/>
                <w:bCs/>
                <w:szCs w:val="29"/>
              </w:rPr>
            </w:pPr>
            <w:r w:rsidRPr="006B1A5A">
              <w:rPr>
                <w:rFonts w:cs="Times"/>
                <w:bCs/>
                <w:szCs w:val="29"/>
              </w:rPr>
              <w:t>Dilution procedure:</w:t>
            </w:r>
          </w:p>
          <w:p w14:paraId="5712583E" w14:textId="77777777" w:rsidR="001042DA" w:rsidRPr="006B1A5A" w:rsidRDefault="001042DA" w:rsidP="00AF2AEA">
            <w:pPr>
              <w:widowControl w:val="0"/>
              <w:autoSpaceDE w:val="0"/>
              <w:autoSpaceDN w:val="0"/>
              <w:adjustRightInd w:val="0"/>
              <w:spacing w:before="80"/>
              <w:jc w:val="both"/>
              <w:rPr>
                <w:rFonts w:cs="Times"/>
                <w:bCs/>
                <w:szCs w:val="29"/>
              </w:rPr>
            </w:pPr>
            <w:r w:rsidRPr="006B1A5A">
              <w:rPr>
                <w:rFonts w:cs="Times"/>
                <w:bCs/>
                <w:szCs w:val="29"/>
              </w:rPr>
              <w:t xml:space="preserve">After transferring the concentrated product to either a holding tank or a dipping tank, the IBC must be filled with the correct amount of water. The water is then transferred to the holding or dipping tank, followed by stirring of the mixture. </w:t>
            </w:r>
          </w:p>
          <w:p w14:paraId="75D01970" w14:textId="77777777" w:rsidR="001042DA" w:rsidRPr="006B1A5A" w:rsidRDefault="001042DA" w:rsidP="00AF2AEA">
            <w:pPr>
              <w:rPr>
                <w:rFonts w:cs="Times"/>
                <w:bCs/>
                <w:szCs w:val="29"/>
              </w:rPr>
            </w:pPr>
          </w:p>
          <w:p w14:paraId="4923D426" w14:textId="6C2B1449" w:rsidR="001042DA" w:rsidRDefault="001042DA" w:rsidP="00AF2AEA">
            <w:pPr>
              <w:rPr>
                <w:rFonts w:cs="Times"/>
                <w:bCs/>
                <w:szCs w:val="29"/>
              </w:rPr>
            </w:pPr>
            <w:r w:rsidRPr="006B1A5A">
              <w:rPr>
                <w:rFonts w:cs="Times"/>
                <w:bCs/>
                <w:szCs w:val="29"/>
              </w:rPr>
              <w:t xml:space="preserve">Density and viscosity must be measured to ensure that the product is homogeneous prior to treatment. Please follow the </w:t>
            </w:r>
            <w:r w:rsidR="00A32578" w:rsidRPr="006B1A5A">
              <w:rPr>
                <w:rFonts w:cs="Times"/>
                <w:bCs/>
                <w:szCs w:val="29"/>
              </w:rPr>
              <w:t>manufacturer's</w:t>
            </w:r>
            <w:r w:rsidRPr="006B1A5A">
              <w:rPr>
                <w:rFonts w:cs="Times"/>
                <w:bCs/>
                <w:szCs w:val="29"/>
              </w:rPr>
              <w:t xml:space="preserve"> directions for how to measure density and viscosity. </w:t>
            </w:r>
          </w:p>
          <w:p w14:paraId="4BB62A02" w14:textId="77777777" w:rsidR="009535F0" w:rsidRDefault="009535F0" w:rsidP="00AF2AEA">
            <w:pPr>
              <w:rPr>
                <w:rFonts w:cs="Times"/>
                <w:bCs/>
                <w:szCs w:val="29"/>
              </w:rPr>
            </w:pPr>
          </w:p>
          <w:p w14:paraId="26766160" w14:textId="77777777" w:rsidR="009535F0" w:rsidRPr="006B1A5A" w:rsidRDefault="009535F0" w:rsidP="009535F0">
            <w:pPr>
              <w:widowControl w:val="0"/>
              <w:autoSpaceDE w:val="0"/>
              <w:autoSpaceDN w:val="0"/>
              <w:adjustRightInd w:val="0"/>
              <w:spacing w:before="80"/>
              <w:jc w:val="both"/>
              <w:rPr>
                <w:rFonts w:cs="Times"/>
                <w:bCs/>
                <w:szCs w:val="29"/>
              </w:rPr>
            </w:pPr>
            <w:r w:rsidRPr="006B1A5A">
              <w:rPr>
                <w:rFonts w:cs="Times"/>
                <w:bCs/>
                <w:szCs w:val="29"/>
              </w:rPr>
              <w:t>Dipping of nets:</w:t>
            </w:r>
          </w:p>
          <w:p w14:paraId="268260C4" w14:textId="4B31F164" w:rsidR="009535F0" w:rsidRPr="006B1A5A" w:rsidRDefault="009535F0" w:rsidP="009535F0">
            <w:pPr>
              <w:widowControl w:val="0"/>
              <w:autoSpaceDE w:val="0"/>
              <w:autoSpaceDN w:val="0"/>
              <w:adjustRightInd w:val="0"/>
              <w:spacing w:before="80"/>
              <w:jc w:val="both"/>
              <w:rPr>
                <w:rFonts w:cs="Times"/>
                <w:bCs/>
                <w:szCs w:val="29"/>
              </w:rPr>
            </w:pPr>
            <w:r w:rsidRPr="006B1A5A">
              <w:rPr>
                <w:rFonts w:cs="Times"/>
                <w:bCs/>
                <w:szCs w:val="29"/>
              </w:rPr>
              <w:t xml:space="preserve">Lower the net in the dipping tank using remotely operated net rollers and dip the net in the product for </w:t>
            </w:r>
            <w:r w:rsidR="006D33FB">
              <w:rPr>
                <w:rFonts w:cs="Times"/>
                <w:bCs/>
                <w:szCs w:val="29"/>
              </w:rPr>
              <w:t>a minimum of 30 minutes</w:t>
            </w:r>
            <w:r w:rsidRPr="006B1A5A">
              <w:rPr>
                <w:rFonts w:cs="Times"/>
                <w:bCs/>
                <w:szCs w:val="29"/>
              </w:rPr>
              <w:t xml:space="preserve"> whilst it is being held down by a weight attached to a crane. </w:t>
            </w:r>
          </w:p>
          <w:p w14:paraId="72C6FE37" w14:textId="77777777" w:rsidR="009535F0" w:rsidRPr="006B1A5A" w:rsidRDefault="009535F0" w:rsidP="009535F0">
            <w:pPr>
              <w:widowControl w:val="0"/>
              <w:autoSpaceDE w:val="0"/>
              <w:autoSpaceDN w:val="0"/>
              <w:adjustRightInd w:val="0"/>
              <w:spacing w:before="80"/>
              <w:jc w:val="both"/>
              <w:rPr>
                <w:rFonts w:cs="Times"/>
                <w:bCs/>
                <w:szCs w:val="29"/>
              </w:rPr>
            </w:pPr>
            <w:r w:rsidRPr="006B1A5A">
              <w:rPr>
                <w:rFonts w:cs="Times"/>
                <w:bCs/>
                <w:szCs w:val="29"/>
              </w:rPr>
              <w:t xml:space="preserve">Ensure the net to be treated is completely wetted with the product. </w:t>
            </w:r>
          </w:p>
          <w:p w14:paraId="57137AF7" w14:textId="77777777" w:rsidR="009535F0" w:rsidRPr="006B1A5A" w:rsidRDefault="009535F0" w:rsidP="009535F0">
            <w:pPr>
              <w:widowControl w:val="0"/>
              <w:autoSpaceDE w:val="0"/>
              <w:autoSpaceDN w:val="0"/>
              <w:adjustRightInd w:val="0"/>
              <w:spacing w:before="80"/>
              <w:jc w:val="both"/>
              <w:rPr>
                <w:rFonts w:cs="Times"/>
                <w:bCs/>
                <w:szCs w:val="29"/>
              </w:rPr>
            </w:pPr>
            <w:r w:rsidRPr="006B1A5A">
              <w:rPr>
                <w:rFonts w:cs="Times"/>
                <w:bCs/>
                <w:szCs w:val="29"/>
              </w:rPr>
              <w:t>After treatment, remove the weight, roll back the net onto the roller and leave to dry by injecting dried air into the net rolls.</w:t>
            </w:r>
          </w:p>
          <w:p w14:paraId="3DA08E38" w14:textId="77777777" w:rsidR="00802733" w:rsidRPr="005B1044" w:rsidRDefault="00802733" w:rsidP="005B1044">
            <w:pPr>
              <w:pStyle w:val="Merknadstekst"/>
              <w:jc w:val="both"/>
            </w:pPr>
          </w:p>
          <w:p w14:paraId="2AFA283A" w14:textId="2318B2F4" w:rsidR="009535F0" w:rsidRDefault="009535F0" w:rsidP="009535F0">
            <w:pPr>
              <w:widowControl w:val="0"/>
              <w:autoSpaceDE w:val="0"/>
              <w:autoSpaceDN w:val="0"/>
              <w:adjustRightInd w:val="0"/>
              <w:spacing w:before="80"/>
              <w:jc w:val="both"/>
              <w:rPr>
                <w:rFonts w:cs="Times"/>
                <w:bCs/>
                <w:szCs w:val="29"/>
              </w:rPr>
            </w:pPr>
            <w:r w:rsidRPr="0089392D">
              <w:rPr>
                <w:rFonts w:cs="Times"/>
                <w:bCs/>
                <w:szCs w:val="29"/>
              </w:rPr>
              <w:t>Vacuum treatment of nets:</w:t>
            </w:r>
            <w:r w:rsidRPr="006B1A5A">
              <w:rPr>
                <w:rFonts w:cs="Times"/>
                <w:bCs/>
                <w:szCs w:val="29"/>
              </w:rPr>
              <w:t xml:space="preserve"> </w:t>
            </w:r>
          </w:p>
          <w:p w14:paraId="3D6642E6" w14:textId="72A6B5A3" w:rsidR="006D33FB" w:rsidRDefault="006D33FB" w:rsidP="006D33FB">
            <w:pPr>
              <w:rPr>
                <w:rFonts w:ascii="Calibri" w:hAnsi="Calibri"/>
                <w:lang w:eastAsia="en-US"/>
              </w:rPr>
            </w:pPr>
            <w:r>
              <w:rPr>
                <w:lang w:val="en-US"/>
              </w:rPr>
              <w:t>T</w:t>
            </w:r>
            <w:r>
              <w:t>he lid of the net-bag is opened, and the net lowered into the vacuum bag using a remotely operated net rollers or a crane. Transport a specified amount of product from the vacuum-tank to the vacuum-bag, through the lid on the top. Start the program of “vacuuming the bag” so that the product enters through the net to be treated. Regardless of the size of the vacuum-bag, lowest pressure &gt;0.8 bar. To ensure that the net to be treated is completely wetted with the product, run x number of cycles (</w:t>
            </w:r>
            <w:r w:rsidR="00227D6D">
              <w:t>≤</w:t>
            </w:r>
            <w:r>
              <w:t xml:space="preserve">4). Set on the program of “drying” so that the rest of the product left in the bag is transported back to the tank, through the bottom of the vacuum-bag. After finishing treatment, open the lid and lift the net off the bag using a crane or remote-controlled net rollers to the next process (drying-process).  </w:t>
            </w:r>
          </w:p>
          <w:p w14:paraId="59E5FF94" w14:textId="77777777" w:rsidR="009535F0" w:rsidRDefault="009535F0" w:rsidP="009535F0">
            <w:pPr>
              <w:widowControl w:val="0"/>
              <w:autoSpaceDE w:val="0"/>
              <w:autoSpaceDN w:val="0"/>
              <w:adjustRightInd w:val="0"/>
              <w:spacing w:before="80"/>
              <w:jc w:val="both"/>
              <w:rPr>
                <w:rFonts w:cs="Times"/>
                <w:bCs/>
                <w:szCs w:val="29"/>
              </w:rPr>
            </w:pPr>
          </w:p>
          <w:p w14:paraId="678AA7AE" w14:textId="74DE96C0" w:rsidR="009535F0" w:rsidRPr="00EB2D32" w:rsidRDefault="009535F0" w:rsidP="009535F0">
            <w:pPr>
              <w:pStyle w:val="Merknadstekst"/>
            </w:pPr>
            <w:r w:rsidRPr="00EB2D32">
              <w:t>Lowest pressure during vacuum cycles: 0,8 bar</w:t>
            </w:r>
          </w:p>
          <w:p w14:paraId="4D4FB306" w14:textId="1A4A2E4D" w:rsidR="009535F0" w:rsidRDefault="009535F0" w:rsidP="009535F0">
            <w:pPr>
              <w:pStyle w:val="Merknadstekst"/>
            </w:pPr>
            <w:r>
              <w:t>Max amount of application cycles: 4</w:t>
            </w:r>
          </w:p>
          <w:p w14:paraId="0593CDD7" w14:textId="2ADEFED7" w:rsidR="009535F0" w:rsidRDefault="009535F0" w:rsidP="009535F0">
            <w:pPr>
              <w:pStyle w:val="Merknadstekst"/>
            </w:pPr>
            <w:r>
              <w:t>Max amount of drying cycles: 4</w:t>
            </w:r>
          </w:p>
          <w:p w14:paraId="124C70B9" w14:textId="77777777" w:rsidR="009535F0" w:rsidRDefault="009535F0" w:rsidP="009535F0">
            <w:pPr>
              <w:pStyle w:val="Merknadstekst"/>
            </w:pPr>
            <w:r>
              <w:t>Avoid pushing paint above the vacuum bag</w:t>
            </w:r>
          </w:p>
          <w:p w14:paraId="6069EC94" w14:textId="198D24DA" w:rsidR="009535F0" w:rsidRDefault="009535F0" w:rsidP="009535F0">
            <w:pPr>
              <w:rPr>
                <w:rFonts w:cs="Times"/>
                <w:bCs/>
                <w:szCs w:val="29"/>
              </w:rPr>
            </w:pPr>
            <w:r>
              <w:t>Allow leftover paint to reset for 2-3 days before re-use</w:t>
            </w:r>
          </w:p>
          <w:p w14:paraId="4B6CD280" w14:textId="7E8EA239" w:rsidR="001042DA" w:rsidRPr="006B1A5A" w:rsidRDefault="001042DA" w:rsidP="00AF2AEA"/>
        </w:tc>
      </w:tr>
    </w:tbl>
    <w:p w14:paraId="75701960" w14:textId="77777777" w:rsidR="001042DA" w:rsidRPr="006B1A5A" w:rsidRDefault="001042DA" w:rsidP="00916E44">
      <w:pPr>
        <w:pStyle w:val="Overskrift4"/>
      </w:pPr>
      <w:bookmarkStart w:id="99" w:name="_Toc423017241"/>
      <w:bookmarkStart w:id="100" w:name="_Toc425344085"/>
      <w:bookmarkStart w:id="101" w:name="_Toc66448808"/>
      <w:r w:rsidRPr="006B1A5A">
        <w:lastRenderedPageBreak/>
        <w:t>Risk mitigation measures</w:t>
      </w:r>
      <w:bookmarkEnd w:id="99"/>
      <w:bookmarkEnd w:id="100"/>
      <w:bookmarkEnd w:id="10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42DA" w:rsidRPr="006B1A5A" w14:paraId="23C8A208" w14:textId="77777777" w:rsidTr="00AF2AEA">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352A492" w14:textId="6A515D68" w:rsidR="00CB612F" w:rsidRDefault="00CB612F" w:rsidP="00CB612F">
            <w:pPr>
              <w:autoSpaceDE w:val="0"/>
              <w:autoSpaceDN w:val="0"/>
              <w:adjustRightInd w:val="0"/>
              <w:rPr>
                <w:rFonts w:cs="ArialMT"/>
                <w:lang w:eastAsia="en-US"/>
              </w:rPr>
            </w:pPr>
            <w:bookmarkStart w:id="102" w:name="_Hlk52913211"/>
            <w:r w:rsidRPr="006B1A5A">
              <w:rPr>
                <w:rFonts w:cs="ArialMT"/>
                <w:lang w:eastAsia="en-US"/>
              </w:rPr>
              <w:t>Avoid breathing dust/mist/</w:t>
            </w:r>
            <w:r w:rsidR="00D60A48" w:rsidRPr="006B1A5A" w:rsidDel="00D60A48">
              <w:rPr>
                <w:rFonts w:cs="ArialMT"/>
                <w:lang w:eastAsia="en-US"/>
              </w:rPr>
              <w:t xml:space="preserve"> </w:t>
            </w:r>
          </w:p>
          <w:p w14:paraId="04D52914" w14:textId="77777777" w:rsidR="00541917" w:rsidRDefault="00541917" w:rsidP="00541917">
            <w:pPr>
              <w:rPr>
                <w:lang w:eastAsia="en-US"/>
              </w:rPr>
            </w:pPr>
          </w:p>
          <w:p w14:paraId="62FA5957" w14:textId="518F62FB" w:rsidR="00541917" w:rsidRPr="006B1A5A" w:rsidRDefault="00541917" w:rsidP="00541917">
            <w:pPr>
              <w:rPr>
                <w:lang w:eastAsia="en-US"/>
              </w:rPr>
            </w:pPr>
            <w:r w:rsidRPr="00C50683">
              <w:rPr>
                <w:lang w:eastAsia="en-US"/>
              </w:rPr>
              <w:t>Use only outdoors or in a well-ventilated area</w:t>
            </w:r>
          </w:p>
          <w:p w14:paraId="6BA3F975" w14:textId="77777777" w:rsidR="00541917" w:rsidRDefault="00541917" w:rsidP="00C642C7">
            <w:pPr>
              <w:jc w:val="both"/>
            </w:pPr>
          </w:p>
          <w:p w14:paraId="0507C71C" w14:textId="1CC56B70" w:rsidR="00C642C7" w:rsidRPr="00C642C7" w:rsidRDefault="00C642C7" w:rsidP="00C642C7">
            <w:pPr>
              <w:jc w:val="both"/>
              <w:rPr>
                <w:rFonts w:cs="ArialMT"/>
                <w:lang w:eastAsia="en-US"/>
              </w:rPr>
            </w:pPr>
            <w:r w:rsidRPr="009A574D">
              <w:t>No special respiratory protection equipment is recommended under normal conditions of use with adequate ventilation</w:t>
            </w:r>
          </w:p>
          <w:p w14:paraId="1FDBFF25" w14:textId="6982A9FE" w:rsidR="00CB612F" w:rsidRDefault="00CB612F" w:rsidP="00CB612F">
            <w:pPr>
              <w:autoSpaceDE w:val="0"/>
              <w:autoSpaceDN w:val="0"/>
              <w:adjustRightInd w:val="0"/>
              <w:rPr>
                <w:rFonts w:cs="ArialMT"/>
                <w:lang w:eastAsia="en-US"/>
              </w:rPr>
            </w:pPr>
            <w:bookmarkStart w:id="103" w:name="_Hlk52913146"/>
          </w:p>
          <w:p w14:paraId="5A893D6D" w14:textId="5E8F39BC" w:rsidR="00CB612F" w:rsidRDefault="00CB612F" w:rsidP="00CB612F">
            <w:pPr>
              <w:autoSpaceDE w:val="0"/>
              <w:autoSpaceDN w:val="0"/>
              <w:adjustRightInd w:val="0"/>
              <w:rPr>
                <w:rFonts w:cs="ArialMT"/>
                <w:lang w:eastAsia="en-US"/>
              </w:rPr>
            </w:pPr>
            <w:r>
              <w:rPr>
                <w:rFonts w:cs="ArialMT"/>
                <w:lang w:eastAsia="en-US"/>
              </w:rPr>
              <w:t>Avoid contact with skin and eyes.</w:t>
            </w:r>
          </w:p>
          <w:bookmarkEnd w:id="102"/>
          <w:bookmarkEnd w:id="103"/>
          <w:p w14:paraId="24E64F66" w14:textId="77777777" w:rsidR="00C642C7" w:rsidRDefault="00C642C7" w:rsidP="00CB612F">
            <w:pPr>
              <w:jc w:val="both"/>
              <w:rPr>
                <w:rFonts w:cs="ArialMT"/>
                <w:lang w:eastAsia="en-US"/>
              </w:rPr>
            </w:pPr>
          </w:p>
          <w:p w14:paraId="1B7F094E" w14:textId="37C052A1" w:rsidR="003F5275" w:rsidRDefault="007E3C0F" w:rsidP="00AF2AEA">
            <w:pPr>
              <w:autoSpaceDE w:val="0"/>
              <w:autoSpaceDN w:val="0"/>
              <w:adjustRightInd w:val="0"/>
              <w:rPr>
                <w:rFonts w:cs="ArialMT"/>
                <w:lang w:eastAsia="en-US"/>
              </w:rPr>
            </w:pPr>
            <w:r>
              <w:rPr>
                <w:rFonts w:cs="ArialMT"/>
                <w:lang w:eastAsia="en-US"/>
              </w:rPr>
              <w:t>Avoid release to the environment</w:t>
            </w:r>
          </w:p>
          <w:p w14:paraId="682EC2FA" w14:textId="64FADE83" w:rsidR="00661DE6" w:rsidRDefault="00661DE6" w:rsidP="00AF2AEA">
            <w:pPr>
              <w:autoSpaceDE w:val="0"/>
              <w:autoSpaceDN w:val="0"/>
              <w:adjustRightInd w:val="0"/>
              <w:rPr>
                <w:rFonts w:cs="ArialMT"/>
                <w:lang w:eastAsia="en-US"/>
              </w:rPr>
            </w:pPr>
          </w:p>
          <w:p w14:paraId="6E570D97" w14:textId="77777777" w:rsidR="00661DE6" w:rsidRDefault="00661DE6" w:rsidP="00661DE6">
            <w:pPr>
              <w:autoSpaceDE w:val="0"/>
              <w:autoSpaceDN w:val="0"/>
              <w:adjustRightInd w:val="0"/>
              <w:rPr>
                <w:rFonts w:cs="Times"/>
                <w:bCs/>
                <w:color w:val="000000" w:themeColor="text1"/>
              </w:rPr>
            </w:pPr>
            <w:r w:rsidRPr="00520604">
              <w:rPr>
                <w:rFonts w:cs="Times"/>
                <w:bCs/>
                <w:color w:val="000000" w:themeColor="text1"/>
              </w:rPr>
              <w:t>Application, maintenance and repair activities shall be conducted within a contained area to prevent losses and minimise emissions to the environment. This means that activities must take place on impermeable hard standing with bunding or on soil covered with an impermeable material. Any losses or waste containing antifouling biocides shall be collected for reuse or disposal.</w:t>
            </w:r>
          </w:p>
          <w:p w14:paraId="073744CC" w14:textId="77777777" w:rsidR="00661DE6" w:rsidRDefault="00661DE6" w:rsidP="00AF2AEA">
            <w:pPr>
              <w:autoSpaceDE w:val="0"/>
              <w:autoSpaceDN w:val="0"/>
              <w:adjustRightInd w:val="0"/>
              <w:rPr>
                <w:rFonts w:cs="ArialMT"/>
                <w:lang w:eastAsia="en-US"/>
              </w:rPr>
            </w:pPr>
          </w:p>
          <w:p w14:paraId="688A7C1F" w14:textId="0F03AFE1" w:rsidR="001042DA" w:rsidRPr="006B1A5A" w:rsidRDefault="001042DA" w:rsidP="00AF2AEA">
            <w:pPr>
              <w:autoSpaceDE w:val="0"/>
              <w:autoSpaceDN w:val="0"/>
              <w:adjustRightInd w:val="0"/>
            </w:pPr>
          </w:p>
        </w:tc>
      </w:tr>
    </w:tbl>
    <w:p w14:paraId="62FCCE8B" w14:textId="10DD0312" w:rsidR="001042DA" w:rsidRPr="006B1A5A" w:rsidRDefault="001042DA" w:rsidP="00916E44">
      <w:pPr>
        <w:pStyle w:val="Overskrift4"/>
      </w:pPr>
      <w:bookmarkStart w:id="104" w:name="_Toc423017242"/>
      <w:bookmarkStart w:id="105" w:name="_Toc425344086"/>
      <w:bookmarkStart w:id="106" w:name="_Toc66448809"/>
      <w:r w:rsidRPr="006B1A5A">
        <w:t>Particulars of likely direct or indirect effects, first aid instructions and emergency measures to protect the environment</w:t>
      </w:r>
      <w:bookmarkEnd w:id="104"/>
      <w:bookmarkEnd w:id="105"/>
      <w:bookmarkEnd w:id="10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42DA" w:rsidRPr="006B1A5A" w14:paraId="1C0D4F16" w14:textId="77777777" w:rsidTr="00AF2AEA">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188B864" w14:textId="70B4E694" w:rsidR="009B3707" w:rsidRDefault="009B3707" w:rsidP="009B3707">
            <w:pPr>
              <w:pStyle w:val="Default"/>
              <w:rPr>
                <w:b/>
                <w:bCs/>
                <w:sz w:val="20"/>
                <w:szCs w:val="20"/>
              </w:rPr>
            </w:pPr>
            <w:bookmarkStart w:id="107" w:name="_Hlk53402618"/>
          </w:p>
          <w:p w14:paraId="02A2345E" w14:textId="7E738A2C" w:rsidR="009B3707" w:rsidRPr="009B3707" w:rsidRDefault="009B3707" w:rsidP="009B3707">
            <w:pPr>
              <w:pStyle w:val="Default"/>
              <w:rPr>
                <w:rFonts w:ascii="Verdana" w:hAnsi="Verdana"/>
              </w:rPr>
            </w:pPr>
            <w:r w:rsidRPr="009B3707">
              <w:rPr>
                <w:rFonts w:ascii="Verdana" w:hAnsi="Verdana"/>
                <w:sz w:val="20"/>
                <w:szCs w:val="20"/>
              </w:rPr>
              <w:t xml:space="preserve">IF INHALED: If symptoms occur call a POISON CENTRE or a doctor. </w:t>
            </w:r>
          </w:p>
          <w:p w14:paraId="2CA21649" w14:textId="71E9120E" w:rsidR="001612AF" w:rsidRDefault="001612AF" w:rsidP="00D3654F">
            <w:pPr>
              <w:widowControl w:val="0"/>
              <w:autoSpaceDE w:val="0"/>
              <w:autoSpaceDN w:val="0"/>
              <w:adjustRightInd w:val="0"/>
              <w:spacing w:before="120"/>
            </w:pPr>
            <w:r w:rsidRPr="00D3654F">
              <w:t>IF ON SKIN: Immediately wash skin with plenty of water. Thereafter take off all contaminated clothing and wash it before reuse. Continue to wash the skin with water for 15 minutes. Call a POISON CENTRE or a doctor.</w:t>
            </w:r>
            <w:r>
              <w:rPr>
                <w:b/>
                <w:bCs/>
              </w:rPr>
              <w:t xml:space="preserve"> </w:t>
            </w:r>
          </w:p>
          <w:p w14:paraId="6E1E104E" w14:textId="62827415" w:rsidR="00D3654F" w:rsidRPr="00D3654F" w:rsidRDefault="00D3654F" w:rsidP="00D3654F">
            <w:pPr>
              <w:widowControl w:val="0"/>
              <w:autoSpaceDE w:val="0"/>
              <w:autoSpaceDN w:val="0"/>
              <w:adjustRightInd w:val="0"/>
              <w:spacing w:before="120"/>
            </w:pPr>
            <w:r w:rsidRPr="00D3654F">
              <w:t xml:space="preserve">IF IN EYES: Immediately rinse with water for several minutes. Remove contact lenses, if present and easy to do. Continue rinsing for at least 15 minutes. Call 112/ambulance for medical assistance. </w:t>
            </w:r>
          </w:p>
          <w:p w14:paraId="7413CD71" w14:textId="12DE66CA" w:rsidR="001042DA" w:rsidRPr="00D85EB4" w:rsidRDefault="00D3654F" w:rsidP="009B3707">
            <w:pPr>
              <w:pStyle w:val="Default"/>
              <w:spacing w:before="120"/>
              <w:rPr>
                <w:rFonts w:ascii="Verdana" w:hAnsi="Verdana"/>
                <w:sz w:val="20"/>
                <w:szCs w:val="20"/>
                <w:lang w:eastAsia="fi-FI"/>
              </w:rPr>
            </w:pPr>
            <w:bookmarkStart w:id="108" w:name="_Hlk54815359"/>
            <w:r w:rsidRPr="00D85EB4">
              <w:rPr>
                <w:rFonts w:ascii="Verdana" w:hAnsi="Verdana"/>
                <w:sz w:val="20"/>
                <w:szCs w:val="20"/>
                <w:lang w:eastAsia="fi-FI"/>
              </w:rPr>
              <w:t xml:space="preserve">IF SWALLOWED: </w:t>
            </w:r>
            <w:r w:rsidR="00C44A07" w:rsidRPr="00D85EB4">
              <w:rPr>
                <w:rFonts w:ascii="Verdana" w:hAnsi="Verdana"/>
                <w:sz w:val="20"/>
                <w:szCs w:val="20"/>
                <w:lang w:eastAsia="fi-FI"/>
              </w:rPr>
              <w:t>Immediately r</w:t>
            </w:r>
            <w:r w:rsidR="002514FD" w:rsidRPr="00D85EB4">
              <w:rPr>
                <w:rFonts w:ascii="Verdana" w:hAnsi="Verdana"/>
                <w:sz w:val="20"/>
                <w:szCs w:val="20"/>
                <w:lang w:eastAsia="fi-FI"/>
              </w:rPr>
              <w:t xml:space="preserve">inse mouth. </w:t>
            </w:r>
            <w:r w:rsidR="009B3707" w:rsidRPr="00D85EB4">
              <w:rPr>
                <w:rFonts w:ascii="Verdana" w:hAnsi="Verdana"/>
                <w:sz w:val="20"/>
                <w:szCs w:val="20"/>
              </w:rPr>
              <w:t>Give something to drink, if exposed person is able to swallow. Do NOT induce vomiting. Call 112/ambulance for medical assistance.</w:t>
            </w:r>
            <w:r w:rsidR="009B3707" w:rsidRPr="00D85EB4">
              <w:rPr>
                <w:rFonts w:ascii="Verdana" w:hAnsi="Verdana"/>
                <w:b/>
                <w:bCs/>
                <w:sz w:val="20"/>
                <w:szCs w:val="20"/>
              </w:rPr>
              <w:t xml:space="preserve"> </w:t>
            </w:r>
          </w:p>
          <w:bookmarkEnd w:id="107"/>
          <w:bookmarkEnd w:id="108"/>
          <w:p w14:paraId="423443CC" w14:textId="77777777" w:rsidR="0081795C" w:rsidRDefault="0081795C" w:rsidP="0081795C">
            <w:pPr>
              <w:autoSpaceDE w:val="0"/>
              <w:autoSpaceDN w:val="0"/>
              <w:adjustRightInd w:val="0"/>
              <w:rPr>
                <w:rFonts w:cs="ArialMT"/>
                <w:lang w:eastAsia="en-US"/>
              </w:rPr>
            </w:pPr>
          </w:p>
          <w:p w14:paraId="0A1BB467" w14:textId="77777777" w:rsidR="006E356B" w:rsidRDefault="0081795C" w:rsidP="00D60A48">
            <w:pPr>
              <w:autoSpaceDE w:val="0"/>
              <w:autoSpaceDN w:val="0"/>
              <w:adjustRightInd w:val="0"/>
              <w:rPr>
                <w:rFonts w:cs="ArialMT"/>
                <w:lang w:eastAsia="en-US"/>
              </w:rPr>
            </w:pPr>
            <w:r>
              <w:rPr>
                <w:rFonts w:cs="ArialMT"/>
                <w:lang w:eastAsia="en-US"/>
              </w:rPr>
              <w:t>Avoid release to the environment.</w:t>
            </w:r>
          </w:p>
          <w:p w14:paraId="73F9CD6F" w14:textId="7476BC1E" w:rsidR="00CD2FA3" w:rsidRDefault="0081795C" w:rsidP="00D60A48">
            <w:pPr>
              <w:autoSpaceDE w:val="0"/>
              <w:autoSpaceDN w:val="0"/>
              <w:adjustRightInd w:val="0"/>
            </w:pPr>
            <w:r>
              <w:rPr>
                <w:rFonts w:cs="ArialMT"/>
                <w:lang w:eastAsia="en-US"/>
              </w:rPr>
              <w:br/>
            </w:r>
            <w:r w:rsidR="00CD2FA3">
              <w:t>Emergency measures for the environment:</w:t>
            </w:r>
          </w:p>
          <w:p w14:paraId="208D7BAD" w14:textId="16E77C97" w:rsidR="00E551AE" w:rsidRDefault="00E551AE" w:rsidP="00AF2AEA">
            <w:pPr>
              <w:spacing w:before="120"/>
            </w:pPr>
            <w:bookmarkStart w:id="109" w:name="_Hlk54276093"/>
            <w:r w:rsidRPr="008D391E">
              <w:t>Application solutions must be collected and disposed of as hazardous waste. They must not be released to soil, ground- and surface water or any kind of sewer.</w:t>
            </w:r>
          </w:p>
          <w:bookmarkEnd w:id="109"/>
          <w:p w14:paraId="36BD6D0D" w14:textId="426376EE" w:rsidR="001042DA" w:rsidRPr="006B1A5A" w:rsidRDefault="00CD2FA3" w:rsidP="00AF2AEA">
            <w:pPr>
              <w:spacing w:before="120"/>
            </w:pPr>
            <w:r w:rsidRPr="00CD2FA3">
              <w:t xml:space="preserve">Methods and material for containment and cleaning up: </w:t>
            </w:r>
            <w:r w:rsidR="00E551AE">
              <w:t xml:space="preserve">Use </w:t>
            </w:r>
            <w:r w:rsidRPr="00CD2FA3">
              <w:t>absorbent material</w:t>
            </w:r>
            <w:r>
              <w:t xml:space="preserve"> and d</w:t>
            </w:r>
            <w:r w:rsidRPr="00CD2FA3">
              <w:t>ispose of materials or solid residues at an authorized site.</w:t>
            </w:r>
            <w:r>
              <w:t xml:space="preserve"> </w:t>
            </w:r>
          </w:p>
        </w:tc>
      </w:tr>
    </w:tbl>
    <w:p w14:paraId="459FBDC8" w14:textId="77777777" w:rsidR="001042DA" w:rsidRPr="006B1A5A" w:rsidRDefault="001042DA" w:rsidP="00916E44">
      <w:pPr>
        <w:pStyle w:val="Overskrift4"/>
      </w:pPr>
      <w:bookmarkStart w:id="110" w:name="_Toc423017243"/>
      <w:bookmarkStart w:id="111" w:name="_Toc425344087"/>
      <w:bookmarkStart w:id="112" w:name="_Toc66448810"/>
      <w:r w:rsidRPr="006B1A5A">
        <w:t>Instructions for safe disposal of the product and its packaging</w:t>
      </w:r>
      <w:bookmarkEnd w:id="110"/>
      <w:bookmarkEnd w:id="111"/>
      <w:bookmarkEnd w:id="11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42DA" w:rsidRPr="006B1A5A" w14:paraId="1328A4D8" w14:textId="77777777" w:rsidTr="00AF2AEA">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0FD226E" w14:textId="586BF7FE" w:rsidR="003D05A5" w:rsidRDefault="003D05A5" w:rsidP="003D05A5">
            <w:pPr>
              <w:widowControl w:val="0"/>
              <w:autoSpaceDE w:val="0"/>
              <w:autoSpaceDN w:val="0"/>
              <w:adjustRightInd w:val="0"/>
              <w:spacing w:before="120"/>
              <w:jc w:val="both"/>
              <w:rPr>
                <w:rFonts w:cs="ArialMT"/>
                <w:lang w:eastAsia="en-US"/>
              </w:rPr>
            </w:pPr>
            <w:r w:rsidRPr="006B1A5A">
              <w:rPr>
                <w:rFonts w:cs="ArialMT"/>
                <w:lang w:eastAsia="en-US"/>
              </w:rPr>
              <w:t xml:space="preserve">Product/Packaging: Dispose of contents/container </w:t>
            </w:r>
            <w:r w:rsidR="00E551AE" w:rsidRPr="006B1A5A">
              <w:rPr>
                <w:rFonts w:cs="ArialMT"/>
                <w:lang w:eastAsia="en-US"/>
              </w:rPr>
              <w:t xml:space="preserve">to hazardous or special waste collection point, </w:t>
            </w:r>
            <w:r w:rsidRPr="006B1A5A">
              <w:rPr>
                <w:rFonts w:cs="ArialMT"/>
                <w:lang w:eastAsia="en-US"/>
              </w:rPr>
              <w:t xml:space="preserve">in accordance with </w:t>
            </w:r>
            <w:r w:rsidR="00E551AE" w:rsidRPr="006B1A5A">
              <w:rPr>
                <w:rFonts w:cs="ArialMT"/>
                <w:lang w:eastAsia="en-US"/>
              </w:rPr>
              <w:t xml:space="preserve"> local, regional, national and/or international regulation</w:t>
            </w:r>
            <w:r w:rsidRPr="006B1A5A">
              <w:rPr>
                <w:rFonts w:cs="ArialMT"/>
                <w:lang w:eastAsia="en-US"/>
              </w:rPr>
              <w:t>.</w:t>
            </w:r>
          </w:p>
          <w:p w14:paraId="6C625375" w14:textId="6DC469B8" w:rsidR="001042DA" w:rsidRPr="003D05A5" w:rsidRDefault="003D05A5" w:rsidP="003D05A5">
            <w:pPr>
              <w:widowControl w:val="0"/>
              <w:autoSpaceDE w:val="0"/>
              <w:autoSpaceDN w:val="0"/>
              <w:adjustRightInd w:val="0"/>
              <w:spacing w:before="120"/>
              <w:jc w:val="both"/>
              <w:rPr>
                <w:rFonts w:cs="ArialMT"/>
                <w:lang w:eastAsia="en-US"/>
              </w:rPr>
            </w:pPr>
            <w:r w:rsidRPr="006B1A5A">
              <w:rPr>
                <w:rFonts w:cs="ArialMT"/>
                <w:lang w:eastAsia="en-US"/>
              </w:rPr>
              <w:t>Hazardous waste due to toxicity. Avoid release to the environment.</w:t>
            </w:r>
            <w:r w:rsidRPr="006B1A5A">
              <w:rPr>
                <w:rFonts w:cs="Times"/>
                <w:bCs/>
              </w:rPr>
              <w:t xml:space="preserve"> Waste disposal number of unused product: UN number 3082</w:t>
            </w:r>
            <w:r w:rsidR="00DE56D5">
              <w:rPr>
                <w:rFonts w:cs="Times"/>
                <w:bCs/>
              </w:rPr>
              <w:t>/</w:t>
            </w:r>
            <w:r w:rsidR="008427AD">
              <w:rPr>
                <w:rFonts w:cs="Times"/>
                <w:bCs/>
              </w:rPr>
              <w:t>European waste code EWC 02 01 99</w:t>
            </w:r>
            <w:r w:rsidRPr="006B1A5A">
              <w:rPr>
                <w:rFonts w:cs="Times"/>
                <w:bCs/>
              </w:rPr>
              <w:t>.</w:t>
            </w:r>
          </w:p>
        </w:tc>
      </w:tr>
    </w:tbl>
    <w:p w14:paraId="1948B755" w14:textId="77777777" w:rsidR="001042DA" w:rsidRPr="006B1A5A" w:rsidRDefault="001042DA" w:rsidP="00916E44">
      <w:pPr>
        <w:pStyle w:val="Overskrift4"/>
      </w:pPr>
      <w:bookmarkStart w:id="113" w:name="_Toc423017244"/>
      <w:bookmarkStart w:id="114" w:name="_Toc425344088"/>
      <w:bookmarkStart w:id="115" w:name="_Toc66448811"/>
      <w:r w:rsidRPr="006B1A5A">
        <w:lastRenderedPageBreak/>
        <w:t>Conditions of storage and shelf-life of the product under normal conditions of storage</w:t>
      </w:r>
      <w:bookmarkEnd w:id="113"/>
      <w:bookmarkEnd w:id="114"/>
      <w:bookmarkEnd w:id="11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42DA" w:rsidRPr="006B1A5A" w14:paraId="4BC07884" w14:textId="77777777" w:rsidTr="00AF2AEA">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B7A696" w14:textId="7F0F392D" w:rsidR="009B4DE6" w:rsidRPr="006B1A5A" w:rsidRDefault="009B4DE6" w:rsidP="009B4DE6">
            <w:pPr>
              <w:widowControl w:val="0"/>
              <w:autoSpaceDE w:val="0"/>
              <w:autoSpaceDN w:val="0"/>
              <w:adjustRightInd w:val="0"/>
              <w:spacing w:before="80"/>
              <w:jc w:val="both"/>
              <w:rPr>
                <w:rFonts w:cs="Times"/>
                <w:bCs/>
                <w:szCs w:val="29"/>
              </w:rPr>
            </w:pPr>
            <w:r w:rsidRPr="006B1A5A">
              <w:rPr>
                <w:rFonts w:cs="Times"/>
                <w:bCs/>
                <w:szCs w:val="29"/>
              </w:rPr>
              <w:t>The product must be stored at temperatures above 5</w:t>
            </w:r>
            <w:r w:rsidRPr="006B1A5A">
              <w:rPr>
                <w:rFonts w:cs="Times"/>
                <w:bCs/>
                <w:szCs w:val="29"/>
                <w:vertAlign w:val="superscript"/>
              </w:rPr>
              <w:t>o</w:t>
            </w:r>
            <w:r w:rsidRPr="006B1A5A">
              <w:rPr>
                <w:rFonts w:cs="Times"/>
                <w:bCs/>
                <w:szCs w:val="29"/>
              </w:rPr>
              <w:t>C</w:t>
            </w:r>
            <w:r w:rsidR="00804938">
              <w:rPr>
                <w:rFonts w:cs="Times"/>
                <w:bCs/>
                <w:szCs w:val="29"/>
              </w:rPr>
              <w:t xml:space="preserve"> and below 3</w:t>
            </w:r>
            <w:r w:rsidR="006176A8">
              <w:rPr>
                <w:rFonts w:cs="Times"/>
                <w:bCs/>
                <w:szCs w:val="29"/>
              </w:rPr>
              <w:t>0</w:t>
            </w:r>
            <w:r w:rsidR="00804938">
              <w:rPr>
                <w:rFonts w:cs="Times"/>
                <w:bCs/>
                <w:szCs w:val="29"/>
              </w:rPr>
              <w:t xml:space="preserve"> </w:t>
            </w:r>
            <w:r w:rsidR="00804938" w:rsidRPr="006B1A5A">
              <w:rPr>
                <w:rFonts w:cs="Times"/>
                <w:bCs/>
                <w:szCs w:val="29"/>
                <w:vertAlign w:val="superscript"/>
              </w:rPr>
              <w:t>o</w:t>
            </w:r>
            <w:r w:rsidR="00804938" w:rsidRPr="006B1A5A">
              <w:rPr>
                <w:rFonts w:cs="Times"/>
                <w:bCs/>
                <w:szCs w:val="29"/>
              </w:rPr>
              <w:t>C</w:t>
            </w:r>
          </w:p>
          <w:p w14:paraId="66423351" w14:textId="77777777" w:rsidR="009B4DE6" w:rsidRDefault="009B4DE6" w:rsidP="00AF2AEA"/>
          <w:p w14:paraId="681C5A62" w14:textId="77777777" w:rsidR="001042DA" w:rsidRDefault="001042DA" w:rsidP="00AF2AEA">
            <w:pPr>
              <w:rPr>
                <w:rFonts w:eastAsia="Calibri"/>
                <w:lang w:eastAsia="en-US"/>
              </w:rPr>
            </w:pPr>
            <w:r w:rsidRPr="006B1A5A">
              <w:t>The AquaNet</w:t>
            </w:r>
            <w:r w:rsidRPr="006B1A5A">
              <w:rPr>
                <w:rFonts w:cs="Times"/>
                <w:bCs/>
                <w:szCs w:val="29"/>
              </w:rPr>
              <w:t xml:space="preserve"> 360 products are stable, when stored in the original packaging at ambient temperatures, for up to 12 months</w:t>
            </w:r>
            <w:r w:rsidR="001F2DDD">
              <w:rPr>
                <w:rFonts w:eastAsia="Calibri"/>
                <w:lang w:eastAsia="en-US"/>
              </w:rPr>
              <w:t xml:space="preserve">, provided that </w:t>
            </w:r>
            <w:r w:rsidR="000E1C55">
              <w:rPr>
                <w:rFonts w:eastAsia="Calibri"/>
                <w:lang w:eastAsia="en-US"/>
              </w:rPr>
              <w:t>p</w:t>
            </w:r>
            <w:r w:rsidR="001F2DDD">
              <w:rPr>
                <w:rFonts w:eastAsia="Calibri"/>
                <w:lang w:eastAsia="en-US"/>
              </w:rPr>
              <w:t>roper measures are taken to ensure that the product is homogeneous prior to application</w:t>
            </w:r>
          </w:p>
          <w:p w14:paraId="5E6E011B" w14:textId="77777777" w:rsidR="00804938" w:rsidRDefault="00804938" w:rsidP="00AF2AEA">
            <w:pPr>
              <w:rPr>
                <w:rFonts w:eastAsia="Calibri"/>
                <w:lang w:eastAsia="en-US"/>
              </w:rPr>
            </w:pPr>
          </w:p>
          <w:p w14:paraId="15ADE896" w14:textId="0B89EB2E" w:rsidR="001042DA" w:rsidRPr="006B1A5A" w:rsidRDefault="00804938" w:rsidP="00AF2AEA">
            <w:r w:rsidRPr="00804938">
              <w:t>Store in a well-ventilated place. Keep container tightly closed. Protect from sunlight.</w:t>
            </w:r>
          </w:p>
        </w:tc>
      </w:tr>
    </w:tbl>
    <w:p w14:paraId="31DC385F" w14:textId="77777777" w:rsidR="001042DA" w:rsidRPr="006B1A5A" w:rsidRDefault="001042DA" w:rsidP="001042DA">
      <w:pPr>
        <w:pStyle w:val="Absatz"/>
        <w:rPr>
          <w:lang w:eastAsia="en-US"/>
        </w:rPr>
      </w:pPr>
    </w:p>
    <w:p w14:paraId="686B54DF" w14:textId="77777777" w:rsidR="001042DA" w:rsidRPr="006B1A5A" w:rsidRDefault="001042DA" w:rsidP="001042DA">
      <w:pPr>
        <w:pStyle w:val="Absatz"/>
        <w:rPr>
          <w:lang w:eastAsia="en-US"/>
        </w:rPr>
      </w:pPr>
    </w:p>
    <w:p w14:paraId="78A3F056" w14:textId="77777777" w:rsidR="001042DA" w:rsidRPr="006B1A5A" w:rsidRDefault="001042DA" w:rsidP="001042DA">
      <w:pPr>
        <w:pStyle w:val="Overskrift3"/>
        <w:rPr>
          <w:lang w:val="en-GB"/>
        </w:rPr>
      </w:pPr>
      <w:bookmarkStart w:id="116" w:name="_Toc425344089"/>
      <w:bookmarkStart w:id="117" w:name="_Toc66448812"/>
      <w:r w:rsidRPr="006B1A5A">
        <w:rPr>
          <w:lang w:val="en-GB"/>
        </w:rPr>
        <w:t>Other information</w:t>
      </w:r>
      <w:bookmarkEnd w:id="116"/>
      <w:bookmarkEnd w:id="11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42DA" w:rsidRPr="006B1A5A" w14:paraId="19502E7F" w14:textId="77777777" w:rsidTr="00AF2AEA">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BEA837" w14:textId="68CBEB8F" w:rsidR="00EB4520" w:rsidRDefault="00EB4520" w:rsidP="00AF2AEA"/>
          <w:p w14:paraId="5DEF1289" w14:textId="66CA41E3" w:rsidR="00EB4520" w:rsidRDefault="00EB4520" w:rsidP="00AF2AEA">
            <w:r>
              <w:t xml:space="preserve">The label of the biocidal product must provide advise on how to perform the deployment of the treated nets. As a minimum, the label must specify that </w:t>
            </w:r>
            <w:r w:rsidR="000E32AD">
              <w:t xml:space="preserve">suitable chemical protective </w:t>
            </w:r>
            <w:r>
              <w:t>gloves and eye protection</w:t>
            </w:r>
            <w:r w:rsidR="000E32AD">
              <w:t xml:space="preserve"> (goggles)</w:t>
            </w:r>
            <w:r>
              <w:t xml:space="preserve"> should be used during net deployment. Other PPE should be specified according to the authorisation holder</w:t>
            </w:r>
            <w:r w:rsidR="00C4240A">
              <w:t>'</w:t>
            </w:r>
            <w:r>
              <w:t xml:space="preserve">s recommendations. </w:t>
            </w:r>
          </w:p>
          <w:p w14:paraId="444800B6" w14:textId="4247F782" w:rsidR="00EB4520" w:rsidRPr="006B1A5A" w:rsidRDefault="00EB4520" w:rsidP="00AF2AEA"/>
        </w:tc>
      </w:tr>
    </w:tbl>
    <w:p w14:paraId="34147296" w14:textId="77777777" w:rsidR="001042DA" w:rsidRPr="006B1A5A" w:rsidRDefault="001042DA" w:rsidP="001042DA">
      <w:pPr>
        <w:pStyle w:val="Absatz"/>
        <w:rPr>
          <w:lang w:eastAsia="en-US"/>
        </w:rPr>
      </w:pPr>
    </w:p>
    <w:bookmarkEnd w:id="79"/>
    <w:bookmarkEnd w:id="80"/>
    <w:p w14:paraId="0F7CC407" w14:textId="77777777" w:rsidR="001042DA" w:rsidRPr="006B1A5A" w:rsidRDefault="001042DA" w:rsidP="001042DA"/>
    <w:p w14:paraId="40790AB9" w14:textId="77777777" w:rsidR="001042DA" w:rsidRPr="006B1A5A" w:rsidRDefault="001042DA" w:rsidP="001042DA">
      <w:pPr>
        <w:tabs>
          <w:tab w:val="left" w:pos="500"/>
        </w:tabs>
        <w:ind w:left="500" w:hanging="500"/>
      </w:pPr>
    </w:p>
    <w:p w14:paraId="7E9D2E4D" w14:textId="77777777" w:rsidR="001042DA" w:rsidRPr="006B1A5A" w:rsidRDefault="001042DA" w:rsidP="001042DA">
      <w:pPr>
        <w:pStyle w:val="Overskrift3"/>
        <w:rPr>
          <w:lang w:val="en-GB"/>
        </w:rPr>
      </w:pPr>
      <w:bookmarkStart w:id="118" w:name="_Toc403566549"/>
      <w:bookmarkStart w:id="119" w:name="_Toc425344090"/>
      <w:bookmarkStart w:id="120" w:name="_Toc66448813"/>
      <w:r w:rsidRPr="006B1A5A">
        <w:rPr>
          <w:lang w:val="en-GB"/>
        </w:rPr>
        <w:t>Packaging of the biocidal product</w:t>
      </w:r>
      <w:bookmarkEnd w:id="118"/>
      <w:bookmarkEnd w:id="119"/>
      <w:bookmarkEnd w:id="1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568"/>
        <w:gridCol w:w="1340"/>
        <w:gridCol w:w="1703"/>
        <w:gridCol w:w="1631"/>
        <w:gridCol w:w="1634"/>
      </w:tblGrid>
      <w:tr w:rsidR="006E356B" w:rsidRPr="006B1A5A" w14:paraId="555247AE" w14:textId="77777777" w:rsidTr="00AF2AEA">
        <w:tc>
          <w:tcPr>
            <w:tcW w:w="1328" w:type="dxa"/>
            <w:shd w:val="clear" w:color="auto" w:fill="FFFFCC"/>
          </w:tcPr>
          <w:p w14:paraId="6F062AAB" w14:textId="77777777" w:rsidR="001042DA" w:rsidRPr="006B1A5A" w:rsidRDefault="001042DA" w:rsidP="00AF2AEA">
            <w:pPr>
              <w:spacing w:line="260" w:lineRule="atLeast"/>
              <w:rPr>
                <w:rFonts w:eastAsia="Calibri"/>
                <w:b/>
                <w:sz w:val="18"/>
                <w:lang w:eastAsia="en-US"/>
              </w:rPr>
            </w:pPr>
            <w:r w:rsidRPr="006B1A5A">
              <w:rPr>
                <w:rFonts w:eastAsia="Calibri"/>
                <w:b/>
                <w:sz w:val="18"/>
                <w:lang w:eastAsia="en-US"/>
              </w:rPr>
              <w:t>Type of packaging</w:t>
            </w:r>
            <w:r w:rsidRPr="006B1A5A" w:rsidDel="00F33E33">
              <w:rPr>
                <w:rFonts w:eastAsia="Calibri"/>
                <w:b/>
                <w:sz w:val="18"/>
                <w:lang w:eastAsia="en-US"/>
              </w:rPr>
              <w:t xml:space="preserve"> </w:t>
            </w:r>
          </w:p>
        </w:tc>
        <w:tc>
          <w:tcPr>
            <w:tcW w:w="1568" w:type="dxa"/>
            <w:shd w:val="clear" w:color="auto" w:fill="FFFFCC"/>
          </w:tcPr>
          <w:p w14:paraId="5A9FD522" w14:textId="77777777" w:rsidR="001042DA" w:rsidRPr="006B1A5A" w:rsidRDefault="001042DA" w:rsidP="00AF2AEA">
            <w:pPr>
              <w:spacing w:line="260" w:lineRule="atLeast"/>
              <w:rPr>
                <w:rFonts w:eastAsia="Calibri"/>
                <w:b/>
                <w:sz w:val="18"/>
                <w:lang w:eastAsia="en-US"/>
              </w:rPr>
            </w:pPr>
            <w:r w:rsidRPr="006B1A5A">
              <w:rPr>
                <w:rFonts w:eastAsia="Calibri"/>
                <w:b/>
                <w:sz w:val="18"/>
                <w:lang w:eastAsia="en-US"/>
              </w:rPr>
              <w:t>Size/volume</w:t>
            </w:r>
            <w:r w:rsidRPr="006B1A5A" w:rsidDel="00F33E33">
              <w:rPr>
                <w:rFonts w:eastAsia="Calibri"/>
                <w:b/>
                <w:sz w:val="18"/>
                <w:lang w:eastAsia="en-US"/>
              </w:rPr>
              <w:t xml:space="preserve"> </w:t>
            </w:r>
            <w:r w:rsidRPr="006B1A5A">
              <w:rPr>
                <w:rFonts w:eastAsia="Calibri"/>
                <w:b/>
                <w:sz w:val="18"/>
                <w:lang w:eastAsia="en-US"/>
              </w:rPr>
              <w:t>of the packaging</w:t>
            </w:r>
          </w:p>
        </w:tc>
        <w:tc>
          <w:tcPr>
            <w:tcW w:w="1340" w:type="dxa"/>
            <w:shd w:val="clear" w:color="auto" w:fill="FFFFCC"/>
          </w:tcPr>
          <w:p w14:paraId="40C072A9" w14:textId="77777777" w:rsidR="001042DA" w:rsidRPr="006B1A5A" w:rsidRDefault="001042DA" w:rsidP="00AF2AEA">
            <w:pPr>
              <w:spacing w:line="260" w:lineRule="atLeast"/>
              <w:rPr>
                <w:rFonts w:eastAsia="Calibri"/>
                <w:b/>
                <w:sz w:val="18"/>
                <w:lang w:eastAsia="en-US"/>
              </w:rPr>
            </w:pPr>
            <w:r w:rsidRPr="006B1A5A">
              <w:rPr>
                <w:rFonts w:eastAsia="Calibri"/>
                <w:b/>
                <w:sz w:val="18"/>
                <w:lang w:eastAsia="en-US"/>
              </w:rPr>
              <w:t>Material of the packaging</w:t>
            </w:r>
          </w:p>
        </w:tc>
        <w:tc>
          <w:tcPr>
            <w:tcW w:w="1703" w:type="dxa"/>
            <w:shd w:val="clear" w:color="auto" w:fill="FFFFCC"/>
          </w:tcPr>
          <w:p w14:paraId="31FB9A28" w14:textId="77777777" w:rsidR="001042DA" w:rsidRPr="006B1A5A" w:rsidRDefault="001042DA" w:rsidP="00AF2AEA">
            <w:pPr>
              <w:spacing w:line="260" w:lineRule="atLeast"/>
              <w:rPr>
                <w:rFonts w:eastAsia="Calibri"/>
                <w:b/>
                <w:sz w:val="18"/>
                <w:lang w:eastAsia="en-US"/>
              </w:rPr>
            </w:pPr>
            <w:r w:rsidRPr="006B1A5A">
              <w:rPr>
                <w:rFonts w:eastAsia="Calibri"/>
                <w:b/>
                <w:sz w:val="18"/>
                <w:lang w:eastAsia="en-US"/>
              </w:rPr>
              <w:t>Type and material of closure(s)</w:t>
            </w:r>
          </w:p>
        </w:tc>
        <w:tc>
          <w:tcPr>
            <w:tcW w:w="1631" w:type="dxa"/>
            <w:shd w:val="clear" w:color="auto" w:fill="FFFFCC"/>
          </w:tcPr>
          <w:p w14:paraId="1C55C56D" w14:textId="77777777" w:rsidR="001042DA" w:rsidRPr="006B1A5A" w:rsidRDefault="001042DA" w:rsidP="00AF2AEA">
            <w:pPr>
              <w:spacing w:line="260" w:lineRule="atLeast"/>
              <w:rPr>
                <w:rFonts w:eastAsia="Calibri"/>
                <w:b/>
                <w:sz w:val="18"/>
                <w:lang w:eastAsia="en-US"/>
              </w:rPr>
            </w:pPr>
            <w:r w:rsidRPr="006B1A5A">
              <w:rPr>
                <w:rFonts w:eastAsia="Calibri"/>
                <w:b/>
                <w:sz w:val="18"/>
                <w:lang w:eastAsia="en-US"/>
              </w:rPr>
              <w:t>Intended user (e.g. professional, non-professional)</w:t>
            </w:r>
          </w:p>
        </w:tc>
        <w:tc>
          <w:tcPr>
            <w:tcW w:w="1634" w:type="dxa"/>
            <w:shd w:val="clear" w:color="auto" w:fill="FFFFCC"/>
          </w:tcPr>
          <w:p w14:paraId="2183B8B9" w14:textId="77777777" w:rsidR="001042DA" w:rsidRPr="006B1A5A" w:rsidRDefault="001042DA" w:rsidP="00AF2AEA">
            <w:pPr>
              <w:spacing w:line="260" w:lineRule="atLeast"/>
              <w:rPr>
                <w:rFonts w:eastAsia="Calibri"/>
                <w:b/>
                <w:sz w:val="18"/>
                <w:lang w:eastAsia="en-US"/>
              </w:rPr>
            </w:pPr>
            <w:r w:rsidRPr="006B1A5A">
              <w:rPr>
                <w:rFonts w:eastAsia="Calibri"/>
                <w:b/>
                <w:sz w:val="18"/>
                <w:lang w:eastAsia="en-US"/>
              </w:rPr>
              <w:t>Compatibility of the product with the proposed packaging materials (Yes/No)</w:t>
            </w:r>
          </w:p>
        </w:tc>
      </w:tr>
      <w:tr w:rsidR="006E356B" w:rsidRPr="006B1A5A" w14:paraId="55D4D5AF" w14:textId="77777777" w:rsidTr="00AF2AEA">
        <w:tc>
          <w:tcPr>
            <w:tcW w:w="1328" w:type="dxa"/>
            <w:shd w:val="clear" w:color="auto" w:fill="auto"/>
          </w:tcPr>
          <w:p w14:paraId="5094BA13" w14:textId="77777777" w:rsidR="001042DA" w:rsidRPr="006B1A5A" w:rsidRDefault="001042DA" w:rsidP="00AF2AEA">
            <w:pPr>
              <w:spacing w:line="260" w:lineRule="atLeast"/>
              <w:rPr>
                <w:rFonts w:eastAsia="Calibri"/>
                <w:lang w:eastAsia="en-US"/>
              </w:rPr>
            </w:pPr>
            <w:r w:rsidRPr="006B1A5A">
              <w:rPr>
                <w:rFonts w:eastAsia="Calibri"/>
                <w:lang w:eastAsia="en-US"/>
              </w:rPr>
              <w:t>IBC</w:t>
            </w:r>
          </w:p>
        </w:tc>
        <w:tc>
          <w:tcPr>
            <w:tcW w:w="1568" w:type="dxa"/>
            <w:shd w:val="clear" w:color="auto" w:fill="auto"/>
          </w:tcPr>
          <w:p w14:paraId="74B338E6" w14:textId="77777777" w:rsidR="001042DA" w:rsidRPr="006B1A5A" w:rsidRDefault="001042DA" w:rsidP="00AF2AEA">
            <w:pPr>
              <w:spacing w:line="260" w:lineRule="atLeast"/>
              <w:rPr>
                <w:rFonts w:eastAsia="Calibri"/>
                <w:lang w:eastAsia="en-US"/>
              </w:rPr>
            </w:pPr>
            <w:r w:rsidRPr="006B1A5A">
              <w:rPr>
                <w:rFonts w:eastAsia="Calibri"/>
                <w:lang w:eastAsia="en-US"/>
              </w:rPr>
              <w:t>1000 L</w:t>
            </w:r>
          </w:p>
        </w:tc>
        <w:tc>
          <w:tcPr>
            <w:tcW w:w="1340" w:type="dxa"/>
            <w:shd w:val="clear" w:color="auto" w:fill="auto"/>
          </w:tcPr>
          <w:p w14:paraId="1A9AD322" w14:textId="77777777" w:rsidR="001042DA" w:rsidRPr="006B1A5A" w:rsidRDefault="001042DA" w:rsidP="00AF2AEA">
            <w:pPr>
              <w:spacing w:line="260" w:lineRule="atLeast"/>
              <w:rPr>
                <w:rFonts w:eastAsia="Calibri"/>
                <w:lang w:eastAsia="en-US"/>
              </w:rPr>
            </w:pPr>
            <w:r w:rsidRPr="006B1A5A">
              <w:rPr>
                <w:rFonts w:eastAsia="Calibri"/>
                <w:lang w:eastAsia="en-US"/>
              </w:rPr>
              <w:t>HDPE</w:t>
            </w:r>
          </w:p>
        </w:tc>
        <w:tc>
          <w:tcPr>
            <w:tcW w:w="1703" w:type="dxa"/>
            <w:shd w:val="clear" w:color="auto" w:fill="auto"/>
          </w:tcPr>
          <w:p w14:paraId="40A27154" w14:textId="77777777" w:rsidR="001042DA" w:rsidRPr="006B1A5A" w:rsidRDefault="001042DA" w:rsidP="00AF2AEA">
            <w:pPr>
              <w:spacing w:line="260" w:lineRule="atLeast"/>
              <w:rPr>
                <w:rFonts w:eastAsia="Calibri"/>
                <w:lang w:eastAsia="en-US"/>
              </w:rPr>
            </w:pPr>
            <w:r w:rsidRPr="006B1A5A">
              <w:rPr>
                <w:rFonts w:eastAsia="Calibri"/>
                <w:lang w:eastAsia="en-US"/>
              </w:rPr>
              <w:t>Lid</w:t>
            </w:r>
          </w:p>
        </w:tc>
        <w:tc>
          <w:tcPr>
            <w:tcW w:w="1631" w:type="dxa"/>
            <w:shd w:val="clear" w:color="auto" w:fill="auto"/>
          </w:tcPr>
          <w:p w14:paraId="32E28346" w14:textId="105E56AB" w:rsidR="001042DA" w:rsidRPr="006B1A5A" w:rsidRDefault="00B80ADC" w:rsidP="00AF2AEA">
            <w:pPr>
              <w:spacing w:line="260" w:lineRule="atLeast"/>
              <w:rPr>
                <w:rFonts w:eastAsia="Calibri"/>
                <w:lang w:eastAsia="en-US"/>
              </w:rPr>
            </w:pPr>
            <w:r>
              <w:rPr>
                <w:rFonts w:eastAsia="Calibri"/>
                <w:lang w:eastAsia="en-US"/>
              </w:rPr>
              <w:t>Industrial</w:t>
            </w:r>
          </w:p>
        </w:tc>
        <w:tc>
          <w:tcPr>
            <w:tcW w:w="1634" w:type="dxa"/>
          </w:tcPr>
          <w:p w14:paraId="36D2F384" w14:textId="77777777" w:rsidR="001042DA" w:rsidRPr="006B1A5A" w:rsidRDefault="001042DA" w:rsidP="00AF2AEA">
            <w:pPr>
              <w:spacing w:line="260" w:lineRule="atLeast"/>
              <w:rPr>
                <w:rFonts w:eastAsia="Calibri"/>
                <w:lang w:eastAsia="en-US"/>
              </w:rPr>
            </w:pPr>
            <w:r w:rsidRPr="006B1A5A">
              <w:rPr>
                <w:rFonts w:eastAsia="Calibri"/>
                <w:lang w:eastAsia="en-US"/>
              </w:rPr>
              <w:t>Yes</w:t>
            </w:r>
          </w:p>
        </w:tc>
      </w:tr>
    </w:tbl>
    <w:p w14:paraId="61168665" w14:textId="77777777" w:rsidR="001042DA" w:rsidRPr="006B1A5A" w:rsidRDefault="001042DA" w:rsidP="001042DA">
      <w:pPr>
        <w:spacing w:line="260" w:lineRule="atLeast"/>
        <w:rPr>
          <w:rFonts w:eastAsia="Calibri"/>
          <w:lang w:eastAsia="en-US"/>
        </w:rPr>
      </w:pPr>
    </w:p>
    <w:p w14:paraId="382EB924" w14:textId="77777777" w:rsidR="001042DA" w:rsidRPr="006B1A5A" w:rsidRDefault="001042DA" w:rsidP="001042DA"/>
    <w:p w14:paraId="73817BDB" w14:textId="77777777" w:rsidR="001042DA" w:rsidRPr="006B1A5A" w:rsidRDefault="001042DA" w:rsidP="001042DA">
      <w:pPr>
        <w:pStyle w:val="Overskrift3"/>
        <w:rPr>
          <w:lang w:val="en-GB" w:eastAsia="en-US"/>
        </w:rPr>
      </w:pPr>
      <w:bookmarkStart w:id="121" w:name="_Toc425344097"/>
      <w:bookmarkStart w:id="122" w:name="_Toc66448814"/>
      <w:bookmarkStart w:id="123" w:name="_Toc366658854"/>
      <w:bookmarkStart w:id="124" w:name="d0e2119"/>
      <w:r w:rsidRPr="006B1A5A">
        <w:rPr>
          <w:lang w:val="en-GB" w:eastAsia="en-US"/>
        </w:rPr>
        <w:t>Documentation</w:t>
      </w:r>
      <w:bookmarkEnd w:id="121"/>
      <w:bookmarkEnd w:id="122"/>
    </w:p>
    <w:p w14:paraId="49798256" w14:textId="77777777" w:rsidR="001042DA" w:rsidRPr="006B1A5A" w:rsidRDefault="001042DA" w:rsidP="00916E44">
      <w:pPr>
        <w:pStyle w:val="Overskrift4"/>
      </w:pPr>
      <w:bookmarkStart w:id="125" w:name="_Toc425344098"/>
      <w:bookmarkStart w:id="126" w:name="_Toc66448815"/>
      <w:r w:rsidRPr="006B1A5A">
        <w:t>Data submitted in relation to product application</w:t>
      </w:r>
      <w:bookmarkEnd w:id="125"/>
      <w:bookmarkEnd w:id="126"/>
    </w:p>
    <w:p w14:paraId="5589E7CB" w14:textId="77777777" w:rsidR="001042DA" w:rsidRPr="006B1A5A" w:rsidRDefault="001042DA" w:rsidP="001042DA">
      <w:pPr>
        <w:spacing w:line="260" w:lineRule="atLeast"/>
        <w:rPr>
          <w:rFonts w:eastAsia="Calibri" w:cs="Times"/>
          <w:bCs/>
          <w:szCs w:val="29"/>
        </w:rPr>
      </w:pPr>
      <w:r w:rsidRPr="006B1A5A">
        <w:rPr>
          <w:rFonts w:eastAsia="Calibri" w:cs="Times"/>
          <w:bCs/>
          <w:szCs w:val="29"/>
        </w:rPr>
        <w:t>Please see reference list</w:t>
      </w:r>
    </w:p>
    <w:p w14:paraId="268E4CAF" w14:textId="77777777" w:rsidR="001042DA" w:rsidRPr="006B1A5A" w:rsidRDefault="001042DA" w:rsidP="00916E44">
      <w:pPr>
        <w:pStyle w:val="Overskrift4"/>
      </w:pPr>
      <w:bookmarkStart w:id="127" w:name="_Toc425344099"/>
      <w:bookmarkStart w:id="128" w:name="_Toc66448816"/>
      <w:r w:rsidRPr="006B1A5A">
        <w:t>Access to documentation</w:t>
      </w:r>
      <w:bookmarkEnd w:id="127"/>
      <w:bookmarkEnd w:id="128"/>
    </w:p>
    <w:p w14:paraId="3C20ABAB" w14:textId="77777777" w:rsidR="001042DA" w:rsidRPr="006B1A5A" w:rsidRDefault="001042DA" w:rsidP="001042DA">
      <w:pPr>
        <w:spacing w:line="260" w:lineRule="atLeast"/>
        <w:jc w:val="both"/>
        <w:rPr>
          <w:rFonts w:eastAsia="Calibri" w:cs="Times"/>
          <w:bCs/>
          <w:szCs w:val="29"/>
        </w:rPr>
      </w:pPr>
      <w:r w:rsidRPr="006B1A5A">
        <w:rPr>
          <w:rFonts w:eastAsia="Calibri" w:cs="Times"/>
          <w:bCs/>
          <w:szCs w:val="29"/>
        </w:rPr>
        <w:t>The applicant has access to all the data submitted for the approval of the active substances, dicopper oxide and copper thiocyanate. Letters of access are provided.</w:t>
      </w:r>
    </w:p>
    <w:p w14:paraId="4C668DA5" w14:textId="77777777" w:rsidR="001042DA" w:rsidRPr="006B1A5A" w:rsidRDefault="001042DA" w:rsidP="001042DA">
      <w:pPr>
        <w:spacing w:line="260" w:lineRule="atLeast"/>
        <w:rPr>
          <w:rFonts w:eastAsia="Calibri" w:cs="Times"/>
          <w:bCs/>
          <w:szCs w:val="29"/>
        </w:rPr>
      </w:pPr>
    </w:p>
    <w:p w14:paraId="1554DA92" w14:textId="77777777" w:rsidR="001042DA" w:rsidRPr="006B1A5A" w:rsidRDefault="001042DA" w:rsidP="001042DA">
      <w:pPr>
        <w:spacing w:line="260" w:lineRule="atLeast"/>
        <w:rPr>
          <w:rFonts w:eastAsia="Calibri" w:cs="Times"/>
          <w:bCs/>
          <w:szCs w:val="29"/>
        </w:rPr>
      </w:pPr>
      <w:r w:rsidRPr="006B1A5A">
        <w:rPr>
          <w:rFonts w:eastAsia="Calibri" w:cs="Times"/>
          <w:bCs/>
          <w:szCs w:val="29"/>
        </w:rPr>
        <w:t>The applicant is the owner of all data submitted on the Aquanet 360 BPF.</w:t>
      </w:r>
      <w:bookmarkStart w:id="129" w:name="_Toc389728863"/>
      <w:bookmarkEnd w:id="123"/>
      <w:bookmarkEnd w:id="124"/>
    </w:p>
    <w:p w14:paraId="7351CE88" w14:textId="77777777" w:rsidR="001042DA" w:rsidRPr="006B1A5A" w:rsidRDefault="001042DA" w:rsidP="001042DA">
      <w:pPr>
        <w:spacing w:line="260" w:lineRule="atLeast"/>
        <w:rPr>
          <w:rFonts w:eastAsia="Calibri" w:cs="Times"/>
          <w:bCs/>
          <w:szCs w:val="29"/>
        </w:rPr>
      </w:pPr>
    </w:p>
    <w:p w14:paraId="246D19CA" w14:textId="67C6858D" w:rsidR="001042DA" w:rsidRPr="006B1A5A" w:rsidRDefault="001042DA" w:rsidP="00E25F93">
      <w:pPr>
        <w:pStyle w:val="Overskrift2"/>
      </w:pPr>
      <w:bookmarkStart w:id="130" w:name="_Toc387244927"/>
      <w:bookmarkStart w:id="131" w:name="_Toc387250751"/>
      <w:bookmarkStart w:id="132" w:name="_Toc388374050"/>
      <w:bookmarkStart w:id="133" w:name="_Toc387244929"/>
      <w:bookmarkStart w:id="134" w:name="_Toc387250753"/>
      <w:bookmarkStart w:id="135" w:name="_Toc387244930"/>
      <w:bookmarkStart w:id="136" w:name="_Toc387250754"/>
      <w:bookmarkStart w:id="137" w:name="_Toc387244932"/>
      <w:bookmarkStart w:id="138" w:name="_Toc387250756"/>
      <w:bookmarkStart w:id="139" w:name="_Toc388374053"/>
      <w:bookmarkStart w:id="140" w:name="_Toc387244935"/>
      <w:bookmarkStart w:id="141" w:name="_Toc387250759"/>
      <w:bookmarkStart w:id="142" w:name="_Toc388281243"/>
      <w:bookmarkStart w:id="143" w:name="_Toc388281699"/>
      <w:bookmarkStart w:id="144" w:name="_Toc388282181"/>
      <w:bookmarkStart w:id="145" w:name="_Toc388282629"/>
      <w:bookmarkStart w:id="146" w:name="_Toc387244936"/>
      <w:bookmarkStart w:id="147" w:name="_Toc387250760"/>
      <w:bookmarkStart w:id="148" w:name="_Toc388281244"/>
      <w:bookmarkStart w:id="149" w:name="_Toc388281700"/>
      <w:bookmarkStart w:id="150" w:name="_Toc388282182"/>
      <w:bookmarkStart w:id="151" w:name="_Toc388282630"/>
      <w:bookmarkStart w:id="152" w:name="_Toc387244937"/>
      <w:bookmarkStart w:id="153" w:name="_Toc387250761"/>
      <w:bookmarkStart w:id="154" w:name="_Toc388281245"/>
      <w:bookmarkStart w:id="155" w:name="_Toc388281701"/>
      <w:bookmarkStart w:id="156" w:name="_Toc388282183"/>
      <w:bookmarkStart w:id="157" w:name="_Toc388282631"/>
      <w:bookmarkStart w:id="158" w:name="_Toc387244938"/>
      <w:bookmarkStart w:id="159" w:name="_Toc387250762"/>
      <w:bookmarkStart w:id="160" w:name="_Toc388281246"/>
      <w:bookmarkStart w:id="161" w:name="_Toc388281702"/>
      <w:bookmarkStart w:id="162" w:name="_Toc388282184"/>
      <w:bookmarkStart w:id="163" w:name="_Toc388282632"/>
      <w:bookmarkStart w:id="164" w:name="_Toc387244939"/>
      <w:bookmarkStart w:id="165" w:name="_Toc387250763"/>
      <w:bookmarkStart w:id="166" w:name="_Toc388281247"/>
      <w:bookmarkStart w:id="167" w:name="_Toc388281703"/>
      <w:bookmarkStart w:id="168" w:name="_Toc388282185"/>
      <w:bookmarkStart w:id="169" w:name="_Toc388282633"/>
      <w:bookmarkStart w:id="170" w:name="_Toc387244940"/>
      <w:bookmarkStart w:id="171" w:name="_Toc387250764"/>
      <w:bookmarkStart w:id="172" w:name="_Toc388281248"/>
      <w:bookmarkStart w:id="173" w:name="_Toc388281704"/>
      <w:bookmarkStart w:id="174" w:name="_Toc388282186"/>
      <w:bookmarkStart w:id="175" w:name="_Toc388282634"/>
      <w:bookmarkStart w:id="176" w:name="_Toc387244941"/>
      <w:bookmarkStart w:id="177" w:name="_Toc387250765"/>
      <w:bookmarkStart w:id="178" w:name="_Toc388281249"/>
      <w:bookmarkStart w:id="179" w:name="_Toc388281705"/>
      <w:bookmarkStart w:id="180" w:name="_Toc388282187"/>
      <w:bookmarkStart w:id="181" w:name="_Toc388282635"/>
      <w:bookmarkStart w:id="182" w:name="_Toc389725110"/>
      <w:bookmarkStart w:id="183" w:name="_Toc389726046"/>
      <w:bookmarkStart w:id="184" w:name="_Toc389727098"/>
      <w:bookmarkStart w:id="185" w:name="_Toc389727456"/>
      <w:bookmarkStart w:id="186" w:name="_Toc389727815"/>
      <w:bookmarkStart w:id="187" w:name="_Toc389728174"/>
      <w:bookmarkStart w:id="188" w:name="_Toc389728534"/>
      <w:bookmarkStart w:id="189" w:name="_Toc389728892"/>
      <w:bookmarkStart w:id="190" w:name="_Toc387244961"/>
      <w:bookmarkStart w:id="191" w:name="_Toc387250770"/>
      <w:bookmarkStart w:id="192" w:name="_Toc388281268"/>
      <w:bookmarkStart w:id="193" w:name="_Toc388281724"/>
      <w:bookmarkStart w:id="194" w:name="_Toc388282206"/>
      <w:bookmarkStart w:id="195" w:name="_Toc388282654"/>
      <w:bookmarkStart w:id="196" w:name="_Toc387244962"/>
      <w:bookmarkStart w:id="197" w:name="_Toc387250771"/>
      <w:bookmarkStart w:id="198" w:name="_Toc388281269"/>
      <w:bookmarkStart w:id="199" w:name="_Toc388281725"/>
      <w:bookmarkStart w:id="200" w:name="_Toc388282207"/>
      <w:bookmarkStart w:id="201" w:name="_Toc388282655"/>
      <w:bookmarkStart w:id="202" w:name="_Toc388281270"/>
      <w:bookmarkStart w:id="203" w:name="_Toc388281726"/>
      <w:bookmarkStart w:id="204" w:name="_Toc388282208"/>
      <w:bookmarkStart w:id="205" w:name="_Toc388282656"/>
      <w:bookmarkStart w:id="206" w:name="_Toc388281275"/>
      <w:bookmarkStart w:id="207" w:name="_Toc388281731"/>
      <w:bookmarkStart w:id="208" w:name="_Toc388282213"/>
      <w:bookmarkStart w:id="209" w:name="_Toc388282661"/>
      <w:bookmarkStart w:id="210" w:name="_Toc388284930"/>
      <w:bookmarkStart w:id="211" w:name="_Toc388374075"/>
      <w:bookmarkStart w:id="212" w:name="_Toc388281276"/>
      <w:bookmarkStart w:id="213" w:name="_Toc388281732"/>
      <w:bookmarkStart w:id="214" w:name="_Toc388282214"/>
      <w:bookmarkStart w:id="215" w:name="_Toc388282662"/>
      <w:bookmarkStart w:id="216" w:name="_Toc388284931"/>
      <w:bookmarkStart w:id="217" w:name="_Toc388281277"/>
      <w:bookmarkStart w:id="218" w:name="_Toc388281733"/>
      <w:bookmarkStart w:id="219" w:name="_Toc388282215"/>
      <w:bookmarkStart w:id="220" w:name="_Toc388282663"/>
      <w:bookmarkStart w:id="221" w:name="_Toc388284932"/>
      <w:bookmarkStart w:id="222" w:name="_Toc388374077"/>
      <w:bookmarkStart w:id="223" w:name="_Toc377644220"/>
      <w:bookmarkStart w:id="224" w:name="_Toc377644817"/>
      <w:bookmarkStart w:id="225" w:name="_Toc377646047"/>
      <w:bookmarkStart w:id="226" w:name="_Toc377648982"/>
      <w:bookmarkStart w:id="227" w:name="_Toc377650835"/>
      <w:bookmarkStart w:id="228" w:name="_Toc377650962"/>
      <w:bookmarkStart w:id="229" w:name="_Toc377653231"/>
      <w:bookmarkStart w:id="230" w:name="_Toc378351536"/>
      <w:bookmarkStart w:id="231" w:name="_Toc378681285"/>
      <w:bookmarkStart w:id="232" w:name="_Toc378682205"/>
      <w:bookmarkStart w:id="233" w:name="_Toc378683652"/>
      <w:bookmarkStart w:id="234" w:name="_Toc378685340"/>
      <w:bookmarkStart w:id="235" w:name="_Toc378685476"/>
      <w:bookmarkStart w:id="236" w:name="_Toc378691685"/>
      <w:bookmarkStart w:id="237" w:name="_Toc378692142"/>
      <w:bookmarkStart w:id="238" w:name="_Toc378692279"/>
      <w:bookmarkStart w:id="239" w:name="_Toc378692416"/>
      <w:bookmarkStart w:id="240" w:name="_Toc378761118"/>
      <w:bookmarkStart w:id="241" w:name="_Toc378761261"/>
      <w:bookmarkStart w:id="242" w:name="_Toc378761404"/>
      <w:bookmarkStart w:id="243" w:name="_Toc378761547"/>
      <w:bookmarkStart w:id="244" w:name="_Toc378761860"/>
      <w:bookmarkStart w:id="245" w:name="_Toc378762000"/>
      <w:bookmarkStart w:id="246" w:name="_Toc378762138"/>
      <w:bookmarkStart w:id="247" w:name="_Toc378765615"/>
      <w:bookmarkStart w:id="248" w:name="_Toc378767363"/>
      <w:bookmarkStart w:id="249" w:name="_Toc378774958"/>
      <w:bookmarkStart w:id="250" w:name="_Toc378776153"/>
      <w:bookmarkStart w:id="251" w:name="_Toc378841233"/>
      <w:bookmarkStart w:id="252" w:name="_Toc378858832"/>
      <w:bookmarkStart w:id="253" w:name="_Toc378859060"/>
      <w:bookmarkStart w:id="254" w:name="_Toc377646048"/>
      <w:bookmarkStart w:id="255" w:name="_Toc377648983"/>
      <w:bookmarkStart w:id="256" w:name="_Toc377650836"/>
      <w:bookmarkStart w:id="257" w:name="_Toc377650963"/>
      <w:bookmarkStart w:id="258" w:name="_Toc377653232"/>
      <w:bookmarkStart w:id="259" w:name="_Toc378351537"/>
      <w:bookmarkStart w:id="260" w:name="_Toc378681286"/>
      <w:bookmarkStart w:id="261" w:name="_Toc378682206"/>
      <w:bookmarkStart w:id="262" w:name="_Toc378683653"/>
      <w:bookmarkStart w:id="263" w:name="_Toc378685341"/>
      <w:bookmarkStart w:id="264" w:name="_Toc378685477"/>
      <w:bookmarkStart w:id="265" w:name="_Toc378691686"/>
      <w:bookmarkStart w:id="266" w:name="_Toc378692143"/>
      <w:bookmarkStart w:id="267" w:name="_Toc378692280"/>
      <w:bookmarkStart w:id="268" w:name="_Toc378692417"/>
      <w:bookmarkStart w:id="269" w:name="_Toc378761119"/>
      <w:bookmarkStart w:id="270" w:name="_Toc378761262"/>
      <w:bookmarkStart w:id="271" w:name="_Toc378761405"/>
      <w:bookmarkStart w:id="272" w:name="_Toc378761548"/>
      <w:bookmarkStart w:id="273" w:name="_Toc378761861"/>
      <w:bookmarkStart w:id="274" w:name="_Toc378762001"/>
      <w:bookmarkStart w:id="275" w:name="_Toc378762139"/>
      <w:bookmarkStart w:id="276" w:name="_Toc378765616"/>
      <w:bookmarkStart w:id="277" w:name="_Toc378767364"/>
      <w:bookmarkStart w:id="278" w:name="_Toc378774959"/>
      <w:bookmarkStart w:id="279" w:name="_Toc378776154"/>
      <w:bookmarkStart w:id="280" w:name="_Toc378841234"/>
      <w:bookmarkStart w:id="281" w:name="_Toc378858833"/>
      <w:bookmarkStart w:id="282" w:name="_Toc378859061"/>
      <w:bookmarkStart w:id="283" w:name="_Toc377646049"/>
      <w:bookmarkStart w:id="284" w:name="_Toc377648984"/>
      <w:bookmarkStart w:id="285" w:name="_Toc377650837"/>
      <w:bookmarkStart w:id="286" w:name="_Toc377650964"/>
      <w:bookmarkStart w:id="287" w:name="_Toc377653233"/>
      <w:bookmarkStart w:id="288" w:name="_Toc378351538"/>
      <w:bookmarkStart w:id="289" w:name="_Toc378681287"/>
      <w:bookmarkStart w:id="290" w:name="_Toc378682207"/>
      <w:bookmarkStart w:id="291" w:name="_Toc378683654"/>
      <w:bookmarkStart w:id="292" w:name="_Toc378685342"/>
      <w:bookmarkStart w:id="293" w:name="_Toc378685478"/>
      <w:bookmarkStart w:id="294" w:name="_Toc378691687"/>
      <w:bookmarkStart w:id="295" w:name="_Toc378692144"/>
      <w:bookmarkStart w:id="296" w:name="_Toc378692281"/>
      <w:bookmarkStart w:id="297" w:name="_Toc378692418"/>
      <w:bookmarkStart w:id="298" w:name="_Toc378761120"/>
      <w:bookmarkStart w:id="299" w:name="_Toc378761263"/>
      <w:bookmarkStart w:id="300" w:name="_Toc378761406"/>
      <w:bookmarkStart w:id="301" w:name="_Toc378761549"/>
      <w:bookmarkStart w:id="302" w:name="_Toc378761862"/>
      <w:bookmarkStart w:id="303" w:name="_Toc378762002"/>
      <w:bookmarkStart w:id="304" w:name="_Toc378762140"/>
      <w:bookmarkStart w:id="305" w:name="_Toc378765617"/>
      <w:bookmarkStart w:id="306" w:name="_Toc378767365"/>
      <w:bookmarkStart w:id="307" w:name="_Toc378774960"/>
      <w:bookmarkStart w:id="308" w:name="_Toc378776155"/>
      <w:bookmarkStart w:id="309" w:name="_Toc378841235"/>
      <w:bookmarkStart w:id="310" w:name="_Toc378858834"/>
      <w:bookmarkStart w:id="311" w:name="_Toc378859062"/>
      <w:bookmarkStart w:id="312" w:name="_Toc377646050"/>
      <w:bookmarkStart w:id="313" w:name="_Toc377648985"/>
      <w:bookmarkStart w:id="314" w:name="_Toc377650838"/>
      <w:bookmarkStart w:id="315" w:name="_Toc377650965"/>
      <w:bookmarkStart w:id="316" w:name="_Toc377653234"/>
      <w:bookmarkStart w:id="317" w:name="_Toc378351539"/>
      <w:bookmarkStart w:id="318" w:name="_Toc378681288"/>
      <w:bookmarkStart w:id="319" w:name="_Toc378682208"/>
      <w:bookmarkStart w:id="320" w:name="_Toc378683655"/>
      <w:bookmarkStart w:id="321" w:name="_Toc378685343"/>
      <w:bookmarkStart w:id="322" w:name="_Toc378685479"/>
      <w:bookmarkStart w:id="323" w:name="_Toc378691688"/>
      <w:bookmarkStart w:id="324" w:name="_Toc378692145"/>
      <w:bookmarkStart w:id="325" w:name="_Toc378692282"/>
      <w:bookmarkStart w:id="326" w:name="_Toc378692419"/>
      <w:bookmarkStart w:id="327" w:name="_Toc378761121"/>
      <w:bookmarkStart w:id="328" w:name="_Toc378761264"/>
      <w:bookmarkStart w:id="329" w:name="_Toc378761407"/>
      <w:bookmarkStart w:id="330" w:name="_Toc378761550"/>
      <w:bookmarkStart w:id="331" w:name="_Toc378761863"/>
      <w:bookmarkStart w:id="332" w:name="_Toc378762003"/>
      <w:bookmarkStart w:id="333" w:name="_Toc378762141"/>
      <w:bookmarkStart w:id="334" w:name="_Toc378765618"/>
      <w:bookmarkStart w:id="335" w:name="_Toc378767366"/>
      <w:bookmarkStart w:id="336" w:name="_Toc378774961"/>
      <w:bookmarkStart w:id="337" w:name="_Toc378776156"/>
      <w:bookmarkStart w:id="338" w:name="_Toc378841236"/>
      <w:bookmarkStart w:id="339" w:name="_Toc378858835"/>
      <w:bookmarkStart w:id="340" w:name="_Toc378859063"/>
      <w:bookmarkStart w:id="341" w:name="_Toc388281278"/>
      <w:bookmarkStart w:id="342" w:name="_Toc388281734"/>
      <w:bookmarkStart w:id="343" w:name="_Toc388282216"/>
      <w:bookmarkStart w:id="344" w:name="_Toc388282664"/>
      <w:bookmarkStart w:id="345" w:name="_Toc388284933"/>
      <w:bookmarkStart w:id="346" w:name="_Toc388281292"/>
      <w:bookmarkStart w:id="347" w:name="_Toc388281748"/>
      <w:bookmarkStart w:id="348" w:name="_Toc388282230"/>
      <w:bookmarkStart w:id="349" w:name="_Toc388282678"/>
      <w:bookmarkStart w:id="350" w:name="_Toc388284947"/>
      <w:bookmarkStart w:id="351" w:name="_Toc388374088"/>
      <w:bookmarkStart w:id="352" w:name="_Toc388281295"/>
      <w:bookmarkStart w:id="353" w:name="_Toc388281751"/>
      <w:bookmarkStart w:id="354" w:name="_Toc388282233"/>
      <w:bookmarkStart w:id="355" w:name="_Toc388282681"/>
      <w:bookmarkStart w:id="356" w:name="_Toc388284950"/>
      <w:bookmarkStart w:id="357" w:name="_Toc388374090"/>
      <w:bookmarkStart w:id="358" w:name="_Toc388281298"/>
      <w:bookmarkStart w:id="359" w:name="_Toc388281754"/>
      <w:bookmarkStart w:id="360" w:name="_Toc388282236"/>
      <w:bookmarkStart w:id="361" w:name="_Toc388282684"/>
      <w:bookmarkStart w:id="362" w:name="_Toc388284953"/>
      <w:bookmarkStart w:id="363" w:name="_Toc388374092"/>
      <w:bookmarkStart w:id="364" w:name="_Toc388281301"/>
      <w:bookmarkStart w:id="365" w:name="_Toc388281757"/>
      <w:bookmarkStart w:id="366" w:name="_Toc388282239"/>
      <w:bookmarkStart w:id="367" w:name="_Toc388282687"/>
      <w:bookmarkStart w:id="368" w:name="_Toc388284956"/>
      <w:bookmarkStart w:id="369" w:name="_Toc388374094"/>
      <w:bookmarkStart w:id="370" w:name="_Toc388281313"/>
      <w:bookmarkStart w:id="371" w:name="_Toc388281769"/>
      <w:bookmarkStart w:id="372" w:name="_Toc388282251"/>
      <w:bookmarkStart w:id="373" w:name="_Toc388282699"/>
      <w:bookmarkStart w:id="374" w:name="_Toc388284968"/>
      <w:bookmarkStart w:id="375" w:name="_Toc388374102"/>
      <w:bookmarkStart w:id="376" w:name="_Toc388281318"/>
      <w:bookmarkStart w:id="377" w:name="_Toc388281774"/>
      <w:bookmarkStart w:id="378" w:name="_Toc388282256"/>
      <w:bookmarkStart w:id="379" w:name="_Toc388282704"/>
      <w:bookmarkStart w:id="380" w:name="_Toc388281319"/>
      <w:bookmarkStart w:id="381" w:name="_Toc388281775"/>
      <w:bookmarkStart w:id="382" w:name="_Toc388282257"/>
      <w:bookmarkStart w:id="383" w:name="_Toc388282705"/>
      <w:bookmarkStart w:id="384" w:name="_Toc388281320"/>
      <w:bookmarkStart w:id="385" w:name="_Toc388281776"/>
      <w:bookmarkStart w:id="386" w:name="_Toc388282258"/>
      <w:bookmarkStart w:id="387" w:name="_Toc388282706"/>
      <w:bookmarkStart w:id="388" w:name="_Toc388281321"/>
      <w:bookmarkStart w:id="389" w:name="_Toc388281777"/>
      <w:bookmarkStart w:id="390" w:name="_Toc388282259"/>
      <w:bookmarkStart w:id="391" w:name="_Toc388282707"/>
      <w:bookmarkStart w:id="392" w:name="_Toc387244977"/>
      <w:bookmarkStart w:id="393" w:name="_Toc388281327"/>
      <w:bookmarkStart w:id="394" w:name="_Toc388281783"/>
      <w:bookmarkStart w:id="395" w:name="_Toc388282265"/>
      <w:bookmarkStart w:id="396" w:name="_Toc388282713"/>
      <w:bookmarkStart w:id="397" w:name="_Toc388284979"/>
      <w:bookmarkStart w:id="398" w:name="_Toc388374113"/>
      <w:bookmarkStart w:id="399" w:name="_Toc387244978"/>
      <w:bookmarkStart w:id="400" w:name="_Toc388281328"/>
      <w:bookmarkStart w:id="401" w:name="_Toc388281784"/>
      <w:bookmarkStart w:id="402" w:name="_Toc388282266"/>
      <w:bookmarkStart w:id="403" w:name="_Toc388282714"/>
      <w:bookmarkStart w:id="404" w:name="_Toc388284980"/>
      <w:bookmarkStart w:id="405" w:name="_Toc387245003"/>
      <w:bookmarkStart w:id="406" w:name="_Toc388281353"/>
      <w:bookmarkStart w:id="407" w:name="_Toc388281809"/>
      <w:bookmarkStart w:id="408" w:name="_Toc388282291"/>
      <w:bookmarkStart w:id="409" w:name="_Toc388282739"/>
      <w:bookmarkStart w:id="410" w:name="_Toc388285005"/>
      <w:bookmarkStart w:id="411" w:name="_Toc388374131"/>
      <w:bookmarkStart w:id="412" w:name="_Toc387245028"/>
      <w:bookmarkStart w:id="413" w:name="_Toc388281378"/>
      <w:bookmarkStart w:id="414" w:name="_Toc388281834"/>
      <w:bookmarkStart w:id="415" w:name="_Toc388282316"/>
      <w:bookmarkStart w:id="416" w:name="_Toc388282764"/>
      <w:bookmarkStart w:id="417" w:name="_Toc388285030"/>
      <w:bookmarkStart w:id="418" w:name="_Toc388374148"/>
      <w:bookmarkStart w:id="419" w:name="_Toc387245029"/>
      <w:bookmarkStart w:id="420" w:name="_Toc388281379"/>
      <w:bookmarkStart w:id="421" w:name="_Toc388281835"/>
      <w:bookmarkStart w:id="422" w:name="_Toc388282317"/>
      <w:bookmarkStart w:id="423" w:name="_Toc388282765"/>
      <w:bookmarkStart w:id="424" w:name="_Toc388285031"/>
      <w:bookmarkStart w:id="425" w:name="_Toc388374149"/>
      <w:bookmarkStart w:id="426" w:name="_Toc387245030"/>
      <w:bookmarkStart w:id="427" w:name="_Toc388281380"/>
      <w:bookmarkStart w:id="428" w:name="_Toc388281836"/>
      <w:bookmarkStart w:id="429" w:name="_Toc388282318"/>
      <w:bookmarkStart w:id="430" w:name="_Toc388282766"/>
      <w:bookmarkStart w:id="431" w:name="_Toc388285032"/>
      <w:bookmarkStart w:id="432" w:name="_Toc388374150"/>
      <w:bookmarkStart w:id="433" w:name="_Toc387245031"/>
      <w:bookmarkStart w:id="434" w:name="_Toc388281381"/>
      <w:bookmarkStart w:id="435" w:name="_Toc388281837"/>
      <w:bookmarkStart w:id="436" w:name="_Toc388282319"/>
      <w:bookmarkStart w:id="437" w:name="_Toc388282767"/>
      <w:bookmarkStart w:id="438" w:name="_Toc388285033"/>
      <w:bookmarkStart w:id="439" w:name="_Toc388374151"/>
      <w:bookmarkStart w:id="440" w:name="_Toc387245032"/>
      <w:bookmarkStart w:id="441" w:name="_Toc388281382"/>
      <w:bookmarkStart w:id="442" w:name="_Toc388281838"/>
      <w:bookmarkStart w:id="443" w:name="_Toc388282320"/>
      <w:bookmarkStart w:id="444" w:name="_Toc388282768"/>
      <w:bookmarkStart w:id="445" w:name="_Toc388285034"/>
      <w:bookmarkStart w:id="446" w:name="_Toc388374152"/>
      <w:bookmarkStart w:id="447" w:name="_Toc387245033"/>
      <w:bookmarkStart w:id="448" w:name="_Toc388281383"/>
      <w:bookmarkStart w:id="449" w:name="_Toc388281839"/>
      <w:bookmarkStart w:id="450" w:name="_Toc388282321"/>
      <w:bookmarkStart w:id="451" w:name="_Toc388282769"/>
      <w:bookmarkStart w:id="452" w:name="_Toc388285035"/>
      <w:bookmarkStart w:id="453" w:name="_Toc387245106"/>
      <w:bookmarkStart w:id="454" w:name="_Toc388281456"/>
      <w:bookmarkStart w:id="455" w:name="_Toc388281912"/>
      <w:bookmarkStart w:id="456" w:name="_Toc388282394"/>
      <w:bookmarkStart w:id="457" w:name="_Toc388282842"/>
      <w:bookmarkStart w:id="458" w:name="_Toc388285108"/>
      <w:bookmarkStart w:id="459" w:name="_Toc388374208"/>
      <w:bookmarkStart w:id="460" w:name="_Toc377646054"/>
      <w:bookmarkStart w:id="461" w:name="_Toc377648989"/>
      <w:bookmarkStart w:id="462" w:name="_Toc377650842"/>
      <w:bookmarkStart w:id="463" w:name="_Toc377650969"/>
      <w:bookmarkStart w:id="464" w:name="_Toc377653238"/>
      <w:bookmarkStart w:id="465" w:name="_Toc378351543"/>
      <w:bookmarkStart w:id="466" w:name="_Toc378681292"/>
      <w:bookmarkStart w:id="467" w:name="_Toc378682212"/>
      <w:bookmarkStart w:id="468" w:name="_Toc378683659"/>
      <w:bookmarkStart w:id="469" w:name="_Toc378685347"/>
      <w:bookmarkStart w:id="470" w:name="_Toc378685483"/>
      <w:bookmarkStart w:id="471" w:name="_Toc378691692"/>
      <w:bookmarkStart w:id="472" w:name="_Toc378692149"/>
      <w:bookmarkStart w:id="473" w:name="_Toc378692286"/>
      <w:bookmarkStart w:id="474" w:name="_Toc378692423"/>
      <w:bookmarkStart w:id="475" w:name="_Toc378761125"/>
      <w:bookmarkStart w:id="476" w:name="_Toc378761268"/>
      <w:bookmarkStart w:id="477" w:name="_Toc378761411"/>
      <w:bookmarkStart w:id="478" w:name="_Toc378761554"/>
      <w:bookmarkStart w:id="479" w:name="_Toc378761867"/>
      <w:bookmarkStart w:id="480" w:name="_Toc378762007"/>
      <w:bookmarkStart w:id="481" w:name="_Toc378762145"/>
      <w:bookmarkStart w:id="482" w:name="_Toc378765622"/>
      <w:bookmarkStart w:id="483" w:name="_Toc378767370"/>
      <w:bookmarkStart w:id="484" w:name="_Toc378774965"/>
      <w:bookmarkStart w:id="485" w:name="_Toc378776160"/>
      <w:bookmarkStart w:id="486" w:name="_Toc378841240"/>
      <w:bookmarkStart w:id="487" w:name="_Toc378858839"/>
      <w:bookmarkStart w:id="488" w:name="_Toc378859067"/>
      <w:bookmarkStart w:id="489" w:name="_Toc377646055"/>
      <w:bookmarkStart w:id="490" w:name="_Toc377648990"/>
      <w:bookmarkStart w:id="491" w:name="_Toc377650843"/>
      <w:bookmarkStart w:id="492" w:name="_Toc377650970"/>
      <w:bookmarkStart w:id="493" w:name="_Toc377653239"/>
      <w:bookmarkStart w:id="494" w:name="_Toc378351544"/>
      <w:bookmarkStart w:id="495" w:name="_Toc378681293"/>
      <w:bookmarkStart w:id="496" w:name="_Toc378682213"/>
      <w:bookmarkStart w:id="497" w:name="_Toc378683660"/>
      <w:bookmarkStart w:id="498" w:name="_Toc378685348"/>
      <w:bookmarkStart w:id="499" w:name="_Toc378685484"/>
      <w:bookmarkStart w:id="500" w:name="_Toc378691693"/>
      <w:bookmarkStart w:id="501" w:name="_Toc378692150"/>
      <w:bookmarkStart w:id="502" w:name="_Toc378692287"/>
      <w:bookmarkStart w:id="503" w:name="_Toc378692424"/>
      <w:bookmarkStart w:id="504" w:name="_Toc378761126"/>
      <w:bookmarkStart w:id="505" w:name="_Toc378761269"/>
      <w:bookmarkStart w:id="506" w:name="_Toc378761412"/>
      <w:bookmarkStart w:id="507" w:name="_Toc378761555"/>
      <w:bookmarkStart w:id="508" w:name="_Toc378761868"/>
      <w:bookmarkStart w:id="509" w:name="_Toc378762008"/>
      <w:bookmarkStart w:id="510" w:name="_Toc378762146"/>
      <w:bookmarkStart w:id="511" w:name="_Toc378765623"/>
      <w:bookmarkStart w:id="512" w:name="_Toc378767371"/>
      <w:bookmarkStart w:id="513" w:name="_Toc378774966"/>
      <w:bookmarkStart w:id="514" w:name="_Toc378776161"/>
      <w:bookmarkStart w:id="515" w:name="_Toc378841241"/>
      <w:bookmarkStart w:id="516" w:name="_Toc378858840"/>
      <w:bookmarkStart w:id="517" w:name="_Toc378859068"/>
      <w:bookmarkStart w:id="518" w:name="_Toc377646056"/>
      <w:bookmarkStart w:id="519" w:name="_Toc377648991"/>
      <w:bookmarkStart w:id="520" w:name="_Toc377650844"/>
      <w:bookmarkStart w:id="521" w:name="_Toc377650971"/>
      <w:bookmarkStart w:id="522" w:name="_Toc377653240"/>
      <w:bookmarkStart w:id="523" w:name="_Toc378351545"/>
      <w:bookmarkStart w:id="524" w:name="_Toc378681294"/>
      <w:bookmarkStart w:id="525" w:name="_Toc378682214"/>
      <w:bookmarkStart w:id="526" w:name="_Toc378683661"/>
      <w:bookmarkStart w:id="527" w:name="_Toc378685349"/>
      <w:bookmarkStart w:id="528" w:name="_Toc378685485"/>
      <w:bookmarkStart w:id="529" w:name="_Toc378691694"/>
      <w:bookmarkStart w:id="530" w:name="_Toc378692151"/>
      <w:bookmarkStart w:id="531" w:name="_Toc378692288"/>
      <w:bookmarkStart w:id="532" w:name="_Toc378692425"/>
      <w:bookmarkStart w:id="533" w:name="_Toc378761127"/>
      <w:bookmarkStart w:id="534" w:name="_Toc378761270"/>
      <w:bookmarkStart w:id="535" w:name="_Toc378761413"/>
      <w:bookmarkStart w:id="536" w:name="_Toc378761556"/>
      <w:bookmarkStart w:id="537" w:name="_Toc378761869"/>
      <w:bookmarkStart w:id="538" w:name="_Toc378762009"/>
      <w:bookmarkStart w:id="539" w:name="_Toc378762147"/>
      <w:bookmarkStart w:id="540" w:name="_Toc378765624"/>
      <w:bookmarkStart w:id="541" w:name="_Toc378767372"/>
      <w:bookmarkStart w:id="542" w:name="_Toc378774967"/>
      <w:bookmarkStart w:id="543" w:name="_Toc378776162"/>
      <w:bookmarkStart w:id="544" w:name="_Toc378841242"/>
      <w:bookmarkStart w:id="545" w:name="_Toc378858841"/>
      <w:bookmarkStart w:id="546" w:name="_Toc378859069"/>
      <w:bookmarkStart w:id="547" w:name="_Toc377646057"/>
      <w:bookmarkStart w:id="548" w:name="_Toc377648992"/>
      <w:bookmarkStart w:id="549" w:name="_Toc377650845"/>
      <w:bookmarkStart w:id="550" w:name="_Toc377650972"/>
      <w:bookmarkStart w:id="551" w:name="_Toc377653241"/>
      <w:bookmarkStart w:id="552" w:name="_Toc378351546"/>
      <w:bookmarkStart w:id="553" w:name="_Toc378681295"/>
      <w:bookmarkStart w:id="554" w:name="_Toc378682215"/>
      <w:bookmarkStart w:id="555" w:name="_Toc378683662"/>
      <w:bookmarkStart w:id="556" w:name="_Toc378685350"/>
      <w:bookmarkStart w:id="557" w:name="_Toc378685486"/>
      <w:bookmarkStart w:id="558" w:name="_Toc378691695"/>
      <w:bookmarkStart w:id="559" w:name="_Toc378692152"/>
      <w:bookmarkStart w:id="560" w:name="_Toc378692289"/>
      <w:bookmarkStart w:id="561" w:name="_Toc378692426"/>
      <w:bookmarkStart w:id="562" w:name="_Toc378761128"/>
      <w:bookmarkStart w:id="563" w:name="_Toc378761271"/>
      <w:bookmarkStart w:id="564" w:name="_Toc378761414"/>
      <w:bookmarkStart w:id="565" w:name="_Toc378761557"/>
      <w:bookmarkStart w:id="566" w:name="_Toc378761870"/>
      <w:bookmarkStart w:id="567" w:name="_Toc378762010"/>
      <w:bookmarkStart w:id="568" w:name="_Toc378762148"/>
      <w:bookmarkStart w:id="569" w:name="_Toc378765625"/>
      <w:bookmarkStart w:id="570" w:name="_Toc378767373"/>
      <w:bookmarkStart w:id="571" w:name="_Toc378774968"/>
      <w:bookmarkStart w:id="572" w:name="_Toc378776163"/>
      <w:bookmarkStart w:id="573" w:name="_Toc378841243"/>
      <w:bookmarkStart w:id="574" w:name="_Toc378858842"/>
      <w:bookmarkStart w:id="575" w:name="_Toc378859070"/>
      <w:bookmarkStart w:id="576" w:name="_Toc377646058"/>
      <w:bookmarkStart w:id="577" w:name="_Toc377648993"/>
      <w:bookmarkStart w:id="578" w:name="_Toc377650846"/>
      <w:bookmarkStart w:id="579" w:name="_Toc377650973"/>
      <w:bookmarkStart w:id="580" w:name="_Toc377653242"/>
      <w:bookmarkStart w:id="581" w:name="_Toc378351547"/>
      <w:bookmarkStart w:id="582" w:name="_Toc378681296"/>
      <w:bookmarkStart w:id="583" w:name="_Toc378682216"/>
      <w:bookmarkStart w:id="584" w:name="_Toc378683663"/>
      <w:bookmarkStart w:id="585" w:name="_Toc378685351"/>
      <w:bookmarkStart w:id="586" w:name="_Toc378685487"/>
      <w:bookmarkStart w:id="587" w:name="_Toc378691696"/>
      <w:bookmarkStart w:id="588" w:name="_Toc378692153"/>
      <w:bookmarkStart w:id="589" w:name="_Toc378692290"/>
      <w:bookmarkStart w:id="590" w:name="_Toc378692427"/>
      <w:bookmarkStart w:id="591" w:name="_Toc378761129"/>
      <w:bookmarkStart w:id="592" w:name="_Toc378761272"/>
      <w:bookmarkStart w:id="593" w:name="_Toc378761415"/>
      <w:bookmarkStart w:id="594" w:name="_Toc378761558"/>
      <w:bookmarkStart w:id="595" w:name="_Toc378761871"/>
      <w:bookmarkStart w:id="596" w:name="_Toc378762011"/>
      <w:bookmarkStart w:id="597" w:name="_Toc378762149"/>
      <w:bookmarkStart w:id="598" w:name="_Toc378765626"/>
      <w:bookmarkStart w:id="599" w:name="_Toc378767374"/>
      <w:bookmarkStart w:id="600" w:name="_Toc378774969"/>
      <w:bookmarkStart w:id="601" w:name="_Toc378776164"/>
      <w:bookmarkStart w:id="602" w:name="_Toc378841244"/>
      <w:bookmarkStart w:id="603" w:name="_Toc378858843"/>
      <w:bookmarkStart w:id="604" w:name="_Toc378859071"/>
      <w:bookmarkStart w:id="605" w:name="_Toc377646059"/>
      <w:bookmarkStart w:id="606" w:name="_Toc377648994"/>
      <w:bookmarkStart w:id="607" w:name="_Toc377650847"/>
      <w:bookmarkStart w:id="608" w:name="_Toc377650974"/>
      <w:bookmarkStart w:id="609" w:name="_Toc377653243"/>
      <w:bookmarkStart w:id="610" w:name="_Toc378351548"/>
      <w:bookmarkStart w:id="611" w:name="_Toc378681297"/>
      <w:bookmarkStart w:id="612" w:name="_Toc378682217"/>
      <w:bookmarkStart w:id="613" w:name="_Toc378683664"/>
      <w:bookmarkStart w:id="614" w:name="_Toc378685352"/>
      <w:bookmarkStart w:id="615" w:name="_Toc378685488"/>
      <w:bookmarkStart w:id="616" w:name="_Toc378691697"/>
      <w:bookmarkStart w:id="617" w:name="_Toc378692154"/>
      <w:bookmarkStart w:id="618" w:name="_Toc378692291"/>
      <w:bookmarkStart w:id="619" w:name="_Toc378692428"/>
      <w:bookmarkStart w:id="620" w:name="_Toc378761130"/>
      <w:bookmarkStart w:id="621" w:name="_Toc378761273"/>
      <w:bookmarkStart w:id="622" w:name="_Toc378761416"/>
      <w:bookmarkStart w:id="623" w:name="_Toc378761559"/>
      <w:bookmarkStart w:id="624" w:name="_Toc378761872"/>
      <w:bookmarkStart w:id="625" w:name="_Toc378762012"/>
      <w:bookmarkStart w:id="626" w:name="_Toc378762150"/>
      <w:bookmarkStart w:id="627" w:name="_Toc378765627"/>
      <w:bookmarkStart w:id="628" w:name="_Toc378767375"/>
      <w:bookmarkStart w:id="629" w:name="_Toc378774970"/>
      <w:bookmarkStart w:id="630" w:name="_Toc378776165"/>
      <w:bookmarkStart w:id="631" w:name="_Toc378841245"/>
      <w:bookmarkStart w:id="632" w:name="_Toc378858844"/>
      <w:bookmarkStart w:id="633" w:name="_Toc378859072"/>
      <w:bookmarkStart w:id="634" w:name="_Toc377646060"/>
      <w:bookmarkStart w:id="635" w:name="_Toc377648995"/>
      <w:bookmarkStart w:id="636" w:name="_Toc377650848"/>
      <w:bookmarkStart w:id="637" w:name="_Toc377650975"/>
      <w:bookmarkStart w:id="638" w:name="_Toc377653244"/>
      <w:bookmarkStart w:id="639" w:name="_Toc378351549"/>
      <w:bookmarkStart w:id="640" w:name="_Toc378681298"/>
      <w:bookmarkStart w:id="641" w:name="_Toc378682218"/>
      <w:bookmarkStart w:id="642" w:name="_Toc378683665"/>
      <w:bookmarkStart w:id="643" w:name="_Toc378685353"/>
      <w:bookmarkStart w:id="644" w:name="_Toc378685489"/>
      <w:bookmarkStart w:id="645" w:name="_Toc378691698"/>
      <w:bookmarkStart w:id="646" w:name="_Toc378692155"/>
      <w:bookmarkStart w:id="647" w:name="_Toc378692292"/>
      <w:bookmarkStart w:id="648" w:name="_Toc378692429"/>
      <w:bookmarkStart w:id="649" w:name="_Toc378761131"/>
      <w:bookmarkStart w:id="650" w:name="_Toc378761274"/>
      <w:bookmarkStart w:id="651" w:name="_Toc378761417"/>
      <w:bookmarkStart w:id="652" w:name="_Toc378761560"/>
      <w:bookmarkStart w:id="653" w:name="_Toc378761873"/>
      <w:bookmarkStart w:id="654" w:name="_Toc378762013"/>
      <w:bookmarkStart w:id="655" w:name="_Toc378762151"/>
      <w:bookmarkStart w:id="656" w:name="_Toc378765628"/>
      <w:bookmarkStart w:id="657" w:name="_Toc378767376"/>
      <w:bookmarkStart w:id="658" w:name="_Toc378774971"/>
      <w:bookmarkStart w:id="659" w:name="_Toc378776166"/>
      <w:bookmarkStart w:id="660" w:name="_Toc378841246"/>
      <w:bookmarkStart w:id="661" w:name="_Toc378858845"/>
      <w:bookmarkStart w:id="662" w:name="_Toc378859073"/>
      <w:bookmarkStart w:id="663" w:name="_Toc387245107"/>
      <w:bookmarkStart w:id="664" w:name="_Toc388281457"/>
      <w:bookmarkStart w:id="665" w:name="_Toc388281913"/>
      <w:bookmarkStart w:id="666" w:name="_Toc388282395"/>
      <w:bookmarkStart w:id="667" w:name="_Toc388282843"/>
      <w:bookmarkStart w:id="668" w:name="_Toc388285109"/>
      <w:bookmarkStart w:id="669" w:name="_Toc387245108"/>
      <w:bookmarkStart w:id="670" w:name="_Toc388281458"/>
      <w:bookmarkStart w:id="671" w:name="_Toc388281914"/>
      <w:bookmarkStart w:id="672" w:name="_Toc388282396"/>
      <w:bookmarkStart w:id="673" w:name="_Toc388282844"/>
      <w:bookmarkStart w:id="674" w:name="_Toc388285110"/>
      <w:bookmarkStart w:id="675" w:name="_Toc387245109"/>
      <w:bookmarkStart w:id="676" w:name="_Toc388281459"/>
      <w:bookmarkStart w:id="677" w:name="_Toc388281915"/>
      <w:bookmarkStart w:id="678" w:name="_Toc388282397"/>
      <w:bookmarkStart w:id="679" w:name="_Toc388282845"/>
      <w:bookmarkStart w:id="680" w:name="_Toc388285111"/>
      <w:bookmarkStart w:id="681" w:name="_Toc388374211"/>
      <w:bookmarkStart w:id="682" w:name="_Toc387245110"/>
      <w:bookmarkStart w:id="683" w:name="_Toc388281460"/>
      <w:bookmarkStart w:id="684" w:name="_Toc388281916"/>
      <w:bookmarkStart w:id="685" w:name="_Toc388282398"/>
      <w:bookmarkStart w:id="686" w:name="_Toc388282846"/>
      <w:bookmarkStart w:id="687" w:name="_Toc388285112"/>
      <w:bookmarkStart w:id="688" w:name="_Toc388374212"/>
      <w:bookmarkStart w:id="689" w:name="_Toc387245111"/>
      <w:bookmarkStart w:id="690" w:name="_Toc388281461"/>
      <w:bookmarkStart w:id="691" w:name="_Toc388281917"/>
      <w:bookmarkStart w:id="692" w:name="_Toc388282399"/>
      <w:bookmarkStart w:id="693" w:name="_Toc388282847"/>
      <w:bookmarkStart w:id="694" w:name="_Toc388285113"/>
      <w:bookmarkStart w:id="695" w:name="_Toc387245148"/>
      <w:bookmarkStart w:id="696" w:name="_Toc387250792"/>
      <w:bookmarkStart w:id="697" w:name="_Toc388281498"/>
      <w:bookmarkStart w:id="698" w:name="_Toc388281954"/>
      <w:bookmarkStart w:id="699" w:name="_Toc388282436"/>
      <w:bookmarkStart w:id="700" w:name="_Toc388282884"/>
      <w:bookmarkStart w:id="701" w:name="_Toc388285150"/>
      <w:bookmarkStart w:id="702" w:name="_Toc388374241"/>
      <w:bookmarkStart w:id="703" w:name="_Toc387245149"/>
      <w:bookmarkStart w:id="704" w:name="_Toc387250793"/>
      <w:bookmarkStart w:id="705" w:name="_Toc388281499"/>
      <w:bookmarkStart w:id="706" w:name="_Toc388281955"/>
      <w:bookmarkStart w:id="707" w:name="_Toc388282437"/>
      <w:bookmarkStart w:id="708" w:name="_Toc388282885"/>
      <w:bookmarkStart w:id="709" w:name="_Toc388285151"/>
      <w:bookmarkStart w:id="710" w:name="_Toc388374242"/>
      <w:bookmarkStart w:id="711" w:name="_Toc387245151"/>
      <w:bookmarkStart w:id="712" w:name="_Toc388281501"/>
      <w:bookmarkStart w:id="713" w:name="_Toc388281957"/>
      <w:bookmarkStart w:id="714" w:name="_Toc388282439"/>
      <w:bookmarkStart w:id="715" w:name="_Toc388282887"/>
      <w:bookmarkStart w:id="716" w:name="_Toc388285153"/>
      <w:bookmarkStart w:id="717" w:name="_Toc388374244"/>
      <w:bookmarkStart w:id="718" w:name="_Toc377646064"/>
      <w:bookmarkStart w:id="719" w:name="_Toc377648999"/>
      <w:bookmarkStart w:id="720" w:name="_Toc377650852"/>
      <w:bookmarkStart w:id="721" w:name="_Toc377650979"/>
      <w:bookmarkStart w:id="722" w:name="_Toc377653248"/>
      <w:bookmarkStart w:id="723" w:name="_Toc378351553"/>
      <w:bookmarkStart w:id="724" w:name="_Toc378681302"/>
      <w:bookmarkStart w:id="725" w:name="_Toc378682222"/>
      <w:bookmarkStart w:id="726" w:name="_Toc378683669"/>
      <w:bookmarkStart w:id="727" w:name="_Toc378685357"/>
      <w:bookmarkStart w:id="728" w:name="_Toc378685493"/>
      <w:bookmarkStart w:id="729" w:name="_Toc378691702"/>
      <w:bookmarkStart w:id="730" w:name="_Toc378692159"/>
      <w:bookmarkStart w:id="731" w:name="_Toc378692296"/>
      <w:bookmarkStart w:id="732" w:name="_Toc378692433"/>
      <w:bookmarkStart w:id="733" w:name="_Toc378761135"/>
      <w:bookmarkStart w:id="734" w:name="_Toc378761278"/>
      <w:bookmarkStart w:id="735" w:name="_Toc378761421"/>
      <w:bookmarkStart w:id="736" w:name="_Toc378761564"/>
      <w:bookmarkStart w:id="737" w:name="_Toc378761877"/>
      <w:bookmarkStart w:id="738" w:name="_Toc378762017"/>
      <w:bookmarkStart w:id="739" w:name="_Toc378762155"/>
      <w:bookmarkStart w:id="740" w:name="_Toc378765632"/>
      <w:bookmarkStart w:id="741" w:name="_Toc378767380"/>
      <w:bookmarkStart w:id="742" w:name="_Toc378774975"/>
      <w:bookmarkStart w:id="743" w:name="_Toc378776170"/>
      <w:bookmarkStart w:id="744" w:name="_Toc378841250"/>
      <w:bookmarkStart w:id="745" w:name="_Toc378858849"/>
      <w:bookmarkStart w:id="746" w:name="_Toc378859077"/>
      <w:bookmarkStart w:id="747" w:name="_Toc377646065"/>
      <w:bookmarkStart w:id="748" w:name="_Toc377649000"/>
      <w:bookmarkStart w:id="749" w:name="_Toc377650853"/>
      <w:bookmarkStart w:id="750" w:name="_Toc377650980"/>
      <w:bookmarkStart w:id="751" w:name="_Toc377653249"/>
      <w:bookmarkStart w:id="752" w:name="_Toc378351554"/>
      <w:bookmarkStart w:id="753" w:name="_Toc378681303"/>
      <w:bookmarkStart w:id="754" w:name="_Toc378682223"/>
      <w:bookmarkStart w:id="755" w:name="_Toc378683670"/>
      <w:bookmarkStart w:id="756" w:name="_Toc378685358"/>
      <w:bookmarkStart w:id="757" w:name="_Toc378685494"/>
      <w:bookmarkStart w:id="758" w:name="_Toc378691703"/>
      <w:bookmarkStart w:id="759" w:name="_Toc378692160"/>
      <w:bookmarkStart w:id="760" w:name="_Toc378692297"/>
      <w:bookmarkStart w:id="761" w:name="_Toc378692434"/>
      <w:bookmarkStart w:id="762" w:name="_Toc378761136"/>
      <w:bookmarkStart w:id="763" w:name="_Toc378761279"/>
      <w:bookmarkStart w:id="764" w:name="_Toc378761422"/>
      <w:bookmarkStart w:id="765" w:name="_Toc378761565"/>
      <w:bookmarkStart w:id="766" w:name="_Toc378761878"/>
      <w:bookmarkStart w:id="767" w:name="_Toc378762018"/>
      <w:bookmarkStart w:id="768" w:name="_Toc378762156"/>
      <w:bookmarkStart w:id="769" w:name="_Toc378765633"/>
      <w:bookmarkStart w:id="770" w:name="_Toc378767381"/>
      <w:bookmarkStart w:id="771" w:name="_Toc378774976"/>
      <w:bookmarkStart w:id="772" w:name="_Toc378776171"/>
      <w:bookmarkStart w:id="773" w:name="_Toc378841251"/>
      <w:bookmarkStart w:id="774" w:name="_Toc378858850"/>
      <w:bookmarkStart w:id="775" w:name="_Toc378859078"/>
      <w:bookmarkStart w:id="776" w:name="_Toc377646066"/>
      <w:bookmarkStart w:id="777" w:name="_Toc377649001"/>
      <w:bookmarkStart w:id="778" w:name="_Toc377650854"/>
      <w:bookmarkStart w:id="779" w:name="_Toc377650981"/>
      <w:bookmarkStart w:id="780" w:name="_Toc377653250"/>
      <w:bookmarkStart w:id="781" w:name="_Toc378351555"/>
      <w:bookmarkStart w:id="782" w:name="_Toc378681304"/>
      <w:bookmarkStart w:id="783" w:name="_Toc378682224"/>
      <w:bookmarkStart w:id="784" w:name="_Toc378683671"/>
      <w:bookmarkStart w:id="785" w:name="_Toc378685359"/>
      <w:bookmarkStart w:id="786" w:name="_Toc378685495"/>
      <w:bookmarkStart w:id="787" w:name="_Toc378691704"/>
      <w:bookmarkStart w:id="788" w:name="_Toc378692161"/>
      <w:bookmarkStart w:id="789" w:name="_Toc378692298"/>
      <w:bookmarkStart w:id="790" w:name="_Toc378692435"/>
      <w:bookmarkStart w:id="791" w:name="_Toc378761137"/>
      <w:bookmarkStart w:id="792" w:name="_Toc378761280"/>
      <w:bookmarkStart w:id="793" w:name="_Toc378761423"/>
      <w:bookmarkStart w:id="794" w:name="_Toc378761566"/>
      <w:bookmarkStart w:id="795" w:name="_Toc378761879"/>
      <w:bookmarkStart w:id="796" w:name="_Toc378762019"/>
      <w:bookmarkStart w:id="797" w:name="_Toc378762157"/>
      <w:bookmarkStart w:id="798" w:name="_Toc378765634"/>
      <w:bookmarkStart w:id="799" w:name="_Toc378767382"/>
      <w:bookmarkStart w:id="800" w:name="_Toc378774977"/>
      <w:bookmarkStart w:id="801" w:name="_Toc378776172"/>
      <w:bookmarkStart w:id="802" w:name="_Toc378841252"/>
      <w:bookmarkStart w:id="803" w:name="_Toc378858851"/>
      <w:bookmarkStart w:id="804" w:name="_Toc378859079"/>
      <w:bookmarkStart w:id="805" w:name="_Toc377646067"/>
      <w:bookmarkStart w:id="806" w:name="_Toc377649002"/>
      <w:bookmarkStart w:id="807" w:name="_Toc377650855"/>
      <w:bookmarkStart w:id="808" w:name="_Toc377650982"/>
      <w:bookmarkStart w:id="809" w:name="_Toc377653251"/>
      <w:bookmarkStart w:id="810" w:name="_Toc378351556"/>
      <w:bookmarkStart w:id="811" w:name="_Toc378681305"/>
      <w:bookmarkStart w:id="812" w:name="_Toc378682225"/>
      <w:bookmarkStart w:id="813" w:name="_Toc378683672"/>
      <w:bookmarkStart w:id="814" w:name="_Toc378685360"/>
      <w:bookmarkStart w:id="815" w:name="_Toc378685496"/>
      <w:bookmarkStart w:id="816" w:name="_Toc378691705"/>
      <w:bookmarkStart w:id="817" w:name="_Toc378692162"/>
      <w:bookmarkStart w:id="818" w:name="_Toc378692299"/>
      <w:bookmarkStart w:id="819" w:name="_Toc378692436"/>
      <w:bookmarkStart w:id="820" w:name="_Toc378761138"/>
      <w:bookmarkStart w:id="821" w:name="_Toc378761281"/>
      <w:bookmarkStart w:id="822" w:name="_Toc378761424"/>
      <w:bookmarkStart w:id="823" w:name="_Toc378761567"/>
      <w:bookmarkStart w:id="824" w:name="_Toc378761880"/>
      <w:bookmarkStart w:id="825" w:name="_Toc378762020"/>
      <w:bookmarkStart w:id="826" w:name="_Toc378762158"/>
      <w:bookmarkStart w:id="827" w:name="_Toc378765635"/>
      <w:bookmarkStart w:id="828" w:name="_Toc378767383"/>
      <w:bookmarkStart w:id="829" w:name="_Toc378774978"/>
      <w:bookmarkStart w:id="830" w:name="_Toc378776173"/>
      <w:bookmarkStart w:id="831" w:name="_Toc378841253"/>
      <w:bookmarkStart w:id="832" w:name="_Toc378858852"/>
      <w:bookmarkStart w:id="833" w:name="_Toc378859080"/>
      <w:bookmarkStart w:id="834" w:name="_Toc377646068"/>
      <w:bookmarkStart w:id="835" w:name="_Toc377649003"/>
      <w:bookmarkStart w:id="836" w:name="_Toc377650856"/>
      <w:bookmarkStart w:id="837" w:name="_Toc377650983"/>
      <w:bookmarkStart w:id="838" w:name="_Toc377653252"/>
      <w:bookmarkStart w:id="839" w:name="_Toc378351557"/>
      <w:bookmarkStart w:id="840" w:name="_Toc378681306"/>
      <w:bookmarkStart w:id="841" w:name="_Toc378682226"/>
      <w:bookmarkStart w:id="842" w:name="_Toc378683673"/>
      <w:bookmarkStart w:id="843" w:name="_Toc378685361"/>
      <w:bookmarkStart w:id="844" w:name="_Toc378685497"/>
      <w:bookmarkStart w:id="845" w:name="_Toc378691706"/>
      <w:bookmarkStart w:id="846" w:name="_Toc378692163"/>
      <w:bookmarkStart w:id="847" w:name="_Toc378692300"/>
      <w:bookmarkStart w:id="848" w:name="_Toc378692437"/>
      <w:bookmarkStart w:id="849" w:name="_Toc378761139"/>
      <w:bookmarkStart w:id="850" w:name="_Toc378761282"/>
      <w:bookmarkStart w:id="851" w:name="_Toc378761425"/>
      <w:bookmarkStart w:id="852" w:name="_Toc378761568"/>
      <w:bookmarkStart w:id="853" w:name="_Toc378761881"/>
      <w:bookmarkStart w:id="854" w:name="_Toc378762021"/>
      <w:bookmarkStart w:id="855" w:name="_Toc378762159"/>
      <w:bookmarkStart w:id="856" w:name="_Toc378765636"/>
      <w:bookmarkStart w:id="857" w:name="_Toc378767384"/>
      <w:bookmarkStart w:id="858" w:name="_Toc378774979"/>
      <w:bookmarkStart w:id="859" w:name="_Toc378776174"/>
      <w:bookmarkStart w:id="860" w:name="_Toc378841254"/>
      <w:bookmarkStart w:id="861" w:name="_Toc378858853"/>
      <w:bookmarkStart w:id="862" w:name="_Toc378859081"/>
      <w:bookmarkStart w:id="863" w:name="_Toc389728912"/>
      <w:bookmarkStart w:id="864" w:name="_Toc425344100"/>
      <w:bookmarkStart w:id="865" w:name="_Toc66448817"/>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r w:rsidRPr="006B1A5A">
        <w:t>Assessment of the biocidal product</w:t>
      </w:r>
      <w:bookmarkEnd w:id="863"/>
      <w:r w:rsidRPr="006B1A5A">
        <w:t xml:space="preserve"> family</w:t>
      </w:r>
      <w:bookmarkEnd w:id="864"/>
      <w:bookmarkEnd w:id="865"/>
    </w:p>
    <w:p w14:paraId="088320E5" w14:textId="47EFF3F4" w:rsidR="001042DA" w:rsidRPr="006B1A5A" w:rsidRDefault="001042DA" w:rsidP="001042DA">
      <w:pPr>
        <w:pStyle w:val="Overskrift3"/>
        <w:rPr>
          <w:lang w:val="en-GB"/>
        </w:rPr>
      </w:pPr>
      <w:bookmarkStart w:id="866" w:name="_Toc423017259"/>
      <w:bookmarkStart w:id="867" w:name="_Toc425344101"/>
      <w:bookmarkStart w:id="868" w:name="_Toc66448818"/>
      <w:r w:rsidRPr="006B1A5A">
        <w:rPr>
          <w:lang w:val="en-GB"/>
        </w:rPr>
        <w:t>Intended use(s) as applied for by the applicant</w:t>
      </w:r>
      <w:bookmarkEnd w:id="866"/>
      <w:bookmarkEnd w:id="867"/>
      <w:bookmarkEnd w:id="868"/>
      <w:r w:rsidRPr="006B1A5A">
        <w:rPr>
          <w:lang w:val="en-GB"/>
        </w:rPr>
        <w:t xml:space="preserve"> </w:t>
      </w:r>
    </w:p>
    <w:p w14:paraId="2991A1BF" w14:textId="34A2BFC3" w:rsidR="001042DA" w:rsidRPr="006B1A5A" w:rsidRDefault="001042DA" w:rsidP="001042DA">
      <w:pPr>
        <w:pStyle w:val="Bildetekst"/>
        <w:spacing w:after="120"/>
        <w:ind w:left="0" w:firstLine="0"/>
        <w:rPr>
          <w:rFonts w:ascii="Verdana" w:hAnsi="Verdana"/>
        </w:rPr>
      </w:pPr>
      <w:r w:rsidRPr="006B1A5A">
        <w:rPr>
          <w:rFonts w:ascii="Verdana" w:hAnsi="Verdana"/>
        </w:rPr>
        <w:t xml:space="preserve">Table </w:t>
      </w:r>
      <w:r w:rsidRPr="006B1A5A">
        <w:rPr>
          <w:rFonts w:ascii="Verdana" w:hAnsi="Verdana"/>
        </w:rPr>
        <w:fldChar w:fldCharType="begin"/>
      </w:r>
      <w:r w:rsidRPr="006B1A5A">
        <w:rPr>
          <w:rFonts w:ascii="Verdana" w:hAnsi="Verdana"/>
        </w:rPr>
        <w:instrText xml:space="preserve"> SEQ Table \* ARABIC </w:instrText>
      </w:r>
      <w:r w:rsidRPr="006B1A5A">
        <w:rPr>
          <w:rFonts w:ascii="Verdana" w:hAnsi="Verdana"/>
        </w:rPr>
        <w:fldChar w:fldCharType="separate"/>
      </w:r>
      <w:r w:rsidR="00FF5B6D">
        <w:rPr>
          <w:rFonts w:ascii="Verdana" w:hAnsi="Verdana"/>
          <w:noProof/>
        </w:rPr>
        <w:t>2</w:t>
      </w:r>
      <w:r w:rsidRPr="006B1A5A">
        <w:rPr>
          <w:rFonts w:ascii="Verdana" w:hAnsi="Verdana"/>
        </w:rPr>
        <w:fldChar w:fldCharType="end"/>
      </w:r>
      <w:r w:rsidRPr="006B1A5A">
        <w:rPr>
          <w:rFonts w:ascii="Verdana" w:hAnsi="Verdana"/>
        </w:rPr>
        <w:t>. Intended use # 21 – Antifouling</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1042DA" w:rsidRPr="006B1A5A" w14:paraId="2AFBD309" w14:textId="77777777" w:rsidTr="00AF2AEA">
        <w:trPr>
          <w:cantSplit/>
        </w:trPr>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F6EAD6" w14:textId="77777777" w:rsidR="001042DA" w:rsidRPr="006B1A5A" w:rsidRDefault="001042DA" w:rsidP="00AF2AEA">
            <w:pPr>
              <w:keepNext/>
            </w:pPr>
            <w:r w:rsidRPr="006B1A5A">
              <w:rPr>
                <w:bCs/>
                <w:szCs w:val="24"/>
                <w:lang w:eastAsia="en-GB"/>
              </w:rPr>
              <w:lastRenderedPageBreak/>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59BF466" w14:textId="77777777" w:rsidR="001042DA" w:rsidRPr="006B1A5A" w:rsidRDefault="001042DA" w:rsidP="00AF2AEA">
            <w:pPr>
              <w:keepNext/>
            </w:pPr>
            <w:r w:rsidRPr="006B1A5A">
              <w:t>21</w:t>
            </w:r>
          </w:p>
        </w:tc>
      </w:tr>
      <w:tr w:rsidR="001042DA" w:rsidRPr="006B1A5A" w14:paraId="2184C6EC" w14:textId="77777777" w:rsidTr="00AF2AEA">
        <w:trPr>
          <w:cantSplit/>
        </w:trPr>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9DBBBEA" w14:textId="77777777" w:rsidR="001042DA" w:rsidRPr="006B1A5A" w:rsidRDefault="001042DA" w:rsidP="00AF2AEA">
            <w:pPr>
              <w:keepNext/>
            </w:pPr>
            <w:r w:rsidRPr="006B1A5A">
              <w:rPr>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DC4C9F7" w14:textId="77777777" w:rsidR="001042DA" w:rsidRPr="006B1A5A" w:rsidRDefault="001042DA" w:rsidP="00AF2AEA">
            <w:pPr>
              <w:keepNext/>
            </w:pPr>
            <w:r w:rsidRPr="006B1A5A">
              <w:t>The AquaNet 360 products are intended to be used for the protection of nets used in aquaculture against fouling.</w:t>
            </w:r>
          </w:p>
        </w:tc>
      </w:tr>
      <w:tr w:rsidR="001042DA" w:rsidRPr="006B1A5A" w14:paraId="0ED4CF83" w14:textId="77777777" w:rsidTr="00AF2AEA">
        <w:trPr>
          <w:cantSplit/>
        </w:trPr>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DD01C6E" w14:textId="77777777" w:rsidR="001042DA" w:rsidRPr="006B1A5A" w:rsidRDefault="001042DA" w:rsidP="00AF2AEA">
            <w:r w:rsidRPr="006B1A5A">
              <w:rPr>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3DF99DA" w14:textId="77777777" w:rsidR="001042DA" w:rsidRPr="006B1A5A" w:rsidRDefault="001042DA" w:rsidP="00AF2AEA">
            <w:r w:rsidRPr="006B1A5A">
              <w:t>There are over 4000 fouling species from a variety of phyla</w:t>
            </w:r>
          </w:p>
          <w:p w14:paraId="241E1DA2" w14:textId="77777777" w:rsidR="001042DA" w:rsidRPr="006B1A5A" w:rsidRDefault="001042DA" w:rsidP="00990556">
            <w:pPr>
              <w:pStyle w:val="Listeavsnitt"/>
              <w:numPr>
                <w:ilvl w:val="0"/>
                <w:numId w:val="7"/>
              </w:numPr>
            </w:pPr>
            <w:r w:rsidRPr="006B1A5A">
              <w:t xml:space="preserve">Slime, </w:t>
            </w:r>
            <w:r w:rsidRPr="006B1A5A">
              <w:rPr>
                <w:i/>
              </w:rPr>
              <w:t>e.g.</w:t>
            </w:r>
            <w:r w:rsidRPr="006B1A5A">
              <w:t xml:space="preserve"> bacteria and diatoms species</w:t>
            </w:r>
          </w:p>
          <w:p w14:paraId="326396BC" w14:textId="77777777" w:rsidR="001042DA" w:rsidRPr="006B1A5A" w:rsidRDefault="001042DA" w:rsidP="00990556">
            <w:pPr>
              <w:pStyle w:val="Listeavsnitt"/>
              <w:numPr>
                <w:ilvl w:val="0"/>
                <w:numId w:val="7"/>
              </w:numPr>
            </w:pPr>
            <w:r w:rsidRPr="006B1A5A">
              <w:t>Green, red and brown algae spores</w:t>
            </w:r>
          </w:p>
          <w:p w14:paraId="319A7DB1" w14:textId="77777777" w:rsidR="001042DA" w:rsidRPr="006B1A5A" w:rsidRDefault="001042DA" w:rsidP="00990556">
            <w:pPr>
              <w:pStyle w:val="Listeavsnitt"/>
              <w:numPr>
                <w:ilvl w:val="0"/>
                <w:numId w:val="7"/>
              </w:numPr>
            </w:pPr>
            <w:r w:rsidRPr="006B1A5A">
              <w:t xml:space="preserve">Animals, </w:t>
            </w:r>
            <w:r w:rsidRPr="006B1A5A">
              <w:rPr>
                <w:i/>
              </w:rPr>
              <w:t>e.g.</w:t>
            </w:r>
            <w:r w:rsidRPr="006B1A5A">
              <w:t xml:space="preserve"> barnacles,</w:t>
            </w:r>
            <w:r w:rsidRPr="006B1A5A">
              <w:rPr>
                <w:i/>
              </w:rPr>
              <w:t xml:space="preserve"> </w:t>
            </w:r>
            <w:r w:rsidRPr="006B1A5A">
              <w:t>mussels and hydrozoans species</w:t>
            </w:r>
          </w:p>
        </w:tc>
      </w:tr>
      <w:tr w:rsidR="001042DA" w:rsidRPr="006B1A5A" w14:paraId="22E18388" w14:textId="77777777" w:rsidTr="00AF2AEA">
        <w:trPr>
          <w:cantSplit/>
        </w:trPr>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52990C3" w14:textId="77777777" w:rsidR="001042DA" w:rsidRPr="006B1A5A" w:rsidRDefault="001042DA" w:rsidP="00AF2AEA">
            <w:r w:rsidRPr="006B1A5A">
              <w:rPr>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6A336D8" w14:textId="77777777" w:rsidR="001042DA" w:rsidRPr="006B1A5A" w:rsidRDefault="001042DA" w:rsidP="00AF2AEA">
            <w:r w:rsidRPr="006B1A5A">
              <w:t>PT 21 – Antifouling products</w:t>
            </w:r>
          </w:p>
          <w:p w14:paraId="6E7BEA89" w14:textId="77777777" w:rsidR="001042DA" w:rsidRPr="006B1A5A" w:rsidRDefault="001042DA" w:rsidP="00AF2AEA">
            <w:r w:rsidRPr="006B1A5A">
              <w:t>The AquaNet 360 products are used in the control of fouling organisms in marine environment.</w:t>
            </w:r>
          </w:p>
        </w:tc>
      </w:tr>
      <w:tr w:rsidR="001042DA" w:rsidRPr="006B1A5A" w14:paraId="7E02C9E2" w14:textId="77777777" w:rsidTr="00AF2AEA">
        <w:trPr>
          <w:cantSplit/>
        </w:trPr>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07FB253" w14:textId="77777777" w:rsidR="001042DA" w:rsidRPr="006B1A5A" w:rsidRDefault="001042DA" w:rsidP="00AF2AEA">
            <w:r w:rsidRPr="006B1A5A">
              <w:rPr>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DE903A6" w14:textId="77777777" w:rsidR="001042DA" w:rsidRPr="006B1A5A" w:rsidRDefault="001042DA" w:rsidP="00AF2AEA">
            <w:r w:rsidRPr="006B1A5A">
              <w:t>Net dipping: The product is pumped to a dipping tank where the net is lowered into the product using remotely operated cranes.</w:t>
            </w:r>
          </w:p>
          <w:p w14:paraId="6F3DEDEA" w14:textId="77777777" w:rsidR="001042DA" w:rsidRPr="006B1A5A" w:rsidRDefault="001042DA" w:rsidP="00AF2AEA">
            <w:r w:rsidRPr="006B1A5A">
              <w:t>Vacuum treatment: The product is pumped into a sealed vacuum bag containing the net. Vacuum cycles are applied in order to evenly distribute the product into the net.</w:t>
            </w:r>
          </w:p>
          <w:p w14:paraId="35DD1887" w14:textId="77777777" w:rsidR="001042DA" w:rsidRPr="006B1A5A" w:rsidRDefault="001042DA" w:rsidP="00AF2AEA">
            <w:r w:rsidRPr="006B1A5A">
              <w:t xml:space="preserve"> </w:t>
            </w:r>
          </w:p>
        </w:tc>
      </w:tr>
      <w:tr w:rsidR="001042DA" w:rsidRPr="006B1A5A" w14:paraId="1C0132C0" w14:textId="77777777" w:rsidTr="00AF2AEA">
        <w:trPr>
          <w:cantSplit/>
        </w:trPr>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07D0F2" w14:textId="77777777" w:rsidR="001042DA" w:rsidRPr="006B1A5A" w:rsidRDefault="001042DA" w:rsidP="00AF2AEA">
            <w:r w:rsidRPr="006B1A5A">
              <w:rPr>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2E7B8D7" w14:textId="77777777" w:rsidR="001042DA" w:rsidRPr="006B1A5A" w:rsidRDefault="001042DA" w:rsidP="00AF2AEA">
            <w:pPr>
              <w:keepNext/>
            </w:pPr>
            <w:r w:rsidRPr="006B1A5A">
              <w:t>Application rates:</w:t>
            </w:r>
          </w:p>
          <w:p w14:paraId="6EAB03A4" w14:textId="77777777" w:rsidR="001042DA" w:rsidRPr="006B1A5A" w:rsidRDefault="001042DA" w:rsidP="00AF2AEA">
            <w:pPr>
              <w:keepNext/>
            </w:pPr>
            <w:r w:rsidRPr="006B1A5A">
              <w:t>AquaNet RFU 360: 1 – 1.2 litre/kg net</w:t>
            </w:r>
          </w:p>
          <w:p w14:paraId="31B7AE3A" w14:textId="77777777" w:rsidR="001042DA" w:rsidRPr="006B1A5A" w:rsidRDefault="001042DA" w:rsidP="00AF2AEA">
            <w:pPr>
              <w:keepNext/>
            </w:pPr>
            <w:r w:rsidRPr="006B1A5A">
              <w:t>AquaNet LG 360 and AquaNet HG 360: 1 – 1.1 litre (in-use concentration)/kg net.</w:t>
            </w:r>
          </w:p>
          <w:p w14:paraId="6EA3C674" w14:textId="77777777" w:rsidR="001042DA" w:rsidRPr="006B1A5A" w:rsidRDefault="001042DA" w:rsidP="00AF2AEA"/>
        </w:tc>
      </w:tr>
      <w:tr w:rsidR="001042DA" w:rsidRPr="006B1A5A" w14:paraId="2AC0CD61" w14:textId="77777777" w:rsidTr="00AF2AEA">
        <w:trPr>
          <w:cantSplit/>
        </w:trPr>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504A4B9" w14:textId="77777777" w:rsidR="001042DA" w:rsidRPr="006B1A5A" w:rsidRDefault="001042DA" w:rsidP="00AF2AEA">
            <w:r w:rsidRPr="006B1A5A">
              <w:rPr>
                <w:bCs/>
                <w:szCs w:val="24"/>
                <w:lang w:eastAsia="en-GB"/>
              </w:rPr>
              <w:t>Category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E303728" w14:textId="77777777" w:rsidR="001042DA" w:rsidRPr="006B1A5A" w:rsidRDefault="001042DA" w:rsidP="00AF2AEA">
            <w:r w:rsidRPr="006B1A5A">
              <w:t xml:space="preserve">Industrial use </w:t>
            </w:r>
          </w:p>
        </w:tc>
      </w:tr>
      <w:tr w:rsidR="001042DA" w:rsidRPr="006B1A5A" w14:paraId="7487843B" w14:textId="77777777" w:rsidTr="00AF2AEA">
        <w:trPr>
          <w:cantSplit/>
        </w:trPr>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93BF88" w14:textId="77777777" w:rsidR="001042DA" w:rsidRPr="006B1A5A" w:rsidRDefault="001042DA" w:rsidP="00AF2AEA">
            <w:r w:rsidRPr="006B1A5A">
              <w:rPr>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C278E36" w14:textId="77777777" w:rsidR="001042DA" w:rsidRPr="006B1A5A" w:rsidRDefault="001042DA" w:rsidP="00AF2AEA">
            <w:r w:rsidRPr="006B1A5A">
              <w:rPr>
                <w:rFonts w:eastAsia="Calibri"/>
                <w:lang w:eastAsia="en-US"/>
              </w:rPr>
              <w:t>1000 L IBC HDPE containers</w:t>
            </w:r>
          </w:p>
        </w:tc>
      </w:tr>
    </w:tbl>
    <w:p w14:paraId="0DE8CABD" w14:textId="77777777" w:rsidR="001042DA" w:rsidRPr="006B1A5A" w:rsidRDefault="001042DA" w:rsidP="001042DA">
      <w:pPr>
        <w:pStyle w:val="Absatz"/>
        <w:ind w:left="0"/>
      </w:pPr>
    </w:p>
    <w:p w14:paraId="36B67F84" w14:textId="77777777" w:rsidR="001042DA" w:rsidRPr="006B1A5A" w:rsidRDefault="001042DA" w:rsidP="001042DA">
      <w:pPr>
        <w:pStyle w:val="Absatz"/>
      </w:pPr>
    </w:p>
    <w:p w14:paraId="1246B00A" w14:textId="77777777" w:rsidR="001042DA" w:rsidRPr="006B1A5A" w:rsidRDefault="001042DA" w:rsidP="001042DA">
      <w:pPr>
        <w:pStyle w:val="Overskrift3"/>
        <w:rPr>
          <w:lang w:val="en-GB"/>
        </w:rPr>
      </w:pPr>
      <w:bookmarkStart w:id="869" w:name="_Toc387245157"/>
      <w:bookmarkStart w:id="870" w:name="_Toc388285159"/>
      <w:bookmarkStart w:id="871" w:name="_Toc388374250"/>
      <w:bookmarkStart w:id="872" w:name="_Toc388609953"/>
      <w:bookmarkStart w:id="873" w:name="_Toc388624987"/>
      <w:bookmarkStart w:id="874" w:name="_Toc388625241"/>
      <w:bookmarkStart w:id="875" w:name="_Toc388633642"/>
      <w:bookmarkStart w:id="876" w:name="_Toc389725131"/>
      <w:bookmarkStart w:id="877" w:name="_Toc389726067"/>
      <w:bookmarkStart w:id="878" w:name="_Toc389727119"/>
      <w:bookmarkStart w:id="879" w:name="_Toc389727477"/>
      <w:bookmarkStart w:id="880" w:name="_Toc389727836"/>
      <w:bookmarkStart w:id="881" w:name="_Toc389728195"/>
      <w:bookmarkStart w:id="882" w:name="_Toc389728555"/>
      <w:bookmarkStart w:id="883" w:name="_Toc389728913"/>
      <w:bookmarkStart w:id="884" w:name="_Toc389748638"/>
      <w:bookmarkStart w:id="885" w:name="_Toc389750053"/>
      <w:bookmarkStart w:id="886" w:name="_Toc389807235"/>
      <w:bookmarkStart w:id="887" w:name="_Toc389807491"/>
      <w:bookmarkStart w:id="888" w:name="_Toc389807857"/>
      <w:bookmarkStart w:id="889" w:name="_Toc388285160"/>
      <w:bookmarkStart w:id="890" w:name="_Toc389726068"/>
      <w:bookmarkStart w:id="891" w:name="_Toc389727120"/>
      <w:bookmarkStart w:id="892" w:name="_Toc389727478"/>
      <w:bookmarkStart w:id="893" w:name="_Toc389727837"/>
      <w:bookmarkStart w:id="894" w:name="_Toc389728196"/>
      <w:bookmarkStart w:id="895" w:name="_Toc389728556"/>
      <w:bookmarkStart w:id="896" w:name="_Toc389728914"/>
      <w:bookmarkStart w:id="897" w:name="_Toc388285161"/>
      <w:bookmarkStart w:id="898" w:name="_Toc388374252"/>
      <w:bookmarkStart w:id="899" w:name="_Toc388609955"/>
      <w:bookmarkStart w:id="900" w:name="_Toc388624989"/>
      <w:bookmarkStart w:id="901" w:name="_Toc388625243"/>
      <w:bookmarkStart w:id="902" w:name="_Toc388633644"/>
      <w:bookmarkStart w:id="903" w:name="_Toc389725133"/>
      <w:bookmarkStart w:id="904" w:name="_Toc389726069"/>
      <w:bookmarkStart w:id="905" w:name="_Toc389727121"/>
      <w:bookmarkStart w:id="906" w:name="_Toc389727479"/>
      <w:bookmarkStart w:id="907" w:name="_Toc389727838"/>
      <w:bookmarkStart w:id="908" w:name="_Toc389728197"/>
      <w:bookmarkStart w:id="909" w:name="_Toc389728557"/>
      <w:bookmarkStart w:id="910" w:name="_Toc389728915"/>
      <w:bookmarkStart w:id="911" w:name="_Toc389748640"/>
      <w:bookmarkStart w:id="912" w:name="_Toc389750055"/>
      <w:bookmarkStart w:id="913" w:name="_Toc389807237"/>
      <w:bookmarkStart w:id="914" w:name="_Toc389807493"/>
      <w:bookmarkStart w:id="915" w:name="_Toc389807859"/>
      <w:bookmarkStart w:id="916" w:name="_Toc388285162"/>
      <w:bookmarkStart w:id="917" w:name="_Toc389726070"/>
      <w:bookmarkStart w:id="918" w:name="_Toc389727122"/>
      <w:bookmarkStart w:id="919" w:name="_Toc389727480"/>
      <w:bookmarkStart w:id="920" w:name="_Toc389727839"/>
      <w:bookmarkStart w:id="921" w:name="_Toc389728198"/>
      <w:bookmarkStart w:id="922" w:name="_Toc389728558"/>
      <w:bookmarkStart w:id="923" w:name="_Toc389728916"/>
      <w:bookmarkStart w:id="924" w:name="_Toc388285164"/>
      <w:bookmarkStart w:id="925" w:name="_Toc389726072"/>
      <w:bookmarkStart w:id="926" w:name="_Toc389727124"/>
      <w:bookmarkStart w:id="927" w:name="_Toc389727482"/>
      <w:bookmarkStart w:id="928" w:name="_Toc389727841"/>
      <w:bookmarkStart w:id="929" w:name="_Toc389728200"/>
      <w:bookmarkStart w:id="930" w:name="_Toc389728560"/>
      <w:bookmarkStart w:id="931" w:name="_Toc389728918"/>
      <w:bookmarkStart w:id="932" w:name="_Toc388285165"/>
      <w:bookmarkStart w:id="933" w:name="_Toc389726073"/>
      <w:bookmarkStart w:id="934" w:name="_Toc389727125"/>
      <w:bookmarkStart w:id="935" w:name="_Toc389727483"/>
      <w:bookmarkStart w:id="936" w:name="_Toc389727842"/>
      <w:bookmarkStart w:id="937" w:name="_Toc389728201"/>
      <w:bookmarkStart w:id="938" w:name="_Toc389728561"/>
      <w:bookmarkStart w:id="939" w:name="_Toc389728919"/>
      <w:bookmarkStart w:id="940" w:name="_Toc388285167"/>
      <w:bookmarkStart w:id="941" w:name="_Toc389726075"/>
      <w:bookmarkStart w:id="942" w:name="_Toc389727127"/>
      <w:bookmarkStart w:id="943" w:name="_Toc389727485"/>
      <w:bookmarkStart w:id="944" w:name="_Toc389727844"/>
      <w:bookmarkStart w:id="945" w:name="_Toc389728203"/>
      <w:bookmarkStart w:id="946" w:name="_Toc389728563"/>
      <w:bookmarkStart w:id="947" w:name="_Toc389728921"/>
      <w:bookmarkStart w:id="948" w:name="_Toc388285168"/>
      <w:bookmarkStart w:id="949" w:name="_Toc389726076"/>
      <w:bookmarkStart w:id="950" w:name="_Toc389727128"/>
      <w:bookmarkStart w:id="951" w:name="_Toc389727486"/>
      <w:bookmarkStart w:id="952" w:name="_Toc389727845"/>
      <w:bookmarkStart w:id="953" w:name="_Toc389728204"/>
      <w:bookmarkStart w:id="954" w:name="_Toc389728564"/>
      <w:bookmarkStart w:id="955" w:name="_Toc389728922"/>
      <w:bookmarkStart w:id="956" w:name="_Toc388285170"/>
      <w:bookmarkStart w:id="957" w:name="_Toc389726078"/>
      <w:bookmarkStart w:id="958" w:name="_Toc389727130"/>
      <w:bookmarkStart w:id="959" w:name="_Toc389727488"/>
      <w:bookmarkStart w:id="960" w:name="_Toc389727847"/>
      <w:bookmarkStart w:id="961" w:name="_Toc389728206"/>
      <w:bookmarkStart w:id="962" w:name="_Toc389728566"/>
      <w:bookmarkStart w:id="963" w:name="_Toc389728924"/>
      <w:bookmarkStart w:id="964" w:name="_Toc388285171"/>
      <w:bookmarkStart w:id="965" w:name="_Toc389726079"/>
      <w:bookmarkStart w:id="966" w:name="_Toc389727131"/>
      <w:bookmarkStart w:id="967" w:name="_Toc389727489"/>
      <w:bookmarkStart w:id="968" w:name="_Toc389727848"/>
      <w:bookmarkStart w:id="969" w:name="_Toc389728207"/>
      <w:bookmarkStart w:id="970" w:name="_Toc389728567"/>
      <w:bookmarkStart w:id="971" w:name="_Toc389728925"/>
      <w:bookmarkStart w:id="972" w:name="_Toc388285179"/>
      <w:bookmarkStart w:id="973" w:name="_Toc389726087"/>
      <w:bookmarkStart w:id="974" w:name="_Toc389727139"/>
      <w:bookmarkStart w:id="975" w:name="_Toc389727497"/>
      <w:bookmarkStart w:id="976" w:name="_Toc389727856"/>
      <w:bookmarkStart w:id="977" w:name="_Toc389728215"/>
      <w:bookmarkStart w:id="978" w:name="_Toc389728575"/>
      <w:bookmarkStart w:id="979" w:name="_Toc389728933"/>
      <w:bookmarkStart w:id="980" w:name="_Toc388285186"/>
      <w:bookmarkStart w:id="981" w:name="_Toc389726094"/>
      <w:bookmarkStart w:id="982" w:name="_Toc389727146"/>
      <w:bookmarkStart w:id="983" w:name="_Toc389727504"/>
      <w:bookmarkStart w:id="984" w:name="_Toc389727863"/>
      <w:bookmarkStart w:id="985" w:name="_Toc389728222"/>
      <w:bookmarkStart w:id="986" w:name="_Toc389728582"/>
      <w:bookmarkStart w:id="987" w:name="_Toc389728940"/>
      <w:bookmarkStart w:id="988" w:name="_Toc388285193"/>
      <w:bookmarkStart w:id="989" w:name="_Toc389726101"/>
      <w:bookmarkStart w:id="990" w:name="_Toc389727153"/>
      <w:bookmarkStart w:id="991" w:name="_Toc389727511"/>
      <w:bookmarkStart w:id="992" w:name="_Toc389727870"/>
      <w:bookmarkStart w:id="993" w:name="_Toc389728229"/>
      <w:bookmarkStart w:id="994" w:name="_Toc389728589"/>
      <w:bookmarkStart w:id="995" w:name="_Toc389728947"/>
      <w:bookmarkStart w:id="996" w:name="_Toc388285200"/>
      <w:bookmarkStart w:id="997" w:name="_Toc389726108"/>
      <w:bookmarkStart w:id="998" w:name="_Toc389727160"/>
      <w:bookmarkStart w:id="999" w:name="_Toc389727518"/>
      <w:bookmarkStart w:id="1000" w:name="_Toc389727877"/>
      <w:bookmarkStart w:id="1001" w:name="_Toc389728236"/>
      <w:bookmarkStart w:id="1002" w:name="_Toc389728596"/>
      <w:bookmarkStart w:id="1003" w:name="_Toc389728954"/>
      <w:bookmarkStart w:id="1004" w:name="_Toc388285207"/>
      <w:bookmarkStart w:id="1005" w:name="_Toc389726115"/>
      <w:bookmarkStart w:id="1006" w:name="_Toc389727167"/>
      <w:bookmarkStart w:id="1007" w:name="_Toc389727525"/>
      <w:bookmarkStart w:id="1008" w:name="_Toc389727884"/>
      <w:bookmarkStart w:id="1009" w:name="_Toc389728243"/>
      <w:bookmarkStart w:id="1010" w:name="_Toc389728603"/>
      <w:bookmarkStart w:id="1011" w:name="_Toc389728961"/>
      <w:bookmarkStart w:id="1012" w:name="_Toc388285208"/>
      <w:bookmarkStart w:id="1013" w:name="_Toc389726116"/>
      <w:bookmarkStart w:id="1014" w:name="_Toc389727168"/>
      <w:bookmarkStart w:id="1015" w:name="_Toc389727526"/>
      <w:bookmarkStart w:id="1016" w:name="_Toc389727885"/>
      <w:bookmarkStart w:id="1017" w:name="_Toc389728244"/>
      <w:bookmarkStart w:id="1018" w:name="_Toc389728604"/>
      <w:bookmarkStart w:id="1019" w:name="_Toc389728962"/>
      <w:bookmarkStart w:id="1020" w:name="_Toc388281508"/>
      <w:bookmarkStart w:id="1021" w:name="_Toc388281964"/>
      <w:bookmarkStart w:id="1022" w:name="_Toc388282446"/>
      <w:bookmarkStart w:id="1023" w:name="_Toc388282894"/>
      <w:bookmarkStart w:id="1024" w:name="_Toc388285210"/>
      <w:bookmarkStart w:id="1025" w:name="_Toc389726118"/>
      <w:bookmarkStart w:id="1026" w:name="_Toc389727170"/>
      <w:bookmarkStart w:id="1027" w:name="_Toc389727528"/>
      <w:bookmarkStart w:id="1028" w:name="_Toc389727887"/>
      <w:bookmarkStart w:id="1029" w:name="_Toc389728246"/>
      <w:bookmarkStart w:id="1030" w:name="_Toc389728606"/>
      <w:bookmarkStart w:id="1031" w:name="_Toc389728964"/>
      <w:bookmarkStart w:id="1032" w:name="_Toc388281510"/>
      <w:bookmarkStart w:id="1033" w:name="_Toc388281966"/>
      <w:bookmarkStart w:id="1034" w:name="_Toc388282448"/>
      <w:bookmarkStart w:id="1035" w:name="_Toc388282896"/>
      <w:bookmarkStart w:id="1036" w:name="_Toc388285212"/>
      <w:bookmarkStart w:id="1037" w:name="_Toc389726120"/>
      <w:bookmarkStart w:id="1038" w:name="_Toc389727172"/>
      <w:bookmarkStart w:id="1039" w:name="_Toc389727530"/>
      <w:bookmarkStart w:id="1040" w:name="_Toc389727889"/>
      <w:bookmarkStart w:id="1041" w:name="_Toc389728248"/>
      <w:bookmarkStart w:id="1042" w:name="_Toc389728608"/>
      <w:bookmarkStart w:id="1043" w:name="_Toc389728966"/>
      <w:bookmarkStart w:id="1044" w:name="_Toc388281511"/>
      <w:bookmarkStart w:id="1045" w:name="_Toc388281967"/>
      <w:bookmarkStart w:id="1046" w:name="_Toc388282449"/>
      <w:bookmarkStart w:id="1047" w:name="_Toc388282897"/>
      <w:bookmarkStart w:id="1048" w:name="_Toc388285213"/>
      <w:bookmarkStart w:id="1049" w:name="_Toc389726121"/>
      <w:bookmarkStart w:id="1050" w:name="_Toc389727173"/>
      <w:bookmarkStart w:id="1051" w:name="_Toc389727531"/>
      <w:bookmarkStart w:id="1052" w:name="_Toc389727890"/>
      <w:bookmarkStart w:id="1053" w:name="_Toc389728249"/>
      <w:bookmarkStart w:id="1054" w:name="_Toc389728609"/>
      <w:bookmarkStart w:id="1055" w:name="_Toc389728967"/>
      <w:bookmarkStart w:id="1056" w:name="_Toc388281525"/>
      <w:bookmarkStart w:id="1057" w:name="_Toc388281981"/>
      <w:bookmarkStart w:id="1058" w:name="_Toc388282463"/>
      <w:bookmarkStart w:id="1059" w:name="_Toc388282911"/>
      <w:bookmarkStart w:id="1060" w:name="_Toc388285227"/>
      <w:bookmarkStart w:id="1061" w:name="_Toc388374267"/>
      <w:bookmarkStart w:id="1062" w:name="_Toc388609970"/>
      <w:bookmarkStart w:id="1063" w:name="_Toc388625004"/>
      <w:bookmarkStart w:id="1064" w:name="_Toc388625258"/>
      <w:bookmarkStart w:id="1065" w:name="_Toc388633659"/>
      <w:bookmarkStart w:id="1066" w:name="_Toc389725148"/>
      <w:bookmarkStart w:id="1067" w:name="_Toc389726135"/>
      <w:bookmarkStart w:id="1068" w:name="_Toc389727187"/>
      <w:bookmarkStart w:id="1069" w:name="_Toc389727545"/>
      <w:bookmarkStart w:id="1070" w:name="_Toc389727904"/>
      <w:bookmarkStart w:id="1071" w:name="_Toc389728263"/>
      <w:bookmarkStart w:id="1072" w:name="_Toc389728623"/>
      <w:bookmarkStart w:id="1073" w:name="_Toc389728981"/>
      <w:bookmarkStart w:id="1074" w:name="_Toc389748652"/>
      <w:bookmarkStart w:id="1075" w:name="_Toc389750067"/>
      <w:bookmarkStart w:id="1076" w:name="_Toc389807249"/>
      <w:bookmarkStart w:id="1077" w:name="_Toc389807505"/>
      <w:bookmarkStart w:id="1078" w:name="_Toc389807871"/>
      <w:bookmarkStart w:id="1079" w:name="_Toc388281534"/>
      <w:bookmarkStart w:id="1080" w:name="_Toc388281990"/>
      <w:bookmarkStart w:id="1081" w:name="_Toc388282472"/>
      <w:bookmarkStart w:id="1082" w:name="_Toc388282920"/>
      <w:bookmarkStart w:id="1083" w:name="_Toc388285236"/>
      <w:bookmarkStart w:id="1084" w:name="_Toc388374275"/>
      <w:bookmarkStart w:id="1085" w:name="_Toc388609978"/>
      <w:bookmarkStart w:id="1086" w:name="_Toc388625012"/>
      <w:bookmarkStart w:id="1087" w:name="_Toc388625266"/>
      <w:bookmarkStart w:id="1088" w:name="_Toc388633667"/>
      <w:bookmarkStart w:id="1089" w:name="_Toc389725156"/>
      <w:bookmarkStart w:id="1090" w:name="_Toc389726144"/>
      <w:bookmarkStart w:id="1091" w:name="_Toc389727196"/>
      <w:bookmarkStart w:id="1092" w:name="_Toc389727554"/>
      <w:bookmarkStart w:id="1093" w:name="_Toc389727913"/>
      <w:bookmarkStart w:id="1094" w:name="_Toc389728272"/>
      <w:bookmarkStart w:id="1095" w:name="_Toc389728632"/>
      <w:bookmarkStart w:id="1096" w:name="_Toc389728990"/>
      <w:bookmarkStart w:id="1097" w:name="_Toc389748660"/>
      <w:bookmarkStart w:id="1098" w:name="_Toc389750075"/>
      <w:bookmarkStart w:id="1099" w:name="_Toc389807257"/>
      <w:bookmarkStart w:id="1100" w:name="_Toc389807513"/>
      <w:bookmarkStart w:id="1101" w:name="_Toc389807879"/>
      <w:bookmarkStart w:id="1102" w:name="_Toc388281535"/>
      <w:bookmarkStart w:id="1103" w:name="_Toc388281991"/>
      <w:bookmarkStart w:id="1104" w:name="_Toc388282473"/>
      <w:bookmarkStart w:id="1105" w:name="_Toc388282921"/>
      <w:bookmarkStart w:id="1106" w:name="_Toc388285237"/>
      <w:bookmarkStart w:id="1107" w:name="_Toc388374276"/>
      <w:bookmarkStart w:id="1108" w:name="_Toc388609979"/>
      <w:bookmarkStart w:id="1109" w:name="_Toc388625013"/>
      <w:bookmarkStart w:id="1110" w:name="_Toc388625267"/>
      <w:bookmarkStart w:id="1111" w:name="_Toc388633668"/>
      <w:bookmarkStart w:id="1112" w:name="_Toc389725157"/>
      <w:bookmarkStart w:id="1113" w:name="_Toc389726145"/>
      <w:bookmarkStart w:id="1114" w:name="_Toc389727197"/>
      <w:bookmarkStart w:id="1115" w:name="_Toc389727555"/>
      <w:bookmarkStart w:id="1116" w:name="_Toc389727914"/>
      <w:bookmarkStart w:id="1117" w:name="_Toc389728273"/>
      <w:bookmarkStart w:id="1118" w:name="_Toc389728633"/>
      <w:bookmarkStart w:id="1119" w:name="_Toc389728991"/>
      <w:bookmarkStart w:id="1120" w:name="_Toc389748661"/>
      <w:bookmarkStart w:id="1121" w:name="_Toc389750076"/>
      <w:bookmarkStart w:id="1122" w:name="_Toc389807258"/>
      <w:bookmarkStart w:id="1123" w:name="_Toc389807514"/>
      <w:bookmarkStart w:id="1124" w:name="_Toc389807880"/>
      <w:bookmarkStart w:id="1125" w:name="_Toc388281536"/>
      <w:bookmarkStart w:id="1126" w:name="_Toc388281992"/>
      <w:bookmarkStart w:id="1127" w:name="_Toc388282474"/>
      <w:bookmarkStart w:id="1128" w:name="_Toc388282922"/>
      <w:bookmarkStart w:id="1129" w:name="_Toc388285238"/>
      <w:bookmarkStart w:id="1130" w:name="_Toc389726146"/>
      <w:bookmarkStart w:id="1131" w:name="_Toc389727198"/>
      <w:bookmarkStart w:id="1132" w:name="_Toc389727556"/>
      <w:bookmarkStart w:id="1133" w:name="_Toc389727915"/>
      <w:bookmarkStart w:id="1134" w:name="_Toc389728274"/>
      <w:bookmarkStart w:id="1135" w:name="_Toc389728634"/>
      <w:bookmarkStart w:id="1136" w:name="_Toc389728992"/>
      <w:bookmarkStart w:id="1137" w:name="_Toc388281548"/>
      <w:bookmarkStart w:id="1138" w:name="_Toc388282004"/>
      <w:bookmarkStart w:id="1139" w:name="_Toc388282486"/>
      <w:bookmarkStart w:id="1140" w:name="_Toc388282934"/>
      <w:bookmarkStart w:id="1141" w:name="_Toc388285250"/>
      <w:bookmarkStart w:id="1142" w:name="_Toc388374287"/>
      <w:bookmarkStart w:id="1143" w:name="_Toc388609990"/>
      <w:bookmarkStart w:id="1144" w:name="_Toc388625024"/>
      <w:bookmarkStart w:id="1145" w:name="_Toc388625278"/>
      <w:bookmarkStart w:id="1146" w:name="_Toc388633679"/>
      <w:bookmarkStart w:id="1147" w:name="_Toc389725168"/>
      <w:bookmarkStart w:id="1148" w:name="_Toc389726158"/>
      <w:bookmarkStart w:id="1149" w:name="_Toc389727210"/>
      <w:bookmarkStart w:id="1150" w:name="_Toc389727568"/>
      <w:bookmarkStart w:id="1151" w:name="_Toc389727927"/>
      <w:bookmarkStart w:id="1152" w:name="_Toc389728286"/>
      <w:bookmarkStart w:id="1153" w:name="_Toc389728646"/>
      <w:bookmarkStart w:id="1154" w:name="_Toc389729004"/>
      <w:bookmarkStart w:id="1155" w:name="_Toc389748672"/>
      <w:bookmarkStart w:id="1156" w:name="_Toc389750087"/>
      <w:bookmarkStart w:id="1157" w:name="_Toc389807269"/>
      <w:bookmarkStart w:id="1158" w:name="_Toc389807525"/>
      <w:bookmarkStart w:id="1159" w:name="_Toc389807891"/>
      <w:bookmarkStart w:id="1160" w:name="_Toc388281555"/>
      <w:bookmarkStart w:id="1161" w:name="_Toc388282011"/>
      <w:bookmarkStart w:id="1162" w:name="_Toc388282493"/>
      <w:bookmarkStart w:id="1163" w:name="_Toc388282941"/>
      <w:bookmarkStart w:id="1164" w:name="_Toc388285257"/>
      <w:bookmarkStart w:id="1165" w:name="_Toc388374293"/>
      <w:bookmarkStart w:id="1166" w:name="_Toc388609996"/>
      <w:bookmarkStart w:id="1167" w:name="_Toc388625030"/>
      <w:bookmarkStart w:id="1168" w:name="_Toc388625284"/>
      <w:bookmarkStart w:id="1169" w:name="_Toc388633685"/>
      <w:bookmarkStart w:id="1170" w:name="_Toc389725174"/>
      <w:bookmarkStart w:id="1171" w:name="_Toc389726165"/>
      <w:bookmarkStart w:id="1172" w:name="_Toc389727217"/>
      <w:bookmarkStart w:id="1173" w:name="_Toc389727575"/>
      <w:bookmarkStart w:id="1174" w:name="_Toc389727934"/>
      <w:bookmarkStart w:id="1175" w:name="_Toc389728293"/>
      <w:bookmarkStart w:id="1176" w:name="_Toc389728653"/>
      <w:bookmarkStart w:id="1177" w:name="_Toc389729011"/>
      <w:bookmarkStart w:id="1178" w:name="_Toc389748678"/>
      <w:bookmarkStart w:id="1179" w:name="_Toc389750093"/>
      <w:bookmarkStart w:id="1180" w:name="_Toc389807275"/>
      <w:bookmarkStart w:id="1181" w:name="_Toc389807531"/>
      <w:bookmarkStart w:id="1182" w:name="_Toc389807897"/>
      <w:bookmarkStart w:id="1183" w:name="_Toc388281556"/>
      <w:bookmarkStart w:id="1184" w:name="_Toc388282012"/>
      <w:bookmarkStart w:id="1185" w:name="_Toc388282494"/>
      <w:bookmarkStart w:id="1186" w:name="_Toc388282942"/>
      <w:bookmarkStart w:id="1187" w:name="_Toc388285258"/>
      <w:bookmarkStart w:id="1188" w:name="_Toc388374294"/>
      <w:bookmarkStart w:id="1189" w:name="_Toc388609997"/>
      <w:bookmarkStart w:id="1190" w:name="_Toc388625031"/>
      <w:bookmarkStart w:id="1191" w:name="_Toc388625285"/>
      <w:bookmarkStart w:id="1192" w:name="_Toc388633686"/>
      <w:bookmarkStart w:id="1193" w:name="_Toc389725175"/>
      <w:bookmarkStart w:id="1194" w:name="_Toc389726166"/>
      <w:bookmarkStart w:id="1195" w:name="_Toc389727218"/>
      <w:bookmarkStart w:id="1196" w:name="_Toc389727576"/>
      <w:bookmarkStart w:id="1197" w:name="_Toc389727935"/>
      <w:bookmarkStart w:id="1198" w:name="_Toc389728294"/>
      <w:bookmarkStart w:id="1199" w:name="_Toc389728654"/>
      <w:bookmarkStart w:id="1200" w:name="_Toc389729012"/>
      <w:bookmarkStart w:id="1201" w:name="_Toc389748679"/>
      <w:bookmarkStart w:id="1202" w:name="_Toc389750094"/>
      <w:bookmarkStart w:id="1203" w:name="_Toc389807276"/>
      <w:bookmarkStart w:id="1204" w:name="_Toc389807532"/>
      <w:bookmarkStart w:id="1205" w:name="_Toc389807898"/>
      <w:bookmarkStart w:id="1206" w:name="_Toc388281557"/>
      <w:bookmarkStart w:id="1207" w:name="_Toc388282013"/>
      <w:bookmarkStart w:id="1208" w:name="_Toc388282495"/>
      <w:bookmarkStart w:id="1209" w:name="_Toc388282943"/>
      <w:bookmarkStart w:id="1210" w:name="_Toc388285259"/>
      <w:bookmarkStart w:id="1211" w:name="_Toc389726167"/>
      <w:bookmarkStart w:id="1212" w:name="_Toc389727219"/>
      <w:bookmarkStart w:id="1213" w:name="_Toc389727577"/>
      <w:bookmarkStart w:id="1214" w:name="_Toc389727936"/>
      <w:bookmarkStart w:id="1215" w:name="_Toc389728295"/>
      <w:bookmarkStart w:id="1216" w:name="_Toc389728655"/>
      <w:bookmarkStart w:id="1217" w:name="_Toc389729013"/>
      <w:bookmarkStart w:id="1218" w:name="_Toc388281565"/>
      <w:bookmarkStart w:id="1219" w:name="_Toc388282021"/>
      <w:bookmarkStart w:id="1220" w:name="_Toc388282503"/>
      <w:bookmarkStart w:id="1221" w:name="_Toc388282951"/>
      <w:bookmarkStart w:id="1222" w:name="_Toc388285267"/>
      <w:bookmarkStart w:id="1223" w:name="_Toc388374302"/>
      <w:bookmarkStart w:id="1224" w:name="_Toc388610005"/>
      <w:bookmarkStart w:id="1225" w:name="_Toc388625039"/>
      <w:bookmarkStart w:id="1226" w:name="_Toc388625293"/>
      <w:bookmarkStart w:id="1227" w:name="_Toc388633694"/>
      <w:bookmarkStart w:id="1228" w:name="_Toc389725183"/>
      <w:bookmarkStart w:id="1229" w:name="_Toc389726175"/>
      <w:bookmarkStart w:id="1230" w:name="_Toc389727227"/>
      <w:bookmarkStart w:id="1231" w:name="_Toc389727585"/>
      <w:bookmarkStart w:id="1232" w:name="_Toc389727944"/>
      <w:bookmarkStart w:id="1233" w:name="_Toc389728303"/>
      <w:bookmarkStart w:id="1234" w:name="_Toc389728663"/>
      <w:bookmarkStart w:id="1235" w:name="_Toc389729021"/>
      <w:bookmarkStart w:id="1236" w:name="_Toc389748687"/>
      <w:bookmarkStart w:id="1237" w:name="_Toc389750102"/>
      <w:bookmarkStart w:id="1238" w:name="_Toc389807284"/>
      <w:bookmarkStart w:id="1239" w:name="_Toc389807540"/>
      <w:bookmarkStart w:id="1240" w:name="_Toc389807906"/>
      <w:bookmarkStart w:id="1241" w:name="_Toc388281572"/>
      <w:bookmarkStart w:id="1242" w:name="_Toc388282028"/>
      <w:bookmarkStart w:id="1243" w:name="_Toc388282510"/>
      <w:bookmarkStart w:id="1244" w:name="_Toc388282958"/>
      <w:bookmarkStart w:id="1245" w:name="_Toc388285274"/>
      <w:bookmarkStart w:id="1246" w:name="_Toc388374308"/>
      <w:bookmarkStart w:id="1247" w:name="_Toc388610011"/>
      <w:bookmarkStart w:id="1248" w:name="_Toc388625045"/>
      <w:bookmarkStart w:id="1249" w:name="_Toc388625299"/>
      <w:bookmarkStart w:id="1250" w:name="_Toc388633700"/>
      <w:bookmarkStart w:id="1251" w:name="_Toc377649016"/>
      <w:bookmarkStart w:id="1252" w:name="_Toc377650869"/>
      <w:bookmarkStart w:id="1253" w:name="_Toc377650996"/>
      <w:bookmarkStart w:id="1254" w:name="_Toc377653265"/>
      <w:bookmarkStart w:id="1255" w:name="_Toc378351569"/>
      <w:bookmarkStart w:id="1256" w:name="_Toc378681318"/>
      <w:bookmarkStart w:id="1257" w:name="_Toc378682238"/>
      <w:bookmarkStart w:id="1258" w:name="_Toc378683685"/>
      <w:bookmarkStart w:id="1259" w:name="_Toc378685373"/>
      <w:bookmarkStart w:id="1260" w:name="_Toc378685509"/>
      <w:bookmarkStart w:id="1261" w:name="_Toc378691718"/>
      <w:bookmarkStart w:id="1262" w:name="_Toc378692175"/>
      <w:bookmarkStart w:id="1263" w:name="_Toc378692312"/>
      <w:bookmarkStart w:id="1264" w:name="_Toc378692449"/>
      <w:bookmarkStart w:id="1265" w:name="_Toc378761151"/>
      <w:bookmarkStart w:id="1266" w:name="_Toc378761294"/>
      <w:bookmarkStart w:id="1267" w:name="_Toc378761437"/>
      <w:bookmarkStart w:id="1268" w:name="_Toc378761580"/>
      <w:bookmarkStart w:id="1269" w:name="_Toc378761893"/>
      <w:bookmarkStart w:id="1270" w:name="_Toc378762033"/>
      <w:bookmarkStart w:id="1271" w:name="_Toc378762171"/>
      <w:bookmarkStart w:id="1272" w:name="_Toc378765648"/>
      <w:bookmarkStart w:id="1273" w:name="_Toc378767396"/>
      <w:bookmarkStart w:id="1274" w:name="_Toc378774991"/>
      <w:bookmarkStart w:id="1275" w:name="_Toc378776186"/>
      <w:bookmarkStart w:id="1276" w:name="_Toc378841266"/>
      <w:bookmarkStart w:id="1277" w:name="_Toc378858865"/>
      <w:bookmarkStart w:id="1278" w:name="_Toc378859093"/>
      <w:bookmarkStart w:id="1279" w:name="_Toc377649017"/>
      <w:bookmarkStart w:id="1280" w:name="_Toc377650870"/>
      <w:bookmarkStart w:id="1281" w:name="_Toc377650997"/>
      <w:bookmarkStart w:id="1282" w:name="_Toc377653266"/>
      <w:bookmarkStart w:id="1283" w:name="_Toc378351570"/>
      <w:bookmarkStart w:id="1284" w:name="_Toc378681319"/>
      <w:bookmarkStart w:id="1285" w:name="_Toc378682239"/>
      <w:bookmarkStart w:id="1286" w:name="_Toc378683686"/>
      <w:bookmarkStart w:id="1287" w:name="_Toc378685374"/>
      <w:bookmarkStart w:id="1288" w:name="_Toc378685510"/>
      <w:bookmarkStart w:id="1289" w:name="_Toc378691719"/>
      <w:bookmarkStart w:id="1290" w:name="_Toc378692176"/>
      <w:bookmarkStart w:id="1291" w:name="_Toc378692313"/>
      <w:bookmarkStart w:id="1292" w:name="_Toc378692450"/>
      <w:bookmarkStart w:id="1293" w:name="_Toc378761152"/>
      <w:bookmarkStart w:id="1294" w:name="_Toc378761295"/>
      <w:bookmarkStart w:id="1295" w:name="_Toc378761438"/>
      <w:bookmarkStart w:id="1296" w:name="_Toc378761581"/>
      <w:bookmarkStart w:id="1297" w:name="_Toc378761894"/>
      <w:bookmarkStart w:id="1298" w:name="_Toc378762034"/>
      <w:bookmarkStart w:id="1299" w:name="_Toc378762172"/>
      <w:bookmarkStart w:id="1300" w:name="_Toc378765649"/>
      <w:bookmarkStart w:id="1301" w:name="_Toc378767397"/>
      <w:bookmarkStart w:id="1302" w:name="_Toc378774992"/>
      <w:bookmarkStart w:id="1303" w:name="_Toc378776187"/>
      <w:bookmarkStart w:id="1304" w:name="_Toc378841267"/>
      <w:bookmarkStart w:id="1305" w:name="_Toc378858866"/>
      <w:bookmarkStart w:id="1306" w:name="_Toc378859094"/>
      <w:bookmarkStart w:id="1307" w:name="_Toc377649018"/>
      <w:bookmarkStart w:id="1308" w:name="_Toc377650871"/>
      <w:bookmarkStart w:id="1309" w:name="_Toc377650998"/>
      <w:bookmarkStart w:id="1310" w:name="_Toc377653267"/>
      <w:bookmarkStart w:id="1311" w:name="_Toc378351571"/>
      <w:bookmarkStart w:id="1312" w:name="_Toc378681320"/>
      <w:bookmarkStart w:id="1313" w:name="_Toc378682240"/>
      <w:bookmarkStart w:id="1314" w:name="_Toc378683687"/>
      <w:bookmarkStart w:id="1315" w:name="_Toc378685375"/>
      <w:bookmarkStart w:id="1316" w:name="_Toc378685511"/>
      <w:bookmarkStart w:id="1317" w:name="_Toc378691720"/>
      <w:bookmarkStart w:id="1318" w:name="_Toc378692177"/>
      <w:bookmarkStart w:id="1319" w:name="_Toc378692314"/>
      <w:bookmarkStart w:id="1320" w:name="_Toc378692451"/>
      <w:bookmarkStart w:id="1321" w:name="_Toc378761153"/>
      <w:bookmarkStart w:id="1322" w:name="_Toc378761296"/>
      <w:bookmarkStart w:id="1323" w:name="_Toc378761439"/>
      <w:bookmarkStart w:id="1324" w:name="_Toc378761582"/>
      <w:bookmarkStart w:id="1325" w:name="_Toc378761895"/>
      <w:bookmarkStart w:id="1326" w:name="_Toc378762035"/>
      <w:bookmarkStart w:id="1327" w:name="_Toc378762173"/>
      <w:bookmarkStart w:id="1328" w:name="_Toc378765650"/>
      <w:bookmarkStart w:id="1329" w:name="_Toc378767398"/>
      <w:bookmarkStart w:id="1330" w:name="_Toc378774993"/>
      <w:bookmarkStart w:id="1331" w:name="_Toc378776188"/>
      <w:bookmarkStart w:id="1332" w:name="_Toc378841268"/>
      <w:bookmarkStart w:id="1333" w:name="_Toc378858867"/>
      <w:bookmarkStart w:id="1334" w:name="_Toc378859095"/>
      <w:bookmarkStart w:id="1335" w:name="_Toc403472740"/>
      <w:bookmarkStart w:id="1336" w:name="_Toc425344102"/>
      <w:bookmarkStart w:id="1337" w:name="_Toc66448819"/>
      <w:bookmarkStart w:id="1338" w:name="_Toc38972902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r w:rsidRPr="006B1A5A">
        <w:rPr>
          <w:lang w:val="en-GB"/>
        </w:rPr>
        <w:t>Physical, chemical and technical properties</w:t>
      </w:r>
      <w:bookmarkEnd w:id="1335"/>
      <w:bookmarkEnd w:id="1336"/>
      <w:bookmarkEnd w:id="1337"/>
      <w:r w:rsidRPr="006B1A5A">
        <w:rPr>
          <w:lang w:val="en-GB"/>
        </w:rPr>
        <w:t xml:space="preserve"> </w:t>
      </w:r>
      <w:bookmarkEnd w:id="1338"/>
    </w:p>
    <w:p w14:paraId="3CDC353E" w14:textId="54E8A6D9" w:rsidR="001042DA" w:rsidRPr="006B1A5A" w:rsidRDefault="001042DA" w:rsidP="001042DA">
      <w:pPr>
        <w:spacing w:after="120"/>
        <w:contextualSpacing/>
        <w:rPr>
          <w:rFonts w:eastAsia="Calibri"/>
          <w:lang w:eastAsia="sv-SE"/>
        </w:rPr>
      </w:pPr>
      <w:r w:rsidRPr="006B1A5A">
        <w:rPr>
          <w:rFonts w:eastAsia="Calibri"/>
          <w:lang w:eastAsia="sv-SE"/>
        </w:rPr>
        <w:t>The physical, chemical and technical properties were determined for the representative product of the 360 BPF, AquaNet HG360. All products in the family are composed of the same components, but in varying concentrations. The HG360 is the product with the highest content of active substance</w:t>
      </w:r>
      <w:r w:rsidR="00FC79AE">
        <w:rPr>
          <w:rFonts w:eastAsia="Calibri"/>
          <w:lang w:eastAsia="sv-SE"/>
        </w:rPr>
        <w:t>.</w:t>
      </w:r>
      <w:r w:rsidR="00FC79AE" w:rsidRPr="006B1A5A">
        <w:rPr>
          <w:rFonts w:eastAsia="Calibri"/>
          <w:lang w:eastAsia="sv-SE"/>
        </w:rPr>
        <w:t xml:space="preserve"> </w:t>
      </w:r>
    </w:p>
    <w:p w14:paraId="66F35B8B" w14:textId="77777777" w:rsidR="001042DA" w:rsidRPr="006B1A5A" w:rsidRDefault="001042DA" w:rsidP="001042DA">
      <w:pPr>
        <w:spacing w:after="120"/>
        <w:contextualSpacing/>
        <w:rPr>
          <w:rFonts w:eastAsia="Calibri"/>
          <w:lang w:eastAsia="sv-S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0"/>
        <w:gridCol w:w="2120"/>
        <w:gridCol w:w="3260"/>
        <w:gridCol w:w="1843"/>
      </w:tblGrid>
      <w:tr w:rsidR="001042DA" w:rsidRPr="006B1A5A" w14:paraId="6102DB5B" w14:textId="77777777" w:rsidTr="00AF2AEA">
        <w:trPr>
          <w:tblHeader/>
        </w:trPr>
        <w:tc>
          <w:tcPr>
            <w:tcW w:w="2270" w:type="dxa"/>
            <w:shd w:val="clear" w:color="auto" w:fill="FFFFCC"/>
            <w:vAlign w:val="center"/>
          </w:tcPr>
          <w:p w14:paraId="210BE367" w14:textId="77777777" w:rsidR="001042DA" w:rsidRPr="006B1A5A" w:rsidRDefault="001042DA" w:rsidP="00AF2AEA">
            <w:pPr>
              <w:spacing w:line="260" w:lineRule="atLeast"/>
              <w:rPr>
                <w:rFonts w:eastAsia="Calibri"/>
                <w:b/>
                <w:lang w:eastAsia="en-US"/>
              </w:rPr>
            </w:pPr>
            <w:r w:rsidRPr="006B1A5A">
              <w:rPr>
                <w:rFonts w:eastAsia="Calibri"/>
                <w:b/>
                <w:lang w:eastAsia="en-US"/>
              </w:rPr>
              <w:t>Property</w:t>
            </w:r>
          </w:p>
        </w:tc>
        <w:tc>
          <w:tcPr>
            <w:tcW w:w="2120" w:type="dxa"/>
            <w:shd w:val="clear" w:color="auto" w:fill="FFFFCC"/>
            <w:vAlign w:val="center"/>
          </w:tcPr>
          <w:p w14:paraId="601F9C37" w14:textId="77777777" w:rsidR="001042DA" w:rsidRPr="006B1A5A" w:rsidRDefault="001042DA" w:rsidP="00AF2AEA">
            <w:pPr>
              <w:spacing w:line="260" w:lineRule="atLeast"/>
              <w:rPr>
                <w:rFonts w:eastAsia="Calibri"/>
                <w:b/>
                <w:lang w:eastAsia="en-US"/>
              </w:rPr>
            </w:pPr>
            <w:r w:rsidRPr="006B1A5A">
              <w:rPr>
                <w:rFonts w:eastAsia="Calibri"/>
                <w:b/>
                <w:lang w:eastAsia="en-US"/>
              </w:rPr>
              <w:t>Guideline and Method</w:t>
            </w:r>
          </w:p>
        </w:tc>
        <w:tc>
          <w:tcPr>
            <w:tcW w:w="3260" w:type="dxa"/>
            <w:shd w:val="clear" w:color="auto" w:fill="FFFFCC"/>
            <w:vAlign w:val="center"/>
          </w:tcPr>
          <w:p w14:paraId="37B8D3DB" w14:textId="77777777" w:rsidR="001042DA" w:rsidRPr="006B1A5A" w:rsidRDefault="001042DA" w:rsidP="00AF2AEA">
            <w:pPr>
              <w:spacing w:line="260" w:lineRule="atLeast"/>
              <w:rPr>
                <w:rFonts w:eastAsia="Calibri"/>
                <w:b/>
                <w:lang w:eastAsia="en-US"/>
              </w:rPr>
            </w:pPr>
            <w:r w:rsidRPr="006B1A5A">
              <w:rPr>
                <w:rFonts w:eastAsia="Calibri"/>
                <w:b/>
                <w:lang w:eastAsia="en-US"/>
              </w:rPr>
              <w:t>Results</w:t>
            </w:r>
          </w:p>
        </w:tc>
        <w:tc>
          <w:tcPr>
            <w:tcW w:w="1843" w:type="dxa"/>
            <w:shd w:val="clear" w:color="auto" w:fill="FFFFCC"/>
            <w:vAlign w:val="center"/>
          </w:tcPr>
          <w:p w14:paraId="48A44549" w14:textId="77777777" w:rsidR="001042DA" w:rsidRPr="006B1A5A" w:rsidRDefault="001042DA" w:rsidP="00AF2AEA">
            <w:pPr>
              <w:spacing w:line="260" w:lineRule="atLeast"/>
              <w:rPr>
                <w:rFonts w:eastAsia="Calibri"/>
                <w:b/>
                <w:lang w:eastAsia="en-US"/>
              </w:rPr>
            </w:pPr>
            <w:r w:rsidRPr="006B1A5A">
              <w:rPr>
                <w:rFonts w:eastAsia="Calibri"/>
                <w:b/>
                <w:lang w:eastAsia="en-US"/>
              </w:rPr>
              <w:t>Reference</w:t>
            </w:r>
          </w:p>
        </w:tc>
      </w:tr>
      <w:tr w:rsidR="001042DA" w:rsidRPr="006B1A5A" w14:paraId="5FA79792" w14:textId="77777777" w:rsidTr="00AF2AEA">
        <w:tc>
          <w:tcPr>
            <w:tcW w:w="2270" w:type="dxa"/>
          </w:tcPr>
          <w:p w14:paraId="45A62A18" w14:textId="77777777" w:rsidR="001042DA" w:rsidRPr="006B1A5A" w:rsidRDefault="001042DA" w:rsidP="00AF2AEA">
            <w:pPr>
              <w:rPr>
                <w:rFonts w:eastAsia="Calibri"/>
              </w:rPr>
            </w:pPr>
            <w:r w:rsidRPr="006B1A5A">
              <w:rPr>
                <w:rFonts w:eastAsia="Calibri"/>
              </w:rPr>
              <w:t>Physical state at 20°C and 101.3 kPa</w:t>
            </w:r>
          </w:p>
        </w:tc>
        <w:tc>
          <w:tcPr>
            <w:tcW w:w="2120" w:type="dxa"/>
          </w:tcPr>
          <w:p w14:paraId="12A9B41C" w14:textId="77777777" w:rsidR="001042DA" w:rsidRPr="006B1A5A" w:rsidRDefault="001042DA" w:rsidP="00AF2AEA">
            <w:pPr>
              <w:rPr>
                <w:rFonts w:eastAsia="Calibri"/>
              </w:rPr>
            </w:pPr>
            <w:r w:rsidRPr="006B1A5A">
              <w:rPr>
                <w:rFonts w:eastAsia="Calibri"/>
              </w:rPr>
              <w:t>EPA OPPTS 830.6303</w:t>
            </w:r>
          </w:p>
        </w:tc>
        <w:tc>
          <w:tcPr>
            <w:tcW w:w="3260" w:type="dxa"/>
          </w:tcPr>
          <w:p w14:paraId="136F6466" w14:textId="77777777" w:rsidR="001042DA" w:rsidRPr="006B1A5A" w:rsidRDefault="001042DA" w:rsidP="00AF2AEA">
            <w:pPr>
              <w:rPr>
                <w:rFonts w:eastAsiaTheme="minorHAnsi" w:cs="Times-Roman"/>
                <w:lang w:eastAsia="en-US"/>
              </w:rPr>
            </w:pPr>
            <w:r w:rsidRPr="006B1A5A">
              <w:rPr>
                <w:rFonts w:eastAsiaTheme="minorHAnsi" w:cs="Times-Roman"/>
                <w:lang w:eastAsia="en-US"/>
              </w:rPr>
              <w:t>Liquid aqueous suspension concentrate.</w:t>
            </w:r>
          </w:p>
          <w:p w14:paraId="336B68CF" w14:textId="77777777" w:rsidR="001042DA" w:rsidRPr="006B1A5A" w:rsidRDefault="001042DA" w:rsidP="00AF2AEA">
            <w:pPr>
              <w:rPr>
                <w:rFonts w:eastAsiaTheme="minorHAnsi" w:cs="Times-Roman"/>
                <w:lang w:eastAsia="en-US"/>
              </w:rPr>
            </w:pPr>
          </w:p>
          <w:p w14:paraId="3AA0992D" w14:textId="77777777" w:rsidR="001042DA" w:rsidRPr="006B1A5A" w:rsidRDefault="001042DA" w:rsidP="00AF2AEA">
            <w:pPr>
              <w:rPr>
                <w:rFonts w:eastAsia="Calibri"/>
              </w:rPr>
            </w:pPr>
            <w:r w:rsidRPr="006B1A5A">
              <w:rPr>
                <w:rFonts w:eastAsiaTheme="minorHAnsi" w:cs="Times-Roman"/>
                <w:lang w:eastAsia="en-US"/>
              </w:rPr>
              <w:t>No change after 6-months storage but some clumping and phase separation were observed after 12-months storage, however this could be re-homogenised with stirring.</w:t>
            </w:r>
          </w:p>
        </w:tc>
        <w:tc>
          <w:tcPr>
            <w:tcW w:w="1843" w:type="dxa"/>
          </w:tcPr>
          <w:p w14:paraId="3E21343B" w14:textId="77777777" w:rsidR="001042DA" w:rsidRPr="006B1A5A" w:rsidRDefault="001042DA" w:rsidP="00AF2AEA">
            <w:pPr>
              <w:rPr>
                <w:rFonts w:eastAsiaTheme="minorHAnsi" w:cs="Times-Roman"/>
                <w:lang w:eastAsia="en-US"/>
              </w:rPr>
            </w:pPr>
          </w:p>
          <w:p w14:paraId="1ADD8FF5" w14:textId="77777777" w:rsidR="001042DA" w:rsidRPr="006B1A5A" w:rsidRDefault="001042DA" w:rsidP="00AF2AEA">
            <w:pPr>
              <w:rPr>
                <w:rFonts w:eastAsia="Calibri"/>
              </w:rPr>
            </w:pPr>
            <w:r w:rsidRPr="006B1A5A">
              <w:t xml:space="preserve">Interim report 6 months AquaNet HG360, 2018, </w:t>
            </w:r>
            <w:r w:rsidRPr="006B1A5A">
              <w:rPr>
                <w:rFonts w:eastAsia="Calibri"/>
              </w:rPr>
              <w:t>report number 7P04987-02</w:t>
            </w:r>
          </w:p>
          <w:p w14:paraId="40E85949" w14:textId="77777777" w:rsidR="001042DA" w:rsidRPr="006B1A5A" w:rsidRDefault="001042DA" w:rsidP="00AF2AEA">
            <w:pPr>
              <w:rPr>
                <w:rFonts w:eastAsia="Calibri"/>
              </w:rPr>
            </w:pPr>
          </w:p>
          <w:p w14:paraId="2CB61099" w14:textId="77777777" w:rsidR="001042DA" w:rsidRPr="006B1A5A" w:rsidRDefault="001042DA" w:rsidP="00AF2AEA">
            <w:r w:rsidRPr="006B1A5A">
              <w:t xml:space="preserve">Final report 12 months AquaNet HG360, 2018, </w:t>
            </w:r>
            <w:r w:rsidRPr="006B1A5A">
              <w:rPr>
                <w:rFonts w:eastAsia="Calibri"/>
              </w:rPr>
              <w:t>report number 7P04987-02b</w:t>
            </w:r>
          </w:p>
        </w:tc>
      </w:tr>
      <w:tr w:rsidR="001042DA" w:rsidRPr="006B1A5A" w14:paraId="4B36FD5D" w14:textId="77777777" w:rsidTr="00AF2AEA">
        <w:tc>
          <w:tcPr>
            <w:tcW w:w="2270" w:type="dxa"/>
          </w:tcPr>
          <w:p w14:paraId="3B6E9BA6" w14:textId="762EBAC6" w:rsidR="001042DA" w:rsidRPr="006B1A5A" w:rsidRDefault="001042DA" w:rsidP="00AF2AEA">
            <w:pPr>
              <w:rPr>
                <w:rFonts w:eastAsia="Calibri"/>
              </w:rPr>
            </w:pPr>
            <w:r w:rsidRPr="006B1A5A">
              <w:rPr>
                <w:rFonts w:eastAsia="Calibri"/>
              </w:rPr>
              <w:lastRenderedPageBreak/>
              <w:t>Colour at 20°C and 101.3 kPa</w:t>
            </w:r>
          </w:p>
        </w:tc>
        <w:tc>
          <w:tcPr>
            <w:tcW w:w="2120" w:type="dxa"/>
          </w:tcPr>
          <w:p w14:paraId="1D560074" w14:textId="77777777" w:rsidR="001042DA" w:rsidRPr="006B1A5A" w:rsidRDefault="001042DA" w:rsidP="00AF2AEA">
            <w:pPr>
              <w:rPr>
                <w:rFonts w:eastAsia="Calibri"/>
              </w:rPr>
            </w:pPr>
            <w:r w:rsidRPr="006B1A5A">
              <w:rPr>
                <w:rFonts w:eastAsia="Calibri"/>
              </w:rPr>
              <w:t>EPA OPPTS 830.6302</w:t>
            </w:r>
          </w:p>
        </w:tc>
        <w:tc>
          <w:tcPr>
            <w:tcW w:w="3260" w:type="dxa"/>
          </w:tcPr>
          <w:p w14:paraId="075C311E" w14:textId="77777777" w:rsidR="001042DA" w:rsidRPr="006B1A5A" w:rsidRDefault="001042DA" w:rsidP="00AF2AEA">
            <w:pPr>
              <w:rPr>
                <w:rFonts w:eastAsiaTheme="minorHAnsi" w:cs="Times-Roman"/>
                <w:lang w:eastAsia="en-US"/>
              </w:rPr>
            </w:pPr>
            <w:r w:rsidRPr="006B1A5A">
              <w:rPr>
                <w:rFonts w:eastAsiaTheme="minorHAnsi" w:cs="Times-Roman"/>
                <w:lang w:eastAsia="en-US"/>
              </w:rPr>
              <w:t>Red</w:t>
            </w:r>
          </w:p>
          <w:p w14:paraId="76D5109B" w14:textId="77777777" w:rsidR="001042DA" w:rsidRPr="006B1A5A" w:rsidRDefault="001042DA" w:rsidP="00AF2AEA">
            <w:pPr>
              <w:rPr>
                <w:rFonts w:eastAsiaTheme="minorHAnsi" w:cs="Times-Roman"/>
                <w:lang w:eastAsia="en-US"/>
              </w:rPr>
            </w:pPr>
          </w:p>
          <w:p w14:paraId="66EAF9CD" w14:textId="77777777" w:rsidR="001042DA" w:rsidRPr="006B1A5A" w:rsidRDefault="001042DA" w:rsidP="00AF2AEA">
            <w:pPr>
              <w:rPr>
                <w:rFonts w:eastAsia="Calibri"/>
              </w:rPr>
            </w:pPr>
            <w:r w:rsidRPr="006B1A5A">
              <w:rPr>
                <w:rFonts w:eastAsiaTheme="minorHAnsi" w:cs="Times-Roman"/>
                <w:lang w:eastAsia="en-US"/>
              </w:rPr>
              <w:t>No significant change after 6 or 12 months storage.</w:t>
            </w:r>
          </w:p>
        </w:tc>
        <w:tc>
          <w:tcPr>
            <w:tcW w:w="1843" w:type="dxa"/>
          </w:tcPr>
          <w:p w14:paraId="5F7E121A" w14:textId="77777777" w:rsidR="001042DA" w:rsidRPr="006B1A5A" w:rsidRDefault="001042DA" w:rsidP="00AF2AEA">
            <w:pPr>
              <w:rPr>
                <w:rFonts w:eastAsia="Calibri"/>
              </w:rPr>
            </w:pPr>
            <w:r w:rsidRPr="006B1A5A">
              <w:t xml:space="preserve">Interim report 6 months AquaNet HG360, 2018, </w:t>
            </w:r>
            <w:r w:rsidRPr="006B1A5A">
              <w:rPr>
                <w:rFonts w:eastAsia="Calibri"/>
              </w:rPr>
              <w:t>report number 7P04987-02</w:t>
            </w:r>
          </w:p>
          <w:p w14:paraId="0289471E" w14:textId="77777777" w:rsidR="001042DA" w:rsidRPr="006B1A5A" w:rsidRDefault="001042DA" w:rsidP="00AF2AEA">
            <w:pPr>
              <w:rPr>
                <w:rFonts w:eastAsia="Calibri"/>
              </w:rPr>
            </w:pPr>
          </w:p>
          <w:p w14:paraId="6779EAF1" w14:textId="77777777" w:rsidR="001042DA" w:rsidRPr="006B1A5A" w:rsidRDefault="001042DA" w:rsidP="00AF2AEA">
            <w:r w:rsidRPr="006B1A5A">
              <w:t xml:space="preserve">Final report 12 months AquaNet HG360, 2018, </w:t>
            </w:r>
            <w:r w:rsidRPr="006B1A5A">
              <w:rPr>
                <w:rFonts w:eastAsia="Calibri"/>
              </w:rPr>
              <w:t>report number 7P04987-02b</w:t>
            </w:r>
          </w:p>
        </w:tc>
      </w:tr>
      <w:tr w:rsidR="001042DA" w:rsidRPr="006B1A5A" w14:paraId="3CDF3B01" w14:textId="77777777" w:rsidTr="00AF2AEA">
        <w:trPr>
          <w:cantSplit/>
        </w:trPr>
        <w:tc>
          <w:tcPr>
            <w:tcW w:w="2270" w:type="dxa"/>
          </w:tcPr>
          <w:p w14:paraId="17A2B327" w14:textId="77777777" w:rsidR="001042DA" w:rsidRPr="006B1A5A" w:rsidRDefault="001042DA" w:rsidP="00AF2AEA">
            <w:pPr>
              <w:rPr>
                <w:rFonts w:eastAsia="Calibri"/>
              </w:rPr>
            </w:pPr>
            <w:r w:rsidRPr="006B1A5A">
              <w:rPr>
                <w:rFonts w:eastAsia="Calibri"/>
              </w:rPr>
              <w:t>Odour at 20°C and 101.3 kPa</w:t>
            </w:r>
          </w:p>
        </w:tc>
        <w:tc>
          <w:tcPr>
            <w:tcW w:w="2120" w:type="dxa"/>
          </w:tcPr>
          <w:p w14:paraId="57BF94E4" w14:textId="77777777" w:rsidR="001042DA" w:rsidRPr="006B1A5A" w:rsidRDefault="001042DA" w:rsidP="00AF2AEA">
            <w:pPr>
              <w:rPr>
                <w:rFonts w:eastAsia="Calibri"/>
              </w:rPr>
            </w:pPr>
            <w:r w:rsidRPr="006B1A5A">
              <w:rPr>
                <w:rFonts w:eastAsia="Calibri"/>
              </w:rPr>
              <w:t>EPA OPPTS 830.6304</w:t>
            </w:r>
          </w:p>
        </w:tc>
        <w:tc>
          <w:tcPr>
            <w:tcW w:w="3260" w:type="dxa"/>
          </w:tcPr>
          <w:p w14:paraId="6BBFD1BB" w14:textId="77777777" w:rsidR="001042DA" w:rsidRPr="006B1A5A" w:rsidRDefault="001042DA" w:rsidP="00AF2AEA">
            <w:pPr>
              <w:rPr>
                <w:rFonts w:eastAsiaTheme="minorHAnsi" w:cs="Times-Roman"/>
                <w:lang w:eastAsia="en-US"/>
              </w:rPr>
            </w:pPr>
            <w:r w:rsidRPr="006B1A5A">
              <w:rPr>
                <w:rFonts w:eastAsiaTheme="minorHAnsi" w:cs="Times-Roman"/>
                <w:lang w:eastAsia="en-US"/>
              </w:rPr>
              <w:t>Odourless to slight damp odour</w:t>
            </w:r>
          </w:p>
          <w:p w14:paraId="38DDEA25" w14:textId="77777777" w:rsidR="001042DA" w:rsidRPr="006B1A5A" w:rsidRDefault="001042DA" w:rsidP="00AF2AEA">
            <w:pPr>
              <w:rPr>
                <w:rFonts w:eastAsiaTheme="minorHAnsi" w:cs="Times-Roman"/>
                <w:lang w:eastAsia="en-US"/>
              </w:rPr>
            </w:pPr>
          </w:p>
          <w:p w14:paraId="346C66FB" w14:textId="77777777" w:rsidR="001042DA" w:rsidRPr="006B1A5A" w:rsidRDefault="001042DA" w:rsidP="00AF2AEA">
            <w:pPr>
              <w:rPr>
                <w:rFonts w:eastAsia="Calibri"/>
              </w:rPr>
            </w:pPr>
            <w:r w:rsidRPr="006B1A5A">
              <w:rPr>
                <w:rFonts w:eastAsiaTheme="minorHAnsi" w:cs="Times-Roman"/>
                <w:lang w:eastAsia="en-US"/>
              </w:rPr>
              <w:t>No significant change after 6 or 12 months storage.</w:t>
            </w:r>
          </w:p>
        </w:tc>
        <w:tc>
          <w:tcPr>
            <w:tcW w:w="1843" w:type="dxa"/>
          </w:tcPr>
          <w:p w14:paraId="3DB78759" w14:textId="77777777" w:rsidR="001042DA" w:rsidRPr="006B1A5A" w:rsidRDefault="001042DA" w:rsidP="00AF2AEA">
            <w:pPr>
              <w:rPr>
                <w:rFonts w:eastAsia="Calibri"/>
              </w:rPr>
            </w:pPr>
            <w:r w:rsidRPr="006B1A5A">
              <w:t xml:space="preserve">Interim report 6 months AquaNet HG360, 2018, </w:t>
            </w:r>
            <w:r w:rsidRPr="006B1A5A">
              <w:rPr>
                <w:rFonts w:eastAsia="Calibri"/>
              </w:rPr>
              <w:t>report number 7P04987-02</w:t>
            </w:r>
          </w:p>
          <w:p w14:paraId="44D024D8" w14:textId="77777777" w:rsidR="001042DA" w:rsidRPr="006B1A5A" w:rsidRDefault="001042DA" w:rsidP="00AF2AEA">
            <w:pPr>
              <w:rPr>
                <w:rFonts w:eastAsia="Calibri"/>
              </w:rPr>
            </w:pPr>
          </w:p>
          <w:p w14:paraId="00223F33" w14:textId="77777777" w:rsidR="001042DA" w:rsidRPr="006B1A5A" w:rsidRDefault="001042DA" w:rsidP="00AF2AEA">
            <w:r w:rsidRPr="006B1A5A">
              <w:t xml:space="preserve">Final report 12 months AquaNet HG360, 2018, </w:t>
            </w:r>
            <w:r w:rsidRPr="006B1A5A">
              <w:rPr>
                <w:rFonts w:eastAsia="Calibri"/>
              </w:rPr>
              <w:t>report number 7P04987-02b</w:t>
            </w:r>
          </w:p>
        </w:tc>
      </w:tr>
      <w:tr w:rsidR="001042DA" w:rsidRPr="006B1A5A" w14:paraId="6115E869" w14:textId="77777777" w:rsidTr="00AF2AEA">
        <w:tc>
          <w:tcPr>
            <w:tcW w:w="2270" w:type="dxa"/>
          </w:tcPr>
          <w:p w14:paraId="5AE76709" w14:textId="77777777" w:rsidR="001042DA" w:rsidRPr="006B1A5A" w:rsidRDefault="001042DA" w:rsidP="00AF2AEA">
            <w:pPr>
              <w:rPr>
                <w:rFonts w:eastAsia="Calibri"/>
              </w:rPr>
            </w:pPr>
            <w:r w:rsidRPr="006B1A5A">
              <w:rPr>
                <w:rFonts w:eastAsia="Calibri"/>
              </w:rPr>
              <w:t>pH</w:t>
            </w:r>
          </w:p>
        </w:tc>
        <w:tc>
          <w:tcPr>
            <w:tcW w:w="2120" w:type="dxa"/>
          </w:tcPr>
          <w:p w14:paraId="7A68AC0B" w14:textId="77777777" w:rsidR="001042DA" w:rsidRPr="006B1A5A" w:rsidRDefault="001042DA" w:rsidP="00AF2AEA">
            <w:pPr>
              <w:rPr>
                <w:rFonts w:eastAsiaTheme="minorHAnsi" w:cs="Times-Roman"/>
                <w:lang w:eastAsia="en-US"/>
              </w:rPr>
            </w:pPr>
            <w:r w:rsidRPr="006B1A5A">
              <w:rPr>
                <w:rFonts w:eastAsiaTheme="minorHAnsi" w:cs="Times-Roman"/>
                <w:lang w:eastAsia="en-US"/>
              </w:rPr>
              <w:t>CIPAC MT 75.3</w:t>
            </w:r>
          </w:p>
          <w:p w14:paraId="1C9D11CB" w14:textId="77777777" w:rsidR="001042DA" w:rsidRPr="006B1A5A" w:rsidRDefault="001042DA" w:rsidP="00AF2AEA">
            <w:pPr>
              <w:rPr>
                <w:rFonts w:eastAsia="Calibri"/>
              </w:rPr>
            </w:pPr>
            <w:r w:rsidRPr="006B1A5A">
              <w:rPr>
                <w:rFonts w:eastAsiaTheme="minorHAnsi" w:cs="Times-Roman"/>
                <w:lang w:eastAsia="en-US"/>
              </w:rPr>
              <w:t>(Measured on concentrate)</w:t>
            </w:r>
          </w:p>
        </w:tc>
        <w:tc>
          <w:tcPr>
            <w:tcW w:w="3260" w:type="dxa"/>
          </w:tcPr>
          <w:p w14:paraId="50C04C85" w14:textId="77777777" w:rsidR="001042DA" w:rsidRPr="006B1A5A" w:rsidRDefault="001042DA" w:rsidP="00AF2AEA">
            <w:pPr>
              <w:rPr>
                <w:rFonts w:eastAsiaTheme="minorHAnsi" w:cs="Times-Roman"/>
                <w:lang w:eastAsia="en-US"/>
              </w:rPr>
            </w:pPr>
            <w:r w:rsidRPr="006B1A5A">
              <w:rPr>
                <w:rFonts w:eastAsiaTheme="minorHAnsi" w:cs="Times-Roman"/>
                <w:lang w:eastAsia="en-US"/>
              </w:rPr>
              <w:t>T=0 months: pH 8.9</w:t>
            </w:r>
          </w:p>
          <w:p w14:paraId="7C4477DC" w14:textId="77777777" w:rsidR="001042DA" w:rsidRPr="006B1A5A" w:rsidRDefault="001042DA" w:rsidP="00AF2AEA">
            <w:pPr>
              <w:rPr>
                <w:rFonts w:eastAsiaTheme="minorHAnsi" w:cs="Times-Roman"/>
                <w:lang w:eastAsia="en-US"/>
              </w:rPr>
            </w:pPr>
          </w:p>
          <w:p w14:paraId="69B72230" w14:textId="77777777" w:rsidR="001042DA" w:rsidRPr="006B1A5A" w:rsidRDefault="001042DA" w:rsidP="00AF2AEA">
            <w:pPr>
              <w:rPr>
                <w:rFonts w:eastAsiaTheme="minorHAnsi" w:cs="Times-Roman"/>
                <w:lang w:eastAsia="en-US"/>
              </w:rPr>
            </w:pPr>
            <w:r w:rsidRPr="006B1A5A">
              <w:rPr>
                <w:rFonts w:eastAsiaTheme="minorHAnsi" w:cs="Times-Roman"/>
                <w:lang w:eastAsia="en-US"/>
              </w:rPr>
              <w:t>T=6 months: pH 8.8</w:t>
            </w:r>
          </w:p>
          <w:p w14:paraId="31A7819A" w14:textId="77777777" w:rsidR="001042DA" w:rsidRPr="006B1A5A" w:rsidRDefault="001042DA" w:rsidP="00AF2AEA">
            <w:pPr>
              <w:rPr>
                <w:rFonts w:eastAsiaTheme="minorHAnsi" w:cs="Times-Roman"/>
                <w:lang w:eastAsia="en-US"/>
              </w:rPr>
            </w:pPr>
          </w:p>
          <w:p w14:paraId="0223B595" w14:textId="77777777" w:rsidR="001042DA" w:rsidRPr="006B1A5A" w:rsidRDefault="001042DA" w:rsidP="00AF2AEA">
            <w:pPr>
              <w:rPr>
                <w:rFonts w:eastAsiaTheme="minorHAnsi" w:cs="Times-Roman"/>
                <w:lang w:eastAsia="en-US"/>
              </w:rPr>
            </w:pPr>
            <w:r w:rsidRPr="006B1A5A">
              <w:rPr>
                <w:rFonts w:eastAsiaTheme="minorHAnsi" w:cs="Times-Roman"/>
                <w:lang w:eastAsia="en-US"/>
              </w:rPr>
              <w:t>T=12 months: pH 8.8</w:t>
            </w:r>
          </w:p>
          <w:p w14:paraId="2EF9D74B" w14:textId="77777777" w:rsidR="001042DA" w:rsidRPr="006B1A5A" w:rsidRDefault="001042DA" w:rsidP="00AF2AEA">
            <w:pPr>
              <w:rPr>
                <w:rFonts w:eastAsiaTheme="minorHAnsi" w:cs="Times-Roman"/>
                <w:lang w:eastAsia="en-US"/>
              </w:rPr>
            </w:pPr>
          </w:p>
          <w:p w14:paraId="41C51AA3" w14:textId="77777777" w:rsidR="001042DA" w:rsidRPr="006B1A5A" w:rsidRDefault="001042DA" w:rsidP="00AF2AEA">
            <w:pPr>
              <w:rPr>
                <w:rFonts w:eastAsiaTheme="minorHAnsi" w:cs="Times-Roman"/>
                <w:lang w:eastAsia="en-US"/>
              </w:rPr>
            </w:pPr>
          </w:p>
        </w:tc>
        <w:tc>
          <w:tcPr>
            <w:tcW w:w="1843" w:type="dxa"/>
          </w:tcPr>
          <w:p w14:paraId="419BA725" w14:textId="77777777" w:rsidR="001042DA" w:rsidRPr="006B1A5A" w:rsidRDefault="001042DA" w:rsidP="00AF2AEA">
            <w:pPr>
              <w:rPr>
                <w:rFonts w:eastAsia="Calibri"/>
              </w:rPr>
            </w:pPr>
            <w:r w:rsidRPr="006B1A5A">
              <w:t xml:space="preserve">Interim report 6 months AquaNet HG360, 2018, </w:t>
            </w:r>
            <w:r w:rsidRPr="006B1A5A">
              <w:rPr>
                <w:rFonts w:eastAsia="Calibri"/>
              </w:rPr>
              <w:t>report number 7P04987-02</w:t>
            </w:r>
          </w:p>
          <w:p w14:paraId="0B681EAC" w14:textId="77777777" w:rsidR="001042DA" w:rsidRPr="006B1A5A" w:rsidRDefault="001042DA" w:rsidP="00AF2AEA">
            <w:pPr>
              <w:rPr>
                <w:rFonts w:eastAsia="Calibri"/>
              </w:rPr>
            </w:pPr>
          </w:p>
          <w:p w14:paraId="346D5300" w14:textId="77777777" w:rsidR="001042DA" w:rsidRPr="006B1A5A" w:rsidRDefault="001042DA" w:rsidP="00AF2AEA">
            <w:r w:rsidRPr="006B1A5A">
              <w:t xml:space="preserve">Final report 12 months AquaNet HG360, 2018, </w:t>
            </w:r>
            <w:r w:rsidRPr="006B1A5A">
              <w:rPr>
                <w:rFonts w:eastAsia="Calibri"/>
              </w:rPr>
              <w:t>report number 7P04987-02b</w:t>
            </w:r>
          </w:p>
        </w:tc>
      </w:tr>
      <w:tr w:rsidR="001042DA" w:rsidRPr="006B1A5A" w14:paraId="7E4A15B2" w14:textId="77777777" w:rsidTr="00AF2AEA">
        <w:trPr>
          <w:trHeight w:val="361"/>
        </w:trPr>
        <w:tc>
          <w:tcPr>
            <w:tcW w:w="2270" w:type="dxa"/>
          </w:tcPr>
          <w:p w14:paraId="2081F3F1" w14:textId="77777777" w:rsidR="001042DA" w:rsidRPr="006B1A5A" w:rsidRDefault="001042DA" w:rsidP="00AF2AEA">
            <w:pPr>
              <w:rPr>
                <w:rFonts w:eastAsia="Calibri"/>
              </w:rPr>
            </w:pPr>
            <w:r w:rsidRPr="006B1A5A">
              <w:rPr>
                <w:rFonts w:eastAsia="Calibri"/>
              </w:rPr>
              <w:t>Acidity / alkalinity</w:t>
            </w:r>
          </w:p>
        </w:tc>
        <w:tc>
          <w:tcPr>
            <w:tcW w:w="7223" w:type="dxa"/>
            <w:gridSpan w:val="3"/>
          </w:tcPr>
          <w:p w14:paraId="34781854" w14:textId="77777777" w:rsidR="001042DA" w:rsidRPr="006B1A5A" w:rsidRDefault="001042DA" w:rsidP="00AF2AEA">
            <w:pPr>
              <w:rPr>
                <w:rFonts w:eastAsia="Calibri"/>
              </w:rPr>
            </w:pPr>
            <w:r w:rsidRPr="006B1A5A">
              <w:rPr>
                <w:rFonts w:eastAsia="Calibri"/>
              </w:rPr>
              <w:t>Not Performed due to pH result</w:t>
            </w:r>
          </w:p>
        </w:tc>
      </w:tr>
      <w:tr w:rsidR="001042DA" w:rsidRPr="006B1A5A" w14:paraId="7184B42F" w14:textId="77777777" w:rsidTr="00AF2AEA">
        <w:tc>
          <w:tcPr>
            <w:tcW w:w="2270" w:type="dxa"/>
            <w:tcBorders>
              <w:top w:val="single" w:sz="4" w:space="0" w:color="auto"/>
              <w:left w:val="single" w:sz="4" w:space="0" w:color="auto"/>
              <w:bottom w:val="single" w:sz="4" w:space="0" w:color="auto"/>
              <w:right w:val="single" w:sz="4" w:space="0" w:color="auto"/>
            </w:tcBorders>
          </w:tcPr>
          <w:p w14:paraId="7B2F3CEE" w14:textId="77777777" w:rsidR="001042DA" w:rsidRPr="006B1A5A" w:rsidRDefault="001042DA" w:rsidP="00AF2AEA">
            <w:pPr>
              <w:rPr>
                <w:rFonts w:eastAsia="Calibri"/>
              </w:rPr>
            </w:pPr>
            <w:r w:rsidRPr="006B1A5A">
              <w:rPr>
                <w:rFonts w:eastAsia="Calibri"/>
              </w:rPr>
              <w:t xml:space="preserve">Relative density </w:t>
            </w:r>
          </w:p>
        </w:tc>
        <w:tc>
          <w:tcPr>
            <w:tcW w:w="2120" w:type="dxa"/>
            <w:tcBorders>
              <w:top w:val="single" w:sz="4" w:space="0" w:color="auto"/>
              <w:left w:val="single" w:sz="4" w:space="0" w:color="auto"/>
              <w:bottom w:val="single" w:sz="4" w:space="0" w:color="auto"/>
              <w:right w:val="single" w:sz="4" w:space="0" w:color="auto"/>
            </w:tcBorders>
          </w:tcPr>
          <w:p w14:paraId="5E416C9F" w14:textId="77777777" w:rsidR="001042DA" w:rsidRPr="006B1A5A" w:rsidRDefault="001042DA" w:rsidP="00AF2AEA">
            <w:pPr>
              <w:rPr>
                <w:rFonts w:eastAsiaTheme="minorHAnsi" w:cs="Times-Roman"/>
                <w:lang w:eastAsia="en-US"/>
              </w:rPr>
            </w:pPr>
            <w:r w:rsidRPr="006B1A5A">
              <w:rPr>
                <w:rFonts w:eastAsiaTheme="minorHAnsi" w:cs="Times-Roman"/>
                <w:lang w:eastAsia="en-US"/>
              </w:rPr>
              <w:t>ISO 2811-1</w:t>
            </w:r>
          </w:p>
          <w:p w14:paraId="0EF0FAD6" w14:textId="77777777" w:rsidR="001042DA" w:rsidRPr="006B1A5A" w:rsidRDefault="001042DA" w:rsidP="00AF2AEA">
            <w:pPr>
              <w:rPr>
                <w:rFonts w:eastAsia="Calibri"/>
              </w:rPr>
            </w:pPr>
            <w:r w:rsidRPr="006B1A5A">
              <w:rPr>
                <w:rFonts w:eastAsiaTheme="minorHAnsi" w:cs="Times-Roman"/>
                <w:lang w:eastAsia="en-US"/>
              </w:rPr>
              <w:t>(Measured on concentrate)</w:t>
            </w:r>
          </w:p>
        </w:tc>
        <w:tc>
          <w:tcPr>
            <w:tcW w:w="3260" w:type="dxa"/>
            <w:tcBorders>
              <w:top w:val="single" w:sz="4" w:space="0" w:color="auto"/>
              <w:left w:val="single" w:sz="4" w:space="0" w:color="auto"/>
              <w:bottom w:val="single" w:sz="4" w:space="0" w:color="auto"/>
              <w:right w:val="single" w:sz="4" w:space="0" w:color="auto"/>
            </w:tcBorders>
          </w:tcPr>
          <w:p w14:paraId="4DD3ACDF" w14:textId="77777777" w:rsidR="001042DA" w:rsidRPr="006B1A5A" w:rsidRDefault="001042DA" w:rsidP="00AF2AEA">
            <w:pPr>
              <w:rPr>
                <w:rFonts w:eastAsia="Calibri"/>
              </w:rPr>
            </w:pPr>
            <w:r w:rsidRPr="006B1A5A">
              <w:rPr>
                <w:rFonts w:eastAsia="Calibri"/>
              </w:rPr>
              <w:t xml:space="preserve">T=0 months: </w:t>
            </w:r>
          </w:p>
          <w:p w14:paraId="4C9BCBA4" w14:textId="77777777" w:rsidR="001042DA" w:rsidRPr="006B1A5A" w:rsidRDefault="001042DA" w:rsidP="00AF2AEA">
            <w:pPr>
              <w:rPr>
                <w:rFonts w:eastAsia="Calibri"/>
              </w:rPr>
            </w:pPr>
            <w:r w:rsidRPr="006B1A5A">
              <w:rPr>
                <w:rFonts w:eastAsia="Calibri"/>
              </w:rPr>
              <w:t>Density: 1.43 g/cm</w:t>
            </w:r>
            <w:r w:rsidRPr="006B1A5A">
              <w:rPr>
                <w:rFonts w:eastAsia="Calibri"/>
                <w:vertAlign w:val="superscript"/>
              </w:rPr>
              <w:t>3</w:t>
            </w:r>
          </w:p>
          <w:p w14:paraId="0FE02A3F" w14:textId="77777777" w:rsidR="001042DA" w:rsidRPr="006B1A5A" w:rsidRDefault="001042DA" w:rsidP="00AF2AEA">
            <w:pPr>
              <w:rPr>
                <w:rFonts w:eastAsia="Calibri"/>
                <w:vertAlign w:val="superscript"/>
              </w:rPr>
            </w:pPr>
          </w:p>
          <w:p w14:paraId="25C17A4C" w14:textId="77777777" w:rsidR="001042DA" w:rsidRPr="006B1A5A" w:rsidRDefault="001042DA" w:rsidP="00AF2AEA">
            <w:pPr>
              <w:rPr>
                <w:rFonts w:eastAsiaTheme="minorHAnsi" w:cs="Times-Roman"/>
                <w:lang w:eastAsia="en-US"/>
              </w:rPr>
            </w:pPr>
            <w:r w:rsidRPr="006B1A5A">
              <w:rPr>
                <w:rFonts w:eastAsiaTheme="minorHAnsi" w:cs="Times-Roman"/>
                <w:lang w:eastAsia="en-US"/>
              </w:rPr>
              <w:t xml:space="preserve">T=6 months: </w:t>
            </w:r>
          </w:p>
          <w:p w14:paraId="0A7D6D0F" w14:textId="77777777" w:rsidR="001042DA" w:rsidRPr="006B1A5A" w:rsidRDefault="001042DA" w:rsidP="00AF2AEA">
            <w:pPr>
              <w:rPr>
                <w:rFonts w:eastAsiaTheme="minorHAnsi" w:cs="Times-Roman"/>
                <w:lang w:eastAsia="en-US"/>
              </w:rPr>
            </w:pPr>
            <w:r w:rsidRPr="006B1A5A">
              <w:rPr>
                <w:rFonts w:eastAsia="Calibri"/>
              </w:rPr>
              <w:t xml:space="preserve">Density: </w:t>
            </w:r>
            <w:r w:rsidRPr="006B1A5A">
              <w:rPr>
                <w:rFonts w:eastAsiaTheme="minorHAnsi" w:cs="Times-Roman"/>
                <w:lang w:eastAsia="en-US"/>
              </w:rPr>
              <w:t>1.43 g/cm</w:t>
            </w:r>
            <w:r w:rsidRPr="006B1A5A">
              <w:rPr>
                <w:rFonts w:eastAsiaTheme="minorHAnsi" w:cs="Times-Roman"/>
                <w:vertAlign w:val="superscript"/>
                <w:lang w:eastAsia="en-US"/>
              </w:rPr>
              <w:t>3</w:t>
            </w:r>
            <w:r w:rsidRPr="006B1A5A">
              <w:rPr>
                <w:rFonts w:eastAsiaTheme="minorHAnsi" w:cs="Times-Roman"/>
                <w:lang w:eastAsia="en-US"/>
              </w:rPr>
              <w:t xml:space="preserve"> </w:t>
            </w:r>
          </w:p>
          <w:p w14:paraId="08CD9BD0" w14:textId="77777777" w:rsidR="001042DA" w:rsidRPr="006B1A5A" w:rsidRDefault="001042DA" w:rsidP="00AF2AEA">
            <w:pPr>
              <w:rPr>
                <w:rFonts w:eastAsiaTheme="minorHAnsi" w:cs="Times-Roman"/>
                <w:lang w:eastAsia="en-US"/>
              </w:rPr>
            </w:pPr>
          </w:p>
          <w:p w14:paraId="52DF395A" w14:textId="77777777" w:rsidR="001042DA" w:rsidRPr="006B1A5A" w:rsidRDefault="001042DA" w:rsidP="00AF2AEA">
            <w:pPr>
              <w:rPr>
                <w:rFonts w:eastAsiaTheme="minorHAnsi" w:cs="Times-Roman"/>
                <w:lang w:eastAsia="en-US"/>
              </w:rPr>
            </w:pPr>
            <w:r w:rsidRPr="006B1A5A">
              <w:rPr>
                <w:rFonts w:eastAsiaTheme="minorHAnsi" w:cs="Times-Roman"/>
                <w:lang w:eastAsia="en-US"/>
              </w:rPr>
              <w:t xml:space="preserve">T=12 months: </w:t>
            </w:r>
          </w:p>
          <w:p w14:paraId="58A813C6" w14:textId="77777777" w:rsidR="001042DA" w:rsidRPr="006B1A5A" w:rsidRDefault="001042DA" w:rsidP="00AF2AEA">
            <w:pPr>
              <w:rPr>
                <w:rFonts w:eastAsiaTheme="minorHAnsi" w:cs="Times-Roman"/>
                <w:lang w:eastAsia="en-US"/>
              </w:rPr>
            </w:pPr>
            <w:r w:rsidRPr="006B1A5A">
              <w:rPr>
                <w:rFonts w:eastAsia="Calibri"/>
              </w:rPr>
              <w:t xml:space="preserve">Density: </w:t>
            </w:r>
            <w:r w:rsidRPr="006B1A5A">
              <w:rPr>
                <w:rFonts w:eastAsiaTheme="minorHAnsi" w:cs="Times-Roman"/>
                <w:lang w:eastAsia="en-US"/>
              </w:rPr>
              <w:t>1.41 g/cm</w:t>
            </w:r>
            <w:r w:rsidRPr="006B1A5A">
              <w:rPr>
                <w:rFonts w:eastAsiaTheme="minorHAnsi" w:cs="Times-Roman"/>
                <w:vertAlign w:val="superscript"/>
                <w:lang w:eastAsia="en-US"/>
              </w:rPr>
              <w:t>3</w:t>
            </w:r>
            <w:r w:rsidRPr="006B1A5A">
              <w:rPr>
                <w:rFonts w:eastAsiaTheme="minorHAnsi" w:cs="Times-Roman"/>
                <w:lang w:eastAsia="en-US"/>
              </w:rPr>
              <w:t xml:space="preserve"> </w:t>
            </w:r>
          </w:p>
          <w:p w14:paraId="430B8A37" w14:textId="77777777" w:rsidR="001042DA" w:rsidRPr="006B1A5A" w:rsidRDefault="001042DA" w:rsidP="00AF2AEA">
            <w:pPr>
              <w:rPr>
                <w:rFonts w:eastAsiaTheme="minorHAnsi" w:cs="Times-Roman"/>
                <w:lang w:eastAsia="en-US"/>
              </w:rPr>
            </w:pPr>
          </w:p>
          <w:p w14:paraId="2CC2406A" w14:textId="77777777" w:rsidR="001042DA" w:rsidRPr="006B1A5A" w:rsidRDefault="001042DA" w:rsidP="00AF2AEA">
            <w:pPr>
              <w:rPr>
                <w:rFonts w:eastAsiaTheme="minorHAnsi" w:cs="Times-Roman"/>
                <w:lang w:eastAsia="en-US"/>
              </w:rPr>
            </w:pPr>
            <w:r w:rsidRPr="006B1A5A">
              <w:rPr>
                <w:rFonts w:eastAsiaTheme="minorHAnsi" w:cs="Times-Roman"/>
                <w:lang w:eastAsia="en-US"/>
              </w:rPr>
              <w:t xml:space="preserve"> </w:t>
            </w:r>
          </w:p>
          <w:p w14:paraId="332DF395" w14:textId="14D615E7" w:rsidR="001042DA" w:rsidRPr="006B1A5A" w:rsidRDefault="001042DA" w:rsidP="00AF2AEA">
            <w:pPr>
              <w:rPr>
                <w:rFonts w:eastAsia="Calibri"/>
                <w:vertAlign w:val="superscript"/>
              </w:rPr>
            </w:pPr>
            <w:r w:rsidRPr="006B1A5A">
              <w:rPr>
                <w:rFonts w:eastAsiaTheme="minorHAnsi" w:cs="Times-Roman"/>
                <w:lang w:eastAsia="en-US"/>
              </w:rPr>
              <w:t>Cal</w:t>
            </w:r>
            <w:r w:rsidR="006B1A5A">
              <w:rPr>
                <w:rFonts w:eastAsiaTheme="minorHAnsi" w:cs="Times-Roman"/>
                <w:lang w:eastAsia="en-US"/>
              </w:rPr>
              <w:t>c</w:t>
            </w:r>
            <w:r w:rsidRPr="006B1A5A">
              <w:rPr>
                <w:rFonts w:eastAsiaTheme="minorHAnsi" w:cs="Times-Roman"/>
                <w:lang w:eastAsia="en-US"/>
              </w:rPr>
              <w:t>ulated density for in-use concentration: 1.22g/cm</w:t>
            </w:r>
            <w:r w:rsidRPr="006B1A5A">
              <w:rPr>
                <w:rFonts w:eastAsiaTheme="minorHAnsi" w:cs="Times-Roman"/>
                <w:vertAlign w:val="superscript"/>
                <w:lang w:eastAsia="en-US"/>
              </w:rPr>
              <w:t>3</w:t>
            </w:r>
          </w:p>
        </w:tc>
        <w:tc>
          <w:tcPr>
            <w:tcW w:w="1843" w:type="dxa"/>
            <w:tcBorders>
              <w:top w:val="single" w:sz="4" w:space="0" w:color="auto"/>
              <w:left w:val="single" w:sz="4" w:space="0" w:color="auto"/>
              <w:bottom w:val="single" w:sz="4" w:space="0" w:color="auto"/>
              <w:right w:val="single" w:sz="4" w:space="0" w:color="auto"/>
            </w:tcBorders>
          </w:tcPr>
          <w:p w14:paraId="04E66324" w14:textId="77777777" w:rsidR="001042DA" w:rsidRPr="006B1A5A" w:rsidRDefault="001042DA" w:rsidP="00AF2AEA">
            <w:pPr>
              <w:rPr>
                <w:rFonts w:eastAsia="Calibri"/>
              </w:rPr>
            </w:pPr>
            <w:r w:rsidRPr="006B1A5A">
              <w:t xml:space="preserve">Interim report 6 months AquaNet HG360, 2018, </w:t>
            </w:r>
            <w:r w:rsidRPr="006B1A5A">
              <w:rPr>
                <w:rFonts w:eastAsia="Calibri"/>
              </w:rPr>
              <w:t>report number 7P04987-02</w:t>
            </w:r>
          </w:p>
          <w:p w14:paraId="1575FE8C" w14:textId="77777777" w:rsidR="001042DA" w:rsidRPr="006B1A5A" w:rsidRDefault="001042DA" w:rsidP="00AF2AEA">
            <w:pPr>
              <w:rPr>
                <w:rFonts w:eastAsia="Calibri"/>
              </w:rPr>
            </w:pPr>
          </w:p>
          <w:p w14:paraId="6AB3099D" w14:textId="77777777" w:rsidR="001042DA" w:rsidRPr="006B1A5A" w:rsidRDefault="001042DA" w:rsidP="00AF2AEA">
            <w:pPr>
              <w:rPr>
                <w:rFonts w:eastAsia="Calibri"/>
              </w:rPr>
            </w:pPr>
            <w:r w:rsidRPr="006B1A5A">
              <w:t xml:space="preserve">Final report 12 months AquaNet HG360, 2018, </w:t>
            </w:r>
            <w:r w:rsidRPr="006B1A5A">
              <w:rPr>
                <w:rFonts w:eastAsia="Calibri"/>
              </w:rPr>
              <w:t>report number 7P04987-02b</w:t>
            </w:r>
          </w:p>
        </w:tc>
      </w:tr>
      <w:tr w:rsidR="001042DA" w:rsidRPr="006B1A5A" w14:paraId="5CEE2F93" w14:textId="77777777" w:rsidTr="00AF2AEA">
        <w:tc>
          <w:tcPr>
            <w:tcW w:w="2270" w:type="dxa"/>
          </w:tcPr>
          <w:p w14:paraId="0B015B59" w14:textId="77777777" w:rsidR="001042DA" w:rsidRPr="006B1A5A" w:rsidRDefault="001042DA" w:rsidP="00AF2AEA">
            <w:pPr>
              <w:rPr>
                <w:rFonts w:eastAsia="Calibri"/>
              </w:rPr>
            </w:pPr>
            <w:r w:rsidRPr="006B1A5A">
              <w:rPr>
                <w:rFonts w:eastAsia="Calibri"/>
              </w:rPr>
              <w:t xml:space="preserve">Storage stability test – </w:t>
            </w:r>
            <w:r w:rsidRPr="006B1A5A">
              <w:rPr>
                <w:rFonts w:eastAsia="Calibri"/>
                <w:b/>
              </w:rPr>
              <w:t>accelerated storage</w:t>
            </w:r>
          </w:p>
        </w:tc>
        <w:tc>
          <w:tcPr>
            <w:tcW w:w="7223" w:type="dxa"/>
            <w:gridSpan w:val="3"/>
          </w:tcPr>
          <w:p w14:paraId="4E1A2AF1" w14:textId="77777777" w:rsidR="001042DA" w:rsidRPr="006B1A5A" w:rsidRDefault="001042DA" w:rsidP="00AF2AEA">
            <w:pPr>
              <w:rPr>
                <w:rFonts w:eastAsia="Calibri"/>
              </w:rPr>
            </w:pPr>
            <w:r w:rsidRPr="006B1A5A">
              <w:rPr>
                <w:rFonts w:eastAsia="Calibri"/>
              </w:rPr>
              <w:t>Not performed</w:t>
            </w:r>
          </w:p>
        </w:tc>
      </w:tr>
      <w:tr w:rsidR="001042DA" w:rsidRPr="006B1A5A" w14:paraId="128856E3" w14:textId="77777777" w:rsidTr="00AF2AEA">
        <w:tc>
          <w:tcPr>
            <w:tcW w:w="2270" w:type="dxa"/>
          </w:tcPr>
          <w:p w14:paraId="38A3F3F1" w14:textId="77777777" w:rsidR="001042DA" w:rsidRPr="006B1A5A" w:rsidRDefault="001042DA" w:rsidP="00AF2AEA">
            <w:pPr>
              <w:rPr>
                <w:rFonts w:eastAsia="Calibri"/>
              </w:rPr>
            </w:pPr>
            <w:r w:rsidRPr="006B1A5A">
              <w:rPr>
                <w:rFonts w:eastAsia="Calibri"/>
              </w:rPr>
              <w:t xml:space="preserve">Storage stability test – </w:t>
            </w:r>
            <w:r w:rsidRPr="006B1A5A">
              <w:rPr>
                <w:rFonts w:eastAsia="Calibri"/>
                <w:b/>
              </w:rPr>
              <w:t xml:space="preserve">long term </w:t>
            </w:r>
            <w:r w:rsidRPr="006B1A5A">
              <w:rPr>
                <w:rFonts w:eastAsia="Calibri"/>
                <w:b/>
              </w:rPr>
              <w:lastRenderedPageBreak/>
              <w:t>storage at ambient temperature</w:t>
            </w:r>
          </w:p>
        </w:tc>
        <w:tc>
          <w:tcPr>
            <w:tcW w:w="2120" w:type="dxa"/>
          </w:tcPr>
          <w:p w14:paraId="04D240B7" w14:textId="77777777" w:rsidR="001042DA" w:rsidRPr="006B1A5A" w:rsidRDefault="001042DA" w:rsidP="00AF2AEA">
            <w:pPr>
              <w:rPr>
                <w:rFonts w:eastAsia="Calibri"/>
                <w:caps/>
              </w:rPr>
            </w:pPr>
            <w:r w:rsidRPr="006B1A5A">
              <w:rPr>
                <w:rFonts w:eastAsia="Calibri"/>
                <w:caps/>
              </w:rPr>
              <w:lastRenderedPageBreak/>
              <w:t xml:space="preserve">According to requirements of </w:t>
            </w:r>
            <w:r w:rsidRPr="006B1A5A">
              <w:rPr>
                <w:rFonts w:eastAsia="Calibri"/>
                <w:caps/>
              </w:rPr>
              <w:lastRenderedPageBreak/>
              <w:t>regulation 528/2012</w:t>
            </w:r>
          </w:p>
        </w:tc>
        <w:tc>
          <w:tcPr>
            <w:tcW w:w="3260" w:type="dxa"/>
          </w:tcPr>
          <w:p w14:paraId="11096FFE" w14:textId="77777777" w:rsidR="001042DA" w:rsidRPr="006B1A5A" w:rsidRDefault="001042DA" w:rsidP="00AF2AEA">
            <w:pPr>
              <w:rPr>
                <w:rFonts w:eastAsia="Calibri"/>
              </w:rPr>
            </w:pPr>
            <w:r w:rsidRPr="006B1A5A">
              <w:rPr>
                <w:rFonts w:eastAsia="Calibri"/>
              </w:rPr>
              <w:lastRenderedPageBreak/>
              <w:t>Active substances contents at:</w:t>
            </w:r>
          </w:p>
          <w:p w14:paraId="321A3000" w14:textId="77777777" w:rsidR="001042DA" w:rsidRPr="006B1A5A" w:rsidRDefault="001042DA" w:rsidP="00AF2AEA">
            <w:pPr>
              <w:rPr>
                <w:rFonts w:eastAsia="Calibri"/>
              </w:rPr>
            </w:pPr>
          </w:p>
          <w:p w14:paraId="31B049D7" w14:textId="77777777" w:rsidR="001042DA" w:rsidRPr="006B1A5A" w:rsidRDefault="001042DA" w:rsidP="00AF2AEA">
            <w:pPr>
              <w:rPr>
                <w:rFonts w:eastAsia="Calibri"/>
              </w:rPr>
            </w:pPr>
            <w:r w:rsidRPr="006B1A5A">
              <w:rPr>
                <w:rFonts w:eastAsia="Calibri"/>
              </w:rPr>
              <w:lastRenderedPageBreak/>
              <w:t>T=0: Cu2O 24% w/w, CuSCN 7.9% w/w</w:t>
            </w:r>
          </w:p>
          <w:p w14:paraId="530D8EC7" w14:textId="77777777" w:rsidR="001042DA" w:rsidRPr="006B1A5A" w:rsidRDefault="001042DA" w:rsidP="00AF2AEA">
            <w:pPr>
              <w:rPr>
                <w:rFonts w:eastAsia="Calibri"/>
              </w:rPr>
            </w:pPr>
          </w:p>
          <w:p w14:paraId="4A2B41AF" w14:textId="77777777" w:rsidR="001042DA" w:rsidRPr="006B1A5A" w:rsidRDefault="001042DA" w:rsidP="00AF2AEA">
            <w:pPr>
              <w:rPr>
                <w:rFonts w:eastAsia="Calibri"/>
              </w:rPr>
            </w:pPr>
            <w:r w:rsidRPr="006B1A5A">
              <w:rPr>
                <w:rFonts w:eastAsia="Calibri"/>
              </w:rPr>
              <w:t>T=6 months: Cu</w:t>
            </w:r>
            <w:r w:rsidRPr="006B1A5A">
              <w:rPr>
                <w:rFonts w:eastAsia="Calibri"/>
                <w:vertAlign w:val="subscript"/>
              </w:rPr>
              <w:t>2</w:t>
            </w:r>
            <w:r w:rsidRPr="006B1A5A">
              <w:rPr>
                <w:rFonts w:eastAsia="Calibri"/>
              </w:rPr>
              <w:t>O 24% w/w, CuSCN 8.2% w/w</w:t>
            </w:r>
          </w:p>
          <w:p w14:paraId="7883A4CC" w14:textId="77777777" w:rsidR="001042DA" w:rsidRPr="006B1A5A" w:rsidRDefault="001042DA" w:rsidP="00AF2AEA">
            <w:pPr>
              <w:rPr>
                <w:rFonts w:eastAsia="Calibri"/>
              </w:rPr>
            </w:pPr>
            <w:r w:rsidRPr="006B1A5A">
              <w:rPr>
                <w:rFonts w:eastAsia="Calibri"/>
              </w:rPr>
              <w:t>T=12 months: Cu</w:t>
            </w:r>
            <w:r w:rsidRPr="006B1A5A">
              <w:rPr>
                <w:rFonts w:eastAsia="Calibri"/>
                <w:vertAlign w:val="subscript"/>
              </w:rPr>
              <w:t>2</w:t>
            </w:r>
            <w:r w:rsidRPr="006B1A5A">
              <w:rPr>
                <w:rFonts w:eastAsia="Calibri"/>
              </w:rPr>
              <w:t>O 25% w/w, CuSCN 8.3% w/w</w:t>
            </w:r>
          </w:p>
          <w:p w14:paraId="6D561839" w14:textId="77777777" w:rsidR="001042DA" w:rsidRPr="006B1A5A" w:rsidRDefault="001042DA" w:rsidP="00AF2AEA">
            <w:pPr>
              <w:rPr>
                <w:rFonts w:eastAsia="Calibri"/>
              </w:rPr>
            </w:pPr>
          </w:p>
        </w:tc>
        <w:tc>
          <w:tcPr>
            <w:tcW w:w="1843" w:type="dxa"/>
          </w:tcPr>
          <w:p w14:paraId="1AEC3520" w14:textId="77777777" w:rsidR="001042DA" w:rsidRPr="006B1A5A" w:rsidRDefault="001042DA" w:rsidP="00AF2AEA">
            <w:pPr>
              <w:rPr>
                <w:rFonts w:eastAsia="Calibri"/>
              </w:rPr>
            </w:pPr>
            <w:r w:rsidRPr="006B1A5A">
              <w:lastRenderedPageBreak/>
              <w:t xml:space="preserve">Interim report 6 months AquaNet </w:t>
            </w:r>
            <w:r w:rsidRPr="006B1A5A">
              <w:lastRenderedPageBreak/>
              <w:t xml:space="preserve">HG360, 2018, </w:t>
            </w:r>
            <w:r w:rsidRPr="006B1A5A">
              <w:rPr>
                <w:rFonts w:eastAsia="Calibri"/>
              </w:rPr>
              <w:t>report number 7P04987-02</w:t>
            </w:r>
          </w:p>
          <w:p w14:paraId="72BECE2F" w14:textId="77777777" w:rsidR="001042DA" w:rsidRPr="006B1A5A" w:rsidRDefault="001042DA" w:rsidP="00AF2AEA"/>
          <w:p w14:paraId="1CF8DECE" w14:textId="77777777" w:rsidR="001042DA" w:rsidRPr="006B1A5A" w:rsidRDefault="001042DA" w:rsidP="00AF2AEA">
            <w:pPr>
              <w:rPr>
                <w:rFonts w:eastAsia="Calibri"/>
              </w:rPr>
            </w:pPr>
            <w:r w:rsidRPr="006B1A5A">
              <w:t xml:space="preserve">Final report 12 months AquaNet HG360, 2018, </w:t>
            </w:r>
            <w:r w:rsidRPr="006B1A5A">
              <w:rPr>
                <w:rFonts w:eastAsia="Calibri"/>
              </w:rPr>
              <w:t>report number 7P04987-02b</w:t>
            </w:r>
          </w:p>
        </w:tc>
      </w:tr>
      <w:tr w:rsidR="001042DA" w:rsidRPr="006B1A5A" w14:paraId="0A64A7E5" w14:textId="77777777" w:rsidTr="00AF2AEA">
        <w:tc>
          <w:tcPr>
            <w:tcW w:w="2270" w:type="dxa"/>
          </w:tcPr>
          <w:p w14:paraId="1379F1F9" w14:textId="77777777" w:rsidR="001042DA" w:rsidRPr="006B1A5A" w:rsidRDefault="001042DA" w:rsidP="00AF2AEA">
            <w:pPr>
              <w:rPr>
                <w:rFonts w:eastAsia="Calibri"/>
              </w:rPr>
            </w:pPr>
            <w:r w:rsidRPr="006B1A5A">
              <w:rPr>
                <w:rFonts w:eastAsia="Calibri"/>
              </w:rPr>
              <w:lastRenderedPageBreak/>
              <w:t xml:space="preserve">Storage stability test – </w:t>
            </w:r>
            <w:r w:rsidRPr="006B1A5A">
              <w:rPr>
                <w:rFonts w:eastAsia="Calibri"/>
                <w:b/>
              </w:rPr>
              <w:t>low temperature stability test for liquids</w:t>
            </w:r>
          </w:p>
        </w:tc>
        <w:tc>
          <w:tcPr>
            <w:tcW w:w="7223" w:type="dxa"/>
            <w:gridSpan w:val="3"/>
          </w:tcPr>
          <w:p w14:paraId="48449714" w14:textId="77777777" w:rsidR="001042DA" w:rsidRPr="006B1A5A" w:rsidRDefault="001042DA" w:rsidP="00AF2AEA">
            <w:r w:rsidRPr="006B1A5A">
              <w:rPr>
                <w:rFonts w:eastAsia="Calibri"/>
              </w:rPr>
              <w:t>Not performed</w:t>
            </w:r>
          </w:p>
        </w:tc>
      </w:tr>
      <w:tr w:rsidR="001042DA" w:rsidRPr="006B1A5A" w14:paraId="5D4C39A8" w14:textId="77777777" w:rsidTr="00AF2AEA">
        <w:tc>
          <w:tcPr>
            <w:tcW w:w="2270" w:type="dxa"/>
          </w:tcPr>
          <w:p w14:paraId="5289B68F" w14:textId="77777777" w:rsidR="001042DA" w:rsidRPr="006B1A5A" w:rsidRDefault="001042DA" w:rsidP="00AF2AEA">
            <w:pPr>
              <w:rPr>
                <w:rFonts w:eastAsia="Calibri"/>
                <w:lang w:eastAsia="en-US"/>
              </w:rPr>
            </w:pPr>
            <w:r w:rsidRPr="006B1A5A">
              <w:rPr>
                <w:rFonts w:eastAsia="Calibri"/>
                <w:lang w:eastAsia="en-US"/>
              </w:rPr>
              <w:t xml:space="preserve">Effects on content of the active substance and technical characteristics of the biocidal product – </w:t>
            </w:r>
            <w:r w:rsidRPr="006B1A5A">
              <w:rPr>
                <w:rFonts w:eastAsia="Calibri"/>
                <w:b/>
                <w:lang w:eastAsia="en-US"/>
              </w:rPr>
              <w:t>light</w:t>
            </w:r>
          </w:p>
        </w:tc>
        <w:tc>
          <w:tcPr>
            <w:tcW w:w="2120" w:type="dxa"/>
          </w:tcPr>
          <w:p w14:paraId="082D78E6" w14:textId="77777777" w:rsidR="001042DA" w:rsidRPr="006B1A5A" w:rsidRDefault="001042DA" w:rsidP="00AF2AEA">
            <w:pPr>
              <w:rPr>
                <w:rFonts w:eastAsia="Calibri"/>
              </w:rPr>
            </w:pPr>
            <w:r w:rsidRPr="006B1A5A">
              <w:rPr>
                <w:rFonts w:eastAsiaTheme="minorHAnsi" w:cs="Times-Roman"/>
                <w:lang w:eastAsia="en-US"/>
              </w:rPr>
              <w:t>Storage condition under Artificial light 24h/day</w:t>
            </w:r>
          </w:p>
        </w:tc>
        <w:tc>
          <w:tcPr>
            <w:tcW w:w="3260" w:type="dxa"/>
          </w:tcPr>
          <w:p w14:paraId="5383C713" w14:textId="77777777" w:rsidR="001042DA" w:rsidRPr="006B1A5A" w:rsidRDefault="001042DA" w:rsidP="00AF2AEA">
            <w:pPr>
              <w:rPr>
                <w:rFonts w:eastAsia="Calibri"/>
              </w:rPr>
            </w:pPr>
            <w:r w:rsidRPr="006B1A5A">
              <w:rPr>
                <w:rFonts w:eastAsiaTheme="minorHAnsi" w:cs="Times-Roman"/>
                <w:lang w:eastAsia="en-US"/>
              </w:rPr>
              <w:t xml:space="preserve">No significant change after 6 or 12 months storage. </w:t>
            </w:r>
            <w:r w:rsidRPr="006B1A5A">
              <w:rPr>
                <w:rFonts w:eastAsia="Calibri"/>
              </w:rPr>
              <w:t>No effect of light on active ingredient content was observed</w:t>
            </w:r>
          </w:p>
        </w:tc>
        <w:tc>
          <w:tcPr>
            <w:tcW w:w="1843" w:type="dxa"/>
          </w:tcPr>
          <w:p w14:paraId="01791499" w14:textId="77777777" w:rsidR="001042DA" w:rsidRPr="006B1A5A" w:rsidRDefault="001042DA" w:rsidP="00AF2AEA">
            <w:pPr>
              <w:rPr>
                <w:rFonts w:eastAsia="Calibri"/>
              </w:rPr>
            </w:pPr>
            <w:r w:rsidRPr="006B1A5A">
              <w:t xml:space="preserve">Interim report 6 months AquaNet HG360, 2018, </w:t>
            </w:r>
            <w:r w:rsidRPr="006B1A5A">
              <w:rPr>
                <w:rFonts w:eastAsia="Calibri"/>
              </w:rPr>
              <w:t>report number 7P04987-02</w:t>
            </w:r>
          </w:p>
          <w:p w14:paraId="1D17EC41" w14:textId="77777777" w:rsidR="001042DA" w:rsidRPr="006B1A5A" w:rsidRDefault="001042DA" w:rsidP="00AF2AEA">
            <w:pPr>
              <w:rPr>
                <w:rFonts w:eastAsia="Calibri"/>
              </w:rPr>
            </w:pPr>
          </w:p>
          <w:p w14:paraId="1190FF34" w14:textId="4C2DB34F" w:rsidR="001C66C7" w:rsidRDefault="001042DA" w:rsidP="00AF2AEA">
            <w:pPr>
              <w:rPr>
                <w:rFonts w:eastAsia="Calibri"/>
              </w:rPr>
            </w:pPr>
            <w:r w:rsidRPr="006B1A5A">
              <w:t>Final report 12 months AquaNet HG360, 2018,</w:t>
            </w:r>
            <w:r w:rsidRPr="006B1A5A">
              <w:rPr>
                <w:rFonts w:eastAsia="Calibri"/>
              </w:rPr>
              <w:t xml:space="preserve"> report number 7P04987-02b</w:t>
            </w:r>
          </w:p>
          <w:p w14:paraId="39CF35B5" w14:textId="72430E85" w:rsidR="001042DA" w:rsidRPr="006B1A5A" w:rsidRDefault="001042DA" w:rsidP="00AF2AEA"/>
        </w:tc>
      </w:tr>
      <w:tr w:rsidR="001042DA" w:rsidRPr="006B1A5A" w14:paraId="6FA26AFA" w14:textId="77777777" w:rsidTr="00AF2AEA">
        <w:tc>
          <w:tcPr>
            <w:tcW w:w="2270" w:type="dxa"/>
          </w:tcPr>
          <w:p w14:paraId="504CBC8B" w14:textId="77777777" w:rsidR="001042DA" w:rsidRPr="006B1A5A" w:rsidRDefault="001042DA" w:rsidP="00AF2AEA">
            <w:pPr>
              <w:rPr>
                <w:rFonts w:eastAsia="Calibri"/>
              </w:rPr>
            </w:pPr>
            <w:r w:rsidRPr="006B1A5A">
              <w:rPr>
                <w:rFonts w:eastAsia="Calibri"/>
              </w:rPr>
              <w:t xml:space="preserve">Effects on content of the active substance and technical characteristics of the biocidal product – </w:t>
            </w:r>
            <w:r w:rsidRPr="006B1A5A">
              <w:rPr>
                <w:rFonts w:eastAsia="Calibri"/>
                <w:b/>
              </w:rPr>
              <w:t>temperature and humidity</w:t>
            </w:r>
          </w:p>
        </w:tc>
        <w:tc>
          <w:tcPr>
            <w:tcW w:w="7223" w:type="dxa"/>
            <w:gridSpan w:val="3"/>
          </w:tcPr>
          <w:p w14:paraId="2AEA0A85" w14:textId="77777777" w:rsidR="001042DA" w:rsidRPr="006B1A5A" w:rsidRDefault="001042DA" w:rsidP="00AF2AEA">
            <w:r w:rsidRPr="006B1A5A">
              <w:rPr>
                <w:rFonts w:eastAsia="Calibri"/>
              </w:rPr>
              <w:t>Not performed</w:t>
            </w:r>
          </w:p>
        </w:tc>
      </w:tr>
      <w:tr w:rsidR="001042DA" w:rsidRPr="006B1A5A" w14:paraId="1F1DAB91" w14:textId="77777777" w:rsidTr="00AF2AEA">
        <w:trPr>
          <w:cantSplit/>
        </w:trPr>
        <w:tc>
          <w:tcPr>
            <w:tcW w:w="2270" w:type="dxa"/>
          </w:tcPr>
          <w:p w14:paraId="44EEF0C8" w14:textId="77777777" w:rsidR="001042DA" w:rsidRPr="006B1A5A" w:rsidRDefault="001042DA" w:rsidP="00AF2AEA">
            <w:pPr>
              <w:rPr>
                <w:rFonts w:eastAsia="Calibri"/>
              </w:rPr>
            </w:pPr>
            <w:r w:rsidRPr="006B1A5A">
              <w:rPr>
                <w:rFonts w:eastAsia="Calibri"/>
              </w:rPr>
              <w:t xml:space="preserve">Effects on content of the active substance and technical characteristics of the biocidal product – </w:t>
            </w:r>
            <w:r w:rsidRPr="006B1A5A">
              <w:rPr>
                <w:rFonts w:eastAsia="Calibri"/>
                <w:b/>
              </w:rPr>
              <w:t>reactivity towards container material</w:t>
            </w:r>
          </w:p>
        </w:tc>
        <w:tc>
          <w:tcPr>
            <w:tcW w:w="2120" w:type="dxa"/>
          </w:tcPr>
          <w:p w14:paraId="1D97FB28" w14:textId="77777777" w:rsidR="001042DA" w:rsidRPr="006B1A5A" w:rsidRDefault="001042DA" w:rsidP="00AF2AEA">
            <w:pPr>
              <w:rPr>
                <w:rFonts w:eastAsia="Calibri"/>
              </w:rPr>
            </w:pPr>
            <w:r w:rsidRPr="006B1A5A">
              <w:rPr>
                <w:rFonts w:eastAsia="Calibri"/>
              </w:rPr>
              <w:t>No guideline followed</w:t>
            </w:r>
          </w:p>
        </w:tc>
        <w:tc>
          <w:tcPr>
            <w:tcW w:w="3260" w:type="dxa"/>
          </w:tcPr>
          <w:p w14:paraId="6A8AE07B" w14:textId="77777777" w:rsidR="001042DA" w:rsidRPr="006B1A5A" w:rsidRDefault="001042DA" w:rsidP="00AF2AEA">
            <w:pPr>
              <w:rPr>
                <w:rFonts w:eastAsia="Calibri"/>
              </w:rPr>
            </w:pPr>
            <w:r w:rsidRPr="006B1A5A">
              <w:rPr>
                <w:rFonts w:eastAsia="Calibri"/>
              </w:rPr>
              <w:t>No significant change was observed during long term storage test. So, no reactivity towards container material is expected.</w:t>
            </w:r>
          </w:p>
        </w:tc>
        <w:tc>
          <w:tcPr>
            <w:tcW w:w="1843" w:type="dxa"/>
          </w:tcPr>
          <w:p w14:paraId="6CD2BC4D" w14:textId="77777777" w:rsidR="001042DA" w:rsidRPr="006B1A5A" w:rsidRDefault="001042DA" w:rsidP="00AF2AEA">
            <w:pPr>
              <w:rPr>
                <w:rFonts w:eastAsia="Calibri"/>
              </w:rPr>
            </w:pPr>
            <w:r w:rsidRPr="006B1A5A">
              <w:t xml:space="preserve">Interim report 6 months AquaNet HG360, 2018, </w:t>
            </w:r>
            <w:r w:rsidRPr="006B1A5A">
              <w:rPr>
                <w:rFonts w:eastAsia="Calibri"/>
              </w:rPr>
              <w:t>report number 7P04987-02</w:t>
            </w:r>
          </w:p>
          <w:p w14:paraId="6B8ECC35" w14:textId="77777777" w:rsidR="001042DA" w:rsidRPr="006B1A5A" w:rsidRDefault="001042DA" w:rsidP="00AF2AEA">
            <w:pPr>
              <w:rPr>
                <w:rFonts w:eastAsia="Calibri"/>
              </w:rPr>
            </w:pPr>
          </w:p>
          <w:p w14:paraId="603CFF5E" w14:textId="77777777" w:rsidR="001042DA" w:rsidRPr="006B1A5A" w:rsidRDefault="001042DA" w:rsidP="00AF2AEA">
            <w:r w:rsidRPr="006B1A5A">
              <w:t xml:space="preserve">Final report 12 months AquaNet HG360, 2018, </w:t>
            </w:r>
            <w:r w:rsidRPr="006B1A5A">
              <w:rPr>
                <w:rFonts w:eastAsia="Calibri"/>
              </w:rPr>
              <w:t>report number 7P04987-02b</w:t>
            </w:r>
          </w:p>
        </w:tc>
      </w:tr>
      <w:tr w:rsidR="001042DA" w:rsidRPr="006B1A5A" w14:paraId="48E4850C" w14:textId="77777777" w:rsidTr="00AF2AEA">
        <w:tc>
          <w:tcPr>
            <w:tcW w:w="2270" w:type="dxa"/>
          </w:tcPr>
          <w:p w14:paraId="504B9B2A" w14:textId="77777777" w:rsidR="001042DA" w:rsidRPr="006B1A5A" w:rsidRDefault="001042DA" w:rsidP="00AF2AEA">
            <w:pPr>
              <w:rPr>
                <w:rFonts w:eastAsia="Calibri"/>
              </w:rPr>
            </w:pPr>
            <w:r w:rsidRPr="006B1A5A">
              <w:rPr>
                <w:rFonts w:eastAsia="Calibri"/>
              </w:rPr>
              <w:t>Wettability</w:t>
            </w:r>
          </w:p>
        </w:tc>
        <w:tc>
          <w:tcPr>
            <w:tcW w:w="7223" w:type="dxa"/>
            <w:gridSpan w:val="3"/>
          </w:tcPr>
          <w:p w14:paraId="7F8C6AA7" w14:textId="77777777" w:rsidR="001042DA" w:rsidRPr="006B1A5A" w:rsidRDefault="001042DA" w:rsidP="00AF2AEA">
            <w:r w:rsidRPr="006B1A5A">
              <w:rPr>
                <w:rFonts w:eastAsia="Calibri"/>
              </w:rPr>
              <w:t>Not performed as not applicable to this product</w:t>
            </w:r>
          </w:p>
        </w:tc>
      </w:tr>
      <w:tr w:rsidR="001042DA" w:rsidRPr="006B1A5A" w14:paraId="19305402" w14:textId="77777777" w:rsidTr="00AF2AEA">
        <w:tc>
          <w:tcPr>
            <w:tcW w:w="2270" w:type="dxa"/>
          </w:tcPr>
          <w:p w14:paraId="01D10B49" w14:textId="77777777" w:rsidR="001042DA" w:rsidRPr="006B1A5A" w:rsidRDefault="001042DA" w:rsidP="00AF2AEA">
            <w:pPr>
              <w:rPr>
                <w:rFonts w:eastAsia="Calibri"/>
              </w:rPr>
            </w:pPr>
            <w:r w:rsidRPr="006B1A5A">
              <w:rPr>
                <w:rFonts w:eastAsia="Calibri"/>
              </w:rPr>
              <w:t>Suspensibility, spontaneity and dispersion stability</w:t>
            </w:r>
          </w:p>
        </w:tc>
        <w:tc>
          <w:tcPr>
            <w:tcW w:w="2120" w:type="dxa"/>
          </w:tcPr>
          <w:p w14:paraId="4BAA8E8A" w14:textId="77777777" w:rsidR="001042DA" w:rsidRPr="006B1A5A" w:rsidRDefault="001042DA" w:rsidP="00AF2AEA">
            <w:pPr>
              <w:rPr>
                <w:rFonts w:eastAsiaTheme="minorHAnsi" w:cs="Times-Roman"/>
                <w:lang w:eastAsia="en-US"/>
              </w:rPr>
            </w:pPr>
            <w:r w:rsidRPr="006B1A5A">
              <w:rPr>
                <w:rFonts w:eastAsiaTheme="minorHAnsi" w:cs="Times-Roman"/>
                <w:lang w:eastAsia="en-US"/>
              </w:rPr>
              <w:t>CIPAC MT 184</w:t>
            </w:r>
          </w:p>
          <w:p w14:paraId="692B259D" w14:textId="77777777" w:rsidR="001042DA" w:rsidRPr="006B1A5A" w:rsidRDefault="001042DA" w:rsidP="00AF2AEA">
            <w:pPr>
              <w:rPr>
                <w:rFonts w:eastAsia="Calibri"/>
              </w:rPr>
            </w:pPr>
            <w:r w:rsidRPr="006B1A5A">
              <w:rPr>
                <w:rFonts w:eastAsiaTheme="minorHAnsi" w:cs="Times-Roman"/>
                <w:lang w:eastAsia="en-US"/>
              </w:rPr>
              <w:t>CIPAC MT 160</w:t>
            </w:r>
          </w:p>
        </w:tc>
        <w:tc>
          <w:tcPr>
            <w:tcW w:w="3260" w:type="dxa"/>
          </w:tcPr>
          <w:p w14:paraId="374EF4F1" w14:textId="77777777" w:rsidR="001042DA" w:rsidRPr="006B1A5A" w:rsidRDefault="001042DA" w:rsidP="00AF2AEA">
            <w:pPr>
              <w:rPr>
                <w:rFonts w:eastAsia="Calibri"/>
              </w:rPr>
            </w:pPr>
            <w:r w:rsidRPr="006B1A5A">
              <w:rPr>
                <w:rFonts w:eastAsia="Calibri"/>
              </w:rPr>
              <w:t>T=0 months:</w:t>
            </w:r>
          </w:p>
          <w:p w14:paraId="6B179385" w14:textId="77777777" w:rsidR="001042DA" w:rsidRPr="006B1A5A" w:rsidRDefault="001042DA" w:rsidP="00AF2AEA">
            <w:pPr>
              <w:rPr>
                <w:rFonts w:eastAsia="Calibri"/>
              </w:rPr>
            </w:pPr>
            <w:r w:rsidRPr="006B1A5A">
              <w:rPr>
                <w:rFonts w:eastAsia="Calibri"/>
              </w:rPr>
              <w:t>Suspensibility 102% for Cu</w:t>
            </w:r>
            <w:r w:rsidRPr="006B1A5A">
              <w:rPr>
                <w:rFonts w:eastAsia="Calibri"/>
                <w:vertAlign w:val="subscript"/>
              </w:rPr>
              <w:t>2</w:t>
            </w:r>
            <w:r w:rsidRPr="006B1A5A">
              <w:rPr>
                <w:rFonts w:eastAsia="Calibri"/>
              </w:rPr>
              <w:t>O and 101% for CuSCN</w:t>
            </w:r>
          </w:p>
          <w:p w14:paraId="02834A95" w14:textId="77777777" w:rsidR="001042DA" w:rsidRPr="006B1A5A" w:rsidRDefault="001042DA" w:rsidP="00AF2AEA">
            <w:pPr>
              <w:rPr>
                <w:rFonts w:eastAsia="Calibri"/>
              </w:rPr>
            </w:pPr>
            <w:r w:rsidRPr="006B1A5A">
              <w:rPr>
                <w:rFonts w:eastAsia="Calibri"/>
              </w:rPr>
              <w:t>Spontaneity of dispersion 94% for Cu</w:t>
            </w:r>
            <w:r w:rsidRPr="006B1A5A">
              <w:rPr>
                <w:rFonts w:eastAsia="Calibri"/>
                <w:vertAlign w:val="subscript"/>
              </w:rPr>
              <w:t>2</w:t>
            </w:r>
            <w:r w:rsidRPr="006B1A5A">
              <w:rPr>
                <w:rFonts w:eastAsia="Calibri"/>
              </w:rPr>
              <w:t>O and 91% for CuSCN</w:t>
            </w:r>
          </w:p>
          <w:p w14:paraId="01D0F3F3" w14:textId="77777777" w:rsidR="001042DA" w:rsidRPr="006B1A5A" w:rsidRDefault="001042DA" w:rsidP="00AF2AEA">
            <w:pPr>
              <w:rPr>
                <w:rFonts w:eastAsia="Calibri"/>
              </w:rPr>
            </w:pPr>
          </w:p>
          <w:p w14:paraId="482B5F23" w14:textId="77777777" w:rsidR="001042DA" w:rsidRPr="006B1A5A" w:rsidRDefault="001042DA" w:rsidP="00AF2AEA">
            <w:pPr>
              <w:rPr>
                <w:rFonts w:eastAsiaTheme="minorHAnsi" w:cs="Times-Roman"/>
                <w:lang w:eastAsia="en-US"/>
              </w:rPr>
            </w:pPr>
            <w:r w:rsidRPr="006B1A5A">
              <w:rPr>
                <w:rFonts w:eastAsiaTheme="minorHAnsi" w:cs="Times-Roman"/>
                <w:lang w:eastAsia="en-US"/>
              </w:rPr>
              <w:t>T=6 months:</w:t>
            </w:r>
          </w:p>
          <w:p w14:paraId="42ED927C" w14:textId="77777777" w:rsidR="001042DA" w:rsidRPr="006B1A5A" w:rsidRDefault="001042DA" w:rsidP="00AF2AEA">
            <w:pPr>
              <w:rPr>
                <w:rFonts w:eastAsiaTheme="minorHAnsi" w:cs="Times-Roman"/>
                <w:lang w:eastAsia="en-US"/>
              </w:rPr>
            </w:pPr>
            <w:r w:rsidRPr="006B1A5A">
              <w:rPr>
                <w:rFonts w:eastAsiaTheme="minorHAnsi" w:cs="Times-Roman"/>
                <w:lang w:eastAsia="en-US"/>
              </w:rPr>
              <w:lastRenderedPageBreak/>
              <w:t>Suspensibility: Cu</w:t>
            </w:r>
            <w:r w:rsidRPr="006B1A5A">
              <w:rPr>
                <w:rFonts w:eastAsiaTheme="minorHAnsi" w:cs="Times-Roman"/>
                <w:vertAlign w:val="subscript"/>
                <w:lang w:eastAsia="en-US"/>
              </w:rPr>
              <w:t>2</w:t>
            </w:r>
            <w:r w:rsidRPr="006B1A5A">
              <w:rPr>
                <w:rFonts w:eastAsiaTheme="minorHAnsi" w:cs="Times-Roman"/>
                <w:lang w:eastAsia="en-US"/>
              </w:rPr>
              <w:t>O = 101%, CuSCN = 103%</w:t>
            </w:r>
          </w:p>
          <w:p w14:paraId="2F1969E7" w14:textId="77777777" w:rsidR="001042DA" w:rsidRPr="006B1A5A" w:rsidRDefault="001042DA" w:rsidP="00AF2AEA">
            <w:pPr>
              <w:rPr>
                <w:rFonts w:eastAsiaTheme="minorHAnsi" w:cs="Times-Roman"/>
                <w:lang w:eastAsia="en-US"/>
              </w:rPr>
            </w:pPr>
            <w:r w:rsidRPr="006B1A5A">
              <w:rPr>
                <w:rFonts w:eastAsiaTheme="minorHAnsi" w:cs="Times-Roman"/>
                <w:lang w:eastAsia="en-US"/>
              </w:rPr>
              <w:t>Spontaneity of dispersion: Cu</w:t>
            </w:r>
            <w:r w:rsidRPr="006B1A5A">
              <w:rPr>
                <w:rFonts w:eastAsiaTheme="minorHAnsi" w:cs="Times-Roman"/>
                <w:vertAlign w:val="subscript"/>
                <w:lang w:eastAsia="en-US"/>
              </w:rPr>
              <w:t>2</w:t>
            </w:r>
            <w:r w:rsidRPr="006B1A5A">
              <w:rPr>
                <w:rFonts w:eastAsiaTheme="minorHAnsi" w:cs="Times-Roman"/>
                <w:lang w:eastAsia="en-US"/>
              </w:rPr>
              <w:t>O = 55%*, CuSCN = 62%</w:t>
            </w:r>
          </w:p>
          <w:p w14:paraId="7D008800" w14:textId="77777777" w:rsidR="001042DA" w:rsidRPr="006B1A5A" w:rsidRDefault="001042DA" w:rsidP="00AF2AEA">
            <w:pPr>
              <w:rPr>
                <w:rFonts w:eastAsiaTheme="minorHAnsi" w:cs="Times-Roman"/>
                <w:lang w:eastAsia="en-US"/>
              </w:rPr>
            </w:pPr>
          </w:p>
          <w:p w14:paraId="186E53F9" w14:textId="77777777" w:rsidR="001042DA" w:rsidRPr="006B1A5A" w:rsidRDefault="001042DA" w:rsidP="00AF2AEA">
            <w:pPr>
              <w:rPr>
                <w:rFonts w:eastAsiaTheme="minorHAnsi" w:cs="Times-Roman"/>
                <w:lang w:eastAsia="en-US"/>
              </w:rPr>
            </w:pPr>
            <w:r w:rsidRPr="006B1A5A">
              <w:rPr>
                <w:rFonts w:eastAsiaTheme="minorHAnsi" w:cs="Times-Roman"/>
                <w:lang w:eastAsia="en-US"/>
              </w:rPr>
              <w:t>T=12 months:</w:t>
            </w:r>
          </w:p>
          <w:p w14:paraId="5B98478E" w14:textId="77777777" w:rsidR="001042DA" w:rsidRPr="006B1A5A" w:rsidRDefault="001042DA" w:rsidP="00AF2AEA">
            <w:pPr>
              <w:rPr>
                <w:rFonts w:eastAsiaTheme="minorHAnsi" w:cs="Times-Roman"/>
                <w:lang w:eastAsia="en-US"/>
              </w:rPr>
            </w:pPr>
            <w:r w:rsidRPr="006B1A5A">
              <w:rPr>
                <w:rFonts w:eastAsiaTheme="minorHAnsi" w:cs="Times-Roman"/>
                <w:lang w:eastAsia="en-US"/>
              </w:rPr>
              <w:t>Suspensibility: Cu</w:t>
            </w:r>
            <w:r w:rsidRPr="006B1A5A">
              <w:rPr>
                <w:rFonts w:eastAsiaTheme="minorHAnsi" w:cs="Times-Roman"/>
                <w:vertAlign w:val="subscript"/>
                <w:lang w:eastAsia="en-US"/>
              </w:rPr>
              <w:t>2</w:t>
            </w:r>
            <w:r w:rsidRPr="006B1A5A">
              <w:rPr>
                <w:rFonts w:eastAsiaTheme="minorHAnsi" w:cs="Times-Roman"/>
                <w:lang w:eastAsia="en-US"/>
              </w:rPr>
              <w:t>O = 98%, CuSCN = 100%</w:t>
            </w:r>
          </w:p>
          <w:p w14:paraId="7BFDF317" w14:textId="77777777" w:rsidR="001042DA" w:rsidRPr="006B1A5A" w:rsidRDefault="001042DA" w:rsidP="00AF2AEA">
            <w:pPr>
              <w:rPr>
                <w:rFonts w:eastAsiaTheme="minorHAnsi" w:cs="Times-Roman"/>
                <w:lang w:eastAsia="en-US"/>
              </w:rPr>
            </w:pPr>
            <w:r w:rsidRPr="006B1A5A">
              <w:rPr>
                <w:rFonts w:eastAsiaTheme="minorHAnsi" w:cs="Times-Roman"/>
                <w:lang w:eastAsia="en-US"/>
              </w:rPr>
              <w:t>Spontaneity of dispersion: Cu</w:t>
            </w:r>
            <w:r w:rsidRPr="006B1A5A">
              <w:rPr>
                <w:rFonts w:eastAsiaTheme="minorHAnsi" w:cs="Times-Roman"/>
                <w:vertAlign w:val="subscript"/>
                <w:lang w:eastAsia="en-US"/>
              </w:rPr>
              <w:t>2</w:t>
            </w:r>
            <w:r w:rsidRPr="006B1A5A">
              <w:rPr>
                <w:rFonts w:eastAsiaTheme="minorHAnsi" w:cs="Times-Roman"/>
                <w:lang w:eastAsia="en-US"/>
              </w:rPr>
              <w:t>O = 57%*, CuSCN = 60%</w:t>
            </w:r>
          </w:p>
          <w:p w14:paraId="5863B7C2" w14:textId="77777777" w:rsidR="001042DA" w:rsidRPr="006B1A5A" w:rsidRDefault="001042DA" w:rsidP="00AF2AEA">
            <w:pPr>
              <w:rPr>
                <w:rFonts w:eastAsia="Calibri"/>
              </w:rPr>
            </w:pPr>
          </w:p>
          <w:p w14:paraId="048D77CE" w14:textId="77777777" w:rsidR="001042DA" w:rsidRPr="006B1A5A" w:rsidRDefault="001042DA" w:rsidP="00AF2AEA">
            <w:pPr>
              <w:rPr>
                <w:rFonts w:eastAsia="Calibri"/>
              </w:rPr>
            </w:pPr>
            <w:r w:rsidRPr="006B1A5A">
              <w:rPr>
                <w:rFonts w:eastAsia="Calibri"/>
              </w:rPr>
              <w:t>See comments in conclusion section</w:t>
            </w:r>
          </w:p>
        </w:tc>
        <w:tc>
          <w:tcPr>
            <w:tcW w:w="1843" w:type="dxa"/>
          </w:tcPr>
          <w:p w14:paraId="4239C3A5" w14:textId="77777777" w:rsidR="001042DA" w:rsidRPr="006B1A5A" w:rsidRDefault="001042DA" w:rsidP="00AF2AEA">
            <w:pPr>
              <w:rPr>
                <w:rFonts w:eastAsia="Calibri"/>
              </w:rPr>
            </w:pPr>
            <w:r w:rsidRPr="006B1A5A">
              <w:lastRenderedPageBreak/>
              <w:t xml:space="preserve">Interim report 6 months AquaNet HG360, 2018, </w:t>
            </w:r>
            <w:r w:rsidRPr="006B1A5A">
              <w:rPr>
                <w:rFonts w:eastAsia="Calibri"/>
              </w:rPr>
              <w:t>report number 7P04987-02</w:t>
            </w:r>
          </w:p>
          <w:p w14:paraId="3D13786B" w14:textId="77777777" w:rsidR="001042DA" w:rsidRPr="006B1A5A" w:rsidRDefault="001042DA" w:rsidP="00AF2AEA">
            <w:pPr>
              <w:rPr>
                <w:rFonts w:eastAsia="Calibri"/>
              </w:rPr>
            </w:pPr>
          </w:p>
          <w:p w14:paraId="2EFF74CB" w14:textId="77777777" w:rsidR="001042DA" w:rsidRPr="006B1A5A" w:rsidRDefault="001042DA" w:rsidP="00AF2AEA">
            <w:r w:rsidRPr="006B1A5A">
              <w:t xml:space="preserve">Final report 12 months AquaNet </w:t>
            </w:r>
            <w:r w:rsidRPr="006B1A5A">
              <w:lastRenderedPageBreak/>
              <w:t xml:space="preserve">HG360, 2018, </w:t>
            </w:r>
            <w:r w:rsidRPr="006B1A5A">
              <w:rPr>
                <w:rFonts w:eastAsia="Calibri"/>
              </w:rPr>
              <w:t>report number 7P04987-02b</w:t>
            </w:r>
          </w:p>
        </w:tc>
      </w:tr>
      <w:tr w:rsidR="001042DA" w:rsidRPr="006B1A5A" w14:paraId="7F644134" w14:textId="77777777" w:rsidTr="00AF2AEA">
        <w:tc>
          <w:tcPr>
            <w:tcW w:w="2270" w:type="dxa"/>
          </w:tcPr>
          <w:p w14:paraId="6E139668" w14:textId="77777777" w:rsidR="001042DA" w:rsidRPr="006B1A5A" w:rsidRDefault="001042DA" w:rsidP="00AF2AEA">
            <w:pPr>
              <w:rPr>
                <w:rFonts w:eastAsia="Calibri"/>
              </w:rPr>
            </w:pPr>
            <w:r w:rsidRPr="006B1A5A">
              <w:rPr>
                <w:rFonts w:eastAsia="Calibri"/>
              </w:rPr>
              <w:lastRenderedPageBreak/>
              <w:t>Wet sieve analysis and dry sieve test</w:t>
            </w:r>
          </w:p>
        </w:tc>
        <w:tc>
          <w:tcPr>
            <w:tcW w:w="7223" w:type="dxa"/>
            <w:gridSpan w:val="3"/>
          </w:tcPr>
          <w:p w14:paraId="007E1124" w14:textId="77777777" w:rsidR="001042DA" w:rsidRPr="006B1A5A" w:rsidRDefault="001042DA" w:rsidP="00AF2AEA">
            <w:r w:rsidRPr="006B1A5A">
              <w:rPr>
                <w:rFonts w:eastAsia="Calibri"/>
              </w:rPr>
              <w:t>Not performed as not applicable to this product</w:t>
            </w:r>
          </w:p>
        </w:tc>
      </w:tr>
      <w:tr w:rsidR="001042DA" w:rsidRPr="006B1A5A" w14:paraId="67F407B2" w14:textId="77777777" w:rsidTr="00AF2AEA">
        <w:tc>
          <w:tcPr>
            <w:tcW w:w="2270" w:type="dxa"/>
          </w:tcPr>
          <w:p w14:paraId="442671C3" w14:textId="77777777" w:rsidR="001042DA" w:rsidRPr="006B1A5A" w:rsidRDefault="001042DA" w:rsidP="00AF2AEA">
            <w:pPr>
              <w:rPr>
                <w:rFonts w:eastAsia="Calibri"/>
              </w:rPr>
            </w:pPr>
            <w:r w:rsidRPr="006B1A5A">
              <w:rPr>
                <w:rFonts w:eastAsia="Calibri"/>
              </w:rPr>
              <w:t>Emulsifiability, re-emulsifiability and emulsion stability</w:t>
            </w:r>
          </w:p>
        </w:tc>
        <w:tc>
          <w:tcPr>
            <w:tcW w:w="7223" w:type="dxa"/>
            <w:gridSpan w:val="3"/>
          </w:tcPr>
          <w:p w14:paraId="11E70D40" w14:textId="77777777" w:rsidR="001042DA" w:rsidRPr="006B1A5A" w:rsidRDefault="001042DA" w:rsidP="00AF2AEA">
            <w:r w:rsidRPr="006B1A5A">
              <w:rPr>
                <w:rFonts w:eastAsia="Calibri"/>
              </w:rPr>
              <w:t>Not performed as not applicable to this product</w:t>
            </w:r>
          </w:p>
        </w:tc>
      </w:tr>
      <w:tr w:rsidR="001042DA" w:rsidRPr="006B1A5A" w14:paraId="79F538FA" w14:textId="77777777" w:rsidTr="00AF2AEA">
        <w:tc>
          <w:tcPr>
            <w:tcW w:w="2270" w:type="dxa"/>
          </w:tcPr>
          <w:p w14:paraId="17D82164" w14:textId="77777777" w:rsidR="001042DA" w:rsidRPr="006B1A5A" w:rsidRDefault="001042DA" w:rsidP="00AF2AEA">
            <w:pPr>
              <w:rPr>
                <w:rFonts w:eastAsia="Calibri"/>
              </w:rPr>
            </w:pPr>
            <w:r w:rsidRPr="006B1A5A">
              <w:rPr>
                <w:rFonts w:eastAsia="Calibri"/>
              </w:rPr>
              <w:t>Disintegration time</w:t>
            </w:r>
          </w:p>
        </w:tc>
        <w:tc>
          <w:tcPr>
            <w:tcW w:w="7223" w:type="dxa"/>
            <w:gridSpan w:val="3"/>
          </w:tcPr>
          <w:p w14:paraId="5985B81E" w14:textId="77777777" w:rsidR="001042DA" w:rsidRPr="006B1A5A" w:rsidRDefault="001042DA" w:rsidP="00AF2AEA">
            <w:r w:rsidRPr="006B1A5A">
              <w:rPr>
                <w:rFonts w:eastAsia="Calibri"/>
              </w:rPr>
              <w:t>Not performed as not applicable to this product</w:t>
            </w:r>
          </w:p>
        </w:tc>
      </w:tr>
      <w:tr w:rsidR="001042DA" w:rsidRPr="006B1A5A" w14:paraId="389C4D99" w14:textId="77777777" w:rsidTr="00AF2AEA">
        <w:tc>
          <w:tcPr>
            <w:tcW w:w="2270" w:type="dxa"/>
          </w:tcPr>
          <w:p w14:paraId="4F97C61B" w14:textId="77777777" w:rsidR="001042DA" w:rsidRPr="006B1A5A" w:rsidRDefault="001042DA" w:rsidP="00AF2AEA">
            <w:pPr>
              <w:rPr>
                <w:rFonts w:eastAsia="Calibri"/>
              </w:rPr>
            </w:pPr>
            <w:r w:rsidRPr="006B1A5A">
              <w:rPr>
                <w:rFonts w:eastAsia="Calibri"/>
              </w:rPr>
              <w:t>Particle size distribution, content of dust/fines, attrition, friability</w:t>
            </w:r>
          </w:p>
        </w:tc>
        <w:tc>
          <w:tcPr>
            <w:tcW w:w="7223" w:type="dxa"/>
            <w:gridSpan w:val="3"/>
          </w:tcPr>
          <w:p w14:paraId="0C97DA3F" w14:textId="77777777" w:rsidR="001042DA" w:rsidRPr="006B1A5A" w:rsidRDefault="001042DA" w:rsidP="00AF2AEA">
            <w:r w:rsidRPr="006B1A5A">
              <w:rPr>
                <w:rFonts w:eastAsia="Calibri"/>
              </w:rPr>
              <w:t>Not performed as not applicable to this product</w:t>
            </w:r>
          </w:p>
        </w:tc>
      </w:tr>
      <w:tr w:rsidR="001042DA" w:rsidRPr="006B1A5A" w14:paraId="1E19F5EE" w14:textId="77777777" w:rsidTr="00A4165F">
        <w:tc>
          <w:tcPr>
            <w:tcW w:w="2270" w:type="dxa"/>
          </w:tcPr>
          <w:p w14:paraId="5F59AE96" w14:textId="77777777" w:rsidR="001042DA" w:rsidRPr="006B1A5A" w:rsidRDefault="001042DA" w:rsidP="00AF2AEA">
            <w:pPr>
              <w:rPr>
                <w:rFonts w:eastAsia="Calibri"/>
              </w:rPr>
            </w:pPr>
            <w:r w:rsidRPr="006B1A5A">
              <w:rPr>
                <w:rFonts w:eastAsia="Calibri"/>
              </w:rPr>
              <w:t>Persistent foaming</w:t>
            </w:r>
          </w:p>
        </w:tc>
        <w:tc>
          <w:tcPr>
            <w:tcW w:w="2120" w:type="dxa"/>
          </w:tcPr>
          <w:p w14:paraId="0E8B9FB0" w14:textId="77777777" w:rsidR="001042DA" w:rsidRPr="006B1A5A" w:rsidRDefault="001042DA" w:rsidP="00AF2AEA">
            <w:r w:rsidRPr="006B1A5A">
              <w:t>CIPAC MT 47.2</w:t>
            </w:r>
          </w:p>
        </w:tc>
        <w:tc>
          <w:tcPr>
            <w:tcW w:w="3260" w:type="dxa"/>
          </w:tcPr>
          <w:p w14:paraId="1D79EBB2" w14:textId="77777777" w:rsidR="001042DA" w:rsidRPr="006B1A5A" w:rsidRDefault="001042DA" w:rsidP="00AF2AEA">
            <w:r w:rsidRPr="006B1A5A">
              <w:t>T=0 months</w:t>
            </w:r>
          </w:p>
          <w:tbl>
            <w:tblPr>
              <w:tblStyle w:val="Tabellrutenett"/>
              <w:tblW w:w="3330" w:type="dxa"/>
              <w:tblLayout w:type="fixed"/>
              <w:tblLook w:val="04A0" w:firstRow="1" w:lastRow="0" w:firstColumn="1" w:lastColumn="0" w:noHBand="0" w:noVBand="1"/>
            </w:tblPr>
            <w:tblGrid>
              <w:gridCol w:w="637"/>
              <w:gridCol w:w="708"/>
              <w:gridCol w:w="614"/>
              <w:gridCol w:w="662"/>
              <w:gridCol w:w="709"/>
            </w:tblGrid>
            <w:tr w:rsidR="001042DA" w:rsidRPr="006B1A5A" w14:paraId="73092455" w14:textId="77777777" w:rsidTr="00AF2AEA">
              <w:tc>
                <w:tcPr>
                  <w:tcW w:w="637" w:type="dxa"/>
                </w:tcPr>
                <w:p w14:paraId="6953CD73" w14:textId="77777777" w:rsidR="001042DA" w:rsidRPr="006B1A5A" w:rsidRDefault="001042DA" w:rsidP="00AF2AEA">
                  <w:r w:rsidRPr="006B1A5A">
                    <w:t>T= 0s</w:t>
                  </w:r>
                </w:p>
              </w:tc>
              <w:tc>
                <w:tcPr>
                  <w:tcW w:w="708" w:type="dxa"/>
                </w:tcPr>
                <w:p w14:paraId="4EFDA10C" w14:textId="77777777" w:rsidR="001042DA" w:rsidRPr="006B1A5A" w:rsidRDefault="001042DA" w:rsidP="00AF2AEA">
                  <w:r w:rsidRPr="006B1A5A">
                    <w:t>T=10s</w:t>
                  </w:r>
                </w:p>
              </w:tc>
              <w:tc>
                <w:tcPr>
                  <w:tcW w:w="614" w:type="dxa"/>
                </w:tcPr>
                <w:p w14:paraId="73183541" w14:textId="77777777" w:rsidR="001042DA" w:rsidRPr="006B1A5A" w:rsidRDefault="001042DA" w:rsidP="00AF2AEA">
                  <w:r w:rsidRPr="006B1A5A">
                    <w:t>T= 60s</w:t>
                  </w:r>
                </w:p>
              </w:tc>
              <w:tc>
                <w:tcPr>
                  <w:tcW w:w="662" w:type="dxa"/>
                </w:tcPr>
                <w:p w14:paraId="02BFEE09" w14:textId="77777777" w:rsidR="001042DA" w:rsidRPr="006B1A5A" w:rsidRDefault="001042DA" w:rsidP="00AF2AEA">
                  <w:r w:rsidRPr="006B1A5A">
                    <w:t>T= 180s</w:t>
                  </w:r>
                </w:p>
              </w:tc>
              <w:tc>
                <w:tcPr>
                  <w:tcW w:w="709" w:type="dxa"/>
                </w:tcPr>
                <w:p w14:paraId="181B86A5" w14:textId="77777777" w:rsidR="001042DA" w:rsidRPr="006B1A5A" w:rsidRDefault="001042DA" w:rsidP="00AF2AEA">
                  <w:r w:rsidRPr="006B1A5A">
                    <w:t>T= 720s</w:t>
                  </w:r>
                </w:p>
              </w:tc>
            </w:tr>
            <w:tr w:rsidR="001042DA" w:rsidRPr="006B1A5A" w14:paraId="59DC345A" w14:textId="77777777" w:rsidTr="00AF2AEA">
              <w:tc>
                <w:tcPr>
                  <w:tcW w:w="637" w:type="dxa"/>
                </w:tcPr>
                <w:p w14:paraId="40C3D128" w14:textId="77777777" w:rsidR="001042DA" w:rsidRPr="006B1A5A" w:rsidRDefault="001042DA" w:rsidP="00AF2AEA">
                  <w:r w:rsidRPr="006B1A5A">
                    <w:t>23</w:t>
                  </w:r>
                </w:p>
              </w:tc>
              <w:tc>
                <w:tcPr>
                  <w:tcW w:w="708" w:type="dxa"/>
                </w:tcPr>
                <w:p w14:paraId="333BC42C" w14:textId="77777777" w:rsidR="001042DA" w:rsidRPr="006B1A5A" w:rsidRDefault="001042DA" w:rsidP="00AF2AEA">
                  <w:r w:rsidRPr="006B1A5A">
                    <w:t>23</w:t>
                  </w:r>
                </w:p>
              </w:tc>
              <w:tc>
                <w:tcPr>
                  <w:tcW w:w="614" w:type="dxa"/>
                </w:tcPr>
                <w:p w14:paraId="16E1A141" w14:textId="77777777" w:rsidR="001042DA" w:rsidRPr="006B1A5A" w:rsidRDefault="001042DA" w:rsidP="00AF2AEA">
                  <w:r w:rsidRPr="006B1A5A">
                    <w:t>23</w:t>
                  </w:r>
                </w:p>
              </w:tc>
              <w:tc>
                <w:tcPr>
                  <w:tcW w:w="662" w:type="dxa"/>
                </w:tcPr>
                <w:p w14:paraId="68F40936" w14:textId="77777777" w:rsidR="001042DA" w:rsidRPr="006B1A5A" w:rsidRDefault="001042DA" w:rsidP="00AF2AEA">
                  <w:r w:rsidRPr="006B1A5A">
                    <w:t>20</w:t>
                  </w:r>
                </w:p>
              </w:tc>
              <w:tc>
                <w:tcPr>
                  <w:tcW w:w="709" w:type="dxa"/>
                </w:tcPr>
                <w:p w14:paraId="75124B35" w14:textId="77777777" w:rsidR="001042DA" w:rsidRPr="006B1A5A" w:rsidRDefault="001042DA" w:rsidP="00AF2AEA">
                  <w:r w:rsidRPr="006B1A5A">
                    <w:t>18</w:t>
                  </w:r>
                </w:p>
              </w:tc>
            </w:tr>
          </w:tbl>
          <w:p w14:paraId="6FD14386" w14:textId="77777777" w:rsidR="001042DA" w:rsidRPr="006B1A5A" w:rsidRDefault="001042DA" w:rsidP="00AF2AEA">
            <w:pPr>
              <w:rPr>
                <w:rFonts w:eastAsiaTheme="minorHAnsi" w:cs="Times-Roman"/>
                <w:lang w:eastAsia="en-US"/>
              </w:rPr>
            </w:pPr>
          </w:p>
          <w:p w14:paraId="4A185BEC" w14:textId="77777777" w:rsidR="001042DA" w:rsidRPr="006B1A5A" w:rsidRDefault="001042DA" w:rsidP="00AF2AEA">
            <w:r w:rsidRPr="006B1A5A">
              <w:rPr>
                <w:rFonts w:eastAsiaTheme="minorHAnsi" w:cs="Times-Roman"/>
                <w:lang w:eastAsia="en-US"/>
              </w:rPr>
              <w:t xml:space="preserve">T=6 months: </w:t>
            </w:r>
          </w:p>
          <w:tbl>
            <w:tblPr>
              <w:tblStyle w:val="Tabellrutenett"/>
              <w:tblW w:w="0" w:type="auto"/>
              <w:tblLayout w:type="fixed"/>
              <w:tblLook w:val="04A0" w:firstRow="1" w:lastRow="0" w:firstColumn="1" w:lastColumn="0" w:noHBand="0" w:noVBand="1"/>
            </w:tblPr>
            <w:tblGrid>
              <w:gridCol w:w="579"/>
              <w:gridCol w:w="579"/>
              <w:gridCol w:w="580"/>
              <w:gridCol w:w="579"/>
              <w:gridCol w:w="580"/>
            </w:tblGrid>
            <w:tr w:rsidR="001042DA" w:rsidRPr="006B1A5A" w14:paraId="0CCFD63C" w14:textId="77777777" w:rsidTr="00AF2AEA">
              <w:tc>
                <w:tcPr>
                  <w:tcW w:w="579" w:type="dxa"/>
                </w:tcPr>
                <w:p w14:paraId="238B4A79" w14:textId="77777777" w:rsidR="001042DA" w:rsidRPr="006B1A5A" w:rsidRDefault="001042DA" w:rsidP="00AF2AEA">
                  <w:r w:rsidRPr="006B1A5A">
                    <w:t>T=0s</w:t>
                  </w:r>
                </w:p>
              </w:tc>
              <w:tc>
                <w:tcPr>
                  <w:tcW w:w="579" w:type="dxa"/>
                </w:tcPr>
                <w:p w14:paraId="31B4C05A" w14:textId="77777777" w:rsidR="001042DA" w:rsidRPr="006B1A5A" w:rsidRDefault="001042DA" w:rsidP="00AF2AEA">
                  <w:r w:rsidRPr="006B1A5A">
                    <w:t>T=10s</w:t>
                  </w:r>
                </w:p>
              </w:tc>
              <w:tc>
                <w:tcPr>
                  <w:tcW w:w="580" w:type="dxa"/>
                </w:tcPr>
                <w:p w14:paraId="7E43FF9A" w14:textId="77777777" w:rsidR="001042DA" w:rsidRPr="006B1A5A" w:rsidRDefault="001042DA" w:rsidP="00AF2AEA">
                  <w:r w:rsidRPr="006B1A5A">
                    <w:t>T=60s</w:t>
                  </w:r>
                </w:p>
              </w:tc>
              <w:tc>
                <w:tcPr>
                  <w:tcW w:w="579" w:type="dxa"/>
                </w:tcPr>
                <w:p w14:paraId="11B1BF05" w14:textId="77777777" w:rsidR="001042DA" w:rsidRPr="006B1A5A" w:rsidRDefault="001042DA" w:rsidP="00AF2AEA">
                  <w:r w:rsidRPr="006B1A5A">
                    <w:t>T=180s</w:t>
                  </w:r>
                </w:p>
              </w:tc>
              <w:tc>
                <w:tcPr>
                  <w:tcW w:w="580" w:type="dxa"/>
                </w:tcPr>
                <w:p w14:paraId="6AF9D0E5" w14:textId="77777777" w:rsidR="001042DA" w:rsidRPr="006B1A5A" w:rsidRDefault="001042DA" w:rsidP="00AF2AEA">
                  <w:r w:rsidRPr="006B1A5A">
                    <w:t>T=720s</w:t>
                  </w:r>
                </w:p>
              </w:tc>
            </w:tr>
            <w:tr w:rsidR="001042DA" w:rsidRPr="006B1A5A" w14:paraId="5673C9E8" w14:textId="77777777" w:rsidTr="00AF2AEA">
              <w:tc>
                <w:tcPr>
                  <w:tcW w:w="579" w:type="dxa"/>
                </w:tcPr>
                <w:p w14:paraId="1C5A64C9" w14:textId="77777777" w:rsidR="001042DA" w:rsidRPr="006B1A5A" w:rsidRDefault="001042DA" w:rsidP="00AF2AEA">
                  <w:r w:rsidRPr="006B1A5A">
                    <w:t>18</w:t>
                  </w:r>
                </w:p>
              </w:tc>
              <w:tc>
                <w:tcPr>
                  <w:tcW w:w="579" w:type="dxa"/>
                </w:tcPr>
                <w:p w14:paraId="52D93435" w14:textId="77777777" w:rsidR="001042DA" w:rsidRPr="006B1A5A" w:rsidRDefault="001042DA" w:rsidP="00AF2AEA">
                  <w:r w:rsidRPr="006B1A5A">
                    <w:t>18</w:t>
                  </w:r>
                </w:p>
              </w:tc>
              <w:tc>
                <w:tcPr>
                  <w:tcW w:w="580" w:type="dxa"/>
                </w:tcPr>
                <w:p w14:paraId="71B4B024" w14:textId="77777777" w:rsidR="001042DA" w:rsidRPr="006B1A5A" w:rsidRDefault="001042DA" w:rsidP="00AF2AEA">
                  <w:r w:rsidRPr="006B1A5A">
                    <w:t>16</w:t>
                  </w:r>
                </w:p>
              </w:tc>
              <w:tc>
                <w:tcPr>
                  <w:tcW w:w="579" w:type="dxa"/>
                </w:tcPr>
                <w:p w14:paraId="3BD63B95" w14:textId="77777777" w:rsidR="001042DA" w:rsidRPr="006B1A5A" w:rsidRDefault="001042DA" w:rsidP="00AF2AEA">
                  <w:r w:rsidRPr="006B1A5A">
                    <w:t>15</w:t>
                  </w:r>
                </w:p>
              </w:tc>
              <w:tc>
                <w:tcPr>
                  <w:tcW w:w="580" w:type="dxa"/>
                </w:tcPr>
                <w:p w14:paraId="24B88930" w14:textId="77777777" w:rsidR="001042DA" w:rsidRPr="006B1A5A" w:rsidRDefault="001042DA" w:rsidP="00AF2AEA">
                  <w:r w:rsidRPr="006B1A5A">
                    <w:t>14</w:t>
                  </w:r>
                </w:p>
              </w:tc>
            </w:tr>
          </w:tbl>
          <w:p w14:paraId="3315B075" w14:textId="77777777" w:rsidR="001042DA" w:rsidRPr="006B1A5A" w:rsidRDefault="001042DA" w:rsidP="00AF2AEA">
            <w:pPr>
              <w:rPr>
                <w:rFonts w:eastAsiaTheme="minorHAnsi" w:cs="Times-Roman"/>
                <w:lang w:eastAsia="en-US"/>
              </w:rPr>
            </w:pPr>
          </w:p>
          <w:p w14:paraId="621F56E9" w14:textId="77777777" w:rsidR="001042DA" w:rsidRPr="006B1A5A" w:rsidRDefault="001042DA" w:rsidP="00AF2AEA">
            <w:r w:rsidRPr="006B1A5A">
              <w:rPr>
                <w:rFonts w:eastAsiaTheme="minorHAnsi" w:cs="Times-Roman"/>
                <w:lang w:eastAsia="en-US"/>
              </w:rPr>
              <w:t xml:space="preserve">T= 12 months: </w:t>
            </w:r>
          </w:p>
          <w:tbl>
            <w:tblPr>
              <w:tblStyle w:val="Tabellrutenett"/>
              <w:tblW w:w="0" w:type="auto"/>
              <w:tblLayout w:type="fixed"/>
              <w:tblLook w:val="04A0" w:firstRow="1" w:lastRow="0" w:firstColumn="1" w:lastColumn="0" w:noHBand="0" w:noVBand="1"/>
            </w:tblPr>
            <w:tblGrid>
              <w:gridCol w:w="579"/>
              <w:gridCol w:w="579"/>
              <w:gridCol w:w="580"/>
              <w:gridCol w:w="579"/>
              <w:gridCol w:w="580"/>
            </w:tblGrid>
            <w:tr w:rsidR="001042DA" w:rsidRPr="006B1A5A" w14:paraId="5DB9D1A7" w14:textId="77777777" w:rsidTr="00AF2AEA">
              <w:tc>
                <w:tcPr>
                  <w:tcW w:w="579" w:type="dxa"/>
                  <w:shd w:val="clear" w:color="auto" w:fill="FFFFFF" w:themeFill="background1"/>
                </w:tcPr>
                <w:p w14:paraId="675623C0" w14:textId="77777777" w:rsidR="001042DA" w:rsidRPr="006B1A5A" w:rsidRDefault="001042DA" w:rsidP="00AF2AEA">
                  <w:r w:rsidRPr="006B1A5A">
                    <w:t>T=0s</w:t>
                  </w:r>
                </w:p>
              </w:tc>
              <w:tc>
                <w:tcPr>
                  <w:tcW w:w="579" w:type="dxa"/>
                  <w:shd w:val="clear" w:color="auto" w:fill="FFFFFF" w:themeFill="background1"/>
                </w:tcPr>
                <w:p w14:paraId="6EA6674C" w14:textId="77777777" w:rsidR="001042DA" w:rsidRPr="006B1A5A" w:rsidRDefault="001042DA" w:rsidP="00AF2AEA">
                  <w:r w:rsidRPr="006B1A5A">
                    <w:t>T=10s</w:t>
                  </w:r>
                </w:p>
              </w:tc>
              <w:tc>
                <w:tcPr>
                  <w:tcW w:w="580" w:type="dxa"/>
                  <w:shd w:val="clear" w:color="auto" w:fill="FFFFFF" w:themeFill="background1"/>
                </w:tcPr>
                <w:p w14:paraId="00D5B3B1" w14:textId="77777777" w:rsidR="001042DA" w:rsidRPr="006B1A5A" w:rsidRDefault="001042DA" w:rsidP="00AF2AEA">
                  <w:r w:rsidRPr="006B1A5A">
                    <w:t>T=60s</w:t>
                  </w:r>
                </w:p>
              </w:tc>
              <w:tc>
                <w:tcPr>
                  <w:tcW w:w="579" w:type="dxa"/>
                  <w:shd w:val="clear" w:color="auto" w:fill="FFFFFF" w:themeFill="background1"/>
                </w:tcPr>
                <w:p w14:paraId="215B4221" w14:textId="77777777" w:rsidR="001042DA" w:rsidRPr="006B1A5A" w:rsidRDefault="001042DA" w:rsidP="00AF2AEA">
                  <w:r w:rsidRPr="006B1A5A">
                    <w:t>T=180s</w:t>
                  </w:r>
                </w:p>
              </w:tc>
              <w:tc>
                <w:tcPr>
                  <w:tcW w:w="580" w:type="dxa"/>
                  <w:shd w:val="clear" w:color="auto" w:fill="FFFFFF" w:themeFill="background1"/>
                </w:tcPr>
                <w:p w14:paraId="4504A1A3" w14:textId="77777777" w:rsidR="001042DA" w:rsidRPr="006B1A5A" w:rsidRDefault="001042DA" w:rsidP="00AF2AEA">
                  <w:r w:rsidRPr="006B1A5A">
                    <w:t>T=720s</w:t>
                  </w:r>
                </w:p>
              </w:tc>
            </w:tr>
            <w:tr w:rsidR="001042DA" w:rsidRPr="006B1A5A" w14:paraId="2CF1EB1A" w14:textId="77777777" w:rsidTr="00AF2AEA">
              <w:tc>
                <w:tcPr>
                  <w:tcW w:w="579" w:type="dxa"/>
                  <w:shd w:val="clear" w:color="auto" w:fill="FFFFFF" w:themeFill="background1"/>
                </w:tcPr>
                <w:p w14:paraId="3CACD753" w14:textId="77777777" w:rsidR="001042DA" w:rsidRPr="006B1A5A" w:rsidRDefault="001042DA" w:rsidP="00AF2AEA">
                  <w:r w:rsidRPr="006B1A5A">
                    <w:t>25</w:t>
                  </w:r>
                </w:p>
              </w:tc>
              <w:tc>
                <w:tcPr>
                  <w:tcW w:w="579" w:type="dxa"/>
                  <w:shd w:val="clear" w:color="auto" w:fill="FFFFFF" w:themeFill="background1"/>
                </w:tcPr>
                <w:p w14:paraId="4DCD54F5" w14:textId="77777777" w:rsidR="001042DA" w:rsidRPr="006B1A5A" w:rsidRDefault="001042DA" w:rsidP="00AF2AEA">
                  <w:r w:rsidRPr="006B1A5A">
                    <w:t>24</w:t>
                  </w:r>
                </w:p>
              </w:tc>
              <w:tc>
                <w:tcPr>
                  <w:tcW w:w="580" w:type="dxa"/>
                  <w:shd w:val="clear" w:color="auto" w:fill="FFFFFF" w:themeFill="background1"/>
                </w:tcPr>
                <w:p w14:paraId="5941119F" w14:textId="77777777" w:rsidR="001042DA" w:rsidRPr="006B1A5A" w:rsidRDefault="001042DA" w:rsidP="00AF2AEA">
                  <w:r w:rsidRPr="006B1A5A">
                    <w:t>23</w:t>
                  </w:r>
                </w:p>
              </w:tc>
              <w:tc>
                <w:tcPr>
                  <w:tcW w:w="579" w:type="dxa"/>
                  <w:shd w:val="clear" w:color="auto" w:fill="FFFFFF" w:themeFill="background1"/>
                </w:tcPr>
                <w:p w14:paraId="304DD9B4" w14:textId="77777777" w:rsidR="001042DA" w:rsidRPr="006B1A5A" w:rsidRDefault="001042DA" w:rsidP="00AF2AEA">
                  <w:r w:rsidRPr="006B1A5A">
                    <w:t>23</w:t>
                  </w:r>
                </w:p>
              </w:tc>
              <w:tc>
                <w:tcPr>
                  <w:tcW w:w="580" w:type="dxa"/>
                  <w:shd w:val="clear" w:color="auto" w:fill="FFFFFF" w:themeFill="background1"/>
                </w:tcPr>
                <w:p w14:paraId="35A5992C" w14:textId="77777777" w:rsidR="001042DA" w:rsidRPr="006B1A5A" w:rsidRDefault="001042DA" w:rsidP="00AF2AEA">
                  <w:r w:rsidRPr="006B1A5A">
                    <w:t>20</w:t>
                  </w:r>
                </w:p>
              </w:tc>
            </w:tr>
          </w:tbl>
          <w:p w14:paraId="57D50E2C" w14:textId="77777777" w:rsidR="001042DA" w:rsidRPr="006B1A5A" w:rsidRDefault="001042DA" w:rsidP="00AF2AEA"/>
          <w:p w14:paraId="238DA400" w14:textId="77777777" w:rsidR="001042DA" w:rsidRPr="006B1A5A" w:rsidRDefault="001042DA" w:rsidP="00AF2AEA"/>
          <w:p w14:paraId="0BD94AB3" w14:textId="77777777" w:rsidR="001042DA" w:rsidRPr="006B1A5A" w:rsidRDefault="001042DA" w:rsidP="00AF2AEA"/>
        </w:tc>
        <w:tc>
          <w:tcPr>
            <w:tcW w:w="1843" w:type="dxa"/>
          </w:tcPr>
          <w:p w14:paraId="2A137F6F" w14:textId="77777777" w:rsidR="001042DA" w:rsidRPr="006B1A5A" w:rsidRDefault="001042DA" w:rsidP="00AF2AEA">
            <w:pPr>
              <w:rPr>
                <w:rFonts w:eastAsiaTheme="minorHAnsi" w:cs="Times-Roman"/>
                <w:lang w:eastAsia="en-US"/>
              </w:rPr>
            </w:pPr>
          </w:p>
          <w:p w14:paraId="490C86F6" w14:textId="77777777" w:rsidR="001042DA" w:rsidRPr="006B1A5A" w:rsidRDefault="001042DA" w:rsidP="00AF2AEA">
            <w:pPr>
              <w:rPr>
                <w:rFonts w:eastAsia="Calibri"/>
              </w:rPr>
            </w:pPr>
            <w:r w:rsidRPr="006B1A5A">
              <w:t xml:space="preserve">Interim report 6 months AquaNet HG360, 2018, </w:t>
            </w:r>
            <w:r w:rsidRPr="006B1A5A">
              <w:rPr>
                <w:rFonts w:eastAsia="Calibri"/>
              </w:rPr>
              <w:t>report number 7P04987-02</w:t>
            </w:r>
          </w:p>
          <w:p w14:paraId="00A269B5" w14:textId="77777777" w:rsidR="001042DA" w:rsidRPr="006B1A5A" w:rsidRDefault="001042DA" w:rsidP="00AF2AEA">
            <w:pPr>
              <w:rPr>
                <w:rFonts w:eastAsia="Calibri"/>
              </w:rPr>
            </w:pPr>
          </w:p>
          <w:p w14:paraId="71BDEC2A" w14:textId="77777777" w:rsidR="001042DA" w:rsidRPr="006B1A5A" w:rsidRDefault="001042DA" w:rsidP="00AF2AEA">
            <w:r w:rsidRPr="006B1A5A">
              <w:t xml:space="preserve">Final report 12 months AquaNet HG360, 2018, </w:t>
            </w:r>
            <w:r w:rsidRPr="006B1A5A">
              <w:rPr>
                <w:rFonts w:eastAsia="Calibri"/>
              </w:rPr>
              <w:t>report number 7P04987-02b</w:t>
            </w:r>
          </w:p>
        </w:tc>
      </w:tr>
      <w:tr w:rsidR="001042DA" w:rsidRPr="006B1A5A" w14:paraId="2AE64348" w14:textId="77777777" w:rsidTr="00A4165F">
        <w:tc>
          <w:tcPr>
            <w:tcW w:w="2270" w:type="dxa"/>
          </w:tcPr>
          <w:p w14:paraId="64FC756A" w14:textId="77777777" w:rsidR="001042DA" w:rsidRPr="006B1A5A" w:rsidRDefault="001042DA" w:rsidP="00AF2AEA">
            <w:pPr>
              <w:rPr>
                <w:rFonts w:eastAsia="Calibri"/>
              </w:rPr>
            </w:pPr>
            <w:r w:rsidRPr="006B1A5A">
              <w:rPr>
                <w:rFonts w:eastAsia="Calibri"/>
              </w:rPr>
              <w:t>Flowability/Poura-bility/Dustability</w:t>
            </w:r>
          </w:p>
        </w:tc>
        <w:tc>
          <w:tcPr>
            <w:tcW w:w="2120" w:type="dxa"/>
          </w:tcPr>
          <w:p w14:paraId="44314810" w14:textId="77777777" w:rsidR="001042DA" w:rsidRPr="006B1A5A" w:rsidRDefault="001042DA" w:rsidP="00AF2AEA">
            <w:pPr>
              <w:rPr>
                <w:rFonts w:eastAsia="Calibri"/>
              </w:rPr>
            </w:pPr>
            <w:r w:rsidRPr="006B1A5A">
              <w:rPr>
                <w:rFonts w:eastAsiaTheme="minorHAnsi" w:cs="Times-Roman"/>
                <w:lang w:eastAsia="en-US"/>
              </w:rPr>
              <w:t>CIPAC MT 148</w:t>
            </w:r>
          </w:p>
        </w:tc>
        <w:tc>
          <w:tcPr>
            <w:tcW w:w="3260" w:type="dxa"/>
          </w:tcPr>
          <w:p w14:paraId="31A65E83" w14:textId="77777777" w:rsidR="001042DA" w:rsidRPr="006B1A5A" w:rsidRDefault="001042DA" w:rsidP="00AF2AEA">
            <w:pPr>
              <w:rPr>
                <w:rFonts w:eastAsia="Calibri"/>
              </w:rPr>
            </w:pPr>
            <w:r w:rsidRPr="006B1A5A">
              <w:rPr>
                <w:rFonts w:eastAsia="Calibri"/>
              </w:rPr>
              <w:t>T=0 months:</w:t>
            </w:r>
          </w:p>
          <w:p w14:paraId="5684931E" w14:textId="77777777" w:rsidR="001042DA" w:rsidRPr="006B1A5A" w:rsidRDefault="001042DA" w:rsidP="00AF2AEA">
            <w:pPr>
              <w:rPr>
                <w:rFonts w:eastAsia="Calibri"/>
              </w:rPr>
            </w:pPr>
            <w:r w:rsidRPr="006B1A5A">
              <w:rPr>
                <w:rFonts w:eastAsia="Calibri"/>
              </w:rPr>
              <w:t>Pourability= 4.77%</w:t>
            </w:r>
          </w:p>
          <w:p w14:paraId="370CC356" w14:textId="77777777" w:rsidR="001042DA" w:rsidRPr="006B1A5A" w:rsidRDefault="001042DA" w:rsidP="00AF2AEA">
            <w:pPr>
              <w:rPr>
                <w:rFonts w:eastAsia="Calibri"/>
              </w:rPr>
            </w:pPr>
            <w:r w:rsidRPr="006B1A5A">
              <w:rPr>
                <w:rFonts w:eastAsia="Calibri"/>
              </w:rPr>
              <w:t>Rinsability= 3.90%*</w:t>
            </w:r>
          </w:p>
          <w:p w14:paraId="7FAE811F" w14:textId="77777777" w:rsidR="001042DA" w:rsidRPr="006B1A5A" w:rsidRDefault="001042DA" w:rsidP="00AF2AEA">
            <w:pPr>
              <w:rPr>
                <w:rFonts w:eastAsiaTheme="minorHAnsi" w:cs="Times-Roman"/>
                <w:lang w:eastAsia="en-US"/>
              </w:rPr>
            </w:pPr>
          </w:p>
          <w:p w14:paraId="649C7C05" w14:textId="77777777" w:rsidR="001042DA" w:rsidRPr="006B1A5A" w:rsidRDefault="001042DA" w:rsidP="00AF2AEA">
            <w:r w:rsidRPr="006B1A5A">
              <w:rPr>
                <w:rFonts w:eastAsiaTheme="minorHAnsi" w:cs="Times-Roman"/>
                <w:lang w:eastAsia="en-US"/>
              </w:rPr>
              <w:t>Results at 6 months:</w:t>
            </w:r>
          </w:p>
          <w:p w14:paraId="624EAC19" w14:textId="77777777" w:rsidR="001042DA" w:rsidRPr="006B1A5A" w:rsidRDefault="001042DA" w:rsidP="00AF2AEA">
            <w:pPr>
              <w:rPr>
                <w:rFonts w:eastAsia="Calibri"/>
              </w:rPr>
            </w:pPr>
            <w:r w:rsidRPr="006B1A5A">
              <w:rPr>
                <w:rFonts w:eastAsia="Calibri"/>
              </w:rPr>
              <w:t>Pourability= 4.61%</w:t>
            </w:r>
          </w:p>
          <w:p w14:paraId="7F2D2494" w14:textId="77777777" w:rsidR="001042DA" w:rsidRPr="006B1A5A" w:rsidRDefault="001042DA" w:rsidP="00AF2AEA">
            <w:pPr>
              <w:rPr>
                <w:rFonts w:eastAsia="Calibri"/>
              </w:rPr>
            </w:pPr>
            <w:r w:rsidRPr="006B1A5A">
              <w:rPr>
                <w:rFonts w:eastAsia="Calibri"/>
              </w:rPr>
              <w:t>Rinsability= 3.63%*</w:t>
            </w:r>
          </w:p>
          <w:p w14:paraId="01E13862" w14:textId="77777777" w:rsidR="001042DA" w:rsidRPr="006B1A5A" w:rsidRDefault="001042DA" w:rsidP="00AF2AEA">
            <w:pPr>
              <w:rPr>
                <w:rFonts w:eastAsia="Calibri"/>
              </w:rPr>
            </w:pPr>
          </w:p>
          <w:p w14:paraId="383CA965" w14:textId="77777777" w:rsidR="001042DA" w:rsidRPr="006B1A5A" w:rsidRDefault="001042DA" w:rsidP="00AF2AEA">
            <w:r w:rsidRPr="006B1A5A">
              <w:rPr>
                <w:rFonts w:eastAsiaTheme="minorHAnsi" w:cs="Times-Roman"/>
                <w:lang w:eastAsia="en-US"/>
              </w:rPr>
              <w:t>Results at 12 months:</w:t>
            </w:r>
          </w:p>
          <w:p w14:paraId="0A3B5E77" w14:textId="77777777" w:rsidR="001042DA" w:rsidRPr="006B1A5A" w:rsidRDefault="001042DA" w:rsidP="00AF2AEA">
            <w:pPr>
              <w:rPr>
                <w:rFonts w:eastAsia="Calibri"/>
              </w:rPr>
            </w:pPr>
            <w:r w:rsidRPr="006B1A5A">
              <w:rPr>
                <w:rFonts w:eastAsia="Calibri"/>
              </w:rPr>
              <w:lastRenderedPageBreak/>
              <w:t>Pourability= 5.91%*</w:t>
            </w:r>
          </w:p>
          <w:p w14:paraId="22A3AC63" w14:textId="77777777" w:rsidR="001042DA" w:rsidRPr="006B1A5A" w:rsidRDefault="001042DA" w:rsidP="00AF2AEA">
            <w:pPr>
              <w:rPr>
                <w:rFonts w:eastAsia="Calibri"/>
              </w:rPr>
            </w:pPr>
            <w:r w:rsidRPr="006B1A5A">
              <w:rPr>
                <w:rFonts w:eastAsia="Calibri"/>
              </w:rPr>
              <w:t>Rinsability= 4.29%*</w:t>
            </w:r>
          </w:p>
          <w:p w14:paraId="7C190B6E" w14:textId="77777777" w:rsidR="001042DA" w:rsidRPr="006B1A5A" w:rsidRDefault="001042DA" w:rsidP="00AF2AEA">
            <w:pPr>
              <w:rPr>
                <w:rFonts w:eastAsiaTheme="minorHAnsi" w:cs="Times-Roman"/>
                <w:lang w:eastAsia="en-US"/>
              </w:rPr>
            </w:pPr>
            <w:r w:rsidRPr="006B1A5A">
              <w:rPr>
                <w:rFonts w:eastAsia="Calibri"/>
              </w:rPr>
              <w:t xml:space="preserve">  .</w:t>
            </w:r>
            <w:r w:rsidRPr="006B1A5A">
              <w:rPr>
                <w:rFonts w:eastAsiaTheme="minorHAnsi" w:cs="Times-Roman"/>
                <w:lang w:eastAsia="en-US"/>
              </w:rPr>
              <w:t xml:space="preserve"> </w:t>
            </w:r>
          </w:p>
          <w:p w14:paraId="67D88760" w14:textId="77777777" w:rsidR="001042DA" w:rsidRPr="006B1A5A" w:rsidRDefault="001042DA" w:rsidP="00AF2AEA">
            <w:pPr>
              <w:rPr>
                <w:rFonts w:eastAsia="Calibri"/>
              </w:rPr>
            </w:pPr>
            <w:r w:rsidRPr="006B1A5A">
              <w:rPr>
                <w:rFonts w:eastAsia="Calibri"/>
              </w:rPr>
              <w:t>*See comments in the conclusions section</w:t>
            </w:r>
          </w:p>
        </w:tc>
        <w:tc>
          <w:tcPr>
            <w:tcW w:w="1843" w:type="dxa"/>
          </w:tcPr>
          <w:p w14:paraId="78CE56FF" w14:textId="77777777" w:rsidR="001042DA" w:rsidRPr="006B1A5A" w:rsidRDefault="001042DA" w:rsidP="00AF2AEA">
            <w:pPr>
              <w:rPr>
                <w:rFonts w:eastAsia="Calibri"/>
              </w:rPr>
            </w:pPr>
            <w:r w:rsidRPr="006B1A5A">
              <w:lastRenderedPageBreak/>
              <w:t xml:space="preserve">Interim report 6 months AquaNet HG360, 2018, </w:t>
            </w:r>
            <w:r w:rsidRPr="006B1A5A">
              <w:rPr>
                <w:rFonts w:eastAsia="Calibri"/>
              </w:rPr>
              <w:t>report number 7P04987-02</w:t>
            </w:r>
          </w:p>
          <w:p w14:paraId="1EEC6EC6" w14:textId="77777777" w:rsidR="001042DA" w:rsidRPr="006B1A5A" w:rsidRDefault="001042DA" w:rsidP="00AF2AEA">
            <w:pPr>
              <w:rPr>
                <w:rFonts w:eastAsia="Calibri"/>
              </w:rPr>
            </w:pPr>
          </w:p>
          <w:p w14:paraId="6F625866" w14:textId="77777777" w:rsidR="001042DA" w:rsidRPr="006B1A5A" w:rsidRDefault="001042DA" w:rsidP="00AF2AEA">
            <w:r w:rsidRPr="006B1A5A">
              <w:t xml:space="preserve">Final report 12 months AquaNet HG360, 2018, </w:t>
            </w:r>
            <w:r w:rsidRPr="006B1A5A">
              <w:rPr>
                <w:rFonts w:eastAsia="Calibri"/>
              </w:rPr>
              <w:lastRenderedPageBreak/>
              <w:t>report number 7P04987-02b</w:t>
            </w:r>
          </w:p>
        </w:tc>
      </w:tr>
      <w:tr w:rsidR="001042DA" w:rsidRPr="006B1A5A" w14:paraId="26A75B26" w14:textId="77777777" w:rsidTr="00AF2AEA">
        <w:tc>
          <w:tcPr>
            <w:tcW w:w="2270" w:type="dxa"/>
          </w:tcPr>
          <w:p w14:paraId="5EAFEF4E" w14:textId="77777777" w:rsidR="001042DA" w:rsidRPr="006B1A5A" w:rsidRDefault="001042DA" w:rsidP="00AF2AEA">
            <w:pPr>
              <w:rPr>
                <w:rFonts w:eastAsia="Calibri"/>
              </w:rPr>
            </w:pPr>
            <w:r w:rsidRPr="006B1A5A">
              <w:rPr>
                <w:rFonts w:eastAsia="Calibri"/>
              </w:rPr>
              <w:lastRenderedPageBreak/>
              <w:t>Burning rate — smoke generators</w:t>
            </w:r>
          </w:p>
        </w:tc>
        <w:tc>
          <w:tcPr>
            <w:tcW w:w="7223" w:type="dxa"/>
            <w:gridSpan w:val="3"/>
          </w:tcPr>
          <w:p w14:paraId="1E7C6E7C" w14:textId="77777777" w:rsidR="001042DA" w:rsidRPr="006B1A5A" w:rsidRDefault="001042DA" w:rsidP="00AF2AEA">
            <w:pPr>
              <w:rPr>
                <w:rFonts w:eastAsia="Calibri"/>
              </w:rPr>
            </w:pPr>
            <w:r w:rsidRPr="006B1A5A">
              <w:rPr>
                <w:rFonts w:eastAsia="Calibri"/>
              </w:rPr>
              <w:t>Not performed as not relevant for this product</w:t>
            </w:r>
          </w:p>
        </w:tc>
      </w:tr>
      <w:tr w:rsidR="001042DA" w:rsidRPr="006B1A5A" w14:paraId="7C9BD1BF" w14:textId="77777777" w:rsidTr="00AF2AEA">
        <w:tc>
          <w:tcPr>
            <w:tcW w:w="2270" w:type="dxa"/>
          </w:tcPr>
          <w:p w14:paraId="7D607AF2" w14:textId="77777777" w:rsidR="001042DA" w:rsidRPr="006B1A5A" w:rsidRDefault="001042DA" w:rsidP="00AF2AEA">
            <w:pPr>
              <w:rPr>
                <w:rFonts w:eastAsia="Calibri"/>
              </w:rPr>
            </w:pPr>
            <w:r w:rsidRPr="006B1A5A">
              <w:rPr>
                <w:rFonts w:eastAsia="Calibri"/>
              </w:rPr>
              <w:t>Burning completeness — smoke generators</w:t>
            </w:r>
          </w:p>
        </w:tc>
        <w:tc>
          <w:tcPr>
            <w:tcW w:w="7223" w:type="dxa"/>
            <w:gridSpan w:val="3"/>
          </w:tcPr>
          <w:p w14:paraId="79599451" w14:textId="77777777" w:rsidR="001042DA" w:rsidRPr="006B1A5A" w:rsidRDefault="001042DA" w:rsidP="00AF2AEA">
            <w:pPr>
              <w:rPr>
                <w:rFonts w:eastAsia="Calibri"/>
              </w:rPr>
            </w:pPr>
            <w:r w:rsidRPr="006B1A5A">
              <w:rPr>
                <w:rFonts w:eastAsia="Calibri"/>
              </w:rPr>
              <w:t>Not performed as not relevant for this product</w:t>
            </w:r>
          </w:p>
        </w:tc>
      </w:tr>
      <w:tr w:rsidR="001042DA" w:rsidRPr="006B1A5A" w14:paraId="331F584D" w14:textId="77777777" w:rsidTr="00AF2AEA">
        <w:tc>
          <w:tcPr>
            <w:tcW w:w="2270" w:type="dxa"/>
          </w:tcPr>
          <w:p w14:paraId="00CA8301" w14:textId="77777777" w:rsidR="001042DA" w:rsidRPr="006B1A5A" w:rsidRDefault="001042DA" w:rsidP="00AF2AEA">
            <w:pPr>
              <w:rPr>
                <w:rFonts w:eastAsia="Calibri"/>
              </w:rPr>
            </w:pPr>
            <w:r w:rsidRPr="006B1A5A">
              <w:rPr>
                <w:rFonts w:eastAsia="Calibri"/>
              </w:rPr>
              <w:t>Composition of smoke — smoke generators</w:t>
            </w:r>
          </w:p>
        </w:tc>
        <w:tc>
          <w:tcPr>
            <w:tcW w:w="7223" w:type="dxa"/>
            <w:gridSpan w:val="3"/>
          </w:tcPr>
          <w:p w14:paraId="74105F27" w14:textId="77777777" w:rsidR="001042DA" w:rsidRPr="006B1A5A" w:rsidRDefault="001042DA" w:rsidP="00AF2AEA">
            <w:pPr>
              <w:rPr>
                <w:rFonts w:eastAsia="Calibri"/>
              </w:rPr>
            </w:pPr>
            <w:r w:rsidRPr="006B1A5A">
              <w:rPr>
                <w:rFonts w:eastAsia="Calibri"/>
              </w:rPr>
              <w:t>Not performed as not relevant for this product</w:t>
            </w:r>
          </w:p>
        </w:tc>
      </w:tr>
      <w:tr w:rsidR="001042DA" w:rsidRPr="006B1A5A" w14:paraId="679C174D" w14:textId="77777777" w:rsidTr="00AF2AEA">
        <w:tc>
          <w:tcPr>
            <w:tcW w:w="2270" w:type="dxa"/>
          </w:tcPr>
          <w:p w14:paraId="548B4E06" w14:textId="77777777" w:rsidR="001042DA" w:rsidRPr="006B1A5A" w:rsidRDefault="001042DA" w:rsidP="00AF2AEA">
            <w:pPr>
              <w:rPr>
                <w:rFonts w:eastAsia="Calibri"/>
              </w:rPr>
            </w:pPr>
            <w:r w:rsidRPr="006B1A5A">
              <w:rPr>
                <w:rFonts w:eastAsia="Calibri"/>
              </w:rPr>
              <w:t>Spraying pattern — aerosols</w:t>
            </w:r>
          </w:p>
        </w:tc>
        <w:tc>
          <w:tcPr>
            <w:tcW w:w="7223" w:type="dxa"/>
            <w:gridSpan w:val="3"/>
          </w:tcPr>
          <w:p w14:paraId="7F3D2407" w14:textId="77777777" w:rsidR="001042DA" w:rsidRPr="006B1A5A" w:rsidRDefault="001042DA" w:rsidP="00AF2AEA">
            <w:pPr>
              <w:rPr>
                <w:rFonts w:eastAsia="Calibri"/>
              </w:rPr>
            </w:pPr>
            <w:r w:rsidRPr="006B1A5A">
              <w:rPr>
                <w:rFonts w:eastAsia="Calibri"/>
              </w:rPr>
              <w:t>Not performed as not relevant for this product</w:t>
            </w:r>
          </w:p>
        </w:tc>
      </w:tr>
      <w:tr w:rsidR="001042DA" w:rsidRPr="006B1A5A" w14:paraId="15F307AD" w14:textId="77777777" w:rsidTr="00AF2AEA">
        <w:tc>
          <w:tcPr>
            <w:tcW w:w="2270" w:type="dxa"/>
          </w:tcPr>
          <w:p w14:paraId="6A36E16D" w14:textId="77777777" w:rsidR="001042DA" w:rsidRPr="006B1A5A" w:rsidRDefault="001042DA" w:rsidP="00AF2AEA">
            <w:pPr>
              <w:rPr>
                <w:rFonts w:eastAsia="Calibri"/>
              </w:rPr>
            </w:pPr>
            <w:r w:rsidRPr="006B1A5A">
              <w:rPr>
                <w:rFonts w:eastAsia="Calibri"/>
              </w:rPr>
              <w:t>Physical compatibility</w:t>
            </w:r>
          </w:p>
        </w:tc>
        <w:tc>
          <w:tcPr>
            <w:tcW w:w="7223" w:type="dxa"/>
            <w:gridSpan w:val="3"/>
          </w:tcPr>
          <w:p w14:paraId="5673077C" w14:textId="77777777" w:rsidR="001042DA" w:rsidRPr="006B1A5A" w:rsidRDefault="001042DA" w:rsidP="00AF2AEA">
            <w:r w:rsidRPr="006B1A5A">
              <w:rPr>
                <w:rFonts w:eastAsia="Calibri"/>
              </w:rPr>
              <w:t>AquaNet HG360 is intended to be used as dipping product. Therefore, no physical constraint is expected. This study is considered as not relevant for this product</w:t>
            </w:r>
          </w:p>
        </w:tc>
      </w:tr>
      <w:tr w:rsidR="001042DA" w:rsidRPr="006B1A5A" w14:paraId="10181A59" w14:textId="77777777" w:rsidTr="00AF2AEA">
        <w:tc>
          <w:tcPr>
            <w:tcW w:w="2270" w:type="dxa"/>
          </w:tcPr>
          <w:p w14:paraId="277A3358" w14:textId="77777777" w:rsidR="001042DA" w:rsidRPr="006B1A5A" w:rsidRDefault="001042DA" w:rsidP="00AF2AEA">
            <w:pPr>
              <w:rPr>
                <w:rFonts w:eastAsia="Calibri"/>
              </w:rPr>
            </w:pPr>
            <w:r w:rsidRPr="006B1A5A">
              <w:rPr>
                <w:rFonts w:eastAsia="Calibri"/>
              </w:rPr>
              <w:t>Chemical compatibility</w:t>
            </w:r>
          </w:p>
        </w:tc>
        <w:tc>
          <w:tcPr>
            <w:tcW w:w="7223" w:type="dxa"/>
            <w:gridSpan w:val="3"/>
          </w:tcPr>
          <w:p w14:paraId="161072FD" w14:textId="77777777" w:rsidR="001042DA" w:rsidRPr="006B1A5A" w:rsidRDefault="001042DA" w:rsidP="00AF2AEA">
            <w:r w:rsidRPr="006B1A5A">
              <w:rPr>
                <w:rFonts w:eastAsia="Calibri"/>
              </w:rPr>
              <w:t>The product is not intended to be mixed with other chemical product. The study is therefore not considered as relevant for this product.</w:t>
            </w:r>
          </w:p>
        </w:tc>
      </w:tr>
      <w:tr w:rsidR="001042DA" w:rsidRPr="006B1A5A" w14:paraId="696EFBD5" w14:textId="77777777" w:rsidTr="00AF2AEA">
        <w:tc>
          <w:tcPr>
            <w:tcW w:w="2270" w:type="dxa"/>
          </w:tcPr>
          <w:p w14:paraId="07B771EC" w14:textId="77777777" w:rsidR="001042DA" w:rsidRPr="006B1A5A" w:rsidRDefault="001042DA" w:rsidP="00AF2AEA">
            <w:pPr>
              <w:rPr>
                <w:rFonts w:eastAsia="Calibri"/>
              </w:rPr>
            </w:pPr>
            <w:r w:rsidRPr="006B1A5A">
              <w:rPr>
                <w:rFonts w:eastAsia="Calibri"/>
              </w:rPr>
              <w:t>Degree of dissolution and dilution stability</w:t>
            </w:r>
          </w:p>
        </w:tc>
        <w:tc>
          <w:tcPr>
            <w:tcW w:w="7223" w:type="dxa"/>
            <w:gridSpan w:val="3"/>
          </w:tcPr>
          <w:p w14:paraId="239A16F2" w14:textId="77777777" w:rsidR="001042DA" w:rsidRPr="006B1A5A" w:rsidRDefault="001042DA" w:rsidP="00AF2AEA">
            <w:r w:rsidRPr="006B1A5A">
              <w:rPr>
                <w:rFonts w:eastAsia="Calibri"/>
              </w:rPr>
              <w:t>Not performed as not relevant for this product</w:t>
            </w:r>
          </w:p>
        </w:tc>
      </w:tr>
      <w:tr w:rsidR="001042DA" w:rsidRPr="006B1A5A" w14:paraId="2B084213" w14:textId="77777777" w:rsidTr="00AF2AEA">
        <w:trPr>
          <w:cantSplit/>
        </w:trPr>
        <w:tc>
          <w:tcPr>
            <w:tcW w:w="2270" w:type="dxa"/>
          </w:tcPr>
          <w:p w14:paraId="61C003E0" w14:textId="77777777" w:rsidR="001042DA" w:rsidRPr="006B1A5A" w:rsidRDefault="001042DA" w:rsidP="00AF2AEA">
            <w:pPr>
              <w:rPr>
                <w:rFonts w:eastAsia="Calibri"/>
              </w:rPr>
            </w:pPr>
            <w:r w:rsidRPr="006B1A5A">
              <w:rPr>
                <w:rFonts w:eastAsia="Calibri"/>
              </w:rPr>
              <w:t>Surface tension</w:t>
            </w:r>
          </w:p>
        </w:tc>
        <w:tc>
          <w:tcPr>
            <w:tcW w:w="2120" w:type="dxa"/>
          </w:tcPr>
          <w:p w14:paraId="1E619EFD" w14:textId="5AB15693" w:rsidR="001042DA" w:rsidRPr="006B1A5A" w:rsidRDefault="005F4606" w:rsidP="00AF2AEA">
            <w:pPr>
              <w:rPr>
                <w:rFonts w:eastAsia="Calibri"/>
              </w:rPr>
            </w:pPr>
            <w:r>
              <w:rPr>
                <w:rFonts w:eastAsiaTheme="minorHAnsi" w:cs="Times-Roman"/>
                <w:lang w:eastAsia="en-US"/>
              </w:rPr>
              <w:t>OECD 115</w:t>
            </w:r>
          </w:p>
        </w:tc>
        <w:tc>
          <w:tcPr>
            <w:tcW w:w="3260" w:type="dxa"/>
          </w:tcPr>
          <w:p w14:paraId="54632AFB" w14:textId="1CD74701" w:rsidR="001042DA" w:rsidRDefault="005F4606" w:rsidP="00AF2AEA">
            <w:pPr>
              <w:rPr>
                <w:rFonts w:eastAsia="Calibri"/>
              </w:rPr>
            </w:pPr>
            <w:r>
              <w:rPr>
                <w:rFonts w:eastAsia="Calibri"/>
              </w:rPr>
              <w:t>3859 mN/m (at 25</w:t>
            </w:r>
            <w:r w:rsidRPr="005F4606">
              <w:rPr>
                <w:rFonts w:eastAsia="Calibri"/>
                <w:vertAlign w:val="superscript"/>
              </w:rPr>
              <w:t>o</w:t>
            </w:r>
            <w:r>
              <w:rPr>
                <w:rFonts w:eastAsia="Calibri"/>
              </w:rPr>
              <w:t>C)</w:t>
            </w:r>
          </w:p>
          <w:p w14:paraId="73DE553F" w14:textId="77777777" w:rsidR="005F4606" w:rsidRDefault="005F4606" w:rsidP="00AF2AEA">
            <w:pPr>
              <w:rPr>
                <w:rFonts w:eastAsia="Calibri"/>
              </w:rPr>
            </w:pPr>
          </w:p>
          <w:p w14:paraId="4BEA3ED0" w14:textId="77777777" w:rsidR="005F4606" w:rsidRDefault="005F4606" w:rsidP="00AF2AEA">
            <w:pPr>
              <w:rPr>
                <w:rFonts w:eastAsia="Calibri"/>
              </w:rPr>
            </w:pPr>
          </w:p>
          <w:p w14:paraId="759D0C89" w14:textId="7B74D3B2" w:rsidR="005F4606" w:rsidRPr="006B1A5A" w:rsidRDefault="005F4606" w:rsidP="00AF2AEA">
            <w:pPr>
              <w:rPr>
                <w:rFonts w:eastAsia="Calibri"/>
              </w:rPr>
            </w:pPr>
          </w:p>
        </w:tc>
        <w:tc>
          <w:tcPr>
            <w:tcW w:w="1843" w:type="dxa"/>
          </w:tcPr>
          <w:p w14:paraId="24F6CC4C" w14:textId="059EFDC7" w:rsidR="001042DA" w:rsidRPr="006B1A5A" w:rsidRDefault="005F4606" w:rsidP="00AF2AEA">
            <w:r>
              <w:t>Salter 2020</w:t>
            </w:r>
          </w:p>
        </w:tc>
      </w:tr>
      <w:tr w:rsidR="001042DA" w:rsidRPr="006B1A5A" w14:paraId="248BA6DF" w14:textId="77777777" w:rsidTr="00AF2AEA">
        <w:trPr>
          <w:trHeight w:val="1027"/>
        </w:trPr>
        <w:tc>
          <w:tcPr>
            <w:tcW w:w="2270" w:type="dxa"/>
          </w:tcPr>
          <w:p w14:paraId="76DB8ACC" w14:textId="77777777" w:rsidR="001042DA" w:rsidRPr="006B1A5A" w:rsidRDefault="001042DA" w:rsidP="00AF2AEA">
            <w:pPr>
              <w:rPr>
                <w:rFonts w:eastAsia="Calibri"/>
              </w:rPr>
            </w:pPr>
            <w:r w:rsidRPr="006B1A5A">
              <w:rPr>
                <w:rFonts w:eastAsia="Calibri"/>
              </w:rPr>
              <w:t>Viscosity</w:t>
            </w:r>
          </w:p>
        </w:tc>
        <w:tc>
          <w:tcPr>
            <w:tcW w:w="2120" w:type="dxa"/>
          </w:tcPr>
          <w:p w14:paraId="5F68A147" w14:textId="77777777" w:rsidR="001042DA" w:rsidRPr="006B1A5A" w:rsidRDefault="001042DA" w:rsidP="00AF2AEA">
            <w:pPr>
              <w:rPr>
                <w:rFonts w:eastAsia="Calibri"/>
              </w:rPr>
            </w:pPr>
            <w:r w:rsidRPr="006B1A5A">
              <w:rPr>
                <w:rFonts w:eastAsiaTheme="minorHAnsi" w:cs="Times-Roman"/>
                <w:lang w:eastAsia="en-US"/>
              </w:rPr>
              <w:t>ISO 2431</w:t>
            </w:r>
          </w:p>
        </w:tc>
        <w:tc>
          <w:tcPr>
            <w:tcW w:w="3260" w:type="dxa"/>
          </w:tcPr>
          <w:p w14:paraId="4C0013A8" w14:textId="77777777" w:rsidR="001042DA" w:rsidRPr="006B1A5A" w:rsidRDefault="001042DA" w:rsidP="00AF2AEA">
            <w:r w:rsidRPr="006B1A5A">
              <w:t>T=0 months:</w:t>
            </w:r>
          </w:p>
          <w:tbl>
            <w:tblPr>
              <w:tblStyle w:val="Tabellrutenett"/>
              <w:tblW w:w="0" w:type="auto"/>
              <w:tblLayout w:type="fixed"/>
              <w:tblLook w:val="04A0" w:firstRow="1" w:lastRow="0" w:firstColumn="1" w:lastColumn="0" w:noHBand="0" w:noVBand="1"/>
            </w:tblPr>
            <w:tblGrid>
              <w:gridCol w:w="917"/>
              <w:gridCol w:w="917"/>
            </w:tblGrid>
            <w:tr w:rsidR="001042DA" w:rsidRPr="006B1A5A" w14:paraId="4712547D" w14:textId="77777777" w:rsidTr="00AF2AEA">
              <w:tc>
                <w:tcPr>
                  <w:tcW w:w="917" w:type="dxa"/>
                </w:tcPr>
                <w:p w14:paraId="39FEFF54" w14:textId="77777777" w:rsidR="001042DA" w:rsidRPr="006B1A5A" w:rsidRDefault="001042DA" w:rsidP="00AF2AEA">
                  <w:pPr>
                    <w:rPr>
                      <w:rFonts w:eastAsia="Calibri"/>
                    </w:rPr>
                  </w:pPr>
                  <w:r w:rsidRPr="006B1A5A">
                    <w:rPr>
                      <w:rFonts w:eastAsiaTheme="minorHAnsi" w:cs="Calibri"/>
                      <w:lang w:eastAsia="en-US"/>
                    </w:rPr>
                    <w:t>20°C Cup ISO 3</w:t>
                  </w:r>
                </w:p>
              </w:tc>
              <w:tc>
                <w:tcPr>
                  <w:tcW w:w="917" w:type="dxa"/>
                </w:tcPr>
                <w:p w14:paraId="0696178E" w14:textId="77777777" w:rsidR="001042DA" w:rsidRPr="006B1A5A" w:rsidRDefault="001042DA" w:rsidP="00AF2AEA">
                  <w:pPr>
                    <w:rPr>
                      <w:rFonts w:eastAsia="Calibri"/>
                    </w:rPr>
                  </w:pPr>
                  <w:r w:rsidRPr="006B1A5A">
                    <w:rPr>
                      <w:rFonts w:eastAsiaTheme="minorHAnsi" w:cs="Calibri"/>
                      <w:lang w:eastAsia="en-US"/>
                    </w:rPr>
                    <w:t>40°C Cup ISO 3</w:t>
                  </w:r>
                </w:p>
              </w:tc>
            </w:tr>
            <w:tr w:rsidR="001042DA" w:rsidRPr="006B1A5A" w14:paraId="76B2D5A7" w14:textId="77777777" w:rsidTr="00AF2AEA">
              <w:tc>
                <w:tcPr>
                  <w:tcW w:w="917" w:type="dxa"/>
                </w:tcPr>
                <w:p w14:paraId="25401834" w14:textId="77777777" w:rsidR="001042DA" w:rsidRPr="006B1A5A" w:rsidRDefault="001042DA" w:rsidP="00AF2AEA">
                  <w:pPr>
                    <w:rPr>
                      <w:rFonts w:eastAsia="Calibri"/>
                    </w:rPr>
                  </w:pPr>
                  <w:r w:rsidRPr="006B1A5A">
                    <w:rPr>
                      <w:rFonts w:eastAsia="Calibri"/>
                    </w:rPr>
                    <w:t>51</w:t>
                  </w:r>
                </w:p>
              </w:tc>
              <w:tc>
                <w:tcPr>
                  <w:tcW w:w="917" w:type="dxa"/>
                </w:tcPr>
                <w:p w14:paraId="26ED3FBC" w14:textId="77777777" w:rsidR="001042DA" w:rsidRPr="006B1A5A" w:rsidRDefault="001042DA" w:rsidP="00AF2AEA">
                  <w:pPr>
                    <w:rPr>
                      <w:rFonts w:eastAsia="Calibri"/>
                    </w:rPr>
                  </w:pPr>
                  <w:r w:rsidRPr="006B1A5A">
                    <w:rPr>
                      <w:rFonts w:eastAsia="Calibri"/>
                    </w:rPr>
                    <w:t>44</w:t>
                  </w:r>
                </w:p>
              </w:tc>
            </w:tr>
          </w:tbl>
          <w:p w14:paraId="45BB5703" w14:textId="77777777" w:rsidR="001042DA" w:rsidRPr="006B1A5A" w:rsidRDefault="001042DA" w:rsidP="00AF2AEA">
            <w:pPr>
              <w:rPr>
                <w:rFonts w:eastAsia="Calibri"/>
              </w:rPr>
            </w:pPr>
          </w:p>
          <w:tbl>
            <w:tblPr>
              <w:tblStyle w:val="Tabellrutenett"/>
              <w:tblW w:w="0" w:type="auto"/>
              <w:tblLayout w:type="fixed"/>
              <w:tblLook w:val="04A0" w:firstRow="1" w:lastRow="0" w:firstColumn="1" w:lastColumn="0" w:noHBand="0" w:noVBand="1"/>
            </w:tblPr>
            <w:tblGrid>
              <w:gridCol w:w="917"/>
              <w:gridCol w:w="917"/>
            </w:tblGrid>
            <w:tr w:rsidR="001042DA" w:rsidRPr="006B1A5A" w14:paraId="2343D11E" w14:textId="77777777" w:rsidTr="00AF2AEA">
              <w:tc>
                <w:tcPr>
                  <w:tcW w:w="917" w:type="dxa"/>
                </w:tcPr>
                <w:p w14:paraId="3F05E4EF" w14:textId="77777777" w:rsidR="001042DA" w:rsidRPr="006B1A5A" w:rsidRDefault="001042DA" w:rsidP="00AF2AEA">
                  <w:pPr>
                    <w:rPr>
                      <w:rFonts w:eastAsia="Calibri"/>
                    </w:rPr>
                  </w:pPr>
                  <w:r w:rsidRPr="006B1A5A">
                    <w:rPr>
                      <w:rFonts w:eastAsiaTheme="minorHAnsi" w:cs="Calibri"/>
                      <w:lang w:eastAsia="en-US"/>
                    </w:rPr>
                    <w:t>20°C Cup ISO 4</w:t>
                  </w:r>
                </w:p>
              </w:tc>
              <w:tc>
                <w:tcPr>
                  <w:tcW w:w="917" w:type="dxa"/>
                </w:tcPr>
                <w:p w14:paraId="602C6C4E" w14:textId="77777777" w:rsidR="001042DA" w:rsidRPr="006B1A5A" w:rsidRDefault="001042DA" w:rsidP="00AF2AEA">
                  <w:pPr>
                    <w:rPr>
                      <w:rFonts w:eastAsia="Calibri"/>
                    </w:rPr>
                  </w:pPr>
                  <w:r w:rsidRPr="006B1A5A">
                    <w:rPr>
                      <w:rFonts w:eastAsiaTheme="minorHAnsi" w:cs="Calibri"/>
                      <w:lang w:eastAsia="en-US"/>
                    </w:rPr>
                    <w:t>40°C Cup ISO 4</w:t>
                  </w:r>
                </w:p>
              </w:tc>
            </w:tr>
            <w:tr w:rsidR="001042DA" w:rsidRPr="006B1A5A" w14:paraId="4DF00028" w14:textId="77777777" w:rsidTr="00AF2AEA">
              <w:tc>
                <w:tcPr>
                  <w:tcW w:w="917" w:type="dxa"/>
                </w:tcPr>
                <w:p w14:paraId="7BBA2B22" w14:textId="77777777" w:rsidR="001042DA" w:rsidRPr="006B1A5A" w:rsidRDefault="001042DA" w:rsidP="00AF2AEA">
                  <w:pPr>
                    <w:rPr>
                      <w:rFonts w:eastAsia="Calibri"/>
                    </w:rPr>
                  </w:pPr>
                  <w:r w:rsidRPr="006B1A5A">
                    <w:rPr>
                      <w:rFonts w:eastAsia="Calibri"/>
                    </w:rPr>
                    <w:t>22</w:t>
                  </w:r>
                </w:p>
              </w:tc>
              <w:tc>
                <w:tcPr>
                  <w:tcW w:w="917" w:type="dxa"/>
                </w:tcPr>
                <w:p w14:paraId="3015C33E" w14:textId="77777777" w:rsidR="001042DA" w:rsidRPr="006B1A5A" w:rsidRDefault="001042DA" w:rsidP="00AF2AEA">
                  <w:pPr>
                    <w:rPr>
                      <w:rFonts w:eastAsia="Calibri"/>
                    </w:rPr>
                  </w:pPr>
                  <w:r w:rsidRPr="006B1A5A">
                    <w:rPr>
                      <w:rFonts w:eastAsia="Calibri"/>
                    </w:rPr>
                    <w:t>18</w:t>
                  </w:r>
                </w:p>
              </w:tc>
            </w:tr>
          </w:tbl>
          <w:p w14:paraId="0B42E82F" w14:textId="77777777" w:rsidR="001042DA" w:rsidRPr="006B1A5A" w:rsidRDefault="001042DA" w:rsidP="00AF2AEA">
            <w:pPr>
              <w:rPr>
                <w:rFonts w:eastAsia="Calibri"/>
              </w:rPr>
            </w:pPr>
          </w:p>
          <w:p w14:paraId="20D20AE6" w14:textId="77777777" w:rsidR="001042DA" w:rsidRPr="006B1A5A" w:rsidRDefault="001042DA" w:rsidP="00AF2AEA">
            <w:pPr>
              <w:rPr>
                <w:rFonts w:eastAsiaTheme="minorHAnsi" w:cs="Times-Roman"/>
                <w:lang w:eastAsia="en-US"/>
              </w:rPr>
            </w:pPr>
          </w:p>
          <w:p w14:paraId="34F8D965" w14:textId="77777777" w:rsidR="001042DA" w:rsidRPr="006B1A5A" w:rsidRDefault="001042DA" w:rsidP="00AF2AEA">
            <w:r w:rsidRPr="006B1A5A">
              <w:rPr>
                <w:rFonts w:eastAsiaTheme="minorHAnsi" w:cs="Times-Roman"/>
                <w:lang w:eastAsia="en-US"/>
              </w:rPr>
              <w:t xml:space="preserve">T=6 months: </w:t>
            </w:r>
          </w:p>
          <w:tbl>
            <w:tblPr>
              <w:tblStyle w:val="Tabellrutenett"/>
              <w:tblW w:w="0" w:type="auto"/>
              <w:tblLayout w:type="fixed"/>
              <w:tblLook w:val="04A0" w:firstRow="1" w:lastRow="0" w:firstColumn="1" w:lastColumn="0" w:noHBand="0" w:noVBand="1"/>
            </w:tblPr>
            <w:tblGrid>
              <w:gridCol w:w="1448"/>
              <w:gridCol w:w="1449"/>
            </w:tblGrid>
            <w:tr w:rsidR="001042DA" w:rsidRPr="006B1A5A" w14:paraId="3CFF2E37" w14:textId="77777777" w:rsidTr="00AF2AEA">
              <w:tc>
                <w:tcPr>
                  <w:tcW w:w="1448" w:type="dxa"/>
                </w:tcPr>
                <w:p w14:paraId="49B8C83D" w14:textId="77777777" w:rsidR="001042DA" w:rsidRPr="006B1A5A" w:rsidRDefault="001042DA" w:rsidP="00AF2AEA">
                  <w:pPr>
                    <w:rPr>
                      <w:rFonts w:eastAsia="Calibri"/>
                    </w:rPr>
                  </w:pPr>
                  <w:r w:rsidRPr="006B1A5A">
                    <w:rPr>
                      <w:rFonts w:eastAsiaTheme="minorHAnsi" w:cs="Calibri"/>
                      <w:lang w:eastAsia="en-US"/>
                    </w:rPr>
                    <w:t>20°C Cup ISO 3</w:t>
                  </w:r>
                </w:p>
              </w:tc>
              <w:tc>
                <w:tcPr>
                  <w:tcW w:w="1449" w:type="dxa"/>
                </w:tcPr>
                <w:p w14:paraId="50E6B01D" w14:textId="77777777" w:rsidR="001042DA" w:rsidRPr="006B1A5A" w:rsidRDefault="001042DA" w:rsidP="00AF2AEA">
                  <w:pPr>
                    <w:rPr>
                      <w:rFonts w:eastAsia="Calibri"/>
                    </w:rPr>
                  </w:pPr>
                  <w:r w:rsidRPr="006B1A5A">
                    <w:rPr>
                      <w:rFonts w:eastAsiaTheme="minorHAnsi" w:cs="Calibri"/>
                      <w:lang w:eastAsia="en-US"/>
                    </w:rPr>
                    <w:t>40°C Cup ISO 3</w:t>
                  </w:r>
                </w:p>
              </w:tc>
            </w:tr>
            <w:tr w:rsidR="001042DA" w:rsidRPr="006B1A5A" w14:paraId="383D6783" w14:textId="77777777" w:rsidTr="00AF2AEA">
              <w:tc>
                <w:tcPr>
                  <w:tcW w:w="1448" w:type="dxa"/>
                </w:tcPr>
                <w:p w14:paraId="249CBA1E" w14:textId="77777777" w:rsidR="001042DA" w:rsidRPr="006B1A5A" w:rsidRDefault="001042DA" w:rsidP="00AF2AEA">
                  <w:pPr>
                    <w:rPr>
                      <w:rFonts w:eastAsia="Calibri"/>
                    </w:rPr>
                  </w:pPr>
                  <w:r w:rsidRPr="006B1A5A">
                    <w:rPr>
                      <w:rFonts w:eastAsia="Calibri"/>
                    </w:rPr>
                    <w:t>68</w:t>
                  </w:r>
                </w:p>
              </w:tc>
              <w:tc>
                <w:tcPr>
                  <w:tcW w:w="1449" w:type="dxa"/>
                </w:tcPr>
                <w:p w14:paraId="2B9CC4FA" w14:textId="77777777" w:rsidR="001042DA" w:rsidRPr="006B1A5A" w:rsidRDefault="001042DA" w:rsidP="00AF2AEA">
                  <w:pPr>
                    <w:rPr>
                      <w:rFonts w:eastAsia="Calibri"/>
                    </w:rPr>
                  </w:pPr>
                  <w:r w:rsidRPr="006B1A5A">
                    <w:rPr>
                      <w:rFonts w:eastAsia="Calibri"/>
                    </w:rPr>
                    <w:t>55</w:t>
                  </w:r>
                </w:p>
              </w:tc>
            </w:tr>
          </w:tbl>
          <w:p w14:paraId="26B8EB60" w14:textId="77777777" w:rsidR="001042DA" w:rsidRPr="006B1A5A" w:rsidRDefault="001042DA" w:rsidP="00AF2AEA">
            <w:pPr>
              <w:rPr>
                <w:rFonts w:eastAsia="Calibri"/>
              </w:rPr>
            </w:pPr>
          </w:p>
          <w:tbl>
            <w:tblPr>
              <w:tblStyle w:val="Tabellrutenett"/>
              <w:tblW w:w="0" w:type="auto"/>
              <w:tblLayout w:type="fixed"/>
              <w:tblLook w:val="04A0" w:firstRow="1" w:lastRow="0" w:firstColumn="1" w:lastColumn="0" w:noHBand="0" w:noVBand="1"/>
            </w:tblPr>
            <w:tblGrid>
              <w:gridCol w:w="1448"/>
              <w:gridCol w:w="1449"/>
            </w:tblGrid>
            <w:tr w:rsidR="001042DA" w:rsidRPr="006B1A5A" w14:paraId="7A265921" w14:textId="77777777" w:rsidTr="00AF2AEA">
              <w:tc>
                <w:tcPr>
                  <w:tcW w:w="1448" w:type="dxa"/>
                </w:tcPr>
                <w:p w14:paraId="1F2A9319" w14:textId="77777777" w:rsidR="001042DA" w:rsidRPr="006B1A5A" w:rsidRDefault="001042DA" w:rsidP="00AF2AEA">
                  <w:pPr>
                    <w:rPr>
                      <w:rFonts w:eastAsia="Calibri"/>
                    </w:rPr>
                  </w:pPr>
                  <w:r w:rsidRPr="006B1A5A">
                    <w:rPr>
                      <w:rFonts w:eastAsiaTheme="minorHAnsi" w:cs="Calibri"/>
                      <w:lang w:eastAsia="en-US"/>
                    </w:rPr>
                    <w:t>20°C Cup ISO 4</w:t>
                  </w:r>
                </w:p>
              </w:tc>
              <w:tc>
                <w:tcPr>
                  <w:tcW w:w="1449" w:type="dxa"/>
                </w:tcPr>
                <w:p w14:paraId="3F59FC06" w14:textId="77777777" w:rsidR="001042DA" w:rsidRPr="006B1A5A" w:rsidRDefault="001042DA" w:rsidP="00AF2AEA">
                  <w:pPr>
                    <w:rPr>
                      <w:rFonts w:eastAsia="Calibri"/>
                    </w:rPr>
                  </w:pPr>
                  <w:r w:rsidRPr="006B1A5A">
                    <w:rPr>
                      <w:rFonts w:eastAsiaTheme="minorHAnsi" w:cs="Calibri"/>
                      <w:lang w:eastAsia="en-US"/>
                    </w:rPr>
                    <w:t>40°C Cup ISO 4</w:t>
                  </w:r>
                </w:p>
              </w:tc>
            </w:tr>
            <w:tr w:rsidR="001042DA" w:rsidRPr="006B1A5A" w14:paraId="499D530D" w14:textId="77777777" w:rsidTr="00AF2AEA">
              <w:tc>
                <w:tcPr>
                  <w:tcW w:w="1448" w:type="dxa"/>
                </w:tcPr>
                <w:p w14:paraId="2C3636DC" w14:textId="77777777" w:rsidR="001042DA" w:rsidRPr="006B1A5A" w:rsidRDefault="001042DA" w:rsidP="00AF2AEA">
                  <w:pPr>
                    <w:rPr>
                      <w:rFonts w:eastAsia="Calibri"/>
                    </w:rPr>
                  </w:pPr>
                  <w:r w:rsidRPr="006B1A5A">
                    <w:rPr>
                      <w:rFonts w:eastAsia="Calibri"/>
                    </w:rPr>
                    <w:t>24</w:t>
                  </w:r>
                </w:p>
              </w:tc>
              <w:tc>
                <w:tcPr>
                  <w:tcW w:w="1449" w:type="dxa"/>
                </w:tcPr>
                <w:p w14:paraId="36E350BE" w14:textId="77777777" w:rsidR="001042DA" w:rsidRPr="006B1A5A" w:rsidRDefault="001042DA" w:rsidP="00AF2AEA">
                  <w:pPr>
                    <w:rPr>
                      <w:rFonts w:eastAsia="Calibri"/>
                    </w:rPr>
                  </w:pPr>
                  <w:r w:rsidRPr="006B1A5A">
                    <w:rPr>
                      <w:rFonts w:eastAsia="Calibri"/>
                    </w:rPr>
                    <w:t>20</w:t>
                  </w:r>
                </w:p>
              </w:tc>
            </w:tr>
          </w:tbl>
          <w:p w14:paraId="3388053F" w14:textId="77777777" w:rsidR="001042DA" w:rsidRPr="006B1A5A" w:rsidRDefault="001042DA" w:rsidP="00AF2AEA">
            <w:pPr>
              <w:rPr>
                <w:rFonts w:eastAsia="Calibri"/>
              </w:rPr>
            </w:pPr>
          </w:p>
          <w:p w14:paraId="043E0E78" w14:textId="77777777" w:rsidR="001042DA" w:rsidRPr="006B1A5A" w:rsidRDefault="001042DA" w:rsidP="00AF2AEA">
            <w:r w:rsidRPr="006B1A5A">
              <w:rPr>
                <w:rFonts w:eastAsiaTheme="minorHAnsi" w:cs="Times-Roman"/>
                <w:lang w:eastAsia="en-US"/>
              </w:rPr>
              <w:t xml:space="preserve">T=12 months: </w:t>
            </w:r>
          </w:p>
          <w:tbl>
            <w:tblPr>
              <w:tblStyle w:val="Tabellrutenett"/>
              <w:tblW w:w="0" w:type="auto"/>
              <w:tblLayout w:type="fixed"/>
              <w:tblLook w:val="04A0" w:firstRow="1" w:lastRow="0" w:firstColumn="1" w:lastColumn="0" w:noHBand="0" w:noVBand="1"/>
            </w:tblPr>
            <w:tblGrid>
              <w:gridCol w:w="1448"/>
              <w:gridCol w:w="1449"/>
            </w:tblGrid>
            <w:tr w:rsidR="001042DA" w:rsidRPr="006B1A5A" w14:paraId="3B97A258" w14:textId="77777777" w:rsidTr="00AF2AEA">
              <w:tc>
                <w:tcPr>
                  <w:tcW w:w="1448" w:type="dxa"/>
                </w:tcPr>
                <w:p w14:paraId="5BBDB722" w14:textId="77777777" w:rsidR="001042DA" w:rsidRPr="006B1A5A" w:rsidRDefault="001042DA" w:rsidP="00AF2AEA">
                  <w:pPr>
                    <w:rPr>
                      <w:rFonts w:eastAsia="Calibri"/>
                    </w:rPr>
                  </w:pPr>
                  <w:r w:rsidRPr="006B1A5A">
                    <w:rPr>
                      <w:rFonts w:eastAsiaTheme="minorHAnsi" w:cs="Calibri"/>
                      <w:lang w:eastAsia="en-US"/>
                    </w:rPr>
                    <w:t>20°C Cup ISO 3</w:t>
                  </w:r>
                </w:p>
              </w:tc>
              <w:tc>
                <w:tcPr>
                  <w:tcW w:w="1449" w:type="dxa"/>
                </w:tcPr>
                <w:p w14:paraId="18276D45" w14:textId="77777777" w:rsidR="001042DA" w:rsidRPr="006B1A5A" w:rsidRDefault="001042DA" w:rsidP="00AF2AEA">
                  <w:pPr>
                    <w:rPr>
                      <w:rFonts w:eastAsia="Calibri"/>
                    </w:rPr>
                  </w:pPr>
                  <w:r w:rsidRPr="006B1A5A">
                    <w:rPr>
                      <w:rFonts w:eastAsiaTheme="minorHAnsi" w:cs="Calibri"/>
                      <w:lang w:eastAsia="en-US"/>
                    </w:rPr>
                    <w:t>40°C Cup ISO 3</w:t>
                  </w:r>
                </w:p>
              </w:tc>
            </w:tr>
            <w:tr w:rsidR="001042DA" w:rsidRPr="006B1A5A" w14:paraId="12B40213" w14:textId="77777777" w:rsidTr="00AF2AEA">
              <w:tc>
                <w:tcPr>
                  <w:tcW w:w="1448" w:type="dxa"/>
                </w:tcPr>
                <w:p w14:paraId="433BDF3D" w14:textId="77777777" w:rsidR="001042DA" w:rsidRPr="006B1A5A" w:rsidRDefault="001042DA" w:rsidP="00AF2AEA">
                  <w:pPr>
                    <w:rPr>
                      <w:rFonts w:eastAsia="Calibri"/>
                    </w:rPr>
                  </w:pPr>
                  <w:r w:rsidRPr="006B1A5A">
                    <w:rPr>
                      <w:rFonts w:eastAsia="Calibri"/>
                    </w:rPr>
                    <w:t>56</w:t>
                  </w:r>
                </w:p>
              </w:tc>
              <w:tc>
                <w:tcPr>
                  <w:tcW w:w="1449" w:type="dxa"/>
                </w:tcPr>
                <w:p w14:paraId="6AEFF5C2" w14:textId="77777777" w:rsidR="001042DA" w:rsidRPr="006B1A5A" w:rsidRDefault="001042DA" w:rsidP="00AF2AEA">
                  <w:pPr>
                    <w:rPr>
                      <w:rFonts w:eastAsia="Calibri"/>
                    </w:rPr>
                  </w:pPr>
                  <w:r w:rsidRPr="006B1A5A">
                    <w:rPr>
                      <w:rFonts w:eastAsia="Calibri"/>
                    </w:rPr>
                    <w:t>52</w:t>
                  </w:r>
                </w:p>
              </w:tc>
            </w:tr>
          </w:tbl>
          <w:p w14:paraId="1EC04A47" w14:textId="77777777" w:rsidR="001042DA" w:rsidRPr="006B1A5A" w:rsidRDefault="001042DA" w:rsidP="00AF2AEA">
            <w:pPr>
              <w:rPr>
                <w:rFonts w:eastAsia="Calibri"/>
              </w:rPr>
            </w:pPr>
          </w:p>
          <w:tbl>
            <w:tblPr>
              <w:tblStyle w:val="Tabellrutenett"/>
              <w:tblW w:w="0" w:type="auto"/>
              <w:tblLayout w:type="fixed"/>
              <w:tblLook w:val="04A0" w:firstRow="1" w:lastRow="0" w:firstColumn="1" w:lastColumn="0" w:noHBand="0" w:noVBand="1"/>
            </w:tblPr>
            <w:tblGrid>
              <w:gridCol w:w="1448"/>
              <w:gridCol w:w="1449"/>
            </w:tblGrid>
            <w:tr w:rsidR="001042DA" w:rsidRPr="006B1A5A" w14:paraId="605DAE09" w14:textId="77777777" w:rsidTr="00AF2AEA">
              <w:tc>
                <w:tcPr>
                  <w:tcW w:w="1448" w:type="dxa"/>
                </w:tcPr>
                <w:p w14:paraId="51EE422F" w14:textId="77777777" w:rsidR="001042DA" w:rsidRPr="006B1A5A" w:rsidRDefault="001042DA" w:rsidP="00AF2AEA">
                  <w:pPr>
                    <w:rPr>
                      <w:rFonts w:eastAsia="Calibri"/>
                    </w:rPr>
                  </w:pPr>
                  <w:r w:rsidRPr="006B1A5A">
                    <w:rPr>
                      <w:rFonts w:eastAsiaTheme="minorHAnsi" w:cs="Calibri"/>
                      <w:lang w:eastAsia="en-US"/>
                    </w:rPr>
                    <w:t>20°C Cup ISO 4</w:t>
                  </w:r>
                </w:p>
              </w:tc>
              <w:tc>
                <w:tcPr>
                  <w:tcW w:w="1449" w:type="dxa"/>
                </w:tcPr>
                <w:p w14:paraId="3C6DEE59" w14:textId="77777777" w:rsidR="001042DA" w:rsidRPr="006B1A5A" w:rsidRDefault="001042DA" w:rsidP="00AF2AEA">
                  <w:pPr>
                    <w:rPr>
                      <w:rFonts w:eastAsia="Calibri"/>
                    </w:rPr>
                  </w:pPr>
                  <w:r w:rsidRPr="006B1A5A">
                    <w:rPr>
                      <w:rFonts w:eastAsiaTheme="minorHAnsi" w:cs="Calibri"/>
                      <w:lang w:eastAsia="en-US"/>
                    </w:rPr>
                    <w:t>40°C Cup ISO 4</w:t>
                  </w:r>
                </w:p>
              </w:tc>
            </w:tr>
            <w:tr w:rsidR="001042DA" w:rsidRPr="006B1A5A" w14:paraId="4264BFC0" w14:textId="77777777" w:rsidTr="00AF2AEA">
              <w:tc>
                <w:tcPr>
                  <w:tcW w:w="1448" w:type="dxa"/>
                </w:tcPr>
                <w:p w14:paraId="04EA8A15" w14:textId="77777777" w:rsidR="001042DA" w:rsidRPr="006B1A5A" w:rsidRDefault="001042DA" w:rsidP="00AF2AEA">
                  <w:pPr>
                    <w:rPr>
                      <w:rFonts w:eastAsia="Calibri"/>
                    </w:rPr>
                  </w:pPr>
                  <w:r w:rsidRPr="006B1A5A">
                    <w:rPr>
                      <w:rFonts w:eastAsia="Calibri"/>
                    </w:rPr>
                    <w:t>23</w:t>
                  </w:r>
                </w:p>
              </w:tc>
              <w:tc>
                <w:tcPr>
                  <w:tcW w:w="1449" w:type="dxa"/>
                </w:tcPr>
                <w:p w14:paraId="34BFEFF1" w14:textId="77777777" w:rsidR="001042DA" w:rsidRPr="006B1A5A" w:rsidRDefault="001042DA" w:rsidP="00AF2AEA">
                  <w:pPr>
                    <w:rPr>
                      <w:rFonts w:eastAsia="Calibri"/>
                    </w:rPr>
                  </w:pPr>
                  <w:r w:rsidRPr="006B1A5A">
                    <w:rPr>
                      <w:rFonts w:eastAsia="Calibri"/>
                    </w:rPr>
                    <w:t>21</w:t>
                  </w:r>
                </w:p>
              </w:tc>
            </w:tr>
          </w:tbl>
          <w:p w14:paraId="2E1D025E" w14:textId="77777777" w:rsidR="001042DA" w:rsidRPr="006B1A5A" w:rsidRDefault="001042DA" w:rsidP="00AF2AEA">
            <w:pPr>
              <w:rPr>
                <w:rFonts w:eastAsia="Calibri"/>
              </w:rPr>
            </w:pPr>
          </w:p>
        </w:tc>
        <w:tc>
          <w:tcPr>
            <w:tcW w:w="1843" w:type="dxa"/>
          </w:tcPr>
          <w:p w14:paraId="29F08CEB" w14:textId="77777777" w:rsidR="001042DA" w:rsidRPr="006B1A5A" w:rsidRDefault="001042DA" w:rsidP="00AF2AEA">
            <w:pPr>
              <w:rPr>
                <w:rFonts w:eastAsia="Calibri"/>
              </w:rPr>
            </w:pPr>
            <w:r w:rsidRPr="006B1A5A">
              <w:rPr>
                <w:rFonts w:eastAsiaTheme="minorHAnsi"/>
              </w:rPr>
              <w:lastRenderedPageBreak/>
              <w:t xml:space="preserve">Interim report </w:t>
            </w:r>
            <w:r w:rsidRPr="006B1A5A">
              <w:t>6</w:t>
            </w:r>
            <w:r w:rsidRPr="006B1A5A">
              <w:rPr>
                <w:rFonts w:eastAsiaTheme="minorHAnsi"/>
              </w:rPr>
              <w:t xml:space="preserve"> months AquaNet HG360</w:t>
            </w:r>
            <w:r w:rsidRPr="006B1A5A">
              <w:rPr>
                <w:rFonts w:eastAsia="Calibri"/>
              </w:rPr>
              <w:t xml:space="preserve">, </w:t>
            </w:r>
            <w:r w:rsidRPr="006B1A5A">
              <w:t>2018,</w:t>
            </w:r>
            <w:r w:rsidRPr="006B1A5A">
              <w:rPr>
                <w:rFonts w:eastAsia="Calibri"/>
              </w:rPr>
              <w:t xml:space="preserve"> report number 7P04987-02</w:t>
            </w:r>
          </w:p>
          <w:p w14:paraId="0C5AD2C4" w14:textId="77777777" w:rsidR="001042DA" w:rsidRPr="006B1A5A" w:rsidRDefault="001042DA" w:rsidP="00AF2AEA">
            <w:pPr>
              <w:rPr>
                <w:rFonts w:eastAsia="Calibri"/>
              </w:rPr>
            </w:pPr>
          </w:p>
          <w:p w14:paraId="13544FF2" w14:textId="77777777" w:rsidR="001042DA" w:rsidRPr="006B1A5A" w:rsidRDefault="001042DA" w:rsidP="00AF2AEA">
            <w:r w:rsidRPr="006B1A5A">
              <w:t xml:space="preserve">Final report 12 months AquaNet HG360, 2018, </w:t>
            </w:r>
            <w:r w:rsidRPr="006B1A5A">
              <w:rPr>
                <w:rFonts w:eastAsia="Calibri"/>
              </w:rPr>
              <w:t>report number 7P04987-02b</w:t>
            </w:r>
          </w:p>
        </w:tc>
      </w:tr>
    </w:tbl>
    <w:p w14:paraId="1C8D7615" w14:textId="77777777" w:rsidR="001042DA" w:rsidRPr="006B1A5A" w:rsidRDefault="001042DA" w:rsidP="001042DA">
      <w:pPr>
        <w:spacing w:line="260" w:lineRule="atLeast"/>
        <w:ind w:left="360"/>
        <w:contextualSpacing/>
        <w:rPr>
          <w:rFonts w:eastAsia="Calibri"/>
          <w:lang w:eastAsia="sv-SE"/>
        </w:rPr>
      </w:pPr>
    </w:p>
    <w:tbl>
      <w:tblPr>
        <w:tblW w:w="526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690"/>
      </w:tblGrid>
      <w:tr w:rsidR="001042DA" w:rsidRPr="006B1A5A" w14:paraId="2F6EF606" w14:textId="77777777" w:rsidTr="00AF2AEA">
        <w:tc>
          <w:tcPr>
            <w:tcW w:w="5000" w:type="pct"/>
            <w:tcBorders>
              <w:top w:val="single" w:sz="4" w:space="0" w:color="auto"/>
              <w:left w:val="single" w:sz="4" w:space="0" w:color="auto"/>
              <w:bottom w:val="single" w:sz="6" w:space="0" w:color="auto"/>
              <w:right w:val="single" w:sz="6" w:space="0" w:color="auto"/>
            </w:tcBorders>
            <w:shd w:val="clear" w:color="auto" w:fill="CCFFCC"/>
          </w:tcPr>
          <w:p w14:paraId="79F7B886" w14:textId="77777777" w:rsidR="001042DA" w:rsidRPr="006B1A5A" w:rsidRDefault="001042DA" w:rsidP="00AF2AEA">
            <w:pPr>
              <w:spacing w:line="260" w:lineRule="atLeast"/>
              <w:rPr>
                <w:rFonts w:eastAsia="Calibri"/>
                <w:b/>
                <w:bCs/>
                <w:lang w:eastAsia="en-US"/>
              </w:rPr>
            </w:pPr>
            <w:r w:rsidRPr="006B1A5A">
              <w:rPr>
                <w:rFonts w:eastAsia="Calibri"/>
                <w:b/>
                <w:bCs/>
                <w:lang w:eastAsia="en-US"/>
              </w:rPr>
              <w:t>Conclusion on the p</w:t>
            </w:r>
            <w:r w:rsidRPr="006B1A5A">
              <w:rPr>
                <w:rFonts w:eastAsia="Calibri"/>
                <w:b/>
              </w:rPr>
              <w:t>hysical, chemical and technical properties</w:t>
            </w:r>
            <w:r w:rsidRPr="006B1A5A">
              <w:rPr>
                <w:rFonts w:eastAsia="Calibri"/>
                <w:b/>
                <w:bCs/>
                <w:lang w:eastAsia="en-US"/>
              </w:rPr>
              <w:t xml:space="preserve"> of the product</w:t>
            </w:r>
          </w:p>
        </w:tc>
      </w:tr>
      <w:tr w:rsidR="001042DA" w:rsidRPr="006B1A5A" w14:paraId="33B5867D" w14:textId="77777777" w:rsidTr="00AF2AEA">
        <w:trPr>
          <w:trHeight w:val="1053"/>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4EE11C12" w14:textId="7B171D75" w:rsidR="001042DA" w:rsidRPr="006B1A5A" w:rsidRDefault="001042DA" w:rsidP="00AF2AEA">
            <w:pPr>
              <w:spacing w:line="260" w:lineRule="atLeast"/>
              <w:rPr>
                <w:rFonts w:eastAsia="Calibri"/>
                <w:lang w:eastAsia="en-US"/>
              </w:rPr>
            </w:pPr>
            <w:r w:rsidRPr="006B1A5A">
              <w:rPr>
                <w:rFonts w:eastAsia="Calibri"/>
                <w:lang w:eastAsia="en-US"/>
              </w:rPr>
              <w:t xml:space="preserve">AquaNet HG360 is a dark red </w:t>
            </w:r>
            <w:r w:rsidRPr="006B1A5A">
              <w:rPr>
                <w:rFonts w:eastAsiaTheme="minorHAnsi" w:cs="Times-Roman"/>
                <w:lang w:eastAsia="en-US"/>
              </w:rPr>
              <w:t>liquid aqueous suspension concentrate</w:t>
            </w:r>
            <w:r w:rsidRPr="006B1A5A">
              <w:t xml:space="preserve"> </w:t>
            </w:r>
            <w:r w:rsidRPr="006B1A5A">
              <w:rPr>
                <w:rFonts w:eastAsia="Calibri"/>
                <w:lang w:eastAsia="en-US"/>
              </w:rPr>
              <w:t>at room temperature with a relative density of about 1.43, a pH of 8.9 and a pourability of 4.77%. Its viscosity at 20ºC (ISO3) and at 20ºC (ISO4) is 51 s and 22 s, respectively. It is stable for storage at ambient conditions for up to 12 months</w:t>
            </w:r>
            <w:r w:rsidR="005E36DE">
              <w:rPr>
                <w:rFonts w:eastAsia="Calibri"/>
                <w:lang w:eastAsia="en-US"/>
              </w:rPr>
              <w:t xml:space="preserve"> (temperature 5-30</w:t>
            </w:r>
            <w:r w:rsidR="005E36DE" w:rsidRPr="00E951E0">
              <w:rPr>
                <w:rFonts w:eastAsia="Calibri"/>
                <w:vertAlign w:val="superscript"/>
                <w:lang w:eastAsia="en-US"/>
              </w:rPr>
              <w:t>o</w:t>
            </w:r>
            <w:r w:rsidR="005E36DE">
              <w:rPr>
                <w:rFonts w:eastAsia="Calibri"/>
                <w:lang w:eastAsia="en-US"/>
              </w:rPr>
              <w:t>C)</w:t>
            </w:r>
            <w:r w:rsidRPr="006B1A5A">
              <w:rPr>
                <w:rFonts w:eastAsia="Calibri"/>
                <w:lang w:eastAsia="en-US"/>
              </w:rPr>
              <w:t xml:space="preserve">. </w:t>
            </w:r>
          </w:p>
          <w:p w14:paraId="2CFEBADA" w14:textId="77777777" w:rsidR="001042DA" w:rsidRPr="006B1A5A" w:rsidRDefault="001042DA" w:rsidP="00AF2AEA">
            <w:pPr>
              <w:spacing w:line="260" w:lineRule="atLeast"/>
              <w:rPr>
                <w:rFonts w:eastAsia="Calibri"/>
                <w:lang w:eastAsia="en-US"/>
              </w:rPr>
            </w:pPr>
          </w:p>
          <w:p w14:paraId="43530EA4" w14:textId="7E01400F" w:rsidR="001042DA" w:rsidRPr="006B1A5A" w:rsidRDefault="001042DA" w:rsidP="00AF2AEA">
            <w:pPr>
              <w:spacing w:line="260" w:lineRule="atLeast"/>
              <w:jc w:val="both"/>
              <w:rPr>
                <w:rFonts w:eastAsia="Calibri"/>
                <w:lang w:eastAsia="en-US"/>
              </w:rPr>
            </w:pPr>
            <w:r w:rsidRPr="006B1A5A">
              <w:rPr>
                <w:rFonts w:eastAsia="Calibri"/>
                <w:lang w:eastAsia="en-US"/>
              </w:rPr>
              <w:t>Data are presented after 6 and 12 months storage.  The active substances content remains stable after storage. With a few ex</w:t>
            </w:r>
            <w:r w:rsidR="00937933">
              <w:rPr>
                <w:rFonts w:eastAsia="Calibri"/>
                <w:lang w:eastAsia="en-US"/>
              </w:rPr>
              <w:t>c</w:t>
            </w:r>
            <w:r w:rsidRPr="006B1A5A">
              <w:rPr>
                <w:rFonts w:eastAsia="Calibri"/>
                <w:lang w:eastAsia="en-US"/>
              </w:rPr>
              <w:t xml:space="preserve">eptions, the physicochemical properties remain stable.  Some phase separation and clumping are observed at 12 months, but this can be re-homogenised.   However, the spontaneity of dispersion declines to below 60% after 6 (55%) or 12 (57%) months storage. The rinsed and non-rinsed residue increases. </w:t>
            </w:r>
          </w:p>
          <w:p w14:paraId="6465946D" w14:textId="77777777" w:rsidR="001042DA" w:rsidRPr="006B1A5A" w:rsidRDefault="001042DA" w:rsidP="00AF2AEA">
            <w:pPr>
              <w:spacing w:line="260" w:lineRule="atLeast"/>
              <w:jc w:val="both"/>
              <w:rPr>
                <w:rFonts w:eastAsia="Calibri"/>
                <w:lang w:eastAsia="en-US"/>
              </w:rPr>
            </w:pPr>
          </w:p>
          <w:p w14:paraId="27FBF430" w14:textId="67BDABF9" w:rsidR="001042DA" w:rsidRPr="006B1A5A" w:rsidRDefault="001042DA" w:rsidP="00AF2AEA">
            <w:pPr>
              <w:spacing w:line="260" w:lineRule="atLeast"/>
              <w:jc w:val="both"/>
              <w:rPr>
                <w:rFonts w:eastAsia="Calibri"/>
                <w:lang w:eastAsia="en-US"/>
              </w:rPr>
            </w:pPr>
            <w:r w:rsidRPr="006B1A5A">
              <w:rPr>
                <w:rFonts w:eastAsia="Calibri"/>
                <w:lang w:eastAsia="en-US"/>
              </w:rPr>
              <w:t>As the spontan</w:t>
            </w:r>
            <w:r w:rsidR="00937933">
              <w:rPr>
                <w:rFonts w:eastAsia="Calibri"/>
                <w:lang w:eastAsia="en-US"/>
              </w:rPr>
              <w:t>e</w:t>
            </w:r>
            <w:r w:rsidRPr="006B1A5A">
              <w:rPr>
                <w:rFonts w:eastAsia="Calibri"/>
                <w:lang w:eastAsia="en-US"/>
              </w:rPr>
              <w:t>ity of dispersion is outside the req</w:t>
            </w:r>
            <w:r w:rsidR="00937933">
              <w:rPr>
                <w:rFonts w:eastAsia="Calibri"/>
                <w:lang w:eastAsia="en-US"/>
              </w:rPr>
              <w:t>u</w:t>
            </w:r>
            <w:r w:rsidRPr="006B1A5A">
              <w:rPr>
                <w:rFonts w:eastAsia="Calibri"/>
                <w:lang w:eastAsia="en-US"/>
              </w:rPr>
              <w:t>irements in the guidance documents (range 60-105%) actions must be taken to ensure the product is homogeneous when applied. Therefore, the products can only be used in facilities with proper stirring equipment, or where the diluted product is pumped between tanks (which ensures proper mixing). Furthermore, the quality of the pro</w:t>
            </w:r>
            <w:r w:rsidR="00937933">
              <w:rPr>
                <w:rFonts w:eastAsia="Calibri"/>
                <w:lang w:eastAsia="en-US"/>
              </w:rPr>
              <w:t>d</w:t>
            </w:r>
            <w:r w:rsidRPr="006B1A5A">
              <w:rPr>
                <w:rFonts w:eastAsia="Calibri"/>
                <w:lang w:eastAsia="en-US"/>
              </w:rPr>
              <w:t xml:space="preserve">uct must be assessed prior to application. According to the use description provided by the applicant, both viscosity and density of the diluted product is measured. Both the viscosity and the density must be within a range specified by the applicant.  </w:t>
            </w:r>
          </w:p>
          <w:p w14:paraId="07D3A012" w14:textId="77777777" w:rsidR="001042DA" w:rsidRPr="006B1A5A" w:rsidRDefault="001042DA" w:rsidP="00AF2AEA">
            <w:pPr>
              <w:spacing w:line="260" w:lineRule="atLeast"/>
              <w:jc w:val="both"/>
              <w:rPr>
                <w:rFonts w:eastAsia="Calibri"/>
                <w:lang w:eastAsia="en-US"/>
              </w:rPr>
            </w:pPr>
          </w:p>
          <w:p w14:paraId="5CB082B7" w14:textId="550F7E16" w:rsidR="001042DA" w:rsidRPr="006B1A5A" w:rsidRDefault="001042DA" w:rsidP="00AF2AEA">
            <w:pPr>
              <w:spacing w:line="260" w:lineRule="atLeast"/>
              <w:jc w:val="both"/>
              <w:rPr>
                <w:rFonts w:eastAsia="Calibri"/>
                <w:lang w:eastAsia="en-US"/>
              </w:rPr>
            </w:pPr>
            <w:r w:rsidRPr="006B1A5A">
              <w:rPr>
                <w:rFonts w:eastAsia="Calibri"/>
                <w:lang w:eastAsia="en-US"/>
              </w:rPr>
              <w:t>As the pourability and rinsability is outs</w:t>
            </w:r>
            <w:r w:rsidR="00937933">
              <w:rPr>
                <w:rFonts w:eastAsia="Calibri"/>
                <w:lang w:eastAsia="en-US"/>
              </w:rPr>
              <w:t>i</w:t>
            </w:r>
            <w:r w:rsidRPr="006B1A5A">
              <w:rPr>
                <w:rFonts w:eastAsia="Calibri"/>
                <w:lang w:eastAsia="en-US"/>
              </w:rPr>
              <w:t>de the requirements in the guidance documents, actions must be taken to ensure that the dilution of the product is correct, and that the empty product containers are disposed of correctly. The thorough rinsing described in the "</w:t>
            </w:r>
            <w:r w:rsidRPr="006B1A5A">
              <w:t xml:space="preserve"> </w:t>
            </w:r>
            <w:r w:rsidRPr="006B1A5A">
              <w:rPr>
                <w:rFonts w:eastAsia="Calibri"/>
                <w:lang w:eastAsia="en-US"/>
              </w:rPr>
              <w:t>Use-specific instructions for use" should mi</w:t>
            </w:r>
            <w:r w:rsidR="00937933">
              <w:rPr>
                <w:rFonts w:eastAsia="Calibri"/>
                <w:lang w:eastAsia="en-US"/>
              </w:rPr>
              <w:t>n</w:t>
            </w:r>
            <w:r w:rsidRPr="006B1A5A">
              <w:rPr>
                <w:rFonts w:eastAsia="Calibri"/>
                <w:lang w:eastAsia="en-US"/>
              </w:rPr>
              <w:t xml:space="preserve">imize the residues in the container. Furthermore, the measurement of viscosity and density will ensure that the proper dilution is </w:t>
            </w:r>
            <w:r w:rsidR="00937933" w:rsidRPr="006B1A5A">
              <w:rPr>
                <w:rFonts w:eastAsia="Calibri"/>
                <w:lang w:eastAsia="en-US"/>
              </w:rPr>
              <w:t>achieved</w:t>
            </w:r>
            <w:r w:rsidRPr="006B1A5A">
              <w:rPr>
                <w:rFonts w:eastAsia="Calibri"/>
                <w:lang w:eastAsia="en-US"/>
              </w:rPr>
              <w:t xml:space="preserve">. </w:t>
            </w:r>
          </w:p>
          <w:p w14:paraId="7A939ED0" w14:textId="5B84D216" w:rsidR="001042DA" w:rsidRPr="006B1A5A" w:rsidRDefault="001042DA" w:rsidP="00AF2AEA">
            <w:pPr>
              <w:spacing w:line="260" w:lineRule="atLeast"/>
              <w:jc w:val="both"/>
              <w:rPr>
                <w:rFonts w:eastAsia="Calibri"/>
                <w:lang w:eastAsia="en-US"/>
              </w:rPr>
            </w:pPr>
            <w:r w:rsidRPr="006B1A5A">
              <w:rPr>
                <w:rFonts w:eastAsia="Calibri"/>
                <w:lang w:eastAsia="en-US"/>
              </w:rPr>
              <w:t>As product residues in the packaging (containers) cannot be comp</w:t>
            </w:r>
            <w:r w:rsidR="00937933">
              <w:rPr>
                <w:rFonts w:eastAsia="Calibri"/>
                <w:lang w:eastAsia="en-US"/>
              </w:rPr>
              <w:t>l</w:t>
            </w:r>
            <w:r w:rsidRPr="006B1A5A">
              <w:rPr>
                <w:rFonts w:eastAsia="Calibri"/>
                <w:lang w:eastAsia="en-US"/>
              </w:rPr>
              <w:t xml:space="preserve">etely avoided, the empty </w:t>
            </w:r>
            <w:r w:rsidR="00937933" w:rsidRPr="006B1A5A">
              <w:rPr>
                <w:rFonts w:eastAsia="Calibri"/>
                <w:lang w:eastAsia="en-US"/>
              </w:rPr>
              <w:t>containers</w:t>
            </w:r>
            <w:r w:rsidRPr="006B1A5A">
              <w:rPr>
                <w:rFonts w:eastAsia="Calibri"/>
                <w:lang w:eastAsia="en-US"/>
              </w:rPr>
              <w:t xml:space="preserve"> mu</w:t>
            </w:r>
            <w:r w:rsidR="00937933">
              <w:rPr>
                <w:rFonts w:eastAsia="Calibri"/>
                <w:lang w:eastAsia="en-US"/>
              </w:rPr>
              <w:t>s</w:t>
            </w:r>
            <w:r w:rsidRPr="006B1A5A">
              <w:rPr>
                <w:rFonts w:eastAsia="Calibri"/>
                <w:lang w:eastAsia="en-US"/>
              </w:rPr>
              <w:t xml:space="preserve">t </w:t>
            </w:r>
            <w:r w:rsidR="00937933">
              <w:rPr>
                <w:rFonts w:eastAsia="Calibri"/>
                <w:lang w:eastAsia="en-US"/>
              </w:rPr>
              <w:t>b</w:t>
            </w:r>
            <w:r w:rsidRPr="006B1A5A">
              <w:rPr>
                <w:rFonts w:eastAsia="Calibri"/>
                <w:lang w:eastAsia="en-US"/>
              </w:rPr>
              <w:t xml:space="preserve">e disposed of in accordance with local regulations. </w:t>
            </w:r>
          </w:p>
          <w:p w14:paraId="0C4086D4" w14:textId="77777777" w:rsidR="001042DA" w:rsidRPr="006B1A5A" w:rsidRDefault="001042DA" w:rsidP="00AF2AEA">
            <w:pPr>
              <w:spacing w:line="260" w:lineRule="atLeast"/>
              <w:jc w:val="both"/>
              <w:rPr>
                <w:rFonts w:eastAsia="Calibri"/>
                <w:lang w:eastAsia="en-US"/>
              </w:rPr>
            </w:pPr>
          </w:p>
          <w:p w14:paraId="228130D5" w14:textId="3A445EAB" w:rsidR="001042DA" w:rsidRPr="006B1A5A" w:rsidRDefault="001042DA" w:rsidP="00AF2AEA">
            <w:pPr>
              <w:spacing w:line="260" w:lineRule="atLeast"/>
              <w:jc w:val="both"/>
              <w:rPr>
                <w:rFonts w:eastAsia="Calibri"/>
                <w:lang w:eastAsia="en-US"/>
              </w:rPr>
            </w:pPr>
            <w:r w:rsidRPr="006B1A5A">
              <w:rPr>
                <w:rFonts w:eastAsia="Calibri"/>
                <w:lang w:eastAsia="en-US"/>
              </w:rPr>
              <w:t>The use procedure for the RTU-product "AquaNet RFU" involves only a minor rinsing (addition of 3-5% of the volume in water), or no rinsing at all. It is therefore not possible to minimize residues in the packaging by thorough rinsing.  As the product is ready to use, there is no risk of erroneous dilutions, but waste handling may med affected by this. Hence, the empety product packaging (container) must be disposed of in accordance with local regulations.</w:t>
            </w:r>
          </w:p>
          <w:p w14:paraId="513B2F99" w14:textId="77777777" w:rsidR="001042DA" w:rsidRPr="006B1A5A" w:rsidRDefault="001042DA" w:rsidP="00AF2AEA">
            <w:pPr>
              <w:spacing w:line="260" w:lineRule="atLeast"/>
              <w:rPr>
                <w:rFonts w:eastAsia="Calibri"/>
                <w:lang w:eastAsia="en-US"/>
              </w:rPr>
            </w:pPr>
          </w:p>
          <w:p w14:paraId="669DE0B7" w14:textId="77777777" w:rsidR="001042DA" w:rsidRPr="006B1A5A" w:rsidRDefault="001042DA" w:rsidP="00AF2AEA">
            <w:pPr>
              <w:spacing w:line="260" w:lineRule="atLeast"/>
              <w:rPr>
                <w:rFonts w:eastAsia="Calibri"/>
                <w:lang w:eastAsia="en-US"/>
              </w:rPr>
            </w:pPr>
            <w:r w:rsidRPr="006B1A5A">
              <w:rPr>
                <w:rFonts w:eastAsia="Calibri"/>
                <w:lang w:eastAsia="en-US"/>
              </w:rPr>
              <w:t>The product can be stored for 12 months under ambient conditions, provided that proper measures are taken to ensure that the product is homogeneous prior to application.</w:t>
            </w:r>
          </w:p>
          <w:p w14:paraId="51C2A80B" w14:textId="77777777" w:rsidR="001042DA" w:rsidRPr="006B1A5A" w:rsidRDefault="001042DA" w:rsidP="00AF2AEA">
            <w:pPr>
              <w:spacing w:line="260" w:lineRule="atLeast"/>
              <w:jc w:val="both"/>
              <w:rPr>
                <w:rFonts w:eastAsia="Calibri"/>
                <w:lang w:eastAsia="en-US"/>
              </w:rPr>
            </w:pPr>
          </w:p>
        </w:tc>
      </w:tr>
    </w:tbl>
    <w:p w14:paraId="55F530BE" w14:textId="77777777" w:rsidR="001042DA" w:rsidRPr="006B1A5A" w:rsidRDefault="001042DA" w:rsidP="001042DA">
      <w:pPr>
        <w:spacing w:line="260" w:lineRule="atLeast"/>
        <w:ind w:left="360"/>
        <w:contextualSpacing/>
        <w:rPr>
          <w:rFonts w:eastAsia="Calibri"/>
          <w:lang w:eastAsia="sv-SE"/>
        </w:rPr>
      </w:pPr>
    </w:p>
    <w:p w14:paraId="3A5BBFDE" w14:textId="77777777" w:rsidR="001042DA" w:rsidRPr="006B1A5A" w:rsidRDefault="001042DA" w:rsidP="001042DA">
      <w:pPr>
        <w:spacing w:line="260" w:lineRule="atLeast"/>
        <w:ind w:left="360"/>
        <w:contextualSpacing/>
        <w:rPr>
          <w:rFonts w:eastAsia="Calibri"/>
          <w:lang w:eastAsia="sv-SE"/>
        </w:rPr>
      </w:pPr>
    </w:p>
    <w:p w14:paraId="6CDC6F21" w14:textId="77777777" w:rsidR="001042DA" w:rsidRPr="006B1A5A" w:rsidRDefault="001042DA" w:rsidP="001042DA">
      <w:pPr>
        <w:spacing w:line="260" w:lineRule="atLeast"/>
        <w:ind w:left="360"/>
        <w:contextualSpacing/>
        <w:rPr>
          <w:rFonts w:eastAsia="Calibri"/>
          <w:lang w:eastAsia="sv-SE"/>
        </w:rPr>
      </w:pPr>
    </w:p>
    <w:p w14:paraId="5FA029C4" w14:textId="77777777" w:rsidR="001042DA" w:rsidRPr="006B1A5A" w:rsidRDefault="001042DA" w:rsidP="001042DA">
      <w:pPr>
        <w:pStyle w:val="Overskrift3"/>
        <w:rPr>
          <w:lang w:val="en-GB"/>
        </w:rPr>
      </w:pPr>
      <w:bookmarkStart w:id="1339" w:name="_Toc389729029"/>
      <w:bookmarkStart w:id="1340" w:name="_Toc403472741"/>
      <w:bookmarkStart w:id="1341" w:name="_Toc425344103"/>
      <w:bookmarkStart w:id="1342" w:name="_Toc66448820"/>
      <w:r w:rsidRPr="006B1A5A">
        <w:rPr>
          <w:lang w:val="en-GB"/>
        </w:rPr>
        <w:lastRenderedPageBreak/>
        <w:t>Physical hazards and respective characteristics</w:t>
      </w:r>
      <w:bookmarkEnd w:id="1339"/>
      <w:bookmarkEnd w:id="1340"/>
      <w:bookmarkEnd w:id="1341"/>
      <w:bookmarkEnd w:id="1342"/>
    </w:p>
    <w:p w14:paraId="1E6F29E2" w14:textId="77777777" w:rsidR="001042DA" w:rsidRPr="006B1A5A" w:rsidRDefault="001042DA" w:rsidP="001042DA">
      <w:pPr>
        <w:keepNext/>
        <w:spacing w:after="120"/>
        <w:contextualSpacing/>
        <w:rPr>
          <w:rFonts w:eastAsia="Calibri"/>
          <w:lang w:eastAsia="sv-SE"/>
        </w:rPr>
      </w:pPr>
      <w:bookmarkStart w:id="1343" w:name="_Toc389726185"/>
      <w:bookmarkStart w:id="1344" w:name="_Toc389727237"/>
      <w:bookmarkStart w:id="1345" w:name="_Toc389727595"/>
      <w:bookmarkStart w:id="1346" w:name="_Toc389727954"/>
      <w:bookmarkStart w:id="1347" w:name="_Toc389728313"/>
      <w:bookmarkStart w:id="1348" w:name="_Toc389728673"/>
      <w:bookmarkStart w:id="1349" w:name="_Toc389729031"/>
      <w:bookmarkEnd w:id="1343"/>
      <w:bookmarkEnd w:id="1344"/>
      <w:bookmarkEnd w:id="1345"/>
      <w:bookmarkEnd w:id="1346"/>
      <w:bookmarkEnd w:id="1347"/>
      <w:bookmarkEnd w:id="1348"/>
      <w:bookmarkEnd w:id="1349"/>
      <w:r w:rsidRPr="006B1A5A">
        <w:rPr>
          <w:rFonts w:eastAsia="Calibri"/>
          <w:lang w:eastAsia="sv-SE"/>
        </w:rPr>
        <w:t>The physical hazards and respective characteristics were determined for the representative product of the 360 BPF, AquaNet HG360.</w:t>
      </w:r>
    </w:p>
    <w:p w14:paraId="29A6893C" w14:textId="77777777" w:rsidR="001042DA" w:rsidRPr="006B1A5A" w:rsidRDefault="001042DA" w:rsidP="001042DA">
      <w:pPr>
        <w:pStyle w:val="Absatz"/>
        <w:keepNext/>
        <w:ind w:left="0"/>
        <w:rPr>
          <w:rFonts w:ascii="Verdana" w:eastAsia="Calibri" w:hAnsi="Verdana"/>
          <w:lang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0"/>
        <w:gridCol w:w="2120"/>
        <w:gridCol w:w="2268"/>
        <w:gridCol w:w="2551"/>
      </w:tblGrid>
      <w:tr w:rsidR="001042DA" w:rsidRPr="006B1A5A" w14:paraId="20285382" w14:textId="77777777" w:rsidTr="00AF2AEA">
        <w:trPr>
          <w:trHeight w:val="707"/>
          <w:tblHeader/>
        </w:trPr>
        <w:tc>
          <w:tcPr>
            <w:tcW w:w="2270" w:type="dxa"/>
            <w:shd w:val="clear" w:color="auto" w:fill="FFFFCC"/>
            <w:vAlign w:val="center"/>
          </w:tcPr>
          <w:p w14:paraId="74EB9D3B" w14:textId="77777777" w:rsidR="001042DA" w:rsidRPr="006B1A5A" w:rsidRDefault="001042DA" w:rsidP="00AF2AEA">
            <w:pPr>
              <w:keepNext/>
              <w:rPr>
                <w:rFonts w:eastAsia="Calibri"/>
                <w:b/>
              </w:rPr>
            </w:pPr>
            <w:r w:rsidRPr="006B1A5A">
              <w:rPr>
                <w:rFonts w:eastAsia="Calibri"/>
                <w:b/>
              </w:rPr>
              <w:t>Property</w:t>
            </w:r>
          </w:p>
        </w:tc>
        <w:tc>
          <w:tcPr>
            <w:tcW w:w="2120" w:type="dxa"/>
            <w:shd w:val="clear" w:color="auto" w:fill="FFFFCC"/>
            <w:vAlign w:val="center"/>
          </w:tcPr>
          <w:p w14:paraId="0DFBE9DB" w14:textId="77777777" w:rsidR="001042DA" w:rsidRPr="006B1A5A" w:rsidRDefault="001042DA" w:rsidP="00AF2AEA">
            <w:pPr>
              <w:keepNext/>
              <w:rPr>
                <w:rFonts w:eastAsia="Calibri"/>
                <w:b/>
              </w:rPr>
            </w:pPr>
            <w:r w:rsidRPr="006B1A5A">
              <w:rPr>
                <w:rFonts w:eastAsia="Calibri"/>
                <w:b/>
              </w:rPr>
              <w:t>Guideline and Method</w:t>
            </w:r>
          </w:p>
        </w:tc>
        <w:tc>
          <w:tcPr>
            <w:tcW w:w="2268" w:type="dxa"/>
            <w:shd w:val="clear" w:color="auto" w:fill="FFFFCC"/>
            <w:vAlign w:val="center"/>
          </w:tcPr>
          <w:p w14:paraId="14472F22" w14:textId="77777777" w:rsidR="001042DA" w:rsidRPr="006B1A5A" w:rsidRDefault="001042DA" w:rsidP="00AF2AEA">
            <w:pPr>
              <w:keepNext/>
              <w:rPr>
                <w:rFonts w:eastAsia="Calibri"/>
                <w:b/>
              </w:rPr>
            </w:pPr>
            <w:r w:rsidRPr="006B1A5A">
              <w:rPr>
                <w:rFonts w:eastAsia="Calibri"/>
                <w:b/>
              </w:rPr>
              <w:t>Results</w:t>
            </w:r>
          </w:p>
        </w:tc>
        <w:tc>
          <w:tcPr>
            <w:tcW w:w="2551" w:type="dxa"/>
            <w:shd w:val="clear" w:color="auto" w:fill="FFFFCC"/>
            <w:vAlign w:val="center"/>
          </w:tcPr>
          <w:p w14:paraId="09E7E427" w14:textId="77777777" w:rsidR="001042DA" w:rsidRPr="006B1A5A" w:rsidRDefault="001042DA" w:rsidP="00AF2AEA">
            <w:pPr>
              <w:keepNext/>
              <w:rPr>
                <w:rFonts w:eastAsia="Calibri"/>
                <w:b/>
              </w:rPr>
            </w:pPr>
            <w:r w:rsidRPr="006B1A5A">
              <w:rPr>
                <w:rFonts w:eastAsia="Calibri"/>
                <w:b/>
              </w:rPr>
              <w:t>Reference</w:t>
            </w:r>
          </w:p>
        </w:tc>
      </w:tr>
      <w:tr w:rsidR="001042DA" w:rsidRPr="006B1A5A" w14:paraId="6714B635" w14:textId="77777777" w:rsidTr="00AF2AEA">
        <w:tc>
          <w:tcPr>
            <w:tcW w:w="2270" w:type="dxa"/>
          </w:tcPr>
          <w:p w14:paraId="46186390" w14:textId="77777777" w:rsidR="001042DA" w:rsidRPr="006B1A5A" w:rsidRDefault="001042DA" w:rsidP="00AF2AEA">
            <w:pPr>
              <w:keepNext/>
              <w:rPr>
                <w:rFonts w:eastAsia="Calibri"/>
              </w:rPr>
            </w:pPr>
            <w:r w:rsidRPr="006B1A5A">
              <w:rPr>
                <w:rFonts w:eastAsia="Calibri"/>
              </w:rPr>
              <w:t>Explosives</w:t>
            </w:r>
          </w:p>
        </w:tc>
        <w:tc>
          <w:tcPr>
            <w:tcW w:w="2120" w:type="dxa"/>
          </w:tcPr>
          <w:p w14:paraId="30B07423" w14:textId="77777777" w:rsidR="001042DA" w:rsidRPr="006B1A5A" w:rsidRDefault="001042DA" w:rsidP="00AF2AEA">
            <w:pPr>
              <w:keepNext/>
              <w:rPr>
                <w:rFonts w:eastAsia="Calibri"/>
              </w:rPr>
            </w:pPr>
            <w:r w:rsidRPr="006B1A5A">
              <w:rPr>
                <w:rFonts w:eastAsia="Calibri"/>
              </w:rPr>
              <w:t>Differential scanning colorimetry</w:t>
            </w:r>
          </w:p>
        </w:tc>
        <w:tc>
          <w:tcPr>
            <w:tcW w:w="2268" w:type="dxa"/>
          </w:tcPr>
          <w:p w14:paraId="7C6440F9" w14:textId="77777777" w:rsidR="001042DA" w:rsidRPr="006B1A5A" w:rsidRDefault="001042DA" w:rsidP="00AF2AEA">
            <w:pPr>
              <w:keepNext/>
              <w:rPr>
                <w:rFonts w:eastAsia="Calibri"/>
              </w:rPr>
            </w:pPr>
            <w:r w:rsidRPr="006B1A5A">
              <w:rPr>
                <w:rFonts w:eastAsia="Calibri"/>
              </w:rPr>
              <w:t>The total heat of decomposition was found to be &lt; 500 Jg</w:t>
            </w:r>
            <w:r w:rsidRPr="006B1A5A">
              <w:rPr>
                <w:rFonts w:eastAsia="Calibri"/>
                <w:vertAlign w:val="superscript"/>
              </w:rPr>
              <w:t>-1</w:t>
            </w:r>
            <w:r w:rsidRPr="006B1A5A">
              <w:rPr>
                <w:rFonts w:eastAsia="Calibri"/>
              </w:rPr>
              <w:t>. The sample is therefore not considered to have explosive properties.</w:t>
            </w:r>
          </w:p>
        </w:tc>
        <w:tc>
          <w:tcPr>
            <w:tcW w:w="2551" w:type="dxa"/>
          </w:tcPr>
          <w:p w14:paraId="2D1D7DA1" w14:textId="77777777" w:rsidR="001042DA" w:rsidRPr="006B1A5A" w:rsidRDefault="001042DA" w:rsidP="00AF2AEA">
            <w:pPr>
              <w:keepNext/>
              <w:autoSpaceDE w:val="0"/>
              <w:autoSpaceDN w:val="0"/>
              <w:adjustRightInd w:val="0"/>
              <w:rPr>
                <w:rFonts w:eastAsiaTheme="minorHAnsi" w:cs="Calibri-Bold"/>
                <w:bCs/>
                <w:lang w:eastAsia="en-US"/>
              </w:rPr>
            </w:pPr>
            <w:r w:rsidRPr="006B1A5A">
              <w:rPr>
                <w:rFonts w:eastAsiaTheme="minorHAnsi" w:cs="Calibri-Bold"/>
                <w:bCs/>
                <w:lang w:eastAsia="en-US"/>
              </w:rPr>
              <w:t>Hazardous Properties Testing on a Sample of</w:t>
            </w:r>
          </w:p>
          <w:p w14:paraId="5F6955FD" w14:textId="77777777" w:rsidR="001042DA" w:rsidRPr="006B1A5A" w:rsidRDefault="001042DA" w:rsidP="00AF2AEA">
            <w:pPr>
              <w:keepNext/>
            </w:pPr>
            <w:r w:rsidRPr="006B1A5A">
              <w:rPr>
                <w:rFonts w:eastAsiaTheme="minorHAnsi" w:cs="Calibri-Bold"/>
                <w:bCs/>
                <w:lang w:eastAsia="en-US"/>
              </w:rPr>
              <w:t xml:space="preserve">AquaNet HG360, 2017 report number </w:t>
            </w:r>
            <w:r w:rsidRPr="006B1A5A">
              <w:rPr>
                <w:rFonts w:eastAsiaTheme="minorHAnsi" w:cs="Calibri"/>
                <w:lang w:eastAsia="en-US"/>
              </w:rPr>
              <w:t>GLP3016001671BR1V1/2017</w:t>
            </w:r>
          </w:p>
        </w:tc>
      </w:tr>
      <w:tr w:rsidR="001042DA" w:rsidRPr="006B1A5A" w14:paraId="44FF7298" w14:textId="77777777" w:rsidTr="00AF2AEA">
        <w:tc>
          <w:tcPr>
            <w:tcW w:w="2270" w:type="dxa"/>
          </w:tcPr>
          <w:p w14:paraId="209EED4B" w14:textId="77777777" w:rsidR="001042DA" w:rsidRPr="006B1A5A" w:rsidRDefault="001042DA" w:rsidP="00AF2AEA">
            <w:pPr>
              <w:rPr>
                <w:rFonts w:eastAsia="Calibri"/>
              </w:rPr>
            </w:pPr>
            <w:r w:rsidRPr="006B1A5A">
              <w:rPr>
                <w:rFonts w:eastAsia="Calibri"/>
              </w:rPr>
              <w:t>Flammable gases</w:t>
            </w:r>
          </w:p>
        </w:tc>
        <w:tc>
          <w:tcPr>
            <w:tcW w:w="6939" w:type="dxa"/>
            <w:gridSpan w:val="3"/>
          </w:tcPr>
          <w:p w14:paraId="0C020827" w14:textId="77777777" w:rsidR="001042DA" w:rsidRPr="006B1A5A" w:rsidRDefault="001042DA" w:rsidP="00AF2AEA">
            <w:pPr>
              <w:autoSpaceDE w:val="0"/>
              <w:autoSpaceDN w:val="0"/>
              <w:adjustRightInd w:val="0"/>
              <w:rPr>
                <w:rFonts w:eastAsiaTheme="minorHAnsi" w:cs="Calibri-Bold"/>
                <w:bCs/>
                <w:lang w:eastAsia="en-US"/>
              </w:rPr>
            </w:pPr>
            <w:r w:rsidRPr="006B1A5A">
              <w:rPr>
                <w:rFonts w:eastAsia="Calibri"/>
              </w:rPr>
              <w:t>Not performed as not relevant for this product</w:t>
            </w:r>
          </w:p>
        </w:tc>
      </w:tr>
      <w:tr w:rsidR="001042DA" w:rsidRPr="006B1A5A" w14:paraId="205602FC" w14:textId="77777777" w:rsidTr="00AF2AEA">
        <w:tc>
          <w:tcPr>
            <w:tcW w:w="2270" w:type="dxa"/>
          </w:tcPr>
          <w:p w14:paraId="16DC146D" w14:textId="77777777" w:rsidR="001042DA" w:rsidRPr="006B1A5A" w:rsidRDefault="001042DA" w:rsidP="00AF2AEA">
            <w:pPr>
              <w:rPr>
                <w:rFonts w:eastAsia="Calibri"/>
              </w:rPr>
            </w:pPr>
            <w:r w:rsidRPr="006B1A5A">
              <w:rPr>
                <w:rFonts w:eastAsia="Calibri"/>
              </w:rPr>
              <w:t>Flammable aerosols</w:t>
            </w:r>
          </w:p>
        </w:tc>
        <w:tc>
          <w:tcPr>
            <w:tcW w:w="6939" w:type="dxa"/>
            <w:gridSpan w:val="3"/>
          </w:tcPr>
          <w:p w14:paraId="14085FF5" w14:textId="77777777" w:rsidR="001042DA" w:rsidRPr="006B1A5A" w:rsidRDefault="001042DA" w:rsidP="00AF2AEA">
            <w:r w:rsidRPr="006B1A5A">
              <w:rPr>
                <w:rFonts w:eastAsia="Calibri"/>
              </w:rPr>
              <w:t>Not performed as not relevant for this product</w:t>
            </w:r>
          </w:p>
        </w:tc>
      </w:tr>
      <w:tr w:rsidR="001042DA" w:rsidRPr="006B1A5A" w14:paraId="4C51E132" w14:textId="77777777" w:rsidTr="00AF2AEA">
        <w:tc>
          <w:tcPr>
            <w:tcW w:w="2270" w:type="dxa"/>
          </w:tcPr>
          <w:p w14:paraId="1EBD543E" w14:textId="77777777" w:rsidR="001042DA" w:rsidRPr="006B1A5A" w:rsidRDefault="001042DA" w:rsidP="00AF2AEA">
            <w:pPr>
              <w:rPr>
                <w:rFonts w:eastAsia="Calibri"/>
              </w:rPr>
            </w:pPr>
            <w:r w:rsidRPr="006B1A5A">
              <w:rPr>
                <w:rFonts w:eastAsia="Calibri"/>
              </w:rPr>
              <w:t>Oxidising gases</w:t>
            </w:r>
          </w:p>
        </w:tc>
        <w:tc>
          <w:tcPr>
            <w:tcW w:w="6939" w:type="dxa"/>
            <w:gridSpan w:val="3"/>
          </w:tcPr>
          <w:p w14:paraId="60558811" w14:textId="77777777" w:rsidR="001042DA" w:rsidRPr="006B1A5A" w:rsidRDefault="001042DA" w:rsidP="00AF2AEA">
            <w:pPr>
              <w:autoSpaceDE w:val="0"/>
              <w:autoSpaceDN w:val="0"/>
              <w:adjustRightInd w:val="0"/>
              <w:rPr>
                <w:rFonts w:eastAsiaTheme="minorHAnsi" w:cs="Calibri-Bold"/>
                <w:bCs/>
                <w:lang w:eastAsia="en-US"/>
              </w:rPr>
            </w:pPr>
            <w:r w:rsidRPr="006B1A5A">
              <w:rPr>
                <w:rFonts w:eastAsia="Calibri"/>
              </w:rPr>
              <w:t>Not performed as not relevant for this product</w:t>
            </w:r>
          </w:p>
        </w:tc>
      </w:tr>
      <w:tr w:rsidR="001042DA" w:rsidRPr="006B1A5A" w14:paraId="065595AA" w14:textId="77777777" w:rsidTr="00AF2AEA">
        <w:tc>
          <w:tcPr>
            <w:tcW w:w="2270" w:type="dxa"/>
          </w:tcPr>
          <w:p w14:paraId="7C392004" w14:textId="77777777" w:rsidR="001042DA" w:rsidRPr="006B1A5A" w:rsidRDefault="001042DA" w:rsidP="00AF2AEA">
            <w:pPr>
              <w:rPr>
                <w:rFonts w:eastAsia="Calibri"/>
              </w:rPr>
            </w:pPr>
            <w:r w:rsidRPr="006B1A5A">
              <w:rPr>
                <w:rFonts w:eastAsia="Calibri"/>
              </w:rPr>
              <w:t>Gases under pressure</w:t>
            </w:r>
          </w:p>
        </w:tc>
        <w:tc>
          <w:tcPr>
            <w:tcW w:w="6939" w:type="dxa"/>
            <w:gridSpan w:val="3"/>
          </w:tcPr>
          <w:p w14:paraId="368E2606" w14:textId="77777777" w:rsidR="001042DA" w:rsidRPr="006B1A5A" w:rsidRDefault="001042DA" w:rsidP="00AF2AEA">
            <w:r w:rsidRPr="006B1A5A">
              <w:rPr>
                <w:rFonts w:eastAsia="Calibri"/>
              </w:rPr>
              <w:t>Not performed as not relevant for this product</w:t>
            </w:r>
          </w:p>
        </w:tc>
      </w:tr>
      <w:tr w:rsidR="001042DA" w:rsidRPr="006B1A5A" w14:paraId="78FC5A44" w14:textId="77777777" w:rsidTr="00AF2AEA">
        <w:tc>
          <w:tcPr>
            <w:tcW w:w="2270" w:type="dxa"/>
          </w:tcPr>
          <w:p w14:paraId="1C5B5A4D" w14:textId="77777777" w:rsidR="001042DA" w:rsidRPr="006B1A5A" w:rsidRDefault="001042DA" w:rsidP="00AF2AEA">
            <w:pPr>
              <w:rPr>
                <w:rFonts w:eastAsia="Calibri"/>
              </w:rPr>
            </w:pPr>
            <w:r w:rsidRPr="006B1A5A">
              <w:rPr>
                <w:rFonts w:eastAsia="Calibri"/>
              </w:rPr>
              <w:t>Flammable liquids</w:t>
            </w:r>
          </w:p>
        </w:tc>
        <w:tc>
          <w:tcPr>
            <w:tcW w:w="2120" w:type="dxa"/>
          </w:tcPr>
          <w:p w14:paraId="77A3F0A5" w14:textId="77777777" w:rsidR="001042DA" w:rsidRPr="006B1A5A" w:rsidRDefault="001042DA" w:rsidP="00AF2AEA">
            <w:pPr>
              <w:rPr>
                <w:rFonts w:eastAsia="Calibri"/>
              </w:rPr>
            </w:pPr>
            <w:r w:rsidRPr="006B1A5A">
              <w:rPr>
                <w:rFonts w:eastAsia="Calibri"/>
              </w:rPr>
              <w:t>ASTM D93</w:t>
            </w:r>
          </w:p>
        </w:tc>
        <w:tc>
          <w:tcPr>
            <w:tcW w:w="2268" w:type="dxa"/>
          </w:tcPr>
          <w:p w14:paraId="6753DE61" w14:textId="77777777" w:rsidR="001042DA" w:rsidRPr="006B1A5A" w:rsidRDefault="001042DA" w:rsidP="00AF2AEA">
            <w:pPr>
              <w:rPr>
                <w:rFonts w:eastAsia="Calibri"/>
              </w:rPr>
            </w:pPr>
            <w:r w:rsidRPr="006B1A5A">
              <w:rPr>
                <w:rFonts w:eastAsia="Calibri"/>
              </w:rPr>
              <w:t>The closed-cup flash point temperature of Aqua Net HG360 has been determined to be ‘No Flash to Boiling’.</w:t>
            </w:r>
          </w:p>
        </w:tc>
        <w:tc>
          <w:tcPr>
            <w:tcW w:w="2551" w:type="dxa"/>
          </w:tcPr>
          <w:p w14:paraId="17871392" w14:textId="77777777" w:rsidR="001042DA" w:rsidRPr="006B1A5A" w:rsidRDefault="001042DA" w:rsidP="00AF2AEA">
            <w:pPr>
              <w:autoSpaceDE w:val="0"/>
              <w:autoSpaceDN w:val="0"/>
              <w:adjustRightInd w:val="0"/>
              <w:rPr>
                <w:rFonts w:eastAsiaTheme="minorHAnsi" w:cs="Calibri-Bold"/>
                <w:bCs/>
                <w:lang w:eastAsia="en-US"/>
              </w:rPr>
            </w:pPr>
            <w:r w:rsidRPr="006B1A5A">
              <w:rPr>
                <w:rFonts w:eastAsiaTheme="minorHAnsi" w:cs="Calibri-Bold"/>
                <w:bCs/>
                <w:lang w:eastAsia="en-US"/>
              </w:rPr>
              <w:t>Hazardous Properties Testing on a Sample of</w:t>
            </w:r>
          </w:p>
          <w:p w14:paraId="340683D5" w14:textId="77777777" w:rsidR="001042DA" w:rsidRPr="006B1A5A" w:rsidRDefault="001042DA" w:rsidP="00AF2AEA">
            <w:r w:rsidRPr="006B1A5A">
              <w:rPr>
                <w:rFonts w:eastAsiaTheme="minorHAnsi" w:cs="Calibri-Bold"/>
                <w:bCs/>
                <w:lang w:eastAsia="en-US"/>
              </w:rPr>
              <w:t xml:space="preserve">AquaNet HG360, 2017 report number </w:t>
            </w:r>
            <w:r w:rsidRPr="006B1A5A">
              <w:rPr>
                <w:rFonts w:eastAsiaTheme="minorHAnsi" w:cs="Calibri"/>
                <w:lang w:eastAsia="en-US"/>
              </w:rPr>
              <w:t>GLP3016001671BR1V1/2017</w:t>
            </w:r>
          </w:p>
        </w:tc>
      </w:tr>
      <w:tr w:rsidR="001042DA" w:rsidRPr="006B1A5A" w14:paraId="278EA36C" w14:textId="77777777" w:rsidTr="00AF2AEA">
        <w:tc>
          <w:tcPr>
            <w:tcW w:w="2270" w:type="dxa"/>
          </w:tcPr>
          <w:p w14:paraId="041FE562" w14:textId="77777777" w:rsidR="001042DA" w:rsidRPr="006B1A5A" w:rsidRDefault="001042DA" w:rsidP="00AF2AEA">
            <w:pPr>
              <w:rPr>
                <w:rFonts w:eastAsia="Calibri"/>
              </w:rPr>
            </w:pPr>
            <w:r w:rsidRPr="006B1A5A">
              <w:rPr>
                <w:rFonts w:eastAsia="Calibri"/>
              </w:rPr>
              <w:t>Flammable solids</w:t>
            </w:r>
          </w:p>
        </w:tc>
        <w:tc>
          <w:tcPr>
            <w:tcW w:w="6939" w:type="dxa"/>
            <w:gridSpan w:val="3"/>
          </w:tcPr>
          <w:p w14:paraId="56AF8BAF" w14:textId="77777777" w:rsidR="001042DA" w:rsidRPr="006B1A5A" w:rsidRDefault="001042DA" w:rsidP="00AF2AEA">
            <w:r w:rsidRPr="006B1A5A">
              <w:rPr>
                <w:rFonts w:eastAsia="Calibri"/>
              </w:rPr>
              <w:t>Not performed as not relevant for this product</w:t>
            </w:r>
          </w:p>
        </w:tc>
      </w:tr>
      <w:tr w:rsidR="001042DA" w:rsidRPr="006B1A5A" w14:paraId="0C2DD7AA" w14:textId="77777777" w:rsidTr="00AF2AEA">
        <w:tc>
          <w:tcPr>
            <w:tcW w:w="2270" w:type="dxa"/>
          </w:tcPr>
          <w:p w14:paraId="262040D3" w14:textId="77777777" w:rsidR="001042DA" w:rsidRPr="006B1A5A" w:rsidRDefault="001042DA" w:rsidP="00AF2AEA">
            <w:pPr>
              <w:rPr>
                <w:rFonts w:eastAsia="Calibri"/>
              </w:rPr>
            </w:pPr>
            <w:r w:rsidRPr="006B1A5A">
              <w:rPr>
                <w:rFonts w:eastAsia="Calibri"/>
              </w:rPr>
              <w:t>Self-reactive substances and mixtures</w:t>
            </w:r>
          </w:p>
        </w:tc>
        <w:tc>
          <w:tcPr>
            <w:tcW w:w="2120" w:type="dxa"/>
          </w:tcPr>
          <w:p w14:paraId="3E63A948" w14:textId="77777777" w:rsidR="001042DA" w:rsidRPr="006B1A5A" w:rsidRDefault="001042DA" w:rsidP="00AF2AEA">
            <w:pPr>
              <w:rPr>
                <w:rFonts w:eastAsia="Calibri"/>
              </w:rPr>
            </w:pPr>
            <w:r w:rsidRPr="006B1A5A">
              <w:rPr>
                <w:rFonts w:eastAsia="Calibri"/>
              </w:rPr>
              <w:t>Not performed</w:t>
            </w:r>
          </w:p>
        </w:tc>
        <w:tc>
          <w:tcPr>
            <w:tcW w:w="2268" w:type="dxa"/>
          </w:tcPr>
          <w:p w14:paraId="106205B4" w14:textId="77777777" w:rsidR="001042DA" w:rsidRPr="006B1A5A" w:rsidRDefault="001042DA" w:rsidP="00AF2AEA">
            <w:pPr>
              <w:rPr>
                <w:rFonts w:eastAsia="Calibri"/>
              </w:rPr>
            </w:pPr>
            <w:r w:rsidRPr="006B1A5A">
              <w:rPr>
                <w:rFonts w:eastAsia="Calibri"/>
              </w:rPr>
              <w:t>According to the differential scanning colorimetry performed, the total heat of decomposition was determined as 358.5 J g</w:t>
            </w:r>
            <w:r w:rsidRPr="006B1A5A">
              <w:rPr>
                <w:rFonts w:eastAsia="Calibri"/>
                <w:vertAlign w:val="superscript"/>
              </w:rPr>
              <w:t>-1</w:t>
            </w:r>
            <w:r w:rsidRPr="006B1A5A">
              <w:rPr>
                <w:rFonts w:eastAsia="Calibri"/>
              </w:rPr>
              <w:t>. According to CLP Classification, HG360 should be considered as a Self-reactive mixture (Type G).</w:t>
            </w:r>
          </w:p>
        </w:tc>
        <w:tc>
          <w:tcPr>
            <w:tcW w:w="2551" w:type="dxa"/>
          </w:tcPr>
          <w:p w14:paraId="1B817600" w14:textId="77777777" w:rsidR="001042DA" w:rsidRPr="006B1A5A" w:rsidRDefault="001042DA" w:rsidP="00AF2AEA">
            <w:pPr>
              <w:autoSpaceDE w:val="0"/>
              <w:autoSpaceDN w:val="0"/>
              <w:adjustRightInd w:val="0"/>
              <w:rPr>
                <w:rFonts w:eastAsiaTheme="minorHAnsi" w:cs="Calibri-Bold"/>
                <w:bCs/>
                <w:lang w:eastAsia="en-US"/>
              </w:rPr>
            </w:pPr>
            <w:r w:rsidRPr="006B1A5A">
              <w:rPr>
                <w:rFonts w:eastAsiaTheme="minorHAnsi" w:cs="Calibri-Bold"/>
                <w:bCs/>
                <w:lang w:eastAsia="en-US"/>
              </w:rPr>
              <w:t>Hazardous Properties Testing on a Sample of</w:t>
            </w:r>
          </w:p>
          <w:p w14:paraId="5098ACE6" w14:textId="77777777" w:rsidR="001042DA" w:rsidRPr="006B1A5A" w:rsidRDefault="001042DA" w:rsidP="00AF2AEA">
            <w:r w:rsidRPr="006B1A5A">
              <w:rPr>
                <w:rFonts w:eastAsiaTheme="minorHAnsi" w:cs="Calibri-Bold"/>
                <w:bCs/>
                <w:lang w:eastAsia="en-US"/>
              </w:rPr>
              <w:t xml:space="preserve">AquaNet HG360, 2017 report number </w:t>
            </w:r>
            <w:r w:rsidRPr="006B1A5A">
              <w:rPr>
                <w:rFonts w:eastAsiaTheme="minorHAnsi" w:cs="Calibri"/>
                <w:lang w:eastAsia="en-US"/>
              </w:rPr>
              <w:t>GLP3016001671BR1V1/2017</w:t>
            </w:r>
          </w:p>
        </w:tc>
      </w:tr>
      <w:tr w:rsidR="001042DA" w:rsidRPr="006B1A5A" w14:paraId="0A440C5D" w14:textId="77777777" w:rsidTr="00AF2AEA">
        <w:tc>
          <w:tcPr>
            <w:tcW w:w="2270" w:type="dxa"/>
          </w:tcPr>
          <w:p w14:paraId="55B73BA5" w14:textId="77777777" w:rsidR="001042DA" w:rsidRPr="006B1A5A" w:rsidRDefault="001042DA" w:rsidP="00AF2AEA">
            <w:pPr>
              <w:rPr>
                <w:rFonts w:eastAsia="Calibri"/>
              </w:rPr>
            </w:pPr>
            <w:r w:rsidRPr="006B1A5A">
              <w:rPr>
                <w:rFonts w:eastAsia="Calibri"/>
              </w:rPr>
              <w:t>Pyrophoric liquids</w:t>
            </w:r>
          </w:p>
        </w:tc>
        <w:tc>
          <w:tcPr>
            <w:tcW w:w="2120" w:type="dxa"/>
          </w:tcPr>
          <w:p w14:paraId="71780D31" w14:textId="77777777" w:rsidR="001042DA" w:rsidRPr="006B1A5A" w:rsidRDefault="001042DA" w:rsidP="00AF2AEA">
            <w:pPr>
              <w:rPr>
                <w:rFonts w:eastAsia="Calibri"/>
              </w:rPr>
            </w:pPr>
            <w:r w:rsidRPr="006B1A5A">
              <w:rPr>
                <w:rFonts w:eastAsia="Calibri"/>
              </w:rPr>
              <w:t>Not performed</w:t>
            </w:r>
          </w:p>
        </w:tc>
        <w:tc>
          <w:tcPr>
            <w:tcW w:w="2268" w:type="dxa"/>
          </w:tcPr>
          <w:p w14:paraId="259F125B" w14:textId="77777777" w:rsidR="001042DA" w:rsidRPr="006B1A5A" w:rsidRDefault="001042DA" w:rsidP="00AF2AEA">
            <w:pPr>
              <w:rPr>
                <w:rFonts w:eastAsia="Calibri"/>
              </w:rPr>
            </w:pPr>
            <w:r w:rsidRPr="006B1A5A">
              <w:rPr>
                <w:rFonts w:eastAsia="Calibri"/>
              </w:rPr>
              <w:t>No ignition of the product by air is expected.</w:t>
            </w:r>
          </w:p>
          <w:p w14:paraId="628FE2C8" w14:textId="77777777" w:rsidR="001042DA" w:rsidRPr="006B1A5A" w:rsidRDefault="001042DA" w:rsidP="00AF2AEA">
            <w:pPr>
              <w:rPr>
                <w:rFonts w:eastAsia="Calibri"/>
              </w:rPr>
            </w:pPr>
            <w:r w:rsidRPr="006B1A5A">
              <w:rPr>
                <w:rFonts w:eastAsia="Calibri"/>
              </w:rPr>
              <w:t>The product is a liquid use for net dipping. The product has already been sold previously under the old directive and no Pyrophoric property has been saw.</w:t>
            </w:r>
          </w:p>
        </w:tc>
        <w:tc>
          <w:tcPr>
            <w:tcW w:w="2551" w:type="dxa"/>
          </w:tcPr>
          <w:p w14:paraId="44FBF590" w14:textId="77777777" w:rsidR="001042DA" w:rsidRPr="006B1A5A" w:rsidRDefault="001042DA" w:rsidP="00AF2AEA">
            <w:pPr>
              <w:autoSpaceDE w:val="0"/>
              <w:autoSpaceDN w:val="0"/>
              <w:adjustRightInd w:val="0"/>
              <w:rPr>
                <w:rFonts w:eastAsiaTheme="minorHAnsi" w:cs="Calibri-Bold"/>
                <w:bCs/>
                <w:lang w:eastAsia="en-US"/>
              </w:rPr>
            </w:pPr>
            <w:r w:rsidRPr="006B1A5A">
              <w:rPr>
                <w:rFonts w:eastAsiaTheme="minorHAnsi" w:cs="Calibri-Bold"/>
                <w:bCs/>
                <w:lang w:eastAsia="en-US"/>
              </w:rPr>
              <w:t>Hazardous Properties Testing on a Sample of</w:t>
            </w:r>
          </w:p>
          <w:p w14:paraId="1108662A" w14:textId="77777777" w:rsidR="001042DA" w:rsidRPr="006B1A5A" w:rsidRDefault="001042DA" w:rsidP="00AF2AEA">
            <w:r w:rsidRPr="006B1A5A">
              <w:rPr>
                <w:rFonts w:eastAsiaTheme="minorHAnsi" w:cs="Calibri-Bold"/>
                <w:bCs/>
                <w:lang w:eastAsia="en-US"/>
              </w:rPr>
              <w:t xml:space="preserve">AquaNet HG360, 2017 report number </w:t>
            </w:r>
            <w:r w:rsidRPr="006B1A5A">
              <w:rPr>
                <w:rFonts w:eastAsiaTheme="minorHAnsi" w:cs="Calibri"/>
                <w:lang w:eastAsia="en-US"/>
              </w:rPr>
              <w:t>GLP3016001671BR1V1/2017</w:t>
            </w:r>
          </w:p>
        </w:tc>
      </w:tr>
      <w:tr w:rsidR="001042DA" w:rsidRPr="006B1A5A" w14:paraId="71EACA41" w14:textId="77777777" w:rsidTr="00AF2AEA">
        <w:tc>
          <w:tcPr>
            <w:tcW w:w="2270" w:type="dxa"/>
          </w:tcPr>
          <w:p w14:paraId="6F9AFA9D" w14:textId="77777777" w:rsidR="001042DA" w:rsidRPr="006B1A5A" w:rsidRDefault="001042DA" w:rsidP="00AF2AEA">
            <w:pPr>
              <w:rPr>
                <w:rFonts w:eastAsia="Calibri"/>
              </w:rPr>
            </w:pPr>
            <w:r w:rsidRPr="006B1A5A">
              <w:rPr>
                <w:rFonts w:eastAsia="Calibri"/>
              </w:rPr>
              <w:t>Pyrophoric solids</w:t>
            </w:r>
          </w:p>
        </w:tc>
        <w:tc>
          <w:tcPr>
            <w:tcW w:w="6939" w:type="dxa"/>
            <w:gridSpan w:val="3"/>
          </w:tcPr>
          <w:p w14:paraId="278D4708" w14:textId="77777777" w:rsidR="001042DA" w:rsidRPr="006B1A5A" w:rsidRDefault="001042DA" w:rsidP="00AF2AEA">
            <w:pPr>
              <w:autoSpaceDE w:val="0"/>
              <w:autoSpaceDN w:val="0"/>
              <w:adjustRightInd w:val="0"/>
              <w:rPr>
                <w:rFonts w:eastAsiaTheme="minorHAnsi" w:cs="Calibri-Bold"/>
                <w:bCs/>
                <w:lang w:eastAsia="en-US"/>
              </w:rPr>
            </w:pPr>
            <w:r w:rsidRPr="006B1A5A">
              <w:rPr>
                <w:rFonts w:eastAsia="Calibri"/>
              </w:rPr>
              <w:t>Not performed as not relevant for this product</w:t>
            </w:r>
          </w:p>
        </w:tc>
      </w:tr>
      <w:tr w:rsidR="001042DA" w:rsidRPr="006B1A5A" w14:paraId="59552A9E" w14:textId="77777777" w:rsidTr="00AF2AEA">
        <w:tc>
          <w:tcPr>
            <w:tcW w:w="2270" w:type="dxa"/>
          </w:tcPr>
          <w:p w14:paraId="575E2356" w14:textId="77777777" w:rsidR="001042DA" w:rsidRPr="006B1A5A" w:rsidRDefault="001042DA" w:rsidP="00AF2AEA">
            <w:pPr>
              <w:rPr>
                <w:rFonts w:eastAsia="Calibri"/>
              </w:rPr>
            </w:pPr>
            <w:r w:rsidRPr="006B1A5A">
              <w:rPr>
                <w:rFonts w:eastAsia="Calibri"/>
              </w:rPr>
              <w:t>Self-heating substances and mixtures</w:t>
            </w:r>
          </w:p>
        </w:tc>
        <w:tc>
          <w:tcPr>
            <w:tcW w:w="2120" w:type="dxa"/>
          </w:tcPr>
          <w:p w14:paraId="517E80AB" w14:textId="77777777" w:rsidR="001042DA" w:rsidRPr="006B1A5A" w:rsidRDefault="001042DA" w:rsidP="00AF2AEA">
            <w:pPr>
              <w:rPr>
                <w:rFonts w:eastAsia="Calibri"/>
              </w:rPr>
            </w:pPr>
            <w:r w:rsidRPr="006B1A5A">
              <w:rPr>
                <w:rFonts w:eastAsia="Calibri"/>
              </w:rPr>
              <w:t>Differential scanning colorimetry</w:t>
            </w:r>
          </w:p>
        </w:tc>
        <w:tc>
          <w:tcPr>
            <w:tcW w:w="2268" w:type="dxa"/>
          </w:tcPr>
          <w:p w14:paraId="7D1B0592" w14:textId="77777777" w:rsidR="001042DA" w:rsidRPr="006B1A5A" w:rsidRDefault="001042DA" w:rsidP="00AF2AEA">
            <w:pPr>
              <w:rPr>
                <w:rFonts w:eastAsia="Calibri"/>
              </w:rPr>
            </w:pPr>
            <w:r w:rsidRPr="006B1A5A">
              <w:rPr>
                <w:rFonts w:eastAsia="Calibri"/>
              </w:rPr>
              <w:t>A sample is a candidate for classification as a UN Class 4, Division 4.1 self-reactive substance if the heat of decomposition is &gt; 300 Jg</w:t>
            </w:r>
            <w:r w:rsidRPr="006B1A5A">
              <w:rPr>
                <w:rFonts w:eastAsia="Calibri"/>
                <w:vertAlign w:val="superscript"/>
              </w:rPr>
              <w:t>-1</w:t>
            </w:r>
            <w:r w:rsidRPr="006B1A5A">
              <w:rPr>
                <w:rFonts w:eastAsia="Calibri"/>
              </w:rPr>
              <w:t>.</w:t>
            </w:r>
          </w:p>
          <w:p w14:paraId="10B1AFFF" w14:textId="77777777" w:rsidR="001042DA" w:rsidRPr="006B1A5A" w:rsidRDefault="001042DA" w:rsidP="00AF2AEA">
            <w:pPr>
              <w:rPr>
                <w:rFonts w:eastAsia="Calibri"/>
              </w:rPr>
            </w:pPr>
            <w:r w:rsidRPr="006B1A5A">
              <w:rPr>
                <w:rFonts w:eastAsia="Calibri"/>
              </w:rPr>
              <w:t>AquaNet HG360 has a total heat of decomposition of 358.5 Jg</w:t>
            </w:r>
            <w:r w:rsidRPr="006B1A5A">
              <w:rPr>
                <w:rFonts w:eastAsia="Calibri"/>
                <w:vertAlign w:val="superscript"/>
              </w:rPr>
              <w:t>-1</w:t>
            </w:r>
            <w:r w:rsidRPr="006B1A5A">
              <w:rPr>
                <w:rFonts w:eastAsia="Calibri"/>
              </w:rPr>
              <w:t>.</w:t>
            </w:r>
          </w:p>
        </w:tc>
        <w:tc>
          <w:tcPr>
            <w:tcW w:w="2551" w:type="dxa"/>
          </w:tcPr>
          <w:p w14:paraId="0BB98A27" w14:textId="77777777" w:rsidR="001042DA" w:rsidRPr="006B1A5A" w:rsidRDefault="001042DA" w:rsidP="00AF2AEA">
            <w:pPr>
              <w:autoSpaceDE w:val="0"/>
              <w:autoSpaceDN w:val="0"/>
              <w:adjustRightInd w:val="0"/>
              <w:rPr>
                <w:rFonts w:eastAsiaTheme="minorHAnsi" w:cs="Calibri-Bold"/>
                <w:bCs/>
                <w:lang w:eastAsia="en-US"/>
              </w:rPr>
            </w:pPr>
            <w:r w:rsidRPr="006B1A5A">
              <w:rPr>
                <w:rFonts w:eastAsiaTheme="minorHAnsi" w:cs="Calibri-Bold"/>
                <w:bCs/>
                <w:lang w:eastAsia="en-US"/>
              </w:rPr>
              <w:t>Hazardous Properties Testing on a Sample of</w:t>
            </w:r>
          </w:p>
          <w:p w14:paraId="67F5BCB4" w14:textId="77777777" w:rsidR="001042DA" w:rsidRPr="006B1A5A" w:rsidRDefault="001042DA" w:rsidP="00AF2AEA">
            <w:r w:rsidRPr="006B1A5A">
              <w:rPr>
                <w:rFonts w:eastAsiaTheme="minorHAnsi" w:cs="Calibri-Bold"/>
                <w:bCs/>
                <w:lang w:eastAsia="en-US"/>
              </w:rPr>
              <w:t xml:space="preserve">AquaNet HG360, 2017 report number </w:t>
            </w:r>
            <w:r w:rsidRPr="006B1A5A">
              <w:rPr>
                <w:rFonts w:eastAsiaTheme="minorHAnsi" w:cs="Calibri"/>
                <w:lang w:eastAsia="en-US"/>
              </w:rPr>
              <w:t>GLP3016001671BR1V1/2017</w:t>
            </w:r>
          </w:p>
        </w:tc>
      </w:tr>
      <w:tr w:rsidR="001042DA" w:rsidRPr="006B1A5A" w14:paraId="607C1C7C" w14:textId="77777777" w:rsidTr="00AF2AEA">
        <w:tc>
          <w:tcPr>
            <w:tcW w:w="2270" w:type="dxa"/>
          </w:tcPr>
          <w:p w14:paraId="3350D873" w14:textId="77777777" w:rsidR="001042DA" w:rsidRPr="006B1A5A" w:rsidRDefault="001042DA" w:rsidP="00AF2AEA">
            <w:pPr>
              <w:rPr>
                <w:rFonts w:eastAsia="Calibri"/>
              </w:rPr>
            </w:pPr>
            <w:r w:rsidRPr="006B1A5A">
              <w:rPr>
                <w:rFonts w:eastAsia="Calibri"/>
              </w:rPr>
              <w:t>Substances and mixtures which in contact with water emit flammable gases</w:t>
            </w:r>
          </w:p>
        </w:tc>
        <w:tc>
          <w:tcPr>
            <w:tcW w:w="2120" w:type="dxa"/>
          </w:tcPr>
          <w:p w14:paraId="3F8C8094" w14:textId="77777777" w:rsidR="001042DA" w:rsidRPr="006B1A5A" w:rsidRDefault="001042DA" w:rsidP="00AF2AEA">
            <w:pPr>
              <w:rPr>
                <w:rFonts w:eastAsia="Calibri"/>
              </w:rPr>
            </w:pPr>
            <w:r w:rsidRPr="006B1A5A">
              <w:rPr>
                <w:rFonts w:eastAsia="Calibri"/>
              </w:rPr>
              <w:t>Not performed</w:t>
            </w:r>
          </w:p>
        </w:tc>
        <w:tc>
          <w:tcPr>
            <w:tcW w:w="2268" w:type="dxa"/>
          </w:tcPr>
          <w:p w14:paraId="0C2D8E94" w14:textId="77777777" w:rsidR="001042DA" w:rsidRPr="006B1A5A" w:rsidRDefault="001042DA" w:rsidP="00AF2AEA">
            <w:pPr>
              <w:rPr>
                <w:rFonts w:eastAsia="Calibri"/>
              </w:rPr>
            </w:pPr>
            <w:r w:rsidRPr="006B1A5A">
              <w:rPr>
                <w:rFonts w:eastAsia="Calibri"/>
              </w:rPr>
              <w:t>The product is intended to be diluted with water and/or already contains water as solvent. No flammable gases occurred after dilution.</w:t>
            </w:r>
          </w:p>
        </w:tc>
        <w:tc>
          <w:tcPr>
            <w:tcW w:w="2551" w:type="dxa"/>
          </w:tcPr>
          <w:p w14:paraId="4AC36AF4" w14:textId="77777777" w:rsidR="001042DA" w:rsidRPr="006B1A5A" w:rsidRDefault="001042DA" w:rsidP="00AF2AEA">
            <w:pPr>
              <w:autoSpaceDE w:val="0"/>
              <w:autoSpaceDN w:val="0"/>
              <w:adjustRightInd w:val="0"/>
              <w:rPr>
                <w:rFonts w:eastAsiaTheme="minorHAnsi" w:cs="Calibri-Bold"/>
                <w:bCs/>
                <w:lang w:eastAsia="en-US"/>
              </w:rPr>
            </w:pPr>
            <w:r w:rsidRPr="006B1A5A">
              <w:rPr>
                <w:rFonts w:eastAsiaTheme="minorHAnsi" w:cs="Calibri-Bold"/>
                <w:bCs/>
                <w:lang w:eastAsia="en-US"/>
              </w:rPr>
              <w:t>Hazardous Properties Testing on a Sample of</w:t>
            </w:r>
          </w:p>
          <w:p w14:paraId="45EAEC68" w14:textId="77777777" w:rsidR="001042DA" w:rsidRPr="006B1A5A" w:rsidRDefault="001042DA" w:rsidP="00AF2AEA">
            <w:r w:rsidRPr="006B1A5A">
              <w:rPr>
                <w:rFonts w:eastAsiaTheme="minorHAnsi" w:cs="Calibri-Bold"/>
                <w:bCs/>
                <w:lang w:eastAsia="en-US"/>
              </w:rPr>
              <w:t xml:space="preserve">AquaNet HG360, 2017 report number </w:t>
            </w:r>
            <w:r w:rsidRPr="006B1A5A">
              <w:rPr>
                <w:rFonts w:eastAsiaTheme="minorHAnsi" w:cs="Calibri"/>
                <w:lang w:eastAsia="en-US"/>
              </w:rPr>
              <w:t>GLP3016001671BR1V1/2017</w:t>
            </w:r>
          </w:p>
        </w:tc>
      </w:tr>
      <w:tr w:rsidR="001042DA" w:rsidRPr="006B1A5A" w14:paraId="3A9FDB93" w14:textId="77777777" w:rsidTr="00AF2AEA">
        <w:tc>
          <w:tcPr>
            <w:tcW w:w="2270" w:type="dxa"/>
          </w:tcPr>
          <w:p w14:paraId="145D9E8F" w14:textId="77777777" w:rsidR="001042DA" w:rsidRPr="006B1A5A" w:rsidRDefault="001042DA" w:rsidP="00AF2AEA">
            <w:pPr>
              <w:rPr>
                <w:rFonts w:eastAsia="Calibri"/>
              </w:rPr>
            </w:pPr>
            <w:r w:rsidRPr="006B1A5A">
              <w:rPr>
                <w:rFonts w:eastAsia="Calibri"/>
              </w:rPr>
              <w:t>Oxidising liquids</w:t>
            </w:r>
          </w:p>
        </w:tc>
        <w:tc>
          <w:tcPr>
            <w:tcW w:w="2120" w:type="dxa"/>
          </w:tcPr>
          <w:p w14:paraId="6698A1CC" w14:textId="77777777" w:rsidR="001042DA" w:rsidRPr="006B1A5A" w:rsidRDefault="001042DA" w:rsidP="00AF2AEA">
            <w:pPr>
              <w:rPr>
                <w:rFonts w:eastAsia="Calibri"/>
              </w:rPr>
            </w:pPr>
            <w:r w:rsidRPr="006B1A5A">
              <w:rPr>
                <w:rFonts w:eastAsia="Calibri"/>
              </w:rPr>
              <w:t>Calculation based on components properties</w:t>
            </w:r>
          </w:p>
        </w:tc>
        <w:tc>
          <w:tcPr>
            <w:tcW w:w="2268" w:type="dxa"/>
          </w:tcPr>
          <w:p w14:paraId="088404C0" w14:textId="77777777" w:rsidR="001042DA" w:rsidRPr="006B1A5A" w:rsidRDefault="001042DA" w:rsidP="00AF2AEA">
            <w:pPr>
              <w:rPr>
                <w:rFonts w:eastAsia="Calibri"/>
              </w:rPr>
            </w:pPr>
            <w:r w:rsidRPr="006B1A5A">
              <w:rPr>
                <w:rFonts w:eastAsia="Calibri"/>
              </w:rPr>
              <w:t>The product is not considered as having oxidising properties</w:t>
            </w:r>
          </w:p>
        </w:tc>
        <w:tc>
          <w:tcPr>
            <w:tcW w:w="2551" w:type="dxa"/>
          </w:tcPr>
          <w:p w14:paraId="4BB6F3F8" w14:textId="77777777" w:rsidR="001042DA" w:rsidRPr="006B1A5A" w:rsidRDefault="001042DA" w:rsidP="00AF2AEA">
            <w:pPr>
              <w:autoSpaceDE w:val="0"/>
              <w:autoSpaceDN w:val="0"/>
              <w:adjustRightInd w:val="0"/>
              <w:rPr>
                <w:rFonts w:eastAsiaTheme="minorHAnsi" w:cs="Calibri-Bold"/>
                <w:bCs/>
                <w:lang w:eastAsia="en-US"/>
              </w:rPr>
            </w:pPr>
            <w:r w:rsidRPr="006B1A5A">
              <w:rPr>
                <w:rFonts w:eastAsiaTheme="minorHAnsi" w:cs="Calibri-Bold"/>
                <w:bCs/>
                <w:lang w:eastAsia="en-US"/>
              </w:rPr>
              <w:t>Hazardous Properties Testing on a Sample of</w:t>
            </w:r>
          </w:p>
          <w:p w14:paraId="44BA501A" w14:textId="77777777" w:rsidR="001042DA" w:rsidRPr="006B1A5A" w:rsidRDefault="001042DA" w:rsidP="00AF2AEA">
            <w:r w:rsidRPr="006B1A5A">
              <w:rPr>
                <w:rFonts w:eastAsiaTheme="minorHAnsi" w:cs="Calibri-Bold"/>
                <w:bCs/>
                <w:lang w:eastAsia="en-US"/>
              </w:rPr>
              <w:t xml:space="preserve">AquaNet HG360, 2017 report number </w:t>
            </w:r>
            <w:r w:rsidRPr="006B1A5A">
              <w:rPr>
                <w:rFonts w:eastAsiaTheme="minorHAnsi" w:cs="Calibri"/>
                <w:lang w:eastAsia="en-US"/>
              </w:rPr>
              <w:t>GLP3016001671BR1V1/2017</w:t>
            </w:r>
          </w:p>
        </w:tc>
      </w:tr>
      <w:tr w:rsidR="001042DA" w:rsidRPr="006B1A5A" w14:paraId="374BB148" w14:textId="77777777" w:rsidTr="00AF2AEA">
        <w:tc>
          <w:tcPr>
            <w:tcW w:w="2270" w:type="dxa"/>
          </w:tcPr>
          <w:p w14:paraId="21B75FFC" w14:textId="77777777" w:rsidR="001042DA" w:rsidRPr="006B1A5A" w:rsidRDefault="001042DA" w:rsidP="00AF2AEA">
            <w:pPr>
              <w:rPr>
                <w:rFonts w:eastAsia="Calibri"/>
              </w:rPr>
            </w:pPr>
            <w:r w:rsidRPr="006B1A5A">
              <w:rPr>
                <w:rFonts w:eastAsia="Calibri"/>
              </w:rPr>
              <w:t>Oxidising solids</w:t>
            </w:r>
          </w:p>
        </w:tc>
        <w:tc>
          <w:tcPr>
            <w:tcW w:w="6939" w:type="dxa"/>
            <w:gridSpan w:val="3"/>
          </w:tcPr>
          <w:p w14:paraId="12EA0843" w14:textId="77777777" w:rsidR="001042DA" w:rsidRPr="006B1A5A" w:rsidRDefault="001042DA" w:rsidP="00AF2AEA">
            <w:pPr>
              <w:autoSpaceDE w:val="0"/>
              <w:autoSpaceDN w:val="0"/>
              <w:adjustRightInd w:val="0"/>
              <w:rPr>
                <w:rFonts w:eastAsiaTheme="minorHAnsi" w:cs="Calibri-Bold"/>
                <w:bCs/>
                <w:lang w:eastAsia="en-US"/>
              </w:rPr>
            </w:pPr>
            <w:r w:rsidRPr="006B1A5A">
              <w:rPr>
                <w:rFonts w:eastAsia="Calibri"/>
              </w:rPr>
              <w:t>Not performed as not relevant for this product</w:t>
            </w:r>
          </w:p>
        </w:tc>
      </w:tr>
      <w:tr w:rsidR="001042DA" w:rsidRPr="006B1A5A" w14:paraId="7411AFDA" w14:textId="77777777" w:rsidTr="00AF2AEA">
        <w:trPr>
          <w:trHeight w:val="457"/>
        </w:trPr>
        <w:tc>
          <w:tcPr>
            <w:tcW w:w="2270" w:type="dxa"/>
          </w:tcPr>
          <w:p w14:paraId="6DDCE0CF" w14:textId="77777777" w:rsidR="001042DA" w:rsidRPr="006B1A5A" w:rsidRDefault="001042DA" w:rsidP="00AF2AEA">
            <w:pPr>
              <w:rPr>
                <w:rFonts w:eastAsia="Calibri"/>
              </w:rPr>
            </w:pPr>
            <w:r w:rsidRPr="006B1A5A">
              <w:rPr>
                <w:rFonts w:eastAsia="Calibri"/>
              </w:rPr>
              <w:t>Organic peroxides</w:t>
            </w:r>
          </w:p>
        </w:tc>
        <w:tc>
          <w:tcPr>
            <w:tcW w:w="6939" w:type="dxa"/>
            <w:gridSpan w:val="3"/>
          </w:tcPr>
          <w:p w14:paraId="4DA9543E" w14:textId="77777777" w:rsidR="001042DA" w:rsidRPr="006B1A5A" w:rsidRDefault="001042DA" w:rsidP="00AF2AEA">
            <w:r w:rsidRPr="006B1A5A">
              <w:rPr>
                <w:rFonts w:eastAsia="Calibri"/>
              </w:rPr>
              <w:t>Not performed as not relevant for this product</w:t>
            </w:r>
          </w:p>
        </w:tc>
      </w:tr>
      <w:tr w:rsidR="001042DA" w:rsidRPr="006B1A5A" w14:paraId="13783FD0" w14:textId="77777777" w:rsidTr="00AF2AEA">
        <w:tc>
          <w:tcPr>
            <w:tcW w:w="2270" w:type="dxa"/>
          </w:tcPr>
          <w:p w14:paraId="65943C86" w14:textId="77777777" w:rsidR="001042DA" w:rsidRPr="006B1A5A" w:rsidRDefault="001042DA" w:rsidP="00AF2AEA">
            <w:pPr>
              <w:rPr>
                <w:rFonts w:eastAsia="Calibri"/>
              </w:rPr>
            </w:pPr>
            <w:r w:rsidRPr="006B1A5A">
              <w:rPr>
                <w:rFonts w:eastAsia="Calibri"/>
              </w:rPr>
              <w:t>Corrosive to metals</w:t>
            </w:r>
          </w:p>
        </w:tc>
        <w:tc>
          <w:tcPr>
            <w:tcW w:w="2120" w:type="dxa"/>
          </w:tcPr>
          <w:p w14:paraId="02E2C41D" w14:textId="77777777" w:rsidR="001042DA" w:rsidRPr="006B1A5A" w:rsidRDefault="001042DA" w:rsidP="00AF2AEA">
            <w:pPr>
              <w:rPr>
                <w:rFonts w:eastAsia="Calibri"/>
              </w:rPr>
            </w:pPr>
            <w:r w:rsidRPr="006B1A5A">
              <w:rPr>
                <w:rFonts w:eastAsia="Calibri"/>
              </w:rPr>
              <w:t>UN Manual of Tests and Criteria: Part III, 37.4: Test methods for corrosion to metals</w:t>
            </w:r>
          </w:p>
        </w:tc>
        <w:tc>
          <w:tcPr>
            <w:tcW w:w="2268" w:type="dxa"/>
          </w:tcPr>
          <w:p w14:paraId="508A416F" w14:textId="77777777" w:rsidR="001042DA" w:rsidRPr="006B1A5A" w:rsidRDefault="001042DA" w:rsidP="00AF2AEA">
            <w:pPr>
              <w:rPr>
                <w:rFonts w:eastAsia="Calibri"/>
              </w:rPr>
            </w:pPr>
            <w:r w:rsidRPr="006B1A5A">
              <w:rPr>
                <w:rFonts w:eastAsia="Calibri"/>
              </w:rPr>
              <w:t>The percentage mass losses on steel and aluminium were found to be &lt; 13.5% over 7 days, however, the maximum pit depth on the aluminium coupons was &gt; 120 μm. The sample is therefore a candidate for classification as a corrosive substance of UN Class 8, Packing group III (according to the UN Transport of Dangerous Goods Recommendations).</w:t>
            </w:r>
          </w:p>
        </w:tc>
        <w:tc>
          <w:tcPr>
            <w:tcW w:w="2551" w:type="dxa"/>
          </w:tcPr>
          <w:p w14:paraId="62FD224E" w14:textId="77777777" w:rsidR="001042DA" w:rsidRPr="006B1A5A" w:rsidRDefault="001042DA" w:rsidP="00AF2AEA">
            <w:pPr>
              <w:autoSpaceDE w:val="0"/>
              <w:autoSpaceDN w:val="0"/>
              <w:adjustRightInd w:val="0"/>
              <w:rPr>
                <w:rFonts w:eastAsiaTheme="minorHAnsi" w:cs="Calibri-Bold"/>
                <w:bCs/>
                <w:lang w:eastAsia="en-US"/>
              </w:rPr>
            </w:pPr>
            <w:r w:rsidRPr="006B1A5A">
              <w:rPr>
                <w:rFonts w:eastAsiaTheme="minorHAnsi" w:cs="Calibri-Bold"/>
                <w:bCs/>
                <w:lang w:eastAsia="en-US"/>
              </w:rPr>
              <w:t>Hazardous Properties Testing on a Sample of</w:t>
            </w:r>
          </w:p>
          <w:p w14:paraId="2419F928" w14:textId="77777777" w:rsidR="001042DA" w:rsidRPr="006B1A5A" w:rsidRDefault="001042DA" w:rsidP="00AF2AEA">
            <w:pPr>
              <w:autoSpaceDE w:val="0"/>
              <w:autoSpaceDN w:val="0"/>
              <w:adjustRightInd w:val="0"/>
              <w:rPr>
                <w:rFonts w:eastAsiaTheme="minorHAnsi" w:cs="Calibri-Bold"/>
                <w:bCs/>
                <w:lang w:eastAsia="en-US"/>
              </w:rPr>
            </w:pPr>
            <w:r w:rsidRPr="006B1A5A">
              <w:rPr>
                <w:rFonts w:eastAsiaTheme="minorHAnsi" w:cs="Calibri-Bold"/>
                <w:bCs/>
                <w:lang w:eastAsia="en-US"/>
              </w:rPr>
              <w:t xml:space="preserve">AquaNet HG360, 2017 report number </w:t>
            </w:r>
            <w:r w:rsidRPr="006B1A5A">
              <w:rPr>
                <w:rFonts w:eastAsiaTheme="minorHAnsi" w:cs="Calibri"/>
                <w:lang w:eastAsia="en-US"/>
              </w:rPr>
              <w:t>GLP3016001671BR1V1/2017</w:t>
            </w:r>
          </w:p>
        </w:tc>
      </w:tr>
      <w:tr w:rsidR="001042DA" w:rsidRPr="006B1A5A" w14:paraId="41D20BE3" w14:textId="77777777" w:rsidTr="00AF2AEA">
        <w:tc>
          <w:tcPr>
            <w:tcW w:w="2270" w:type="dxa"/>
          </w:tcPr>
          <w:p w14:paraId="0734BE98" w14:textId="77777777" w:rsidR="001042DA" w:rsidRPr="006B1A5A" w:rsidRDefault="001042DA" w:rsidP="00AF2AEA">
            <w:pPr>
              <w:rPr>
                <w:rFonts w:eastAsia="Calibri"/>
              </w:rPr>
            </w:pPr>
            <w:r w:rsidRPr="006B1A5A">
              <w:rPr>
                <w:rFonts w:eastAsia="Calibri"/>
              </w:rPr>
              <w:t>Auto-ignition temperatures of products (liquids and gases)</w:t>
            </w:r>
          </w:p>
        </w:tc>
        <w:tc>
          <w:tcPr>
            <w:tcW w:w="2120" w:type="dxa"/>
          </w:tcPr>
          <w:p w14:paraId="0D809142" w14:textId="77777777" w:rsidR="001042DA" w:rsidRPr="006B1A5A" w:rsidRDefault="001042DA" w:rsidP="00AF2AEA">
            <w:pPr>
              <w:rPr>
                <w:rFonts w:eastAsia="Calibri"/>
              </w:rPr>
            </w:pPr>
            <w:r w:rsidRPr="006B1A5A">
              <w:rPr>
                <w:rFonts w:eastAsia="Calibri"/>
              </w:rPr>
              <w:t>ASTM E659 (Standard test method for autoignition temperature of liquid chemicals)</w:t>
            </w:r>
          </w:p>
        </w:tc>
        <w:tc>
          <w:tcPr>
            <w:tcW w:w="2268" w:type="dxa"/>
          </w:tcPr>
          <w:p w14:paraId="185141C2" w14:textId="77777777" w:rsidR="001042DA" w:rsidRPr="006B1A5A" w:rsidRDefault="001042DA" w:rsidP="00AF2AEA">
            <w:pPr>
              <w:rPr>
                <w:rFonts w:eastAsia="Calibri"/>
              </w:rPr>
            </w:pPr>
            <w:r w:rsidRPr="006B1A5A">
              <w:rPr>
                <w:rFonts w:eastAsia="Calibri"/>
              </w:rPr>
              <w:t>The autoignition temperature of Aqua Net HG360 Plus has been determined to be 455°C</w:t>
            </w:r>
          </w:p>
        </w:tc>
        <w:tc>
          <w:tcPr>
            <w:tcW w:w="2551" w:type="dxa"/>
          </w:tcPr>
          <w:p w14:paraId="00546C79" w14:textId="77777777" w:rsidR="001042DA" w:rsidRPr="006B1A5A" w:rsidRDefault="001042DA" w:rsidP="00AF2AEA">
            <w:r w:rsidRPr="006B1A5A">
              <w:rPr>
                <w:rFonts w:eastAsiaTheme="minorHAnsi" w:cs="Calibri-Bold"/>
                <w:bCs/>
                <w:lang w:eastAsia="en-US"/>
              </w:rPr>
              <w:t xml:space="preserve">AquaNet HG360, 2017 report number </w:t>
            </w:r>
            <w:r w:rsidRPr="006B1A5A">
              <w:rPr>
                <w:rFonts w:eastAsiaTheme="minorHAnsi" w:cs="Calibri"/>
                <w:lang w:eastAsia="en-US"/>
              </w:rPr>
              <w:t>GLP3016001671BR1V1/2017</w:t>
            </w:r>
          </w:p>
        </w:tc>
      </w:tr>
      <w:tr w:rsidR="001042DA" w:rsidRPr="006B1A5A" w14:paraId="5D7C02EE" w14:textId="77777777" w:rsidTr="00AF2AEA">
        <w:tc>
          <w:tcPr>
            <w:tcW w:w="2270" w:type="dxa"/>
          </w:tcPr>
          <w:p w14:paraId="321EEA92" w14:textId="77777777" w:rsidR="001042DA" w:rsidRPr="006B1A5A" w:rsidRDefault="001042DA" w:rsidP="00AF2AEA">
            <w:pPr>
              <w:rPr>
                <w:rFonts w:eastAsia="Calibri"/>
              </w:rPr>
            </w:pPr>
            <w:r w:rsidRPr="006B1A5A">
              <w:rPr>
                <w:rFonts w:eastAsia="Calibri"/>
              </w:rPr>
              <w:t>Relative self-ignition temperature for solids</w:t>
            </w:r>
          </w:p>
        </w:tc>
        <w:tc>
          <w:tcPr>
            <w:tcW w:w="6939" w:type="dxa"/>
            <w:gridSpan w:val="3"/>
          </w:tcPr>
          <w:p w14:paraId="6719A280" w14:textId="77777777" w:rsidR="001042DA" w:rsidRPr="006B1A5A" w:rsidRDefault="001042DA" w:rsidP="00AF2AEA">
            <w:pPr>
              <w:autoSpaceDE w:val="0"/>
              <w:autoSpaceDN w:val="0"/>
              <w:adjustRightInd w:val="0"/>
              <w:rPr>
                <w:rFonts w:eastAsiaTheme="minorHAnsi" w:cs="Calibri-Bold"/>
                <w:bCs/>
                <w:lang w:eastAsia="en-US"/>
              </w:rPr>
            </w:pPr>
            <w:r w:rsidRPr="006B1A5A">
              <w:rPr>
                <w:rFonts w:eastAsia="Calibri"/>
              </w:rPr>
              <w:t>Not performed as not relevant for this product</w:t>
            </w:r>
          </w:p>
        </w:tc>
      </w:tr>
      <w:tr w:rsidR="001042DA" w:rsidRPr="006B1A5A" w14:paraId="2ECDE781" w14:textId="77777777" w:rsidTr="00AF2AEA">
        <w:tc>
          <w:tcPr>
            <w:tcW w:w="2270" w:type="dxa"/>
          </w:tcPr>
          <w:p w14:paraId="79895D04" w14:textId="77777777" w:rsidR="001042DA" w:rsidRPr="006B1A5A" w:rsidRDefault="001042DA" w:rsidP="00AF2AEA">
            <w:pPr>
              <w:rPr>
                <w:rFonts w:eastAsia="Calibri"/>
              </w:rPr>
            </w:pPr>
            <w:r w:rsidRPr="006B1A5A">
              <w:rPr>
                <w:rFonts w:eastAsia="Calibri"/>
              </w:rPr>
              <w:t>Dust explosion hazard</w:t>
            </w:r>
          </w:p>
        </w:tc>
        <w:tc>
          <w:tcPr>
            <w:tcW w:w="6939" w:type="dxa"/>
            <w:gridSpan w:val="3"/>
          </w:tcPr>
          <w:p w14:paraId="25C26C9F" w14:textId="77777777" w:rsidR="001042DA" w:rsidRPr="006B1A5A" w:rsidRDefault="001042DA" w:rsidP="00AF2AEA">
            <w:r w:rsidRPr="006B1A5A">
              <w:rPr>
                <w:rFonts w:eastAsia="Calibri"/>
              </w:rPr>
              <w:t>Not performed as not relevant for this product</w:t>
            </w:r>
          </w:p>
        </w:tc>
      </w:tr>
    </w:tbl>
    <w:p w14:paraId="2C370E3D" w14:textId="77777777" w:rsidR="001042DA" w:rsidRPr="006B1A5A" w:rsidRDefault="001042DA" w:rsidP="001042DA">
      <w:pPr>
        <w:jc w:val="both"/>
        <w:rPr>
          <w:rFonts w:eastAsia="Calibri"/>
          <w:sz w:val="22"/>
          <w:u w:val="single"/>
          <w:lang w:eastAsia="en-US"/>
        </w:rPr>
      </w:pPr>
    </w:p>
    <w:p w14:paraId="572A13D9" w14:textId="77777777" w:rsidR="001042DA" w:rsidRPr="006B1A5A" w:rsidRDefault="001042DA" w:rsidP="001042DA">
      <w:pPr>
        <w:jc w:val="both"/>
        <w:rPr>
          <w:rFonts w:eastAsia="Calibri"/>
          <w:sz w:val="22"/>
          <w:u w:val="single"/>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1"/>
      </w:tblGrid>
      <w:tr w:rsidR="001042DA" w:rsidRPr="006B1A5A" w14:paraId="66156D17" w14:textId="77777777" w:rsidTr="00AF2AEA">
        <w:tc>
          <w:tcPr>
            <w:tcW w:w="5000" w:type="pct"/>
            <w:tcBorders>
              <w:top w:val="single" w:sz="4" w:space="0" w:color="auto"/>
              <w:left w:val="single" w:sz="4" w:space="0" w:color="auto"/>
              <w:bottom w:val="single" w:sz="6" w:space="0" w:color="auto"/>
              <w:right w:val="single" w:sz="6" w:space="0" w:color="auto"/>
            </w:tcBorders>
            <w:shd w:val="clear" w:color="auto" w:fill="CCFFCC"/>
          </w:tcPr>
          <w:p w14:paraId="044855EF" w14:textId="77777777" w:rsidR="001042DA" w:rsidRPr="006B1A5A" w:rsidRDefault="001042DA" w:rsidP="00AF2AEA">
            <w:pPr>
              <w:spacing w:line="260" w:lineRule="atLeast"/>
              <w:rPr>
                <w:rFonts w:eastAsia="Calibri"/>
                <w:b/>
                <w:bCs/>
                <w:lang w:eastAsia="en-US"/>
              </w:rPr>
            </w:pPr>
            <w:r w:rsidRPr="006B1A5A">
              <w:rPr>
                <w:rFonts w:eastAsia="Calibri"/>
                <w:b/>
                <w:bCs/>
                <w:lang w:eastAsia="en-US"/>
              </w:rPr>
              <w:t>Conclusion on the physical hazards and respective characteristics of the product</w:t>
            </w:r>
          </w:p>
        </w:tc>
      </w:tr>
      <w:tr w:rsidR="001042DA" w:rsidRPr="006B1A5A" w14:paraId="7D33F330" w14:textId="77777777" w:rsidTr="00AF2AEA">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5F06FF31" w14:textId="77777777" w:rsidR="001042DA" w:rsidRPr="006B1A5A" w:rsidRDefault="001042DA" w:rsidP="00AF2AEA">
            <w:pPr>
              <w:spacing w:line="260" w:lineRule="atLeast"/>
              <w:rPr>
                <w:rFonts w:eastAsia="Calibri"/>
                <w:lang w:eastAsia="en-US"/>
              </w:rPr>
            </w:pPr>
            <w:r w:rsidRPr="006B1A5A">
              <w:rPr>
                <w:rFonts w:eastAsia="Calibri"/>
                <w:lang w:eastAsia="en-US"/>
              </w:rPr>
              <w:t xml:space="preserve">AquaNet HG360 product is a </w:t>
            </w:r>
            <w:r w:rsidRPr="006B1A5A">
              <w:t>candidate</w:t>
            </w:r>
            <w:r w:rsidRPr="006B1A5A">
              <w:rPr>
                <w:rFonts w:eastAsia="Calibri"/>
                <w:lang w:eastAsia="en-US"/>
              </w:rPr>
              <w:t xml:space="preserve"> for classification as a corrosive substance of UN Class 8, Packing group III (according to the UN Transport of Dangerous Goods Recommendations) and </w:t>
            </w:r>
            <w:r w:rsidRPr="006B1A5A">
              <w:rPr>
                <w:rFonts w:eastAsia="Calibri"/>
              </w:rPr>
              <w:t>candidate for classification as a UN Class 4, Division 4.1 self-reactive (Type G) and self-heating mixture.</w:t>
            </w:r>
          </w:p>
          <w:p w14:paraId="2A78F3F6" w14:textId="77777777" w:rsidR="001042DA" w:rsidRPr="006B1A5A" w:rsidRDefault="001042DA" w:rsidP="00AF2AEA">
            <w:pPr>
              <w:spacing w:line="260" w:lineRule="atLeast"/>
              <w:rPr>
                <w:rFonts w:eastAsia="Calibri"/>
                <w:lang w:eastAsia="en-US"/>
              </w:rPr>
            </w:pPr>
            <w:r w:rsidRPr="006B1A5A">
              <w:rPr>
                <w:rFonts w:eastAsia="Calibri"/>
                <w:lang w:eastAsia="en-US"/>
              </w:rPr>
              <w:t>It is not explosive or oxidising and has an auto ignition temperature of 455ºC.</w:t>
            </w:r>
          </w:p>
        </w:tc>
      </w:tr>
    </w:tbl>
    <w:p w14:paraId="4D057BF0" w14:textId="77777777" w:rsidR="001042DA" w:rsidRPr="006B1A5A" w:rsidRDefault="001042DA" w:rsidP="001042DA"/>
    <w:p w14:paraId="667077A2" w14:textId="77777777" w:rsidR="001042DA" w:rsidRPr="006B1A5A" w:rsidRDefault="001042DA" w:rsidP="001042DA">
      <w:pPr>
        <w:pStyle w:val="Absatz"/>
        <w:rPr>
          <w:rFonts w:eastAsia="Calibri"/>
          <w:lang w:eastAsia="en-US"/>
        </w:rPr>
      </w:pPr>
    </w:p>
    <w:p w14:paraId="03AA6CB4" w14:textId="77777777" w:rsidR="001042DA" w:rsidRPr="006B1A5A" w:rsidRDefault="001042DA" w:rsidP="001042DA">
      <w:pPr>
        <w:pStyle w:val="Overskrift3"/>
        <w:rPr>
          <w:lang w:val="en-GB"/>
        </w:rPr>
      </w:pPr>
      <w:bookmarkStart w:id="1350" w:name="_Toc403566563"/>
      <w:bookmarkStart w:id="1351" w:name="_Toc425344104"/>
      <w:bookmarkStart w:id="1352" w:name="_Toc66448821"/>
      <w:r w:rsidRPr="006B1A5A">
        <w:rPr>
          <w:lang w:val="en-GB"/>
        </w:rPr>
        <w:t>Methods for detection and identification</w:t>
      </w:r>
      <w:bookmarkEnd w:id="1350"/>
      <w:bookmarkEnd w:id="1351"/>
      <w:bookmarkEnd w:id="1352"/>
    </w:p>
    <w:p w14:paraId="3C18E99E" w14:textId="77777777" w:rsidR="001042DA" w:rsidRPr="006B1A5A" w:rsidRDefault="001042DA" w:rsidP="001042DA">
      <w:pPr>
        <w:spacing w:line="260" w:lineRule="atLeast"/>
        <w:rPr>
          <w:rFonts w:eastAsia="Calibri"/>
          <w:lang w:eastAsia="en-US"/>
        </w:rPr>
      </w:pPr>
      <w:bookmarkStart w:id="1353" w:name="_Toc389729032"/>
      <w:bookmarkStart w:id="1354" w:name="_Toc403472743"/>
      <w:r w:rsidRPr="006B1A5A">
        <w:rPr>
          <w:rFonts w:eastAsia="Calibri"/>
          <w:b/>
          <w:lang w:eastAsia="en-US"/>
        </w:rPr>
        <w:t>Analytical methods for the analysis of the product as such including the active substance, impurities and residues</w:t>
      </w:r>
    </w:p>
    <w:p w14:paraId="22C71D07" w14:textId="77777777" w:rsidR="001042DA" w:rsidRPr="006B1A5A" w:rsidRDefault="001042DA" w:rsidP="001042DA">
      <w:pPr>
        <w:spacing w:line="260" w:lineRule="atLeast"/>
        <w:rPr>
          <w:rFonts w:eastAsia="Calibri"/>
          <w:u w:val="single"/>
          <w:lang w:eastAsia="en-US"/>
        </w:rPr>
      </w:pPr>
    </w:p>
    <w:p w14:paraId="4BB16C16" w14:textId="7C595A9E" w:rsidR="001042DA" w:rsidRDefault="001042DA" w:rsidP="001042DA">
      <w:pPr>
        <w:spacing w:line="260" w:lineRule="atLeast"/>
        <w:jc w:val="both"/>
        <w:rPr>
          <w:rFonts w:eastAsia="Calibri"/>
          <w:lang w:eastAsia="en-US"/>
        </w:rPr>
      </w:pPr>
      <w:r w:rsidRPr="006B1A5A">
        <w:rPr>
          <w:rFonts w:eastAsia="Calibri"/>
          <w:lang w:eastAsia="en-US"/>
        </w:rPr>
        <w:t xml:space="preserve">The copper(I) oxide and copper thiocyanate contents of the AquaNet 360 biocidal products are determined according to an internal method SP5458.  This method is based on several well-established standard methods: EN 13656, EPA Method 3052, and EN ISO 11885 that are fully validated.  Samples are dried and digested in a mixture of nitric acid and hydrogen peroxide in closed containers that are heated using microwaves.  Copper (Cu) and </w:t>
      </w:r>
      <w:r w:rsidR="00CA3B7C" w:rsidRPr="006B1A5A">
        <w:rPr>
          <w:rFonts w:eastAsia="Calibri"/>
          <w:lang w:eastAsia="en-US"/>
        </w:rPr>
        <w:t>sulphur</w:t>
      </w:r>
      <w:r w:rsidRPr="006B1A5A">
        <w:rPr>
          <w:rFonts w:eastAsia="Calibri"/>
          <w:lang w:eastAsia="en-US"/>
        </w:rPr>
        <w:t xml:space="preserve"> (S) are then determined in the resulting solutions using inductively coupled plasma – optical emission spectrometry (ICP-OES).  Cu and S can be recalculated to Cu</w:t>
      </w:r>
      <w:r w:rsidRPr="006B1A5A">
        <w:rPr>
          <w:rFonts w:eastAsia="Calibri"/>
          <w:vertAlign w:val="subscript"/>
          <w:lang w:eastAsia="en-US"/>
        </w:rPr>
        <w:t>2</w:t>
      </w:r>
      <w:r w:rsidRPr="006B1A5A">
        <w:rPr>
          <w:rFonts w:eastAsia="Calibri"/>
          <w:lang w:eastAsia="en-US"/>
        </w:rPr>
        <w:t>O and CuSCN by assuming that all S is present as CuSCN and all Cu is present as Cu</w:t>
      </w:r>
      <w:r w:rsidRPr="006B1A5A">
        <w:rPr>
          <w:rFonts w:eastAsia="Calibri"/>
          <w:vertAlign w:val="subscript"/>
          <w:lang w:eastAsia="en-US"/>
        </w:rPr>
        <w:t>2</w:t>
      </w:r>
      <w:r w:rsidRPr="006B1A5A">
        <w:rPr>
          <w:rFonts w:eastAsia="Calibri"/>
          <w:lang w:eastAsia="en-US"/>
        </w:rPr>
        <w:t xml:space="preserve">O and CuSCN.  </w:t>
      </w:r>
    </w:p>
    <w:p w14:paraId="0AF66752" w14:textId="29E67B73" w:rsidR="00FC1B69" w:rsidRDefault="00FC1B69" w:rsidP="001042DA">
      <w:pPr>
        <w:spacing w:line="260" w:lineRule="atLeast"/>
        <w:jc w:val="both"/>
        <w:rPr>
          <w:rFonts w:eastAsia="Calibri"/>
          <w:lang w:eastAsia="en-US"/>
        </w:rPr>
      </w:pPr>
    </w:p>
    <w:p w14:paraId="0A1AA945" w14:textId="06F5C867" w:rsidR="00FC1B69" w:rsidRDefault="002D0B65" w:rsidP="001042DA">
      <w:pPr>
        <w:spacing w:line="260" w:lineRule="atLeast"/>
        <w:jc w:val="both"/>
        <w:rPr>
          <w:rFonts w:eastAsia="Calibri"/>
          <w:i/>
          <w:iCs/>
          <w:lang w:eastAsia="en-US"/>
        </w:rPr>
      </w:pPr>
      <w:r>
        <w:rPr>
          <w:rFonts w:eastAsia="Calibri"/>
          <w:i/>
          <w:iCs/>
          <w:lang w:eastAsia="en-US"/>
        </w:rPr>
        <w:t xml:space="preserve">Summary of validation parameters for determination of copper and </w:t>
      </w:r>
      <w:r w:rsidR="00574C52">
        <w:rPr>
          <w:rFonts w:eastAsia="Calibri"/>
          <w:i/>
          <w:iCs/>
          <w:lang w:eastAsia="en-US"/>
        </w:rPr>
        <w:t>sulphur</w:t>
      </w:r>
      <w:r>
        <w:rPr>
          <w:rFonts w:eastAsia="Calibri"/>
          <w:i/>
          <w:iCs/>
          <w:lang w:eastAsia="en-US"/>
        </w:rPr>
        <w:t xml:space="preserve"> in paints.</w:t>
      </w:r>
    </w:p>
    <w:tbl>
      <w:tblPr>
        <w:tblStyle w:val="Tabellrutenett"/>
        <w:tblW w:w="0" w:type="auto"/>
        <w:tblLook w:val="04A0" w:firstRow="1" w:lastRow="0" w:firstColumn="1" w:lastColumn="0" w:noHBand="0" w:noVBand="1"/>
      </w:tblPr>
      <w:tblGrid>
        <w:gridCol w:w="4602"/>
        <w:gridCol w:w="4602"/>
      </w:tblGrid>
      <w:tr w:rsidR="002D0B65" w:rsidRPr="002D0B65" w14:paraId="086CBCCC" w14:textId="77777777" w:rsidTr="00FD05E5">
        <w:tc>
          <w:tcPr>
            <w:tcW w:w="4602" w:type="dxa"/>
          </w:tcPr>
          <w:p w14:paraId="3E3F235D" w14:textId="380A8F87" w:rsidR="002D0B65" w:rsidRPr="002D0B65" w:rsidRDefault="002D0B65" w:rsidP="00FD05E5">
            <w:pPr>
              <w:spacing w:line="260" w:lineRule="atLeast"/>
              <w:rPr>
                <w:rFonts w:eastAsia="Calibri"/>
                <w:b/>
                <w:bCs/>
                <w:lang w:eastAsia="en-US"/>
              </w:rPr>
            </w:pPr>
            <w:r w:rsidRPr="002D0B65">
              <w:rPr>
                <w:rFonts w:eastAsia="Calibri"/>
                <w:b/>
                <w:bCs/>
                <w:lang w:eastAsia="en-US"/>
              </w:rPr>
              <w:t>Precision</w:t>
            </w:r>
          </w:p>
        </w:tc>
        <w:tc>
          <w:tcPr>
            <w:tcW w:w="4602" w:type="dxa"/>
            <w:shd w:val="clear" w:color="auto" w:fill="auto"/>
          </w:tcPr>
          <w:p w14:paraId="3B84E44C" w14:textId="28124F7E" w:rsidR="00FD05E5" w:rsidRDefault="00FD05E5" w:rsidP="00FD05E5">
            <w:pPr>
              <w:spacing w:line="260" w:lineRule="atLeast"/>
              <w:jc w:val="both"/>
              <w:rPr>
                <w:rFonts w:eastAsia="Calibri"/>
                <w:lang w:eastAsia="en-US"/>
              </w:rPr>
            </w:pPr>
            <w:r>
              <w:rPr>
                <w:rFonts w:eastAsia="Calibri"/>
                <w:lang w:eastAsia="en-US"/>
              </w:rPr>
              <w:t xml:space="preserve">Repeatability: </w:t>
            </w:r>
          </w:p>
          <w:p w14:paraId="0570FF86" w14:textId="5AB3B71E" w:rsidR="00FD05E5" w:rsidRPr="00FD05E5" w:rsidRDefault="00FD05E5" w:rsidP="00FD05E5">
            <w:pPr>
              <w:spacing w:line="260" w:lineRule="atLeast"/>
              <w:jc w:val="both"/>
              <w:rPr>
                <w:rFonts w:eastAsia="Calibri"/>
                <w:lang w:eastAsia="en-US"/>
              </w:rPr>
            </w:pPr>
            <w:r w:rsidRPr="00FD05E5">
              <w:rPr>
                <w:rFonts w:eastAsia="Calibri"/>
                <w:lang w:eastAsia="en-US"/>
              </w:rPr>
              <w:t>RSD for Cu: 1.41 % (at 26 weight-%, n=5)</w:t>
            </w:r>
          </w:p>
          <w:p w14:paraId="173C8952" w14:textId="5B077B44" w:rsidR="002D0B65" w:rsidRPr="002D0B65" w:rsidRDefault="00FD05E5" w:rsidP="00FD05E5">
            <w:pPr>
              <w:spacing w:line="260" w:lineRule="atLeast"/>
              <w:jc w:val="both"/>
              <w:rPr>
                <w:rFonts w:eastAsia="Calibri"/>
                <w:lang w:eastAsia="en-US"/>
              </w:rPr>
            </w:pPr>
            <w:r w:rsidRPr="00FD05E5">
              <w:rPr>
                <w:rFonts w:eastAsia="Calibri"/>
                <w:lang w:eastAsia="en-US"/>
              </w:rPr>
              <w:t>RSD for S: 1.24 % (at 2.2 weight-%, n=5)</w:t>
            </w:r>
          </w:p>
        </w:tc>
      </w:tr>
      <w:tr w:rsidR="002D0B65" w14:paraId="26A947E8" w14:textId="77777777" w:rsidTr="00FD05E5">
        <w:tc>
          <w:tcPr>
            <w:tcW w:w="4602" w:type="dxa"/>
          </w:tcPr>
          <w:p w14:paraId="3EC7B918" w14:textId="637F6BF1" w:rsidR="002D0B65" w:rsidRPr="002D0B65" w:rsidRDefault="002D0B65" w:rsidP="00FD05E5">
            <w:pPr>
              <w:spacing w:line="260" w:lineRule="atLeast"/>
              <w:rPr>
                <w:rFonts w:eastAsia="Calibri"/>
                <w:b/>
                <w:bCs/>
                <w:lang w:eastAsia="en-US"/>
              </w:rPr>
            </w:pPr>
            <w:r w:rsidRPr="002D0B65">
              <w:rPr>
                <w:rFonts w:eastAsia="Calibri"/>
                <w:b/>
                <w:bCs/>
                <w:lang w:eastAsia="en-US"/>
              </w:rPr>
              <w:t xml:space="preserve">Accuracy </w:t>
            </w:r>
            <w:r>
              <w:rPr>
                <w:rFonts w:eastAsia="Calibri"/>
                <w:b/>
                <w:bCs/>
                <w:lang w:eastAsia="en-US"/>
              </w:rPr>
              <w:t>(trueness)</w:t>
            </w:r>
          </w:p>
        </w:tc>
        <w:tc>
          <w:tcPr>
            <w:tcW w:w="4602" w:type="dxa"/>
            <w:shd w:val="clear" w:color="auto" w:fill="auto"/>
          </w:tcPr>
          <w:p w14:paraId="12E1BF98" w14:textId="3EB77F20" w:rsidR="00FD05E5" w:rsidRDefault="00FD05E5" w:rsidP="00FD05E5">
            <w:pPr>
              <w:spacing w:line="260" w:lineRule="atLeast"/>
              <w:jc w:val="both"/>
              <w:rPr>
                <w:rFonts w:eastAsia="Calibri"/>
                <w:lang w:eastAsia="en-US"/>
              </w:rPr>
            </w:pPr>
            <w:r>
              <w:rPr>
                <w:rFonts w:eastAsia="Calibri"/>
                <w:lang w:eastAsia="en-US"/>
              </w:rPr>
              <w:t>Bias:</w:t>
            </w:r>
          </w:p>
          <w:p w14:paraId="1D1CF6D1" w14:textId="6180524A" w:rsidR="00FD05E5" w:rsidRPr="00FD05E5" w:rsidRDefault="00FD05E5" w:rsidP="00FD05E5">
            <w:pPr>
              <w:spacing w:line="260" w:lineRule="atLeast"/>
              <w:jc w:val="both"/>
              <w:rPr>
                <w:rFonts w:eastAsia="Calibri"/>
                <w:lang w:eastAsia="en-US"/>
              </w:rPr>
            </w:pPr>
            <w:r w:rsidRPr="00FD05E5">
              <w:rPr>
                <w:rFonts w:eastAsia="Calibri"/>
                <w:lang w:eastAsia="en-US"/>
              </w:rPr>
              <w:t>Recovery for Cu: 98.6 %</w:t>
            </w:r>
          </w:p>
          <w:p w14:paraId="4F653D02" w14:textId="7B355F5A" w:rsidR="002D0B65" w:rsidRDefault="00FD05E5" w:rsidP="00FD05E5">
            <w:pPr>
              <w:spacing w:line="260" w:lineRule="atLeast"/>
              <w:jc w:val="both"/>
              <w:rPr>
                <w:rFonts w:eastAsia="Calibri"/>
                <w:lang w:eastAsia="en-US"/>
              </w:rPr>
            </w:pPr>
            <w:r w:rsidRPr="00FD05E5">
              <w:rPr>
                <w:rFonts w:eastAsia="Calibri"/>
                <w:lang w:eastAsia="en-US"/>
              </w:rPr>
              <w:t>Recovery for S: 98.6 %</w:t>
            </w:r>
          </w:p>
          <w:p w14:paraId="055D001B" w14:textId="77777777" w:rsidR="002D0B65" w:rsidRDefault="002D0B65" w:rsidP="002D0B65">
            <w:pPr>
              <w:spacing w:line="260" w:lineRule="atLeast"/>
              <w:jc w:val="both"/>
            </w:pPr>
            <w:r>
              <w:t xml:space="preserve"> </w:t>
            </w:r>
          </w:p>
          <w:p w14:paraId="056088FD" w14:textId="77777777" w:rsidR="00FD05E5" w:rsidRDefault="00FD05E5" w:rsidP="002D0B65">
            <w:pPr>
              <w:spacing w:line="260" w:lineRule="atLeast"/>
              <w:jc w:val="both"/>
            </w:pPr>
            <w:r>
              <w:t>Selectivity/specificity/interferences:</w:t>
            </w:r>
          </w:p>
          <w:p w14:paraId="0F14A922" w14:textId="7496CEA2" w:rsidR="00FD05E5" w:rsidRDefault="00F46ED9" w:rsidP="002D0B65">
            <w:pPr>
              <w:spacing w:line="260" w:lineRule="atLeast"/>
              <w:jc w:val="both"/>
              <w:rPr>
                <w:rFonts w:eastAsia="Calibri"/>
                <w:lang w:eastAsia="en-US"/>
              </w:rPr>
            </w:pPr>
            <w:r>
              <w:t>High</w:t>
            </w:r>
            <w:r w:rsidR="00E60005">
              <w:t xml:space="preserve"> selectivity/specificity and no or few interferences can be expected.</w:t>
            </w:r>
          </w:p>
        </w:tc>
      </w:tr>
      <w:tr w:rsidR="002D0B65" w14:paraId="56C31D3B" w14:textId="77777777" w:rsidTr="00FD05E5">
        <w:tc>
          <w:tcPr>
            <w:tcW w:w="4602" w:type="dxa"/>
          </w:tcPr>
          <w:p w14:paraId="3293D3BC" w14:textId="1DBE8282" w:rsidR="002D0B65" w:rsidRPr="002D0B65" w:rsidRDefault="002D0B65" w:rsidP="00FD05E5">
            <w:pPr>
              <w:spacing w:line="260" w:lineRule="atLeast"/>
              <w:rPr>
                <w:rFonts w:eastAsia="Calibri"/>
                <w:b/>
                <w:bCs/>
                <w:lang w:eastAsia="en-US"/>
              </w:rPr>
            </w:pPr>
          </w:p>
        </w:tc>
        <w:tc>
          <w:tcPr>
            <w:tcW w:w="4602" w:type="dxa"/>
            <w:shd w:val="clear" w:color="auto" w:fill="auto"/>
          </w:tcPr>
          <w:p w14:paraId="6C2EB42D" w14:textId="6176F418" w:rsidR="00FD05E5" w:rsidRDefault="00FD05E5" w:rsidP="00005017">
            <w:pPr>
              <w:spacing w:line="260" w:lineRule="atLeast"/>
              <w:jc w:val="both"/>
              <w:rPr>
                <w:rFonts w:eastAsia="Calibri"/>
                <w:lang w:eastAsia="en-US"/>
              </w:rPr>
            </w:pPr>
          </w:p>
        </w:tc>
      </w:tr>
    </w:tbl>
    <w:p w14:paraId="4D0F20DA" w14:textId="77777777" w:rsidR="002D0B65" w:rsidRPr="002D0B65" w:rsidRDefault="002D0B65" w:rsidP="001042DA">
      <w:pPr>
        <w:spacing w:line="260" w:lineRule="atLeast"/>
        <w:jc w:val="both"/>
        <w:rPr>
          <w:rFonts w:eastAsia="Calibri"/>
          <w:lang w:eastAsia="en-US"/>
        </w:rPr>
      </w:pPr>
    </w:p>
    <w:p w14:paraId="708C59F6" w14:textId="77777777" w:rsidR="001042DA" w:rsidRPr="006B1A5A" w:rsidRDefault="001042DA" w:rsidP="001042DA">
      <w:pPr>
        <w:spacing w:line="260" w:lineRule="atLeast"/>
        <w:jc w:val="both"/>
        <w:rPr>
          <w:rFonts w:eastAsia="Calibri"/>
          <w:lang w:eastAsia="en-US"/>
        </w:rPr>
      </w:pPr>
    </w:p>
    <w:p w14:paraId="536427A1" w14:textId="77777777" w:rsidR="001042DA" w:rsidRPr="006B1A5A" w:rsidRDefault="001042DA" w:rsidP="001042DA">
      <w:pPr>
        <w:spacing w:line="260" w:lineRule="atLeast"/>
        <w:rPr>
          <w:rFonts w:eastAsia="Calibri"/>
          <w:lang w:eastAsia="en-US"/>
        </w:rPr>
      </w:pPr>
    </w:p>
    <w:p w14:paraId="44512FAB" w14:textId="77777777" w:rsidR="001042DA" w:rsidRPr="006B1A5A" w:rsidRDefault="001042DA" w:rsidP="001042DA">
      <w:pPr>
        <w:spacing w:line="260" w:lineRule="atLeast"/>
        <w:rPr>
          <w:rFonts w:eastAsia="Calibri"/>
          <w:b/>
          <w:lang w:eastAsia="en-US"/>
        </w:rPr>
      </w:pPr>
      <w:r w:rsidRPr="006B1A5A">
        <w:rPr>
          <w:rFonts w:eastAsia="Calibri"/>
          <w:b/>
          <w:lang w:eastAsia="en-US"/>
        </w:rPr>
        <w:t>Analytical methods used for monitoring:</w:t>
      </w:r>
    </w:p>
    <w:p w14:paraId="799E8756" w14:textId="77777777" w:rsidR="001042DA" w:rsidRPr="006B1A5A" w:rsidRDefault="001042DA" w:rsidP="001042DA">
      <w:pPr>
        <w:spacing w:line="260" w:lineRule="atLeast"/>
        <w:jc w:val="both"/>
        <w:rPr>
          <w:rFonts w:eastAsia="Calibri"/>
          <w:lang w:eastAsia="en-US"/>
        </w:rPr>
      </w:pPr>
      <w:r w:rsidRPr="006B1A5A">
        <w:rPr>
          <w:rFonts w:eastAsia="Calibri"/>
          <w:lang w:eastAsia="en-US"/>
        </w:rPr>
        <w:t xml:space="preserve">The applicant has letters of access issued by Spiess-Urania Chemicals GmbH and Bardyke Chemicals Limited to the data on the active substances. The applicant, therefore, wishes to refer to the data on the active substances for this endpoint. </w:t>
      </w:r>
    </w:p>
    <w:p w14:paraId="51BAF4BD" w14:textId="77777777" w:rsidR="001042DA" w:rsidRPr="006B1A5A" w:rsidRDefault="001042DA" w:rsidP="001042DA">
      <w:pPr>
        <w:spacing w:line="260" w:lineRule="atLeast"/>
        <w:rPr>
          <w:rFonts w:eastAsia="Calibri"/>
          <w:lang w:eastAsia="en-US"/>
        </w:rPr>
      </w:pPr>
    </w:p>
    <w:p w14:paraId="0C4BD24D" w14:textId="77777777" w:rsidR="001042DA" w:rsidRPr="006B1A5A" w:rsidRDefault="001042DA" w:rsidP="001042DA">
      <w:pPr>
        <w:keepNext/>
        <w:spacing w:line="260" w:lineRule="atLeast"/>
        <w:rPr>
          <w:rFonts w:eastAsia="Calibri"/>
          <w:b/>
          <w:lang w:eastAsia="en-US"/>
        </w:rPr>
      </w:pPr>
      <w:r w:rsidRPr="006B1A5A">
        <w:rPr>
          <w:rFonts w:eastAsia="Calibri"/>
          <w:b/>
          <w:lang w:eastAsia="en-US"/>
        </w:rPr>
        <w:t>Analytical methods used for soil:</w:t>
      </w:r>
    </w:p>
    <w:p w14:paraId="53CF8D11" w14:textId="77777777" w:rsidR="001042DA" w:rsidRPr="006B1A5A" w:rsidRDefault="001042DA" w:rsidP="001042DA">
      <w:pPr>
        <w:spacing w:line="260" w:lineRule="atLeast"/>
        <w:jc w:val="both"/>
        <w:rPr>
          <w:rFonts w:eastAsia="Calibri"/>
          <w:lang w:eastAsia="en-US"/>
        </w:rPr>
      </w:pPr>
      <w:r w:rsidRPr="006B1A5A">
        <w:rPr>
          <w:rFonts w:eastAsia="Calibri"/>
          <w:lang w:eastAsia="en-US"/>
        </w:rPr>
        <w:t xml:space="preserve">The applicant has letters of access issued by Spiess-Urania Chemicals GmbH and Bardyke Chemicals Limited to the data on the active substances. The applicant, therefore, wishes to refer to the data on the active substances for this endpoint. </w:t>
      </w:r>
    </w:p>
    <w:p w14:paraId="5C63AEC0" w14:textId="77777777" w:rsidR="001042DA" w:rsidRPr="006B1A5A" w:rsidRDefault="001042DA" w:rsidP="001042DA">
      <w:pPr>
        <w:spacing w:line="260" w:lineRule="atLeast"/>
        <w:rPr>
          <w:rFonts w:eastAsia="Calibri"/>
          <w:lang w:eastAsia="en-US"/>
        </w:rPr>
      </w:pPr>
    </w:p>
    <w:p w14:paraId="7733D2F7" w14:textId="77777777" w:rsidR="001042DA" w:rsidRPr="006B1A5A" w:rsidRDefault="001042DA" w:rsidP="001042DA">
      <w:pPr>
        <w:keepNext/>
        <w:spacing w:line="260" w:lineRule="atLeast"/>
        <w:rPr>
          <w:rFonts w:eastAsia="Calibri"/>
          <w:b/>
          <w:lang w:eastAsia="en-US"/>
        </w:rPr>
      </w:pPr>
      <w:r w:rsidRPr="006B1A5A">
        <w:rPr>
          <w:rFonts w:eastAsia="Calibri"/>
          <w:b/>
          <w:lang w:eastAsia="en-US"/>
        </w:rPr>
        <w:t>Analytical methods used for air:</w:t>
      </w:r>
    </w:p>
    <w:p w14:paraId="1A31380E" w14:textId="77777777" w:rsidR="001042DA" w:rsidRPr="006B1A5A" w:rsidRDefault="001042DA" w:rsidP="001042DA">
      <w:pPr>
        <w:spacing w:line="260" w:lineRule="atLeast"/>
        <w:jc w:val="both"/>
        <w:rPr>
          <w:rFonts w:eastAsia="Calibri"/>
          <w:lang w:eastAsia="en-US"/>
        </w:rPr>
      </w:pPr>
      <w:r w:rsidRPr="006B1A5A">
        <w:rPr>
          <w:rFonts w:eastAsia="Calibri"/>
          <w:lang w:eastAsia="en-US"/>
        </w:rPr>
        <w:t xml:space="preserve">The applicant has letters of access issued by Spiess-Urania Chemicals GmbH and Bardyke Chemicals Limited to the data on the active substances. The applicant, therefore, wishes to refer to the data on the active substances for this endpoint. </w:t>
      </w:r>
    </w:p>
    <w:p w14:paraId="6D404155" w14:textId="77777777" w:rsidR="001042DA" w:rsidRPr="006B1A5A" w:rsidRDefault="001042DA" w:rsidP="001042DA">
      <w:pPr>
        <w:spacing w:line="260" w:lineRule="atLeast"/>
        <w:rPr>
          <w:rFonts w:eastAsia="Calibri"/>
          <w:lang w:eastAsia="en-US"/>
        </w:rPr>
      </w:pPr>
    </w:p>
    <w:p w14:paraId="55174852" w14:textId="77777777" w:rsidR="001042DA" w:rsidRPr="006B1A5A" w:rsidRDefault="001042DA" w:rsidP="001042DA">
      <w:pPr>
        <w:spacing w:line="260" w:lineRule="atLeast"/>
        <w:rPr>
          <w:rFonts w:eastAsia="Calibri"/>
          <w:b/>
          <w:lang w:eastAsia="en-US"/>
        </w:rPr>
      </w:pPr>
      <w:r w:rsidRPr="006B1A5A">
        <w:rPr>
          <w:rFonts w:eastAsia="Calibri"/>
          <w:b/>
          <w:lang w:eastAsia="en-US"/>
        </w:rPr>
        <w:t>Analytical methods used for water:</w:t>
      </w:r>
    </w:p>
    <w:p w14:paraId="793E6819" w14:textId="77777777" w:rsidR="001042DA" w:rsidRPr="006B1A5A" w:rsidRDefault="001042DA" w:rsidP="001042DA">
      <w:pPr>
        <w:spacing w:line="260" w:lineRule="atLeast"/>
        <w:jc w:val="both"/>
        <w:rPr>
          <w:rFonts w:eastAsia="Calibri"/>
          <w:lang w:eastAsia="en-US"/>
        </w:rPr>
      </w:pPr>
      <w:r w:rsidRPr="006B1A5A">
        <w:rPr>
          <w:rFonts w:eastAsia="Calibri"/>
          <w:lang w:eastAsia="en-US"/>
        </w:rPr>
        <w:t xml:space="preserve">The applicant has letters of access issued by Spiess-Urania Chemicals GmbH and Bardyke Chemicals Limited to the data on the active substances. The applicant, therefore, wishes to refer to the data on the active substances for this endpoint. </w:t>
      </w:r>
    </w:p>
    <w:p w14:paraId="6A2C8004" w14:textId="77777777" w:rsidR="001042DA" w:rsidRPr="006B1A5A" w:rsidRDefault="001042DA" w:rsidP="001042DA">
      <w:pPr>
        <w:spacing w:line="260" w:lineRule="atLeast"/>
        <w:rPr>
          <w:rFonts w:eastAsia="Calibri"/>
          <w:lang w:eastAsia="en-US"/>
        </w:rPr>
      </w:pPr>
    </w:p>
    <w:p w14:paraId="4837F9E3" w14:textId="77777777" w:rsidR="001042DA" w:rsidRPr="006B1A5A" w:rsidRDefault="001042DA" w:rsidP="001042DA">
      <w:pPr>
        <w:spacing w:line="260" w:lineRule="atLeast"/>
        <w:rPr>
          <w:rFonts w:eastAsia="Calibri"/>
          <w:b/>
          <w:lang w:eastAsia="en-US"/>
        </w:rPr>
      </w:pPr>
      <w:r w:rsidRPr="006B1A5A">
        <w:rPr>
          <w:rFonts w:eastAsia="Calibri"/>
          <w:b/>
          <w:lang w:eastAsia="en-US"/>
        </w:rPr>
        <w:t>Analytical methods used for animal and human body fluids and tissues:</w:t>
      </w:r>
    </w:p>
    <w:p w14:paraId="267A4A8A" w14:textId="77777777" w:rsidR="001042DA" w:rsidRPr="006B1A5A" w:rsidRDefault="001042DA" w:rsidP="001042DA">
      <w:pPr>
        <w:spacing w:line="260" w:lineRule="atLeast"/>
        <w:jc w:val="both"/>
        <w:rPr>
          <w:rFonts w:eastAsia="Calibri"/>
          <w:lang w:eastAsia="en-US"/>
        </w:rPr>
      </w:pPr>
      <w:r w:rsidRPr="006B1A5A">
        <w:rPr>
          <w:rFonts w:eastAsia="Calibri"/>
          <w:lang w:eastAsia="en-US"/>
        </w:rPr>
        <w:t xml:space="preserve">The applicant has letters of access issued by Spiess-Urania Chemicals GmbH and Bardyke Chemicals Limited to the data on the active substances. The applicant, therefore, wishes to refer to the data on the active substances for this endpoint. </w:t>
      </w:r>
    </w:p>
    <w:p w14:paraId="3C8A5824" w14:textId="77777777" w:rsidR="001042DA" w:rsidRPr="006B1A5A" w:rsidRDefault="001042DA" w:rsidP="001042DA">
      <w:pPr>
        <w:spacing w:line="260" w:lineRule="atLeast"/>
        <w:rPr>
          <w:rFonts w:eastAsia="Calibri"/>
          <w:lang w:eastAsia="en-US"/>
        </w:rPr>
      </w:pPr>
    </w:p>
    <w:p w14:paraId="226425E9" w14:textId="77777777" w:rsidR="001042DA" w:rsidRPr="006B1A5A" w:rsidRDefault="001042DA" w:rsidP="001042DA">
      <w:pPr>
        <w:spacing w:line="260" w:lineRule="atLeast"/>
        <w:rPr>
          <w:rFonts w:eastAsia="Calibri"/>
          <w:b/>
          <w:lang w:eastAsia="en-US"/>
        </w:rPr>
      </w:pPr>
      <w:r w:rsidRPr="006B1A5A">
        <w:rPr>
          <w:rFonts w:eastAsia="Calibri"/>
          <w:b/>
          <w:lang w:eastAsia="en-US"/>
        </w:rPr>
        <w:t>Analytical methods for monitoring of active substances and residues in food and feeding stuff</w:t>
      </w:r>
    </w:p>
    <w:p w14:paraId="770F2466" w14:textId="77777777" w:rsidR="001042DA" w:rsidRPr="006B1A5A" w:rsidRDefault="001042DA" w:rsidP="001042DA">
      <w:pPr>
        <w:spacing w:line="260" w:lineRule="atLeast"/>
        <w:jc w:val="both"/>
        <w:rPr>
          <w:rFonts w:eastAsia="Calibri"/>
          <w:lang w:eastAsia="en-US"/>
        </w:rPr>
      </w:pPr>
      <w:r w:rsidRPr="006B1A5A">
        <w:rPr>
          <w:rFonts w:eastAsia="Calibri"/>
          <w:lang w:eastAsia="en-US"/>
        </w:rPr>
        <w:t xml:space="preserve">The applicant has letters of access issued by Spiess-Urania Chemicals GmbH and Bardyke Chemicals Limited to the data on the active substances. The applicant, therefore, wishes to refer to the data on the active substances for this endpoint. </w:t>
      </w:r>
    </w:p>
    <w:p w14:paraId="1AF44535" w14:textId="77777777" w:rsidR="001042DA" w:rsidRPr="006B1A5A" w:rsidRDefault="001042DA" w:rsidP="001042DA">
      <w:pPr>
        <w:jc w:val="both"/>
        <w:rPr>
          <w:rFonts w:eastAsia="Calibri"/>
          <w:b/>
          <w:bCs/>
          <w:caps/>
          <w:sz w:val="22"/>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1"/>
      </w:tblGrid>
      <w:tr w:rsidR="001042DA" w:rsidRPr="006B1A5A" w14:paraId="00847889" w14:textId="77777777" w:rsidTr="00AF2AEA">
        <w:tc>
          <w:tcPr>
            <w:tcW w:w="5000" w:type="pct"/>
            <w:tcBorders>
              <w:top w:val="single" w:sz="4" w:space="0" w:color="auto"/>
              <w:left w:val="single" w:sz="4" w:space="0" w:color="auto"/>
              <w:bottom w:val="single" w:sz="6" w:space="0" w:color="auto"/>
              <w:right w:val="single" w:sz="6" w:space="0" w:color="auto"/>
            </w:tcBorders>
            <w:shd w:val="clear" w:color="auto" w:fill="CCFFCC"/>
          </w:tcPr>
          <w:p w14:paraId="280FC850" w14:textId="77777777" w:rsidR="001042DA" w:rsidRPr="006B1A5A" w:rsidRDefault="001042DA" w:rsidP="00AF2AEA">
            <w:pPr>
              <w:spacing w:line="260" w:lineRule="atLeast"/>
              <w:rPr>
                <w:rFonts w:eastAsia="Calibri"/>
                <w:b/>
                <w:bCs/>
                <w:lang w:eastAsia="en-US"/>
              </w:rPr>
            </w:pPr>
            <w:r w:rsidRPr="006B1A5A">
              <w:rPr>
                <w:rFonts w:eastAsia="Calibri"/>
                <w:b/>
                <w:bCs/>
                <w:lang w:eastAsia="en-US"/>
              </w:rPr>
              <w:t>Conclusion on the methods for detection and identification of the product</w:t>
            </w:r>
          </w:p>
        </w:tc>
      </w:tr>
      <w:tr w:rsidR="001042DA" w:rsidRPr="006B1A5A" w14:paraId="2384928B" w14:textId="77777777" w:rsidTr="00AF2AEA">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7510E094" w14:textId="77777777" w:rsidR="001042DA" w:rsidRPr="006B1A5A" w:rsidRDefault="001042DA" w:rsidP="00AF2AEA">
            <w:pPr>
              <w:spacing w:line="260" w:lineRule="atLeast"/>
              <w:rPr>
                <w:rFonts w:eastAsia="Calibri"/>
                <w:lang w:eastAsia="en-US"/>
              </w:rPr>
            </w:pPr>
            <w:r w:rsidRPr="006B1A5A">
              <w:rPr>
                <w:rFonts w:eastAsia="Calibri"/>
                <w:lang w:eastAsia="en-US"/>
              </w:rPr>
              <w:t>All methods are valid and acceptable.</w:t>
            </w:r>
          </w:p>
        </w:tc>
      </w:tr>
    </w:tbl>
    <w:p w14:paraId="2FF6986B" w14:textId="77777777" w:rsidR="001042DA" w:rsidRPr="006B1A5A" w:rsidRDefault="001042DA" w:rsidP="001042DA">
      <w:pPr>
        <w:jc w:val="both"/>
        <w:rPr>
          <w:b/>
          <w:bCs/>
          <w:caps/>
          <w:sz w:val="22"/>
        </w:rPr>
      </w:pPr>
      <w:bookmarkStart w:id="1355" w:name="_Toc403566564"/>
      <w:bookmarkStart w:id="1356" w:name="_Toc425344105"/>
    </w:p>
    <w:p w14:paraId="22420402" w14:textId="77777777" w:rsidR="001042DA" w:rsidRPr="006B1A5A" w:rsidRDefault="001042DA" w:rsidP="001042DA">
      <w:pPr>
        <w:rPr>
          <w:b/>
          <w:bCs/>
          <w:caps/>
          <w:sz w:val="22"/>
        </w:rPr>
      </w:pPr>
      <w:r w:rsidRPr="006B1A5A">
        <w:rPr>
          <w:b/>
          <w:bCs/>
          <w:caps/>
          <w:sz w:val="22"/>
        </w:rPr>
        <w:br w:type="page"/>
      </w:r>
    </w:p>
    <w:p w14:paraId="59A090F9" w14:textId="77777777" w:rsidR="001042DA" w:rsidRPr="006B1A5A" w:rsidRDefault="001042DA" w:rsidP="001042DA">
      <w:pPr>
        <w:jc w:val="both"/>
        <w:rPr>
          <w:b/>
          <w:bCs/>
          <w:caps/>
          <w:sz w:val="22"/>
        </w:rPr>
      </w:pPr>
    </w:p>
    <w:p w14:paraId="7FE68EE6" w14:textId="77777777" w:rsidR="001042DA" w:rsidRPr="006B1A5A" w:rsidRDefault="001042DA" w:rsidP="001042DA">
      <w:pPr>
        <w:pStyle w:val="Absatz"/>
      </w:pPr>
    </w:p>
    <w:p w14:paraId="4B0503B7" w14:textId="77777777" w:rsidR="001042DA" w:rsidRPr="006B1A5A" w:rsidRDefault="001042DA" w:rsidP="001042DA">
      <w:pPr>
        <w:pStyle w:val="Overskrift3"/>
        <w:rPr>
          <w:lang w:val="en-GB"/>
        </w:rPr>
      </w:pPr>
      <w:bookmarkStart w:id="1357" w:name="_Toc66448822"/>
      <w:r w:rsidRPr="006B1A5A">
        <w:rPr>
          <w:lang w:val="en-GB"/>
        </w:rPr>
        <w:t>Efficacy against target organisms</w:t>
      </w:r>
      <w:bookmarkStart w:id="1358" w:name="_Toc377649023"/>
      <w:bookmarkStart w:id="1359" w:name="_Toc377650876"/>
      <w:bookmarkStart w:id="1360" w:name="_Toc377651003"/>
      <w:bookmarkStart w:id="1361" w:name="_Toc377653272"/>
      <w:bookmarkStart w:id="1362" w:name="_Toc378351576"/>
      <w:bookmarkStart w:id="1363" w:name="_Toc378681325"/>
      <w:bookmarkStart w:id="1364" w:name="_Toc378682245"/>
      <w:bookmarkStart w:id="1365" w:name="_Toc378683692"/>
      <w:bookmarkStart w:id="1366" w:name="_Toc378685380"/>
      <w:bookmarkStart w:id="1367" w:name="_Toc378685516"/>
      <w:bookmarkStart w:id="1368" w:name="_Toc378691725"/>
      <w:bookmarkStart w:id="1369" w:name="_Toc378692182"/>
      <w:bookmarkStart w:id="1370" w:name="_Toc378692319"/>
      <w:bookmarkStart w:id="1371" w:name="_Toc378692456"/>
      <w:bookmarkStart w:id="1372" w:name="_Toc378761159"/>
      <w:bookmarkStart w:id="1373" w:name="_Toc378761302"/>
      <w:bookmarkStart w:id="1374" w:name="_Toc378761445"/>
      <w:bookmarkStart w:id="1375" w:name="_Toc378761588"/>
      <w:bookmarkStart w:id="1376" w:name="_Toc378761901"/>
      <w:bookmarkStart w:id="1377" w:name="_Toc378762041"/>
      <w:bookmarkStart w:id="1378" w:name="_Toc378762179"/>
      <w:bookmarkStart w:id="1379" w:name="_Toc378765656"/>
      <w:bookmarkStart w:id="1380" w:name="_Toc378767404"/>
      <w:bookmarkStart w:id="1381" w:name="_Toc378774999"/>
      <w:bookmarkStart w:id="1382" w:name="_Toc378776193"/>
      <w:bookmarkStart w:id="1383" w:name="_Toc378841273"/>
      <w:bookmarkStart w:id="1384" w:name="_Toc378858872"/>
      <w:bookmarkStart w:id="1385" w:name="_Toc378859100"/>
      <w:bookmarkStart w:id="1386" w:name="_Toc378351577"/>
      <w:bookmarkStart w:id="1387" w:name="_Toc378681326"/>
      <w:bookmarkStart w:id="1388" w:name="_Toc378682246"/>
      <w:bookmarkStart w:id="1389" w:name="_Toc378683693"/>
      <w:bookmarkStart w:id="1390" w:name="_Toc378685381"/>
      <w:bookmarkStart w:id="1391" w:name="_Toc378685517"/>
      <w:bookmarkStart w:id="1392" w:name="_Toc378691726"/>
      <w:bookmarkStart w:id="1393" w:name="_Toc378692183"/>
      <w:bookmarkStart w:id="1394" w:name="_Toc378692320"/>
      <w:bookmarkStart w:id="1395" w:name="_Toc378692457"/>
      <w:bookmarkStart w:id="1396" w:name="_Toc378761160"/>
      <w:bookmarkStart w:id="1397" w:name="_Toc378761303"/>
      <w:bookmarkStart w:id="1398" w:name="_Toc378761446"/>
      <w:bookmarkStart w:id="1399" w:name="_Toc378761589"/>
      <w:bookmarkStart w:id="1400" w:name="_Toc378761902"/>
      <w:bookmarkStart w:id="1401" w:name="_Toc378762042"/>
      <w:bookmarkStart w:id="1402" w:name="_Toc378762180"/>
      <w:bookmarkStart w:id="1403" w:name="_Toc378765657"/>
      <w:bookmarkStart w:id="1404" w:name="_Toc378767405"/>
      <w:bookmarkStart w:id="1405" w:name="_Toc378775000"/>
      <w:bookmarkStart w:id="1406" w:name="_Toc378776194"/>
      <w:bookmarkStart w:id="1407" w:name="_Toc378841274"/>
      <w:bookmarkStart w:id="1408" w:name="_Toc378858873"/>
      <w:bookmarkStart w:id="1409" w:name="_Toc378859101"/>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14:paraId="1A6C6E8E" w14:textId="77777777" w:rsidR="001042DA" w:rsidRPr="006B1A5A" w:rsidRDefault="001042DA" w:rsidP="00916E44">
      <w:pPr>
        <w:pStyle w:val="Overskrift4"/>
      </w:pPr>
      <w:bookmarkStart w:id="1410" w:name="_Toc388285279"/>
      <w:bookmarkStart w:id="1411" w:name="_Toc389726187"/>
      <w:bookmarkStart w:id="1412" w:name="_Toc389727239"/>
      <w:bookmarkStart w:id="1413" w:name="_Toc389727597"/>
      <w:bookmarkStart w:id="1414" w:name="_Toc389727956"/>
      <w:bookmarkStart w:id="1415" w:name="_Toc389728315"/>
      <w:bookmarkStart w:id="1416" w:name="_Toc389728675"/>
      <w:bookmarkStart w:id="1417" w:name="_Toc389729033"/>
      <w:bookmarkStart w:id="1418" w:name="_Toc388281577"/>
      <w:bookmarkStart w:id="1419" w:name="_Toc388282033"/>
      <w:bookmarkStart w:id="1420" w:name="_Toc388282515"/>
      <w:bookmarkStart w:id="1421" w:name="_Toc388282963"/>
      <w:bookmarkStart w:id="1422" w:name="_Toc388281578"/>
      <w:bookmarkStart w:id="1423" w:name="_Toc388282034"/>
      <w:bookmarkStart w:id="1424" w:name="_Toc388282516"/>
      <w:bookmarkStart w:id="1425" w:name="_Toc388282964"/>
      <w:bookmarkStart w:id="1426" w:name="_Toc388281579"/>
      <w:bookmarkStart w:id="1427" w:name="_Toc388282035"/>
      <w:bookmarkStart w:id="1428" w:name="_Toc388282517"/>
      <w:bookmarkStart w:id="1429" w:name="_Toc388282965"/>
      <w:bookmarkStart w:id="1430" w:name="_Toc388281580"/>
      <w:bookmarkStart w:id="1431" w:name="_Toc388282036"/>
      <w:bookmarkStart w:id="1432" w:name="_Toc388282518"/>
      <w:bookmarkStart w:id="1433" w:name="_Toc388282966"/>
      <w:bookmarkStart w:id="1434" w:name="_Toc389729034"/>
      <w:bookmarkStart w:id="1435" w:name="_Toc403472744"/>
      <w:bookmarkStart w:id="1436" w:name="_Toc403566565"/>
      <w:bookmarkStart w:id="1437" w:name="_Toc425344106"/>
      <w:bookmarkStart w:id="1438" w:name="_Toc66448823"/>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r w:rsidRPr="006B1A5A">
        <w:t>Function and field of use</w:t>
      </w:r>
      <w:bookmarkEnd w:id="1434"/>
      <w:bookmarkEnd w:id="1435"/>
      <w:bookmarkEnd w:id="1436"/>
      <w:bookmarkEnd w:id="1437"/>
      <w:bookmarkEnd w:id="1438"/>
    </w:p>
    <w:p w14:paraId="4CDA06B7" w14:textId="77777777" w:rsidR="001042DA" w:rsidRPr="006B1A5A" w:rsidRDefault="001042DA" w:rsidP="001042DA">
      <w:pPr>
        <w:rPr>
          <w:rFonts w:eastAsia="Calibri"/>
        </w:rPr>
      </w:pPr>
      <w:r w:rsidRPr="006B1A5A">
        <w:rPr>
          <w:rFonts w:eastAsia="Calibri"/>
          <w:b/>
        </w:rPr>
        <w:t>Function:</w:t>
      </w:r>
      <w:r w:rsidRPr="006B1A5A">
        <w:rPr>
          <w:rFonts w:eastAsia="Calibri"/>
        </w:rPr>
        <w:t xml:space="preserve"> </w:t>
      </w:r>
      <w:r w:rsidRPr="006B1A5A">
        <w:rPr>
          <w:rFonts w:eastAsia="Calibri"/>
        </w:rPr>
        <w:tab/>
        <w:t xml:space="preserve">Antifoulant </w:t>
      </w:r>
    </w:p>
    <w:p w14:paraId="63407F1B" w14:textId="77777777" w:rsidR="001042DA" w:rsidRPr="006B1A5A" w:rsidRDefault="001042DA" w:rsidP="001042DA">
      <w:pPr>
        <w:rPr>
          <w:rFonts w:eastAsia="Calibri"/>
        </w:rPr>
      </w:pPr>
      <w:r w:rsidRPr="006B1A5A">
        <w:rPr>
          <w:rFonts w:eastAsia="Calibri"/>
          <w:b/>
        </w:rPr>
        <w:t>Field of use:</w:t>
      </w:r>
      <w:r w:rsidRPr="006B1A5A">
        <w:rPr>
          <w:rFonts w:eastAsia="Calibri"/>
        </w:rPr>
        <w:tab/>
        <w:t>Aquaculture</w:t>
      </w:r>
    </w:p>
    <w:p w14:paraId="3C592CD7" w14:textId="77777777" w:rsidR="001042DA" w:rsidRPr="006B1A5A" w:rsidRDefault="001042DA" w:rsidP="001042DA">
      <w:pPr>
        <w:rPr>
          <w:rFonts w:eastAsia="Calibri"/>
        </w:rPr>
      </w:pPr>
    </w:p>
    <w:p w14:paraId="4419FB83" w14:textId="77777777" w:rsidR="001042DA" w:rsidRPr="006B1A5A" w:rsidRDefault="001042DA" w:rsidP="001042DA">
      <w:pPr>
        <w:spacing w:line="260" w:lineRule="atLeast"/>
        <w:jc w:val="both"/>
        <w:rPr>
          <w:rFonts w:eastAsia="Calibri"/>
          <w:lang w:eastAsia="en-US"/>
        </w:rPr>
      </w:pPr>
      <w:bookmarkStart w:id="1439" w:name="_Hlk11269373"/>
      <w:r w:rsidRPr="006B1A5A">
        <w:rPr>
          <w:rFonts w:eastAsia="Calibri"/>
          <w:lang w:eastAsia="en-US"/>
        </w:rPr>
        <w:t xml:space="preserve">The AquaNet 360 BPF products </w:t>
      </w:r>
      <w:r w:rsidRPr="006B1A5A">
        <w:t xml:space="preserve">are intended to be used for the protection of nets used in aquaculture against fouling </w:t>
      </w:r>
      <w:r w:rsidRPr="006B1A5A">
        <w:rPr>
          <w:rFonts w:eastAsia="Calibri"/>
          <w:lang w:eastAsia="en-US"/>
        </w:rPr>
        <w:t>organisms in marine environments</w:t>
      </w:r>
      <w:r w:rsidRPr="006B1A5A">
        <w:t>.</w:t>
      </w:r>
    </w:p>
    <w:p w14:paraId="33D2AE67" w14:textId="77777777" w:rsidR="001042DA" w:rsidRPr="006B1A5A" w:rsidRDefault="001042DA" w:rsidP="00916E44">
      <w:pPr>
        <w:pStyle w:val="Overskrift4"/>
      </w:pPr>
      <w:bookmarkStart w:id="1440" w:name="_Toc389729036"/>
      <w:bookmarkStart w:id="1441" w:name="_Toc403472745"/>
      <w:bookmarkStart w:id="1442" w:name="_Toc403566566"/>
      <w:bookmarkStart w:id="1443" w:name="_Toc425344107"/>
      <w:bookmarkStart w:id="1444" w:name="_Toc66448824"/>
      <w:bookmarkEnd w:id="1439"/>
      <w:r w:rsidRPr="006B1A5A">
        <w:t>Organisms to be controlled and products, organisms or objects to be protected</w:t>
      </w:r>
      <w:bookmarkEnd w:id="1440"/>
      <w:bookmarkEnd w:id="1441"/>
      <w:bookmarkEnd w:id="1442"/>
      <w:bookmarkEnd w:id="1443"/>
      <w:bookmarkEnd w:id="1444"/>
    </w:p>
    <w:p w14:paraId="347968C8" w14:textId="77777777" w:rsidR="001042DA" w:rsidRPr="006B1A5A" w:rsidRDefault="001042DA" w:rsidP="001042DA">
      <w:pPr>
        <w:spacing w:line="260" w:lineRule="atLeast"/>
        <w:jc w:val="both"/>
        <w:rPr>
          <w:rFonts w:eastAsia="Calibri"/>
          <w:highlight w:val="yellow"/>
          <w:lang w:eastAsia="en-US"/>
        </w:rPr>
      </w:pPr>
      <w:r w:rsidRPr="006B1A5A">
        <w:rPr>
          <w:rFonts w:eastAsia="Calibri"/>
          <w:lang w:eastAsia="en-US"/>
        </w:rPr>
        <w:t>4000 fouling species with representatives from a variety of phyla, for example; slime, diatoms species (</w:t>
      </w:r>
      <w:r w:rsidRPr="006B1A5A">
        <w:rPr>
          <w:rFonts w:eastAsia="Calibri"/>
          <w:i/>
          <w:lang w:eastAsia="en-US"/>
        </w:rPr>
        <w:t>e.g.</w:t>
      </w:r>
      <w:r w:rsidRPr="006B1A5A">
        <w:rPr>
          <w:rFonts w:eastAsia="Calibri"/>
          <w:lang w:eastAsia="en-US"/>
        </w:rPr>
        <w:t xml:space="preserve"> </w:t>
      </w:r>
      <w:r w:rsidRPr="006B1A5A">
        <w:rPr>
          <w:rFonts w:eastAsia="Calibri"/>
          <w:i/>
          <w:lang w:eastAsia="en-US"/>
        </w:rPr>
        <w:t>Achnanthes</w:t>
      </w:r>
      <w:r w:rsidRPr="006B1A5A">
        <w:rPr>
          <w:rFonts w:eastAsia="Calibri"/>
          <w:lang w:eastAsia="en-US"/>
        </w:rPr>
        <w:t xml:space="preserve"> and </w:t>
      </w:r>
      <w:r w:rsidRPr="006B1A5A">
        <w:rPr>
          <w:rFonts w:eastAsia="Calibri"/>
          <w:i/>
          <w:lang w:eastAsia="en-US"/>
        </w:rPr>
        <w:t>Amphora</w:t>
      </w:r>
      <w:r w:rsidRPr="006B1A5A">
        <w:rPr>
          <w:rFonts w:eastAsia="Calibri"/>
          <w:lang w:eastAsia="en-US"/>
        </w:rPr>
        <w:t xml:space="preserve"> species), algae such as green, brown and red algae spores (</w:t>
      </w:r>
      <w:r w:rsidRPr="006B1A5A">
        <w:rPr>
          <w:rFonts w:eastAsia="Calibri"/>
          <w:i/>
          <w:lang w:eastAsia="en-US"/>
        </w:rPr>
        <w:t>e.g.</w:t>
      </w:r>
      <w:r w:rsidRPr="006B1A5A">
        <w:rPr>
          <w:rFonts w:eastAsia="Calibri"/>
          <w:lang w:eastAsia="en-US"/>
        </w:rPr>
        <w:t xml:space="preserve"> </w:t>
      </w:r>
      <w:r w:rsidRPr="006B1A5A">
        <w:rPr>
          <w:rFonts w:eastAsia="Calibri"/>
          <w:i/>
          <w:lang w:eastAsia="en-US"/>
        </w:rPr>
        <w:t>Enteromorpha</w:t>
      </w:r>
      <w:r w:rsidRPr="006B1A5A">
        <w:rPr>
          <w:rFonts w:eastAsia="Calibri"/>
          <w:lang w:eastAsia="en-US"/>
        </w:rPr>
        <w:t xml:space="preserve"> spp, </w:t>
      </w:r>
      <w:r w:rsidRPr="006B1A5A">
        <w:rPr>
          <w:rFonts w:eastAsia="Calibri"/>
          <w:i/>
          <w:lang w:eastAsia="en-US"/>
        </w:rPr>
        <w:t>Polysiphonia</w:t>
      </w:r>
      <w:r w:rsidRPr="006B1A5A">
        <w:rPr>
          <w:rFonts w:eastAsia="Calibri"/>
          <w:lang w:eastAsia="en-US"/>
        </w:rPr>
        <w:t>), animals such as barnacles, mussels, tubeworms (</w:t>
      </w:r>
      <w:r w:rsidRPr="006B1A5A">
        <w:rPr>
          <w:rFonts w:eastAsia="Calibri"/>
          <w:i/>
          <w:lang w:eastAsia="en-US"/>
        </w:rPr>
        <w:t>e.g.</w:t>
      </w:r>
      <w:r w:rsidRPr="006B1A5A">
        <w:rPr>
          <w:rFonts w:eastAsia="Calibri"/>
          <w:lang w:eastAsia="en-US"/>
        </w:rPr>
        <w:t xml:space="preserve"> Serpulids), sponges.</w:t>
      </w:r>
    </w:p>
    <w:p w14:paraId="30B57F73" w14:textId="77777777" w:rsidR="001042DA" w:rsidRPr="006B1A5A" w:rsidRDefault="001042DA" w:rsidP="00916E44">
      <w:pPr>
        <w:pStyle w:val="Overskrift4"/>
      </w:pPr>
      <w:bookmarkStart w:id="1445" w:name="_Toc389729037"/>
      <w:bookmarkStart w:id="1446" w:name="_Toc403472746"/>
      <w:bookmarkStart w:id="1447" w:name="_Toc403566567"/>
      <w:bookmarkStart w:id="1448" w:name="_Toc425344108"/>
      <w:bookmarkStart w:id="1449" w:name="_Toc66448825"/>
      <w:r w:rsidRPr="006B1A5A">
        <w:t>Effects on target organisms, including unacceptable suffering</w:t>
      </w:r>
      <w:bookmarkEnd w:id="1445"/>
      <w:bookmarkEnd w:id="1446"/>
      <w:bookmarkEnd w:id="1447"/>
      <w:bookmarkEnd w:id="1448"/>
      <w:bookmarkEnd w:id="1449"/>
    </w:p>
    <w:p w14:paraId="3DE71A7F" w14:textId="77777777" w:rsidR="001042DA" w:rsidRPr="006B1A5A" w:rsidRDefault="001042DA" w:rsidP="001042DA">
      <w:pPr>
        <w:spacing w:line="260" w:lineRule="atLeast"/>
        <w:jc w:val="both"/>
        <w:rPr>
          <w:rFonts w:eastAsia="Calibri"/>
          <w:lang w:eastAsia="en-US"/>
        </w:rPr>
      </w:pPr>
      <w:r w:rsidRPr="006B1A5A">
        <w:rPr>
          <w:rFonts w:eastAsia="Calibri"/>
          <w:lang w:eastAsia="en-US"/>
        </w:rPr>
        <w:t>Cell death or inactivation, settlement inhibition or retardation. Target organisms are not expected to experience any unacceptable suffering.</w:t>
      </w:r>
    </w:p>
    <w:p w14:paraId="65F04B0F" w14:textId="77777777" w:rsidR="001042DA" w:rsidRPr="006B1A5A" w:rsidRDefault="001042DA" w:rsidP="00916E44">
      <w:pPr>
        <w:pStyle w:val="Overskrift4"/>
      </w:pPr>
      <w:bookmarkStart w:id="1450" w:name="_Toc389729038"/>
      <w:bookmarkStart w:id="1451" w:name="_Toc403472747"/>
      <w:bookmarkStart w:id="1452" w:name="_Toc403566568"/>
      <w:bookmarkStart w:id="1453" w:name="_Toc425344109"/>
      <w:bookmarkStart w:id="1454" w:name="_Toc66448826"/>
      <w:bookmarkStart w:id="1455" w:name="_Hlk65571622"/>
      <w:r w:rsidRPr="006B1A5A">
        <w:t>Mode of action, including time delay</w:t>
      </w:r>
      <w:bookmarkEnd w:id="1450"/>
      <w:bookmarkEnd w:id="1451"/>
      <w:bookmarkEnd w:id="1452"/>
      <w:bookmarkEnd w:id="1453"/>
      <w:bookmarkEnd w:id="1454"/>
    </w:p>
    <w:p w14:paraId="4E7C5EE2" w14:textId="77777777" w:rsidR="001042DA" w:rsidRPr="006B1A5A" w:rsidRDefault="001042DA" w:rsidP="001042DA">
      <w:pPr>
        <w:spacing w:line="260" w:lineRule="atLeast"/>
        <w:jc w:val="both"/>
        <w:rPr>
          <w:rFonts w:eastAsia="Calibri"/>
          <w:lang w:eastAsia="en-US"/>
        </w:rPr>
      </w:pPr>
      <w:bookmarkStart w:id="1456" w:name="_Toc389729039"/>
      <w:bookmarkStart w:id="1457" w:name="_Toc403472748"/>
      <w:bookmarkStart w:id="1458" w:name="_Toc403566569"/>
      <w:bookmarkStart w:id="1459" w:name="_Toc425344110"/>
      <w:r w:rsidRPr="006B1A5A">
        <w:rPr>
          <w:rFonts w:eastAsia="Calibri"/>
          <w:lang w:eastAsia="en-US"/>
        </w:rPr>
        <w:t xml:space="preserve">When copper from cuprous oxide and copper thiocyanate leaches into </w:t>
      </w:r>
      <w:r w:rsidRPr="006B1A5A">
        <w:rPr>
          <w:rFonts w:eastAsia="Calibri"/>
          <w:noProof/>
          <w:lang w:eastAsia="en-US"/>
        </w:rPr>
        <w:t>marine water</w:t>
      </w:r>
      <w:r w:rsidRPr="006B1A5A">
        <w:rPr>
          <w:rFonts w:eastAsia="Calibri"/>
          <w:lang w:eastAsia="en-US"/>
        </w:rPr>
        <w:t xml:space="preserve"> in the presence of oxygen, the predominant form of the copper is the cupric ion, Cu</w:t>
      </w:r>
      <w:r w:rsidRPr="006B1A5A">
        <w:rPr>
          <w:rFonts w:eastAsia="Calibri"/>
          <w:vertAlign w:val="superscript"/>
          <w:lang w:eastAsia="en-US"/>
        </w:rPr>
        <w:t>2+</w:t>
      </w:r>
      <w:r w:rsidRPr="006B1A5A">
        <w:rPr>
          <w:rFonts w:eastAsia="Calibri"/>
          <w:lang w:eastAsia="en-US"/>
        </w:rPr>
        <w:t>. Cupric ions retard the settlement of microscopic larvae of fouling organisms within a microlayer of water at the paint surface via two mechanisms:</w:t>
      </w:r>
    </w:p>
    <w:p w14:paraId="1450D52D" w14:textId="77777777" w:rsidR="001042DA" w:rsidRPr="006B1A5A" w:rsidRDefault="001042DA" w:rsidP="001042DA">
      <w:pPr>
        <w:spacing w:line="260" w:lineRule="atLeast"/>
        <w:rPr>
          <w:rFonts w:eastAsia="Calibri"/>
          <w:lang w:eastAsia="en-US"/>
        </w:rPr>
      </w:pPr>
      <w:r w:rsidRPr="006B1A5A">
        <w:rPr>
          <w:rFonts w:eastAsia="Calibri"/>
          <w:lang w:eastAsia="en-US"/>
        </w:rPr>
        <w:t>(1) the ion retards organism's vital processes by inactivating enzymes;</w:t>
      </w:r>
    </w:p>
    <w:p w14:paraId="7C0EE75A" w14:textId="77777777" w:rsidR="001042DA" w:rsidRPr="006B1A5A" w:rsidRDefault="001042DA" w:rsidP="001042DA">
      <w:pPr>
        <w:spacing w:line="260" w:lineRule="atLeast"/>
        <w:rPr>
          <w:rFonts w:eastAsia="Calibri"/>
          <w:lang w:eastAsia="en-US"/>
        </w:rPr>
      </w:pPr>
      <w:r w:rsidRPr="006B1A5A">
        <w:rPr>
          <w:rFonts w:eastAsia="Calibri"/>
          <w:lang w:eastAsia="en-US"/>
        </w:rPr>
        <w:t>(2) the ion acts more directly by precipitating cytoplasmic proteins as metallic proteinates.</w:t>
      </w:r>
    </w:p>
    <w:bookmarkEnd w:id="1455"/>
    <w:p w14:paraId="62CE56E3" w14:textId="77777777" w:rsidR="001042DA" w:rsidRPr="006B1A5A" w:rsidRDefault="001042DA" w:rsidP="001042DA">
      <w:pPr>
        <w:spacing w:line="260" w:lineRule="atLeast"/>
        <w:rPr>
          <w:rFonts w:eastAsia="Calibri"/>
          <w:lang w:eastAsia="en-US"/>
        </w:rPr>
      </w:pPr>
    </w:p>
    <w:p w14:paraId="20E83196" w14:textId="77777777" w:rsidR="001042DA" w:rsidRPr="006B1A5A" w:rsidRDefault="001042DA" w:rsidP="001042DA">
      <w:pPr>
        <w:spacing w:line="260" w:lineRule="atLeast"/>
        <w:rPr>
          <w:rFonts w:eastAsia="Calibri"/>
          <w:lang w:eastAsia="en-US"/>
        </w:rPr>
      </w:pPr>
    </w:p>
    <w:p w14:paraId="06C30948" w14:textId="1FC02ADB" w:rsidR="001042DA" w:rsidRPr="006B1A5A" w:rsidRDefault="001042DA" w:rsidP="00916E44">
      <w:pPr>
        <w:pStyle w:val="Overskrift4"/>
      </w:pPr>
      <w:bookmarkStart w:id="1460" w:name="_Toc66448827"/>
      <w:r w:rsidRPr="006B1A5A">
        <w:t>Efficacy data</w:t>
      </w:r>
      <w:bookmarkEnd w:id="1456"/>
      <w:bookmarkEnd w:id="1457"/>
      <w:bookmarkEnd w:id="1458"/>
      <w:bookmarkEnd w:id="1459"/>
      <w:bookmarkEnd w:id="1460"/>
      <w:r w:rsidRPr="006B1A5A">
        <w:t xml:space="preserve"> </w:t>
      </w:r>
    </w:p>
    <w:p w14:paraId="0347D512" w14:textId="77777777" w:rsidR="001042DA" w:rsidRPr="006B1A5A" w:rsidRDefault="001042DA" w:rsidP="001042DA">
      <w:pPr>
        <w:spacing w:line="260" w:lineRule="atLeast"/>
        <w:jc w:val="both"/>
        <w:rPr>
          <w:rFonts w:eastAsia="Calibri"/>
          <w:lang w:eastAsia="en-US"/>
        </w:rPr>
      </w:pPr>
    </w:p>
    <w:p w14:paraId="75C5B2B5" w14:textId="77777777" w:rsidR="001042DA" w:rsidRPr="006B1A5A" w:rsidRDefault="001042DA" w:rsidP="001042DA">
      <w:pPr>
        <w:spacing w:line="260" w:lineRule="atLeast"/>
        <w:jc w:val="both"/>
        <w:rPr>
          <w:rFonts w:eastAsia="Calibri"/>
          <w:lang w:eastAsia="en-US"/>
        </w:rPr>
      </w:pPr>
      <w:bookmarkStart w:id="1461" w:name="_Hlk21524452"/>
      <w:r w:rsidRPr="006B1A5A">
        <w:rPr>
          <w:rFonts w:eastAsia="Calibri"/>
          <w:lang w:eastAsia="en-US"/>
        </w:rPr>
        <w:t>Biofouling in marine aquaculture is one of the main barriers to efficient and sustainable production (Dürr and Watson 2010), and the direct economic cost of managing biofouling in the aquaculture industry is estimated to be 5-10% of the production costs (Lane and Willemsen 2004).</w:t>
      </w:r>
    </w:p>
    <w:p w14:paraId="3C65B92D" w14:textId="77777777" w:rsidR="001042DA" w:rsidRPr="006B1A5A" w:rsidRDefault="001042DA" w:rsidP="001042DA">
      <w:pPr>
        <w:spacing w:line="260" w:lineRule="atLeast"/>
        <w:jc w:val="both"/>
        <w:rPr>
          <w:rFonts w:eastAsia="Calibri"/>
          <w:lang w:eastAsia="en-US"/>
        </w:rPr>
      </w:pPr>
    </w:p>
    <w:p w14:paraId="257DC1A6" w14:textId="612E4986" w:rsidR="001042DA" w:rsidRPr="006B1A5A" w:rsidRDefault="001042DA" w:rsidP="001042DA">
      <w:pPr>
        <w:spacing w:line="260" w:lineRule="atLeast"/>
        <w:jc w:val="both"/>
        <w:rPr>
          <w:rFonts w:eastAsia="Calibri"/>
          <w:lang w:eastAsia="en-US"/>
        </w:rPr>
      </w:pPr>
      <w:r w:rsidRPr="006B1A5A">
        <w:rPr>
          <w:rFonts w:eastAsia="Calibri"/>
          <w:lang w:eastAsia="en-US"/>
        </w:rPr>
        <w:t xml:space="preserve">No agreed guidance document on efficacy of PT21 products for use on aquaculture nets exists today. In 2017, the NO CA commissioned the development of such a guidance document in order to provide the applicants with an equal framework to base their efficacy studies upon, as well as to establish a framework to base their evaluation on (Guidelines for efficacy testing of antifouling coatings for nets in field tests; Developed by SINTEF Ocean on behalf of the Norwegian Environment Agency. Hereafter referred to as "SINTEF").). The goal is to get this proposed guidance document included as an annex to the existing ECHA guidance document on efficacy and thereby completing the chapter on PT 21 products. The proposed guidance document has currently been discussed among the members of the ECHA working group on efficacy, but no final agreement has been reached at this point. </w:t>
      </w:r>
    </w:p>
    <w:p w14:paraId="647AD006" w14:textId="14ED78E4" w:rsidR="001042DA" w:rsidRPr="006B1A5A" w:rsidRDefault="001042DA" w:rsidP="001042DA">
      <w:pPr>
        <w:spacing w:line="260" w:lineRule="atLeast"/>
        <w:jc w:val="both"/>
        <w:rPr>
          <w:rFonts w:eastAsia="Calibri"/>
          <w:lang w:eastAsia="en-US"/>
        </w:rPr>
      </w:pPr>
      <w:r w:rsidRPr="006B1A5A">
        <w:rPr>
          <w:rFonts w:eastAsia="Calibri"/>
          <w:lang w:eastAsia="en-US"/>
        </w:rPr>
        <w:t xml:space="preserve">The proposed guidance document has been used for the evaluation </w:t>
      </w:r>
      <w:r w:rsidR="000468C1">
        <w:rPr>
          <w:rFonts w:eastAsia="Calibri"/>
          <w:lang w:eastAsia="en-US"/>
        </w:rPr>
        <w:t>in</w:t>
      </w:r>
      <w:r w:rsidRPr="006B1A5A">
        <w:rPr>
          <w:rFonts w:eastAsia="Calibri"/>
          <w:lang w:eastAsia="en-US"/>
        </w:rPr>
        <w:t xml:space="preserve"> this product family authorisation. However, as no agreement on its applicability has been reached some flexibility and pragmatism has been used in the assessment</w:t>
      </w:r>
    </w:p>
    <w:p w14:paraId="568B6466" w14:textId="77777777" w:rsidR="001042DA" w:rsidRPr="006B1A5A" w:rsidRDefault="001042DA" w:rsidP="001042DA">
      <w:pPr>
        <w:spacing w:line="260" w:lineRule="atLeast"/>
        <w:jc w:val="both"/>
        <w:rPr>
          <w:rFonts w:eastAsia="Calibri"/>
          <w:lang w:eastAsia="en-US"/>
        </w:rPr>
      </w:pPr>
    </w:p>
    <w:p w14:paraId="3C977E50" w14:textId="77777777" w:rsidR="001042DA" w:rsidRPr="006B1A5A" w:rsidRDefault="001042DA" w:rsidP="001042DA">
      <w:pPr>
        <w:spacing w:line="260" w:lineRule="atLeast"/>
        <w:jc w:val="both"/>
        <w:rPr>
          <w:rFonts w:eastAsia="Calibri"/>
          <w:lang w:eastAsia="en-US"/>
        </w:rPr>
      </w:pPr>
      <w:r w:rsidRPr="006B1A5A">
        <w:rPr>
          <w:rFonts w:eastAsia="Calibri"/>
          <w:lang w:eastAsia="en-US"/>
        </w:rPr>
        <w:t xml:space="preserve">The first efficacy studies performed for these products were performed in 2017 before the proposed guidance document was finalised and were thus performed according to the applicants own internal routines. After the proposed guidance document was finalised / drafted, a new set of efficacy studies was performed in 2018, where the methodology and principles given in the proposed guidance document was largely followed. </w:t>
      </w:r>
    </w:p>
    <w:p w14:paraId="1AD59410" w14:textId="77777777" w:rsidR="001042DA" w:rsidRPr="006B1A5A" w:rsidRDefault="001042DA" w:rsidP="001042DA">
      <w:pPr>
        <w:spacing w:line="260" w:lineRule="atLeast"/>
        <w:jc w:val="both"/>
        <w:rPr>
          <w:rFonts w:eastAsia="Calibri"/>
          <w:lang w:eastAsia="en-US"/>
        </w:rPr>
      </w:pPr>
    </w:p>
    <w:p w14:paraId="0E9DEADB" w14:textId="77777777" w:rsidR="001042DA" w:rsidRPr="006B1A5A" w:rsidRDefault="001042DA" w:rsidP="001042DA">
      <w:pPr>
        <w:spacing w:line="260" w:lineRule="atLeast"/>
        <w:jc w:val="both"/>
        <w:rPr>
          <w:rFonts w:eastAsia="Calibri"/>
          <w:lang w:eastAsia="en-US"/>
        </w:rPr>
      </w:pPr>
      <w:r w:rsidRPr="006B1A5A">
        <w:rPr>
          <w:rFonts w:eastAsia="Calibri"/>
          <w:lang w:eastAsia="en-US"/>
        </w:rPr>
        <w:t>The first set of efficacy studies performed for this product family deviate from the principles in the proposed guidance document in that the samples are not tested in randomised triplicates. Only single samples of each product were tested. This was reported to be due to capacity problems at the fish farms due to the commercial activities, such as boat traffic and other farm operations taking place. The applicant therefore chose to use larger sample panels (80 x 40 cm) than the minimum size recommended in the proposed by SINTEF (25 x 25 cm). The total tested areas are thus larger in these studies than recommended in the SINTEF document. The samples were scored in accordance with the applicants own internal procedure which is presented in the individual study reports.</w:t>
      </w:r>
    </w:p>
    <w:p w14:paraId="5B477A25" w14:textId="77777777" w:rsidR="001042DA" w:rsidRPr="006B1A5A" w:rsidRDefault="001042DA" w:rsidP="001042DA">
      <w:pPr>
        <w:spacing w:line="260" w:lineRule="atLeast"/>
        <w:jc w:val="both"/>
        <w:rPr>
          <w:rFonts w:eastAsia="Calibri"/>
          <w:lang w:eastAsia="en-US"/>
        </w:rPr>
      </w:pPr>
    </w:p>
    <w:p w14:paraId="6025CC2F" w14:textId="77777777" w:rsidR="001042DA" w:rsidRPr="006B1A5A" w:rsidRDefault="001042DA" w:rsidP="001042DA">
      <w:pPr>
        <w:spacing w:line="260" w:lineRule="atLeast"/>
        <w:jc w:val="both"/>
        <w:rPr>
          <w:rFonts w:eastAsia="Calibri"/>
          <w:lang w:eastAsia="en-US"/>
        </w:rPr>
      </w:pPr>
      <w:r w:rsidRPr="006B1A5A">
        <w:rPr>
          <w:rFonts w:eastAsia="Calibri"/>
          <w:lang w:eastAsia="en-US"/>
        </w:rPr>
        <w:t xml:space="preserve">The submitted photo evidence from the 2017 efficacy tests were unfortunately of too poor quality and resolution for a proper evaluation to be performed by the rMS. The tests are generally well performed and to a large extent follow the principles given in the SINTEF document. Due to the poor image quality, these tests have been given a reliability score of 3. They are nevertheless included in order to provide supplemental information. </w:t>
      </w:r>
    </w:p>
    <w:p w14:paraId="251712C0" w14:textId="77777777" w:rsidR="001042DA" w:rsidRPr="006B1A5A" w:rsidRDefault="001042DA" w:rsidP="001042DA">
      <w:pPr>
        <w:spacing w:line="260" w:lineRule="atLeast"/>
        <w:jc w:val="both"/>
        <w:rPr>
          <w:rFonts w:eastAsia="Calibri"/>
          <w:lang w:eastAsia="en-US"/>
        </w:rPr>
      </w:pPr>
    </w:p>
    <w:p w14:paraId="013703E7" w14:textId="77777777" w:rsidR="001042DA" w:rsidRPr="006B1A5A" w:rsidRDefault="001042DA" w:rsidP="001042DA">
      <w:pPr>
        <w:spacing w:line="260" w:lineRule="atLeast"/>
        <w:jc w:val="both"/>
        <w:rPr>
          <w:rFonts w:eastAsia="Calibri"/>
          <w:lang w:eastAsia="en-US"/>
        </w:rPr>
      </w:pPr>
      <w:r w:rsidRPr="006B1A5A">
        <w:rPr>
          <w:rFonts w:eastAsia="Calibri"/>
          <w:lang w:eastAsia="en-US"/>
        </w:rPr>
        <w:t xml:space="preserve">The second set of efficacy test were performed largely in line with the principles given in the SINTEF document. The samples are tested in four parallels and all samples were randomised in the frames. The frames were placed in the sea at an active fish farm and were located approximately 1 meter away from an active producing fish cage. The samples were inspected and photographed approximately every 4 weeks. The applicant has also analysed the samples according to their own internal standard, and not according to the standard proposed by SINTEF. </w:t>
      </w:r>
    </w:p>
    <w:p w14:paraId="369D7894" w14:textId="77777777" w:rsidR="001042DA" w:rsidRPr="006B1A5A" w:rsidRDefault="001042DA" w:rsidP="001042DA">
      <w:pPr>
        <w:spacing w:line="260" w:lineRule="atLeast"/>
        <w:jc w:val="both"/>
        <w:rPr>
          <w:rFonts w:eastAsia="Calibri"/>
          <w:lang w:eastAsia="en-US"/>
        </w:rPr>
      </w:pPr>
    </w:p>
    <w:p w14:paraId="5227A06E" w14:textId="17D7DF76" w:rsidR="001042DA" w:rsidRPr="006B1A5A" w:rsidRDefault="001042DA" w:rsidP="001042DA">
      <w:pPr>
        <w:spacing w:line="260" w:lineRule="atLeast"/>
        <w:jc w:val="both"/>
        <w:rPr>
          <w:rFonts w:eastAsia="Calibri"/>
          <w:lang w:eastAsia="en-US"/>
        </w:rPr>
      </w:pPr>
      <w:r w:rsidRPr="006B1A5A">
        <w:rPr>
          <w:rFonts w:eastAsia="Calibri"/>
          <w:lang w:eastAsia="en-US"/>
        </w:rPr>
        <w:t>All the submitted efficacy studies were performed at active fish farms with the test panels were placed in close proximity from an active producing fish</w:t>
      </w:r>
      <w:r w:rsidR="00280DA7">
        <w:rPr>
          <w:rFonts w:eastAsia="Calibri"/>
          <w:lang w:eastAsia="en-US"/>
        </w:rPr>
        <w:t xml:space="preserve"> </w:t>
      </w:r>
      <w:r w:rsidRPr="006B1A5A">
        <w:rPr>
          <w:rFonts w:eastAsia="Calibri"/>
          <w:lang w:eastAsia="en-US"/>
        </w:rPr>
        <w:t>cage. This gives very realistic conditions with regard to the natural conditions in a producing cage with respect to fouling pressure and exposure to nutrients from food spillage and faeces. The fouling pressure under such conditions is extreme and has been reported to be up to 49 times higher than in the surrounding sea (Bloecher et al 2015).</w:t>
      </w:r>
    </w:p>
    <w:p w14:paraId="55427905" w14:textId="77777777" w:rsidR="001042DA" w:rsidRPr="006B1A5A" w:rsidRDefault="001042DA" w:rsidP="001042DA">
      <w:pPr>
        <w:spacing w:line="260" w:lineRule="atLeast"/>
        <w:jc w:val="both"/>
        <w:rPr>
          <w:rFonts w:eastAsia="Calibri"/>
          <w:lang w:eastAsia="en-US"/>
        </w:rPr>
      </w:pPr>
    </w:p>
    <w:p w14:paraId="7229A595" w14:textId="77777777" w:rsidR="001042DA" w:rsidRPr="006B1A5A" w:rsidRDefault="001042DA" w:rsidP="001042DA">
      <w:pPr>
        <w:spacing w:line="260" w:lineRule="atLeast"/>
        <w:jc w:val="both"/>
        <w:rPr>
          <w:rFonts w:eastAsia="Calibri"/>
          <w:lang w:eastAsia="en-US"/>
        </w:rPr>
      </w:pPr>
      <w:r w:rsidRPr="006B1A5A">
        <w:rPr>
          <w:rFonts w:eastAsia="Calibri"/>
          <w:lang w:eastAsia="en-US"/>
        </w:rPr>
        <w:t>The rMS has analysed the submitted 2018 efficacy studies by quantifying the total biofouling load in accordance with the principles outlined in the SINTEF document. The submitted photo evidence was unfortunately of to poor quality to allow for a detailed analysis of the % biofouling cover (Analysis of type B according to the SINTEF document). Instead, the biofouling load was estimated (Analysis of type A according to the SINTEF document).</w:t>
      </w:r>
    </w:p>
    <w:p w14:paraId="42C22D21" w14:textId="77777777" w:rsidR="001042DA" w:rsidRPr="006B1A5A" w:rsidRDefault="001042DA" w:rsidP="001042DA">
      <w:pPr>
        <w:spacing w:line="260" w:lineRule="atLeast"/>
        <w:jc w:val="both"/>
        <w:rPr>
          <w:rFonts w:eastAsia="Calibri"/>
          <w:lang w:eastAsia="en-US"/>
        </w:rPr>
      </w:pPr>
    </w:p>
    <w:p w14:paraId="2E4A2953" w14:textId="2CBB854E" w:rsidR="001042DA" w:rsidRPr="006B1A5A" w:rsidRDefault="001042DA" w:rsidP="001042DA">
      <w:pPr>
        <w:spacing w:line="260" w:lineRule="atLeast"/>
        <w:jc w:val="both"/>
        <w:rPr>
          <w:rFonts w:eastAsia="Calibri"/>
          <w:lang w:eastAsia="en-US"/>
        </w:rPr>
      </w:pPr>
      <w:r w:rsidRPr="006B1A5A">
        <w:rPr>
          <w:rFonts w:eastAsia="Calibri"/>
          <w:lang w:eastAsia="en-US"/>
        </w:rPr>
        <w:t>Basically, the submitted pictures were assigned a nominal rank score, ranging from 0 (free of biofouling) to 5 (&gt;80% of the surface covered with biofouling organisms) by comparing them to the reference images presented in the SINTEF document, where possible. The reference pictures and the corresponding rank descriptions can be found in SINTEF</w:t>
      </w:r>
      <w:r w:rsidR="008978E2">
        <w:rPr>
          <w:rFonts w:eastAsia="Calibri"/>
          <w:lang w:eastAsia="en-US"/>
        </w:rPr>
        <w:t xml:space="preserve"> document</w:t>
      </w:r>
      <w:r w:rsidR="003319FF">
        <w:rPr>
          <w:rFonts w:eastAsia="Calibri"/>
          <w:lang w:eastAsia="en-US"/>
        </w:rPr>
        <w:t>.</w:t>
      </w:r>
    </w:p>
    <w:p w14:paraId="6E2022ED" w14:textId="77777777" w:rsidR="001042DA" w:rsidRPr="006B1A5A" w:rsidRDefault="001042DA" w:rsidP="001042DA">
      <w:pPr>
        <w:spacing w:line="260" w:lineRule="atLeast"/>
        <w:jc w:val="both"/>
        <w:rPr>
          <w:rFonts w:eastAsia="Calibri"/>
          <w:lang w:eastAsia="en-US"/>
        </w:rPr>
      </w:pPr>
    </w:p>
    <w:p w14:paraId="61E8CCC4" w14:textId="77777777" w:rsidR="001042DA" w:rsidRPr="006B1A5A" w:rsidRDefault="001042DA" w:rsidP="001042DA">
      <w:pPr>
        <w:spacing w:line="260" w:lineRule="atLeast"/>
        <w:jc w:val="both"/>
        <w:rPr>
          <w:rFonts w:eastAsia="Calibri"/>
          <w:lang w:eastAsia="en-US"/>
        </w:rPr>
      </w:pPr>
      <w:r w:rsidRPr="006B1A5A">
        <w:rPr>
          <w:rFonts w:eastAsia="Calibri"/>
          <w:lang w:eastAsia="en-US"/>
        </w:rPr>
        <w:t xml:space="preserve">The efficacy criterium applied by the rMS was decided based on discussions between SINTEF Ocean and The Norwegian Environment Agency. The coating is assessed to be efficacious if the biofouling load on a sample is approximately 40% lower than the untreated control, equal to a difference in two ranks. </w:t>
      </w:r>
    </w:p>
    <w:p w14:paraId="3B045FFB" w14:textId="77777777" w:rsidR="001042DA" w:rsidRPr="006B1A5A" w:rsidRDefault="001042DA" w:rsidP="001042DA">
      <w:pPr>
        <w:spacing w:line="260" w:lineRule="atLeast"/>
        <w:jc w:val="both"/>
        <w:rPr>
          <w:rFonts w:eastAsia="Calibri"/>
          <w:lang w:eastAsia="en-US"/>
        </w:rPr>
      </w:pPr>
    </w:p>
    <w:p w14:paraId="31E305CA" w14:textId="77777777" w:rsidR="001042DA" w:rsidRPr="006B1A5A" w:rsidRDefault="001042DA" w:rsidP="001042DA">
      <w:pPr>
        <w:spacing w:line="260" w:lineRule="atLeast"/>
        <w:jc w:val="both"/>
        <w:rPr>
          <w:rFonts w:eastAsia="Calibri"/>
          <w:lang w:eastAsia="en-US"/>
        </w:rPr>
      </w:pPr>
      <w:r w:rsidRPr="006B1A5A">
        <w:rPr>
          <w:rFonts w:eastAsia="Calibri"/>
          <w:lang w:eastAsia="en-US"/>
        </w:rPr>
        <w:t xml:space="preserve">The protection goal with the use of antifouling coats on aquaculture nets differ between areas in Europe. The main objective is, nevertheless, to ensure an adequate water flow through the nets which is essential for fish health and wellbeing. Fish farms typically have oxygen meters permanently installed in the cages to indicate when the oxygen level is starting to decline so that cleaning or a change of net can be performed. </w:t>
      </w:r>
    </w:p>
    <w:p w14:paraId="6D61D58B" w14:textId="77777777" w:rsidR="001042DA" w:rsidRPr="006B1A5A" w:rsidRDefault="001042DA" w:rsidP="001042DA">
      <w:pPr>
        <w:spacing w:line="260" w:lineRule="atLeast"/>
        <w:jc w:val="both"/>
        <w:rPr>
          <w:rFonts w:eastAsia="Calibri"/>
          <w:lang w:eastAsia="en-US"/>
        </w:rPr>
      </w:pPr>
    </w:p>
    <w:p w14:paraId="5D4A3A6B" w14:textId="1BE7129E" w:rsidR="001042DA" w:rsidRPr="006B1A5A" w:rsidRDefault="001042DA" w:rsidP="001042DA">
      <w:pPr>
        <w:spacing w:line="260" w:lineRule="atLeast"/>
        <w:jc w:val="both"/>
        <w:rPr>
          <w:rFonts w:eastAsia="Calibri"/>
          <w:lang w:eastAsia="en-US"/>
        </w:rPr>
      </w:pPr>
      <w:r w:rsidRPr="006B1A5A">
        <w:rPr>
          <w:rFonts w:eastAsia="Calibri"/>
          <w:lang w:eastAsia="en-US"/>
        </w:rPr>
        <w:t>In Norwegian waters, the main objective is to control the level of salmon lice (</w:t>
      </w:r>
      <w:r w:rsidRPr="00A4165F">
        <w:rPr>
          <w:rFonts w:cs="Arial"/>
          <w:i/>
          <w:color w:val="222222"/>
          <w:shd w:val="clear" w:color="auto" w:fill="FFFFFF"/>
        </w:rPr>
        <w:t>Lepeophtheirus salmonis</w:t>
      </w:r>
      <w:r w:rsidRPr="00A4165F">
        <w:rPr>
          <w:rFonts w:cs="Arial"/>
          <w:color w:val="222222"/>
          <w:shd w:val="clear" w:color="auto" w:fill="FFFFFF"/>
        </w:rPr>
        <w:t>)</w:t>
      </w:r>
      <w:r w:rsidRPr="006B1A5A">
        <w:rPr>
          <w:rFonts w:eastAsia="Calibri"/>
          <w:lang w:eastAsia="en-US"/>
        </w:rPr>
        <w:t xml:space="preserve"> in the cages. Salmon lice are normally not harmful to the farmed </w:t>
      </w:r>
      <w:r w:rsidR="0045103C" w:rsidRPr="006B1A5A">
        <w:rPr>
          <w:rFonts w:eastAsia="Calibri"/>
          <w:lang w:eastAsia="en-US"/>
        </w:rPr>
        <w:t>fish but</w:t>
      </w:r>
      <w:r w:rsidRPr="006B1A5A">
        <w:rPr>
          <w:rFonts w:eastAsia="Calibri"/>
          <w:lang w:eastAsia="en-US"/>
        </w:rPr>
        <w:t xml:space="preserve"> exerts a threat to wild sea trout and wild salmon fry. Acceptable levels of sea lice in a farm is therefore strictly regulated and controlled, and too high levels may result in the farmer being imposed a reduced operation volume, or even a production quarantine. The predominant strategy used today to control salmon lice is by using cleaner fish. It is believed to be essential that the level of biofouling on the nets is kept at a low level to ensure that the cleaner fish eat salmon lice and not fouling organisms on the nets. </w:t>
      </w:r>
    </w:p>
    <w:p w14:paraId="03AFFDB5" w14:textId="77777777" w:rsidR="001042DA" w:rsidRPr="006B1A5A" w:rsidRDefault="001042DA" w:rsidP="001042DA">
      <w:pPr>
        <w:spacing w:line="260" w:lineRule="atLeast"/>
        <w:jc w:val="both"/>
        <w:rPr>
          <w:rFonts w:eastAsia="Calibri"/>
          <w:lang w:eastAsia="en-US"/>
        </w:rPr>
      </w:pPr>
    </w:p>
    <w:p w14:paraId="11A4AC46" w14:textId="77777777" w:rsidR="001042DA" w:rsidRPr="006B1A5A" w:rsidRDefault="001042DA" w:rsidP="001042DA">
      <w:pPr>
        <w:spacing w:line="260" w:lineRule="atLeast"/>
        <w:jc w:val="both"/>
        <w:rPr>
          <w:rFonts w:eastAsia="Calibri"/>
          <w:lang w:eastAsia="en-US"/>
        </w:rPr>
      </w:pPr>
      <w:r w:rsidRPr="006B1A5A">
        <w:rPr>
          <w:rFonts w:eastAsia="Calibri"/>
          <w:lang w:eastAsia="en-US"/>
        </w:rPr>
        <w:t xml:space="preserve">The applicant has informed us that a fouling level of 60 - 80% normally can be tolerated in countries without salmon lice issues. A defined upper tolerable fouling level is not possible to determine, as the farmers normally initiate measures on the basis of in-situ oxygen measurements in the cages and not on observed fouling levels. </w:t>
      </w:r>
    </w:p>
    <w:p w14:paraId="7571B0A6" w14:textId="77777777" w:rsidR="001042DA" w:rsidRPr="006B1A5A" w:rsidRDefault="001042DA" w:rsidP="001042DA">
      <w:pPr>
        <w:spacing w:line="260" w:lineRule="atLeast"/>
        <w:jc w:val="both"/>
        <w:rPr>
          <w:rFonts w:eastAsia="Calibri"/>
          <w:lang w:eastAsia="en-US"/>
        </w:rPr>
      </w:pPr>
      <w:r w:rsidRPr="006B1A5A">
        <w:rPr>
          <w:rFonts w:eastAsia="Calibri"/>
          <w:lang w:eastAsia="en-US"/>
        </w:rPr>
        <w:t>In areas with salmon lice issues, a fouling level equal to a score rank of 3 (10 – 34% of the surface) can be tolerated before measures, such as cleaning, need to be taken. In this respect, the practice between individual farms and farming companies differ.</w:t>
      </w:r>
    </w:p>
    <w:p w14:paraId="2592CB7D" w14:textId="77777777" w:rsidR="001042DA" w:rsidRPr="006B1A5A" w:rsidRDefault="001042DA" w:rsidP="001042DA">
      <w:pPr>
        <w:spacing w:line="260" w:lineRule="atLeast"/>
        <w:jc w:val="both"/>
        <w:rPr>
          <w:rFonts w:eastAsia="Calibri"/>
          <w:lang w:eastAsia="en-US"/>
        </w:rPr>
      </w:pPr>
    </w:p>
    <w:p w14:paraId="0B954591" w14:textId="77777777" w:rsidR="001042DA" w:rsidRPr="006B1A5A" w:rsidRDefault="001042DA" w:rsidP="001042DA">
      <w:pPr>
        <w:spacing w:line="260" w:lineRule="atLeast"/>
        <w:jc w:val="both"/>
        <w:rPr>
          <w:rFonts w:eastAsia="Calibri"/>
          <w:lang w:eastAsia="en-US"/>
        </w:rPr>
      </w:pPr>
      <w:r w:rsidRPr="006B1A5A">
        <w:rPr>
          <w:rFonts w:eastAsia="Calibri"/>
          <w:lang w:eastAsia="en-US"/>
        </w:rPr>
        <w:t>It is important to notice in this respect, that even when a coating has been deemed as not sufficiently effective, it still can perform much better than the untreated control. It is also experienced by the farmers that the biofouling falls easier off from a treated net than from an untreated net if the net is cleaned or at incidences with heavy weather. An untreated net in a peak fouling period can become fully overgrown in only one week.</w:t>
      </w:r>
    </w:p>
    <w:p w14:paraId="789A8644" w14:textId="77777777" w:rsidR="001042DA" w:rsidRPr="006B1A5A" w:rsidRDefault="001042DA" w:rsidP="001042DA">
      <w:pPr>
        <w:spacing w:line="260" w:lineRule="atLeast"/>
        <w:jc w:val="both"/>
        <w:rPr>
          <w:rFonts w:eastAsia="Calibri"/>
          <w:lang w:eastAsia="en-US"/>
        </w:rPr>
      </w:pPr>
      <w:r w:rsidRPr="006B1A5A">
        <w:rPr>
          <w:rFonts w:eastAsia="Calibri"/>
          <w:lang w:eastAsia="en-US"/>
        </w:rPr>
        <w:t xml:space="preserve">The protection goal of the farmer is thus to postpone or delay the need for measures, such as cleaning or changing the net and to ensure fish health. </w:t>
      </w:r>
    </w:p>
    <w:p w14:paraId="5B1DE08D" w14:textId="77777777" w:rsidR="001042DA" w:rsidRPr="006B1A5A" w:rsidRDefault="001042DA" w:rsidP="001042DA">
      <w:pPr>
        <w:spacing w:line="260" w:lineRule="atLeast"/>
        <w:jc w:val="both"/>
        <w:rPr>
          <w:rFonts w:eastAsia="Calibri"/>
          <w:lang w:eastAsia="en-US"/>
        </w:rPr>
      </w:pPr>
      <w:r w:rsidRPr="006B1A5A">
        <w:rPr>
          <w:rFonts w:eastAsia="Calibri"/>
          <w:lang w:eastAsia="en-US"/>
        </w:rPr>
        <w:t>According to information from the applicant, the fish farm companies are to a large extent very professional businesses which often have a high degree of competence of the biofouling issues in the area where they operate. They have thus much experience and expertise on the farming strategies that gives the biggest production advantages in their farms.</w:t>
      </w:r>
    </w:p>
    <w:bookmarkEnd w:id="1461"/>
    <w:p w14:paraId="243C792F" w14:textId="77777777" w:rsidR="001042DA" w:rsidRPr="006B1A5A" w:rsidRDefault="001042DA" w:rsidP="001042DA">
      <w:pPr>
        <w:spacing w:line="260" w:lineRule="atLeast"/>
        <w:jc w:val="both"/>
        <w:rPr>
          <w:rFonts w:eastAsia="Calibri"/>
          <w:lang w:eastAsia="en-US"/>
        </w:rPr>
      </w:pPr>
    </w:p>
    <w:p w14:paraId="3F01D27F" w14:textId="77777777" w:rsidR="001042DA" w:rsidRPr="006B1A5A" w:rsidRDefault="001042DA" w:rsidP="001042DA">
      <w:pPr>
        <w:spacing w:line="260" w:lineRule="atLeast"/>
        <w:jc w:val="both"/>
        <w:rPr>
          <w:rFonts w:eastAsia="Calibri"/>
          <w:lang w:eastAsia="en-US"/>
        </w:rPr>
      </w:pPr>
    </w:p>
    <w:p w14:paraId="43F5247C" w14:textId="77777777" w:rsidR="001042DA" w:rsidRPr="006B1A5A" w:rsidRDefault="001042DA" w:rsidP="001042DA">
      <w:pPr>
        <w:spacing w:line="260" w:lineRule="atLeast"/>
        <w:jc w:val="both"/>
        <w:rPr>
          <w:rFonts w:eastAsia="Calibri"/>
          <w:lang w:eastAsia="en-US"/>
        </w:rPr>
      </w:pPr>
    </w:p>
    <w:p w14:paraId="2E85746D" w14:textId="77777777" w:rsidR="001042DA" w:rsidRPr="006B1A5A" w:rsidRDefault="001042DA" w:rsidP="001042DA">
      <w:pPr>
        <w:spacing w:line="260" w:lineRule="atLeast"/>
        <w:jc w:val="both"/>
        <w:rPr>
          <w:rFonts w:eastAsia="Calibri"/>
          <w:lang w:eastAsia="en-US"/>
        </w:rPr>
      </w:pPr>
    </w:p>
    <w:p w14:paraId="50D04919" w14:textId="77777777" w:rsidR="001042DA" w:rsidRPr="006B1A5A" w:rsidRDefault="001042DA" w:rsidP="001042DA">
      <w:pPr>
        <w:spacing w:line="260" w:lineRule="atLeast"/>
        <w:jc w:val="both"/>
        <w:rPr>
          <w:rFonts w:eastAsia="Calibri"/>
          <w:lang w:eastAsia="en-US"/>
        </w:rPr>
      </w:pPr>
    </w:p>
    <w:p w14:paraId="61911334" w14:textId="77777777" w:rsidR="001042DA" w:rsidRPr="006B1A5A" w:rsidRDefault="001042DA" w:rsidP="001042DA">
      <w:pPr>
        <w:spacing w:line="260" w:lineRule="atLeast"/>
        <w:jc w:val="both"/>
        <w:rPr>
          <w:rFonts w:eastAsia="Calibri"/>
          <w:lang w:eastAsia="en-US"/>
        </w:rPr>
      </w:pPr>
    </w:p>
    <w:p w14:paraId="159AAAE7" w14:textId="77777777" w:rsidR="001042DA" w:rsidRPr="006B1A5A" w:rsidRDefault="001042DA" w:rsidP="001042DA">
      <w:pPr>
        <w:spacing w:line="260" w:lineRule="atLeast"/>
        <w:jc w:val="both"/>
        <w:rPr>
          <w:rFonts w:eastAsia="Calibri"/>
          <w:lang w:eastAsia="en-US"/>
        </w:rPr>
      </w:pPr>
    </w:p>
    <w:p w14:paraId="699B20CE" w14:textId="77777777" w:rsidR="001042DA" w:rsidRPr="006B1A5A" w:rsidRDefault="001042DA" w:rsidP="001042DA">
      <w:pPr>
        <w:spacing w:line="260" w:lineRule="atLeast"/>
        <w:jc w:val="both"/>
        <w:rPr>
          <w:rFonts w:eastAsia="Calibri"/>
          <w:lang w:eastAsia="en-US"/>
        </w:rPr>
      </w:pPr>
    </w:p>
    <w:p w14:paraId="7F466436" w14:textId="412A3661" w:rsidR="001042DA" w:rsidRPr="006B1A5A" w:rsidRDefault="001042DA" w:rsidP="00916E44">
      <w:pPr>
        <w:pStyle w:val="Overskrift4"/>
        <w:numPr>
          <w:ilvl w:val="0"/>
          <w:numId w:val="0"/>
        </w:numPr>
      </w:pPr>
    </w:p>
    <w:tbl>
      <w:tblPr>
        <w:tblW w:w="492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3"/>
        <w:gridCol w:w="1134"/>
        <w:gridCol w:w="2126"/>
        <w:gridCol w:w="1843"/>
        <w:gridCol w:w="1699"/>
        <w:gridCol w:w="1563"/>
      </w:tblGrid>
      <w:tr w:rsidR="001042DA" w:rsidRPr="006B1A5A" w14:paraId="76535E34" w14:textId="77777777" w:rsidTr="00AF2AEA">
        <w:trPr>
          <w:cantSplit/>
          <w:trHeight w:val="303"/>
          <w:tblHeader/>
        </w:trPr>
        <w:tc>
          <w:tcPr>
            <w:tcW w:w="5000" w:type="pct"/>
            <w:gridSpan w:val="6"/>
            <w:shd w:val="clear" w:color="auto" w:fill="FFFFCC"/>
            <w:vAlign w:val="center"/>
          </w:tcPr>
          <w:p w14:paraId="4A7F629A" w14:textId="77777777" w:rsidR="001042DA" w:rsidRPr="006B1A5A" w:rsidRDefault="001042DA" w:rsidP="00AF2AEA">
            <w:pPr>
              <w:jc w:val="center"/>
              <w:rPr>
                <w:b/>
                <w:color w:val="000000"/>
                <w:sz w:val="18"/>
                <w:szCs w:val="18"/>
              </w:rPr>
            </w:pPr>
            <w:r w:rsidRPr="006B1A5A">
              <w:rPr>
                <w:b/>
                <w:color w:val="000000"/>
                <w:sz w:val="18"/>
                <w:szCs w:val="18"/>
              </w:rPr>
              <w:t>Experimental data on the efficacy of the biocidal product against target organism(s)</w:t>
            </w:r>
          </w:p>
          <w:p w14:paraId="13F698DF" w14:textId="77777777" w:rsidR="001042DA" w:rsidRPr="006B1A5A" w:rsidRDefault="001042DA" w:rsidP="00AF2AEA">
            <w:pPr>
              <w:jc w:val="center"/>
              <w:rPr>
                <w:b/>
                <w:color w:val="000000"/>
                <w:sz w:val="18"/>
                <w:szCs w:val="18"/>
              </w:rPr>
            </w:pPr>
          </w:p>
        </w:tc>
      </w:tr>
      <w:tr w:rsidR="001042DA" w:rsidRPr="006B1A5A" w14:paraId="1AB558D6" w14:textId="77777777" w:rsidTr="00AF2AEA">
        <w:trPr>
          <w:cantSplit/>
          <w:trHeight w:val="303"/>
          <w:tblHeader/>
        </w:trPr>
        <w:tc>
          <w:tcPr>
            <w:tcW w:w="5000" w:type="pct"/>
            <w:gridSpan w:val="6"/>
            <w:shd w:val="clear" w:color="auto" w:fill="FFFFCC"/>
            <w:vAlign w:val="center"/>
          </w:tcPr>
          <w:p w14:paraId="7751DDC2" w14:textId="77777777" w:rsidR="001042DA" w:rsidRPr="006B1A5A" w:rsidRDefault="001042DA" w:rsidP="00AF2AEA">
            <w:pPr>
              <w:jc w:val="center"/>
              <w:rPr>
                <w:b/>
                <w:color w:val="000000"/>
                <w:sz w:val="18"/>
                <w:szCs w:val="18"/>
              </w:rPr>
            </w:pPr>
          </w:p>
        </w:tc>
      </w:tr>
      <w:tr w:rsidR="001042DA" w:rsidRPr="006B1A5A" w14:paraId="1DD4D43E" w14:textId="77777777" w:rsidTr="00AF2AEA">
        <w:trPr>
          <w:cantSplit/>
          <w:tblHeader/>
        </w:trPr>
        <w:tc>
          <w:tcPr>
            <w:tcW w:w="388" w:type="pct"/>
            <w:shd w:val="clear" w:color="auto" w:fill="FFFFFF"/>
          </w:tcPr>
          <w:p w14:paraId="3A1DB8DF" w14:textId="77777777" w:rsidR="001042DA" w:rsidRPr="006B1A5A" w:rsidRDefault="001042DA" w:rsidP="00AF2AEA">
            <w:pPr>
              <w:rPr>
                <w:b/>
                <w:i/>
                <w:color w:val="000000"/>
                <w:sz w:val="18"/>
                <w:szCs w:val="18"/>
              </w:rPr>
            </w:pPr>
            <w:r w:rsidRPr="006B1A5A">
              <w:rPr>
                <w:b/>
                <w:color w:val="000000"/>
                <w:sz w:val="18"/>
                <w:szCs w:val="18"/>
              </w:rPr>
              <w:t>Test substance</w:t>
            </w:r>
          </w:p>
        </w:tc>
        <w:tc>
          <w:tcPr>
            <w:tcW w:w="625" w:type="pct"/>
            <w:shd w:val="clear" w:color="auto" w:fill="FFFFFF"/>
          </w:tcPr>
          <w:p w14:paraId="214A2685" w14:textId="77777777" w:rsidR="001042DA" w:rsidRPr="006B1A5A" w:rsidRDefault="001042DA" w:rsidP="00AF2AEA">
            <w:pPr>
              <w:rPr>
                <w:b/>
                <w:i/>
                <w:color w:val="000000"/>
                <w:sz w:val="18"/>
                <w:szCs w:val="18"/>
              </w:rPr>
            </w:pPr>
            <w:r w:rsidRPr="006B1A5A">
              <w:rPr>
                <w:b/>
                <w:color w:val="000000"/>
                <w:sz w:val="18"/>
                <w:szCs w:val="18"/>
              </w:rPr>
              <w:t>Test organism(s)</w:t>
            </w:r>
          </w:p>
        </w:tc>
        <w:tc>
          <w:tcPr>
            <w:tcW w:w="1172" w:type="pct"/>
            <w:shd w:val="clear" w:color="auto" w:fill="FFFFFF"/>
          </w:tcPr>
          <w:p w14:paraId="34B4782F" w14:textId="77777777" w:rsidR="001042DA" w:rsidRPr="006B1A5A" w:rsidRDefault="001042DA" w:rsidP="00AF2AEA">
            <w:pPr>
              <w:rPr>
                <w:b/>
                <w:color w:val="000000"/>
                <w:sz w:val="18"/>
                <w:szCs w:val="18"/>
              </w:rPr>
            </w:pPr>
            <w:r w:rsidRPr="006B1A5A">
              <w:rPr>
                <w:b/>
                <w:color w:val="000000"/>
                <w:sz w:val="18"/>
                <w:szCs w:val="18"/>
              </w:rPr>
              <w:t>Test method</w:t>
            </w:r>
          </w:p>
        </w:tc>
        <w:tc>
          <w:tcPr>
            <w:tcW w:w="1016" w:type="pct"/>
            <w:shd w:val="clear" w:color="auto" w:fill="FFFFFF"/>
          </w:tcPr>
          <w:p w14:paraId="0A7381F0" w14:textId="77777777" w:rsidR="001042DA" w:rsidRPr="006B1A5A" w:rsidRDefault="001042DA" w:rsidP="00AF2AEA">
            <w:pPr>
              <w:rPr>
                <w:b/>
                <w:color w:val="000000"/>
                <w:sz w:val="18"/>
                <w:szCs w:val="18"/>
              </w:rPr>
            </w:pPr>
            <w:r w:rsidRPr="006B1A5A">
              <w:rPr>
                <w:b/>
                <w:color w:val="000000"/>
                <w:sz w:val="18"/>
                <w:szCs w:val="18"/>
              </w:rPr>
              <w:t>Test system / concentrations applied / exposure time</w:t>
            </w:r>
          </w:p>
          <w:p w14:paraId="0C4C8605" w14:textId="77777777" w:rsidR="001042DA" w:rsidRPr="006B1A5A" w:rsidRDefault="001042DA" w:rsidP="00AF2AEA">
            <w:pPr>
              <w:rPr>
                <w:b/>
                <w:color w:val="000000"/>
                <w:sz w:val="18"/>
                <w:szCs w:val="18"/>
              </w:rPr>
            </w:pPr>
            <w:r w:rsidRPr="006B1A5A">
              <w:rPr>
                <w:b/>
                <w:color w:val="000000"/>
                <w:sz w:val="18"/>
                <w:szCs w:val="18"/>
              </w:rPr>
              <w:t xml:space="preserve"> </w:t>
            </w:r>
          </w:p>
          <w:p w14:paraId="6EBE1946" w14:textId="77777777" w:rsidR="001042DA" w:rsidRPr="006B1A5A" w:rsidRDefault="001042DA" w:rsidP="00AF2AEA">
            <w:pPr>
              <w:rPr>
                <w:b/>
                <w:color w:val="000000"/>
                <w:sz w:val="18"/>
                <w:szCs w:val="18"/>
              </w:rPr>
            </w:pPr>
            <w:r w:rsidRPr="006B1A5A">
              <w:rPr>
                <w:b/>
                <w:color w:val="000000"/>
                <w:sz w:val="18"/>
                <w:szCs w:val="18"/>
              </w:rPr>
              <w:t>(Location)</w:t>
            </w:r>
          </w:p>
        </w:tc>
        <w:tc>
          <w:tcPr>
            <w:tcW w:w="937" w:type="pct"/>
            <w:shd w:val="clear" w:color="auto" w:fill="FFFFFF"/>
          </w:tcPr>
          <w:p w14:paraId="0DDC79C2" w14:textId="77777777" w:rsidR="001042DA" w:rsidRPr="006B1A5A" w:rsidRDefault="001042DA" w:rsidP="00AF2AEA">
            <w:pPr>
              <w:rPr>
                <w:b/>
                <w:color w:val="000000"/>
                <w:sz w:val="18"/>
                <w:szCs w:val="18"/>
              </w:rPr>
            </w:pPr>
            <w:r w:rsidRPr="006B1A5A">
              <w:rPr>
                <w:b/>
                <w:color w:val="000000"/>
                <w:sz w:val="18"/>
                <w:szCs w:val="18"/>
              </w:rPr>
              <w:t>Test results: effects</w:t>
            </w:r>
          </w:p>
        </w:tc>
        <w:tc>
          <w:tcPr>
            <w:tcW w:w="861" w:type="pct"/>
            <w:shd w:val="clear" w:color="auto" w:fill="FFFFFF"/>
          </w:tcPr>
          <w:p w14:paraId="5E37CD88" w14:textId="77777777" w:rsidR="001042DA" w:rsidRPr="006B1A5A" w:rsidRDefault="001042DA" w:rsidP="00AF2AEA">
            <w:pPr>
              <w:rPr>
                <w:b/>
                <w:color w:val="000000"/>
                <w:sz w:val="18"/>
                <w:szCs w:val="18"/>
              </w:rPr>
            </w:pPr>
            <w:r w:rsidRPr="006B1A5A">
              <w:rPr>
                <w:b/>
                <w:color w:val="000000"/>
                <w:sz w:val="18"/>
                <w:szCs w:val="18"/>
              </w:rPr>
              <w:t>Reference</w:t>
            </w:r>
          </w:p>
        </w:tc>
      </w:tr>
      <w:tr w:rsidR="001042DA" w:rsidRPr="006B1A5A" w14:paraId="6014CC85" w14:textId="77777777" w:rsidTr="00AF2AEA">
        <w:trPr>
          <w:cantSplit/>
        </w:trPr>
        <w:tc>
          <w:tcPr>
            <w:tcW w:w="388" w:type="pct"/>
            <w:shd w:val="clear" w:color="auto" w:fill="auto"/>
          </w:tcPr>
          <w:p w14:paraId="08DF0F57" w14:textId="77777777" w:rsidR="001042DA" w:rsidRPr="006B1A5A" w:rsidRDefault="001042DA" w:rsidP="00AF2AEA">
            <w:pPr>
              <w:rPr>
                <w:color w:val="000000"/>
                <w:sz w:val="18"/>
                <w:szCs w:val="18"/>
              </w:rPr>
            </w:pPr>
            <w:bookmarkStart w:id="1462" w:name="_Hlk501535356"/>
            <w:r w:rsidRPr="006B1A5A">
              <w:rPr>
                <w:color w:val="000000"/>
                <w:sz w:val="18"/>
                <w:szCs w:val="18"/>
              </w:rPr>
              <w:t>AquaNet LG360</w:t>
            </w:r>
          </w:p>
          <w:p w14:paraId="705C34A6" w14:textId="77777777" w:rsidR="001042DA" w:rsidRPr="006B1A5A" w:rsidRDefault="001042DA" w:rsidP="00AF2AEA">
            <w:pPr>
              <w:rPr>
                <w:color w:val="000000"/>
                <w:sz w:val="18"/>
                <w:szCs w:val="18"/>
              </w:rPr>
            </w:pPr>
          </w:p>
        </w:tc>
        <w:tc>
          <w:tcPr>
            <w:tcW w:w="625" w:type="pct"/>
            <w:shd w:val="clear" w:color="auto" w:fill="auto"/>
          </w:tcPr>
          <w:p w14:paraId="1C5CBF6A" w14:textId="77777777" w:rsidR="001042DA" w:rsidRPr="006B1A5A" w:rsidRDefault="001042DA" w:rsidP="00AF2AEA">
            <w:pPr>
              <w:rPr>
                <w:color w:val="000000"/>
                <w:sz w:val="18"/>
                <w:szCs w:val="18"/>
              </w:rPr>
            </w:pPr>
            <w:r w:rsidRPr="006B1A5A">
              <w:rPr>
                <w:i/>
                <w:color w:val="000000"/>
                <w:sz w:val="18"/>
                <w:szCs w:val="18"/>
              </w:rPr>
              <w:t>Wide range of marine fouling organisms in North European waters (Norway)</w:t>
            </w:r>
          </w:p>
        </w:tc>
        <w:tc>
          <w:tcPr>
            <w:tcW w:w="1172" w:type="pct"/>
          </w:tcPr>
          <w:p w14:paraId="2D2809C5" w14:textId="77777777" w:rsidR="001042DA" w:rsidRPr="006B1A5A" w:rsidRDefault="001042DA" w:rsidP="00AF2AEA">
            <w:pPr>
              <w:rPr>
                <w:color w:val="000000"/>
                <w:sz w:val="18"/>
                <w:szCs w:val="18"/>
              </w:rPr>
            </w:pPr>
            <w:r w:rsidRPr="006B1A5A">
              <w:rPr>
                <w:color w:val="000000"/>
                <w:sz w:val="18"/>
                <w:szCs w:val="18"/>
              </w:rPr>
              <w:t>ISO 4628/3</w:t>
            </w:r>
          </w:p>
          <w:p w14:paraId="740B903F" w14:textId="77777777" w:rsidR="001042DA" w:rsidRPr="006B1A5A" w:rsidRDefault="001042DA" w:rsidP="00AF2AEA">
            <w:pPr>
              <w:rPr>
                <w:color w:val="000000"/>
                <w:sz w:val="18"/>
                <w:szCs w:val="18"/>
              </w:rPr>
            </w:pPr>
            <w:r w:rsidRPr="006B1A5A">
              <w:rPr>
                <w:color w:val="000000"/>
                <w:sz w:val="18"/>
                <w:szCs w:val="18"/>
              </w:rPr>
              <w:t>SINTEF Guidelines for efficacy testing of antifouling coatings for nets in field tests</w:t>
            </w:r>
          </w:p>
          <w:p w14:paraId="7AA9BE3D" w14:textId="77777777" w:rsidR="001042DA" w:rsidRPr="006B1A5A" w:rsidRDefault="001042DA" w:rsidP="00AF2AEA">
            <w:pPr>
              <w:rPr>
                <w:color w:val="000000"/>
                <w:sz w:val="18"/>
                <w:szCs w:val="18"/>
              </w:rPr>
            </w:pPr>
            <w:r w:rsidRPr="006B1A5A">
              <w:rPr>
                <w:color w:val="000000"/>
                <w:sz w:val="18"/>
                <w:szCs w:val="18"/>
              </w:rPr>
              <w:t>Internal procedures DOKID-1294561088-104</w:t>
            </w:r>
          </w:p>
          <w:p w14:paraId="5CF42604" w14:textId="77777777" w:rsidR="001042DA" w:rsidRPr="006B1A5A" w:rsidRDefault="001042DA" w:rsidP="00AF2AEA">
            <w:pPr>
              <w:rPr>
                <w:color w:val="000000"/>
                <w:sz w:val="18"/>
                <w:szCs w:val="18"/>
              </w:rPr>
            </w:pPr>
            <w:r w:rsidRPr="006B1A5A">
              <w:rPr>
                <w:color w:val="000000"/>
                <w:sz w:val="18"/>
                <w:szCs w:val="18"/>
              </w:rPr>
              <w:t xml:space="preserve">Internal procedures: DOKID-1294561088-103  </w:t>
            </w:r>
          </w:p>
        </w:tc>
        <w:tc>
          <w:tcPr>
            <w:tcW w:w="1016" w:type="pct"/>
          </w:tcPr>
          <w:p w14:paraId="1D634B09" w14:textId="77777777" w:rsidR="001042DA" w:rsidRPr="006B1A5A" w:rsidRDefault="001042DA" w:rsidP="00AF2AEA">
            <w:pPr>
              <w:rPr>
                <w:color w:val="000000"/>
                <w:sz w:val="18"/>
                <w:szCs w:val="18"/>
              </w:rPr>
            </w:pPr>
            <w:r w:rsidRPr="006B1A5A">
              <w:rPr>
                <w:color w:val="000000"/>
                <w:sz w:val="18"/>
                <w:szCs w:val="18"/>
              </w:rPr>
              <w:t>Seawater column located in Horgefjorden at 80 m depth from May to Nov. 2017, close to high production cages where fouling pressure is higher than surrounding areas / 5 months (0 – 44 – 64 – 85 – 104 – 127 – 162 d)</w:t>
            </w:r>
          </w:p>
        </w:tc>
        <w:tc>
          <w:tcPr>
            <w:tcW w:w="937" w:type="pct"/>
          </w:tcPr>
          <w:p w14:paraId="05425B1C" w14:textId="75C77599" w:rsidR="001042DA" w:rsidRDefault="001042DA" w:rsidP="00AF2AEA">
            <w:pPr>
              <w:rPr>
                <w:color w:val="000000"/>
                <w:sz w:val="18"/>
                <w:szCs w:val="18"/>
              </w:rPr>
            </w:pPr>
            <w:r w:rsidRPr="006B1A5A">
              <w:rPr>
                <w:color w:val="000000"/>
                <w:sz w:val="18"/>
                <w:szCs w:val="18"/>
              </w:rPr>
              <w:t>Active protection time &gt; 5 months</w:t>
            </w:r>
          </w:p>
          <w:p w14:paraId="7FF756A7" w14:textId="77777777" w:rsidR="00687789" w:rsidRPr="006B1A5A" w:rsidRDefault="00687789" w:rsidP="00AF2AEA">
            <w:pPr>
              <w:rPr>
                <w:color w:val="000000"/>
                <w:sz w:val="18"/>
                <w:szCs w:val="18"/>
              </w:rPr>
            </w:pPr>
          </w:p>
          <w:p w14:paraId="5DADF58C" w14:textId="77777777" w:rsidR="001042DA" w:rsidRPr="006B1A5A" w:rsidRDefault="001042DA" w:rsidP="00AF2AEA">
            <w:pPr>
              <w:rPr>
                <w:color w:val="000000"/>
                <w:sz w:val="18"/>
                <w:szCs w:val="18"/>
              </w:rPr>
            </w:pPr>
            <w:r w:rsidRPr="006B1A5A">
              <w:rPr>
                <w:color w:val="000000"/>
                <w:sz w:val="18"/>
                <w:szCs w:val="18"/>
              </w:rPr>
              <w:t>(the applicant's own assessment)</w:t>
            </w:r>
          </w:p>
          <w:p w14:paraId="75B1D46C" w14:textId="77777777" w:rsidR="001042DA" w:rsidRPr="006B1A5A" w:rsidRDefault="001042DA" w:rsidP="00AF2AEA">
            <w:pPr>
              <w:rPr>
                <w:color w:val="000000"/>
                <w:sz w:val="18"/>
                <w:szCs w:val="18"/>
              </w:rPr>
            </w:pPr>
          </w:p>
          <w:p w14:paraId="422F27E6" w14:textId="77777777" w:rsidR="001042DA" w:rsidRPr="006B1A5A" w:rsidRDefault="001042DA" w:rsidP="00AF2AEA">
            <w:pPr>
              <w:rPr>
                <w:color w:val="000000"/>
                <w:sz w:val="18"/>
                <w:szCs w:val="18"/>
              </w:rPr>
            </w:pPr>
            <w:r w:rsidRPr="006B1A5A">
              <w:rPr>
                <w:color w:val="000000"/>
                <w:sz w:val="18"/>
                <w:szCs w:val="18"/>
              </w:rPr>
              <w:t>Reliability: 3</w:t>
            </w:r>
          </w:p>
        </w:tc>
        <w:tc>
          <w:tcPr>
            <w:tcW w:w="861" w:type="pct"/>
          </w:tcPr>
          <w:p w14:paraId="261A755A" w14:textId="77777777" w:rsidR="001042DA" w:rsidRPr="006B1A5A" w:rsidRDefault="001042DA" w:rsidP="00AF2AEA">
            <w:pPr>
              <w:rPr>
                <w:color w:val="000000"/>
                <w:sz w:val="18"/>
                <w:szCs w:val="18"/>
              </w:rPr>
            </w:pPr>
            <w:r w:rsidRPr="006B1A5A">
              <w:rPr>
                <w:color w:val="000000"/>
                <w:sz w:val="18"/>
                <w:szCs w:val="18"/>
              </w:rPr>
              <w:t>Hope, B (2017)</w:t>
            </w:r>
          </w:p>
        </w:tc>
      </w:tr>
      <w:bookmarkEnd w:id="1462"/>
      <w:tr w:rsidR="001042DA" w:rsidRPr="006B1A5A" w14:paraId="4262AEF4" w14:textId="77777777" w:rsidTr="00AF2AEA">
        <w:trPr>
          <w:cantSplit/>
        </w:trPr>
        <w:tc>
          <w:tcPr>
            <w:tcW w:w="388" w:type="pct"/>
            <w:shd w:val="clear" w:color="auto" w:fill="auto"/>
          </w:tcPr>
          <w:p w14:paraId="18F6E774" w14:textId="77777777" w:rsidR="001042DA" w:rsidRPr="006B1A5A" w:rsidRDefault="001042DA" w:rsidP="00AF2AEA">
            <w:pPr>
              <w:rPr>
                <w:color w:val="000000"/>
                <w:sz w:val="18"/>
                <w:szCs w:val="18"/>
              </w:rPr>
            </w:pPr>
            <w:r w:rsidRPr="006B1A5A">
              <w:rPr>
                <w:color w:val="000000"/>
                <w:sz w:val="18"/>
                <w:szCs w:val="18"/>
              </w:rPr>
              <w:t>AquaNet LG360</w:t>
            </w:r>
          </w:p>
          <w:p w14:paraId="531A1E83" w14:textId="77777777" w:rsidR="001042DA" w:rsidRPr="006B1A5A" w:rsidRDefault="001042DA" w:rsidP="00AF2AEA">
            <w:pPr>
              <w:rPr>
                <w:color w:val="000000"/>
                <w:sz w:val="18"/>
                <w:szCs w:val="18"/>
              </w:rPr>
            </w:pPr>
          </w:p>
        </w:tc>
        <w:tc>
          <w:tcPr>
            <w:tcW w:w="625" w:type="pct"/>
            <w:shd w:val="clear" w:color="auto" w:fill="auto"/>
          </w:tcPr>
          <w:p w14:paraId="2C116B79" w14:textId="77777777" w:rsidR="001042DA" w:rsidRPr="006B1A5A" w:rsidRDefault="001042DA" w:rsidP="00AF2AEA">
            <w:pPr>
              <w:rPr>
                <w:color w:val="000000"/>
                <w:sz w:val="18"/>
                <w:szCs w:val="18"/>
              </w:rPr>
            </w:pPr>
            <w:r w:rsidRPr="006B1A5A">
              <w:rPr>
                <w:i/>
                <w:color w:val="000000"/>
                <w:sz w:val="18"/>
                <w:szCs w:val="18"/>
              </w:rPr>
              <w:t>Wide range of marine fouling organisms in the Mediterranean Sea (Greece)</w:t>
            </w:r>
          </w:p>
        </w:tc>
        <w:tc>
          <w:tcPr>
            <w:tcW w:w="1172" w:type="pct"/>
          </w:tcPr>
          <w:p w14:paraId="3354B94E" w14:textId="77777777" w:rsidR="001042DA" w:rsidRPr="006B1A5A" w:rsidRDefault="001042DA" w:rsidP="00AF2AEA">
            <w:pPr>
              <w:rPr>
                <w:color w:val="000000"/>
                <w:sz w:val="18"/>
                <w:szCs w:val="18"/>
              </w:rPr>
            </w:pPr>
            <w:r w:rsidRPr="006B1A5A">
              <w:rPr>
                <w:color w:val="000000"/>
                <w:sz w:val="18"/>
                <w:szCs w:val="18"/>
              </w:rPr>
              <w:t>ISO 4628/3</w:t>
            </w:r>
          </w:p>
          <w:p w14:paraId="5455AF97" w14:textId="77777777" w:rsidR="001042DA" w:rsidRPr="006B1A5A" w:rsidRDefault="001042DA" w:rsidP="00AF2AEA">
            <w:pPr>
              <w:rPr>
                <w:color w:val="000000"/>
                <w:sz w:val="18"/>
                <w:szCs w:val="18"/>
              </w:rPr>
            </w:pPr>
            <w:r w:rsidRPr="006B1A5A">
              <w:rPr>
                <w:color w:val="000000"/>
                <w:sz w:val="18"/>
                <w:szCs w:val="18"/>
              </w:rPr>
              <w:t>SINTEF Guidelines for efficacy testing of antifouling coatings for nets in field tests</w:t>
            </w:r>
          </w:p>
          <w:p w14:paraId="763E0DEB" w14:textId="77777777" w:rsidR="001042DA" w:rsidRPr="006B1A5A" w:rsidRDefault="001042DA" w:rsidP="00AF2AEA">
            <w:pPr>
              <w:rPr>
                <w:color w:val="000000"/>
                <w:sz w:val="18"/>
                <w:szCs w:val="18"/>
              </w:rPr>
            </w:pPr>
            <w:r w:rsidRPr="006B1A5A">
              <w:rPr>
                <w:color w:val="000000"/>
                <w:sz w:val="18"/>
                <w:szCs w:val="18"/>
              </w:rPr>
              <w:t>Internal procedures DOKID-1294561088-104</w:t>
            </w:r>
          </w:p>
          <w:p w14:paraId="45A8D6F3" w14:textId="77777777" w:rsidR="001042DA" w:rsidRPr="006B1A5A" w:rsidRDefault="001042DA" w:rsidP="00AF2AEA">
            <w:pPr>
              <w:rPr>
                <w:color w:val="000000"/>
                <w:sz w:val="18"/>
                <w:szCs w:val="18"/>
              </w:rPr>
            </w:pPr>
            <w:r w:rsidRPr="006B1A5A">
              <w:rPr>
                <w:color w:val="000000"/>
                <w:sz w:val="18"/>
                <w:szCs w:val="18"/>
              </w:rPr>
              <w:t xml:space="preserve">Internal procedures: DOKID-1294561088-103  </w:t>
            </w:r>
          </w:p>
        </w:tc>
        <w:tc>
          <w:tcPr>
            <w:tcW w:w="1016" w:type="pct"/>
          </w:tcPr>
          <w:p w14:paraId="794AF560" w14:textId="77777777" w:rsidR="001042DA" w:rsidRPr="006B1A5A" w:rsidRDefault="001042DA" w:rsidP="00AF2AEA">
            <w:pPr>
              <w:rPr>
                <w:color w:val="000000"/>
                <w:sz w:val="18"/>
                <w:szCs w:val="18"/>
              </w:rPr>
            </w:pPr>
            <w:r w:rsidRPr="006B1A5A">
              <w:rPr>
                <w:color w:val="000000"/>
                <w:sz w:val="18"/>
                <w:szCs w:val="18"/>
              </w:rPr>
              <w:t>Nets were coated as per normal commercial practices and deployed for 5 months.</w:t>
            </w:r>
          </w:p>
          <w:p w14:paraId="4BB4608E" w14:textId="77777777" w:rsidR="001042DA" w:rsidRPr="006B1A5A" w:rsidRDefault="001042DA" w:rsidP="00AF2AEA">
            <w:pPr>
              <w:rPr>
                <w:color w:val="000000"/>
                <w:sz w:val="18"/>
                <w:szCs w:val="18"/>
              </w:rPr>
            </w:pPr>
          </w:p>
          <w:p w14:paraId="61E90B04" w14:textId="77777777" w:rsidR="001042DA" w:rsidRPr="006B1A5A" w:rsidRDefault="001042DA" w:rsidP="00AF2AEA">
            <w:pPr>
              <w:rPr>
                <w:color w:val="000000"/>
                <w:sz w:val="18"/>
                <w:szCs w:val="18"/>
              </w:rPr>
            </w:pPr>
            <w:r w:rsidRPr="006B1A5A">
              <w:rPr>
                <w:color w:val="000000"/>
                <w:sz w:val="18"/>
                <w:szCs w:val="18"/>
              </w:rPr>
              <w:t>(Greece)</w:t>
            </w:r>
          </w:p>
        </w:tc>
        <w:tc>
          <w:tcPr>
            <w:tcW w:w="937" w:type="pct"/>
          </w:tcPr>
          <w:p w14:paraId="445873B7" w14:textId="77777777" w:rsidR="001042DA" w:rsidRPr="006B1A5A" w:rsidRDefault="001042DA" w:rsidP="00AF2AEA">
            <w:pPr>
              <w:rPr>
                <w:color w:val="000000"/>
                <w:sz w:val="18"/>
                <w:szCs w:val="18"/>
              </w:rPr>
            </w:pPr>
            <w:r w:rsidRPr="006B1A5A">
              <w:rPr>
                <w:color w:val="000000"/>
                <w:sz w:val="18"/>
                <w:szCs w:val="18"/>
              </w:rPr>
              <w:t>Active protection time &gt; 5 months</w:t>
            </w:r>
          </w:p>
          <w:p w14:paraId="105C1677" w14:textId="77777777" w:rsidR="001042DA" w:rsidRPr="006B1A5A" w:rsidRDefault="001042DA" w:rsidP="00AF2AEA">
            <w:pPr>
              <w:rPr>
                <w:color w:val="000000"/>
                <w:sz w:val="18"/>
                <w:szCs w:val="18"/>
              </w:rPr>
            </w:pPr>
            <w:r w:rsidRPr="006B1A5A">
              <w:rPr>
                <w:color w:val="000000"/>
                <w:sz w:val="18"/>
                <w:szCs w:val="18"/>
              </w:rPr>
              <w:t>(the applicant's own assessment)</w:t>
            </w:r>
          </w:p>
          <w:p w14:paraId="37D684AF" w14:textId="77777777" w:rsidR="001042DA" w:rsidRPr="006B1A5A" w:rsidRDefault="001042DA" w:rsidP="00AF2AEA">
            <w:pPr>
              <w:rPr>
                <w:color w:val="000000"/>
                <w:sz w:val="18"/>
                <w:szCs w:val="18"/>
              </w:rPr>
            </w:pPr>
          </w:p>
          <w:p w14:paraId="3BAD02EB" w14:textId="77777777" w:rsidR="001042DA" w:rsidRPr="006B1A5A" w:rsidRDefault="001042DA" w:rsidP="00AF2AEA">
            <w:pPr>
              <w:rPr>
                <w:color w:val="000000"/>
                <w:sz w:val="18"/>
                <w:szCs w:val="18"/>
              </w:rPr>
            </w:pPr>
          </w:p>
          <w:p w14:paraId="7755C6F0" w14:textId="77777777" w:rsidR="001042DA" w:rsidRPr="006B1A5A" w:rsidRDefault="001042DA" w:rsidP="00AF2AEA">
            <w:pPr>
              <w:rPr>
                <w:color w:val="000000"/>
                <w:sz w:val="18"/>
                <w:szCs w:val="18"/>
              </w:rPr>
            </w:pPr>
            <w:r w:rsidRPr="006B1A5A">
              <w:rPr>
                <w:color w:val="000000"/>
                <w:sz w:val="18"/>
                <w:szCs w:val="18"/>
              </w:rPr>
              <w:t>Reliability: 3</w:t>
            </w:r>
          </w:p>
        </w:tc>
        <w:tc>
          <w:tcPr>
            <w:tcW w:w="861" w:type="pct"/>
          </w:tcPr>
          <w:p w14:paraId="30BDCFA9" w14:textId="77777777" w:rsidR="001042DA" w:rsidRPr="006B1A5A" w:rsidRDefault="001042DA" w:rsidP="00AF2AEA">
            <w:pPr>
              <w:rPr>
                <w:color w:val="000000"/>
                <w:sz w:val="18"/>
                <w:szCs w:val="18"/>
              </w:rPr>
            </w:pPr>
            <w:r w:rsidRPr="006B1A5A">
              <w:rPr>
                <w:color w:val="000000"/>
                <w:sz w:val="18"/>
                <w:szCs w:val="18"/>
              </w:rPr>
              <w:t>Fagerlid, S (2017)</w:t>
            </w:r>
          </w:p>
          <w:p w14:paraId="7CD46493" w14:textId="77777777" w:rsidR="001042DA" w:rsidRPr="006B1A5A" w:rsidRDefault="001042DA" w:rsidP="00AF2AEA">
            <w:pPr>
              <w:rPr>
                <w:color w:val="000000"/>
                <w:sz w:val="18"/>
                <w:szCs w:val="18"/>
              </w:rPr>
            </w:pPr>
          </w:p>
          <w:p w14:paraId="7B2367F7" w14:textId="77777777" w:rsidR="001042DA" w:rsidRPr="006B1A5A" w:rsidRDefault="001042DA" w:rsidP="00AF2AEA">
            <w:pPr>
              <w:rPr>
                <w:color w:val="000000"/>
                <w:sz w:val="18"/>
                <w:szCs w:val="18"/>
              </w:rPr>
            </w:pPr>
          </w:p>
          <w:p w14:paraId="185865A5" w14:textId="77777777" w:rsidR="001042DA" w:rsidRPr="006B1A5A" w:rsidRDefault="001042DA" w:rsidP="00AF2AEA">
            <w:pPr>
              <w:rPr>
                <w:color w:val="000000"/>
                <w:sz w:val="18"/>
                <w:szCs w:val="18"/>
              </w:rPr>
            </w:pPr>
          </w:p>
          <w:p w14:paraId="1240289C" w14:textId="77777777" w:rsidR="001042DA" w:rsidRPr="006B1A5A" w:rsidRDefault="001042DA" w:rsidP="00AF2AEA">
            <w:pPr>
              <w:rPr>
                <w:color w:val="000000"/>
                <w:sz w:val="18"/>
                <w:szCs w:val="18"/>
              </w:rPr>
            </w:pPr>
          </w:p>
        </w:tc>
      </w:tr>
      <w:tr w:rsidR="001042DA" w:rsidRPr="006B1A5A" w14:paraId="62379F1A" w14:textId="77777777" w:rsidTr="00AF2AEA">
        <w:trPr>
          <w:cantSplit/>
        </w:trPr>
        <w:tc>
          <w:tcPr>
            <w:tcW w:w="388" w:type="pct"/>
            <w:shd w:val="clear" w:color="auto" w:fill="auto"/>
          </w:tcPr>
          <w:p w14:paraId="5EDEAF04" w14:textId="77777777" w:rsidR="001042DA" w:rsidRPr="006B1A5A" w:rsidRDefault="001042DA" w:rsidP="00AF2AEA">
            <w:pPr>
              <w:rPr>
                <w:color w:val="000000"/>
                <w:sz w:val="18"/>
                <w:szCs w:val="18"/>
              </w:rPr>
            </w:pPr>
            <w:r w:rsidRPr="006B1A5A">
              <w:rPr>
                <w:color w:val="000000"/>
                <w:sz w:val="18"/>
                <w:szCs w:val="18"/>
              </w:rPr>
              <w:t>AquaNet HG360</w:t>
            </w:r>
          </w:p>
        </w:tc>
        <w:tc>
          <w:tcPr>
            <w:tcW w:w="625" w:type="pct"/>
            <w:shd w:val="clear" w:color="auto" w:fill="auto"/>
          </w:tcPr>
          <w:p w14:paraId="1FED0745" w14:textId="77777777" w:rsidR="001042DA" w:rsidRPr="006B1A5A" w:rsidRDefault="001042DA" w:rsidP="00AF2AEA">
            <w:pPr>
              <w:rPr>
                <w:color w:val="000000"/>
                <w:sz w:val="18"/>
                <w:szCs w:val="18"/>
              </w:rPr>
            </w:pPr>
            <w:r w:rsidRPr="006B1A5A">
              <w:rPr>
                <w:i/>
                <w:color w:val="000000"/>
                <w:sz w:val="18"/>
                <w:szCs w:val="18"/>
              </w:rPr>
              <w:t>Wide range of marine fouling organisms in the Mediterranean Sea (Greece)</w:t>
            </w:r>
          </w:p>
        </w:tc>
        <w:tc>
          <w:tcPr>
            <w:tcW w:w="1172" w:type="pct"/>
          </w:tcPr>
          <w:p w14:paraId="633C9B3C" w14:textId="77777777" w:rsidR="001042DA" w:rsidRPr="006B1A5A" w:rsidRDefault="001042DA" w:rsidP="00AF2AEA">
            <w:pPr>
              <w:rPr>
                <w:color w:val="000000"/>
                <w:sz w:val="18"/>
                <w:szCs w:val="18"/>
              </w:rPr>
            </w:pPr>
            <w:r w:rsidRPr="006B1A5A">
              <w:rPr>
                <w:color w:val="000000"/>
                <w:sz w:val="18"/>
                <w:szCs w:val="18"/>
              </w:rPr>
              <w:t>ISO 4628/3</w:t>
            </w:r>
          </w:p>
          <w:p w14:paraId="271C3D57" w14:textId="77777777" w:rsidR="001042DA" w:rsidRPr="006B1A5A" w:rsidRDefault="001042DA" w:rsidP="00AF2AEA">
            <w:pPr>
              <w:rPr>
                <w:color w:val="000000"/>
                <w:sz w:val="18"/>
                <w:szCs w:val="18"/>
              </w:rPr>
            </w:pPr>
            <w:r w:rsidRPr="006B1A5A">
              <w:rPr>
                <w:color w:val="000000"/>
                <w:sz w:val="18"/>
                <w:szCs w:val="18"/>
              </w:rPr>
              <w:t>SINTEF Guidelines for efficacy testing of antifouling coatings for nets in field tests</w:t>
            </w:r>
          </w:p>
          <w:p w14:paraId="016A05B5" w14:textId="77777777" w:rsidR="001042DA" w:rsidRPr="006B1A5A" w:rsidRDefault="001042DA" w:rsidP="00AF2AEA">
            <w:pPr>
              <w:rPr>
                <w:color w:val="000000"/>
                <w:sz w:val="18"/>
                <w:szCs w:val="18"/>
              </w:rPr>
            </w:pPr>
            <w:r w:rsidRPr="006B1A5A">
              <w:rPr>
                <w:color w:val="000000"/>
                <w:sz w:val="18"/>
                <w:szCs w:val="18"/>
              </w:rPr>
              <w:t>Internal procedures DOKID-1294561088-104</w:t>
            </w:r>
          </w:p>
          <w:p w14:paraId="5B698EB9" w14:textId="77777777" w:rsidR="001042DA" w:rsidRPr="006B1A5A" w:rsidRDefault="001042DA" w:rsidP="00AF2AEA">
            <w:pPr>
              <w:rPr>
                <w:color w:val="000000"/>
                <w:sz w:val="18"/>
                <w:szCs w:val="18"/>
              </w:rPr>
            </w:pPr>
            <w:r w:rsidRPr="006B1A5A">
              <w:rPr>
                <w:color w:val="000000"/>
                <w:sz w:val="18"/>
                <w:szCs w:val="18"/>
              </w:rPr>
              <w:t xml:space="preserve">Internal procedures: DOKID-1294561088-103  </w:t>
            </w:r>
          </w:p>
        </w:tc>
        <w:tc>
          <w:tcPr>
            <w:tcW w:w="1016" w:type="pct"/>
          </w:tcPr>
          <w:p w14:paraId="7B954238" w14:textId="77777777" w:rsidR="001042DA" w:rsidRPr="006B1A5A" w:rsidRDefault="001042DA" w:rsidP="00AF2AEA">
            <w:pPr>
              <w:rPr>
                <w:color w:val="000000"/>
                <w:sz w:val="18"/>
                <w:szCs w:val="18"/>
              </w:rPr>
            </w:pPr>
            <w:r w:rsidRPr="006B1A5A">
              <w:rPr>
                <w:color w:val="000000"/>
                <w:sz w:val="18"/>
                <w:szCs w:val="18"/>
              </w:rPr>
              <w:t>Nets were coated as per normal commercial practices and deployed for 5 months.</w:t>
            </w:r>
          </w:p>
          <w:p w14:paraId="281A630B" w14:textId="77777777" w:rsidR="001042DA" w:rsidRPr="006B1A5A" w:rsidRDefault="001042DA" w:rsidP="00AF2AEA">
            <w:pPr>
              <w:rPr>
                <w:color w:val="000000"/>
                <w:sz w:val="18"/>
                <w:szCs w:val="18"/>
              </w:rPr>
            </w:pPr>
          </w:p>
          <w:p w14:paraId="17566AD9" w14:textId="77777777" w:rsidR="001042DA" w:rsidRPr="006B1A5A" w:rsidRDefault="001042DA" w:rsidP="00AF2AEA">
            <w:pPr>
              <w:rPr>
                <w:color w:val="000000"/>
                <w:sz w:val="18"/>
                <w:szCs w:val="18"/>
              </w:rPr>
            </w:pPr>
            <w:r w:rsidRPr="006B1A5A">
              <w:rPr>
                <w:color w:val="000000"/>
                <w:sz w:val="18"/>
                <w:szCs w:val="18"/>
              </w:rPr>
              <w:t>(Greece)</w:t>
            </w:r>
          </w:p>
        </w:tc>
        <w:tc>
          <w:tcPr>
            <w:tcW w:w="937" w:type="pct"/>
          </w:tcPr>
          <w:p w14:paraId="694DD61B" w14:textId="77777777" w:rsidR="001042DA" w:rsidRPr="006B1A5A" w:rsidRDefault="001042DA" w:rsidP="00AF2AEA">
            <w:pPr>
              <w:rPr>
                <w:color w:val="000000"/>
                <w:sz w:val="18"/>
                <w:szCs w:val="18"/>
              </w:rPr>
            </w:pPr>
            <w:r w:rsidRPr="006B1A5A">
              <w:rPr>
                <w:color w:val="000000"/>
                <w:sz w:val="18"/>
                <w:szCs w:val="18"/>
              </w:rPr>
              <w:t>Active protection time &gt; 5 months</w:t>
            </w:r>
          </w:p>
          <w:p w14:paraId="6A1BAA64" w14:textId="77777777" w:rsidR="001042DA" w:rsidRPr="006B1A5A" w:rsidRDefault="001042DA" w:rsidP="00AF2AEA">
            <w:pPr>
              <w:rPr>
                <w:color w:val="000000"/>
                <w:sz w:val="18"/>
                <w:szCs w:val="18"/>
              </w:rPr>
            </w:pPr>
            <w:r w:rsidRPr="006B1A5A">
              <w:rPr>
                <w:color w:val="000000"/>
                <w:sz w:val="18"/>
                <w:szCs w:val="18"/>
              </w:rPr>
              <w:t>(the applicant's own assessment)</w:t>
            </w:r>
          </w:p>
          <w:p w14:paraId="42649D56" w14:textId="77777777" w:rsidR="001042DA" w:rsidRPr="006B1A5A" w:rsidRDefault="001042DA" w:rsidP="00AF2AEA">
            <w:pPr>
              <w:rPr>
                <w:color w:val="000000"/>
                <w:sz w:val="18"/>
                <w:szCs w:val="18"/>
              </w:rPr>
            </w:pPr>
          </w:p>
          <w:p w14:paraId="28F4D25F" w14:textId="77777777" w:rsidR="001042DA" w:rsidRPr="006B1A5A" w:rsidRDefault="001042DA" w:rsidP="00AF2AEA">
            <w:pPr>
              <w:rPr>
                <w:color w:val="000000"/>
                <w:sz w:val="18"/>
                <w:szCs w:val="18"/>
              </w:rPr>
            </w:pPr>
          </w:p>
          <w:p w14:paraId="53375017" w14:textId="77777777" w:rsidR="001042DA" w:rsidRPr="006B1A5A" w:rsidRDefault="001042DA" w:rsidP="00AF2AEA">
            <w:pPr>
              <w:rPr>
                <w:color w:val="000000"/>
                <w:sz w:val="18"/>
                <w:szCs w:val="18"/>
              </w:rPr>
            </w:pPr>
            <w:r w:rsidRPr="006B1A5A">
              <w:rPr>
                <w:color w:val="000000"/>
                <w:sz w:val="18"/>
                <w:szCs w:val="18"/>
              </w:rPr>
              <w:t>Reliability: 3</w:t>
            </w:r>
          </w:p>
        </w:tc>
        <w:tc>
          <w:tcPr>
            <w:tcW w:w="861" w:type="pct"/>
          </w:tcPr>
          <w:p w14:paraId="0C086A6F" w14:textId="77777777" w:rsidR="001042DA" w:rsidRPr="006B1A5A" w:rsidRDefault="001042DA" w:rsidP="00AF2AEA">
            <w:pPr>
              <w:rPr>
                <w:color w:val="000000"/>
                <w:sz w:val="18"/>
                <w:szCs w:val="18"/>
              </w:rPr>
            </w:pPr>
            <w:r w:rsidRPr="006B1A5A">
              <w:rPr>
                <w:color w:val="000000"/>
                <w:sz w:val="18"/>
                <w:szCs w:val="18"/>
              </w:rPr>
              <w:t>Fagerlid, S (2017)</w:t>
            </w:r>
          </w:p>
          <w:p w14:paraId="39E7E344" w14:textId="77777777" w:rsidR="001042DA" w:rsidRPr="006B1A5A" w:rsidRDefault="001042DA" w:rsidP="00AF2AEA">
            <w:pPr>
              <w:rPr>
                <w:color w:val="000000"/>
                <w:sz w:val="18"/>
                <w:szCs w:val="18"/>
              </w:rPr>
            </w:pPr>
          </w:p>
          <w:p w14:paraId="1006715C" w14:textId="77777777" w:rsidR="001042DA" w:rsidRPr="006B1A5A" w:rsidRDefault="001042DA" w:rsidP="00AF2AEA">
            <w:pPr>
              <w:rPr>
                <w:color w:val="000000"/>
                <w:sz w:val="18"/>
                <w:szCs w:val="18"/>
              </w:rPr>
            </w:pPr>
          </w:p>
        </w:tc>
      </w:tr>
      <w:tr w:rsidR="001042DA" w:rsidRPr="006B1A5A" w14:paraId="6D103674" w14:textId="77777777" w:rsidTr="00AF2AEA">
        <w:trPr>
          <w:cantSplit/>
        </w:trPr>
        <w:tc>
          <w:tcPr>
            <w:tcW w:w="388" w:type="pct"/>
            <w:tcBorders>
              <w:top w:val="single" w:sz="6" w:space="0" w:color="auto"/>
              <w:left w:val="single" w:sz="6" w:space="0" w:color="auto"/>
              <w:bottom w:val="single" w:sz="6" w:space="0" w:color="auto"/>
              <w:right w:val="single" w:sz="6" w:space="0" w:color="auto"/>
            </w:tcBorders>
            <w:shd w:val="clear" w:color="auto" w:fill="auto"/>
          </w:tcPr>
          <w:p w14:paraId="0ADF89A2" w14:textId="77777777" w:rsidR="001042DA" w:rsidRPr="006B1A5A" w:rsidRDefault="001042DA" w:rsidP="00AF2AEA">
            <w:pPr>
              <w:rPr>
                <w:color w:val="000000"/>
                <w:sz w:val="18"/>
                <w:szCs w:val="18"/>
              </w:rPr>
            </w:pPr>
            <w:r w:rsidRPr="006B1A5A">
              <w:rPr>
                <w:color w:val="000000"/>
                <w:sz w:val="18"/>
                <w:szCs w:val="18"/>
              </w:rPr>
              <w:t>AquaNet HG360</w:t>
            </w:r>
          </w:p>
        </w:tc>
        <w:tc>
          <w:tcPr>
            <w:tcW w:w="625" w:type="pct"/>
            <w:tcBorders>
              <w:top w:val="single" w:sz="6" w:space="0" w:color="auto"/>
              <w:left w:val="single" w:sz="6" w:space="0" w:color="auto"/>
              <w:bottom w:val="single" w:sz="6" w:space="0" w:color="auto"/>
              <w:right w:val="single" w:sz="6" w:space="0" w:color="auto"/>
            </w:tcBorders>
            <w:shd w:val="clear" w:color="auto" w:fill="auto"/>
          </w:tcPr>
          <w:p w14:paraId="3CAFAF85" w14:textId="77777777" w:rsidR="001042DA" w:rsidRPr="006B1A5A" w:rsidRDefault="001042DA" w:rsidP="00AF2AEA">
            <w:pPr>
              <w:rPr>
                <w:color w:val="000000"/>
                <w:sz w:val="18"/>
                <w:szCs w:val="18"/>
              </w:rPr>
            </w:pPr>
            <w:r w:rsidRPr="006B1A5A">
              <w:rPr>
                <w:i/>
                <w:color w:val="000000"/>
                <w:sz w:val="18"/>
                <w:szCs w:val="18"/>
              </w:rPr>
              <w:t>Wide range of marine fouling organisms in North European waters (Norway)</w:t>
            </w:r>
          </w:p>
        </w:tc>
        <w:tc>
          <w:tcPr>
            <w:tcW w:w="1172" w:type="pct"/>
            <w:tcBorders>
              <w:top w:val="single" w:sz="6" w:space="0" w:color="auto"/>
              <w:left w:val="single" w:sz="6" w:space="0" w:color="auto"/>
              <w:bottom w:val="single" w:sz="6" w:space="0" w:color="auto"/>
              <w:right w:val="single" w:sz="6" w:space="0" w:color="auto"/>
            </w:tcBorders>
          </w:tcPr>
          <w:p w14:paraId="3AED467A" w14:textId="77777777" w:rsidR="001042DA" w:rsidRPr="006B1A5A" w:rsidRDefault="001042DA" w:rsidP="00AF2AEA">
            <w:pPr>
              <w:rPr>
                <w:color w:val="000000"/>
                <w:sz w:val="18"/>
                <w:szCs w:val="18"/>
              </w:rPr>
            </w:pPr>
            <w:r w:rsidRPr="006B1A5A">
              <w:rPr>
                <w:color w:val="000000"/>
                <w:sz w:val="18"/>
                <w:szCs w:val="18"/>
              </w:rPr>
              <w:t>ISO 4628/3</w:t>
            </w:r>
          </w:p>
          <w:p w14:paraId="3BB582E6" w14:textId="77777777" w:rsidR="001042DA" w:rsidRPr="006B1A5A" w:rsidRDefault="001042DA" w:rsidP="00AF2AEA">
            <w:pPr>
              <w:rPr>
                <w:color w:val="000000"/>
                <w:sz w:val="18"/>
                <w:szCs w:val="18"/>
              </w:rPr>
            </w:pPr>
            <w:r w:rsidRPr="006B1A5A">
              <w:rPr>
                <w:color w:val="000000"/>
                <w:sz w:val="18"/>
                <w:szCs w:val="18"/>
              </w:rPr>
              <w:t>SINTEF Guidelines for efficacy testing of antifouling coatings for nets in field tests</w:t>
            </w:r>
          </w:p>
          <w:p w14:paraId="3D6B7D75" w14:textId="77777777" w:rsidR="001042DA" w:rsidRPr="006B1A5A" w:rsidRDefault="001042DA" w:rsidP="00AF2AEA">
            <w:pPr>
              <w:rPr>
                <w:color w:val="000000"/>
                <w:sz w:val="18"/>
                <w:szCs w:val="18"/>
              </w:rPr>
            </w:pPr>
            <w:r w:rsidRPr="006B1A5A">
              <w:rPr>
                <w:color w:val="000000"/>
                <w:sz w:val="18"/>
                <w:szCs w:val="18"/>
              </w:rPr>
              <w:t>Internal procedures DOKID-1294561088-104</w:t>
            </w:r>
          </w:p>
          <w:p w14:paraId="5FB8CB6B" w14:textId="77777777" w:rsidR="001042DA" w:rsidRPr="006B1A5A" w:rsidRDefault="001042DA" w:rsidP="00AF2AEA">
            <w:pPr>
              <w:rPr>
                <w:color w:val="000000"/>
                <w:sz w:val="18"/>
                <w:szCs w:val="18"/>
              </w:rPr>
            </w:pPr>
            <w:r w:rsidRPr="006B1A5A">
              <w:rPr>
                <w:color w:val="000000"/>
                <w:sz w:val="18"/>
                <w:szCs w:val="18"/>
              </w:rPr>
              <w:t xml:space="preserve">Internal procedures: DOKID-1294561088-103  </w:t>
            </w:r>
          </w:p>
        </w:tc>
        <w:tc>
          <w:tcPr>
            <w:tcW w:w="1016" w:type="pct"/>
            <w:tcBorders>
              <w:top w:val="single" w:sz="6" w:space="0" w:color="auto"/>
              <w:left w:val="single" w:sz="6" w:space="0" w:color="auto"/>
              <w:bottom w:val="single" w:sz="6" w:space="0" w:color="auto"/>
              <w:right w:val="single" w:sz="6" w:space="0" w:color="auto"/>
            </w:tcBorders>
          </w:tcPr>
          <w:p w14:paraId="4F60A083" w14:textId="77777777" w:rsidR="001042DA" w:rsidRPr="006B1A5A" w:rsidRDefault="001042DA" w:rsidP="00AF2AEA">
            <w:pPr>
              <w:rPr>
                <w:color w:val="000000"/>
                <w:sz w:val="18"/>
                <w:szCs w:val="18"/>
              </w:rPr>
            </w:pPr>
            <w:r w:rsidRPr="006B1A5A">
              <w:rPr>
                <w:color w:val="000000"/>
                <w:sz w:val="18"/>
                <w:szCs w:val="18"/>
              </w:rPr>
              <w:t>Seawater column located in Horgefjorden at 80 m depth from May to Nov. 2017, close to high production cages where fouling pressure is higher than surrounding areas / 5 months (0 – 44 – 64 – 85 – 104 – 127 – 162 d)</w:t>
            </w:r>
          </w:p>
        </w:tc>
        <w:tc>
          <w:tcPr>
            <w:tcW w:w="937" w:type="pct"/>
            <w:tcBorders>
              <w:top w:val="single" w:sz="6" w:space="0" w:color="auto"/>
              <w:left w:val="single" w:sz="6" w:space="0" w:color="auto"/>
              <w:bottom w:val="single" w:sz="6" w:space="0" w:color="auto"/>
              <w:right w:val="single" w:sz="6" w:space="0" w:color="auto"/>
            </w:tcBorders>
          </w:tcPr>
          <w:p w14:paraId="48FA96DC" w14:textId="77777777" w:rsidR="001042DA" w:rsidRPr="006B1A5A" w:rsidRDefault="001042DA" w:rsidP="00AF2AEA">
            <w:pPr>
              <w:rPr>
                <w:color w:val="000000"/>
                <w:sz w:val="18"/>
                <w:szCs w:val="18"/>
              </w:rPr>
            </w:pPr>
            <w:r w:rsidRPr="006B1A5A">
              <w:rPr>
                <w:color w:val="000000"/>
                <w:sz w:val="18"/>
                <w:szCs w:val="18"/>
              </w:rPr>
              <w:t>Active protection time &gt; 5 months</w:t>
            </w:r>
          </w:p>
          <w:p w14:paraId="507A4485" w14:textId="77777777" w:rsidR="001042DA" w:rsidRPr="006B1A5A" w:rsidRDefault="001042DA" w:rsidP="00AF2AEA">
            <w:pPr>
              <w:rPr>
                <w:color w:val="000000"/>
                <w:sz w:val="18"/>
                <w:szCs w:val="18"/>
              </w:rPr>
            </w:pPr>
            <w:r w:rsidRPr="006B1A5A">
              <w:rPr>
                <w:color w:val="000000"/>
                <w:sz w:val="18"/>
                <w:szCs w:val="18"/>
              </w:rPr>
              <w:t>(the applicant's own assessment)</w:t>
            </w:r>
          </w:p>
          <w:p w14:paraId="7DA390E8" w14:textId="77777777" w:rsidR="001042DA" w:rsidRPr="006B1A5A" w:rsidRDefault="001042DA" w:rsidP="00AF2AEA">
            <w:pPr>
              <w:rPr>
                <w:color w:val="000000"/>
                <w:sz w:val="18"/>
                <w:szCs w:val="18"/>
              </w:rPr>
            </w:pPr>
          </w:p>
          <w:p w14:paraId="06FB1862" w14:textId="77777777" w:rsidR="001042DA" w:rsidRPr="006B1A5A" w:rsidRDefault="001042DA" w:rsidP="00AF2AEA">
            <w:pPr>
              <w:rPr>
                <w:color w:val="000000"/>
                <w:sz w:val="18"/>
                <w:szCs w:val="18"/>
              </w:rPr>
            </w:pPr>
          </w:p>
          <w:p w14:paraId="69E32411" w14:textId="77777777" w:rsidR="001042DA" w:rsidRPr="006B1A5A" w:rsidRDefault="001042DA" w:rsidP="00AF2AEA">
            <w:pPr>
              <w:rPr>
                <w:color w:val="000000"/>
                <w:sz w:val="18"/>
                <w:szCs w:val="18"/>
              </w:rPr>
            </w:pPr>
            <w:r w:rsidRPr="006B1A5A">
              <w:rPr>
                <w:color w:val="000000"/>
                <w:sz w:val="18"/>
                <w:szCs w:val="18"/>
              </w:rPr>
              <w:t>Reliability: 3</w:t>
            </w:r>
          </w:p>
        </w:tc>
        <w:tc>
          <w:tcPr>
            <w:tcW w:w="861" w:type="pct"/>
            <w:tcBorders>
              <w:top w:val="single" w:sz="6" w:space="0" w:color="auto"/>
              <w:left w:val="single" w:sz="6" w:space="0" w:color="auto"/>
              <w:bottom w:val="single" w:sz="6" w:space="0" w:color="auto"/>
              <w:right w:val="single" w:sz="4" w:space="0" w:color="auto"/>
            </w:tcBorders>
          </w:tcPr>
          <w:p w14:paraId="49EB906B" w14:textId="77777777" w:rsidR="001042DA" w:rsidRPr="006B1A5A" w:rsidRDefault="001042DA" w:rsidP="00AF2AEA">
            <w:pPr>
              <w:rPr>
                <w:color w:val="000000"/>
                <w:sz w:val="18"/>
                <w:szCs w:val="18"/>
              </w:rPr>
            </w:pPr>
            <w:r w:rsidRPr="006B1A5A">
              <w:rPr>
                <w:color w:val="000000"/>
                <w:sz w:val="18"/>
                <w:szCs w:val="18"/>
              </w:rPr>
              <w:t>Hope, B (2017)</w:t>
            </w:r>
          </w:p>
        </w:tc>
      </w:tr>
      <w:tr w:rsidR="001042DA" w:rsidRPr="006B1A5A" w14:paraId="1824A2E1" w14:textId="77777777" w:rsidTr="00AF2AEA">
        <w:trPr>
          <w:cantSplit/>
        </w:trPr>
        <w:tc>
          <w:tcPr>
            <w:tcW w:w="388" w:type="pct"/>
            <w:tcBorders>
              <w:top w:val="single" w:sz="6" w:space="0" w:color="auto"/>
              <w:left w:val="single" w:sz="6" w:space="0" w:color="auto"/>
              <w:bottom w:val="single" w:sz="6" w:space="0" w:color="auto"/>
              <w:right w:val="single" w:sz="6" w:space="0" w:color="auto"/>
            </w:tcBorders>
            <w:shd w:val="clear" w:color="auto" w:fill="auto"/>
          </w:tcPr>
          <w:p w14:paraId="2205FB53" w14:textId="77777777" w:rsidR="001042DA" w:rsidRPr="006B1A5A" w:rsidRDefault="001042DA" w:rsidP="00AF2AEA">
            <w:pPr>
              <w:rPr>
                <w:color w:val="000000"/>
                <w:sz w:val="18"/>
                <w:szCs w:val="18"/>
              </w:rPr>
            </w:pPr>
            <w:r w:rsidRPr="006B1A5A">
              <w:rPr>
                <w:color w:val="000000"/>
                <w:sz w:val="18"/>
                <w:szCs w:val="18"/>
              </w:rPr>
              <w:t>AquaNet HG360</w:t>
            </w:r>
          </w:p>
        </w:tc>
        <w:tc>
          <w:tcPr>
            <w:tcW w:w="625" w:type="pct"/>
            <w:tcBorders>
              <w:top w:val="single" w:sz="6" w:space="0" w:color="auto"/>
              <w:left w:val="single" w:sz="6" w:space="0" w:color="auto"/>
              <w:bottom w:val="single" w:sz="6" w:space="0" w:color="auto"/>
              <w:right w:val="single" w:sz="6" w:space="0" w:color="auto"/>
            </w:tcBorders>
            <w:shd w:val="clear" w:color="auto" w:fill="auto"/>
          </w:tcPr>
          <w:p w14:paraId="5A876A4E" w14:textId="77777777" w:rsidR="001042DA" w:rsidRPr="006B1A5A" w:rsidRDefault="001042DA" w:rsidP="00AF2AEA">
            <w:pPr>
              <w:rPr>
                <w:i/>
                <w:color w:val="000000"/>
                <w:sz w:val="18"/>
                <w:szCs w:val="18"/>
              </w:rPr>
            </w:pPr>
            <w:r w:rsidRPr="006B1A5A">
              <w:rPr>
                <w:i/>
                <w:color w:val="000000"/>
                <w:sz w:val="18"/>
                <w:szCs w:val="18"/>
              </w:rPr>
              <w:t>Wide range of marine fouling organisms in North European waters (Norway)</w:t>
            </w:r>
          </w:p>
        </w:tc>
        <w:tc>
          <w:tcPr>
            <w:tcW w:w="1172" w:type="pct"/>
            <w:tcBorders>
              <w:top w:val="single" w:sz="6" w:space="0" w:color="auto"/>
              <w:left w:val="single" w:sz="6" w:space="0" w:color="auto"/>
              <w:bottom w:val="single" w:sz="6" w:space="0" w:color="auto"/>
              <w:right w:val="single" w:sz="6" w:space="0" w:color="auto"/>
            </w:tcBorders>
          </w:tcPr>
          <w:p w14:paraId="1806134C" w14:textId="77777777" w:rsidR="001042DA" w:rsidRPr="006B1A5A" w:rsidRDefault="001042DA" w:rsidP="00AF2AEA">
            <w:pPr>
              <w:rPr>
                <w:color w:val="000000"/>
                <w:sz w:val="18"/>
                <w:szCs w:val="18"/>
              </w:rPr>
            </w:pPr>
            <w:r w:rsidRPr="006B1A5A">
              <w:rPr>
                <w:color w:val="000000"/>
                <w:sz w:val="18"/>
                <w:szCs w:val="18"/>
              </w:rPr>
              <w:t>ISO 4628/3</w:t>
            </w:r>
          </w:p>
          <w:p w14:paraId="3C1EFFBC" w14:textId="77777777" w:rsidR="001042DA" w:rsidRPr="006B1A5A" w:rsidRDefault="001042DA" w:rsidP="00AF2AEA">
            <w:pPr>
              <w:rPr>
                <w:color w:val="000000"/>
                <w:sz w:val="18"/>
                <w:szCs w:val="18"/>
              </w:rPr>
            </w:pPr>
            <w:r w:rsidRPr="006B1A5A">
              <w:rPr>
                <w:color w:val="000000"/>
                <w:sz w:val="18"/>
                <w:szCs w:val="18"/>
              </w:rPr>
              <w:t>SINTEF Guidelines for efficacy testing of antifouling coatings for nets in field tests</w:t>
            </w:r>
          </w:p>
          <w:p w14:paraId="0C45A0D3" w14:textId="77777777" w:rsidR="001042DA" w:rsidRPr="006B1A5A" w:rsidRDefault="001042DA" w:rsidP="00AF2AEA">
            <w:pPr>
              <w:rPr>
                <w:color w:val="000000"/>
                <w:sz w:val="18"/>
                <w:szCs w:val="18"/>
              </w:rPr>
            </w:pPr>
            <w:r w:rsidRPr="006B1A5A">
              <w:rPr>
                <w:color w:val="000000"/>
                <w:sz w:val="18"/>
                <w:szCs w:val="18"/>
              </w:rPr>
              <w:t>CEPE-method (antifouling coatings-methods for the generation of antifouling efficacy data)-for aquaculture nets developed by SINTEF Ocean on behalf of the Norwegian Environment Agency</w:t>
            </w:r>
          </w:p>
          <w:p w14:paraId="663763BD" w14:textId="77777777" w:rsidR="001042DA" w:rsidRPr="006B1A5A" w:rsidRDefault="001042DA" w:rsidP="00AF2AEA">
            <w:pPr>
              <w:rPr>
                <w:color w:val="000000"/>
                <w:sz w:val="18"/>
                <w:szCs w:val="18"/>
              </w:rPr>
            </w:pPr>
            <w:r w:rsidRPr="006B1A5A">
              <w:rPr>
                <w:color w:val="000000"/>
                <w:sz w:val="18"/>
                <w:szCs w:val="18"/>
              </w:rPr>
              <w:t>Internal procedures DOKID-1294561088-104</w:t>
            </w:r>
          </w:p>
          <w:p w14:paraId="75FA467D" w14:textId="77777777" w:rsidR="001042DA" w:rsidRPr="006B1A5A" w:rsidRDefault="001042DA" w:rsidP="00AF2AEA">
            <w:pPr>
              <w:rPr>
                <w:color w:val="000000"/>
                <w:sz w:val="18"/>
                <w:szCs w:val="18"/>
              </w:rPr>
            </w:pPr>
            <w:r w:rsidRPr="006B1A5A">
              <w:rPr>
                <w:color w:val="000000"/>
                <w:sz w:val="18"/>
                <w:szCs w:val="18"/>
              </w:rPr>
              <w:t xml:space="preserve">Internal procedures: DOKID-1294561088-103  </w:t>
            </w:r>
          </w:p>
          <w:p w14:paraId="1D6F1AC7" w14:textId="77777777" w:rsidR="001042DA" w:rsidRPr="006B1A5A" w:rsidRDefault="001042DA" w:rsidP="00AF2AEA">
            <w:pPr>
              <w:rPr>
                <w:color w:val="000000"/>
                <w:sz w:val="18"/>
                <w:szCs w:val="18"/>
              </w:rPr>
            </w:pPr>
          </w:p>
        </w:tc>
        <w:tc>
          <w:tcPr>
            <w:tcW w:w="1016" w:type="pct"/>
            <w:tcBorders>
              <w:top w:val="single" w:sz="6" w:space="0" w:color="auto"/>
              <w:left w:val="single" w:sz="6" w:space="0" w:color="auto"/>
              <w:bottom w:val="single" w:sz="6" w:space="0" w:color="auto"/>
              <w:right w:val="single" w:sz="6" w:space="0" w:color="auto"/>
            </w:tcBorders>
          </w:tcPr>
          <w:p w14:paraId="4A631763" w14:textId="77777777" w:rsidR="001042DA" w:rsidRPr="006B1A5A" w:rsidRDefault="001042DA" w:rsidP="00AF2AEA">
            <w:pPr>
              <w:rPr>
                <w:color w:val="000000"/>
                <w:sz w:val="18"/>
                <w:szCs w:val="18"/>
              </w:rPr>
            </w:pPr>
            <w:r w:rsidRPr="006B1A5A">
              <w:rPr>
                <w:color w:val="000000"/>
                <w:sz w:val="18"/>
                <w:szCs w:val="18"/>
              </w:rPr>
              <w:t>Seawater column located in South-West Norway at 80 m depth from April 2018 to November 2018, 1 meter from high production cages where fouling pressure is greater than surrounding areas. Test units comprised of nets on stainless steel cages treated with test substance (6 replicates) or control (7 replicates)</w:t>
            </w:r>
          </w:p>
        </w:tc>
        <w:tc>
          <w:tcPr>
            <w:tcW w:w="937" w:type="pct"/>
            <w:tcBorders>
              <w:top w:val="single" w:sz="6" w:space="0" w:color="auto"/>
              <w:left w:val="single" w:sz="6" w:space="0" w:color="auto"/>
              <w:bottom w:val="single" w:sz="6" w:space="0" w:color="auto"/>
              <w:right w:val="single" w:sz="6" w:space="0" w:color="auto"/>
            </w:tcBorders>
          </w:tcPr>
          <w:p w14:paraId="56851BA9" w14:textId="77777777" w:rsidR="001042DA" w:rsidRPr="006B1A5A" w:rsidRDefault="001042DA" w:rsidP="00AF2AEA">
            <w:pPr>
              <w:rPr>
                <w:color w:val="000000"/>
                <w:sz w:val="18"/>
                <w:szCs w:val="18"/>
              </w:rPr>
            </w:pPr>
          </w:p>
          <w:p w14:paraId="4B831569" w14:textId="77777777" w:rsidR="001042DA" w:rsidRPr="006B1A5A" w:rsidRDefault="001042DA" w:rsidP="00AF2AEA">
            <w:pPr>
              <w:rPr>
                <w:color w:val="000000"/>
                <w:sz w:val="18"/>
                <w:szCs w:val="18"/>
              </w:rPr>
            </w:pPr>
            <w:r w:rsidRPr="006B1A5A">
              <w:rPr>
                <w:color w:val="000000"/>
                <w:sz w:val="18"/>
                <w:szCs w:val="18"/>
              </w:rPr>
              <w:t>Active protection time 14 weeks</w:t>
            </w:r>
          </w:p>
          <w:p w14:paraId="7ED93003" w14:textId="77777777" w:rsidR="001042DA" w:rsidRPr="006B1A5A" w:rsidRDefault="001042DA" w:rsidP="00AF2AEA">
            <w:pPr>
              <w:rPr>
                <w:color w:val="000000"/>
                <w:sz w:val="18"/>
                <w:szCs w:val="18"/>
              </w:rPr>
            </w:pPr>
          </w:p>
          <w:p w14:paraId="6D13DF3E" w14:textId="77777777" w:rsidR="001042DA" w:rsidRPr="006B1A5A" w:rsidRDefault="001042DA" w:rsidP="00AF2AEA">
            <w:pPr>
              <w:rPr>
                <w:color w:val="000000"/>
                <w:sz w:val="18"/>
                <w:szCs w:val="18"/>
              </w:rPr>
            </w:pPr>
          </w:p>
          <w:p w14:paraId="2E684CFA" w14:textId="77777777" w:rsidR="001042DA" w:rsidRPr="006B1A5A" w:rsidRDefault="001042DA" w:rsidP="00AF2AEA">
            <w:pPr>
              <w:rPr>
                <w:color w:val="000000"/>
                <w:sz w:val="18"/>
                <w:szCs w:val="18"/>
              </w:rPr>
            </w:pPr>
            <w:r w:rsidRPr="006B1A5A">
              <w:rPr>
                <w:color w:val="000000"/>
                <w:sz w:val="18"/>
                <w:szCs w:val="18"/>
              </w:rPr>
              <w:t>Reliability 2</w:t>
            </w:r>
          </w:p>
        </w:tc>
        <w:tc>
          <w:tcPr>
            <w:tcW w:w="861" w:type="pct"/>
            <w:tcBorders>
              <w:top w:val="single" w:sz="6" w:space="0" w:color="auto"/>
              <w:left w:val="single" w:sz="6" w:space="0" w:color="auto"/>
              <w:bottom w:val="single" w:sz="6" w:space="0" w:color="auto"/>
              <w:right w:val="single" w:sz="4" w:space="0" w:color="auto"/>
            </w:tcBorders>
          </w:tcPr>
          <w:p w14:paraId="725DEB9C" w14:textId="77777777" w:rsidR="001042DA" w:rsidRPr="006B1A5A" w:rsidRDefault="001042DA" w:rsidP="00AF2AEA">
            <w:pPr>
              <w:rPr>
                <w:color w:val="000000"/>
                <w:sz w:val="18"/>
                <w:szCs w:val="18"/>
              </w:rPr>
            </w:pPr>
            <w:r w:rsidRPr="006B1A5A">
              <w:rPr>
                <w:color w:val="000000"/>
                <w:sz w:val="18"/>
                <w:szCs w:val="18"/>
              </w:rPr>
              <w:t>Hope, B (2018)</w:t>
            </w:r>
          </w:p>
        </w:tc>
      </w:tr>
      <w:tr w:rsidR="001042DA" w:rsidRPr="006B1A5A" w14:paraId="36E8BE22" w14:textId="77777777" w:rsidTr="00AF2AEA">
        <w:trPr>
          <w:cantSplit/>
        </w:trPr>
        <w:tc>
          <w:tcPr>
            <w:tcW w:w="388" w:type="pct"/>
            <w:tcBorders>
              <w:top w:val="single" w:sz="6" w:space="0" w:color="auto"/>
              <w:left w:val="single" w:sz="6" w:space="0" w:color="auto"/>
              <w:bottom w:val="single" w:sz="6" w:space="0" w:color="auto"/>
              <w:right w:val="single" w:sz="6" w:space="0" w:color="auto"/>
            </w:tcBorders>
            <w:shd w:val="clear" w:color="auto" w:fill="auto"/>
          </w:tcPr>
          <w:p w14:paraId="50895818" w14:textId="77777777" w:rsidR="001042DA" w:rsidRPr="006B1A5A" w:rsidRDefault="001042DA" w:rsidP="00AF2AEA">
            <w:pPr>
              <w:rPr>
                <w:color w:val="000000"/>
                <w:sz w:val="18"/>
                <w:szCs w:val="18"/>
              </w:rPr>
            </w:pPr>
            <w:r w:rsidRPr="006B1A5A">
              <w:rPr>
                <w:color w:val="000000"/>
                <w:sz w:val="18"/>
                <w:szCs w:val="18"/>
              </w:rPr>
              <w:t>AquaNet LG360</w:t>
            </w:r>
          </w:p>
        </w:tc>
        <w:tc>
          <w:tcPr>
            <w:tcW w:w="625" w:type="pct"/>
            <w:tcBorders>
              <w:top w:val="single" w:sz="6" w:space="0" w:color="auto"/>
              <w:left w:val="single" w:sz="6" w:space="0" w:color="auto"/>
              <w:bottom w:val="single" w:sz="6" w:space="0" w:color="auto"/>
              <w:right w:val="single" w:sz="6" w:space="0" w:color="auto"/>
            </w:tcBorders>
            <w:shd w:val="clear" w:color="auto" w:fill="auto"/>
          </w:tcPr>
          <w:p w14:paraId="40058010" w14:textId="77777777" w:rsidR="001042DA" w:rsidRPr="006B1A5A" w:rsidRDefault="001042DA" w:rsidP="00AF2AEA">
            <w:pPr>
              <w:rPr>
                <w:i/>
                <w:color w:val="000000"/>
                <w:sz w:val="18"/>
                <w:szCs w:val="18"/>
              </w:rPr>
            </w:pPr>
            <w:r w:rsidRPr="006B1A5A">
              <w:rPr>
                <w:i/>
                <w:color w:val="000000"/>
                <w:sz w:val="18"/>
                <w:szCs w:val="18"/>
              </w:rPr>
              <w:t>Wide range of marine fouling organisms in North European waters (Norway)</w:t>
            </w:r>
          </w:p>
        </w:tc>
        <w:tc>
          <w:tcPr>
            <w:tcW w:w="1172" w:type="pct"/>
            <w:tcBorders>
              <w:top w:val="single" w:sz="6" w:space="0" w:color="auto"/>
              <w:left w:val="single" w:sz="6" w:space="0" w:color="auto"/>
              <w:bottom w:val="single" w:sz="6" w:space="0" w:color="auto"/>
              <w:right w:val="single" w:sz="6" w:space="0" w:color="auto"/>
            </w:tcBorders>
          </w:tcPr>
          <w:p w14:paraId="2E0EBC82" w14:textId="77777777" w:rsidR="001042DA" w:rsidRPr="006B1A5A" w:rsidRDefault="001042DA" w:rsidP="00AF2AEA">
            <w:pPr>
              <w:rPr>
                <w:color w:val="000000"/>
                <w:sz w:val="18"/>
                <w:szCs w:val="18"/>
              </w:rPr>
            </w:pPr>
            <w:r w:rsidRPr="006B1A5A">
              <w:rPr>
                <w:color w:val="000000"/>
                <w:sz w:val="18"/>
                <w:szCs w:val="18"/>
              </w:rPr>
              <w:t>ISO 4628/3</w:t>
            </w:r>
          </w:p>
          <w:p w14:paraId="066280C6" w14:textId="77777777" w:rsidR="001042DA" w:rsidRPr="006B1A5A" w:rsidRDefault="001042DA" w:rsidP="00AF2AEA">
            <w:pPr>
              <w:rPr>
                <w:color w:val="000000"/>
                <w:sz w:val="18"/>
                <w:szCs w:val="18"/>
              </w:rPr>
            </w:pPr>
            <w:r w:rsidRPr="006B1A5A">
              <w:rPr>
                <w:color w:val="000000"/>
                <w:sz w:val="18"/>
                <w:szCs w:val="18"/>
              </w:rPr>
              <w:t>SINTEF Guidelines for efficacy testing of antifouling coatings for nets in field tests</w:t>
            </w:r>
          </w:p>
          <w:p w14:paraId="0BF2F297" w14:textId="77777777" w:rsidR="001042DA" w:rsidRPr="006B1A5A" w:rsidRDefault="001042DA" w:rsidP="00AF2AEA">
            <w:pPr>
              <w:rPr>
                <w:color w:val="000000"/>
                <w:sz w:val="18"/>
                <w:szCs w:val="18"/>
              </w:rPr>
            </w:pPr>
            <w:r w:rsidRPr="006B1A5A">
              <w:rPr>
                <w:color w:val="000000"/>
                <w:sz w:val="18"/>
                <w:szCs w:val="18"/>
              </w:rPr>
              <w:t>CEPE-method (antifouling coatings-methods for the generation of antifouling efficacy data)-for aquaculture nets developed by SINTEF Ocean on behalf of the Norwegian Environment Agency</w:t>
            </w:r>
          </w:p>
          <w:p w14:paraId="0251495A" w14:textId="77777777" w:rsidR="001042DA" w:rsidRPr="006B1A5A" w:rsidRDefault="001042DA" w:rsidP="00AF2AEA">
            <w:pPr>
              <w:rPr>
                <w:color w:val="000000"/>
                <w:sz w:val="18"/>
                <w:szCs w:val="18"/>
              </w:rPr>
            </w:pPr>
            <w:r w:rsidRPr="006B1A5A">
              <w:rPr>
                <w:color w:val="000000"/>
                <w:sz w:val="18"/>
                <w:szCs w:val="18"/>
              </w:rPr>
              <w:t>Internal procedures DOKID-1294561088-104</w:t>
            </w:r>
          </w:p>
          <w:p w14:paraId="0377A18B" w14:textId="77777777" w:rsidR="001042DA" w:rsidRPr="006B1A5A" w:rsidRDefault="001042DA" w:rsidP="00AF2AEA">
            <w:pPr>
              <w:rPr>
                <w:color w:val="000000"/>
                <w:sz w:val="18"/>
                <w:szCs w:val="18"/>
              </w:rPr>
            </w:pPr>
            <w:r w:rsidRPr="006B1A5A">
              <w:rPr>
                <w:color w:val="000000"/>
                <w:sz w:val="18"/>
                <w:szCs w:val="18"/>
              </w:rPr>
              <w:t xml:space="preserve">Internal procedures: DOKID-1294561088-103  </w:t>
            </w:r>
          </w:p>
          <w:p w14:paraId="1F7D0C8B" w14:textId="77777777" w:rsidR="001042DA" w:rsidRPr="006B1A5A" w:rsidRDefault="001042DA" w:rsidP="00AF2AEA">
            <w:pPr>
              <w:rPr>
                <w:color w:val="000000"/>
                <w:sz w:val="18"/>
                <w:szCs w:val="18"/>
              </w:rPr>
            </w:pPr>
          </w:p>
        </w:tc>
        <w:tc>
          <w:tcPr>
            <w:tcW w:w="1016" w:type="pct"/>
            <w:tcBorders>
              <w:top w:val="single" w:sz="6" w:space="0" w:color="auto"/>
              <w:left w:val="single" w:sz="6" w:space="0" w:color="auto"/>
              <w:bottom w:val="single" w:sz="6" w:space="0" w:color="auto"/>
              <w:right w:val="single" w:sz="6" w:space="0" w:color="auto"/>
            </w:tcBorders>
          </w:tcPr>
          <w:p w14:paraId="1B570010" w14:textId="77777777" w:rsidR="001042DA" w:rsidRPr="006B1A5A" w:rsidRDefault="001042DA" w:rsidP="00AF2AEA">
            <w:pPr>
              <w:rPr>
                <w:color w:val="000000"/>
                <w:sz w:val="18"/>
                <w:szCs w:val="18"/>
              </w:rPr>
            </w:pPr>
            <w:r w:rsidRPr="006B1A5A">
              <w:rPr>
                <w:color w:val="000000"/>
                <w:sz w:val="18"/>
                <w:szCs w:val="18"/>
              </w:rPr>
              <w:t>Seawater column located in South-West Norway at 80 m depth from April 2018 to November 2018, 1 meter from high production cages where fouling pressure is greater than surrounding areas. Test units comprised of nets on stainless steel cages treated with test substance (6 replicates) or control (7 replicates)</w:t>
            </w:r>
          </w:p>
        </w:tc>
        <w:tc>
          <w:tcPr>
            <w:tcW w:w="937" w:type="pct"/>
            <w:tcBorders>
              <w:top w:val="single" w:sz="6" w:space="0" w:color="auto"/>
              <w:left w:val="single" w:sz="6" w:space="0" w:color="auto"/>
              <w:bottom w:val="single" w:sz="6" w:space="0" w:color="auto"/>
              <w:right w:val="single" w:sz="6" w:space="0" w:color="auto"/>
            </w:tcBorders>
          </w:tcPr>
          <w:p w14:paraId="73AA2CA8" w14:textId="77777777" w:rsidR="001042DA" w:rsidRPr="006B1A5A" w:rsidRDefault="001042DA" w:rsidP="00AF2AEA">
            <w:pPr>
              <w:rPr>
                <w:color w:val="000000"/>
                <w:sz w:val="18"/>
                <w:szCs w:val="18"/>
              </w:rPr>
            </w:pPr>
          </w:p>
          <w:p w14:paraId="62800C1F" w14:textId="77777777" w:rsidR="001042DA" w:rsidRPr="006B1A5A" w:rsidRDefault="001042DA" w:rsidP="00AF2AEA">
            <w:pPr>
              <w:rPr>
                <w:color w:val="000000"/>
                <w:sz w:val="18"/>
                <w:szCs w:val="18"/>
              </w:rPr>
            </w:pPr>
            <w:r w:rsidRPr="006B1A5A">
              <w:rPr>
                <w:color w:val="000000"/>
                <w:sz w:val="18"/>
                <w:szCs w:val="18"/>
              </w:rPr>
              <w:t>Active protection time: 14 weeks</w:t>
            </w:r>
          </w:p>
          <w:p w14:paraId="655DF6D2" w14:textId="77777777" w:rsidR="001042DA" w:rsidRPr="006B1A5A" w:rsidRDefault="001042DA" w:rsidP="00AF2AEA">
            <w:pPr>
              <w:rPr>
                <w:color w:val="000000"/>
                <w:sz w:val="18"/>
                <w:szCs w:val="18"/>
              </w:rPr>
            </w:pPr>
          </w:p>
          <w:p w14:paraId="60D2D644" w14:textId="77777777" w:rsidR="001042DA" w:rsidRPr="006B1A5A" w:rsidRDefault="001042DA" w:rsidP="00AF2AEA">
            <w:pPr>
              <w:rPr>
                <w:color w:val="000000"/>
                <w:sz w:val="18"/>
                <w:szCs w:val="18"/>
              </w:rPr>
            </w:pPr>
            <w:r w:rsidRPr="006B1A5A">
              <w:rPr>
                <w:color w:val="000000"/>
                <w:sz w:val="18"/>
                <w:szCs w:val="18"/>
              </w:rPr>
              <w:t>Reliability 2</w:t>
            </w:r>
          </w:p>
        </w:tc>
        <w:tc>
          <w:tcPr>
            <w:tcW w:w="861" w:type="pct"/>
            <w:tcBorders>
              <w:top w:val="single" w:sz="6" w:space="0" w:color="auto"/>
              <w:left w:val="single" w:sz="6" w:space="0" w:color="auto"/>
              <w:bottom w:val="single" w:sz="6" w:space="0" w:color="auto"/>
              <w:right w:val="single" w:sz="4" w:space="0" w:color="auto"/>
            </w:tcBorders>
          </w:tcPr>
          <w:p w14:paraId="1372D1D6" w14:textId="77777777" w:rsidR="001042DA" w:rsidRPr="006B1A5A" w:rsidRDefault="001042DA" w:rsidP="00AF2AEA">
            <w:pPr>
              <w:rPr>
                <w:color w:val="000000"/>
                <w:sz w:val="18"/>
                <w:szCs w:val="18"/>
              </w:rPr>
            </w:pPr>
            <w:r w:rsidRPr="006B1A5A">
              <w:rPr>
                <w:color w:val="000000"/>
                <w:sz w:val="18"/>
                <w:szCs w:val="18"/>
              </w:rPr>
              <w:t>Hope, B (2018)</w:t>
            </w:r>
          </w:p>
        </w:tc>
      </w:tr>
    </w:tbl>
    <w:p w14:paraId="19D2EB75" w14:textId="77777777" w:rsidR="001042DA" w:rsidRPr="006B1A5A" w:rsidRDefault="001042DA" w:rsidP="001042DA">
      <w:pPr>
        <w:spacing w:line="260" w:lineRule="atLeast"/>
        <w:rPr>
          <w:rFonts w:ascii="Times New Roman" w:eastAsia="Calibri" w:hAnsi="Times New Roman"/>
          <w:i/>
          <w:iCs/>
          <w:lang w:eastAsia="en-US"/>
        </w:rPr>
      </w:pPr>
    </w:p>
    <w:p w14:paraId="4B9F9775" w14:textId="77777777" w:rsidR="001042DA" w:rsidRPr="006B1A5A" w:rsidRDefault="001042DA" w:rsidP="001042DA">
      <w:pPr>
        <w:spacing w:line="260" w:lineRule="atLeast"/>
        <w:rPr>
          <w:rFonts w:ascii="Times New Roman" w:eastAsia="Calibri" w:hAnsi="Times New Roman"/>
          <w:i/>
          <w:iCs/>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1"/>
      </w:tblGrid>
      <w:tr w:rsidR="001042DA" w:rsidRPr="006B1A5A" w14:paraId="54E81A16" w14:textId="77777777" w:rsidTr="00AF2AEA">
        <w:tc>
          <w:tcPr>
            <w:tcW w:w="5000" w:type="pct"/>
            <w:tcBorders>
              <w:top w:val="single" w:sz="4" w:space="0" w:color="auto"/>
              <w:left w:val="single" w:sz="4" w:space="0" w:color="auto"/>
              <w:bottom w:val="single" w:sz="6" w:space="0" w:color="auto"/>
              <w:right w:val="single" w:sz="6" w:space="0" w:color="auto"/>
            </w:tcBorders>
            <w:shd w:val="clear" w:color="auto" w:fill="CCFFCC"/>
          </w:tcPr>
          <w:p w14:paraId="448246EF" w14:textId="77777777" w:rsidR="001042DA" w:rsidRPr="006B1A5A" w:rsidRDefault="001042DA" w:rsidP="00AF2AEA">
            <w:pPr>
              <w:spacing w:line="260" w:lineRule="atLeast"/>
              <w:rPr>
                <w:rFonts w:eastAsia="Calibri"/>
                <w:b/>
                <w:bCs/>
                <w:lang w:eastAsia="en-US"/>
              </w:rPr>
            </w:pPr>
            <w:r w:rsidRPr="006B1A5A">
              <w:rPr>
                <w:rFonts w:eastAsia="Calibri"/>
                <w:b/>
                <w:bCs/>
                <w:lang w:eastAsia="en-US"/>
              </w:rPr>
              <w:t>Conclusion on the efficacy of the product</w:t>
            </w:r>
          </w:p>
        </w:tc>
      </w:tr>
      <w:tr w:rsidR="001042DA" w:rsidRPr="006B1A5A" w14:paraId="7C16A99A" w14:textId="77777777" w:rsidTr="00AF2AEA">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673DA0F8" w14:textId="77777777" w:rsidR="001042DA" w:rsidRPr="006B1A5A" w:rsidRDefault="001042DA" w:rsidP="00AF2AEA">
            <w:pPr>
              <w:spacing w:line="260" w:lineRule="atLeast"/>
              <w:rPr>
                <w:rFonts w:eastAsia="Calibri"/>
                <w:lang w:eastAsia="en-US"/>
              </w:rPr>
            </w:pPr>
          </w:p>
          <w:p w14:paraId="42554846" w14:textId="75385BC1" w:rsidR="001042DA" w:rsidRPr="006B1A5A" w:rsidRDefault="001042DA" w:rsidP="00AF2AEA">
            <w:pPr>
              <w:spacing w:line="260" w:lineRule="atLeast"/>
              <w:rPr>
                <w:rFonts w:eastAsia="Calibri"/>
                <w:lang w:eastAsia="en-US"/>
              </w:rPr>
            </w:pPr>
            <w:r w:rsidRPr="006B1A5A">
              <w:rPr>
                <w:rFonts w:eastAsia="Calibri"/>
                <w:lang w:eastAsia="en-US"/>
              </w:rPr>
              <w:t xml:space="preserve">Please observe that </w:t>
            </w:r>
            <w:r w:rsidR="0045103C">
              <w:rPr>
                <w:rFonts w:eastAsia="Calibri"/>
                <w:lang w:eastAsia="en-US"/>
              </w:rPr>
              <w:t xml:space="preserve">only </w:t>
            </w:r>
            <w:r w:rsidRPr="006B1A5A">
              <w:rPr>
                <w:rFonts w:eastAsia="Calibri"/>
                <w:lang w:eastAsia="en-US"/>
              </w:rPr>
              <w:t>the efficacy studies performed in 2018 has been evaluated by the rMS and the fouling levels assigned a rank according to the SINTEF document.</w:t>
            </w:r>
          </w:p>
          <w:p w14:paraId="5CC27AC6" w14:textId="77777777" w:rsidR="001042DA" w:rsidRPr="006B1A5A" w:rsidRDefault="001042DA" w:rsidP="00AF2AEA">
            <w:pPr>
              <w:spacing w:line="260" w:lineRule="atLeast"/>
              <w:rPr>
                <w:rFonts w:eastAsia="Calibri"/>
                <w:lang w:eastAsia="en-US"/>
              </w:rPr>
            </w:pPr>
          </w:p>
          <w:p w14:paraId="2BECD380" w14:textId="77777777" w:rsidR="001042DA" w:rsidRPr="006B1A5A" w:rsidRDefault="001042DA" w:rsidP="00AF2AEA">
            <w:pPr>
              <w:spacing w:line="260" w:lineRule="atLeast"/>
              <w:rPr>
                <w:rFonts w:eastAsia="Calibri"/>
                <w:lang w:eastAsia="en-US"/>
              </w:rPr>
            </w:pPr>
            <w:r w:rsidRPr="006B1A5A">
              <w:rPr>
                <w:rFonts w:eastAsia="Calibri"/>
                <w:lang w:eastAsia="en-US"/>
              </w:rPr>
              <w:t xml:space="preserve">The efficacy studies performed in 2017 could not be evaluated by the rMS. These tests were evaluated and scored by the applicant according to their own internal procedure. As the applicant has used the term "score" in their assessment of the 2017 studies, this term has been kept in the description of the studies.   </w:t>
            </w:r>
          </w:p>
          <w:p w14:paraId="377A999C" w14:textId="3CFF7E86" w:rsidR="001042DA" w:rsidRPr="006B1A5A" w:rsidRDefault="001042DA" w:rsidP="00AF2AEA">
            <w:pPr>
              <w:spacing w:line="260" w:lineRule="atLeast"/>
              <w:rPr>
                <w:rFonts w:eastAsia="Calibri"/>
                <w:lang w:eastAsia="en-US"/>
              </w:rPr>
            </w:pPr>
            <w:r w:rsidRPr="006B1A5A">
              <w:rPr>
                <w:rFonts w:eastAsia="Calibri"/>
                <w:lang w:eastAsia="en-US"/>
              </w:rPr>
              <w:t>The referred scores do not correlate directly to the ranks given in the SINTEF document.</w:t>
            </w:r>
            <w:r w:rsidR="0045103C">
              <w:rPr>
                <w:rFonts w:eastAsia="Calibri"/>
                <w:lang w:eastAsia="en-US"/>
              </w:rPr>
              <w:t xml:space="preserve"> Please see the SINTEF document and the study reports for further information.</w:t>
            </w:r>
          </w:p>
          <w:p w14:paraId="7563D3C7" w14:textId="59D6014F" w:rsidR="001042DA" w:rsidRDefault="001042DA" w:rsidP="00AF2AEA">
            <w:pPr>
              <w:spacing w:line="260" w:lineRule="atLeast"/>
              <w:rPr>
                <w:rFonts w:eastAsia="Calibri"/>
                <w:lang w:eastAsia="en-US"/>
              </w:rPr>
            </w:pPr>
          </w:p>
          <w:p w14:paraId="01FD16FC" w14:textId="77777777" w:rsidR="004E362E" w:rsidRPr="006B1A5A" w:rsidRDefault="004E362E" w:rsidP="00AF2AEA">
            <w:pPr>
              <w:spacing w:line="260" w:lineRule="atLeast"/>
              <w:rPr>
                <w:rFonts w:eastAsia="Calibri"/>
                <w:lang w:eastAsia="en-US"/>
              </w:rPr>
            </w:pPr>
          </w:p>
          <w:p w14:paraId="11C07EE5" w14:textId="77777777" w:rsidR="001042DA" w:rsidRPr="006B1A5A" w:rsidRDefault="001042DA" w:rsidP="00AF2AEA">
            <w:pPr>
              <w:spacing w:line="260" w:lineRule="atLeast"/>
              <w:jc w:val="both"/>
              <w:rPr>
                <w:rFonts w:eastAsia="Calibri"/>
                <w:b/>
                <w:sz w:val="22"/>
                <w:lang w:eastAsia="en-US"/>
              </w:rPr>
            </w:pPr>
            <w:r w:rsidRPr="006B1A5A">
              <w:rPr>
                <w:rFonts w:eastAsia="Calibri"/>
                <w:b/>
                <w:sz w:val="22"/>
                <w:lang w:eastAsia="en-US"/>
              </w:rPr>
              <w:t>AquaNet LG 360:</w:t>
            </w:r>
          </w:p>
          <w:p w14:paraId="20D0C593" w14:textId="77777777" w:rsidR="001042DA" w:rsidRPr="006B1A5A" w:rsidRDefault="001042DA" w:rsidP="00AF2AEA">
            <w:pPr>
              <w:spacing w:line="260" w:lineRule="atLeast"/>
              <w:jc w:val="both"/>
              <w:rPr>
                <w:rFonts w:eastAsia="Calibri"/>
                <w:lang w:eastAsia="en-US"/>
              </w:rPr>
            </w:pPr>
          </w:p>
          <w:p w14:paraId="04385C97" w14:textId="77777777" w:rsidR="001042DA" w:rsidRPr="006B1A5A" w:rsidRDefault="001042DA" w:rsidP="00AF2AEA">
            <w:pPr>
              <w:spacing w:line="260" w:lineRule="atLeast"/>
              <w:jc w:val="both"/>
              <w:rPr>
                <w:rFonts w:eastAsia="Calibri"/>
                <w:b/>
                <w:lang w:eastAsia="en-US"/>
              </w:rPr>
            </w:pPr>
            <w:r w:rsidRPr="006B1A5A">
              <w:rPr>
                <w:rFonts w:eastAsia="Calibri"/>
                <w:b/>
                <w:lang w:eastAsia="en-US"/>
              </w:rPr>
              <w:t>Norwegian south-western coast, April to November 2018</w:t>
            </w:r>
          </w:p>
          <w:p w14:paraId="0144CB93" w14:textId="77777777" w:rsidR="001042DA" w:rsidRPr="006B1A5A" w:rsidRDefault="001042DA" w:rsidP="00AF2AEA">
            <w:pPr>
              <w:spacing w:line="260" w:lineRule="atLeast"/>
              <w:jc w:val="both"/>
              <w:rPr>
                <w:rFonts w:eastAsia="Calibri"/>
                <w:lang w:eastAsia="en-US"/>
              </w:rPr>
            </w:pPr>
          </w:p>
          <w:p w14:paraId="47427B27" w14:textId="77777777" w:rsidR="001042DA" w:rsidRPr="006B1A5A" w:rsidRDefault="001042DA" w:rsidP="00AF2AEA">
            <w:pPr>
              <w:spacing w:line="260" w:lineRule="atLeast"/>
              <w:jc w:val="both"/>
              <w:rPr>
                <w:rFonts w:eastAsia="Calibri"/>
                <w:lang w:eastAsia="en-US"/>
              </w:rPr>
            </w:pPr>
            <w:r w:rsidRPr="006B1A5A">
              <w:rPr>
                <w:rFonts w:eastAsia="Calibri"/>
                <w:lang w:eastAsia="en-US"/>
              </w:rPr>
              <w:t>In the efficacy test performed on AquaNet LG 360 on the Norwegian south-western coast in 2018 (Hope, B.; 2018), the product showed good protection up to, and including, the sampling date at 98 days (14 weeks) in the sea. At the next sampling point at 134 days (19 weeks), the samples had accumulated a significant amount of fouling organisms (Hydroids and skeleton shrimp were most abundant). The rMS has evaluated these samples to a rank score of 5 (equal to &gt; 80 % biofouling cover), which is regarded as an unacceptable fouling level and a clear indication that the antifouling protection has decreased to a level where it no longer provides sufficient protection against fouling.</w:t>
            </w:r>
          </w:p>
          <w:p w14:paraId="5C7B5C36" w14:textId="5CEA9775" w:rsidR="001042DA" w:rsidRPr="006B1A5A" w:rsidRDefault="001042DA" w:rsidP="00AF2AEA">
            <w:pPr>
              <w:spacing w:line="260" w:lineRule="atLeast"/>
              <w:jc w:val="both"/>
              <w:rPr>
                <w:rFonts w:eastAsia="Calibri"/>
                <w:lang w:eastAsia="en-US"/>
              </w:rPr>
            </w:pPr>
            <w:r w:rsidRPr="006B1A5A">
              <w:rPr>
                <w:rFonts w:eastAsia="Calibri"/>
                <w:lang w:eastAsia="en-US"/>
              </w:rPr>
              <w:t>At sampling day 176 (25 weeks), the samples had lost much of the attached fouling organisms.</w:t>
            </w:r>
            <w:r w:rsidR="003351BA">
              <w:rPr>
                <w:rFonts w:eastAsia="Calibri"/>
                <w:lang w:eastAsia="en-US"/>
              </w:rPr>
              <w:t xml:space="preserve"> No explanation to this shredding event was presented.</w:t>
            </w:r>
            <w:r w:rsidRPr="006B1A5A">
              <w:rPr>
                <w:rFonts w:eastAsia="Calibri"/>
                <w:lang w:eastAsia="en-US"/>
              </w:rPr>
              <w:t xml:space="preserve"> It is noted by the applicant that new settlement of hydroids was observed and that some skeleton shrimp was seen. We can, however, not with certainty relate this observed loss of fouling to be caused by a biocidal effect and not by an external factor such as heavy weather, as also the control sample had lost much of its fouling load at this sampling time. It is, nevertheless, possible that the antifouling coat causes the fouling organisms to fall off easier than from the control samples when the net is agitated. The samples were evaluated by the rMS to a rank of 3. The active re-colonisation by hydroids at this time point, is, nevertheless, taken as evidence that the efficacy of the antifouling coat is no longer sufficiently effective. </w:t>
            </w:r>
          </w:p>
          <w:p w14:paraId="038D6F25" w14:textId="5B223A2E" w:rsidR="001042DA" w:rsidRPr="006B1A5A" w:rsidRDefault="001042DA" w:rsidP="00AF2AEA">
            <w:pPr>
              <w:spacing w:line="260" w:lineRule="atLeast"/>
              <w:jc w:val="both"/>
              <w:rPr>
                <w:rFonts w:eastAsia="Calibri"/>
                <w:lang w:eastAsia="en-US"/>
              </w:rPr>
            </w:pPr>
            <w:r w:rsidRPr="006B1A5A">
              <w:rPr>
                <w:rFonts w:eastAsia="Calibri"/>
                <w:lang w:eastAsia="en-US"/>
              </w:rPr>
              <w:t>At the last sampling day 231 (33 weeks), (Heavy fouling &gt;80%) was observed</w:t>
            </w:r>
            <w:r w:rsidR="003351BA" w:rsidRPr="006B1A5A">
              <w:rPr>
                <w:rFonts w:eastAsia="Calibri"/>
                <w:lang w:eastAsia="en-US"/>
              </w:rPr>
              <w:t xml:space="preserve"> </w:t>
            </w:r>
            <w:r w:rsidR="003351BA">
              <w:rPr>
                <w:rFonts w:eastAsia="Calibri"/>
                <w:lang w:eastAsia="en-US"/>
              </w:rPr>
              <w:t xml:space="preserve">and these samples were assigned </w:t>
            </w:r>
            <w:r w:rsidR="003351BA" w:rsidRPr="006B1A5A">
              <w:rPr>
                <w:rFonts w:eastAsia="Calibri"/>
                <w:lang w:eastAsia="en-US"/>
              </w:rPr>
              <w:t xml:space="preserve">a </w:t>
            </w:r>
            <w:r w:rsidR="003351BA" w:rsidRPr="003351BA">
              <w:rPr>
                <w:rFonts w:eastAsia="Calibri"/>
                <w:lang w:eastAsia="en-US"/>
              </w:rPr>
              <w:t xml:space="preserve">rank </w:t>
            </w:r>
            <w:r w:rsidR="003351BA" w:rsidRPr="006B1A5A">
              <w:rPr>
                <w:rFonts w:eastAsia="Calibri"/>
                <w:lang w:eastAsia="en-US"/>
              </w:rPr>
              <w:t>of 5</w:t>
            </w:r>
            <w:r w:rsidRPr="006B1A5A">
              <w:rPr>
                <w:rFonts w:eastAsia="Calibri"/>
                <w:lang w:eastAsia="en-US"/>
              </w:rPr>
              <w:t>.</w:t>
            </w:r>
          </w:p>
          <w:p w14:paraId="63ED84A7" w14:textId="65676882" w:rsidR="001042DA" w:rsidRDefault="001042DA" w:rsidP="00AF2AEA">
            <w:pPr>
              <w:spacing w:line="260" w:lineRule="atLeast"/>
              <w:jc w:val="both"/>
              <w:rPr>
                <w:rFonts w:eastAsia="Calibri"/>
                <w:lang w:eastAsia="en-US"/>
              </w:rPr>
            </w:pPr>
          </w:p>
          <w:p w14:paraId="4B212E73" w14:textId="77777777" w:rsidR="004E362E" w:rsidRPr="006B1A5A" w:rsidRDefault="004E362E" w:rsidP="00AF2AEA">
            <w:pPr>
              <w:spacing w:line="260" w:lineRule="atLeast"/>
              <w:jc w:val="both"/>
              <w:rPr>
                <w:rFonts w:eastAsia="Calibri"/>
                <w:lang w:eastAsia="en-US"/>
              </w:rPr>
            </w:pPr>
          </w:p>
          <w:p w14:paraId="2A06ECEF" w14:textId="77777777" w:rsidR="001042DA" w:rsidRPr="006B1A5A" w:rsidRDefault="001042DA" w:rsidP="00AF2AEA">
            <w:pPr>
              <w:spacing w:line="260" w:lineRule="atLeast"/>
              <w:rPr>
                <w:rFonts w:eastAsia="Calibri"/>
                <w:b/>
                <w:u w:val="single"/>
                <w:lang w:eastAsia="en-US"/>
              </w:rPr>
            </w:pPr>
            <w:r w:rsidRPr="006B1A5A">
              <w:rPr>
                <w:rFonts w:eastAsia="Calibri"/>
                <w:b/>
                <w:u w:val="single"/>
                <w:lang w:eastAsia="en-US"/>
              </w:rPr>
              <w:t>Horgefjorden on the Norwegian south-western coast, April to November 2017:</w:t>
            </w:r>
          </w:p>
          <w:p w14:paraId="66BC66BC" w14:textId="77777777" w:rsidR="001042DA" w:rsidRPr="006B1A5A" w:rsidRDefault="001042DA" w:rsidP="00AF2AEA">
            <w:pPr>
              <w:spacing w:line="260" w:lineRule="atLeast"/>
              <w:jc w:val="both"/>
              <w:rPr>
                <w:rFonts w:eastAsia="Calibri"/>
                <w:lang w:eastAsia="en-US"/>
              </w:rPr>
            </w:pPr>
          </w:p>
          <w:p w14:paraId="64BE394C" w14:textId="77777777" w:rsidR="001042DA" w:rsidRPr="006B1A5A" w:rsidRDefault="001042DA" w:rsidP="00AF2AEA">
            <w:pPr>
              <w:spacing w:line="260" w:lineRule="atLeast"/>
              <w:jc w:val="both"/>
              <w:rPr>
                <w:rFonts w:eastAsia="Calibri"/>
                <w:lang w:eastAsia="en-US"/>
              </w:rPr>
            </w:pPr>
            <w:r w:rsidRPr="006B1A5A">
              <w:rPr>
                <w:rFonts w:eastAsia="Calibri"/>
                <w:lang w:eastAsia="en-US"/>
              </w:rPr>
              <w:t xml:space="preserve">In the 2017 test performed with AquaNet LG 360 in Horgefjorden on the Norwegian south-western coast (Hope, B.; 2017), the results are comparable to the 2018 test. The test sample after 104 days was given a score of 4 by the applicant, while the next sample at 127 days was given a </w:t>
            </w:r>
            <w:r w:rsidRPr="003351BA">
              <w:rPr>
                <w:rFonts w:eastAsia="Calibri"/>
                <w:lang w:eastAsia="en-US"/>
              </w:rPr>
              <w:t>score</w:t>
            </w:r>
            <w:r w:rsidRPr="006B1A5A">
              <w:rPr>
                <w:rFonts w:eastAsia="Calibri"/>
                <w:lang w:eastAsia="en-US"/>
              </w:rPr>
              <w:t xml:space="preserve"> of 5. This is an indication that the efficacy of the coating after 104 days in the sea has decreased to a level where it no longer provides efficacious protection against fouling. </w:t>
            </w:r>
          </w:p>
          <w:p w14:paraId="70A9143D" w14:textId="62118E9C" w:rsidR="001042DA" w:rsidRPr="006B1A5A" w:rsidRDefault="001042DA" w:rsidP="00AF2AEA">
            <w:pPr>
              <w:spacing w:line="260" w:lineRule="atLeast"/>
              <w:jc w:val="both"/>
              <w:rPr>
                <w:rFonts w:eastAsia="Calibri"/>
                <w:lang w:eastAsia="en-US"/>
              </w:rPr>
            </w:pPr>
            <w:r w:rsidRPr="006B1A5A">
              <w:rPr>
                <w:rFonts w:eastAsia="Calibri"/>
                <w:lang w:eastAsia="en-US"/>
              </w:rPr>
              <w:t xml:space="preserve">The pictures submitted with this study are of too low </w:t>
            </w:r>
            <w:r w:rsidR="003351BA">
              <w:rPr>
                <w:rFonts w:eastAsia="Calibri"/>
                <w:lang w:eastAsia="en-US"/>
              </w:rPr>
              <w:t>quality</w:t>
            </w:r>
            <w:r w:rsidRPr="006B1A5A">
              <w:rPr>
                <w:rFonts w:eastAsia="Calibri"/>
                <w:lang w:eastAsia="en-US"/>
              </w:rPr>
              <w:t xml:space="preserve"> for the rMS to be able to perform an independent analysis of the observed fouling and the evaluation is by the applicant alone. The study is included </w:t>
            </w:r>
            <w:r w:rsidR="003351BA">
              <w:rPr>
                <w:rFonts w:eastAsia="Calibri"/>
                <w:lang w:eastAsia="en-US"/>
              </w:rPr>
              <w:t>to provide</w:t>
            </w:r>
            <w:r w:rsidRPr="006B1A5A">
              <w:rPr>
                <w:rFonts w:eastAsia="Calibri"/>
                <w:lang w:eastAsia="en-US"/>
              </w:rPr>
              <w:t xml:space="preserve"> supp</w:t>
            </w:r>
            <w:r w:rsidR="003351BA">
              <w:rPr>
                <w:rFonts w:eastAsia="Calibri"/>
                <w:lang w:eastAsia="en-US"/>
              </w:rPr>
              <w:t>lemental</w:t>
            </w:r>
            <w:r w:rsidRPr="006B1A5A">
              <w:rPr>
                <w:rFonts w:eastAsia="Calibri"/>
                <w:lang w:eastAsia="en-US"/>
              </w:rPr>
              <w:t xml:space="preserve"> information.</w:t>
            </w:r>
          </w:p>
          <w:p w14:paraId="217A5D20" w14:textId="52FFDFD9" w:rsidR="001042DA" w:rsidRDefault="001042DA" w:rsidP="00AF2AEA">
            <w:pPr>
              <w:spacing w:line="260" w:lineRule="atLeast"/>
              <w:jc w:val="both"/>
              <w:rPr>
                <w:rFonts w:eastAsia="Calibri"/>
                <w:lang w:eastAsia="en-US"/>
              </w:rPr>
            </w:pPr>
          </w:p>
          <w:p w14:paraId="3D3B5B27" w14:textId="77777777" w:rsidR="004E362E" w:rsidRPr="006B1A5A" w:rsidRDefault="004E362E" w:rsidP="00AF2AEA">
            <w:pPr>
              <w:spacing w:line="260" w:lineRule="atLeast"/>
              <w:jc w:val="both"/>
              <w:rPr>
                <w:rFonts w:eastAsia="Calibri"/>
                <w:lang w:eastAsia="en-US"/>
              </w:rPr>
            </w:pPr>
          </w:p>
          <w:p w14:paraId="0F20FB2B" w14:textId="3AEF9508" w:rsidR="001042DA" w:rsidRPr="006B1A5A" w:rsidRDefault="001042DA" w:rsidP="004E362E">
            <w:pPr>
              <w:spacing w:line="260" w:lineRule="atLeast"/>
              <w:jc w:val="both"/>
              <w:rPr>
                <w:rFonts w:eastAsia="Calibri"/>
                <w:lang w:eastAsia="en-US"/>
              </w:rPr>
            </w:pPr>
            <w:r w:rsidRPr="006B1A5A">
              <w:rPr>
                <w:rFonts w:eastAsia="Calibri"/>
                <w:b/>
                <w:u w:val="single"/>
                <w:lang w:eastAsia="en-US"/>
              </w:rPr>
              <w:t>Galaxidi, central Greece May to November 2017:</w:t>
            </w:r>
          </w:p>
          <w:p w14:paraId="486F0C7A" w14:textId="51765B1D" w:rsidR="001042DA" w:rsidRPr="006B1A5A" w:rsidRDefault="001042DA" w:rsidP="00AF2AEA">
            <w:pPr>
              <w:spacing w:line="260" w:lineRule="atLeast"/>
              <w:jc w:val="both"/>
              <w:rPr>
                <w:rFonts w:eastAsia="Calibri"/>
                <w:lang w:eastAsia="en-US"/>
              </w:rPr>
            </w:pPr>
            <w:r w:rsidRPr="006B1A5A">
              <w:rPr>
                <w:rFonts w:eastAsia="Calibri"/>
                <w:lang w:eastAsia="en-US"/>
              </w:rPr>
              <w:t>In the 2017 test performed on AquaNet LG 360 in Galaxidi in central Greece (Fagerlid, S.; 2017), the applicant has evaluated the samples to reach a score of 6</w:t>
            </w:r>
            <w:r w:rsidR="003351BA">
              <w:rPr>
                <w:rFonts w:eastAsia="Calibri"/>
                <w:lang w:eastAsia="en-US"/>
              </w:rPr>
              <w:t xml:space="preserve"> (&gt;90% biofouling cover)</w:t>
            </w:r>
            <w:r w:rsidRPr="006B1A5A">
              <w:rPr>
                <w:rFonts w:eastAsia="Calibri"/>
                <w:lang w:eastAsia="en-US"/>
              </w:rPr>
              <w:t xml:space="preserve"> after 125 days in the sea. The sample analysed after 111 days was given a score of 4</w:t>
            </w:r>
            <w:r w:rsidR="003351BA">
              <w:rPr>
                <w:rFonts w:eastAsia="Calibri"/>
                <w:lang w:eastAsia="en-US"/>
              </w:rPr>
              <w:t xml:space="preserve"> (35-64% biofouling cover)</w:t>
            </w:r>
            <w:r w:rsidRPr="006B1A5A">
              <w:rPr>
                <w:rFonts w:eastAsia="Calibri"/>
                <w:lang w:eastAsia="en-US"/>
              </w:rPr>
              <w:t xml:space="preserve">. </w:t>
            </w:r>
          </w:p>
          <w:p w14:paraId="673E82A7" w14:textId="77777777" w:rsidR="001042DA" w:rsidRPr="006B1A5A" w:rsidRDefault="001042DA" w:rsidP="00AF2AEA">
            <w:pPr>
              <w:spacing w:line="260" w:lineRule="atLeast"/>
              <w:jc w:val="both"/>
              <w:rPr>
                <w:rFonts w:eastAsia="Calibri"/>
                <w:lang w:eastAsia="en-US"/>
              </w:rPr>
            </w:pPr>
          </w:p>
          <w:p w14:paraId="642734CE" w14:textId="5E95F38A" w:rsidR="001042DA" w:rsidRPr="006B1A5A" w:rsidRDefault="001042DA" w:rsidP="00AF2AEA">
            <w:pPr>
              <w:spacing w:line="260" w:lineRule="atLeast"/>
              <w:jc w:val="both"/>
              <w:rPr>
                <w:rFonts w:eastAsia="Calibri"/>
                <w:lang w:eastAsia="en-US"/>
              </w:rPr>
            </w:pPr>
            <w:r w:rsidRPr="006B1A5A">
              <w:rPr>
                <w:rFonts w:eastAsia="Calibri"/>
                <w:lang w:eastAsia="en-US"/>
              </w:rPr>
              <w:t xml:space="preserve">The pictures submitted with this study </w:t>
            </w:r>
            <w:r w:rsidR="003351BA">
              <w:rPr>
                <w:rFonts w:eastAsia="Calibri"/>
                <w:lang w:eastAsia="en-US"/>
              </w:rPr>
              <w:t>were</w:t>
            </w:r>
            <w:r w:rsidRPr="006B1A5A">
              <w:rPr>
                <w:rFonts w:eastAsia="Calibri"/>
                <w:lang w:eastAsia="en-US"/>
              </w:rPr>
              <w:t xml:space="preserve"> of </w:t>
            </w:r>
            <w:r w:rsidR="003351BA">
              <w:rPr>
                <w:rFonts w:eastAsia="Calibri"/>
                <w:lang w:eastAsia="en-US"/>
              </w:rPr>
              <w:t>too</w:t>
            </w:r>
            <w:r w:rsidRPr="006B1A5A">
              <w:rPr>
                <w:rFonts w:eastAsia="Calibri"/>
                <w:lang w:eastAsia="en-US"/>
              </w:rPr>
              <w:t xml:space="preserve"> low quality for the rMS to be able to perform an independent assessment. Much of the visible fouling is described as being algae, which are not sessile organisms and are not regarded as part of the fouling community. The rMS could not evaluate the correctness of this information, nor the scores given by the applicant. The study is included to provide supportive information.</w:t>
            </w:r>
          </w:p>
          <w:p w14:paraId="4F21B181" w14:textId="77777777" w:rsidR="001042DA" w:rsidRPr="006B1A5A" w:rsidRDefault="001042DA" w:rsidP="00AF2AEA">
            <w:pPr>
              <w:spacing w:line="260" w:lineRule="atLeast"/>
              <w:jc w:val="both"/>
              <w:rPr>
                <w:rFonts w:eastAsia="Calibri"/>
                <w:lang w:eastAsia="en-US"/>
              </w:rPr>
            </w:pPr>
          </w:p>
          <w:p w14:paraId="5AA38691" w14:textId="77777777" w:rsidR="001042DA" w:rsidRPr="006B1A5A" w:rsidRDefault="001042DA" w:rsidP="00AF2AEA">
            <w:pPr>
              <w:spacing w:line="260" w:lineRule="atLeast"/>
              <w:jc w:val="both"/>
              <w:rPr>
                <w:rFonts w:eastAsia="Calibri"/>
                <w:lang w:eastAsia="en-US"/>
              </w:rPr>
            </w:pPr>
          </w:p>
          <w:p w14:paraId="4E6E474F" w14:textId="2924C069" w:rsidR="001042DA" w:rsidRDefault="001042DA" w:rsidP="00AF2AEA">
            <w:pPr>
              <w:spacing w:line="260" w:lineRule="atLeast"/>
              <w:jc w:val="both"/>
              <w:rPr>
                <w:rFonts w:eastAsia="Calibri"/>
                <w:b/>
                <w:lang w:eastAsia="en-US"/>
              </w:rPr>
            </w:pPr>
            <w:r w:rsidRPr="004E362E">
              <w:rPr>
                <w:rFonts w:eastAsia="Calibri"/>
                <w:b/>
                <w:lang w:eastAsia="en-US"/>
              </w:rPr>
              <w:t>Conclusion:</w:t>
            </w:r>
          </w:p>
          <w:p w14:paraId="01F63C70" w14:textId="77777777" w:rsidR="004E362E" w:rsidRPr="004E362E" w:rsidRDefault="004E362E" w:rsidP="00AF2AEA">
            <w:pPr>
              <w:spacing w:line="260" w:lineRule="atLeast"/>
              <w:jc w:val="both"/>
              <w:rPr>
                <w:rFonts w:eastAsia="Calibri"/>
                <w:b/>
                <w:lang w:eastAsia="en-US"/>
              </w:rPr>
            </w:pPr>
          </w:p>
          <w:p w14:paraId="77B28B58" w14:textId="77777777" w:rsidR="001042DA" w:rsidRPr="006B1A5A" w:rsidRDefault="001042DA" w:rsidP="00AF2AEA">
            <w:pPr>
              <w:spacing w:line="260" w:lineRule="atLeast"/>
              <w:jc w:val="both"/>
              <w:rPr>
                <w:rFonts w:eastAsia="Calibri"/>
                <w:lang w:eastAsia="en-US"/>
              </w:rPr>
            </w:pPr>
            <w:r w:rsidRPr="006B1A5A">
              <w:rPr>
                <w:rFonts w:eastAsia="Calibri"/>
                <w:lang w:eastAsia="en-US"/>
              </w:rPr>
              <w:t>The rMS concludes that the AquaNet LG360 product has proven an efficacy of 14 weeks in North Atlantic waters based on the submitted efficacy studies.</w:t>
            </w:r>
          </w:p>
          <w:p w14:paraId="1798B385" w14:textId="77777777" w:rsidR="001042DA" w:rsidRPr="006B1A5A" w:rsidRDefault="001042DA" w:rsidP="00AF2AEA">
            <w:pPr>
              <w:spacing w:line="260" w:lineRule="atLeast"/>
              <w:jc w:val="both"/>
              <w:rPr>
                <w:rFonts w:eastAsia="Calibri"/>
                <w:lang w:eastAsia="en-US"/>
              </w:rPr>
            </w:pPr>
          </w:p>
          <w:p w14:paraId="582BB53B" w14:textId="77777777" w:rsidR="001042DA" w:rsidRPr="006B1A5A" w:rsidRDefault="001042DA" w:rsidP="00AF2AEA">
            <w:pPr>
              <w:spacing w:line="260" w:lineRule="atLeast"/>
              <w:jc w:val="both"/>
              <w:rPr>
                <w:rFonts w:eastAsia="Calibri"/>
                <w:lang w:eastAsia="en-US"/>
              </w:rPr>
            </w:pPr>
            <w:r w:rsidRPr="006B1A5A">
              <w:rPr>
                <w:rFonts w:eastAsia="Calibri"/>
                <w:lang w:eastAsia="en-US"/>
              </w:rPr>
              <w:t>The rMS has not been able to perform an independent assessment of the efficacy test performed in Greek Mediterranean waters (Fagerlid, S.; 2017). According to the applicant's assessment, an efficacy of 16 weeks was demonstrated.</w:t>
            </w:r>
          </w:p>
          <w:p w14:paraId="1FD46FF4" w14:textId="77777777" w:rsidR="001042DA" w:rsidRPr="006B1A5A" w:rsidRDefault="001042DA" w:rsidP="00AF2AEA">
            <w:pPr>
              <w:spacing w:line="260" w:lineRule="atLeast"/>
              <w:jc w:val="both"/>
              <w:rPr>
                <w:rFonts w:eastAsia="Calibri"/>
                <w:lang w:eastAsia="en-US"/>
              </w:rPr>
            </w:pPr>
          </w:p>
          <w:p w14:paraId="33D79D1D" w14:textId="5E794251" w:rsidR="001042DA" w:rsidRDefault="001042DA" w:rsidP="00AF2AEA">
            <w:pPr>
              <w:spacing w:line="260" w:lineRule="atLeast"/>
              <w:jc w:val="both"/>
              <w:rPr>
                <w:rFonts w:eastAsia="Calibri"/>
                <w:lang w:eastAsia="en-US"/>
              </w:rPr>
            </w:pPr>
          </w:p>
          <w:p w14:paraId="6CF20F04" w14:textId="77777777" w:rsidR="004E362E" w:rsidRPr="006B1A5A" w:rsidRDefault="004E362E" w:rsidP="00AF2AEA">
            <w:pPr>
              <w:spacing w:line="260" w:lineRule="atLeast"/>
              <w:jc w:val="both"/>
              <w:rPr>
                <w:rFonts w:eastAsia="Calibri"/>
                <w:lang w:eastAsia="en-US"/>
              </w:rPr>
            </w:pPr>
          </w:p>
          <w:p w14:paraId="71B32139" w14:textId="77777777" w:rsidR="001042DA" w:rsidRPr="006B1A5A" w:rsidRDefault="001042DA" w:rsidP="00AF2AEA">
            <w:pPr>
              <w:spacing w:line="260" w:lineRule="atLeast"/>
              <w:jc w:val="both"/>
              <w:rPr>
                <w:rFonts w:eastAsia="Calibri"/>
                <w:b/>
                <w:sz w:val="22"/>
                <w:lang w:eastAsia="en-US"/>
              </w:rPr>
            </w:pPr>
            <w:r w:rsidRPr="006B1A5A">
              <w:rPr>
                <w:rFonts w:eastAsia="Calibri"/>
                <w:b/>
                <w:sz w:val="22"/>
                <w:lang w:eastAsia="en-US"/>
              </w:rPr>
              <w:t>AquaNet HG 360</w:t>
            </w:r>
          </w:p>
          <w:p w14:paraId="000E70B0" w14:textId="1D370B62" w:rsidR="001042DA" w:rsidRDefault="001042DA" w:rsidP="00AF2AEA">
            <w:pPr>
              <w:spacing w:line="260" w:lineRule="atLeast"/>
              <w:jc w:val="both"/>
              <w:rPr>
                <w:rFonts w:eastAsia="Calibri"/>
                <w:lang w:eastAsia="en-US"/>
              </w:rPr>
            </w:pPr>
          </w:p>
          <w:p w14:paraId="63BC7D0D" w14:textId="77777777" w:rsidR="004E362E" w:rsidRPr="006B1A5A" w:rsidRDefault="004E362E" w:rsidP="00AF2AEA">
            <w:pPr>
              <w:spacing w:line="260" w:lineRule="atLeast"/>
              <w:jc w:val="both"/>
              <w:rPr>
                <w:rFonts w:eastAsia="Calibri"/>
                <w:lang w:eastAsia="en-US"/>
              </w:rPr>
            </w:pPr>
          </w:p>
          <w:p w14:paraId="4505AF7B" w14:textId="77777777" w:rsidR="001042DA" w:rsidRPr="006B1A5A" w:rsidRDefault="001042DA" w:rsidP="00AF2AEA">
            <w:pPr>
              <w:spacing w:line="260" w:lineRule="atLeast"/>
              <w:jc w:val="both"/>
              <w:rPr>
                <w:rFonts w:eastAsia="Calibri"/>
                <w:b/>
                <w:lang w:eastAsia="en-US"/>
              </w:rPr>
            </w:pPr>
            <w:r w:rsidRPr="006B1A5A">
              <w:rPr>
                <w:rFonts w:eastAsia="Calibri"/>
                <w:b/>
                <w:lang w:eastAsia="en-US"/>
              </w:rPr>
              <w:t>Norwegian south-western coast, April to November 2018</w:t>
            </w:r>
          </w:p>
          <w:p w14:paraId="0629ED96" w14:textId="77777777" w:rsidR="001042DA" w:rsidRPr="006B1A5A" w:rsidRDefault="001042DA" w:rsidP="00AF2AEA">
            <w:pPr>
              <w:spacing w:line="260" w:lineRule="atLeast"/>
              <w:jc w:val="both"/>
              <w:rPr>
                <w:rFonts w:eastAsia="Calibri"/>
                <w:lang w:eastAsia="en-US"/>
              </w:rPr>
            </w:pPr>
          </w:p>
          <w:p w14:paraId="118C43D3" w14:textId="4713FC4A" w:rsidR="001042DA" w:rsidRPr="006B1A5A" w:rsidRDefault="001042DA" w:rsidP="00AF2AEA">
            <w:pPr>
              <w:spacing w:line="260" w:lineRule="atLeast"/>
              <w:jc w:val="both"/>
              <w:rPr>
                <w:rFonts w:eastAsia="Calibri"/>
                <w:lang w:eastAsia="en-US"/>
              </w:rPr>
            </w:pPr>
            <w:r w:rsidRPr="006B1A5A">
              <w:rPr>
                <w:rFonts w:eastAsia="Calibri"/>
                <w:lang w:eastAsia="en-US"/>
              </w:rPr>
              <w:t>In the efficacy test performed on AquaNet HG 360 in 2018 on the Norwegian south-western coast (Hope, B.; 2018), the product showed good protection up to, and including the sampling date after 98 days (14 weeks) in the sea.</w:t>
            </w:r>
            <w:r w:rsidR="00175791">
              <w:rPr>
                <w:rFonts w:eastAsia="Calibri"/>
                <w:lang w:eastAsia="en-US"/>
              </w:rPr>
              <w:t xml:space="preserve"> The 98 days samples were assigned a rank of 1 (&lt;20% biofouling cover).</w:t>
            </w:r>
            <w:r w:rsidRPr="006B1A5A">
              <w:rPr>
                <w:rFonts w:eastAsia="Calibri"/>
                <w:lang w:eastAsia="en-US"/>
              </w:rPr>
              <w:t xml:space="preserve"> At the next sampling point at 134 days, the sample</w:t>
            </w:r>
            <w:r w:rsidR="00175791">
              <w:rPr>
                <w:rFonts w:eastAsia="Calibri"/>
                <w:lang w:eastAsia="en-US"/>
              </w:rPr>
              <w:t>s</w:t>
            </w:r>
            <w:r w:rsidRPr="006B1A5A">
              <w:rPr>
                <w:rFonts w:eastAsia="Calibri"/>
                <w:lang w:eastAsia="en-US"/>
              </w:rPr>
              <w:t xml:space="preserve"> had accumulated a significant amount of fouling organisms (Hydroids and skeleton shrimp were most abundant). The rMS has assigned the </w:t>
            </w:r>
            <w:r w:rsidR="00175791" w:rsidRPr="006B1A5A">
              <w:rPr>
                <w:rFonts w:eastAsia="Calibri"/>
                <w:lang w:eastAsia="en-US"/>
              </w:rPr>
              <w:t>134-day</w:t>
            </w:r>
            <w:r w:rsidRPr="006B1A5A">
              <w:rPr>
                <w:rFonts w:eastAsia="Calibri"/>
                <w:lang w:eastAsia="en-US"/>
              </w:rPr>
              <w:t xml:space="preserve"> samples to a rank</w:t>
            </w:r>
            <w:r w:rsidR="00175791">
              <w:rPr>
                <w:rFonts w:eastAsia="Calibri"/>
                <w:lang w:eastAsia="en-US"/>
              </w:rPr>
              <w:t xml:space="preserve"> </w:t>
            </w:r>
            <w:r w:rsidRPr="006B1A5A">
              <w:rPr>
                <w:rFonts w:eastAsia="Calibri"/>
                <w:lang w:eastAsia="en-US"/>
              </w:rPr>
              <w:t xml:space="preserve">4 (60 – 80% biofouling cover). The increase in fouling observed between these two sampling points gives an indication that the coating at this point no longer was efficacious enough to withstand the fouling pressure. </w:t>
            </w:r>
          </w:p>
          <w:p w14:paraId="4D12AF32" w14:textId="40D09AA0" w:rsidR="001042DA" w:rsidRPr="006B1A5A" w:rsidRDefault="001042DA" w:rsidP="00AF2AEA">
            <w:pPr>
              <w:spacing w:line="260" w:lineRule="atLeast"/>
              <w:jc w:val="both"/>
              <w:rPr>
                <w:rFonts w:eastAsia="Calibri"/>
                <w:lang w:eastAsia="en-US"/>
              </w:rPr>
            </w:pPr>
            <w:r w:rsidRPr="006B1A5A">
              <w:rPr>
                <w:rFonts w:eastAsia="Calibri"/>
                <w:lang w:eastAsia="en-US"/>
              </w:rPr>
              <w:t xml:space="preserve">At sampling day 176 (25 weeks), the samples had lost much of the attached fouling organisms. </w:t>
            </w:r>
            <w:r w:rsidR="00175791">
              <w:rPr>
                <w:rFonts w:eastAsia="Calibri"/>
                <w:lang w:eastAsia="en-US"/>
              </w:rPr>
              <w:t xml:space="preserve">No explanation to this event was presented. </w:t>
            </w:r>
            <w:r w:rsidRPr="006B1A5A">
              <w:rPr>
                <w:rFonts w:eastAsia="Calibri"/>
                <w:lang w:eastAsia="en-US"/>
              </w:rPr>
              <w:t xml:space="preserve">It is noted by the applicant that new settlement of hydroids was observed and that some skeleton shrimp was seen. We can, however, not with certainty relate this observed loss of fouling to be caused by a biocidal effect and not by an external factor such as heavy weather, as also the control sample had lost much of its fouling load at this sampling time. It is, nevertheless, possible that the antifouling coat causes the fouling organisms to fall off easier than from the control samples when the net is agitated. The samples were evaluated by the rMS to a </w:t>
            </w:r>
            <w:r w:rsidRPr="00AF2AEA">
              <w:rPr>
                <w:rFonts w:eastAsia="Calibri"/>
                <w:lang w:eastAsia="en-US"/>
              </w:rPr>
              <w:t>rank</w:t>
            </w:r>
            <w:r w:rsidRPr="006B1A5A">
              <w:rPr>
                <w:rFonts w:eastAsia="Calibri"/>
                <w:lang w:eastAsia="en-US"/>
              </w:rPr>
              <w:t xml:space="preserve"> of 4 (60-80% biofouling cover). The active re-colonisation by a significant number of hydroids at this time point, is, nevertheless, taken as evidence that the efficacy of the antifouling coat is no longer sufficiently effective. </w:t>
            </w:r>
          </w:p>
          <w:p w14:paraId="60D7FE2F" w14:textId="77777777" w:rsidR="001042DA" w:rsidRPr="006B1A5A" w:rsidRDefault="001042DA" w:rsidP="00AF2AEA">
            <w:pPr>
              <w:spacing w:line="260" w:lineRule="atLeast"/>
              <w:jc w:val="both"/>
              <w:rPr>
                <w:rFonts w:eastAsia="Calibri"/>
                <w:lang w:eastAsia="en-US"/>
              </w:rPr>
            </w:pPr>
            <w:r w:rsidRPr="006B1A5A">
              <w:rPr>
                <w:rFonts w:eastAsia="Calibri"/>
                <w:lang w:eastAsia="en-US"/>
              </w:rPr>
              <w:t>At sampling day 231, the test samples were heavily fouled, and was evaluated to a rank 5 (&gt; 80% biofouling) by the rMS indicating that the coating no longer provides protection against biofouling.</w:t>
            </w:r>
          </w:p>
          <w:p w14:paraId="593F35ED" w14:textId="77777777" w:rsidR="001042DA" w:rsidRPr="006B1A5A" w:rsidRDefault="001042DA" w:rsidP="00AF2AEA">
            <w:pPr>
              <w:spacing w:line="260" w:lineRule="atLeast"/>
              <w:jc w:val="both"/>
              <w:rPr>
                <w:rFonts w:eastAsia="Calibri"/>
                <w:lang w:eastAsia="en-US"/>
              </w:rPr>
            </w:pPr>
          </w:p>
          <w:p w14:paraId="6904B1AB" w14:textId="77777777" w:rsidR="001042DA" w:rsidRPr="006B1A5A" w:rsidRDefault="001042DA" w:rsidP="00AF2AEA">
            <w:pPr>
              <w:spacing w:line="260" w:lineRule="atLeast"/>
              <w:jc w:val="both"/>
              <w:rPr>
                <w:rFonts w:eastAsia="Calibri"/>
                <w:lang w:eastAsia="en-US"/>
              </w:rPr>
            </w:pPr>
          </w:p>
          <w:p w14:paraId="7420CE86" w14:textId="77777777" w:rsidR="001042DA" w:rsidRPr="006B1A5A" w:rsidRDefault="001042DA" w:rsidP="00AF2AEA">
            <w:pPr>
              <w:spacing w:line="260" w:lineRule="atLeast"/>
              <w:jc w:val="both"/>
              <w:rPr>
                <w:rFonts w:eastAsia="Calibri"/>
                <w:lang w:eastAsia="en-US"/>
              </w:rPr>
            </w:pPr>
          </w:p>
          <w:p w14:paraId="299FEFFB" w14:textId="77777777" w:rsidR="001042DA" w:rsidRPr="006B1A5A" w:rsidRDefault="001042DA" w:rsidP="00AF2AEA">
            <w:pPr>
              <w:spacing w:line="260" w:lineRule="atLeast"/>
              <w:rPr>
                <w:rFonts w:eastAsia="Calibri"/>
                <w:b/>
                <w:u w:val="single"/>
                <w:lang w:eastAsia="en-US"/>
              </w:rPr>
            </w:pPr>
            <w:r w:rsidRPr="006B1A5A">
              <w:rPr>
                <w:rFonts w:eastAsia="Calibri"/>
                <w:b/>
                <w:u w:val="single"/>
                <w:lang w:eastAsia="en-US"/>
              </w:rPr>
              <w:t>Horgefjorden on the Norwegian south-western coast, April to November 2017:</w:t>
            </w:r>
          </w:p>
          <w:p w14:paraId="77C6290D" w14:textId="77777777" w:rsidR="001042DA" w:rsidRPr="006B1A5A" w:rsidRDefault="001042DA" w:rsidP="00AF2AEA">
            <w:pPr>
              <w:spacing w:line="260" w:lineRule="atLeast"/>
              <w:jc w:val="both"/>
              <w:rPr>
                <w:rFonts w:eastAsia="Calibri"/>
                <w:lang w:eastAsia="en-US"/>
              </w:rPr>
            </w:pPr>
          </w:p>
          <w:p w14:paraId="3E13D954" w14:textId="14B64E9B" w:rsidR="009D246F" w:rsidRDefault="001042DA" w:rsidP="00AF2AEA">
            <w:pPr>
              <w:spacing w:line="260" w:lineRule="atLeast"/>
              <w:jc w:val="both"/>
              <w:rPr>
                <w:rFonts w:eastAsia="Calibri"/>
                <w:lang w:eastAsia="en-US"/>
              </w:rPr>
            </w:pPr>
            <w:r w:rsidRPr="006B1A5A">
              <w:rPr>
                <w:rFonts w:eastAsia="Calibri"/>
                <w:lang w:eastAsia="en-US"/>
              </w:rPr>
              <w:t xml:space="preserve">In the test performed with AquaNet HG 360 in Horgefjorden on the Norwegian south-western coast in 2017 (Hope, B.; 2017), the applicant has evaluated the samples to a maximum </w:t>
            </w:r>
            <w:r w:rsidRPr="00AF2AEA">
              <w:rPr>
                <w:rFonts w:eastAsia="Calibri"/>
                <w:lang w:eastAsia="en-US"/>
              </w:rPr>
              <w:t>score</w:t>
            </w:r>
            <w:r w:rsidRPr="006B1A5A">
              <w:rPr>
                <w:rFonts w:eastAsia="Calibri"/>
                <w:lang w:eastAsia="en-US"/>
              </w:rPr>
              <w:t xml:space="preserve"> of 4 after 127 and 162 days in the sea</w:t>
            </w:r>
            <w:r w:rsidR="009D246F">
              <w:rPr>
                <w:rFonts w:eastAsia="Calibri"/>
                <w:lang w:eastAsia="en-US"/>
              </w:rPr>
              <w:t xml:space="preserve"> (according to the applicant's own internal evaluation routine. Please see the study report for further explanation)</w:t>
            </w:r>
            <w:r w:rsidRPr="006B1A5A">
              <w:rPr>
                <w:rFonts w:eastAsia="Calibri"/>
                <w:lang w:eastAsia="en-US"/>
              </w:rPr>
              <w:t xml:space="preserve">. </w:t>
            </w:r>
          </w:p>
          <w:p w14:paraId="0821D2C2" w14:textId="339389A2" w:rsidR="001042DA" w:rsidRPr="006B1A5A" w:rsidRDefault="001042DA" w:rsidP="00AF2AEA">
            <w:pPr>
              <w:spacing w:line="260" w:lineRule="atLeast"/>
              <w:jc w:val="both"/>
              <w:rPr>
                <w:rFonts w:eastAsia="Calibri"/>
                <w:lang w:eastAsia="en-US"/>
              </w:rPr>
            </w:pPr>
            <w:r w:rsidRPr="006B1A5A">
              <w:rPr>
                <w:rFonts w:eastAsia="Calibri"/>
                <w:lang w:eastAsia="en-US"/>
              </w:rPr>
              <w:t xml:space="preserve">Due to the low quality of the pictures submitted with this study, the rMS was not able to perform an independent assessment of the fouling levels reported in this study. </w:t>
            </w:r>
          </w:p>
          <w:p w14:paraId="149F19D9" w14:textId="77777777" w:rsidR="001042DA" w:rsidRPr="006B1A5A" w:rsidRDefault="001042DA" w:rsidP="00AF2AEA">
            <w:pPr>
              <w:spacing w:line="260" w:lineRule="atLeast"/>
              <w:jc w:val="both"/>
              <w:rPr>
                <w:rFonts w:eastAsia="Calibri"/>
                <w:lang w:eastAsia="en-US"/>
              </w:rPr>
            </w:pPr>
          </w:p>
          <w:p w14:paraId="36AF443E" w14:textId="77777777" w:rsidR="001042DA" w:rsidRPr="006B1A5A" w:rsidRDefault="001042DA" w:rsidP="00AF2AEA">
            <w:pPr>
              <w:spacing w:line="260" w:lineRule="atLeast"/>
              <w:jc w:val="both"/>
              <w:rPr>
                <w:rFonts w:eastAsia="Calibri"/>
                <w:lang w:eastAsia="en-US"/>
              </w:rPr>
            </w:pPr>
          </w:p>
          <w:p w14:paraId="7CD9D104" w14:textId="77777777" w:rsidR="001042DA" w:rsidRPr="006B1A5A" w:rsidRDefault="001042DA" w:rsidP="00AF2AEA">
            <w:pPr>
              <w:spacing w:line="260" w:lineRule="atLeast"/>
              <w:rPr>
                <w:rFonts w:eastAsia="Calibri"/>
                <w:b/>
                <w:u w:val="single"/>
                <w:lang w:eastAsia="en-US"/>
              </w:rPr>
            </w:pPr>
            <w:r w:rsidRPr="006B1A5A">
              <w:rPr>
                <w:rFonts w:eastAsia="Calibri"/>
                <w:b/>
                <w:u w:val="single"/>
                <w:lang w:eastAsia="en-US"/>
              </w:rPr>
              <w:t>Galaxidi, central Greece May to November 2017:</w:t>
            </w:r>
          </w:p>
          <w:p w14:paraId="4B348621" w14:textId="77777777" w:rsidR="001042DA" w:rsidRPr="006B1A5A" w:rsidRDefault="001042DA" w:rsidP="00AF2AEA">
            <w:pPr>
              <w:spacing w:line="260" w:lineRule="atLeast"/>
              <w:jc w:val="both"/>
              <w:rPr>
                <w:rFonts w:eastAsia="Calibri"/>
                <w:lang w:eastAsia="en-US"/>
              </w:rPr>
            </w:pPr>
          </w:p>
          <w:p w14:paraId="390A8D9C" w14:textId="77777777" w:rsidR="001042DA" w:rsidRPr="006B1A5A" w:rsidRDefault="001042DA" w:rsidP="00AF2AEA">
            <w:pPr>
              <w:spacing w:line="260" w:lineRule="atLeast"/>
              <w:jc w:val="both"/>
              <w:rPr>
                <w:rFonts w:eastAsia="Calibri"/>
                <w:lang w:eastAsia="en-US"/>
              </w:rPr>
            </w:pPr>
            <w:r w:rsidRPr="006B1A5A">
              <w:rPr>
                <w:rFonts w:eastAsia="Calibri"/>
                <w:lang w:eastAsia="en-US"/>
              </w:rPr>
              <w:t xml:space="preserve">In the test performed in 2017 with AquaNet HG 360 in Galaxidi in central Greece (Fagerlid, S.; 2017), the applicant has evaluated the samples to a score of no more than 3 (10 – 34% fouling) throughout the study period of 167 days. </w:t>
            </w:r>
          </w:p>
          <w:p w14:paraId="64E7698B" w14:textId="1F2731F5" w:rsidR="001042DA" w:rsidRPr="006B1A5A" w:rsidRDefault="001042DA" w:rsidP="00AF2AEA">
            <w:pPr>
              <w:spacing w:line="260" w:lineRule="atLeast"/>
              <w:jc w:val="both"/>
              <w:rPr>
                <w:rFonts w:eastAsia="Calibri"/>
                <w:lang w:eastAsia="en-US"/>
              </w:rPr>
            </w:pPr>
            <w:r w:rsidRPr="006B1A5A">
              <w:rPr>
                <w:rFonts w:eastAsia="Calibri"/>
                <w:lang w:eastAsia="en-US"/>
              </w:rPr>
              <w:t xml:space="preserve">The pictures submitted with this study are of too low quality for the rMS to be able to perform an independent assessment. Much of the visible fouling is described as </w:t>
            </w:r>
            <w:r w:rsidR="009D246F">
              <w:rPr>
                <w:rFonts w:eastAsia="Calibri"/>
                <w:lang w:eastAsia="en-US"/>
              </w:rPr>
              <w:t>consisting of</w:t>
            </w:r>
            <w:r w:rsidRPr="006B1A5A">
              <w:rPr>
                <w:rFonts w:eastAsia="Calibri"/>
                <w:lang w:eastAsia="en-US"/>
              </w:rPr>
              <w:t xml:space="preserve"> algae, which are not sessile organisms and are not regarded as part of the fouling community. The rMS could not evaluate the correctness of this information, nor the scores assigned by the applicant.</w:t>
            </w:r>
          </w:p>
          <w:p w14:paraId="1CC8EB77" w14:textId="77777777" w:rsidR="001042DA" w:rsidRPr="006B1A5A" w:rsidRDefault="001042DA" w:rsidP="00AF2AEA">
            <w:pPr>
              <w:spacing w:line="260" w:lineRule="atLeast"/>
              <w:jc w:val="both"/>
              <w:rPr>
                <w:rFonts w:eastAsia="Calibri"/>
                <w:lang w:eastAsia="en-US"/>
              </w:rPr>
            </w:pPr>
          </w:p>
          <w:p w14:paraId="62FDF245" w14:textId="77777777" w:rsidR="001042DA" w:rsidRPr="006B1A5A" w:rsidRDefault="001042DA" w:rsidP="00AF2AEA">
            <w:pPr>
              <w:spacing w:line="260" w:lineRule="atLeast"/>
              <w:jc w:val="both"/>
              <w:rPr>
                <w:rFonts w:eastAsia="Calibri"/>
                <w:lang w:eastAsia="en-US"/>
              </w:rPr>
            </w:pPr>
          </w:p>
          <w:p w14:paraId="43442A31" w14:textId="77777777" w:rsidR="001042DA" w:rsidRPr="004E362E" w:rsidRDefault="001042DA" w:rsidP="00AF2AEA">
            <w:pPr>
              <w:spacing w:line="260" w:lineRule="atLeast"/>
              <w:jc w:val="both"/>
              <w:rPr>
                <w:rFonts w:eastAsia="Calibri"/>
                <w:b/>
                <w:lang w:eastAsia="en-US"/>
              </w:rPr>
            </w:pPr>
            <w:r w:rsidRPr="004E362E">
              <w:rPr>
                <w:rFonts w:eastAsia="Calibri"/>
                <w:b/>
                <w:lang w:eastAsia="en-US"/>
              </w:rPr>
              <w:t>Conclusion:</w:t>
            </w:r>
          </w:p>
          <w:p w14:paraId="29136D93" w14:textId="77777777" w:rsidR="001042DA" w:rsidRPr="006B1A5A" w:rsidRDefault="001042DA" w:rsidP="00AF2AEA">
            <w:pPr>
              <w:spacing w:line="260" w:lineRule="atLeast"/>
              <w:jc w:val="both"/>
              <w:rPr>
                <w:rFonts w:eastAsia="Calibri"/>
                <w:lang w:eastAsia="en-US"/>
              </w:rPr>
            </w:pPr>
          </w:p>
          <w:p w14:paraId="695F56B9" w14:textId="77777777" w:rsidR="001042DA" w:rsidRPr="006B1A5A" w:rsidRDefault="001042DA" w:rsidP="00AF2AEA">
            <w:pPr>
              <w:spacing w:line="260" w:lineRule="atLeast"/>
              <w:jc w:val="both"/>
              <w:rPr>
                <w:rFonts w:eastAsia="Calibri"/>
                <w:lang w:eastAsia="en-US"/>
              </w:rPr>
            </w:pPr>
            <w:r w:rsidRPr="006B1A5A">
              <w:rPr>
                <w:rFonts w:eastAsia="Calibri"/>
                <w:lang w:eastAsia="en-US"/>
              </w:rPr>
              <w:t xml:space="preserve">The rMS concludes that the AquaNet HG360 product has demonstrated an efficacy of 14 weeks in North Atlantic waters based on the submitted efficacy studies. </w:t>
            </w:r>
          </w:p>
          <w:p w14:paraId="098EEB80" w14:textId="77777777" w:rsidR="001042DA" w:rsidRPr="006B1A5A" w:rsidRDefault="001042DA" w:rsidP="00AF2AEA">
            <w:pPr>
              <w:spacing w:line="260" w:lineRule="atLeast"/>
              <w:jc w:val="both"/>
              <w:rPr>
                <w:rFonts w:eastAsia="Calibri"/>
                <w:lang w:eastAsia="en-US"/>
              </w:rPr>
            </w:pPr>
          </w:p>
          <w:p w14:paraId="4AED3D61" w14:textId="77777777" w:rsidR="001042DA" w:rsidRPr="006B1A5A" w:rsidRDefault="001042DA" w:rsidP="00AF2AEA">
            <w:pPr>
              <w:spacing w:line="260" w:lineRule="atLeast"/>
              <w:jc w:val="both"/>
              <w:rPr>
                <w:rFonts w:eastAsia="Calibri"/>
                <w:lang w:eastAsia="en-US"/>
              </w:rPr>
            </w:pPr>
            <w:r w:rsidRPr="006B1A5A">
              <w:rPr>
                <w:rFonts w:eastAsia="Calibri"/>
                <w:lang w:eastAsia="en-US"/>
              </w:rPr>
              <w:t>According to the applicant, AquaNet HG 360 has been proven efficacious in Greek Mediterranean waters for 167 days, equal to approx. 6 months. The rMS has not been able to perform an independent assessment of this test.</w:t>
            </w:r>
          </w:p>
          <w:p w14:paraId="0A588EB4" w14:textId="77777777" w:rsidR="001042DA" w:rsidRPr="006B1A5A" w:rsidRDefault="001042DA" w:rsidP="00AF2AEA">
            <w:pPr>
              <w:spacing w:line="260" w:lineRule="atLeast"/>
              <w:jc w:val="both"/>
              <w:rPr>
                <w:rFonts w:eastAsia="Calibri"/>
                <w:lang w:eastAsia="en-US"/>
              </w:rPr>
            </w:pPr>
          </w:p>
          <w:p w14:paraId="5D173B37" w14:textId="77777777" w:rsidR="004E362E" w:rsidRDefault="004E362E" w:rsidP="00AF2AEA">
            <w:pPr>
              <w:spacing w:line="260" w:lineRule="atLeast"/>
              <w:jc w:val="both"/>
              <w:rPr>
                <w:rFonts w:eastAsia="Calibri"/>
                <w:lang w:eastAsia="en-US"/>
              </w:rPr>
            </w:pPr>
          </w:p>
          <w:p w14:paraId="574549DD" w14:textId="61DC7A38" w:rsidR="004E362E" w:rsidRDefault="004E362E" w:rsidP="00AF2AEA">
            <w:pPr>
              <w:spacing w:line="260" w:lineRule="atLeast"/>
              <w:jc w:val="both"/>
              <w:rPr>
                <w:rFonts w:eastAsia="Calibri"/>
                <w:b/>
                <w:lang w:eastAsia="en-US"/>
              </w:rPr>
            </w:pPr>
            <w:r w:rsidRPr="004E362E">
              <w:rPr>
                <w:rFonts w:eastAsia="Calibri"/>
                <w:b/>
                <w:lang w:eastAsia="en-US"/>
              </w:rPr>
              <w:t>AquaNet 360 RFU</w:t>
            </w:r>
          </w:p>
          <w:p w14:paraId="6249A3AA" w14:textId="77777777" w:rsidR="004E362E" w:rsidRPr="004E362E" w:rsidRDefault="004E362E" w:rsidP="00AF2AEA">
            <w:pPr>
              <w:spacing w:line="260" w:lineRule="atLeast"/>
              <w:jc w:val="both"/>
              <w:rPr>
                <w:rFonts w:eastAsia="Calibri"/>
                <w:b/>
                <w:lang w:eastAsia="en-US"/>
              </w:rPr>
            </w:pPr>
          </w:p>
          <w:p w14:paraId="0267486A" w14:textId="5F478EFC" w:rsidR="001042DA" w:rsidRPr="006B1A5A" w:rsidRDefault="001042DA" w:rsidP="00AF2AEA">
            <w:pPr>
              <w:spacing w:line="260" w:lineRule="atLeast"/>
              <w:jc w:val="both"/>
              <w:rPr>
                <w:rFonts w:eastAsia="Calibri"/>
                <w:lang w:eastAsia="en-US"/>
              </w:rPr>
            </w:pPr>
            <w:r w:rsidRPr="006B1A5A">
              <w:rPr>
                <w:rFonts w:eastAsia="Calibri"/>
                <w:lang w:eastAsia="en-US"/>
              </w:rPr>
              <w:t>No studies on AquaNet 360 RFU was submitted.</w:t>
            </w:r>
          </w:p>
          <w:p w14:paraId="4F51C6C0" w14:textId="77777777" w:rsidR="001042DA" w:rsidRPr="006B1A5A" w:rsidRDefault="001042DA" w:rsidP="00AF2AEA">
            <w:pPr>
              <w:spacing w:line="260" w:lineRule="atLeast"/>
              <w:jc w:val="both"/>
              <w:rPr>
                <w:rFonts w:eastAsia="Calibri"/>
                <w:lang w:eastAsia="en-US"/>
              </w:rPr>
            </w:pPr>
          </w:p>
          <w:p w14:paraId="0F428F18" w14:textId="77777777" w:rsidR="001042DA" w:rsidRPr="006B1A5A" w:rsidRDefault="001042DA" w:rsidP="00AF2AEA">
            <w:pPr>
              <w:spacing w:line="260" w:lineRule="atLeast"/>
              <w:jc w:val="both"/>
              <w:rPr>
                <w:rFonts w:eastAsia="Calibri"/>
                <w:lang w:eastAsia="en-US"/>
              </w:rPr>
            </w:pPr>
            <w:r w:rsidRPr="006B1A5A">
              <w:rPr>
                <w:rFonts w:eastAsia="Calibri"/>
                <w:lang w:eastAsia="en-US"/>
              </w:rPr>
              <w:t xml:space="preserve">There is a high level of similarity in the composition of the AquaNet 360 family members, as well as with the AquaNet North Sea BPF. The latter contains also ready-for-use formulation for which efficacy studies have been submitted (AquaNet North Sea Standard and AquaNet North Sea Ultra). </w:t>
            </w:r>
          </w:p>
          <w:p w14:paraId="07783FF3" w14:textId="77777777" w:rsidR="001042DA" w:rsidRPr="006B1A5A" w:rsidRDefault="001042DA" w:rsidP="00AF2AEA">
            <w:pPr>
              <w:spacing w:line="260" w:lineRule="atLeast"/>
              <w:jc w:val="both"/>
              <w:rPr>
                <w:rFonts w:eastAsia="Calibri"/>
                <w:lang w:eastAsia="en-US"/>
              </w:rPr>
            </w:pPr>
            <w:r w:rsidRPr="006B1A5A">
              <w:rPr>
                <w:rFonts w:eastAsia="Calibri"/>
                <w:lang w:eastAsia="en-US"/>
              </w:rPr>
              <w:t>AquaNet 360 RFU contains an intermediate concentration of active substances relative to AquaNet LG 360 and AquaNet HG 360. It contains slightly less active substance compared to the tested formulations from the AquaNet North Sea BPF.</w:t>
            </w:r>
          </w:p>
          <w:p w14:paraId="2B39F18B" w14:textId="3DB44E09" w:rsidR="001042DA" w:rsidRPr="006B1A5A" w:rsidRDefault="001042DA" w:rsidP="00AF2AEA">
            <w:pPr>
              <w:spacing w:line="260" w:lineRule="atLeast"/>
              <w:jc w:val="both"/>
              <w:rPr>
                <w:rFonts w:eastAsia="Calibri"/>
                <w:lang w:eastAsia="en-US"/>
              </w:rPr>
            </w:pPr>
            <w:r w:rsidRPr="006B1A5A">
              <w:rPr>
                <w:rFonts w:eastAsia="Calibri"/>
                <w:lang w:eastAsia="en-US"/>
              </w:rPr>
              <w:t xml:space="preserve">On the basis of active substance content and similarity in product composition, the rMS concludes that read across of efficacy data from the mentioned formulation to AquaNet 360 RFU can be accepted. On the basis of the submitted efficacy studies on the related formulation, an efficacy of 14 weeks in North Atlantic waters can be expected. </w:t>
            </w:r>
          </w:p>
          <w:p w14:paraId="68F43809" w14:textId="77777777" w:rsidR="001042DA" w:rsidRPr="006B1A5A" w:rsidRDefault="001042DA" w:rsidP="00AF2AEA">
            <w:pPr>
              <w:spacing w:line="260" w:lineRule="atLeast"/>
              <w:jc w:val="both"/>
              <w:rPr>
                <w:rFonts w:eastAsia="Calibri"/>
                <w:lang w:eastAsia="en-US"/>
              </w:rPr>
            </w:pPr>
          </w:p>
        </w:tc>
      </w:tr>
    </w:tbl>
    <w:p w14:paraId="0C756E36" w14:textId="77777777" w:rsidR="001042DA" w:rsidRPr="006B1A5A" w:rsidRDefault="001042DA" w:rsidP="001042DA">
      <w:pPr>
        <w:spacing w:line="260" w:lineRule="atLeast"/>
        <w:ind w:left="360"/>
        <w:rPr>
          <w:rFonts w:eastAsia="Calibri"/>
          <w:lang w:eastAsia="en-US"/>
        </w:rPr>
      </w:pPr>
    </w:p>
    <w:p w14:paraId="1011CB70" w14:textId="77777777" w:rsidR="001042DA" w:rsidRPr="006B1A5A" w:rsidRDefault="001042DA" w:rsidP="00916E44">
      <w:pPr>
        <w:pStyle w:val="Overskrift4"/>
      </w:pPr>
      <w:bookmarkStart w:id="1463" w:name="_Toc389729040"/>
      <w:bookmarkStart w:id="1464" w:name="_Toc403472749"/>
      <w:bookmarkStart w:id="1465" w:name="_Toc403566570"/>
      <w:bookmarkStart w:id="1466" w:name="_Toc425344111"/>
      <w:bookmarkStart w:id="1467" w:name="_Toc66448828"/>
      <w:r w:rsidRPr="006B1A5A">
        <w:t>Occurrence of resistance and resistance management</w:t>
      </w:r>
      <w:bookmarkEnd w:id="1463"/>
      <w:bookmarkEnd w:id="1464"/>
      <w:bookmarkEnd w:id="1465"/>
      <w:bookmarkEnd w:id="1466"/>
      <w:bookmarkEnd w:id="1467"/>
    </w:p>
    <w:p w14:paraId="15B6358C" w14:textId="77777777" w:rsidR="001042DA" w:rsidRPr="006B1A5A" w:rsidRDefault="001042DA" w:rsidP="001042DA">
      <w:pPr>
        <w:jc w:val="both"/>
        <w:rPr>
          <w:szCs w:val="22"/>
        </w:rPr>
      </w:pPr>
    </w:p>
    <w:p w14:paraId="0A30F5A2" w14:textId="21F9F511" w:rsidR="001042DA" w:rsidRPr="006B1A5A" w:rsidRDefault="001042DA" w:rsidP="001042DA">
      <w:pPr>
        <w:jc w:val="both"/>
        <w:rPr>
          <w:szCs w:val="22"/>
        </w:rPr>
      </w:pPr>
      <w:r w:rsidRPr="006B1A5A">
        <w:rPr>
          <w:szCs w:val="22"/>
        </w:rPr>
        <w:t xml:space="preserve">Considering the non-selective mode of action of both active substances (dicopper oxide and </w:t>
      </w:r>
      <w:r w:rsidRPr="006B1A5A">
        <w:rPr>
          <w:noProof/>
          <w:szCs w:val="22"/>
        </w:rPr>
        <w:t>copper thiocyanate</w:t>
      </w:r>
      <w:r w:rsidRPr="006B1A5A">
        <w:rPr>
          <w:szCs w:val="22"/>
        </w:rPr>
        <w:t xml:space="preserve">), development of resistance against the AquaNet 360 products is considered unlikely. </w:t>
      </w:r>
    </w:p>
    <w:p w14:paraId="0D3B62D2" w14:textId="77777777" w:rsidR="00F732D1" w:rsidRPr="006B1A5A" w:rsidRDefault="00F732D1" w:rsidP="001042DA">
      <w:pPr>
        <w:jc w:val="both"/>
        <w:rPr>
          <w:szCs w:val="22"/>
        </w:rPr>
      </w:pPr>
    </w:p>
    <w:p w14:paraId="134BFD0E" w14:textId="77777777" w:rsidR="001042DA" w:rsidRPr="006B1A5A" w:rsidRDefault="001042DA" w:rsidP="001042DA">
      <w:pPr>
        <w:spacing w:line="260" w:lineRule="atLeast"/>
        <w:jc w:val="both"/>
        <w:rPr>
          <w:rFonts w:eastAsia="Calibri"/>
          <w:iCs/>
          <w:lang w:eastAsia="en-US"/>
        </w:rPr>
      </w:pPr>
      <w:r w:rsidRPr="006B1A5A">
        <w:rPr>
          <w:rFonts w:eastAsia="Calibri"/>
          <w:iCs/>
          <w:lang w:eastAsia="en-US"/>
        </w:rPr>
        <w:t xml:space="preserve">As stated in the CAR for dicopper oxide (PT21, 2016), there </w:t>
      </w:r>
      <w:r w:rsidRPr="006B1A5A">
        <w:rPr>
          <w:rFonts w:eastAsia="Calibri"/>
          <w:iCs/>
          <w:noProof/>
          <w:lang w:eastAsia="en-US"/>
        </w:rPr>
        <w:t>have</w:t>
      </w:r>
      <w:r w:rsidRPr="006B1A5A">
        <w:rPr>
          <w:rFonts w:eastAsia="Calibri"/>
          <w:iCs/>
          <w:lang w:eastAsia="en-US"/>
        </w:rPr>
        <w:t xml:space="preserve"> never been any recorded cases of resistance in populations of fouling organisms using copper based anti-fouling paints in the literature. However, some literature studies demonstrate some impacts of copper pollution on marine life that indicate that some hull-fouling species have developed copper tolerance.</w:t>
      </w:r>
    </w:p>
    <w:p w14:paraId="6537B436" w14:textId="77777777" w:rsidR="001042DA" w:rsidRPr="006B1A5A" w:rsidRDefault="001042DA" w:rsidP="001042DA">
      <w:pPr>
        <w:spacing w:line="260" w:lineRule="atLeast"/>
        <w:jc w:val="both"/>
        <w:rPr>
          <w:rFonts w:eastAsia="Calibri"/>
          <w:iCs/>
          <w:lang w:eastAsia="en-US"/>
        </w:rPr>
      </w:pPr>
    </w:p>
    <w:p w14:paraId="25096950" w14:textId="77777777" w:rsidR="001042DA" w:rsidRPr="006B1A5A" w:rsidRDefault="001042DA" w:rsidP="00916E44">
      <w:pPr>
        <w:pStyle w:val="Overskrift4"/>
      </w:pPr>
      <w:bookmarkStart w:id="1468" w:name="_Toc389729043"/>
      <w:bookmarkStart w:id="1469" w:name="_Toc403472750"/>
      <w:bookmarkStart w:id="1470" w:name="_Toc403566571"/>
      <w:bookmarkStart w:id="1471" w:name="_Toc425344112"/>
      <w:bookmarkStart w:id="1472" w:name="_Toc66448829"/>
      <w:r w:rsidRPr="006B1A5A">
        <w:t>Known limitations</w:t>
      </w:r>
      <w:bookmarkEnd w:id="1468"/>
      <w:bookmarkEnd w:id="1469"/>
      <w:bookmarkEnd w:id="1470"/>
      <w:bookmarkEnd w:id="1471"/>
      <w:bookmarkEnd w:id="1472"/>
    </w:p>
    <w:p w14:paraId="7519F8E7" w14:textId="77777777" w:rsidR="001042DA" w:rsidRPr="006B1A5A" w:rsidRDefault="001042DA" w:rsidP="001042DA">
      <w:pPr>
        <w:spacing w:line="260" w:lineRule="atLeast"/>
        <w:rPr>
          <w:rFonts w:eastAsia="Calibri"/>
          <w:iCs/>
          <w:lang w:eastAsia="en-US"/>
        </w:rPr>
      </w:pPr>
      <w:r w:rsidRPr="006B1A5A">
        <w:rPr>
          <w:rFonts w:eastAsia="Calibri"/>
          <w:iCs/>
          <w:lang w:eastAsia="en-US"/>
        </w:rPr>
        <w:t>Not reported.</w:t>
      </w:r>
    </w:p>
    <w:p w14:paraId="006EA3C4" w14:textId="77777777" w:rsidR="001042DA" w:rsidRPr="006B1A5A" w:rsidRDefault="001042DA" w:rsidP="00916E44">
      <w:pPr>
        <w:pStyle w:val="Overskrift4"/>
      </w:pPr>
      <w:bookmarkStart w:id="1473" w:name="_Toc389725206"/>
      <w:bookmarkStart w:id="1474" w:name="_Toc389726198"/>
      <w:bookmarkStart w:id="1475" w:name="_Toc389727250"/>
      <w:bookmarkStart w:id="1476" w:name="_Toc389727608"/>
      <w:bookmarkStart w:id="1477" w:name="_Toc389727967"/>
      <w:bookmarkStart w:id="1478" w:name="_Toc389728326"/>
      <w:bookmarkStart w:id="1479" w:name="_Toc389728686"/>
      <w:bookmarkStart w:id="1480" w:name="_Toc389729044"/>
      <w:bookmarkStart w:id="1481" w:name="_Toc389729045"/>
      <w:bookmarkStart w:id="1482" w:name="_Toc403472751"/>
      <w:bookmarkStart w:id="1483" w:name="_Toc403566572"/>
      <w:bookmarkStart w:id="1484" w:name="_Toc425344113"/>
      <w:bookmarkStart w:id="1485" w:name="_Toc66448830"/>
      <w:bookmarkEnd w:id="1473"/>
      <w:bookmarkEnd w:id="1474"/>
      <w:bookmarkEnd w:id="1475"/>
      <w:bookmarkEnd w:id="1476"/>
      <w:bookmarkEnd w:id="1477"/>
      <w:bookmarkEnd w:id="1478"/>
      <w:bookmarkEnd w:id="1479"/>
      <w:bookmarkEnd w:id="1480"/>
      <w:r w:rsidRPr="006B1A5A">
        <w:t>Evaluation of the label claims</w:t>
      </w:r>
      <w:bookmarkEnd w:id="1481"/>
      <w:bookmarkEnd w:id="1482"/>
      <w:bookmarkEnd w:id="1483"/>
      <w:bookmarkEnd w:id="1484"/>
      <w:bookmarkEnd w:id="1485"/>
    </w:p>
    <w:p w14:paraId="2F8D54C5" w14:textId="77777777" w:rsidR="001042DA" w:rsidRPr="006B1A5A" w:rsidRDefault="001042DA" w:rsidP="001042DA"/>
    <w:p w14:paraId="5BF9D6BE" w14:textId="77777777" w:rsidR="001042DA" w:rsidRPr="006B1A5A" w:rsidRDefault="001042DA" w:rsidP="001042DA">
      <w:bookmarkStart w:id="1486" w:name="_Hlk21694608"/>
      <w:r w:rsidRPr="006B1A5A">
        <w:t xml:space="preserve">The AquaNet products are not marketed with label claims on specific protection times. Marine biofouling pressure is extremely variable with regards to season, location, temperature, sunlight, water nutrient level etc. so no specific claims are possible to make, except for reduced growth relative to an untreated net. </w:t>
      </w:r>
    </w:p>
    <w:bookmarkEnd w:id="1486"/>
    <w:p w14:paraId="1AB01FD0" w14:textId="77777777" w:rsidR="001042DA" w:rsidRPr="006B1A5A" w:rsidRDefault="001042DA" w:rsidP="001042DA"/>
    <w:p w14:paraId="094213A0" w14:textId="617AC6B0" w:rsidR="00464C24" w:rsidRDefault="00464C24" w:rsidP="00464C24">
      <w:pPr>
        <w:rPr>
          <w:lang w:val="en-US"/>
        </w:rPr>
      </w:pPr>
      <w:bookmarkStart w:id="1487" w:name="_Hlk54677892"/>
      <w:r>
        <w:rPr>
          <w:lang w:val="en-US"/>
        </w:rPr>
        <w:t>According to Steen-Hansen's internal procedure, n</w:t>
      </w:r>
      <w:r w:rsidRPr="001C4B7F">
        <w:rPr>
          <w:lang w:val="en-US"/>
        </w:rPr>
        <w:t xml:space="preserve">ets treated with </w:t>
      </w:r>
      <w:r>
        <w:rPr>
          <w:lang w:val="en-US"/>
        </w:rPr>
        <w:t>Aquanet 360</w:t>
      </w:r>
      <w:r w:rsidRPr="001C4B7F">
        <w:rPr>
          <w:lang w:val="en-US"/>
        </w:rPr>
        <w:t xml:space="preserve"> antifouling products cannot be used together with high pressure water jetting on site</w:t>
      </w:r>
      <w:r>
        <w:rPr>
          <w:lang w:val="en-US"/>
        </w:rPr>
        <w:t>. This is detailed in the Steen-Hansen Compliance Document: ‘</w:t>
      </w:r>
      <w:r w:rsidRPr="007728E3">
        <w:rPr>
          <w:lang w:val="en-US"/>
        </w:rPr>
        <w:t>Cleaning restrictions for treated nets</w:t>
      </w:r>
      <w:r>
        <w:rPr>
          <w:lang w:val="en-US"/>
        </w:rPr>
        <w:t>’.</w:t>
      </w:r>
    </w:p>
    <w:p w14:paraId="46F78C5C" w14:textId="77777777" w:rsidR="00464C24" w:rsidRDefault="00464C24" w:rsidP="00464C24">
      <w:pPr>
        <w:rPr>
          <w:lang w:val="en-US"/>
        </w:rPr>
      </w:pPr>
    </w:p>
    <w:p w14:paraId="6A7C6B8B" w14:textId="77777777" w:rsidR="00464C24" w:rsidRDefault="00464C24" w:rsidP="00464C24">
      <w:pPr>
        <w:rPr>
          <w:szCs w:val="22"/>
        </w:rPr>
      </w:pPr>
      <w:r>
        <w:rPr>
          <w:szCs w:val="22"/>
        </w:rPr>
        <w:t xml:space="preserve">However, the environmental risk assessment has been conducted with the assumption that some in-situ water cleaning takes place as this is an assumption embedded in the exposure scenarios. </w:t>
      </w:r>
      <w:bookmarkEnd w:id="1487"/>
    </w:p>
    <w:p w14:paraId="46D2549F" w14:textId="77777777" w:rsidR="00464C24" w:rsidRDefault="00464C24" w:rsidP="00464C24">
      <w:pPr>
        <w:rPr>
          <w:szCs w:val="22"/>
        </w:rPr>
      </w:pPr>
      <w:bookmarkStart w:id="1488" w:name="_Toc389729046"/>
      <w:bookmarkStart w:id="1489" w:name="_Toc403472752"/>
      <w:bookmarkStart w:id="1490" w:name="_Toc403566573"/>
      <w:bookmarkStart w:id="1491" w:name="_Toc425344114"/>
    </w:p>
    <w:p w14:paraId="1C48E885" w14:textId="4236AE87" w:rsidR="001042DA" w:rsidRPr="006B1A5A" w:rsidRDefault="001042DA" w:rsidP="00464C24">
      <w:r w:rsidRPr="006B1A5A">
        <w:t>Relevant information if the product is intended to be authorised for use with other biocidal product(s)</w:t>
      </w:r>
      <w:bookmarkEnd w:id="1488"/>
      <w:bookmarkEnd w:id="1489"/>
      <w:bookmarkEnd w:id="1490"/>
      <w:bookmarkEnd w:id="1491"/>
    </w:p>
    <w:p w14:paraId="340CED64" w14:textId="2D385AFE" w:rsidR="001042DA" w:rsidRPr="006B1A5A" w:rsidRDefault="001042DA" w:rsidP="001042DA">
      <w:pPr>
        <w:rPr>
          <w:szCs w:val="22"/>
        </w:rPr>
      </w:pPr>
      <w:r w:rsidRPr="006B1A5A">
        <w:rPr>
          <w:szCs w:val="22"/>
        </w:rPr>
        <w:t>The AquaNet 360 products are not intended to be used in combination with other products.</w:t>
      </w:r>
    </w:p>
    <w:p w14:paraId="70E3C7CD" w14:textId="35733C6A" w:rsidR="00F732D1" w:rsidRDefault="00F732D1" w:rsidP="001042DA">
      <w:pPr>
        <w:rPr>
          <w:szCs w:val="22"/>
        </w:rPr>
      </w:pPr>
    </w:p>
    <w:p w14:paraId="651B3923" w14:textId="606BD352" w:rsidR="00F732D1" w:rsidRDefault="00F732D1" w:rsidP="001042DA">
      <w:pPr>
        <w:rPr>
          <w:szCs w:val="22"/>
        </w:rPr>
      </w:pPr>
    </w:p>
    <w:p w14:paraId="2396E84D" w14:textId="6F5AA0F2" w:rsidR="00F732D1" w:rsidRDefault="00F732D1" w:rsidP="00C50683">
      <w:pPr>
        <w:jc w:val="right"/>
        <w:rPr>
          <w:szCs w:val="22"/>
        </w:rPr>
      </w:pPr>
    </w:p>
    <w:p w14:paraId="6EFBDC35" w14:textId="26AF8781" w:rsidR="001042DA" w:rsidRPr="00C50683" w:rsidRDefault="001042DA" w:rsidP="00C50683">
      <w:pPr>
        <w:pStyle w:val="Overskrift3"/>
        <w:rPr>
          <w:lang w:val="en-GB"/>
        </w:rPr>
      </w:pPr>
      <w:bookmarkStart w:id="1492" w:name="_Toc389729047"/>
      <w:bookmarkStart w:id="1493" w:name="_Toc403566574"/>
      <w:bookmarkStart w:id="1494" w:name="_Toc66448831"/>
      <w:bookmarkStart w:id="1495" w:name="_Hlk65571700"/>
      <w:r w:rsidRPr="00C50683">
        <w:rPr>
          <w:lang w:val="en-GB"/>
        </w:rPr>
        <w:t>Risk assessment for human health</w:t>
      </w:r>
      <w:bookmarkEnd w:id="1492"/>
      <w:bookmarkEnd w:id="1493"/>
      <w:bookmarkEnd w:id="1494"/>
      <w:r w:rsidRPr="00C50683">
        <w:rPr>
          <w:lang w:val="en-GB"/>
        </w:rPr>
        <w:t xml:space="preserve">  </w:t>
      </w:r>
    </w:p>
    <w:p w14:paraId="4F3BD703" w14:textId="4CF6521B" w:rsidR="001042DA" w:rsidRPr="006B1A5A" w:rsidRDefault="001042DA" w:rsidP="001042DA">
      <w:pPr>
        <w:autoSpaceDE w:val="0"/>
        <w:autoSpaceDN w:val="0"/>
        <w:adjustRightInd w:val="0"/>
        <w:rPr>
          <w:rFonts w:cs="Verdana"/>
          <w:color w:val="000000"/>
          <w:lang w:eastAsia="en-US"/>
        </w:rPr>
      </w:pPr>
      <w:bookmarkStart w:id="1496" w:name="_Hlk11269619"/>
      <w:bookmarkEnd w:id="1495"/>
      <w:r w:rsidRPr="006B1A5A">
        <w:rPr>
          <w:rFonts w:cs="Verdana"/>
          <w:color w:val="000000"/>
          <w:lang w:eastAsia="en-US"/>
        </w:rPr>
        <w:t xml:space="preserve">The toxicology of the active substances </w:t>
      </w:r>
      <w:r w:rsidR="003C0377">
        <w:rPr>
          <w:rFonts w:cs="Verdana"/>
          <w:color w:val="000000"/>
          <w:lang w:eastAsia="en-US"/>
        </w:rPr>
        <w:t>d</w:t>
      </w:r>
      <w:r w:rsidRPr="006B1A5A">
        <w:rPr>
          <w:rFonts w:cs="Verdana"/>
          <w:color w:val="000000"/>
          <w:lang w:eastAsia="en-US"/>
        </w:rPr>
        <w:t>icopper oxide (Cu</w:t>
      </w:r>
      <w:r w:rsidRPr="006B1A5A">
        <w:rPr>
          <w:rFonts w:cs="Verdana"/>
          <w:color w:val="000000"/>
          <w:vertAlign w:val="subscript"/>
          <w:lang w:eastAsia="en-US"/>
        </w:rPr>
        <w:t>2</w:t>
      </w:r>
      <w:r w:rsidRPr="006B1A5A">
        <w:rPr>
          <w:rFonts w:cs="Verdana"/>
          <w:color w:val="000000"/>
          <w:lang w:eastAsia="en-US"/>
        </w:rPr>
        <w:t xml:space="preserve">O) and copper thiocyanate (CuSCN) was examined according to standard requirements in the review programme under BPR. The toxicological properties of the active substances are summarised in the respective CA reports, as reflected in the assessment reports: </w:t>
      </w:r>
    </w:p>
    <w:p w14:paraId="45B46E5F" w14:textId="77777777" w:rsidR="001042DA" w:rsidRPr="006B1A5A" w:rsidRDefault="001042DA" w:rsidP="001042DA">
      <w:pPr>
        <w:autoSpaceDE w:val="0"/>
        <w:autoSpaceDN w:val="0"/>
        <w:adjustRightInd w:val="0"/>
        <w:rPr>
          <w:rFonts w:cs="Verdana"/>
          <w:color w:val="000000"/>
          <w:lang w:eastAsia="en-US"/>
        </w:rPr>
      </w:pPr>
    </w:p>
    <w:p w14:paraId="35FB1C03" w14:textId="05303784" w:rsidR="001042DA" w:rsidRPr="006B1A5A" w:rsidRDefault="001042DA" w:rsidP="001169A0">
      <w:pPr>
        <w:pStyle w:val="Listeavsnitt"/>
        <w:numPr>
          <w:ilvl w:val="0"/>
          <w:numId w:val="10"/>
        </w:numPr>
        <w:autoSpaceDE w:val="0"/>
        <w:autoSpaceDN w:val="0"/>
        <w:adjustRightInd w:val="0"/>
        <w:spacing w:after="16"/>
        <w:rPr>
          <w:rFonts w:cs="Verdana"/>
          <w:color w:val="000000"/>
          <w:lang w:eastAsia="en-US"/>
        </w:rPr>
      </w:pPr>
      <w:r w:rsidRPr="006B1A5A">
        <w:rPr>
          <w:rFonts w:cs="Verdana"/>
          <w:color w:val="000000"/>
          <w:lang w:eastAsia="en-US"/>
        </w:rPr>
        <w:t xml:space="preserve">Assessment report on Dicopper oxide </w:t>
      </w:r>
      <w:r w:rsidRPr="006B1A5A">
        <w:rPr>
          <w:rFonts w:eastAsia="Calibri"/>
          <w:lang w:eastAsia="en-US"/>
        </w:rPr>
        <w:t>(</w:t>
      </w:r>
      <w:r w:rsidRPr="006B1A5A">
        <w:rPr>
          <w:rFonts w:cs="Verdana"/>
          <w:lang w:eastAsia="en-US"/>
        </w:rPr>
        <w:t>CAS-no: 1317-39-1)</w:t>
      </w:r>
      <w:r w:rsidRPr="006B1A5A">
        <w:rPr>
          <w:rFonts w:eastAsia="Calibri"/>
          <w:lang w:eastAsia="en-US"/>
        </w:rPr>
        <w:t>, Product type 21</w:t>
      </w:r>
      <w:r w:rsidRPr="006B1A5A">
        <w:rPr>
          <w:rFonts w:cs="Verdana"/>
          <w:color w:val="000000"/>
          <w:lang w:eastAsia="en-US"/>
        </w:rPr>
        <w:t xml:space="preserve">, eCA FR, January 2016 </w:t>
      </w:r>
      <w:r w:rsidR="00B174CA">
        <w:rPr>
          <w:rFonts w:cs="Verdana"/>
          <w:color w:val="000000"/>
          <w:lang w:eastAsia="en-US"/>
        </w:rPr>
        <w:t>(ECHA</w:t>
      </w:r>
      <w:r w:rsidR="00176002">
        <w:rPr>
          <w:rFonts w:cs="Verdana"/>
          <w:color w:val="000000"/>
          <w:lang w:eastAsia="en-US"/>
        </w:rPr>
        <w:t>,</w:t>
      </w:r>
      <w:r w:rsidR="00B174CA">
        <w:rPr>
          <w:rFonts w:cs="Verdana"/>
          <w:color w:val="000000"/>
          <w:lang w:eastAsia="en-US"/>
        </w:rPr>
        <w:t xml:space="preserve"> 2016a)</w:t>
      </w:r>
    </w:p>
    <w:bookmarkEnd w:id="1496"/>
    <w:p w14:paraId="7D6E6F56" w14:textId="7BF1BEB9" w:rsidR="001042DA" w:rsidRPr="006B1A5A" w:rsidRDefault="001042DA" w:rsidP="001169A0">
      <w:pPr>
        <w:pStyle w:val="Listeavsnitt"/>
        <w:numPr>
          <w:ilvl w:val="0"/>
          <w:numId w:val="10"/>
        </w:numPr>
        <w:autoSpaceDE w:val="0"/>
        <w:autoSpaceDN w:val="0"/>
        <w:adjustRightInd w:val="0"/>
        <w:rPr>
          <w:rFonts w:cs="Verdana"/>
          <w:color w:val="000000"/>
          <w:lang w:eastAsia="en-US"/>
        </w:rPr>
      </w:pPr>
      <w:r w:rsidRPr="006B1A5A">
        <w:rPr>
          <w:rFonts w:cs="Verdana"/>
          <w:color w:val="000000"/>
          <w:lang w:eastAsia="en-US"/>
        </w:rPr>
        <w:t>Assessment report on Copper thiocyanate (</w:t>
      </w:r>
      <w:r w:rsidRPr="006B1A5A">
        <w:rPr>
          <w:rFonts w:cs="Verdana"/>
          <w:lang w:eastAsia="en-US"/>
        </w:rPr>
        <w:t>CAS-no. 1111-67-7), Product type 21</w:t>
      </w:r>
      <w:r w:rsidRPr="006B1A5A">
        <w:rPr>
          <w:rFonts w:cs="Verdana"/>
          <w:color w:val="000000"/>
          <w:lang w:eastAsia="en-US"/>
        </w:rPr>
        <w:t xml:space="preserve">, eCA FR, January 2016 </w:t>
      </w:r>
      <w:r w:rsidR="00B174CA">
        <w:rPr>
          <w:rFonts w:cs="Verdana"/>
          <w:color w:val="000000"/>
          <w:lang w:eastAsia="en-US"/>
        </w:rPr>
        <w:t>(ECHA, 2016b)</w:t>
      </w:r>
    </w:p>
    <w:p w14:paraId="10B224B1" w14:textId="77777777" w:rsidR="001042DA" w:rsidRPr="006B1A5A" w:rsidRDefault="001042DA" w:rsidP="001042DA">
      <w:pPr>
        <w:autoSpaceDE w:val="0"/>
        <w:autoSpaceDN w:val="0"/>
        <w:adjustRightInd w:val="0"/>
        <w:rPr>
          <w:rFonts w:cs="Verdana"/>
          <w:color w:val="000000"/>
          <w:lang w:eastAsia="en-US"/>
        </w:rPr>
      </w:pPr>
    </w:p>
    <w:p w14:paraId="1D3643E3" w14:textId="77777777" w:rsidR="001042DA" w:rsidRPr="006B1A5A" w:rsidRDefault="001042DA" w:rsidP="001042DA">
      <w:pPr>
        <w:spacing w:line="260" w:lineRule="atLeast"/>
        <w:jc w:val="both"/>
        <w:rPr>
          <w:rFonts w:cs="Verdana"/>
          <w:color w:val="000000"/>
          <w:lang w:eastAsia="en-US"/>
        </w:rPr>
      </w:pPr>
      <w:r w:rsidRPr="006B1A5A">
        <w:rPr>
          <w:rFonts w:cs="Verdana"/>
          <w:color w:val="000000"/>
          <w:lang w:eastAsia="en-US"/>
        </w:rPr>
        <w:t xml:space="preserve">Toxicological testing (acute toxicity tests and tests for skin or eye irritation and skin sensitisation) have not been performed for the products in the AquaNet 360 biocidal product family. </w:t>
      </w:r>
    </w:p>
    <w:p w14:paraId="45D72E09" w14:textId="77777777" w:rsidR="001042DA" w:rsidRPr="006B1A5A" w:rsidRDefault="001042DA" w:rsidP="001042DA">
      <w:pPr>
        <w:spacing w:line="260" w:lineRule="atLeast"/>
        <w:jc w:val="both"/>
        <w:rPr>
          <w:rFonts w:cs="Verdana"/>
          <w:color w:val="000000"/>
          <w:lang w:eastAsia="en-US"/>
        </w:rPr>
      </w:pPr>
    </w:p>
    <w:p w14:paraId="6B0DEF8D" w14:textId="77777777" w:rsidR="001042DA" w:rsidRPr="006B1A5A" w:rsidRDefault="001042DA" w:rsidP="001042DA">
      <w:pPr>
        <w:spacing w:line="260" w:lineRule="atLeast"/>
        <w:jc w:val="both"/>
        <w:rPr>
          <w:rFonts w:cs="Verdana"/>
          <w:color w:val="000000"/>
          <w:lang w:eastAsia="en-US"/>
        </w:rPr>
      </w:pPr>
      <w:r w:rsidRPr="006B1A5A">
        <w:rPr>
          <w:rFonts w:cs="Verdana"/>
          <w:color w:val="000000"/>
          <w:lang w:eastAsia="en-US"/>
        </w:rPr>
        <w:t>In the absence of such test results, the products are classified based on information on the ingredients in the products using the conventional calculation method in Regulation 1272/2008 (CLP) (cf. 2.2.6.1.).</w:t>
      </w:r>
    </w:p>
    <w:p w14:paraId="10ABDDBA" w14:textId="77777777" w:rsidR="001042DA" w:rsidRPr="006B1A5A" w:rsidRDefault="001042DA" w:rsidP="001042DA">
      <w:pPr>
        <w:spacing w:line="260" w:lineRule="atLeast"/>
        <w:jc w:val="both"/>
        <w:rPr>
          <w:rFonts w:cs="Verdana"/>
          <w:color w:val="000000"/>
          <w:lang w:eastAsia="en-US"/>
        </w:rPr>
      </w:pPr>
      <w:r w:rsidRPr="006B1A5A">
        <w:rPr>
          <w:rFonts w:cs="Verdana"/>
          <w:color w:val="000000"/>
          <w:lang w:eastAsia="en-US"/>
        </w:rPr>
        <w:t xml:space="preserve"> </w:t>
      </w:r>
    </w:p>
    <w:p w14:paraId="2C65D275" w14:textId="25CE6DD0" w:rsidR="001042DA" w:rsidRPr="006B1A5A" w:rsidRDefault="001042DA" w:rsidP="001042DA">
      <w:pPr>
        <w:spacing w:line="260" w:lineRule="atLeast"/>
        <w:jc w:val="both"/>
      </w:pPr>
      <w:bookmarkStart w:id="1497" w:name="_Hlk22849160"/>
      <w:r w:rsidRPr="006B1A5A">
        <w:t>Toxicological data on all co-formulants have been compiled and assessed by the applicant and is presented in a separate document (see report in “Section 13 of the IUCLID file: “</w:t>
      </w:r>
      <w:bookmarkStart w:id="1498" w:name="_Hlk501102155"/>
      <w:r w:rsidRPr="006B1A5A">
        <w:t>Background Document on the Human Health Hazard of Co-formulants in 360 BPF 2017”).</w:t>
      </w:r>
      <w:bookmarkEnd w:id="1498"/>
      <w:r w:rsidRPr="006B1A5A">
        <w:t xml:space="preserve"> </w:t>
      </w:r>
      <w:bookmarkEnd w:id="1497"/>
      <w:r w:rsidRPr="006B1A5A">
        <w:t xml:space="preserve">Sufficient information is available for the co-formulants to assess all relevant endpoints and to allow for classification of the 360 products. </w:t>
      </w:r>
    </w:p>
    <w:p w14:paraId="59479A95" w14:textId="77777777" w:rsidR="001042DA" w:rsidRPr="006B1A5A" w:rsidRDefault="001042DA" w:rsidP="001042DA">
      <w:pPr>
        <w:spacing w:line="260" w:lineRule="atLeast"/>
        <w:jc w:val="both"/>
      </w:pPr>
    </w:p>
    <w:p w14:paraId="2B023C4B" w14:textId="291D7495" w:rsidR="001042DA" w:rsidRPr="006B1A5A" w:rsidRDefault="001042DA" w:rsidP="001042DA">
      <w:pPr>
        <w:spacing w:line="260" w:lineRule="atLeast"/>
        <w:jc w:val="both"/>
        <w:rPr>
          <w:rFonts w:cs="Verdana"/>
          <w:lang w:eastAsia="en-US"/>
        </w:rPr>
      </w:pPr>
      <w:r w:rsidRPr="006B1A5A">
        <w:t>The AquaNet HG 360 product is classified for acute oral toxicity (Cat 4, H302) and serious eye damage (Cat 1, H318) based on the respective classification of the ingredients</w:t>
      </w:r>
      <w:r w:rsidRPr="006B1A5A">
        <w:rPr>
          <w:rFonts w:cs="Verdana"/>
          <w:lang w:eastAsia="en-US"/>
        </w:rPr>
        <w:t xml:space="preserve">. The AquaNet LG 360 and AquaNet 360 RFU products are classified for Serious eye damage (Eye </w:t>
      </w:r>
      <w:r w:rsidR="00176002">
        <w:rPr>
          <w:rFonts w:cs="Verdana"/>
          <w:lang w:eastAsia="en-US"/>
        </w:rPr>
        <w:t>D</w:t>
      </w:r>
      <w:r w:rsidRPr="006B1A5A">
        <w:rPr>
          <w:rFonts w:cs="Verdana"/>
          <w:lang w:eastAsia="en-US"/>
        </w:rPr>
        <w:t xml:space="preserve">am. Cat 1; H318) </w:t>
      </w:r>
      <w:r w:rsidRPr="006B1A5A">
        <w:t>based on the respective classification of the ingredients</w:t>
      </w:r>
      <w:r w:rsidRPr="006B1A5A">
        <w:rPr>
          <w:rFonts w:cs="Verdana"/>
          <w:lang w:eastAsia="en-US"/>
        </w:rPr>
        <w:t xml:space="preserve">. More information can be found in the confidential annex. </w:t>
      </w:r>
    </w:p>
    <w:p w14:paraId="0FCFCDE2" w14:textId="77777777" w:rsidR="001042DA" w:rsidRPr="006B1A5A" w:rsidRDefault="001042DA" w:rsidP="001042DA">
      <w:pPr>
        <w:spacing w:line="260" w:lineRule="atLeast"/>
        <w:jc w:val="both"/>
      </w:pPr>
    </w:p>
    <w:p w14:paraId="321A1944" w14:textId="77777777" w:rsidR="001042DA" w:rsidRPr="006B1A5A" w:rsidRDefault="001042DA" w:rsidP="001042DA">
      <w:pPr>
        <w:autoSpaceDE w:val="0"/>
        <w:autoSpaceDN w:val="0"/>
        <w:adjustRightInd w:val="0"/>
        <w:jc w:val="both"/>
        <w:rPr>
          <w:rFonts w:cs="Verdana"/>
          <w:lang w:eastAsia="en-US"/>
        </w:rPr>
      </w:pPr>
    </w:p>
    <w:p w14:paraId="2E480817" w14:textId="77777777" w:rsidR="001042DA" w:rsidRPr="006B1A5A" w:rsidRDefault="001042DA" w:rsidP="001042DA">
      <w:pPr>
        <w:autoSpaceDE w:val="0"/>
        <w:autoSpaceDN w:val="0"/>
        <w:adjustRightInd w:val="0"/>
        <w:jc w:val="both"/>
        <w:rPr>
          <w:rFonts w:cs="Verdana"/>
          <w:b/>
          <w:lang w:eastAsia="en-US"/>
        </w:rPr>
      </w:pPr>
      <w:bookmarkStart w:id="1499" w:name="_Hlk65571716"/>
      <w:r w:rsidRPr="006B1A5A">
        <w:rPr>
          <w:rFonts w:cs="Verdana"/>
          <w:b/>
          <w:lang w:eastAsia="en-US"/>
        </w:rPr>
        <w:t>Background information on the active substances:</w:t>
      </w:r>
    </w:p>
    <w:p w14:paraId="1C6B31A6" w14:textId="77777777" w:rsidR="001042DA" w:rsidRPr="006B1A5A" w:rsidRDefault="001042DA" w:rsidP="001042DA">
      <w:pPr>
        <w:autoSpaceDE w:val="0"/>
        <w:autoSpaceDN w:val="0"/>
        <w:adjustRightInd w:val="0"/>
        <w:jc w:val="both"/>
        <w:rPr>
          <w:rFonts w:cs="Verdana"/>
          <w:lang w:eastAsia="en-US"/>
        </w:rPr>
      </w:pPr>
    </w:p>
    <w:p w14:paraId="575C783B" w14:textId="77777777" w:rsidR="001042DA" w:rsidRPr="006B1A5A" w:rsidRDefault="001042DA" w:rsidP="001042DA">
      <w:pPr>
        <w:autoSpaceDE w:val="0"/>
        <w:autoSpaceDN w:val="0"/>
        <w:adjustRightInd w:val="0"/>
        <w:jc w:val="both"/>
        <w:rPr>
          <w:lang w:eastAsia="en-US"/>
        </w:rPr>
      </w:pPr>
      <w:bookmarkStart w:id="1500" w:name="_Hlk19698810"/>
      <w:bookmarkStart w:id="1501" w:name="_Hlk501372926"/>
      <w:bookmarkEnd w:id="1499"/>
      <w:r w:rsidRPr="006B1A5A">
        <w:rPr>
          <w:lang w:eastAsia="en-US"/>
        </w:rPr>
        <w:t xml:space="preserve">Dicopper oxide </w:t>
      </w:r>
      <w:bookmarkStart w:id="1502" w:name="_Hlk16713998"/>
      <w:r w:rsidRPr="006B1A5A">
        <w:rPr>
          <w:lang w:eastAsia="en-US"/>
        </w:rPr>
        <w:t xml:space="preserve">is approved for </w:t>
      </w:r>
      <w:r w:rsidRPr="006B1A5A">
        <w:rPr>
          <w:noProof/>
          <w:lang w:eastAsia="en-US"/>
        </w:rPr>
        <w:t>use</w:t>
      </w:r>
      <w:r w:rsidRPr="006B1A5A">
        <w:rPr>
          <w:lang w:eastAsia="en-US"/>
        </w:rPr>
        <w:t xml:space="preserve"> in product-type PT21 in the context of Regulation (EU) No.528/2012.</w:t>
      </w:r>
      <w:bookmarkEnd w:id="1502"/>
      <w:r w:rsidRPr="006B1A5A">
        <w:rPr>
          <w:lang w:eastAsia="en-US"/>
        </w:rPr>
        <w:t xml:space="preserve"> </w:t>
      </w:r>
      <w:r w:rsidRPr="006B1A5A">
        <w:t xml:space="preserve">To support the decision on approval, the </w:t>
      </w:r>
      <w:r w:rsidRPr="006B1A5A">
        <w:rPr>
          <w:rFonts w:cs="Verdana"/>
          <w:lang w:eastAsia="en-US"/>
        </w:rPr>
        <w:t xml:space="preserve">hazard assessment of dicopper oxide was conducted in line with the assessment of other copper compounds dossiers for PT21. </w:t>
      </w:r>
    </w:p>
    <w:p w14:paraId="117D61DA" w14:textId="77777777" w:rsidR="001042DA" w:rsidRPr="006B1A5A" w:rsidRDefault="001042DA" w:rsidP="001042DA">
      <w:pPr>
        <w:autoSpaceDE w:val="0"/>
        <w:autoSpaceDN w:val="0"/>
        <w:adjustRightInd w:val="0"/>
        <w:jc w:val="both"/>
        <w:rPr>
          <w:lang w:eastAsia="en-US"/>
        </w:rPr>
      </w:pPr>
    </w:p>
    <w:p w14:paraId="121FA9B0" w14:textId="77777777" w:rsidR="001042DA" w:rsidRPr="006B1A5A" w:rsidRDefault="001042DA" w:rsidP="001042DA">
      <w:pPr>
        <w:autoSpaceDE w:val="0"/>
        <w:autoSpaceDN w:val="0"/>
        <w:adjustRightInd w:val="0"/>
        <w:jc w:val="both"/>
      </w:pPr>
      <w:r w:rsidRPr="006B1A5A">
        <w:t xml:space="preserve">The </w:t>
      </w:r>
      <w:r w:rsidRPr="006B1A5A">
        <w:rPr>
          <w:noProof/>
        </w:rPr>
        <w:t>harmonised</w:t>
      </w:r>
      <w:r w:rsidRPr="006B1A5A">
        <w:t xml:space="preserve"> classification according to Regulation (EC) No 1272/2008 (CLP Regulation) of the </w:t>
      </w:r>
      <w:r w:rsidRPr="006B1A5A">
        <w:rPr>
          <w:noProof/>
        </w:rPr>
        <w:t>active substance</w:t>
      </w:r>
      <w:r w:rsidRPr="006B1A5A">
        <w:t xml:space="preserve"> is available (ATP09). The human hazards related </w:t>
      </w:r>
      <w:r w:rsidRPr="006B1A5A">
        <w:rPr>
          <w:noProof/>
        </w:rPr>
        <w:t>to</w:t>
      </w:r>
      <w:r w:rsidRPr="006B1A5A">
        <w:t xml:space="preserve"> this substance are the following Acute Tox (Cat 4, H332, Inhalation), Acute Tox. (Cat 4, H302, oral) and Eye Dam. (Cat 1, H318). </w:t>
      </w:r>
    </w:p>
    <w:bookmarkEnd w:id="1500"/>
    <w:bookmarkEnd w:id="1501"/>
    <w:p w14:paraId="63BD6EF8" w14:textId="77777777" w:rsidR="001042DA" w:rsidRPr="006B1A5A" w:rsidRDefault="001042DA" w:rsidP="001042DA">
      <w:pPr>
        <w:autoSpaceDE w:val="0"/>
        <w:autoSpaceDN w:val="0"/>
        <w:adjustRightInd w:val="0"/>
        <w:jc w:val="both"/>
      </w:pPr>
    </w:p>
    <w:p w14:paraId="75571C79" w14:textId="77777777" w:rsidR="001042DA" w:rsidRPr="006B1A5A" w:rsidRDefault="001042DA" w:rsidP="001042DA">
      <w:pPr>
        <w:autoSpaceDE w:val="0"/>
        <w:autoSpaceDN w:val="0"/>
        <w:adjustRightInd w:val="0"/>
        <w:jc w:val="both"/>
      </w:pPr>
      <w:r w:rsidRPr="006B1A5A">
        <w:t xml:space="preserve">Copper thiocyanate </w:t>
      </w:r>
      <w:r w:rsidRPr="006B1A5A">
        <w:rPr>
          <w:lang w:eastAsia="en-US"/>
        </w:rPr>
        <w:t xml:space="preserve">is approved for </w:t>
      </w:r>
      <w:r w:rsidRPr="006B1A5A">
        <w:rPr>
          <w:noProof/>
          <w:lang w:eastAsia="en-US"/>
        </w:rPr>
        <w:t>use</w:t>
      </w:r>
      <w:r w:rsidRPr="006B1A5A">
        <w:rPr>
          <w:lang w:eastAsia="en-US"/>
        </w:rPr>
        <w:t xml:space="preserve"> in product-type PT21 in the context of Regulation (EU) No.528/2012.</w:t>
      </w:r>
    </w:p>
    <w:p w14:paraId="29EC3BE1" w14:textId="77777777" w:rsidR="001042DA" w:rsidRPr="006B1A5A" w:rsidRDefault="001042DA" w:rsidP="001042DA">
      <w:pPr>
        <w:autoSpaceDE w:val="0"/>
        <w:autoSpaceDN w:val="0"/>
        <w:adjustRightInd w:val="0"/>
        <w:jc w:val="both"/>
      </w:pPr>
    </w:p>
    <w:p w14:paraId="66C1EC32" w14:textId="77777777" w:rsidR="001042DA" w:rsidRPr="006B1A5A" w:rsidRDefault="001042DA" w:rsidP="001042DA">
      <w:pPr>
        <w:autoSpaceDE w:val="0"/>
        <w:autoSpaceDN w:val="0"/>
        <w:adjustRightInd w:val="0"/>
        <w:jc w:val="both"/>
      </w:pPr>
      <w:r w:rsidRPr="006B1A5A">
        <w:t xml:space="preserve">The </w:t>
      </w:r>
      <w:r w:rsidRPr="006B1A5A">
        <w:rPr>
          <w:noProof/>
        </w:rPr>
        <w:t>harmonised</w:t>
      </w:r>
      <w:r w:rsidRPr="006B1A5A">
        <w:t xml:space="preserve"> classification according to Regulation (EC) No 1272/2008 is available (ATP09) for copper </w:t>
      </w:r>
      <w:r w:rsidRPr="006B1A5A">
        <w:rPr>
          <w:rFonts w:cs="Verdana"/>
          <w:lang w:eastAsia="en-US"/>
        </w:rPr>
        <w:t>thiocyanate</w:t>
      </w:r>
      <w:r w:rsidRPr="006B1A5A">
        <w:t xml:space="preserve"> and does not include any classification for human hazards.</w:t>
      </w:r>
    </w:p>
    <w:p w14:paraId="388F229D" w14:textId="77777777" w:rsidR="001042DA" w:rsidRDefault="001042DA" w:rsidP="001042DA">
      <w:pPr>
        <w:autoSpaceDE w:val="0"/>
        <w:autoSpaceDN w:val="0"/>
        <w:adjustRightInd w:val="0"/>
        <w:jc w:val="both"/>
      </w:pPr>
    </w:p>
    <w:p w14:paraId="0F13BB5A" w14:textId="1BF386DE" w:rsidR="00182256" w:rsidRDefault="001042DA" w:rsidP="00182256">
      <w:pPr>
        <w:autoSpaceDE w:val="0"/>
        <w:autoSpaceDN w:val="0"/>
        <w:adjustRightInd w:val="0"/>
        <w:jc w:val="both"/>
      </w:pPr>
      <w:bookmarkStart w:id="1503" w:name="_Hlk65571681"/>
      <w:r w:rsidRPr="006B1A5A">
        <w:t xml:space="preserve">No repeated toxicity study by oral route was provided for dicopper oxide nor copper thiocyanate. </w:t>
      </w:r>
      <w:r w:rsidR="00182256">
        <w:t xml:space="preserve">However, it was decided that read across to other </w:t>
      </w:r>
      <w:r w:rsidR="004D4AF7">
        <w:t xml:space="preserve">relevant </w:t>
      </w:r>
      <w:r w:rsidR="00182256">
        <w:t>copper compound (</w:t>
      </w:r>
      <w:r w:rsidR="004D4AF7">
        <w:t xml:space="preserve">e.g. </w:t>
      </w:r>
      <w:r w:rsidR="00182256">
        <w:t xml:space="preserve">copper </w:t>
      </w:r>
      <w:r w:rsidR="00182256" w:rsidRPr="00452A3E">
        <w:rPr>
          <w:rFonts w:cs="Verdana"/>
          <w:color w:val="000000"/>
          <w:lang w:val="en-US"/>
        </w:rPr>
        <w:t>sul</w:t>
      </w:r>
      <w:r w:rsidR="004D4AF7">
        <w:rPr>
          <w:rFonts w:cs="Verdana"/>
          <w:color w:val="000000"/>
          <w:lang w:val="en-US"/>
        </w:rPr>
        <w:t>ph</w:t>
      </w:r>
      <w:r w:rsidR="00182256" w:rsidRPr="00452A3E">
        <w:rPr>
          <w:rFonts w:cs="Verdana"/>
          <w:color w:val="000000"/>
          <w:lang w:val="en-US"/>
        </w:rPr>
        <w:t>ate pentahydrate</w:t>
      </w:r>
      <w:r w:rsidR="00182256">
        <w:rPr>
          <w:rFonts w:cs="Verdana"/>
          <w:color w:val="000000"/>
          <w:lang w:val="en-US"/>
        </w:rPr>
        <w:t>)</w:t>
      </w:r>
      <w:r w:rsidR="00182256" w:rsidRPr="00452A3E">
        <w:rPr>
          <w:rFonts w:cs="Verdana"/>
          <w:color w:val="000000"/>
          <w:lang w:val="en-US"/>
        </w:rPr>
        <w:t xml:space="preserve"> </w:t>
      </w:r>
      <w:r w:rsidR="00182256">
        <w:rPr>
          <w:rFonts w:cs="Verdana"/>
          <w:color w:val="000000"/>
          <w:lang w:val="en-US"/>
        </w:rPr>
        <w:t xml:space="preserve">was applicable. </w:t>
      </w:r>
      <w:r w:rsidR="00182256">
        <w:rPr>
          <w:rFonts w:cs="Verdana"/>
          <w:color w:val="000000"/>
        </w:rPr>
        <w:t xml:space="preserve">Further information can be found in </w:t>
      </w:r>
      <w:r w:rsidR="00182256">
        <w:t>the assessment report</w:t>
      </w:r>
      <w:r w:rsidR="00B0116C">
        <w:t>s</w:t>
      </w:r>
      <w:r w:rsidR="004D4AF7">
        <w:t>,</w:t>
      </w:r>
      <w:r w:rsidR="00182256">
        <w:t xml:space="preserve"> as further elaborated in the competent authority report</w:t>
      </w:r>
      <w:r w:rsidR="004D4AF7">
        <w:t>s</w:t>
      </w:r>
      <w:r w:rsidR="00182256">
        <w:t xml:space="preserve"> of dico</w:t>
      </w:r>
      <w:r w:rsidR="004D4AF7">
        <w:t>pp</w:t>
      </w:r>
      <w:r w:rsidR="00182256">
        <w:t>er oxide and copper thiocyanate</w:t>
      </w:r>
      <w:r w:rsidR="00EB4AD4">
        <w:t xml:space="preserve"> (ECHA, 2016a and 2016b).</w:t>
      </w:r>
      <w:r w:rsidR="00182256">
        <w:t xml:space="preserve"> </w:t>
      </w:r>
    </w:p>
    <w:p w14:paraId="066F7421" w14:textId="6890A0B2" w:rsidR="00182256" w:rsidRDefault="00EB4AD4" w:rsidP="00EB4AD4">
      <w:pPr>
        <w:tabs>
          <w:tab w:val="left" w:pos="5670"/>
        </w:tabs>
        <w:autoSpaceDE w:val="0"/>
        <w:autoSpaceDN w:val="0"/>
        <w:adjustRightInd w:val="0"/>
      </w:pPr>
      <w:r>
        <w:tab/>
      </w:r>
    </w:p>
    <w:p w14:paraId="4C152CB0" w14:textId="32875C2C" w:rsidR="001042DA" w:rsidRPr="006B1A5A" w:rsidRDefault="001042DA" w:rsidP="001042DA">
      <w:pPr>
        <w:autoSpaceDE w:val="0"/>
        <w:autoSpaceDN w:val="0"/>
        <w:adjustRightInd w:val="0"/>
        <w:jc w:val="both"/>
        <w:rPr>
          <w:rFonts w:cs="Verdana"/>
          <w:lang w:eastAsia="en-US"/>
        </w:rPr>
      </w:pPr>
      <w:bookmarkStart w:id="1504" w:name="_Hlk65571758"/>
      <w:bookmarkEnd w:id="1503"/>
      <w:r w:rsidRPr="00B0116C">
        <w:rPr>
          <w:rFonts w:cs="Verdana"/>
          <w:lang w:eastAsia="en-US"/>
        </w:rPr>
        <w:t xml:space="preserve">It is important to note </w:t>
      </w:r>
      <w:bookmarkStart w:id="1505" w:name="_Hlk54795065"/>
      <w:r w:rsidRPr="00B0116C">
        <w:rPr>
          <w:rFonts w:cs="Verdana"/>
          <w:lang w:eastAsia="en-US"/>
        </w:rPr>
        <w:t>that copper is a micronutrient, essential for life and necessary for all living cell</w:t>
      </w:r>
      <w:bookmarkEnd w:id="1504"/>
      <w:r w:rsidRPr="00B0116C">
        <w:rPr>
          <w:rFonts w:cs="Verdana"/>
          <w:lang w:eastAsia="en-US"/>
        </w:rPr>
        <w:t xml:space="preserve">s. It is essential for a </w:t>
      </w:r>
      <w:r w:rsidRPr="00B0116C">
        <w:rPr>
          <w:rFonts w:cs="Verdana"/>
          <w:noProof/>
          <w:lang w:eastAsia="en-US"/>
        </w:rPr>
        <w:t>normal physiological function</w:t>
      </w:r>
      <w:r w:rsidRPr="00B0116C">
        <w:rPr>
          <w:rFonts w:cs="Verdana"/>
          <w:lang w:eastAsia="en-US"/>
        </w:rPr>
        <w:t xml:space="preserve"> such as cellular respiration, free radical </w:t>
      </w:r>
      <w:r w:rsidRPr="00B0116C">
        <w:rPr>
          <w:rFonts w:cs="Verdana"/>
          <w:noProof/>
          <w:lang w:eastAsia="en-US"/>
        </w:rPr>
        <w:t>defense</w:t>
      </w:r>
      <w:r w:rsidRPr="00B0116C">
        <w:rPr>
          <w:rFonts w:cs="Verdana"/>
          <w:lang w:eastAsia="en-US"/>
        </w:rPr>
        <w:t xml:space="preserve">, synthesis of melanin, connective tissue, iron metabolism, regulation of gene expression, and normal function of the heart, brain and immune system. On the other hand, copper transport mechanisms in the organism form part of the system of </w:t>
      </w:r>
      <w:r w:rsidRPr="00B0116C">
        <w:rPr>
          <w:rFonts w:cs="Verdana,Bold"/>
          <w:bCs/>
          <w:lang w:eastAsia="en-US"/>
        </w:rPr>
        <w:t>homeostasis</w:t>
      </w:r>
      <w:r w:rsidRPr="00B0116C">
        <w:rPr>
          <w:rFonts w:cs="Verdana"/>
          <w:lang w:eastAsia="en-US"/>
        </w:rPr>
        <w:t xml:space="preserve">, i.e., the body can maintain a balance of dietary copper intake and excretion that allows normal physiological processes to take place. Deficiency in copper is associated with growth retardation, anaemia, skin lesions, impaired immunity, intestinal atrophy, impaired cardiac function, reproductive disturbance, neurological defects and skeletal lesions. Additionally, copper is present in almost all foods, and some products. Most human diets naturally include between 1 and 2 mg/person/day of copper, with some containing up to 4 mg/person/day. </w:t>
      </w:r>
      <w:bookmarkStart w:id="1506" w:name="_Hlk11269790"/>
      <w:r w:rsidRPr="00B0116C">
        <w:rPr>
          <w:rFonts w:cs="Verdana"/>
          <w:lang w:eastAsia="en-US"/>
        </w:rPr>
        <w:t>Copper intake which exceeds the capacity of the endogenous homeostasis results in toxicity, or excess copper disease. Chronic copper toxicity is very rare, and the upper limit of homeostasis has never been strictly defined</w:t>
      </w:r>
      <w:r w:rsidR="00B174CA" w:rsidRPr="00B0116C">
        <w:rPr>
          <w:rFonts w:cs="Verdana"/>
          <w:lang w:eastAsia="en-US"/>
        </w:rPr>
        <w:t xml:space="preserve"> (</w:t>
      </w:r>
      <w:r w:rsidR="00B174CA" w:rsidRPr="00B0116C">
        <w:rPr>
          <w:rFonts w:eastAsia="Calibri"/>
          <w:noProof/>
          <w:lang w:eastAsia="en-US"/>
        </w:rPr>
        <w:t>ECHA</w:t>
      </w:r>
      <w:r w:rsidR="00E20C66" w:rsidRPr="00B0116C">
        <w:rPr>
          <w:rFonts w:eastAsia="Calibri"/>
          <w:noProof/>
          <w:lang w:eastAsia="en-US"/>
        </w:rPr>
        <w:t>, 2</w:t>
      </w:r>
      <w:r w:rsidR="00B174CA" w:rsidRPr="00B0116C">
        <w:t>016a</w:t>
      </w:r>
      <w:r w:rsidR="00886A6B">
        <w:t xml:space="preserve"> and 2016b</w:t>
      </w:r>
      <w:r w:rsidR="00B174CA" w:rsidRPr="00B0116C">
        <w:t>)</w:t>
      </w:r>
      <w:r w:rsidRPr="00B0116C">
        <w:rPr>
          <w:rFonts w:cs="Verdana"/>
          <w:lang w:eastAsia="en-US"/>
        </w:rPr>
        <w:t>.</w:t>
      </w:r>
    </w:p>
    <w:bookmarkEnd w:id="1506"/>
    <w:p w14:paraId="63602A76" w14:textId="77777777" w:rsidR="001042DA" w:rsidRPr="006B1A5A" w:rsidRDefault="001042DA" w:rsidP="001042DA">
      <w:pPr>
        <w:autoSpaceDE w:val="0"/>
        <w:autoSpaceDN w:val="0"/>
        <w:adjustRightInd w:val="0"/>
        <w:jc w:val="both"/>
      </w:pPr>
    </w:p>
    <w:p w14:paraId="7B49EF7E" w14:textId="3ADA8471" w:rsidR="001042DA" w:rsidRPr="006B1A5A" w:rsidRDefault="001042DA" w:rsidP="001042DA">
      <w:pPr>
        <w:autoSpaceDE w:val="0"/>
        <w:autoSpaceDN w:val="0"/>
        <w:adjustRightInd w:val="0"/>
        <w:rPr>
          <w:strike/>
        </w:rPr>
      </w:pPr>
      <w:bookmarkStart w:id="1507" w:name="_Hlk65571796"/>
      <w:r w:rsidRPr="006B1A5A">
        <w:rPr>
          <w:rFonts w:cs="Verdana"/>
          <w:lang w:eastAsia="en-US"/>
        </w:rPr>
        <w:t xml:space="preserve">Based on the CA reports on </w:t>
      </w:r>
      <w:r w:rsidRPr="006B1A5A">
        <w:t>dicopper oxide and copper thiocyanate, t</w:t>
      </w:r>
      <w:r w:rsidRPr="006B1A5A">
        <w:rPr>
          <w:rFonts w:cs="Verdana"/>
          <w:lang w:eastAsia="en-US"/>
        </w:rPr>
        <w:t>he key health effects to consider in the risk assessment are the kidney and forestomach</w:t>
      </w:r>
      <w:r w:rsidRPr="006B1A5A">
        <w:rPr>
          <w:rFonts w:cs="Verdana"/>
          <w:strike/>
          <w:lang w:eastAsia="en-US"/>
        </w:rPr>
        <w:t xml:space="preserve"> </w:t>
      </w:r>
      <w:r w:rsidRPr="006B1A5A">
        <w:rPr>
          <w:rFonts w:cs="Verdana"/>
          <w:lang w:eastAsia="en-US"/>
        </w:rPr>
        <w:t xml:space="preserve">damages observed in the 90-day dietary study in rats (with the test material copper sulphate pentahydrate). A NOAEL of 1000 ppm (16.3 and 17.3 </w:t>
      </w:r>
      <w:r w:rsidRPr="003B07D2">
        <w:rPr>
          <w:rFonts w:cs="Verdana"/>
          <w:lang w:eastAsia="en-US"/>
        </w:rPr>
        <w:t>mg Cu/kg bw/</w:t>
      </w:r>
      <w:r w:rsidRPr="006B1A5A">
        <w:rPr>
          <w:rFonts w:cs="Verdana"/>
          <w:lang w:eastAsia="en-US"/>
        </w:rPr>
        <w:t>day in male and female rats respectively) was established based on the kidney effects. The lowest of these NOAEL values was used when deriving the short-term and long term AEL values.</w:t>
      </w:r>
    </w:p>
    <w:bookmarkEnd w:id="1507"/>
    <w:p w14:paraId="5E75B3ED" w14:textId="77777777" w:rsidR="001042DA" w:rsidRPr="006B1A5A" w:rsidRDefault="001042DA" w:rsidP="001042DA">
      <w:pPr>
        <w:jc w:val="both"/>
        <w:rPr>
          <w:rFonts w:cs="Verdana"/>
          <w:lang w:eastAsia="en-US"/>
        </w:rPr>
      </w:pPr>
    </w:p>
    <w:p w14:paraId="64846E60" w14:textId="212CE71B" w:rsidR="001042DA" w:rsidRPr="006B1A5A" w:rsidRDefault="001042DA" w:rsidP="001042DA">
      <w:pPr>
        <w:autoSpaceDE w:val="0"/>
        <w:autoSpaceDN w:val="0"/>
        <w:adjustRightInd w:val="0"/>
        <w:rPr>
          <w:strike/>
        </w:rPr>
      </w:pPr>
      <w:r w:rsidRPr="006B1A5A">
        <w:t>No robust data on toxicity is available to the SCN anion (</w:t>
      </w:r>
      <w:r w:rsidRPr="006B1A5A">
        <w:rPr>
          <w:rFonts w:cs="Verdana"/>
          <w:lang w:eastAsia="en-US"/>
        </w:rPr>
        <w:t>Only 90-day and 14-day studies for repeated toxicity were provided, whereas information on teratogenicity, fertility and carcinogenicity were not available)</w:t>
      </w:r>
      <w:r w:rsidRPr="006B1A5A">
        <w:t xml:space="preserve">. It is proposed to compare the exposure of thiocyanate via antifouling use to the daily exposure via diet in humans as proposed in the </w:t>
      </w:r>
      <w:r w:rsidR="0044049A">
        <w:t>a</w:t>
      </w:r>
      <w:r w:rsidRPr="006B1A5A">
        <w:t>ssessment report on copper thiocyanate</w:t>
      </w:r>
      <w:r w:rsidR="00B174CA">
        <w:t xml:space="preserve"> (ECHA, 2016b)</w:t>
      </w:r>
      <w:r w:rsidRPr="006B1A5A">
        <w:t xml:space="preserve">. </w:t>
      </w:r>
    </w:p>
    <w:p w14:paraId="478B4C90" w14:textId="77777777" w:rsidR="001042DA" w:rsidRPr="006B1A5A" w:rsidRDefault="001042DA" w:rsidP="001042DA">
      <w:pPr>
        <w:jc w:val="both"/>
        <w:rPr>
          <w:rFonts w:cs="Verdana"/>
          <w:lang w:eastAsia="en-US"/>
        </w:rPr>
      </w:pPr>
    </w:p>
    <w:bookmarkEnd w:id="1505"/>
    <w:p w14:paraId="46051B89" w14:textId="52AACA21" w:rsidR="001042DA" w:rsidRPr="006B1A5A" w:rsidRDefault="001042DA" w:rsidP="001042DA">
      <w:pPr>
        <w:jc w:val="both"/>
      </w:pPr>
      <w:r w:rsidRPr="006B1A5A">
        <w:t xml:space="preserve">Most of the co-formulants in the AquaNet 360 biocidal products are not classified under CLP, and those that trigger classification for human health hazards are of low toxicity. None of the co-formulants has been identified as being CMR substances (see the respective documentation in Section 13 of the IUCLID file).  </w:t>
      </w:r>
    </w:p>
    <w:p w14:paraId="4CFE2DD6" w14:textId="77777777" w:rsidR="001042DA" w:rsidRPr="006B1A5A" w:rsidRDefault="001042DA" w:rsidP="001042DA">
      <w:pPr>
        <w:jc w:val="both"/>
      </w:pPr>
    </w:p>
    <w:p w14:paraId="4E314721" w14:textId="7D192D39" w:rsidR="001042DA" w:rsidRPr="006B1A5A" w:rsidRDefault="001042DA" w:rsidP="001042DA">
      <w:pPr>
        <w:jc w:val="both"/>
      </w:pPr>
      <w:r w:rsidRPr="006B1A5A">
        <w:t>The composition and CLP classification for human health hazards of the co-formulants are presented in the confidential Annex (See section 3.6)</w:t>
      </w:r>
      <w:r w:rsidR="0044049A">
        <w:t>.</w:t>
      </w:r>
    </w:p>
    <w:p w14:paraId="53829567" w14:textId="77777777" w:rsidR="001042DA" w:rsidRPr="006B1A5A" w:rsidRDefault="001042DA" w:rsidP="001042DA">
      <w:pPr>
        <w:jc w:val="both"/>
      </w:pPr>
    </w:p>
    <w:p w14:paraId="53AA7725" w14:textId="77777777" w:rsidR="001042DA" w:rsidRPr="006B1A5A" w:rsidRDefault="001042DA" w:rsidP="001042DA">
      <w:pPr>
        <w:jc w:val="both"/>
      </w:pPr>
      <w:r w:rsidRPr="006B1A5A">
        <w:t xml:space="preserve">Overall, neither the active substances (dicopper oxide or </w:t>
      </w:r>
      <w:r w:rsidRPr="006B1A5A">
        <w:rPr>
          <w:rFonts w:cs="Verdana"/>
          <w:lang w:eastAsia="en-US"/>
        </w:rPr>
        <w:t>copper thiocyanate</w:t>
      </w:r>
      <w:r w:rsidRPr="006B1A5A">
        <w:t>) nor the co-formulations show any sign of carcinogenic, genotoxic or reproductive/ developmental (CMR) effects (for further information please refer to the assessment report (AR) of the active substances).</w:t>
      </w:r>
    </w:p>
    <w:p w14:paraId="4DA9A167" w14:textId="77777777" w:rsidR="001042DA" w:rsidRPr="006B1A5A" w:rsidRDefault="001042DA" w:rsidP="001042DA">
      <w:pPr>
        <w:jc w:val="both"/>
      </w:pPr>
    </w:p>
    <w:p w14:paraId="0C86500D" w14:textId="77777777" w:rsidR="001042DA" w:rsidRPr="006B1A5A" w:rsidRDefault="001042DA" w:rsidP="001042DA">
      <w:pPr>
        <w:spacing w:line="260" w:lineRule="atLeast"/>
        <w:rPr>
          <w:rFonts w:eastAsia="Calibri"/>
          <w:b/>
          <w:bCs/>
          <w:lang w:eastAsia="en-US"/>
        </w:rPr>
      </w:pPr>
    </w:p>
    <w:p w14:paraId="17B9C017" w14:textId="77777777" w:rsidR="001042DA" w:rsidRPr="006B1A5A" w:rsidRDefault="001042DA" w:rsidP="001042DA">
      <w:pPr>
        <w:spacing w:line="260" w:lineRule="atLeast"/>
        <w:rPr>
          <w:rFonts w:eastAsia="Calibri"/>
          <w:b/>
          <w:bCs/>
          <w:lang w:eastAsia="en-US"/>
        </w:rPr>
      </w:pPr>
      <w:r w:rsidRPr="006B1A5A">
        <w:rPr>
          <w:rFonts w:eastAsia="Calibri"/>
          <w:b/>
          <w:bCs/>
          <w:lang w:eastAsia="en-US"/>
        </w:rPr>
        <w:t xml:space="preserve">Reference values to be used in the Risk Characterisation </w:t>
      </w:r>
    </w:p>
    <w:p w14:paraId="4C0B0321" w14:textId="78A4D838" w:rsidR="001042DA" w:rsidRPr="006B1A5A" w:rsidRDefault="001042DA" w:rsidP="001042DA">
      <w:pPr>
        <w:spacing w:line="260" w:lineRule="atLeast"/>
        <w:rPr>
          <w:rFonts w:eastAsia="Calibri"/>
          <w:b/>
          <w:bCs/>
          <w:sz w:val="16"/>
          <w:szCs w:val="16"/>
          <w:lang w:eastAsia="en-US"/>
        </w:rPr>
      </w:pPr>
      <w:r w:rsidRPr="006B1A5A">
        <w:rPr>
          <w:rFonts w:eastAsia="Calibri"/>
          <w:b/>
          <w:bCs/>
          <w:sz w:val="16"/>
          <w:szCs w:val="16"/>
          <w:lang w:eastAsia="en-US"/>
        </w:rPr>
        <w:t>(ref: Assessment report for dicopper oxide and copper thiocyanate</w:t>
      </w:r>
      <w:r w:rsidR="00E20C66">
        <w:rPr>
          <w:rFonts w:eastAsia="Calibri"/>
          <w:b/>
          <w:bCs/>
          <w:sz w:val="16"/>
          <w:szCs w:val="16"/>
          <w:lang w:eastAsia="en-US"/>
        </w:rPr>
        <w:t xml:space="preserve"> (ECHA, 2016a and ECHA, 2016b)</w:t>
      </w:r>
      <w:r w:rsidRPr="006B1A5A">
        <w:rPr>
          <w:rFonts w:eastAsia="Calibri"/>
          <w:b/>
          <w:bCs/>
          <w:sz w:val="16"/>
          <w:szCs w:val="16"/>
          <w:lang w:eastAsia="en-US"/>
        </w:rPr>
        <w:t>)</w:t>
      </w:r>
    </w:p>
    <w:p w14:paraId="5D83DB7C" w14:textId="77777777" w:rsidR="001042DA" w:rsidRPr="006B1A5A" w:rsidRDefault="001042DA" w:rsidP="001042DA">
      <w:pPr>
        <w:spacing w:line="260" w:lineRule="atLeast"/>
        <w:rPr>
          <w:rFonts w:eastAsia="Calibri"/>
          <w:b/>
          <w:bCs/>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931"/>
        <w:gridCol w:w="2157"/>
        <w:gridCol w:w="1164"/>
        <w:gridCol w:w="1444"/>
        <w:gridCol w:w="1953"/>
      </w:tblGrid>
      <w:tr w:rsidR="001042DA" w:rsidRPr="006B1A5A" w14:paraId="5AC10255" w14:textId="77777777" w:rsidTr="009E2C3B">
        <w:tc>
          <w:tcPr>
            <w:tcW w:w="1555" w:type="dxa"/>
            <w:shd w:val="clear" w:color="auto" w:fill="FFFFCC"/>
            <w:vAlign w:val="center"/>
          </w:tcPr>
          <w:p w14:paraId="2687FD5D" w14:textId="77777777" w:rsidR="001042DA" w:rsidRPr="006B1A5A" w:rsidRDefault="001042DA" w:rsidP="00AF2AEA">
            <w:pPr>
              <w:spacing w:line="260" w:lineRule="atLeast"/>
              <w:rPr>
                <w:rFonts w:eastAsia="Calibri"/>
                <w:b/>
                <w:sz w:val="18"/>
                <w:szCs w:val="18"/>
                <w:lang w:eastAsia="en-US"/>
              </w:rPr>
            </w:pPr>
            <w:r w:rsidRPr="006B1A5A">
              <w:rPr>
                <w:rFonts w:eastAsia="Calibri"/>
                <w:b/>
                <w:sz w:val="18"/>
                <w:szCs w:val="18"/>
                <w:lang w:eastAsia="en-US"/>
              </w:rPr>
              <w:t xml:space="preserve">Reference </w:t>
            </w:r>
          </w:p>
        </w:tc>
        <w:tc>
          <w:tcPr>
            <w:tcW w:w="931" w:type="dxa"/>
            <w:shd w:val="clear" w:color="auto" w:fill="FFFFCC"/>
            <w:vAlign w:val="center"/>
          </w:tcPr>
          <w:p w14:paraId="4A0FA00B" w14:textId="77777777" w:rsidR="001042DA" w:rsidRPr="006B1A5A" w:rsidRDefault="001042DA" w:rsidP="00AF2AEA">
            <w:pPr>
              <w:spacing w:line="260" w:lineRule="atLeast"/>
              <w:jc w:val="center"/>
              <w:rPr>
                <w:rFonts w:eastAsia="Calibri"/>
                <w:b/>
                <w:sz w:val="18"/>
                <w:szCs w:val="18"/>
                <w:lang w:eastAsia="en-US"/>
              </w:rPr>
            </w:pPr>
            <w:r w:rsidRPr="006B1A5A">
              <w:rPr>
                <w:rFonts w:eastAsia="Calibri"/>
                <w:b/>
                <w:sz w:val="18"/>
                <w:szCs w:val="18"/>
                <w:lang w:eastAsia="en-US"/>
              </w:rPr>
              <w:t>Study</w:t>
            </w:r>
          </w:p>
        </w:tc>
        <w:tc>
          <w:tcPr>
            <w:tcW w:w="2157" w:type="dxa"/>
            <w:shd w:val="clear" w:color="auto" w:fill="FFFFCC"/>
            <w:vAlign w:val="center"/>
          </w:tcPr>
          <w:p w14:paraId="547B95DE" w14:textId="77777777" w:rsidR="001042DA" w:rsidRPr="006B1A5A" w:rsidRDefault="001042DA" w:rsidP="00AF2AEA">
            <w:pPr>
              <w:spacing w:line="260" w:lineRule="atLeast"/>
              <w:jc w:val="center"/>
              <w:rPr>
                <w:rFonts w:eastAsia="Calibri"/>
                <w:b/>
                <w:sz w:val="18"/>
                <w:szCs w:val="18"/>
                <w:lang w:eastAsia="en-US"/>
              </w:rPr>
            </w:pPr>
            <w:r w:rsidRPr="006B1A5A">
              <w:rPr>
                <w:rFonts w:eastAsia="Calibri"/>
                <w:b/>
                <w:sz w:val="18"/>
                <w:szCs w:val="18"/>
                <w:lang w:eastAsia="en-US"/>
              </w:rPr>
              <w:t>NOAEL (LOAEL)</w:t>
            </w:r>
          </w:p>
        </w:tc>
        <w:tc>
          <w:tcPr>
            <w:tcW w:w="1164" w:type="dxa"/>
            <w:shd w:val="clear" w:color="auto" w:fill="FFFFCC"/>
            <w:vAlign w:val="center"/>
          </w:tcPr>
          <w:p w14:paraId="2431579E" w14:textId="77777777" w:rsidR="001042DA" w:rsidRPr="006B1A5A" w:rsidRDefault="001042DA" w:rsidP="00AF2AEA">
            <w:pPr>
              <w:spacing w:line="260" w:lineRule="atLeast"/>
              <w:jc w:val="center"/>
              <w:rPr>
                <w:rFonts w:eastAsia="Calibri"/>
                <w:b/>
                <w:sz w:val="18"/>
                <w:szCs w:val="18"/>
                <w:vertAlign w:val="superscript"/>
                <w:lang w:eastAsia="en-US"/>
              </w:rPr>
            </w:pPr>
            <w:r w:rsidRPr="006B1A5A">
              <w:rPr>
                <w:rFonts w:eastAsia="Calibri"/>
                <w:b/>
                <w:sz w:val="18"/>
                <w:szCs w:val="18"/>
                <w:lang w:eastAsia="en-US"/>
              </w:rPr>
              <w:t>AF</w:t>
            </w:r>
          </w:p>
        </w:tc>
        <w:tc>
          <w:tcPr>
            <w:tcW w:w="1444" w:type="dxa"/>
            <w:shd w:val="clear" w:color="auto" w:fill="FFFFCC"/>
            <w:vAlign w:val="center"/>
          </w:tcPr>
          <w:p w14:paraId="13FB0671" w14:textId="77777777" w:rsidR="001042DA" w:rsidRPr="006B1A5A" w:rsidRDefault="001042DA" w:rsidP="00AF2AEA">
            <w:pPr>
              <w:spacing w:line="260" w:lineRule="atLeast"/>
              <w:jc w:val="center"/>
              <w:rPr>
                <w:rFonts w:eastAsia="Calibri"/>
                <w:b/>
                <w:sz w:val="18"/>
                <w:szCs w:val="18"/>
                <w:lang w:eastAsia="en-US"/>
              </w:rPr>
            </w:pPr>
            <w:r w:rsidRPr="006B1A5A">
              <w:rPr>
                <w:rFonts w:eastAsia="Calibri"/>
                <w:b/>
                <w:sz w:val="18"/>
                <w:szCs w:val="18"/>
                <w:lang w:eastAsia="en-US"/>
              </w:rPr>
              <w:t>Correction for oral absorption</w:t>
            </w:r>
          </w:p>
        </w:tc>
        <w:tc>
          <w:tcPr>
            <w:tcW w:w="1953" w:type="dxa"/>
            <w:shd w:val="clear" w:color="auto" w:fill="FFFFCC"/>
            <w:vAlign w:val="center"/>
          </w:tcPr>
          <w:p w14:paraId="2032DFD0" w14:textId="77777777" w:rsidR="001042DA" w:rsidRPr="006B1A5A" w:rsidRDefault="001042DA" w:rsidP="00AF2AEA">
            <w:pPr>
              <w:spacing w:line="260" w:lineRule="atLeast"/>
              <w:jc w:val="center"/>
              <w:rPr>
                <w:rFonts w:eastAsia="Calibri"/>
                <w:b/>
                <w:sz w:val="18"/>
                <w:szCs w:val="18"/>
                <w:lang w:eastAsia="en-US"/>
              </w:rPr>
            </w:pPr>
            <w:r w:rsidRPr="006B1A5A">
              <w:rPr>
                <w:rFonts w:eastAsia="Calibri"/>
                <w:b/>
                <w:sz w:val="18"/>
                <w:szCs w:val="18"/>
                <w:lang w:eastAsia="en-US"/>
              </w:rPr>
              <w:t>Value</w:t>
            </w:r>
          </w:p>
        </w:tc>
      </w:tr>
      <w:tr w:rsidR="001042DA" w:rsidRPr="006B1A5A" w14:paraId="7E29AF99" w14:textId="77777777" w:rsidTr="00AF2AEA">
        <w:tc>
          <w:tcPr>
            <w:tcW w:w="9204" w:type="dxa"/>
            <w:gridSpan w:val="6"/>
            <w:shd w:val="clear" w:color="auto" w:fill="FFFFCC"/>
            <w:vAlign w:val="center"/>
          </w:tcPr>
          <w:p w14:paraId="39835391" w14:textId="77777777" w:rsidR="001042DA" w:rsidRPr="006B1A5A" w:rsidRDefault="001042DA" w:rsidP="00AF2AEA">
            <w:pPr>
              <w:spacing w:line="260" w:lineRule="atLeast"/>
              <w:rPr>
                <w:rFonts w:eastAsia="Calibri"/>
                <w:b/>
                <w:sz w:val="18"/>
                <w:szCs w:val="18"/>
                <w:lang w:eastAsia="en-US"/>
              </w:rPr>
            </w:pPr>
            <w:r w:rsidRPr="006B1A5A">
              <w:rPr>
                <w:rFonts w:eastAsia="Calibri"/>
                <w:b/>
                <w:sz w:val="18"/>
                <w:szCs w:val="18"/>
                <w:lang w:eastAsia="en-US"/>
              </w:rPr>
              <w:t>Reference value for copper (from dicopper oxide and copper thiocyanate)</w:t>
            </w:r>
          </w:p>
        </w:tc>
      </w:tr>
      <w:tr w:rsidR="001042DA" w:rsidRPr="006B1A5A" w14:paraId="23E4275E" w14:textId="77777777" w:rsidTr="009E2C3B">
        <w:tc>
          <w:tcPr>
            <w:tcW w:w="1555" w:type="dxa"/>
            <w:shd w:val="clear" w:color="auto" w:fill="auto"/>
            <w:vAlign w:val="center"/>
          </w:tcPr>
          <w:p w14:paraId="20427D31" w14:textId="77777777" w:rsidR="001042DA" w:rsidRPr="006B1A5A" w:rsidRDefault="001042DA" w:rsidP="00AF2AEA">
            <w:pPr>
              <w:spacing w:line="260" w:lineRule="atLeast"/>
              <w:rPr>
                <w:rFonts w:eastAsia="Calibri"/>
                <w:sz w:val="18"/>
                <w:szCs w:val="18"/>
                <w:lang w:eastAsia="en-US"/>
              </w:rPr>
            </w:pPr>
            <w:r w:rsidRPr="006B1A5A">
              <w:rPr>
                <w:rFonts w:eastAsia="Calibri"/>
                <w:sz w:val="18"/>
                <w:szCs w:val="18"/>
                <w:lang w:eastAsia="en-US"/>
              </w:rPr>
              <w:t>AEL</w:t>
            </w:r>
            <w:r w:rsidRPr="006B1A5A">
              <w:rPr>
                <w:rFonts w:eastAsia="Calibri"/>
                <w:sz w:val="18"/>
                <w:szCs w:val="18"/>
                <w:vertAlign w:val="subscript"/>
                <w:lang w:eastAsia="en-US"/>
              </w:rPr>
              <w:t>short-term</w:t>
            </w:r>
          </w:p>
        </w:tc>
        <w:tc>
          <w:tcPr>
            <w:tcW w:w="931" w:type="dxa"/>
            <w:vAlign w:val="center"/>
          </w:tcPr>
          <w:p w14:paraId="31C976FA" w14:textId="77777777" w:rsidR="001042DA" w:rsidRPr="006B1A5A" w:rsidRDefault="001042DA" w:rsidP="00AF2AEA">
            <w:pPr>
              <w:spacing w:line="260" w:lineRule="atLeast"/>
              <w:jc w:val="center"/>
              <w:rPr>
                <w:rFonts w:eastAsia="Calibri"/>
                <w:sz w:val="18"/>
                <w:szCs w:val="18"/>
                <w:lang w:eastAsia="en-US"/>
              </w:rPr>
            </w:pPr>
            <w:r w:rsidRPr="006B1A5A">
              <w:rPr>
                <w:rFonts w:eastAsia="Calibri"/>
                <w:sz w:val="18"/>
                <w:szCs w:val="18"/>
                <w:lang w:eastAsia="en-US"/>
              </w:rPr>
              <w:t>90-day rat study</w:t>
            </w:r>
          </w:p>
        </w:tc>
        <w:tc>
          <w:tcPr>
            <w:tcW w:w="2157" w:type="dxa"/>
            <w:vAlign w:val="center"/>
          </w:tcPr>
          <w:p w14:paraId="18E614D0" w14:textId="77777777" w:rsidR="001042DA" w:rsidRPr="006B1A5A" w:rsidRDefault="001042DA" w:rsidP="00AF2AEA">
            <w:pPr>
              <w:spacing w:line="260" w:lineRule="atLeast"/>
              <w:jc w:val="center"/>
              <w:rPr>
                <w:rFonts w:eastAsia="Calibri"/>
                <w:sz w:val="18"/>
                <w:szCs w:val="18"/>
                <w:lang w:eastAsia="en-US"/>
              </w:rPr>
            </w:pPr>
            <w:r w:rsidRPr="006B1A5A">
              <w:rPr>
                <w:rFonts w:cs="Verdana"/>
                <w:sz w:val="18"/>
                <w:szCs w:val="18"/>
                <w:lang w:eastAsia="en-GB"/>
              </w:rPr>
              <w:t>16.3 mg Cu/kg bw/day</w:t>
            </w:r>
          </w:p>
        </w:tc>
        <w:tc>
          <w:tcPr>
            <w:tcW w:w="1164" w:type="dxa"/>
            <w:vAlign w:val="center"/>
          </w:tcPr>
          <w:p w14:paraId="4DB927AF" w14:textId="77777777" w:rsidR="001042DA" w:rsidRPr="006B1A5A" w:rsidRDefault="001042DA" w:rsidP="00AF2AEA">
            <w:pPr>
              <w:spacing w:line="260" w:lineRule="atLeast"/>
              <w:jc w:val="center"/>
              <w:rPr>
                <w:rFonts w:eastAsia="Calibri"/>
                <w:sz w:val="18"/>
                <w:szCs w:val="18"/>
                <w:lang w:eastAsia="en-US"/>
              </w:rPr>
            </w:pPr>
            <w:r w:rsidRPr="006B1A5A">
              <w:rPr>
                <w:rFonts w:eastAsia="Calibri"/>
                <w:sz w:val="18"/>
                <w:szCs w:val="18"/>
                <w:lang w:eastAsia="en-US"/>
              </w:rPr>
              <w:t>50</w:t>
            </w:r>
          </w:p>
        </w:tc>
        <w:tc>
          <w:tcPr>
            <w:tcW w:w="1444" w:type="dxa"/>
            <w:vAlign w:val="center"/>
          </w:tcPr>
          <w:p w14:paraId="53344049" w14:textId="77777777" w:rsidR="001042DA" w:rsidRPr="006B1A5A" w:rsidRDefault="001042DA" w:rsidP="00AF2AEA">
            <w:pPr>
              <w:spacing w:line="260" w:lineRule="atLeast"/>
              <w:jc w:val="center"/>
              <w:rPr>
                <w:rFonts w:eastAsia="Calibri"/>
                <w:sz w:val="18"/>
                <w:szCs w:val="18"/>
                <w:lang w:eastAsia="en-US"/>
              </w:rPr>
            </w:pPr>
            <w:r w:rsidRPr="006B1A5A">
              <w:rPr>
                <w:rFonts w:eastAsia="Calibri"/>
                <w:sz w:val="18"/>
                <w:szCs w:val="18"/>
                <w:lang w:eastAsia="en-US"/>
              </w:rPr>
              <w:t>25%</w:t>
            </w:r>
          </w:p>
        </w:tc>
        <w:tc>
          <w:tcPr>
            <w:tcW w:w="1953" w:type="dxa"/>
            <w:shd w:val="clear" w:color="auto" w:fill="auto"/>
            <w:vAlign w:val="center"/>
          </w:tcPr>
          <w:p w14:paraId="169316F3" w14:textId="77777777" w:rsidR="001042DA" w:rsidRPr="006B1A5A" w:rsidRDefault="001042DA" w:rsidP="00AF2AEA">
            <w:pPr>
              <w:spacing w:line="260" w:lineRule="atLeast"/>
              <w:jc w:val="center"/>
              <w:rPr>
                <w:rFonts w:eastAsia="Calibri"/>
                <w:sz w:val="18"/>
                <w:szCs w:val="18"/>
                <w:lang w:eastAsia="en-US"/>
              </w:rPr>
            </w:pPr>
            <w:r w:rsidRPr="006B1A5A">
              <w:rPr>
                <w:rFonts w:eastAsia="Calibri"/>
                <w:sz w:val="18"/>
                <w:szCs w:val="18"/>
                <w:lang w:eastAsia="en-US"/>
              </w:rPr>
              <w:t>0.082 mg/kg bw/day</w:t>
            </w:r>
          </w:p>
        </w:tc>
      </w:tr>
      <w:tr w:rsidR="001042DA" w:rsidRPr="006B1A5A" w14:paraId="60B8E491" w14:textId="77777777" w:rsidTr="009E2C3B">
        <w:tc>
          <w:tcPr>
            <w:tcW w:w="1555" w:type="dxa"/>
            <w:shd w:val="clear" w:color="auto" w:fill="auto"/>
            <w:vAlign w:val="center"/>
          </w:tcPr>
          <w:p w14:paraId="02C718BE" w14:textId="77777777" w:rsidR="001042DA" w:rsidRPr="006B1A5A" w:rsidRDefault="001042DA" w:rsidP="00AF2AEA">
            <w:pPr>
              <w:spacing w:line="260" w:lineRule="atLeast"/>
              <w:rPr>
                <w:rFonts w:eastAsia="Calibri"/>
                <w:sz w:val="18"/>
                <w:szCs w:val="18"/>
                <w:lang w:eastAsia="en-US"/>
              </w:rPr>
            </w:pPr>
            <w:r w:rsidRPr="006B1A5A">
              <w:rPr>
                <w:rFonts w:eastAsia="Calibri"/>
                <w:sz w:val="18"/>
                <w:szCs w:val="18"/>
                <w:lang w:eastAsia="en-US"/>
              </w:rPr>
              <w:t>AEL</w:t>
            </w:r>
            <w:r w:rsidRPr="006B1A5A">
              <w:rPr>
                <w:rFonts w:eastAsia="Calibri"/>
                <w:sz w:val="18"/>
                <w:szCs w:val="18"/>
                <w:vertAlign w:val="subscript"/>
                <w:lang w:eastAsia="en-US"/>
              </w:rPr>
              <w:t>medium-term</w:t>
            </w:r>
          </w:p>
        </w:tc>
        <w:tc>
          <w:tcPr>
            <w:tcW w:w="931" w:type="dxa"/>
            <w:vAlign w:val="center"/>
          </w:tcPr>
          <w:p w14:paraId="2B0CF177" w14:textId="77777777" w:rsidR="001042DA" w:rsidRPr="006B1A5A" w:rsidRDefault="001042DA" w:rsidP="00AF2AEA">
            <w:pPr>
              <w:spacing w:line="260" w:lineRule="atLeast"/>
              <w:jc w:val="center"/>
              <w:rPr>
                <w:rFonts w:eastAsia="Calibri"/>
                <w:sz w:val="18"/>
                <w:szCs w:val="18"/>
                <w:lang w:eastAsia="en-US"/>
              </w:rPr>
            </w:pPr>
            <w:r w:rsidRPr="006B1A5A">
              <w:rPr>
                <w:rFonts w:eastAsia="Calibri"/>
                <w:sz w:val="18"/>
                <w:szCs w:val="18"/>
                <w:lang w:eastAsia="en-US"/>
              </w:rPr>
              <w:t>90-day rat study</w:t>
            </w:r>
          </w:p>
        </w:tc>
        <w:tc>
          <w:tcPr>
            <w:tcW w:w="2157" w:type="dxa"/>
            <w:vAlign w:val="center"/>
          </w:tcPr>
          <w:p w14:paraId="2A981DCD" w14:textId="77777777" w:rsidR="001042DA" w:rsidRPr="006B1A5A" w:rsidRDefault="001042DA" w:rsidP="00AF2AEA">
            <w:pPr>
              <w:spacing w:line="260" w:lineRule="atLeast"/>
              <w:jc w:val="center"/>
              <w:rPr>
                <w:rFonts w:eastAsia="Calibri"/>
                <w:sz w:val="18"/>
                <w:szCs w:val="18"/>
                <w:lang w:eastAsia="en-US"/>
              </w:rPr>
            </w:pPr>
            <w:r w:rsidRPr="006B1A5A">
              <w:rPr>
                <w:rFonts w:cs="Verdana"/>
                <w:sz w:val="18"/>
                <w:szCs w:val="18"/>
                <w:lang w:eastAsia="en-GB"/>
              </w:rPr>
              <w:t>16.3 mg Cu/kg bw/day</w:t>
            </w:r>
          </w:p>
        </w:tc>
        <w:tc>
          <w:tcPr>
            <w:tcW w:w="1164" w:type="dxa"/>
            <w:vAlign w:val="center"/>
          </w:tcPr>
          <w:p w14:paraId="28BC1B77" w14:textId="77777777" w:rsidR="001042DA" w:rsidRPr="006B1A5A" w:rsidRDefault="001042DA" w:rsidP="00AF2AEA">
            <w:pPr>
              <w:spacing w:line="260" w:lineRule="atLeast"/>
              <w:jc w:val="center"/>
              <w:rPr>
                <w:rFonts w:eastAsia="Calibri"/>
                <w:sz w:val="18"/>
                <w:szCs w:val="18"/>
                <w:lang w:eastAsia="en-US"/>
              </w:rPr>
            </w:pPr>
            <w:r w:rsidRPr="006B1A5A">
              <w:rPr>
                <w:rFonts w:eastAsia="Calibri"/>
                <w:sz w:val="18"/>
                <w:szCs w:val="18"/>
                <w:lang w:eastAsia="en-US"/>
              </w:rPr>
              <w:t>50</w:t>
            </w:r>
          </w:p>
        </w:tc>
        <w:tc>
          <w:tcPr>
            <w:tcW w:w="1444" w:type="dxa"/>
            <w:vAlign w:val="center"/>
          </w:tcPr>
          <w:p w14:paraId="53765D7A" w14:textId="77777777" w:rsidR="001042DA" w:rsidRPr="006B1A5A" w:rsidRDefault="001042DA" w:rsidP="00AF2AEA">
            <w:pPr>
              <w:spacing w:line="260" w:lineRule="atLeast"/>
              <w:jc w:val="center"/>
              <w:rPr>
                <w:rFonts w:eastAsia="Calibri"/>
                <w:sz w:val="18"/>
                <w:szCs w:val="18"/>
                <w:lang w:eastAsia="en-US"/>
              </w:rPr>
            </w:pPr>
            <w:r w:rsidRPr="006B1A5A">
              <w:rPr>
                <w:rFonts w:eastAsia="Calibri"/>
                <w:sz w:val="18"/>
                <w:szCs w:val="18"/>
                <w:lang w:eastAsia="en-US"/>
              </w:rPr>
              <w:t>25%</w:t>
            </w:r>
          </w:p>
        </w:tc>
        <w:tc>
          <w:tcPr>
            <w:tcW w:w="1953" w:type="dxa"/>
            <w:shd w:val="clear" w:color="auto" w:fill="auto"/>
            <w:vAlign w:val="center"/>
          </w:tcPr>
          <w:p w14:paraId="7EECE277" w14:textId="77777777" w:rsidR="001042DA" w:rsidRPr="006B1A5A" w:rsidRDefault="001042DA" w:rsidP="00AF2AEA">
            <w:pPr>
              <w:spacing w:line="260" w:lineRule="atLeast"/>
              <w:jc w:val="center"/>
              <w:rPr>
                <w:rFonts w:eastAsia="Calibri"/>
                <w:sz w:val="18"/>
                <w:szCs w:val="18"/>
                <w:lang w:eastAsia="en-US"/>
              </w:rPr>
            </w:pPr>
            <w:r w:rsidRPr="006B1A5A">
              <w:rPr>
                <w:rFonts w:eastAsia="Calibri"/>
                <w:sz w:val="18"/>
                <w:szCs w:val="18"/>
                <w:lang w:eastAsia="en-US"/>
              </w:rPr>
              <w:t>0.082 mg/kg bw/day</w:t>
            </w:r>
          </w:p>
        </w:tc>
      </w:tr>
      <w:tr w:rsidR="001042DA" w:rsidRPr="006B1A5A" w14:paraId="4BC7A0F8" w14:textId="77777777" w:rsidTr="009E2C3B">
        <w:tc>
          <w:tcPr>
            <w:tcW w:w="1555" w:type="dxa"/>
            <w:shd w:val="clear" w:color="auto" w:fill="auto"/>
            <w:vAlign w:val="center"/>
          </w:tcPr>
          <w:p w14:paraId="302579E6" w14:textId="77777777" w:rsidR="001042DA" w:rsidRPr="006B1A5A" w:rsidRDefault="001042DA" w:rsidP="00AF2AEA">
            <w:pPr>
              <w:spacing w:line="260" w:lineRule="atLeast"/>
              <w:rPr>
                <w:rFonts w:eastAsia="Calibri"/>
                <w:sz w:val="18"/>
                <w:szCs w:val="18"/>
                <w:lang w:eastAsia="en-US"/>
              </w:rPr>
            </w:pPr>
            <w:r w:rsidRPr="006B1A5A">
              <w:rPr>
                <w:rFonts w:eastAsia="Calibri"/>
                <w:sz w:val="18"/>
                <w:szCs w:val="18"/>
                <w:lang w:eastAsia="en-US"/>
              </w:rPr>
              <w:t>AEL</w:t>
            </w:r>
            <w:r w:rsidRPr="006B1A5A">
              <w:rPr>
                <w:rFonts w:eastAsia="Calibri"/>
                <w:sz w:val="18"/>
                <w:szCs w:val="18"/>
                <w:vertAlign w:val="subscript"/>
                <w:lang w:eastAsia="en-US"/>
              </w:rPr>
              <w:t>long-term</w:t>
            </w:r>
          </w:p>
        </w:tc>
        <w:tc>
          <w:tcPr>
            <w:tcW w:w="931" w:type="dxa"/>
            <w:vAlign w:val="center"/>
          </w:tcPr>
          <w:p w14:paraId="28C243A0" w14:textId="77777777" w:rsidR="001042DA" w:rsidRPr="006B1A5A" w:rsidRDefault="001042DA" w:rsidP="00AF2AEA">
            <w:pPr>
              <w:spacing w:line="260" w:lineRule="atLeast"/>
              <w:jc w:val="center"/>
              <w:rPr>
                <w:rFonts w:eastAsia="Calibri"/>
                <w:sz w:val="18"/>
                <w:szCs w:val="18"/>
                <w:lang w:eastAsia="en-US"/>
              </w:rPr>
            </w:pPr>
            <w:r w:rsidRPr="006B1A5A">
              <w:rPr>
                <w:rFonts w:eastAsia="Calibri"/>
                <w:sz w:val="18"/>
                <w:szCs w:val="18"/>
                <w:lang w:eastAsia="en-US"/>
              </w:rPr>
              <w:t>90-day rat study</w:t>
            </w:r>
          </w:p>
        </w:tc>
        <w:tc>
          <w:tcPr>
            <w:tcW w:w="2157" w:type="dxa"/>
            <w:vAlign w:val="center"/>
          </w:tcPr>
          <w:p w14:paraId="3FA90726" w14:textId="77777777" w:rsidR="001042DA" w:rsidRPr="006B1A5A" w:rsidRDefault="001042DA" w:rsidP="00AF2AEA">
            <w:pPr>
              <w:spacing w:line="260" w:lineRule="atLeast"/>
              <w:jc w:val="center"/>
              <w:rPr>
                <w:rFonts w:eastAsia="Calibri"/>
                <w:sz w:val="18"/>
                <w:szCs w:val="18"/>
                <w:lang w:eastAsia="en-US"/>
              </w:rPr>
            </w:pPr>
            <w:r w:rsidRPr="006B1A5A">
              <w:rPr>
                <w:rFonts w:cs="Verdana"/>
                <w:sz w:val="18"/>
                <w:szCs w:val="18"/>
                <w:lang w:eastAsia="en-GB"/>
              </w:rPr>
              <w:t>16.3 mg Cu/kg bw/day</w:t>
            </w:r>
          </w:p>
        </w:tc>
        <w:tc>
          <w:tcPr>
            <w:tcW w:w="1164" w:type="dxa"/>
            <w:vAlign w:val="center"/>
          </w:tcPr>
          <w:p w14:paraId="52841538" w14:textId="77777777" w:rsidR="001042DA" w:rsidRPr="006B1A5A" w:rsidRDefault="001042DA" w:rsidP="00AF2AEA">
            <w:pPr>
              <w:spacing w:line="260" w:lineRule="atLeast"/>
              <w:jc w:val="center"/>
              <w:rPr>
                <w:rFonts w:eastAsia="Calibri"/>
                <w:sz w:val="18"/>
                <w:szCs w:val="18"/>
                <w:lang w:eastAsia="en-US"/>
              </w:rPr>
            </w:pPr>
            <w:r w:rsidRPr="006B1A5A">
              <w:rPr>
                <w:rFonts w:eastAsia="Calibri"/>
                <w:sz w:val="18"/>
                <w:szCs w:val="18"/>
                <w:lang w:eastAsia="en-US"/>
              </w:rPr>
              <w:t>100</w:t>
            </w:r>
          </w:p>
        </w:tc>
        <w:tc>
          <w:tcPr>
            <w:tcW w:w="1444" w:type="dxa"/>
            <w:vAlign w:val="center"/>
          </w:tcPr>
          <w:p w14:paraId="302EEC12" w14:textId="77777777" w:rsidR="001042DA" w:rsidRPr="006B1A5A" w:rsidRDefault="001042DA" w:rsidP="00AF2AEA">
            <w:pPr>
              <w:spacing w:line="260" w:lineRule="atLeast"/>
              <w:jc w:val="center"/>
              <w:rPr>
                <w:rFonts w:eastAsia="Calibri"/>
                <w:sz w:val="18"/>
                <w:szCs w:val="18"/>
                <w:lang w:eastAsia="en-US"/>
              </w:rPr>
            </w:pPr>
            <w:r w:rsidRPr="006B1A5A">
              <w:rPr>
                <w:rFonts w:eastAsia="Calibri"/>
                <w:sz w:val="18"/>
                <w:szCs w:val="18"/>
                <w:lang w:eastAsia="en-US"/>
              </w:rPr>
              <w:t>25%</w:t>
            </w:r>
          </w:p>
        </w:tc>
        <w:tc>
          <w:tcPr>
            <w:tcW w:w="1953" w:type="dxa"/>
            <w:shd w:val="clear" w:color="auto" w:fill="auto"/>
            <w:vAlign w:val="center"/>
          </w:tcPr>
          <w:p w14:paraId="13234981" w14:textId="77777777" w:rsidR="001042DA" w:rsidRPr="006B1A5A" w:rsidRDefault="001042DA" w:rsidP="00AF2AEA">
            <w:pPr>
              <w:spacing w:line="260" w:lineRule="atLeast"/>
              <w:jc w:val="center"/>
              <w:rPr>
                <w:rFonts w:eastAsia="Calibri"/>
                <w:sz w:val="18"/>
                <w:szCs w:val="18"/>
                <w:lang w:eastAsia="en-US"/>
              </w:rPr>
            </w:pPr>
            <w:r w:rsidRPr="006B1A5A">
              <w:rPr>
                <w:rFonts w:eastAsia="Calibri"/>
                <w:sz w:val="18"/>
                <w:szCs w:val="18"/>
                <w:lang w:eastAsia="en-US"/>
              </w:rPr>
              <w:t>0.041 mg/kg bw/day</w:t>
            </w:r>
          </w:p>
        </w:tc>
      </w:tr>
      <w:tr w:rsidR="001042DA" w:rsidRPr="006B1A5A" w14:paraId="2A4E0B6D" w14:textId="77777777" w:rsidTr="009E2C3B">
        <w:tc>
          <w:tcPr>
            <w:tcW w:w="1555" w:type="dxa"/>
            <w:shd w:val="clear" w:color="auto" w:fill="auto"/>
            <w:vAlign w:val="center"/>
          </w:tcPr>
          <w:p w14:paraId="44773265" w14:textId="77777777" w:rsidR="001042DA" w:rsidRPr="006B1A5A" w:rsidRDefault="001042DA" w:rsidP="00AF2AEA">
            <w:pPr>
              <w:spacing w:line="260" w:lineRule="atLeast"/>
              <w:rPr>
                <w:rFonts w:eastAsia="Calibri"/>
                <w:sz w:val="18"/>
                <w:szCs w:val="18"/>
                <w:lang w:eastAsia="en-US"/>
              </w:rPr>
            </w:pPr>
            <w:r w:rsidRPr="006B1A5A">
              <w:rPr>
                <w:rFonts w:eastAsia="Calibri"/>
                <w:sz w:val="18"/>
                <w:szCs w:val="18"/>
                <w:lang w:eastAsia="en-US"/>
              </w:rPr>
              <w:t>ARfD</w:t>
            </w:r>
          </w:p>
        </w:tc>
        <w:tc>
          <w:tcPr>
            <w:tcW w:w="7649" w:type="dxa"/>
            <w:gridSpan w:val="5"/>
            <w:vAlign w:val="center"/>
          </w:tcPr>
          <w:p w14:paraId="2BD5208A" w14:textId="77777777" w:rsidR="001042DA" w:rsidRPr="006B1A5A" w:rsidRDefault="001042DA" w:rsidP="00AF2AEA">
            <w:pPr>
              <w:spacing w:line="260" w:lineRule="atLeast"/>
              <w:jc w:val="center"/>
              <w:rPr>
                <w:rFonts w:eastAsia="Calibri"/>
                <w:sz w:val="18"/>
                <w:szCs w:val="18"/>
                <w:lang w:eastAsia="en-US"/>
              </w:rPr>
            </w:pPr>
            <w:r w:rsidRPr="006B1A5A">
              <w:rPr>
                <w:rFonts w:eastAsia="Calibri"/>
                <w:sz w:val="18"/>
                <w:szCs w:val="18"/>
                <w:lang w:eastAsia="en-US"/>
              </w:rPr>
              <w:t>n.a.</w:t>
            </w:r>
          </w:p>
        </w:tc>
      </w:tr>
      <w:tr w:rsidR="001042DA" w:rsidRPr="006B1A5A" w14:paraId="111E3F53" w14:textId="77777777" w:rsidTr="009E2C3B">
        <w:tc>
          <w:tcPr>
            <w:tcW w:w="1555" w:type="dxa"/>
            <w:shd w:val="clear" w:color="auto" w:fill="auto"/>
            <w:vAlign w:val="center"/>
          </w:tcPr>
          <w:p w14:paraId="0F191E68" w14:textId="77777777" w:rsidR="001042DA" w:rsidRPr="006B1A5A" w:rsidRDefault="001042DA" w:rsidP="00AF2AEA">
            <w:pPr>
              <w:spacing w:line="260" w:lineRule="atLeast"/>
              <w:rPr>
                <w:rFonts w:eastAsia="Calibri"/>
                <w:sz w:val="18"/>
                <w:szCs w:val="18"/>
                <w:lang w:eastAsia="en-US"/>
              </w:rPr>
            </w:pPr>
            <w:r w:rsidRPr="006B1A5A">
              <w:rPr>
                <w:rFonts w:eastAsia="Calibri"/>
                <w:sz w:val="18"/>
                <w:szCs w:val="18"/>
                <w:lang w:eastAsia="en-US"/>
              </w:rPr>
              <w:t>ADI</w:t>
            </w:r>
          </w:p>
        </w:tc>
        <w:tc>
          <w:tcPr>
            <w:tcW w:w="931" w:type="dxa"/>
            <w:vAlign w:val="center"/>
          </w:tcPr>
          <w:p w14:paraId="51B02C09" w14:textId="77777777" w:rsidR="001042DA" w:rsidRPr="006B1A5A" w:rsidRDefault="001042DA" w:rsidP="00AF2AEA">
            <w:pPr>
              <w:spacing w:line="260" w:lineRule="atLeast"/>
              <w:jc w:val="center"/>
              <w:rPr>
                <w:rFonts w:eastAsia="Calibri"/>
                <w:sz w:val="18"/>
                <w:szCs w:val="18"/>
                <w:lang w:eastAsia="en-US"/>
              </w:rPr>
            </w:pPr>
            <w:r w:rsidRPr="006B1A5A">
              <w:rPr>
                <w:rFonts w:cs="Verdana"/>
                <w:sz w:val="18"/>
                <w:szCs w:val="18"/>
                <w:lang w:eastAsia="en-GB"/>
              </w:rPr>
              <w:t>EFSA (2008)</w:t>
            </w:r>
          </w:p>
        </w:tc>
        <w:tc>
          <w:tcPr>
            <w:tcW w:w="4765" w:type="dxa"/>
            <w:gridSpan w:val="3"/>
            <w:vAlign w:val="center"/>
          </w:tcPr>
          <w:p w14:paraId="6E962E35" w14:textId="77777777" w:rsidR="001042DA" w:rsidRPr="006B1A5A" w:rsidRDefault="001042DA" w:rsidP="00AF2AEA">
            <w:pPr>
              <w:spacing w:line="260" w:lineRule="atLeast"/>
              <w:jc w:val="center"/>
              <w:rPr>
                <w:rFonts w:eastAsia="Calibri"/>
                <w:sz w:val="18"/>
                <w:szCs w:val="18"/>
                <w:lang w:eastAsia="en-US"/>
              </w:rPr>
            </w:pPr>
            <w:r w:rsidRPr="006B1A5A">
              <w:rPr>
                <w:rFonts w:eastAsia="Calibri"/>
                <w:sz w:val="18"/>
                <w:szCs w:val="18"/>
                <w:lang w:eastAsia="en-US"/>
              </w:rPr>
              <w:t>-</w:t>
            </w:r>
          </w:p>
        </w:tc>
        <w:tc>
          <w:tcPr>
            <w:tcW w:w="1953" w:type="dxa"/>
            <w:shd w:val="clear" w:color="auto" w:fill="auto"/>
            <w:vAlign w:val="center"/>
          </w:tcPr>
          <w:p w14:paraId="12779866" w14:textId="77777777" w:rsidR="001042DA" w:rsidRPr="006B1A5A" w:rsidRDefault="001042DA" w:rsidP="00AF2AEA">
            <w:pPr>
              <w:spacing w:line="260" w:lineRule="atLeast"/>
              <w:jc w:val="center"/>
              <w:rPr>
                <w:rFonts w:eastAsia="Calibri"/>
                <w:sz w:val="18"/>
                <w:szCs w:val="18"/>
                <w:lang w:eastAsia="en-US"/>
              </w:rPr>
            </w:pPr>
            <w:r w:rsidRPr="006B1A5A">
              <w:rPr>
                <w:rFonts w:eastAsia="Calibri"/>
                <w:sz w:val="18"/>
                <w:szCs w:val="18"/>
                <w:lang w:eastAsia="en-US"/>
              </w:rPr>
              <w:t>0.15 mg Cu/kg bw/day</w:t>
            </w:r>
          </w:p>
        </w:tc>
      </w:tr>
      <w:tr w:rsidR="00D42FF7" w:rsidRPr="006B1A5A" w14:paraId="7DBE0058" w14:textId="77777777" w:rsidTr="0041307D">
        <w:tc>
          <w:tcPr>
            <w:tcW w:w="9204" w:type="dxa"/>
            <w:gridSpan w:val="6"/>
            <w:shd w:val="clear" w:color="auto" w:fill="FFFFCC"/>
            <w:vAlign w:val="center"/>
          </w:tcPr>
          <w:p w14:paraId="42637CF8" w14:textId="6E2A0DED" w:rsidR="00D42FF7" w:rsidRPr="006B1A5A" w:rsidRDefault="00D42FF7" w:rsidP="0041307D">
            <w:pPr>
              <w:spacing w:line="260" w:lineRule="atLeast"/>
              <w:rPr>
                <w:rFonts w:eastAsia="Calibri"/>
                <w:b/>
                <w:sz w:val="18"/>
                <w:szCs w:val="18"/>
                <w:lang w:eastAsia="en-US"/>
              </w:rPr>
            </w:pPr>
            <w:r w:rsidRPr="006B1A5A">
              <w:rPr>
                <w:rFonts w:eastAsia="Calibri"/>
                <w:b/>
                <w:sz w:val="18"/>
                <w:szCs w:val="18"/>
                <w:lang w:eastAsia="en-US"/>
              </w:rPr>
              <w:t xml:space="preserve">Reference value for thiocyanate </w:t>
            </w:r>
          </w:p>
        </w:tc>
      </w:tr>
      <w:tr w:rsidR="001042DA" w:rsidRPr="006B1A5A" w14:paraId="48C8BFC5" w14:textId="77777777" w:rsidTr="00AF2AEA">
        <w:tc>
          <w:tcPr>
            <w:tcW w:w="9204" w:type="dxa"/>
            <w:gridSpan w:val="6"/>
            <w:shd w:val="clear" w:color="auto" w:fill="auto"/>
            <w:vAlign w:val="center"/>
          </w:tcPr>
          <w:p w14:paraId="4BD39F74" w14:textId="77777777" w:rsidR="001042DA" w:rsidRPr="006B1A5A" w:rsidRDefault="001042DA" w:rsidP="00AF2AEA">
            <w:pPr>
              <w:autoSpaceDE w:val="0"/>
              <w:autoSpaceDN w:val="0"/>
              <w:adjustRightInd w:val="0"/>
              <w:rPr>
                <w:rFonts w:cs="Verdana"/>
                <w:sz w:val="18"/>
                <w:szCs w:val="18"/>
                <w:lang w:eastAsia="en-US"/>
              </w:rPr>
            </w:pPr>
            <w:r w:rsidRPr="006B1A5A">
              <w:rPr>
                <w:rFonts w:cs="Verdana"/>
                <w:sz w:val="18"/>
                <w:szCs w:val="18"/>
                <w:lang w:eastAsia="en-US"/>
              </w:rPr>
              <w:t>Minimal daily exposure via diet: 10 mg/d, corresponding to 0.17mg/kg/d considering an oral</w:t>
            </w:r>
          </w:p>
          <w:p w14:paraId="10990EDE" w14:textId="77777777" w:rsidR="001042DA" w:rsidRPr="006B1A5A" w:rsidRDefault="001042DA" w:rsidP="00AF2AEA">
            <w:pPr>
              <w:pStyle w:val="Merknadstekst"/>
              <w:rPr>
                <w:rFonts w:cs="Verdana"/>
                <w:sz w:val="18"/>
                <w:szCs w:val="18"/>
                <w:lang w:eastAsia="en-US"/>
              </w:rPr>
            </w:pPr>
            <w:r w:rsidRPr="006B1A5A">
              <w:rPr>
                <w:rFonts w:cs="Verdana"/>
                <w:sz w:val="18"/>
                <w:szCs w:val="18"/>
                <w:lang w:eastAsia="en-US"/>
              </w:rPr>
              <w:t>absorption of 100% and a body weight of 60 kg</w:t>
            </w:r>
          </w:p>
          <w:p w14:paraId="5ADC1970" w14:textId="77777777" w:rsidR="001042DA" w:rsidRPr="006B1A5A" w:rsidRDefault="001042DA" w:rsidP="00AF2AEA">
            <w:pPr>
              <w:spacing w:line="260" w:lineRule="atLeast"/>
              <w:jc w:val="center"/>
              <w:rPr>
                <w:rFonts w:eastAsia="Calibri"/>
                <w:sz w:val="18"/>
                <w:szCs w:val="18"/>
                <w:lang w:eastAsia="en-US"/>
              </w:rPr>
            </w:pPr>
          </w:p>
        </w:tc>
      </w:tr>
    </w:tbl>
    <w:p w14:paraId="5871B97D" w14:textId="77777777" w:rsidR="001042DA" w:rsidRPr="006B1A5A" w:rsidRDefault="001042DA" w:rsidP="001042DA">
      <w:pPr>
        <w:pStyle w:val="Absatz"/>
      </w:pPr>
      <w:bookmarkStart w:id="1508" w:name="_Hlk20741705"/>
    </w:p>
    <w:p w14:paraId="1DE5D0D8" w14:textId="77777777" w:rsidR="001042DA" w:rsidRPr="006B1A5A" w:rsidRDefault="001042DA" w:rsidP="001042DA">
      <w:pPr>
        <w:pStyle w:val="Absatz"/>
      </w:pPr>
    </w:p>
    <w:p w14:paraId="1489BF8B" w14:textId="77777777" w:rsidR="001042DA" w:rsidRPr="006B1A5A" w:rsidRDefault="001042DA" w:rsidP="00916E44">
      <w:pPr>
        <w:pStyle w:val="Overskrift4"/>
      </w:pPr>
      <w:bookmarkStart w:id="1509" w:name="_Toc388281591"/>
      <w:bookmarkStart w:id="1510" w:name="_Toc388282047"/>
      <w:bookmarkStart w:id="1511" w:name="_Toc388282529"/>
      <w:bookmarkStart w:id="1512" w:name="_Toc388282977"/>
      <w:bookmarkStart w:id="1513" w:name="_Toc403472753"/>
      <w:bookmarkStart w:id="1514" w:name="_Toc403566575"/>
      <w:bookmarkStart w:id="1515" w:name="_Toc66448832"/>
      <w:bookmarkStart w:id="1516" w:name="_Toc389729048"/>
      <w:bookmarkEnd w:id="1508"/>
      <w:bookmarkEnd w:id="1509"/>
      <w:bookmarkEnd w:id="1510"/>
      <w:bookmarkEnd w:id="1511"/>
      <w:bookmarkEnd w:id="1512"/>
      <w:r w:rsidRPr="006B1A5A">
        <w:t>Assessment of effects on Human Health</w:t>
      </w:r>
      <w:bookmarkEnd w:id="1513"/>
      <w:bookmarkEnd w:id="1514"/>
      <w:bookmarkEnd w:id="1515"/>
      <w:r w:rsidRPr="006B1A5A">
        <w:t xml:space="preserve"> </w:t>
      </w:r>
      <w:bookmarkEnd w:id="1516"/>
    </w:p>
    <w:p w14:paraId="0385FF82" w14:textId="77777777" w:rsidR="001042DA" w:rsidRPr="006B1A5A" w:rsidRDefault="001042DA" w:rsidP="001042DA">
      <w:pPr>
        <w:rPr>
          <w:rFonts w:eastAsia="Calibri"/>
          <w:b/>
          <w:i/>
          <w:lang w:eastAsia="en-US"/>
        </w:rPr>
      </w:pPr>
      <w:bookmarkStart w:id="1517" w:name="_Toc388281593"/>
      <w:bookmarkStart w:id="1518" w:name="_Toc388282049"/>
      <w:bookmarkStart w:id="1519" w:name="_Toc388282531"/>
      <w:bookmarkStart w:id="1520" w:name="_Toc388282979"/>
      <w:bookmarkStart w:id="1521" w:name="_Toc388285291"/>
      <w:bookmarkStart w:id="1522" w:name="_Toc388374325"/>
      <w:bookmarkStart w:id="1523" w:name="_Toc389729049"/>
      <w:bookmarkStart w:id="1524" w:name="_Toc403472754"/>
      <w:bookmarkEnd w:id="1517"/>
      <w:bookmarkEnd w:id="1518"/>
      <w:bookmarkEnd w:id="1519"/>
      <w:bookmarkEnd w:id="1520"/>
      <w:bookmarkEnd w:id="1521"/>
      <w:bookmarkEnd w:id="1522"/>
    </w:p>
    <w:p w14:paraId="46A7C0B2" w14:textId="5453132F" w:rsidR="001042DA" w:rsidRPr="006B1A5A" w:rsidRDefault="001042DA" w:rsidP="001042DA">
      <w:pPr>
        <w:rPr>
          <w:rFonts w:eastAsia="Calibri"/>
          <w:b/>
          <w:i/>
          <w:lang w:eastAsia="en-US"/>
        </w:rPr>
      </w:pPr>
      <w:r w:rsidRPr="006B1A5A">
        <w:rPr>
          <w:rFonts w:eastAsia="Calibri"/>
          <w:b/>
          <w:i/>
          <w:lang w:eastAsia="en-US"/>
        </w:rPr>
        <w:t>Skin corrosion and irritation</w:t>
      </w:r>
      <w:bookmarkEnd w:id="1523"/>
      <w:bookmarkEnd w:id="1524"/>
    </w:p>
    <w:p w14:paraId="2C98356C" w14:textId="77777777" w:rsidR="001042DA" w:rsidRPr="006B1A5A" w:rsidRDefault="001042DA" w:rsidP="001042DA">
      <w:pPr>
        <w:rPr>
          <w:rFonts w:eastAsia="Calibri"/>
          <w:b/>
          <w:i/>
          <w:lang w:eastAsia="en-US"/>
        </w:rPr>
      </w:pPr>
    </w:p>
    <w:p w14:paraId="66463205" w14:textId="77777777" w:rsidR="001042DA" w:rsidRPr="006B1A5A" w:rsidRDefault="001042DA" w:rsidP="001042DA">
      <w:pPr>
        <w:spacing w:line="260" w:lineRule="atLeast"/>
        <w:jc w:val="both"/>
      </w:pPr>
      <w:r w:rsidRPr="006B1A5A">
        <w:t>No studies for the assessment of skin irritation/corrosion of AquaNet 360</w:t>
      </w:r>
      <w:r w:rsidRPr="006B1A5A">
        <w:rPr>
          <w:vertAlign w:val="superscript"/>
        </w:rPr>
        <w:t xml:space="preserve"> </w:t>
      </w:r>
      <w:r w:rsidRPr="006B1A5A">
        <w:t xml:space="preserve">BPF are available. </w:t>
      </w:r>
    </w:p>
    <w:p w14:paraId="2DF9D617" w14:textId="77777777" w:rsidR="001042DA" w:rsidRPr="006B1A5A" w:rsidRDefault="001042DA" w:rsidP="001042DA">
      <w:pPr>
        <w:spacing w:line="260" w:lineRule="atLeast"/>
        <w:jc w:val="both"/>
      </w:pPr>
    </w:p>
    <w:p w14:paraId="6496F5E3" w14:textId="70844CFB" w:rsidR="001042DA" w:rsidRPr="006B1A5A" w:rsidRDefault="001042DA" w:rsidP="001042DA">
      <w:pPr>
        <w:rPr>
          <w:rFonts w:eastAsia="Calibri"/>
        </w:rPr>
      </w:pPr>
      <w:bookmarkStart w:id="1525" w:name="_Hlk21699602"/>
      <w:r w:rsidRPr="006B1A5A">
        <w:t xml:space="preserve">The additivity principle of the CLP Regulation applies to the hazard class skin corrosion/irritation with a generic cut off for when the substances should be taken into account of 1 % </w:t>
      </w:r>
      <w:r w:rsidRPr="006B1A5A">
        <w:rPr>
          <w:rFonts w:eastAsia="Calibri"/>
        </w:rPr>
        <w:t xml:space="preserve">(Table 1.1, in Annex I to Reg. no 1272/2008). </w:t>
      </w:r>
    </w:p>
    <w:p w14:paraId="0E63F4E3" w14:textId="77777777" w:rsidR="001042DA" w:rsidRPr="006B1A5A" w:rsidRDefault="001042DA" w:rsidP="001042DA">
      <w:pPr>
        <w:spacing w:line="260" w:lineRule="atLeast"/>
        <w:jc w:val="both"/>
      </w:pPr>
    </w:p>
    <w:p w14:paraId="2BB65FC3" w14:textId="0867BD5B" w:rsidR="001042DA" w:rsidRPr="006B1A5A" w:rsidRDefault="001042DA" w:rsidP="001042DA">
      <w:pPr>
        <w:spacing w:line="260" w:lineRule="atLeast"/>
        <w:jc w:val="both"/>
      </w:pPr>
      <w:r w:rsidRPr="006B1A5A">
        <w:t xml:space="preserve">The active substances, dicopper oxide and copper thiocyanate, are </w:t>
      </w:r>
      <w:r w:rsidRPr="006B1A5A" w:rsidDel="00D274BE">
        <w:t xml:space="preserve">not </w:t>
      </w:r>
      <w:r w:rsidRPr="006B1A5A">
        <w:t xml:space="preserve">classified </w:t>
      </w:r>
      <w:r w:rsidRPr="006B1A5A">
        <w:rPr>
          <w:noProof/>
        </w:rPr>
        <w:t>for</w:t>
      </w:r>
      <w:r w:rsidRPr="006B1A5A">
        <w:t xml:space="preserve"> skin irritation/corrosion. One co-formulant is classified with Skin </w:t>
      </w:r>
      <w:r w:rsidR="0044049A">
        <w:t>I</w:t>
      </w:r>
      <w:r w:rsidRPr="006B1A5A">
        <w:t xml:space="preserve">rrit. 2 (H315) but is present in a concentration that will not result in classification of the products. </w:t>
      </w:r>
    </w:p>
    <w:p w14:paraId="0E8497A1" w14:textId="77777777" w:rsidR="001042DA" w:rsidRPr="006B1A5A" w:rsidRDefault="001042DA" w:rsidP="001042DA">
      <w:pPr>
        <w:spacing w:line="260" w:lineRule="atLeast"/>
        <w:jc w:val="both"/>
      </w:pPr>
    </w:p>
    <w:p w14:paraId="0FB9C286" w14:textId="77777777" w:rsidR="001042DA" w:rsidRPr="006B1A5A" w:rsidRDefault="001042DA" w:rsidP="001042DA">
      <w:pPr>
        <w:spacing w:line="260" w:lineRule="atLeast"/>
        <w:jc w:val="both"/>
      </w:pPr>
      <w:r w:rsidRPr="006B1A5A">
        <w:t xml:space="preserve">According to Annex III, point 8.1, Column 3 of the BPR, as sufficient information is available for the active substance and the co-formulants (see </w:t>
      </w:r>
      <w:bookmarkStart w:id="1526" w:name="_Hlk18927740"/>
      <w:r w:rsidRPr="006B1A5A">
        <w:t>separate report “Section 13 of the IUCLID file: “Background Document on the Human Health Hazard of Co-formulants in 360 BPF 2017.</w:t>
      </w:r>
      <w:r w:rsidRPr="006B1A5A" w:rsidDel="00C2616D">
        <w:t xml:space="preserve"> </w:t>
      </w:r>
      <w:r w:rsidRPr="006B1A5A">
        <w:t>pdf”</w:t>
      </w:r>
      <w:bookmarkEnd w:id="1526"/>
      <w:r w:rsidRPr="006B1A5A">
        <w:t xml:space="preserve">), a study investigating the skin irritating effects of the AquaNet 360 products is not considered necessary. </w:t>
      </w:r>
    </w:p>
    <w:bookmarkEnd w:id="1525"/>
    <w:p w14:paraId="646849A5" w14:textId="77777777" w:rsidR="001042DA" w:rsidRPr="006B1A5A" w:rsidRDefault="001042DA" w:rsidP="001042DA">
      <w:pPr>
        <w:spacing w:line="260" w:lineRule="atLeast"/>
        <w:rPr>
          <w:sz w:val="22"/>
          <w:szCs w:val="22"/>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1042DA" w:rsidRPr="006B1A5A" w14:paraId="5BE16358" w14:textId="77777777" w:rsidTr="00AF2AEA">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0FDE3D46" w14:textId="77777777" w:rsidR="001042DA" w:rsidRPr="006B1A5A" w:rsidRDefault="001042DA" w:rsidP="00AF2AEA">
            <w:pPr>
              <w:spacing w:line="260" w:lineRule="atLeast"/>
              <w:rPr>
                <w:rFonts w:eastAsia="Calibri"/>
                <w:b/>
                <w:bCs/>
                <w:lang w:eastAsia="en-US"/>
              </w:rPr>
            </w:pPr>
            <w:r w:rsidRPr="006B1A5A">
              <w:rPr>
                <w:rFonts w:eastAsia="Calibri"/>
                <w:b/>
                <w:bCs/>
                <w:lang w:eastAsia="en-US"/>
              </w:rPr>
              <w:t>Conclusion used in Risk Assessment – Skin corrosion and irritation</w:t>
            </w:r>
          </w:p>
        </w:tc>
      </w:tr>
      <w:tr w:rsidR="001042DA" w:rsidRPr="006B1A5A" w14:paraId="4998B6C1" w14:textId="77777777" w:rsidTr="00AF2AEA">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70AD1AA8" w14:textId="77777777" w:rsidR="001042DA" w:rsidRPr="006B1A5A" w:rsidRDefault="001042DA" w:rsidP="00AF2AEA">
            <w:pPr>
              <w:spacing w:line="260" w:lineRule="atLeast"/>
              <w:rPr>
                <w:rFonts w:eastAsia="Calibri"/>
                <w:lang w:eastAsia="en-US"/>
              </w:rPr>
            </w:pPr>
            <w:r w:rsidRPr="006B1A5A">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3BE48A41" w14:textId="77777777" w:rsidR="001042DA" w:rsidRPr="006B1A5A" w:rsidRDefault="001042DA" w:rsidP="00AF2AEA">
            <w:pPr>
              <w:spacing w:line="260" w:lineRule="atLeast"/>
              <w:rPr>
                <w:rFonts w:eastAsia="Calibri"/>
                <w:lang w:eastAsia="en-US"/>
              </w:rPr>
            </w:pPr>
            <w:r w:rsidRPr="006B1A5A">
              <w:rPr>
                <w:rFonts w:eastAsia="Calibri"/>
                <w:lang w:eastAsia="en-US"/>
              </w:rPr>
              <w:t>Not corrosive or irritating to skin</w:t>
            </w:r>
          </w:p>
        </w:tc>
      </w:tr>
      <w:tr w:rsidR="001042DA" w:rsidRPr="006B1A5A" w14:paraId="6AEC3391" w14:textId="77777777" w:rsidTr="00AF2AEA">
        <w:tc>
          <w:tcPr>
            <w:tcW w:w="1276" w:type="pct"/>
            <w:tcBorders>
              <w:top w:val="single" w:sz="6" w:space="0" w:color="auto"/>
              <w:left w:val="single" w:sz="4" w:space="0" w:color="auto"/>
              <w:bottom w:val="single" w:sz="6" w:space="0" w:color="auto"/>
              <w:right w:val="single" w:sz="6" w:space="0" w:color="auto"/>
            </w:tcBorders>
            <w:shd w:val="clear" w:color="auto" w:fill="auto"/>
          </w:tcPr>
          <w:p w14:paraId="02A7ED79" w14:textId="77777777" w:rsidR="001042DA" w:rsidRPr="006B1A5A" w:rsidRDefault="001042DA" w:rsidP="00AF2AEA">
            <w:pPr>
              <w:spacing w:line="260" w:lineRule="atLeast"/>
              <w:rPr>
                <w:rFonts w:eastAsia="Calibri"/>
                <w:lang w:eastAsia="en-US"/>
              </w:rPr>
            </w:pPr>
            <w:r w:rsidRPr="006B1A5A">
              <w:rPr>
                <w:rFonts w:eastAsia="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7F4DE8E2" w14:textId="2781C8AE" w:rsidR="001042DA" w:rsidRPr="006B1A5A" w:rsidRDefault="001042DA" w:rsidP="00AF2AEA">
            <w:pPr>
              <w:spacing w:line="260" w:lineRule="atLeast"/>
              <w:rPr>
                <w:rFonts w:eastAsia="Calibri"/>
                <w:lang w:eastAsia="en-US"/>
              </w:rPr>
            </w:pPr>
            <w:r w:rsidRPr="006B1A5A">
              <w:t xml:space="preserve">The active substances are not classified </w:t>
            </w:r>
            <w:r w:rsidRPr="006B1A5A">
              <w:rPr>
                <w:noProof/>
              </w:rPr>
              <w:t>for</w:t>
            </w:r>
            <w:r w:rsidRPr="006B1A5A">
              <w:t xml:space="preserve"> skin irritation/corrosion. One co-formulant is classified as skin </w:t>
            </w:r>
            <w:r w:rsidR="009D246F" w:rsidRPr="006B1A5A">
              <w:t>irritating</w:t>
            </w:r>
            <w:r w:rsidR="0044049A">
              <w:t>,</w:t>
            </w:r>
            <w:r w:rsidR="009D246F" w:rsidRPr="006B1A5A">
              <w:t xml:space="preserve"> but</w:t>
            </w:r>
            <w:r w:rsidRPr="006B1A5A">
              <w:t xml:space="preserve"> is present in a concentration that will not lead to classification of the product.</w:t>
            </w:r>
          </w:p>
        </w:tc>
      </w:tr>
      <w:tr w:rsidR="001042DA" w:rsidRPr="006B1A5A" w14:paraId="197EA537" w14:textId="77777777" w:rsidTr="00AF2AEA">
        <w:tc>
          <w:tcPr>
            <w:tcW w:w="1276" w:type="pct"/>
            <w:tcBorders>
              <w:top w:val="single" w:sz="6" w:space="0" w:color="auto"/>
              <w:left w:val="single" w:sz="4" w:space="0" w:color="auto"/>
              <w:bottom w:val="single" w:sz="6" w:space="0" w:color="auto"/>
              <w:right w:val="single" w:sz="6" w:space="0" w:color="auto"/>
            </w:tcBorders>
            <w:shd w:val="clear" w:color="auto" w:fill="auto"/>
          </w:tcPr>
          <w:p w14:paraId="02833033" w14:textId="77777777" w:rsidR="001042DA" w:rsidRPr="006B1A5A" w:rsidRDefault="001042DA" w:rsidP="00AF2AEA">
            <w:pPr>
              <w:spacing w:line="260" w:lineRule="atLeast"/>
              <w:rPr>
                <w:rFonts w:eastAsia="Calibri"/>
                <w:lang w:eastAsia="en-US"/>
              </w:rPr>
            </w:pPr>
            <w:r w:rsidRPr="006B1A5A">
              <w:rPr>
                <w:rFonts w:eastAsia="Calibri"/>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7DDCC501" w14:textId="77777777" w:rsidR="001042DA" w:rsidRPr="006B1A5A" w:rsidRDefault="001042DA" w:rsidP="00AF2AEA">
            <w:pPr>
              <w:spacing w:line="260" w:lineRule="atLeast"/>
              <w:rPr>
                <w:rFonts w:eastAsia="Calibri"/>
                <w:lang w:eastAsia="en-US"/>
              </w:rPr>
            </w:pPr>
            <w:r w:rsidRPr="006B1A5A">
              <w:rPr>
                <w:rFonts w:eastAsia="Calibri"/>
                <w:lang w:eastAsia="en-US"/>
              </w:rPr>
              <w:t>Not classified</w:t>
            </w:r>
          </w:p>
        </w:tc>
      </w:tr>
    </w:tbl>
    <w:p w14:paraId="2A94DE1D" w14:textId="77777777" w:rsidR="001042DA" w:rsidRPr="006B1A5A" w:rsidRDefault="001042DA" w:rsidP="001042DA">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1042DA" w:rsidRPr="006B1A5A" w14:paraId="7241BE13" w14:textId="77777777" w:rsidTr="00AF2AEA">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2C19BBAE" w14:textId="77777777" w:rsidR="001042DA" w:rsidRPr="006B1A5A" w:rsidRDefault="001042DA" w:rsidP="00AF2AEA">
            <w:pPr>
              <w:keepNext/>
              <w:spacing w:line="260" w:lineRule="atLeast"/>
              <w:rPr>
                <w:rFonts w:eastAsia="Calibri"/>
                <w:b/>
                <w:lang w:eastAsia="en-US"/>
              </w:rPr>
            </w:pPr>
            <w:r w:rsidRPr="006B1A5A">
              <w:rPr>
                <w:rFonts w:eastAsia="Calibri"/>
                <w:b/>
                <w:lang w:eastAsia="en-US"/>
              </w:rPr>
              <w:t>Data waiving</w:t>
            </w:r>
          </w:p>
        </w:tc>
      </w:tr>
      <w:tr w:rsidR="001042DA" w:rsidRPr="006B1A5A" w14:paraId="58E01E7D" w14:textId="77777777" w:rsidTr="00AF2AEA">
        <w:tc>
          <w:tcPr>
            <w:tcW w:w="1048" w:type="pct"/>
            <w:tcBorders>
              <w:top w:val="single" w:sz="6" w:space="0" w:color="auto"/>
              <w:left w:val="single" w:sz="4" w:space="0" w:color="auto"/>
              <w:bottom w:val="single" w:sz="6" w:space="0" w:color="auto"/>
              <w:right w:val="single" w:sz="6" w:space="0" w:color="auto"/>
            </w:tcBorders>
            <w:shd w:val="clear" w:color="auto" w:fill="auto"/>
          </w:tcPr>
          <w:p w14:paraId="5F25E420" w14:textId="77777777" w:rsidR="001042DA" w:rsidRPr="006B1A5A" w:rsidRDefault="001042DA" w:rsidP="00AF2AEA">
            <w:pPr>
              <w:keepNext/>
              <w:spacing w:line="260" w:lineRule="atLeast"/>
              <w:rPr>
                <w:rFonts w:eastAsia="Calibri"/>
                <w:lang w:eastAsia="en-US"/>
              </w:rPr>
            </w:pPr>
            <w:r w:rsidRPr="006B1A5A">
              <w:rPr>
                <w:rFonts w:eastAsia="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4BAD77F7" w14:textId="77777777" w:rsidR="001042DA" w:rsidRPr="006B1A5A" w:rsidRDefault="001042DA" w:rsidP="00AF2AEA">
            <w:pPr>
              <w:spacing w:line="260" w:lineRule="atLeast"/>
              <w:rPr>
                <w:rFonts w:eastAsia="Calibri"/>
                <w:lang w:eastAsia="en-US"/>
              </w:rPr>
            </w:pPr>
            <w:r w:rsidRPr="006B1A5A">
              <w:rPr>
                <w:rFonts w:eastAsia="Calibri"/>
                <w:lang w:eastAsia="en-US"/>
              </w:rPr>
              <w:t>Skin corrosion or skin irritation</w:t>
            </w:r>
          </w:p>
        </w:tc>
      </w:tr>
      <w:tr w:rsidR="001042DA" w:rsidRPr="006B1A5A" w14:paraId="53A891C7" w14:textId="77777777" w:rsidTr="00AF2AEA">
        <w:tc>
          <w:tcPr>
            <w:tcW w:w="1048" w:type="pct"/>
            <w:tcBorders>
              <w:top w:val="single" w:sz="6" w:space="0" w:color="auto"/>
              <w:left w:val="single" w:sz="4" w:space="0" w:color="auto"/>
              <w:bottom w:val="single" w:sz="6" w:space="0" w:color="auto"/>
              <w:right w:val="single" w:sz="6" w:space="0" w:color="auto"/>
            </w:tcBorders>
            <w:shd w:val="clear" w:color="auto" w:fill="auto"/>
          </w:tcPr>
          <w:p w14:paraId="28FE807F" w14:textId="77777777" w:rsidR="001042DA" w:rsidRPr="006B1A5A" w:rsidRDefault="001042DA" w:rsidP="00AF2AEA">
            <w:pPr>
              <w:keepNext/>
              <w:spacing w:line="260" w:lineRule="atLeast"/>
              <w:rPr>
                <w:rFonts w:eastAsia="Calibri"/>
                <w:lang w:eastAsia="en-US"/>
              </w:rPr>
            </w:pPr>
            <w:r w:rsidRPr="006B1A5A">
              <w:rPr>
                <w:rFonts w:eastAsia="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46944EDE" w14:textId="77777777" w:rsidR="001042DA" w:rsidRPr="006B1A5A" w:rsidRDefault="001042DA" w:rsidP="00AF2AEA">
            <w:pPr>
              <w:spacing w:line="260" w:lineRule="atLeast"/>
              <w:rPr>
                <w:rFonts w:cs="EUAlbertina"/>
              </w:rPr>
            </w:pPr>
            <w:r w:rsidRPr="006B1A5A">
              <w:rPr>
                <w:rFonts w:cs="EUAlbertina"/>
              </w:rPr>
              <w:t>Waiving according to Annex III, point No. 8.1, Column 3 of the BPR:</w:t>
            </w:r>
          </w:p>
          <w:p w14:paraId="42A28678" w14:textId="77777777" w:rsidR="001042DA" w:rsidRPr="006B1A5A" w:rsidRDefault="001042DA" w:rsidP="00AF2AEA">
            <w:pPr>
              <w:spacing w:line="260" w:lineRule="atLeast"/>
              <w:rPr>
                <w:rFonts w:cs="EUAlbertina"/>
              </w:rPr>
            </w:pPr>
          </w:p>
          <w:p w14:paraId="700D920B" w14:textId="77777777" w:rsidR="001042DA" w:rsidRPr="006B1A5A" w:rsidRDefault="001042DA" w:rsidP="00AF2AEA">
            <w:pPr>
              <w:spacing w:line="260" w:lineRule="atLeast"/>
              <w:rPr>
                <w:rFonts w:eastAsia="Calibri"/>
                <w:lang w:eastAsia="en-US"/>
              </w:rPr>
            </w:pPr>
            <w:r w:rsidRPr="006B1A5A">
              <w:rPr>
                <w:rFonts w:cs="EUAlbertina"/>
              </w:rPr>
              <w:t xml:space="preserve">There are sufficient data available on each of the components in the products to allow classification of the products. No relevant synergistic effects are expected. </w:t>
            </w:r>
          </w:p>
        </w:tc>
      </w:tr>
    </w:tbl>
    <w:p w14:paraId="04ED5AC9" w14:textId="77777777" w:rsidR="001042DA" w:rsidRPr="006B1A5A" w:rsidRDefault="001042DA" w:rsidP="001042DA">
      <w:pPr>
        <w:spacing w:line="260" w:lineRule="atLeast"/>
        <w:rPr>
          <w:rFonts w:eastAsia="Calibri"/>
          <w:lang w:eastAsia="en-US"/>
        </w:rPr>
      </w:pPr>
    </w:p>
    <w:p w14:paraId="6152FC8F" w14:textId="67CB06CA" w:rsidR="00932B58" w:rsidRDefault="00932B58">
      <w:pPr>
        <w:spacing w:after="160" w:line="259" w:lineRule="auto"/>
        <w:rPr>
          <w:rFonts w:eastAsia="Calibri"/>
          <w:b/>
          <w:i/>
          <w:lang w:eastAsia="en-US"/>
        </w:rPr>
      </w:pPr>
      <w:bookmarkStart w:id="1527" w:name="_Toc389729050"/>
      <w:bookmarkStart w:id="1528" w:name="_Toc403472755"/>
    </w:p>
    <w:p w14:paraId="20C07C2E" w14:textId="77777777" w:rsidR="001042DA" w:rsidRPr="006B1A5A" w:rsidRDefault="001042DA" w:rsidP="001042DA">
      <w:pPr>
        <w:rPr>
          <w:rFonts w:eastAsia="Calibri"/>
          <w:b/>
          <w:i/>
          <w:lang w:eastAsia="en-US"/>
        </w:rPr>
      </w:pPr>
      <w:r w:rsidRPr="006B1A5A">
        <w:rPr>
          <w:rFonts w:eastAsia="Calibri"/>
          <w:b/>
          <w:i/>
          <w:lang w:eastAsia="en-US"/>
        </w:rPr>
        <w:t>Eye irritation</w:t>
      </w:r>
      <w:bookmarkEnd w:id="1527"/>
      <w:bookmarkEnd w:id="1528"/>
    </w:p>
    <w:p w14:paraId="1368BC2B" w14:textId="77777777" w:rsidR="001042DA" w:rsidRPr="006B1A5A" w:rsidRDefault="001042DA" w:rsidP="001042DA">
      <w:pPr>
        <w:rPr>
          <w:rFonts w:eastAsia="Calibri"/>
          <w:b/>
          <w:i/>
          <w:lang w:eastAsia="en-US"/>
        </w:rPr>
      </w:pPr>
    </w:p>
    <w:p w14:paraId="34076DBA" w14:textId="77777777" w:rsidR="001042DA" w:rsidRPr="006B1A5A" w:rsidRDefault="001042DA" w:rsidP="001042DA">
      <w:pPr>
        <w:spacing w:line="260" w:lineRule="atLeast"/>
        <w:jc w:val="both"/>
      </w:pPr>
      <w:bookmarkStart w:id="1529" w:name="_Hlk21699780"/>
      <w:r w:rsidRPr="006B1A5A">
        <w:t>No studies for the assessment of eye irritation/corrosion of AquaNet 360</w:t>
      </w:r>
      <w:r w:rsidRPr="006B1A5A">
        <w:rPr>
          <w:vertAlign w:val="superscript"/>
        </w:rPr>
        <w:t xml:space="preserve"> </w:t>
      </w:r>
      <w:r w:rsidRPr="006B1A5A">
        <w:t xml:space="preserve">BPF are available. </w:t>
      </w:r>
    </w:p>
    <w:p w14:paraId="1C094393" w14:textId="77777777" w:rsidR="001042DA" w:rsidRPr="006B1A5A" w:rsidRDefault="001042DA" w:rsidP="001042DA">
      <w:pPr>
        <w:spacing w:line="260" w:lineRule="atLeast"/>
        <w:jc w:val="both"/>
      </w:pPr>
    </w:p>
    <w:p w14:paraId="2A72316D" w14:textId="1781FEFA" w:rsidR="001042DA" w:rsidRPr="006B1A5A" w:rsidRDefault="001042DA" w:rsidP="001042DA">
      <w:pPr>
        <w:rPr>
          <w:rFonts w:eastAsia="Calibri"/>
        </w:rPr>
      </w:pPr>
      <w:r w:rsidRPr="006B1A5A">
        <w:t xml:space="preserve">The additivity principle of the CLP Regulation applies to the hazard class serious eye damage/eye irritation with a generic cut off for when the substances should be taken into account of 1 % </w:t>
      </w:r>
      <w:r w:rsidRPr="006B1A5A">
        <w:rPr>
          <w:rFonts w:eastAsia="Calibri"/>
        </w:rPr>
        <w:t xml:space="preserve">(Table 1.1, in Annex I to Reg. no 1272/2008). </w:t>
      </w:r>
    </w:p>
    <w:p w14:paraId="79DEDFF6" w14:textId="77777777" w:rsidR="001042DA" w:rsidRPr="006B1A5A" w:rsidRDefault="001042DA" w:rsidP="001042DA">
      <w:pPr>
        <w:spacing w:line="260" w:lineRule="atLeast"/>
        <w:jc w:val="both"/>
      </w:pPr>
    </w:p>
    <w:p w14:paraId="7642D780" w14:textId="74C5A0FA" w:rsidR="001042DA" w:rsidRPr="006B1A5A" w:rsidRDefault="001042DA" w:rsidP="001042DA">
      <w:pPr>
        <w:spacing w:line="260" w:lineRule="atLeast"/>
        <w:jc w:val="both"/>
      </w:pPr>
      <w:r w:rsidRPr="006B1A5A">
        <w:t xml:space="preserve">Since dicopper oxide is contained in the products in a range of concentrations between 12.3 and 24.5% (w/w), this triggers a classification of the products with Cat 1, H318 “Causes serious eye damage” irrespectively of the co-formulants (Table 3.3.3 in Annex I </w:t>
      </w:r>
      <w:r w:rsidRPr="006B1A5A">
        <w:rPr>
          <w:rFonts w:eastAsia="Calibri"/>
        </w:rPr>
        <w:t>to Reg. no 1272/2008</w:t>
      </w:r>
      <w:r w:rsidR="00F1400D">
        <w:rPr>
          <w:rFonts w:eastAsia="Calibri"/>
        </w:rPr>
        <w:t>)</w:t>
      </w:r>
      <w:r w:rsidRPr="006B1A5A">
        <w:t xml:space="preserve">. </w:t>
      </w:r>
    </w:p>
    <w:p w14:paraId="7D524281" w14:textId="77777777" w:rsidR="001042DA" w:rsidRPr="006B1A5A" w:rsidRDefault="001042DA" w:rsidP="001042DA">
      <w:pPr>
        <w:spacing w:line="260" w:lineRule="atLeast"/>
        <w:jc w:val="both"/>
      </w:pPr>
    </w:p>
    <w:p w14:paraId="57CE5C8D" w14:textId="14061C43" w:rsidR="001042DA" w:rsidRPr="006B1A5A" w:rsidRDefault="001042DA" w:rsidP="001042DA">
      <w:pPr>
        <w:spacing w:line="260" w:lineRule="atLeast"/>
        <w:jc w:val="both"/>
      </w:pPr>
      <w:r w:rsidRPr="006B1A5A">
        <w:t>Two co-formulants are classified as eye irritants (Cat</w:t>
      </w:r>
      <w:r w:rsidR="00F1400D">
        <w:t xml:space="preserve"> </w:t>
      </w:r>
      <w:r w:rsidRPr="006B1A5A">
        <w:t>2, H319) and one as serious eye damaging (Cat</w:t>
      </w:r>
      <w:r w:rsidR="00F1400D">
        <w:t xml:space="preserve"> </w:t>
      </w:r>
      <w:r w:rsidRPr="006B1A5A">
        <w:t xml:space="preserve">1, H318). However, the concentration of the latter is below the cut off concentration for when the substances should be taken into account. Thus, none of these co-formulants contributed </w:t>
      </w:r>
      <w:r w:rsidRPr="006B1A5A">
        <w:rPr>
          <w:noProof/>
        </w:rPr>
        <w:t>to</w:t>
      </w:r>
      <w:r w:rsidRPr="006B1A5A">
        <w:t xml:space="preserve"> the overall classification of the products as eye damaging. </w:t>
      </w:r>
    </w:p>
    <w:p w14:paraId="22C179A5" w14:textId="77777777" w:rsidR="001042DA" w:rsidRPr="006B1A5A" w:rsidRDefault="001042DA" w:rsidP="001042DA">
      <w:pPr>
        <w:spacing w:line="260" w:lineRule="atLeast"/>
        <w:jc w:val="both"/>
      </w:pPr>
    </w:p>
    <w:p w14:paraId="73648269" w14:textId="77777777" w:rsidR="001042DA" w:rsidRPr="006B1A5A" w:rsidRDefault="001042DA" w:rsidP="001042DA">
      <w:pPr>
        <w:spacing w:line="260" w:lineRule="atLeast"/>
        <w:jc w:val="both"/>
      </w:pPr>
      <w:r w:rsidRPr="006B1A5A">
        <w:t xml:space="preserve">According to Annex III, point 8.2, Column 3 of the BPR, as sufficient information is available for the active substance and the co-formulants (see separate report “Section 13 of the IUCLID file: “Background Document on the Human Health Hazard of Co-formulants in 360 BPF 2017.pdf”), a study investigating the eye irritating effects of the AquaNet 360 BPF is not considered necessary. </w:t>
      </w:r>
    </w:p>
    <w:bookmarkEnd w:id="1529"/>
    <w:p w14:paraId="71EBDD51" w14:textId="77777777" w:rsidR="001042DA" w:rsidRPr="006B1A5A" w:rsidRDefault="001042DA" w:rsidP="001042DA">
      <w:pPr>
        <w:spacing w:line="260" w:lineRule="atLeast"/>
        <w:rPr>
          <w:rFonts w:ascii="Times New Roman" w:eastAsia="Calibri" w:hAnsi="Times New Roman"/>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1042DA" w:rsidRPr="006B1A5A" w14:paraId="26846638" w14:textId="77777777" w:rsidTr="00AF2AEA">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00967147" w14:textId="77777777" w:rsidR="001042DA" w:rsidRPr="006B1A5A" w:rsidRDefault="001042DA" w:rsidP="00AF2AEA">
            <w:pPr>
              <w:spacing w:line="260" w:lineRule="atLeast"/>
              <w:rPr>
                <w:rFonts w:eastAsia="Calibri"/>
                <w:b/>
                <w:bCs/>
                <w:lang w:eastAsia="en-US"/>
              </w:rPr>
            </w:pPr>
            <w:r w:rsidRPr="006B1A5A">
              <w:rPr>
                <w:rFonts w:eastAsia="Calibri"/>
                <w:b/>
                <w:bCs/>
                <w:lang w:eastAsia="en-US"/>
              </w:rPr>
              <w:t xml:space="preserve">Conclusion used in Risk Assessment – Eye irritation </w:t>
            </w:r>
          </w:p>
        </w:tc>
      </w:tr>
      <w:tr w:rsidR="001042DA" w:rsidRPr="006B1A5A" w14:paraId="3D717A68" w14:textId="77777777" w:rsidTr="00AF2AEA">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40523961" w14:textId="77777777" w:rsidR="001042DA" w:rsidRPr="006B1A5A" w:rsidRDefault="001042DA" w:rsidP="00AF2AEA">
            <w:pPr>
              <w:spacing w:line="260" w:lineRule="atLeast"/>
              <w:rPr>
                <w:rFonts w:eastAsia="Calibri"/>
                <w:lang w:eastAsia="en-US"/>
              </w:rPr>
            </w:pPr>
            <w:r w:rsidRPr="006B1A5A">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2D7004B6" w14:textId="77777777" w:rsidR="001042DA" w:rsidRPr="006B1A5A" w:rsidRDefault="001042DA" w:rsidP="00AF2AEA">
            <w:pPr>
              <w:spacing w:line="260" w:lineRule="atLeast"/>
              <w:rPr>
                <w:rFonts w:eastAsia="Calibri"/>
                <w:lang w:eastAsia="en-US"/>
              </w:rPr>
            </w:pPr>
            <w:r w:rsidRPr="006B1A5A">
              <w:rPr>
                <w:rFonts w:eastAsia="Calibri"/>
                <w:lang w:eastAsia="en-US"/>
              </w:rPr>
              <w:t>Causes serious eye damage</w:t>
            </w:r>
          </w:p>
        </w:tc>
      </w:tr>
      <w:tr w:rsidR="001042DA" w:rsidRPr="006B1A5A" w14:paraId="4F44B23E" w14:textId="77777777" w:rsidTr="00AF2AEA">
        <w:tc>
          <w:tcPr>
            <w:tcW w:w="1276" w:type="pct"/>
            <w:tcBorders>
              <w:top w:val="single" w:sz="6" w:space="0" w:color="auto"/>
              <w:left w:val="single" w:sz="4" w:space="0" w:color="auto"/>
              <w:bottom w:val="single" w:sz="6" w:space="0" w:color="auto"/>
              <w:right w:val="single" w:sz="6" w:space="0" w:color="auto"/>
            </w:tcBorders>
            <w:shd w:val="clear" w:color="auto" w:fill="auto"/>
          </w:tcPr>
          <w:p w14:paraId="4571BBC7" w14:textId="77777777" w:rsidR="001042DA" w:rsidRPr="006B1A5A" w:rsidRDefault="001042DA" w:rsidP="00AF2AEA">
            <w:pPr>
              <w:spacing w:line="260" w:lineRule="atLeast"/>
              <w:rPr>
                <w:rFonts w:eastAsia="Calibri"/>
                <w:lang w:eastAsia="en-US"/>
              </w:rPr>
            </w:pPr>
            <w:r w:rsidRPr="006B1A5A">
              <w:rPr>
                <w:rFonts w:eastAsia="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373D8C86" w14:textId="70BB76B1" w:rsidR="001042DA" w:rsidRPr="006B1A5A" w:rsidRDefault="001042DA" w:rsidP="00AF2AEA">
            <w:pPr>
              <w:spacing w:line="260" w:lineRule="atLeast"/>
              <w:rPr>
                <w:rFonts w:eastAsia="Calibri"/>
                <w:lang w:eastAsia="en-US"/>
              </w:rPr>
            </w:pPr>
            <w:r w:rsidRPr="006B1A5A">
              <w:rPr>
                <w:rFonts w:eastAsia="Calibri"/>
                <w:lang w:eastAsia="en-US"/>
              </w:rPr>
              <w:t>Classification of the product family is based on the classification of the active ingredient dicopper</w:t>
            </w:r>
            <w:r w:rsidR="00F1400D">
              <w:rPr>
                <w:rFonts w:eastAsia="Calibri"/>
                <w:lang w:eastAsia="en-US"/>
              </w:rPr>
              <w:t xml:space="preserve"> </w:t>
            </w:r>
            <w:r w:rsidRPr="006B1A5A">
              <w:rPr>
                <w:rFonts w:eastAsia="Calibri"/>
                <w:lang w:eastAsia="en-US"/>
              </w:rPr>
              <w:t>oxide.</w:t>
            </w:r>
          </w:p>
        </w:tc>
      </w:tr>
      <w:tr w:rsidR="001042DA" w:rsidRPr="006B1A5A" w14:paraId="1BC69681" w14:textId="77777777" w:rsidTr="00AF2AEA">
        <w:tc>
          <w:tcPr>
            <w:tcW w:w="1276" w:type="pct"/>
            <w:tcBorders>
              <w:top w:val="single" w:sz="6" w:space="0" w:color="auto"/>
              <w:left w:val="single" w:sz="4" w:space="0" w:color="auto"/>
              <w:bottom w:val="single" w:sz="6" w:space="0" w:color="auto"/>
              <w:right w:val="single" w:sz="6" w:space="0" w:color="auto"/>
            </w:tcBorders>
            <w:shd w:val="clear" w:color="auto" w:fill="auto"/>
          </w:tcPr>
          <w:p w14:paraId="1976CBE4" w14:textId="77777777" w:rsidR="001042DA" w:rsidRPr="006B1A5A" w:rsidRDefault="001042DA" w:rsidP="00AF2AEA">
            <w:pPr>
              <w:spacing w:line="260" w:lineRule="atLeast"/>
              <w:rPr>
                <w:rFonts w:eastAsia="Calibri"/>
                <w:lang w:eastAsia="en-US"/>
              </w:rPr>
            </w:pPr>
            <w:r w:rsidRPr="006B1A5A">
              <w:rPr>
                <w:rFonts w:eastAsia="Calibri"/>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7D78BBB9" w14:textId="5DAB6AB0" w:rsidR="001042DA" w:rsidRPr="006B1A5A" w:rsidRDefault="001042DA" w:rsidP="00AF2AEA">
            <w:pPr>
              <w:spacing w:line="260" w:lineRule="atLeast"/>
              <w:rPr>
                <w:rFonts w:eastAsia="Calibri"/>
                <w:lang w:eastAsia="en-US"/>
              </w:rPr>
            </w:pPr>
            <w:r w:rsidRPr="006B1A5A">
              <w:rPr>
                <w:rFonts w:eastAsia="Calibri"/>
                <w:lang w:eastAsia="en-US"/>
              </w:rPr>
              <w:t xml:space="preserve">Eye Dam. 1, H318 </w:t>
            </w:r>
          </w:p>
        </w:tc>
      </w:tr>
    </w:tbl>
    <w:p w14:paraId="2C8894BA" w14:textId="77777777" w:rsidR="001042DA" w:rsidRPr="006B1A5A" w:rsidRDefault="001042DA" w:rsidP="001042DA">
      <w:pPr>
        <w:spacing w:line="260" w:lineRule="atLeast"/>
        <w:rPr>
          <w:rFonts w:ascii="Times New Roman" w:eastAsia="Calibri" w:hAnsi="Times New Roman"/>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1042DA" w:rsidRPr="006B1A5A" w14:paraId="3AECAD31" w14:textId="77777777" w:rsidTr="00AF2AEA">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0EBE7073" w14:textId="77777777" w:rsidR="001042DA" w:rsidRPr="006B1A5A" w:rsidRDefault="001042DA" w:rsidP="00AF2AEA">
            <w:pPr>
              <w:spacing w:line="260" w:lineRule="atLeast"/>
              <w:rPr>
                <w:rFonts w:eastAsia="Calibri"/>
                <w:b/>
                <w:lang w:eastAsia="en-US"/>
              </w:rPr>
            </w:pPr>
            <w:r w:rsidRPr="006B1A5A">
              <w:rPr>
                <w:rFonts w:eastAsia="Calibri"/>
                <w:b/>
                <w:lang w:eastAsia="en-US"/>
              </w:rPr>
              <w:t>Data waiving</w:t>
            </w:r>
          </w:p>
        </w:tc>
      </w:tr>
      <w:tr w:rsidR="001042DA" w:rsidRPr="006B1A5A" w14:paraId="0D3C6596" w14:textId="77777777" w:rsidTr="00AF2AEA">
        <w:tc>
          <w:tcPr>
            <w:tcW w:w="1048" w:type="pct"/>
            <w:tcBorders>
              <w:top w:val="single" w:sz="6" w:space="0" w:color="auto"/>
              <w:left w:val="single" w:sz="4" w:space="0" w:color="auto"/>
              <w:bottom w:val="single" w:sz="6" w:space="0" w:color="auto"/>
              <w:right w:val="single" w:sz="6" w:space="0" w:color="auto"/>
            </w:tcBorders>
            <w:shd w:val="clear" w:color="auto" w:fill="auto"/>
          </w:tcPr>
          <w:p w14:paraId="24BCFA3C" w14:textId="77777777" w:rsidR="001042DA" w:rsidRPr="006B1A5A" w:rsidRDefault="001042DA" w:rsidP="00AF2AEA">
            <w:pPr>
              <w:spacing w:line="260" w:lineRule="atLeast"/>
              <w:rPr>
                <w:rFonts w:eastAsia="Calibri"/>
                <w:lang w:eastAsia="en-US"/>
              </w:rPr>
            </w:pPr>
            <w:r w:rsidRPr="006B1A5A">
              <w:rPr>
                <w:rFonts w:eastAsia="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00D88394" w14:textId="77777777" w:rsidR="001042DA" w:rsidRPr="006B1A5A" w:rsidRDefault="001042DA" w:rsidP="00AF2AEA">
            <w:pPr>
              <w:spacing w:line="260" w:lineRule="atLeast"/>
              <w:rPr>
                <w:rFonts w:eastAsia="Calibri"/>
                <w:lang w:eastAsia="en-US"/>
              </w:rPr>
            </w:pPr>
            <w:r w:rsidRPr="006B1A5A">
              <w:rPr>
                <w:rFonts w:eastAsia="Calibri"/>
                <w:lang w:eastAsia="en-US"/>
              </w:rPr>
              <w:t>Eye irritation or damage</w:t>
            </w:r>
          </w:p>
        </w:tc>
      </w:tr>
      <w:tr w:rsidR="001042DA" w:rsidRPr="006B1A5A" w14:paraId="16709CE2" w14:textId="77777777" w:rsidTr="00AF2AEA">
        <w:tc>
          <w:tcPr>
            <w:tcW w:w="1048" w:type="pct"/>
            <w:tcBorders>
              <w:top w:val="single" w:sz="6" w:space="0" w:color="auto"/>
              <w:left w:val="single" w:sz="4" w:space="0" w:color="auto"/>
              <w:bottom w:val="single" w:sz="6" w:space="0" w:color="auto"/>
              <w:right w:val="single" w:sz="6" w:space="0" w:color="auto"/>
            </w:tcBorders>
            <w:shd w:val="clear" w:color="auto" w:fill="auto"/>
          </w:tcPr>
          <w:p w14:paraId="6111F466" w14:textId="77777777" w:rsidR="001042DA" w:rsidRPr="006B1A5A" w:rsidRDefault="001042DA" w:rsidP="00AF2AEA">
            <w:pPr>
              <w:spacing w:line="260" w:lineRule="atLeast"/>
              <w:rPr>
                <w:rFonts w:eastAsia="Calibri"/>
                <w:lang w:eastAsia="en-US"/>
              </w:rPr>
            </w:pPr>
            <w:r w:rsidRPr="006B1A5A">
              <w:rPr>
                <w:rFonts w:eastAsia="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08D9C849" w14:textId="77777777" w:rsidR="001042DA" w:rsidRPr="006B1A5A" w:rsidRDefault="001042DA" w:rsidP="00AF2AEA">
            <w:pPr>
              <w:spacing w:line="260" w:lineRule="atLeast"/>
              <w:rPr>
                <w:rFonts w:cs="EUAlbertina"/>
              </w:rPr>
            </w:pPr>
            <w:r w:rsidRPr="006B1A5A">
              <w:rPr>
                <w:rFonts w:cs="EUAlbertina"/>
              </w:rPr>
              <w:t>Waiving according to Annex III, point No. 8.2, Column 3 of the BPR:</w:t>
            </w:r>
          </w:p>
          <w:p w14:paraId="25E53E6F" w14:textId="77777777" w:rsidR="001042DA" w:rsidRPr="006B1A5A" w:rsidRDefault="001042DA" w:rsidP="00AF2AEA">
            <w:pPr>
              <w:spacing w:line="260" w:lineRule="atLeast"/>
              <w:rPr>
                <w:rFonts w:cs="EUAlbertina"/>
              </w:rPr>
            </w:pPr>
          </w:p>
          <w:p w14:paraId="6698FEB7" w14:textId="1428DCD3" w:rsidR="001042DA" w:rsidRPr="006B1A5A" w:rsidRDefault="001042DA" w:rsidP="00AF2AEA">
            <w:pPr>
              <w:spacing w:line="260" w:lineRule="atLeast"/>
              <w:rPr>
                <w:rFonts w:eastAsia="Calibri"/>
                <w:lang w:eastAsia="en-US"/>
              </w:rPr>
            </w:pPr>
            <w:r w:rsidRPr="006B1A5A">
              <w:rPr>
                <w:rFonts w:cs="EUAlbertina"/>
              </w:rPr>
              <w:t>There are sufficient data available on each of the components in the mixture to allow classification of the mixture. No relevant synergistic effects are expected</w:t>
            </w:r>
            <w:r w:rsidR="00F1400D">
              <w:rPr>
                <w:rFonts w:cs="EUAlbertina"/>
              </w:rPr>
              <w:t>.</w:t>
            </w:r>
          </w:p>
        </w:tc>
      </w:tr>
    </w:tbl>
    <w:p w14:paraId="793F3AE0" w14:textId="77777777" w:rsidR="001042DA" w:rsidRPr="006B1A5A" w:rsidRDefault="001042DA" w:rsidP="001042DA">
      <w:pPr>
        <w:spacing w:line="260" w:lineRule="atLeast"/>
        <w:rPr>
          <w:rFonts w:eastAsia="Calibri"/>
          <w:lang w:eastAsia="en-US"/>
        </w:rPr>
      </w:pPr>
    </w:p>
    <w:p w14:paraId="09C2AD19" w14:textId="77777777" w:rsidR="001042DA" w:rsidRPr="006B1A5A" w:rsidRDefault="001042DA" w:rsidP="001042DA">
      <w:pPr>
        <w:spacing w:line="260" w:lineRule="atLeast"/>
        <w:rPr>
          <w:rFonts w:eastAsia="Calibri"/>
          <w:lang w:eastAsia="en-US"/>
        </w:rPr>
      </w:pPr>
    </w:p>
    <w:p w14:paraId="0C77462B" w14:textId="77777777" w:rsidR="001042DA" w:rsidRPr="006B1A5A" w:rsidRDefault="001042DA" w:rsidP="001042DA">
      <w:pPr>
        <w:keepNext/>
        <w:rPr>
          <w:rFonts w:eastAsia="Calibri"/>
          <w:b/>
          <w:i/>
          <w:lang w:eastAsia="en-US"/>
        </w:rPr>
      </w:pPr>
      <w:bookmarkStart w:id="1530" w:name="_Toc389729052"/>
      <w:bookmarkStart w:id="1531" w:name="_Toc403472757"/>
      <w:r w:rsidRPr="006B1A5A">
        <w:rPr>
          <w:rFonts w:eastAsia="Calibri"/>
          <w:b/>
          <w:i/>
          <w:lang w:eastAsia="en-US"/>
        </w:rPr>
        <w:t>Skin sensitisation</w:t>
      </w:r>
      <w:bookmarkEnd w:id="1530"/>
      <w:bookmarkEnd w:id="1531"/>
    </w:p>
    <w:p w14:paraId="56CB87EE" w14:textId="77777777" w:rsidR="001042DA" w:rsidRPr="006B1A5A" w:rsidRDefault="001042DA" w:rsidP="001042DA">
      <w:pPr>
        <w:keepNext/>
        <w:spacing w:line="260" w:lineRule="atLeast"/>
        <w:rPr>
          <w:rFonts w:ascii="Times New Roman" w:eastAsia="Calibri" w:hAnsi="Times New Roman"/>
          <w:i/>
          <w:iCs/>
          <w:lang w:eastAsia="en-US"/>
        </w:rPr>
      </w:pPr>
    </w:p>
    <w:p w14:paraId="592AAB06" w14:textId="77777777" w:rsidR="001042DA" w:rsidRPr="006B1A5A" w:rsidRDefault="001042DA" w:rsidP="001042DA">
      <w:pPr>
        <w:pStyle w:val="Default"/>
        <w:jc w:val="both"/>
        <w:rPr>
          <w:rFonts w:ascii="Verdana" w:hAnsi="Verdana"/>
          <w:sz w:val="20"/>
          <w:szCs w:val="20"/>
        </w:rPr>
      </w:pPr>
      <w:r w:rsidRPr="006B1A5A">
        <w:rPr>
          <w:rFonts w:ascii="Verdana" w:hAnsi="Verdana"/>
          <w:sz w:val="20"/>
          <w:szCs w:val="20"/>
        </w:rPr>
        <w:t xml:space="preserve">No studies for the assessment of skin </w:t>
      </w:r>
      <w:r w:rsidRPr="006B1A5A">
        <w:rPr>
          <w:rFonts w:ascii="Verdana" w:hAnsi="Verdana"/>
          <w:noProof/>
          <w:sz w:val="20"/>
          <w:szCs w:val="20"/>
        </w:rPr>
        <w:t>sensitisation</w:t>
      </w:r>
      <w:r w:rsidRPr="006B1A5A">
        <w:rPr>
          <w:rFonts w:ascii="Verdana" w:hAnsi="Verdana"/>
          <w:sz w:val="20"/>
          <w:szCs w:val="20"/>
        </w:rPr>
        <w:t xml:space="preserve"> of AquaNet 360</w:t>
      </w:r>
      <w:r w:rsidRPr="006B1A5A">
        <w:rPr>
          <w:rFonts w:ascii="Verdana" w:hAnsi="Verdana"/>
          <w:sz w:val="20"/>
          <w:szCs w:val="20"/>
          <w:vertAlign w:val="superscript"/>
        </w:rPr>
        <w:t xml:space="preserve"> </w:t>
      </w:r>
      <w:r w:rsidRPr="006B1A5A">
        <w:rPr>
          <w:rFonts w:ascii="Verdana" w:hAnsi="Verdana"/>
          <w:sz w:val="20"/>
          <w:szCs w:val="20"/>
        </w:rPr>
        <w:t xml:space="preserve">BPF are available. </w:t>
      </w:r>
    </w:p>
    <w:p w14:paraId="54EFDECB" w14:textId="77777777" w:rsidR="001042DA" w:rsidRPr="006B1A5A" w:rsidRDefault="001042DA" w:rsidP="001042DA">
      <w:pPr>
        <w:pStyle w:val="Default"/>
        <w:jc w:val="both"/>
      </w:pPr>
    </w:p>
    <w:p w14:paraId="1142F4E1" w14:textId="7EAC39EE" w:rsidR="001042DA" w:rsidRPr="006B1A5A" w:rsidRDefault="001042DA" w:rsidP="001042DA">
      <w:pPr>
        <w:pStyle w:val="Default"/>
        <w:rPr>
          <w:rFonts w:ascii="Verdana" w:hAnsi="Verdana"/>
          <w:sz w:val="20"/>
          <w:szCs w:val="20"/>
        </w:rPr>
      </w:pPr>
      <w:bookmarkStart w:id="1532" w:name="_Hlk21699957"/>
      <w:r w:rsidRPr="006B1A5A">
        <w:rPr>
          <w:rFonts w:ascii="Verdana" w:hAnsi="Verdana"/>
          <w:sz w:val="20"/>
          <w:szCs w:val="20"/>
        </w:rPr>
        <w:t xml:space="preserve">The active substances (dicopper oxide or copper thiocyanate) of the AquaNet formulations are not classified for skin sensitisation (ATP09 to CLP). One co-formulant does however contain a mixture of </w:t>
      </w:r>
      <w:r w:rsidRPr="006B1A5A">
        <w:rPr>
          <w:rFonts w:ascii="Verdana" w:hAnsi="Verdana"/>
          <w:sz w:val="20"/>
          <w:szCs w:val="20"/>
          <w:lang w:eastAsia="en-US"/>
        </w:rPr>
        <w:t>5-chloro-2-methyl-4-isothiazolin-3-one and 2-methyl-2H-isothiazol-3-one; 3:1 (</w:t>
      </w:r>
      <w:r w:rsidRPr="006B1A5A">
        <w:rPr>
          <w:rFonts w:ascii="Verdana" w:hAnsi="Verdana"/>
          <w:sz w:val="20"/>
          <w:szCs w:val="20"/>
        </w:rPr>
        <w:t xml:space="preserve">CMIT/MIT) in a concentration which triggers labelling of the family members LG 360 and HG 360 with the sentence EUH 208; Contains a mixture of </w:t>
      </w:r>
      <w:r w:rsidRPr="006B1A5A">
        <w:rPr>
          <w:rFonts w:ascii="Verdana" w:hAnsi="Verdana"/>
          <w:sz w:val="20"/>
          <w:szCs w:val="20"/>
          <w:lang w:eastAsia="en-US"/>
        </w:rPr>
        <w:t>5-chloro-2-methyl-4-isothiazolin-3-one and 2-methyl-2H-isothiazol-3-one</w:t>
      </w:r>
      <w:r w:rsidRPr="006B1A5A">
        <w:rPr>
          <w:rFonts w:ascii="Verdana" w:hAnsi="Verdana"/>
          <w:sz w:val="20"/>
          <w:szCs w:val="20"/>
        </w:rPr>
        <w:t xml:space="preserve"> (CMIT/MIT)3:1</w:t>
      </w:r>
      <w:r w:rsidR="00F1400D">
        <w:rPr>
          <w:rFonts w:ascii="Verdana" w:hAnsi="Verdana"/>
          <w:sz w:val="20"/>
          <w:szCs w:val="20"/>
        </w:rPr>
        <w:t>.</w:t>
      </w:r>
      <w:r w:rsidRPr="006B1A5A">
        <w:rPr>
          <w:rFonts w:ascii="Verdana" w:hAnsi="Verdana"/>
          <w:sz w:val="20"/>
          <w:szCs w:val="20"/>
        </w:rPr>
        <w:t xml:space="preserve"> May cause an allergic skin reaction. </w:t>
      </w:r>
      <w:bookmarkStart w:id="1533" w:name="_Hlk500835699"/>
    </w:p>
    <w:bookmarkEnd w:id="1533"/>
    <w:p w14:paraId="50B91B20" w14:textId="77777777" w:rsidR="001042DA" w:rsidRPr="006B1A5A" w:rsidRDefault="001042DA" w:rsidP="001042DA">
      <w:pPr>
        <w:spacing w:line="260" w:lineRule="atLeast"/>
        <w:jc w:val="both"/>
      </w:pPr>
    </w:p>
    <w:p w14:paraId="68528E16" w14:textId="303750E7" w:rsidR="001042DA" w:rsidRPr="006B1A5A" w:rsidRDefault="001042DA" w:rsidP="001042DA">
      <w:pPr>
        <w:spacing w:line="260" w:lineRule="atLeast"/>
        <w:jc w:val="both"/>
      </w:pPr>
      <w:r w:rsidRPr="006B1A5A">
        <w:t>According to Annex III, point 8.3, Column 3 of the BPR, as sufficient information is available for the active substances and the co-formulants (see separate report “Section 13 of the IUCLID file: “Background Document on the Human Health Hazard of Co-formulants in 360 BPF 2017.pdf”)</w:t>
      </w:r>
      <w:r w:rsidR="00F1400D">
        <w:t>,</w:t>
      </w:r>
      <w:r w:rsidRPr="006B1A5A">
        <w:t xml:space="preserve"> a study investigating the skin sensitizing effects of 360</w:t>
      </w:r>
      <w:r w:rsidRPr="006B1A5A">
        <w:rPr>
          <w:vertAlign w:val="superscript"/>
        </w:rPr>
        <w:t xml:space="preserve"> </w:t>
      </w:r>
      <w:r w:rsidRPr="006B1A5A">
        <w:t xml:space="preserve">BPF is not considered necessary. </w:t>
      </w:r>
    </w:p>
    <w:bookmarkEnd w:id="1532"/>
    <w:p w14:paraId="4221DEAC" w14:textId="77777777" w:rsidR="001042DA" w:rsidRPr="006B1A5A" w:rsidRDefault="001042DA" w:rsidP="001042DA">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1042DA" w:rsidRPr="006B1A5A" w14:paraId="44CE9F45" w14:textId="77777777" w:rsidTr="00AF2AEA">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28684FEA" w14:textId="77777777" w:rsidR="001042DA" w:rsidRPr="006B1A5A" w:rsidRDefault="001042DA" w:rsidP="00AF2AEA">
            <w:pPr>
              <w:spacing w:line="260" w:lineRule="atLeast"/>
              <w:rPr>
                <w:rFonts w:eastAsia="Calibri"/>
                <w:b/>
                <w:bCs/>
                <w:lang w:eastAsia="en-US"/>
              </w:rPr>
            </w:pPr>
            <w:r w:rsidRPr="006B1A5A">
              <w:rPr>
                <w:rFonts w:eastAsia="Calibri"/>
                <w:b/>
                <w:bCs/>
                <w:lang w:eastAsia="en-US"/>
              </w:rPr>
              <w:t xml:space="preserve">Conclusion used in Risk Assessment – Skin </w:t>
            </w:r>
            <w:r w:rsidRPr="006B1A5A">
              <w:rPr>
                <w:rFonts w:eastAsia="Calibri"/>
                <w:b/>
                <w:bCs/>
                <w:noProof/>
                <w:lang w:eastAsia="en-US"/>
              </w:rPr>
              <w:t>sensitisation</w:t>
            </w:r>
          </w:p>
        </w:tc>
      </w:tr>
      <w:tr w:rsidR="001042DA" w:rsidRPr="006B1A5A" w14:paraId="1E0CCCB2" w14:textId="77777777" w:rsidTr="00AF2AEA">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45C0FD0C" w14:textId="77777777" w:rsidR="001042DA" w:rsidRPr="006B1A5A" w:rsidRDefault="001042DA" w:rsidP="00AF2AEA">
            <w:pPr>
              <w:spacing w:line="260" w:lineRule="atLeast"/>
              <w:rPr>
                <w:rFonts w:eastAsia="Calibri"/>
                <w:lang w:eastAsia="en-US"/>
              </w:rPr>
            </w:pPr>
            <w:r w:rsidRPr="006B1A5A">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17B88D2E" w14:textId="77777777" w:rsidR="001042DA" w:rsidRPr="006B1A5A" w:rsidRDefault="001042DA" w:rsidP="00AF2AEA">
            <w:pPr>
              <w:spacing w:line="260" w:lineRule="atLeast"/>
              <w:rPr>
                <w:rFonts w:eastAsia="Calibri"/>
                <w:lang w:eastAsia="en-US"/>
              </w:rPr>
            </w:pPr>
            <w:r w:rsidRPr="006B1A5A">
              <w:rPr>
                <w:rFonts w:eastAsia="Calibri"/>
                <w:lang w:eastAsia="en-US"/>
              </w:rPr>
              <w:t xml:space="preserve">Not skin </w:t>
            </w:r>
            <w:r w:rsidRPr="006B1A5A">
              <w:rPr>
                <w:rFonts w:eastAsia="Calibri"/>
                <w:noProof/>
                <w:lang w:eastAsia="en-US"/>
              </w:rPr>
              <w:t>sensitising</w:t>
            </w:r>
          </w:p>
        </w:tc>
      </w:tr>
      <w:tr w:rsidR="001042DA" w:rsidRPr="006B1A5A" w14:paraId="54880572" w14:textId="77777777" w:rsidTr="00AF2AEA">
        <w:tc>
          <w:tcPr>
            <w:tcW w:w="1276" w:type="pct"/>
            <w:tcBorders>
              <w:top w:val="single" w:sz="6" w:space="0" w:color="auto"/>
              <w:left w:val="single" w:sz="4" w:space="0" w:color="auto"/>
              <w:bottom w:val="single" w:sz="6" w:space="0" w:color="auto"/>
              <w:right w:val="single" w:sz="6" w:space="0" w:color="auto"/>
            </w:tcBorders>
            <w:shd w:val="clear" w:color="auto" w:fill="auto"/>
          </w:tcPr>
          <w:p w14:paraId="6C1577DE" w14:textId="77777777" w:rsidR="001042DA" w:rsidRPr="006B1A5A" w:rsidRDefault="001042DA" w:rsidP="00AF2AEA">
            <w:pPr>
              <w:spacing w:line="260" w:lineRule="atLeast"/>
              <w:rPr>
                <w:rFonts w:eastAsia="Calibri"/>
                <w:lang w:eastAsia="en-US"/>
              </w:rPr>
            </w:pPr>
            <w:r w:rsidRPr="006B1A5A">
              <w:rPr>
                <w:rFonts w:eastAsia="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09529216" w14:textId="3B0A7DFB" w:rsidR="00070B3C" w:rsidRDefault="00070B3C" w:rsidP="00AF2AEA">
            <w:pPr>
              <w:spacing w:line="260" w:lineRule="atLeast"/>
              <w:rPr>
                <w:rFonts w:eastAsia="Calibri"/>
                <w:lang w:eastAsia="en-US"/>
              </w:rPr>
            </w:pPr>
            <w:r w:rsidRPr="00070B3C">
              <w:rPr>
                <w:rFonts w:eastAsia="Calibri"/>
                <w:lang w:eastAsia="en-US"/>
              </w:rPr>
              <w:t>The active substances</w:t>
            </w:r>
            <w:r w:rsidR="001042DA" w:rsidRPr="006B1A5A">
              <w:rPr>
                <w:rFonts w:eastAsia="Calibri"/>
                <w:lang w:eastAsia="en-US"/>
              </w:rPr>
              <w:t xml:space="preserve"> present in the AquaNet </w:t>
            </w:r>
            <w:r w:rsidRPr="00070B3C">
              <w:rPr>
                <w:rFonts w:eastAsia="Calibri"/>
                <w:lang w:eastAsia="en-US"/>
              </w:rPr>
              <w:t xml:space="preserve">AquaNet </w:t>
            </w:r>
            <w:r w:rsidR="001042DA" w:rsidRPr="006B1A5A">
              <w:rPr>
                <w:rFonts w:eastAsia="Calibri"/>
                <w:lang w:eastAsia="en-US"/>
              </w:rPr>
              <w:t xml:space="preserve">360 Biocidal Product Family </w:t>
            </w:r>
            <w:r w:rsidRPr="00070B3C">
              <w:rPr>
                <w:rFonts w:eastAsia="Calibri"/>
                <w:lang w:eastAsia="en-US"/>
              </w:rPr>
              <w:t>are not</w:t>
            </w:r>
            <w:r w:rsidR="001042DA" w:rsidRPr="006B1A5A">
              <w:rPr>
                <w:rFonts w:eastAsia="Calibri"/>
                <w:lang w:eastAsia="en-US"/>
              </w:rPr>
              <w:t xml:space="preserve"> classified for skin </w:t>
            </w:r>
            <w:r w:rsidR="001042DA" w:rsidRPr="006B1A5A">
              <w:rPr>
                <w:rFonts w:eastAsia="Calibri"/>
                <w:noProof/>
                <w:lang w:eastAsia="en-US"/>
              </w:rPr>
              <w:t>sensitisation</w:t>
            </w:r>
            <w:r w:rsidR="001042DA" w:rsidRPr="006B1A5A">
              <w:rPr>
                <w:rFonts w:eastAsia="Calibri"/>
                <w:lang w:eastAsia="en-US"/>
              </w:rPr>
              <w:t xml:space="preserve">. </w:t>
            </w:r>
            <w:r w:rsidRPr="00070B3C">
              <w:rPr>
                <w:rFonts w:eastAsia="Calibri"/>
                <w:lang w:eastAsia="en-US"/>
              </w:rPr>
              <w:t>One co-formulant does however contain a mixture of 5-chloro-2-methyl-4-isothiazolin-3-one and 2-methyl-2H-isothiazol-3-one; 3:1 (CMIT/MIT) in a concentration which triggers labelling of the family members LG 360 and HG 360 with the sentence EUH 208 (see below).</w:t>
            </w:r>
          </w:p>
          <w:p w14:paraId="0EA46A20" w14:textId="3FA3C893" w:rsidR="001042DA" w:rsidRPr="006B1A5A" w:rsidRDefault="001042DA" w:rsidP="00AF2AEA">
            <w:pPr>
              <w:spacing w:line="260" w:lineRule="atLeast"/>
              <w:rPr>
                <w:rFonts w:eastAsia="Calibri"/>
                <w:lang w:eastAsia="en-US"/>
              </w:rPr>
            </w:pPr>
          </w:p>
        </w:tc>
      </w:tr>
      <w:tr w:rsidR="001042DA" w:rsidRPr="006B1A5A" w14:paraId="7191800D" w14:textId="77777777" w:rsidTr="00AF2AEA">
        <w:tc>
          <w:tcPr>
            <w:tcW w:w="1276" w:type="pct"/>
            <w:tcBorders>
              <w:top w:val="single" w:sz="6" w:space="0" w:color="auto"/>
              <w:left w:val="single" w:sz="4" w:space="0" w:color="auto"/>
              <w:bottom w:val="single" w:sz="6" w:space="0" w:color="auto"/>
              <w:right w:val="single" w:sz="6" w:space="0" w:color="auto"/>
            </w:tcBorders>
            <w:shd w:val="clear" w:color="auto" w:fill="auto"/>
          </w:tcPr>
          <w:p w14:paraId="0145CC9F" w14:textId="77777777" w:rsidR="001042DA" w:rsidRPr="006B1A5A" w:rsidRDefault="001042DA" w:rsidP="00AF2AEA">
            <w:pPr>
              <w:spacing w:line="260" w:lineRule="atLeast"/>
              <w:rPr>
                <w:rFonts w:eastAsia="Calibri"/>
                <w:lang w:eastAsia="en-US"/>
              </w:rPr>
            </w:pPr>
            <w:r w:rsidRPr="006B1A5A">
              <w:rPr>
                <w:rFonts w:eastAsia="Calibri"/>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tcPr>
          <w:p w14:paraId="6DC799F2" w14:textId="77777777" w:rsidR="001042DA" w:rsidRPr="006B1A5A" w:rsidRDefault="001042DA" w:rsidP="00AF2AEA">
            <w:pPr>
              <w:spacing w:line="260" w:lineRule="atLeast"/>
              <w:rPr>
                <w:rFonts w:eastAsia="Calibri"/>
                <w:lang w:eastAsia="en-US"/>
              </w:rPr>
            </w:pPr>
            <w:r w:rsidRPr="006B1A5A">
              <w:rPr>
                <w:rFonts w:eastAsia="Calibri"/>
                <w:lang w:eastAsia="en-US"/>
              </w:rPr>
              <w:t>Not classified</w:t>
            </w:r>
          </w:p>
          <w:p w14:paraId="1D69BCDF" w14:textId="77777777" w:rsidR="001042DA" w:rsidRPr="006B1A5A" w:rsidRDefault="001042DA" w:rsidP="00AF2AEA">
            <w:pPr>
              <w:spacing w:line="260" w:lineRule="atLeast"/>
              <w:rPr>
                <w:rFonts w:eastAsia="Calibri"/>
                <w:lang w:eastAsia="en-US"/>
              </w:rPr>
            </w:pPr>
            <w:r w:rsidRPr="006B1A5A">
              <w:rPr>
                <w:rFonts w:eastAsia="Calibri"/>
                <w:lang w:eastAsia="en-US"/>
              </w:rPr>
              <w:t xml:space="preserve">EUH 208; Contains </w:t>
            </w:r>
            <w:r w:rsidRPr="006B1A5A">
              <w:t xml:space="preserve">a mixture of </w:t>
            </w:r>
            <w:r w:rsidRPr="006B1A5A">
              <w:rPr>
                <w:lang w:eastAsia="en-US"/>
              </w:rPr>
              <w:t>5-Chloro-2-methyl-4-isothiazolin-3-one and 2-Methyl-2H-isothiazol-3-one</w:t>
            </w:r>
            <w:r w:rsidRPr="006B1A5A">
              <w:rPr>
                <w:rFonts w:eastAsia="Calibri"/>
                <w:lang w:eastAsia="en-US"/>
              </w:rPr>
              <w:t xml:space="preserve"> (CMIT/MIT) 3:1. May cause an allergic skin reaction.</w:t>
            </w:r>
          </w:p>
          <w:p w14:paraId="7C7F81DD" w14:textId="77777777" w:rsidR="001042DA" w:rsidRPr="006B1A5A" w:rsidRDefault="001042DA" w:rsidP="00AF2AEA">
            <w:pPr>
              <w:spacing w:line="260" w:lineRule="atLeast"/>
              <w:rPr>
                <w:rFonts w:eastAsia="Calibri"/>
                <w:lang w:eastAsia="en-US"/>
              </w:rPr>
            </w:pPr>
            <w:r w:rsidRPr="006B1A5A">
              <w:rPr>
                <w:rFonts w:eastAsia="Calibri"/>
                <w:lang w:eastAsia="en-US"/>
              </w:rPr>
              <w:t>(Only relevant for the AquaNet LG 360 and AquaNet HG 360 family members)</w:t>
            </w:r>
          </w:p>
          <w:p w14:paraId="42A5E6BC" w14:textId="77777777" w:rsidR="001042DA" w:rsidRPr="006B1A5A" w:rsidRDefault="001042DA" w:rsidP="00AF2AEA">
            <w:pPr>
              <w:spacing w:line="260" w:lineRule="atLeast"/>
              <w:rPr>
                <w:rFonts w:eastAsia="Calibri"/>
                <w:lang w:eastAsia="en-US"/>
              </w:rPr>
            </w:pPr>
          </w:p>
        </w:tc>
      </w:tr>
    </w:tbl>
    <w:p w14:paraId="75EA770B" w14:textId="77777777" w:rsidR="001042DA" w:rsidRPr="006B1A5A" w:rsidRDefault="001042DA" w:rsidP="001042DA">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1042DA" w:rsidRPr="006B1A5A" w14:paraId="12BB41C3" w14:textId="77777777" w:rsidTr="00AF2AEA">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3EE5D8CF" w14:textId="77777777" w:rsidR="001042DA" w:rsidRPr="006B1A5A" w:rsidRDefault="001042DA" w:rsidP="00AF2AEA">
            <w:pPr>
              <w:spacing w:line="260" w:lineRule="atLeast"/>
              <w:rPr>
                <w:rFonts w:eastAsia="Calibri"/>
                <w:b/>
                <w:lang w:eastAsia="en-US"/>
              </w:rPr>
            </w:pPr>
            <w:r w:rsidRPr="006B1A5A">
              <w:rPr>
                <w:rFonts w:eastAsia="Calibri"/>
                <w:b/>
                <w:lang w:eastAsia="en-US"/>
              </w:rPr>
              <w:t>Data waiving</w:t>
            </w:r>
          </w:p>
        </w:tc>
      </w:tr>
      <w:tr w:rsidR="001042DA" w:rsidRPr="006B1A5A" w14:paraId="471C7711" w14:textId="77777777" w:rsidTr="00AF2AEA">
        <w:tc>
          <w:tcPr>
            <w:tcW w:w="1048" w:type="pct"/>
            <w:tcBorders>
              <w:top w:val="single" w:sz="6" w:space="0" w:color="auto"/>
              <w:left w:val="single" w:sz="4" w:space="0" w:color="auto"/>
              <w:bottom w:val="single" w:sz="6" w:space="0" w:color="auto"/>
              <w:right w:val="single" w:sz="6" w:space="0" w:color="auto"/>
            </w:tcBorders>
            <w:shd w:val="clear" w:color="auto" w:fill="auto"/>
          </w:tcPr>
          <w:p w14:paraId="34D69109" w14:textId="77777777" w:rsidR="001042DA" w:rsidRPr="006B1A5A" w:rsidRDefault="001042DA" w:rsidP="00AF2AEA">
            <w:pPr>
              <w:spacing w:line="260" w:lineRule="atLeast"/>
              <w:rPr>
                <w:rFonts w:eastAsia="Calibri"/>
                <w:lang w:eastAsia="en-US"/>
              </w:rPr>
            </w:pPr>
            <w:r w:rsidRPr="006B1A5A">
              <w:rPr>
                <w:rFonts w:eastAsia="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2686CCC7" w14:textId="77777777" w:rsidR="001042DA" w:rsidRPr="006B1A5A" w:rsidRDefault="001042DA" w:rsidP="00AF2AEA">
            <w:pPr>
              <w:spacing w:line="260" w:lineRule="atLeast"/>
              <w:rPr>
                <w:rFonts w:eastAsia="Calibri"/>
                <w:lang w:eastAsia="en-US"/>
              </w:rPr>
            </w:pPr>
            <w:r w:rsidRPr="006B1A5A">
              <w:rPr>
                <w:rFonts w:eastAsia="Calibri"/>
                <w:lang w:eastAsia="en-US"/>
              </w:rPr>
              <w:t>Skin sensitisation</w:t>
            </w:r>
          </w:p>
          <w:p w14:paraId="1C6AC536" w14:textId="77777777" w:rsidR="001042DA" w:rsidRPr="006B1A5A" w:rsidRDefault="001042DA" w:rsidP="00AF2AEA">
            <w:pPr>
              <w:pStyle w:val="Default"/>
              <w:rPr>
                <w:rFonts w:eastAsia="Calibri"/>
                <w:lang w:eastAsia="en-US"/>
              </w:rPr>
            </w:pPr>
          </w:p>
        </w:tc>
      </w:tr>
      <w:tr w:rsidR="001042DA" w:rsidRPr="006B1A5A" w14:paraId="065CED8C" w14:textId="77777777" w:rsidTr="00AF2AEA">
        <w:tc>
          <w:tcPr>
            <w:tcW w:w="1048" w:type="pct"/>
            <w:tcBorders>
              <w:top w:val="single" w:sz="6" w:space="0" w:color="auto"/>
              <w:left w:val="single" w:sz="4" w:space="0" w:color="auto"/>
              <w:bottom w:val="single" w:sz="6" w:space="0" w:color="auto"/>
              <w:right w:val="single" w:sz="6" w:space="0" w:color="auto"/>
            </w:tcBorders>
            <w:shd w:val="clear" w:color="auto" w:fill="auto"/>
          </w:tcPr>
          <w:p w14:paraId="2A10A7D6" w14:textId="77777777" w:rsidR="001042DA" w:rsidRPr="006B1A5A" w:rsidRDefault="001042DA" w:rsidP="00AF2AEA">
            <w:pPr>
              <w:spacing w:line="260" w:lineRule="atLeast"/>
              <w:rPr>
                <w:rFonts w:eastAsia="Calibri"/>
                <w:lang w:eastAsia="en-US"/>
              </w:rPr>
            </w:pPr>
            <w:r w:rsidRPr="006B1A5A">
              <w:rPr>
                <w:rFonts w:eastAsia="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5C037C5B" w14:textId="77777777" w:rsidR="001042DA" w:rsidRPr="006B1A5A" w:rsidRDefault="001042DA" w:rsidP="00AF2AEA">
            <w:pPr>
              <w:spacing w:line="260" w:lineRule="atLeast"/>
              <w:rPr>
                <w:rFonts w:cs="EUAlbertina"/>
              </w:rPr>
            </w:pPr>
            <w:r w:rsidRPr="006B1A5A">
              <w:rPr>
                <w:rFonts w:cs="EUAlbertina"/>
              </w:rPr>
              <w:t>Waiving according to Annex III, point No. 8.3, Column 3 of the BPR:</w:t>
            </w:r>
          </w:p>
          <w:p w14:paraId="0CC69111" w14:textId="77777777" w:rsidR="001042DA" w:rsidRPr="006B1A5A" w:rsidRDefault="001042DA" w:rsidP="00AF2AEA">
            <w:pPr>
              <w:spacing w:line="260" w:lineRule="atLeast"/>
              <w:rPr>
                <w:rFonts w:cs="EUAlbertina"/>
              </w:rPr>
            </w:pPr>
          </w:p>
          <w:p w14:paraId="38B80321" w14:textId="77777777" w:rsidR="001042DA" w:rsidRPr="006B1A5A" w:rsidRDefault="001042DA" w:rsidP="00AF2AEA">
            <w:pPr>
              <w:spacing w:line="260" w:lineRule="atLeast"/>
              <w:rPr>
                <w:rFonts w:eastAsia="Calibri"/>
                <w:lang w:eastAsia="en-US"/>
              </w:rPr>
            </w:pPr>
            <w:r w:rsidRPr="006B1A5A">
              <w:rPr>
                <w:rFonts w:cs="EUAlbertina"/>
              </w:rPr>
              <w:t>There are sufficient data available on the components in the mixture to allow classification of the mixture. No relevant synergistic effects are expected.</w:t>
            </w:r>
          </w:p>
        </w:tc>
      </w:tr>
    </w:tbl>
    <w:p w14:paraId="3611BE32" w14:textId="77777777" w:rsidR="001042DA" w:rsidRPr="006B1A5A" w:rsidRDefault="001042DA" w:rsidP="001042DA">
      <w:pPr>
        <w:rPr>
          <w:rFonts w:eastAsia="Calibri"/>
          <w:b/>
          <w:i/>
          <w:lang w:eastAsia="en-US"/>
        </w:rPr>
      </w:pPr>
      <w:bookmarkStart w:id="1534" w:name="_Toc389729053"/>
      <w:bookmarkStart w:id="1535" w:name="_Toc403472758"/>
    </w:p>
    <w:p w14:paraId="61BA4FB1" w14:textId="77777777" w:rsidR="001042DA" w:rsidRPr="006B1A5A" w:rsidRDefault="001042DA" w:rsidP="001042DA">
      <w:pPr>
        <w:rPr>
          <w:rFonts w:eastAsia="Calibri"/>
          <w:b/>
          <w:i/>
          <w:lang w:eastAsia="en-US"/>
        </w:rPr>
      </w:pPr>
    </w:p>
    <w:p w14:paraId="439016BD" w14:textId="77777777" w:rsidR="001042DA" w:rsidRPr="006B1A5A" w:rsidRDefault="001042DA" w:rsidP="001042DA">
      <w:pPr>
        <w:rPr>
          <w:rFonts w:eastAsia="Calibri"/>
          <w:b/>
          <w:i/>
          <w:lang w:eastAsia="en-US"/>
        </w:rPr>
      </w:pPr>
      <w:r w:rsidRPr="006B1A5A">
        <w:rPr>
          <w:rFonts w:eastAsia="Calibri"/>
          <w:b/>
          <w:i/>
          <w:lang w:eastAsia="en-US"/>
        </w:rPr>
        <w:t xml:space="preserve">Respiratory </w:t>
      </w:r>
      <w:r w:rsidRPr="006B1A5A">
        <w:rPr>
          <w:rFonts w:eastAsia="Calibri"/>
          <w:b/>
          <w:i/>
          <w:noProof/>
          <w:lang w:eastAsia="en-US"/>
        </w:rPr>
        <w:t>sensitisation</w:t>
      </w:r>
      <w:r w:rsidRPr="006B1A5A">
        <w:rPr>
          <w:rFonts w:eastAsia="Calibri"/>
          <w:b/>
          <w:i/>
          <w:lang w:eastAsia="en-US"/>
        </w:rPr>
        <w:t xml:space="preserve"> (ADS)</w:t>
      </w:r>
      <w:bookmarkEnd w:id="1534"/>
      <w:bookmarkEnd w:id="1535"/>
    </w:p>
    <w:p w14:paraId="09C5178C" w14:textId="77777777" w:rsidR="001042DA" w:rsidRPr="006B1A5A" w:rsidRDefault="001042DA" w:rsidP="001042DA">
      <w:pPr>
        <w:spacing w:line="260" w:lineRule="atLeast"/>
        <w:rPr>
          <w:rFonts w:eastAsia="Calibri"/>
          <w:b/>
          <w:bCs/>
          <w:lang w:eastAsia="en-US"/>
        </w:rPr>
      </w:pPr>
    </w:p>
    <w:p w14:paraId="692502E4" w14:textId="77777777" w:rsidR="001042DA" w:rsidRPr="006B1A5A" w:rsidRDefault="001042DA" w:rsidP="001042DA">
      <w:pPr>
        <w:spacing w:line="260" w:lineRule="atLeast"/>
        <w:jc w:val="both"/>
      </w:pPr>
      <w:bookmarkStart w:id="1536" w:name="_Hlk21700328"/>
      <w:r w:rsidRPr="006B1A5A">
        <w:t xml:space="preserve">No studies for the assessment of respiratory </w:t>
      </w:r>
      <w:r w:rsidRPr="006B1A5A">
        <w:rPr>
          <w:noProof/>
        </w:rPr>
        <w:t>sensitisation</w:t>
      </w:r>
      <w:r w:rsidRPr="006B1A5A">
        <w:t xml:space="preserve"> of the AquaNet 360</w:t>
      </w:r>
      <w:r w:rsidRPr="006B1A5A">
        <w:rPr>
          <w:vertAlign w:val="superscript"/>
        </w:rPr>
        <w:t xml:space="preserve"> </w:t>
      </w:r>
      <w:r w:rsidRPr="006B1A5A">
        <w:t xml:space="preserve">BPF are available. The active substances (dicopper oxide or copper thiocyanate) are not classified for respiratory </w:t>
      </w:r>
      <w:r w:rsidRPr="006B1A5A">
        <w:rPr>
          <w:noProof/>
        </w:rPr>
        <w:t>sensitisation</w:t>
      </w:r>
      <w:r w:rsidRPr="006B1A5A">
        <w:t xml:space="preserve"> (ATP09 to CLP). In addition, none of the co-formulants are classified for this endpoint</w:t>
      </w:r>
      <w:bookmarkEnd w:id="1536"/>
      <w:r w:rsidRPr="006B1A5A">
        <w:t xml:space="preserve">. A study investigating the respiratory </w:t>
      </w:r>
      <w:r w:rsidRPr="006B1A5A">
        <w:rPr>
          <w:noProof/>
        </w:rPr>
        <w:t>sensitising</w:t>
      </w:r>
      <w:r w:rsidRPr="006B1A5A">
        <w:t xml:space="preserve"> effects of AquaNet</w:t>
      </w:r>
      <w:r w:rsidRPr="006B1A5A">
        <w:rPr>
          <w:vertAlign w:val="superscript"/>
        </w:rPr>
        <w:t xml:space="preserve"> </w:t>
      </w:r>
      <w:r w:rsidRPr="006B1A5A">
        <w:t xml:space="preserve">360 BPF is not considered necessary. </w:t>
      </w:r>
    </w:p>
    <w:p w14:paraId="4BECC509" w14:textId="77777777" w:rsidR="001042DA" w:rsidRPr="006B1A5A" w:rsidRDefault="001042DA" w:rsidP="001042DA">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1042DA" w:rsidRPr="006B1A5A" w14:paraId="7170A8D7" w14:textId="77777777" w:rsidTr="00AF2AEA">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54FCCCD" w14:textId="77777777" w:rsidR="001042DA" w:rsidRPr="006B1A5A" w:rsidRDefault="001042DA" w:rsidP="00AF2AEA">
            <w:pPr>
              <w:spacing w:line="260" w:lineRule="atLeast"/>
              <w:rPr>
                <w:rFonts w:eastAsia="Calibri"/>
                <w:lang w:eastAsia="en-US"/>
              </w:rPr>
            </w:pPr>
            <w:r w:rsidRPr="006B1A5A">
              <w:rPr>
                <w:rFonts w:eastAsia="Calibri"/>
                <w:b/>
                <w:bCs/>
                <w:lang w:eastAsia="en-US"/>
              </w:rPr>
              <w:t>Conclusion</w:t>
            </w:r>
            <w:r w:rsidRPr="006B1A5A">
              <w:rPr>
                <w:rFonts w:eastAsia="Calibri"/>
                <w:lang w:eastAsia="en-US"/>
              </w:rPr>
              <w:t xml:space="preserve"> </w:t>
            </w:r>
            <w:r w:rsidRPr="006B1A5A">
              <w:rPr>
                <w:rFonts w:eastAsia="Calibri"/>
                <w:b/>
                <w:bCs/>
                <w:lang w:eastAsia="en-US"/>
              </w:rPr>
              <w:t xml:space="preserve">used in Risk Assessment – Respiratory </w:t>
            </w:r>
            <w:r w:rsidRPr="006B1A5A">
              <w:rPr>
                <w:rFonts w:eastAsia="Calibri"/>
                <w:b/>
                <w:bCs/>
                <w:noProof/>
                <w:lang w:eastAsia="en-US"/>
              </w:rPr>
              <w:t>sensitisation</w:t>
            </w:r>
          </w:p>
        </w:tc>
      </w:tr>
      <w:tr w:rsidR="001042DA" w:rsidRPr="006B1A5A" w14:paraId="10BF243C" w14:textId="77777777" w:rsidTr="00AF2AEA">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0A0A2E2E" w14:textId="77777777" w:rsidR="001042DA" w:rsidRPr="006B1A5A" w:rsidRDefault="001042DA" w:rsidP="00AF2AEA">
            <w:pPr>
              <w:spacing w:line="260" w:lineRule="atLeast"/>
              <w:rPr>
                <w:rFonts w:eastAsia="Calibri"/>
                <w:lang w:eastAsia="en-US"/>
              </w:rPr>
            </w:pPr>
            <w:r w:rsidRPr="006B1A5A">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439A47BE" w14:textId="77777777" w:rsidR="001042DA" w:rsidRPr="006B1A5A" w:rsidRDefault="001042DA" w:rsidP="00AF2AEA">
            <w:pPr>
              <w:spacing w:line="260" w:lineRule="atLeast"/>
              <w:rPr>
                <w:rFonts w:eastAsia="Calibri"/>
                <w:lang w:eastAsia="en-US"/>
              </w:rPr>
            </w:pPr>
            <w:r w:rsidRPr="006B1A5A">
              <w:rPr>
                <w:rFonts w:eastAsia="Calibri"/>
                <w:lang w:eastAsia="en-US"/>
              </w:rPr>
              <w:t>Not a respiratory sensitiser</w:t>
            </w:r>
          </w:p>
        </w:tc>
      </w:tr>
      <w:tr w:rsidR="001042DA" w:rsidRPr="006B1A5A" w14:paraId="0ABB1A28" w14:textId="77777777" w:rsidTr="00AF2AEA">
        <w:tc>
          <w:tcPr>
            <w:tcW w:w="1276" w:type="pct"/>
            <w:tcBorders>
              <w:top w:val="single" w:sz="6" w:space="0" w:color="auto"/>
              <w:left w:val="single" w:sz="4" w:space="0" w:color="auto"/>
              <w:bottom w:val="single" w:sz="6" w:space="0" w:color="auto"/>
              <w:right w:val="single" w:sz="6" w:space="0" w:color="auto"/>
            </w:tcBorders>
            <w:shd w:val="clear" w:color="auto" w:fill="auto"/>
          </w:tcPr>
          <w:p w14:paraId="0FDDCDF8" w14:textId="77777777" w:rsidR="001042DA" w:rsidRPr="006B1A5A" w:rsidRDefault="001042DA" w:rsidP="00AF2AEA">
            <w:pPr>
              <w:spacing w:line="260" w:lineRule="atLeast"/>
              <w:rPr>
                <w:rFonts w:eastAsia="Calibri"/>
                <w:lang w:eastAsia="en-US"/>
              </w:rPr>
            </w:pPr>
            <w:r w:rsidRPr="006B1A5A">
              <w:rPr>
                <w:rFonts w:eastAsia="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4B335119" w14:textId="77777777" w:rsidR="001042DA" w:rsidRPr="006B1A5A" w:rsidRDefault="001042DA" w:rsidP="00AF2AEA">
            <w:pPr>
              <w:spacing w:line="260" w:lineRule="atLeast"/>
              <w:rPr>
                <w:rFonts w:eastAsia="Calibri"/>
                <w:lang w:eastAsia="en-US"/>
              </w:rPr>
            </w:pPr>
            <w:r w:rsidRPr="006B1A5A">
              <w:rPr>
                <w:rFonts w:eastAsia="Calibri"/>
                <w:lang w:eastAsia="en-US"/>
              </w:rPr>
              <w:t>No substances present in the AquaNet 360 Product Family are classified for respiratory sensitisation. Therefore, this BPF is not classified for this endpoint.</w:t>
            </w:r>
          </w:p>
        </w:tc>
      </w:tr>
      <w:tr w:rsidR="001042DA" w:rsidRPr="006B1A5A" w14:paraId="14754FF6" w14:textId="77777777" w:rsidTr="00AF2AEA">
        <w:tc>
          <w:tcPr>
            <w:tcW w:w="1276" w:type="pct"/>
            <w:tcBorders>
              <w:top w:val="single" w:sz="6" w:space="0" w:color="auto"/>
              <w:left w:val="single" w:sz="4" w:space="0" w:color="auto"/>
              <w:bottom w:val="single" w:sz="6" w:space="0" w:color="auto"/>
              <w:right w:val="single" w:sz="6" w:space="0" w:color="auto"/>
            </w:tcBorders>
            <w:shd w:val="clear" w:color="auto" w:fill="auto"/>
          </w:tcPr>
          <w:p w14:paraId="46E71D7D" w14:textId="77777777" w:rsidR="001042DA" w:rsidRPr="006B1A5A" w:rsidRDefault="001042DA" w:rsidP="00AF2AEA">
            <w:pPr>
              <w:spacing w:line="260" w:lineRule="atLeast"/>
              <w:rPr>
                <w:rFonts w:eastAsia="Calibri"/>
                <w:lang w:eastAsia="en-US"/>
              </w:rPr>
            </w:pPr>
            <w:r w:rsidRPr="006B1A5A">
              <w:rPr>
                <w:rFonts w:eastAsia="Calibri"/>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tcPr>
          <w:p w14:paraId="2B631DA7" w14:textId="77777777" w:rsidR="001042DA" w:rsidRPr="006B1A5A" w:rsidRDefault="001042DA" w:rsidP="00AF2AEA">
            <w:pPr>
              <w:spacing w:line="260" w:lineRule="atLeast"/>
              <w:rPr>
                <w:rFonts w:eastAsia="Calibri"/>
                <w:lang w:eastAsia="en-US"/>
              </w:rPr>
            </w:pPr>
            <w:r w:rsidRPr="006B1A5A">
              <w:rPr>
                <w:rFonts w:eastAsia="Calibri"/>
                <w:lang w:eastAsia="en-US"/>
              </w:rPr>
              <w:t>Not classified</w:t>
            </w:r>
          </w:p>
        </w:tc>
      </w:tr>
    </w:tbl>
    <w:p w14:paraId="73893DFF" w14:textId="77777777" w:rsidR="001042DA" w:rsidRPr="006B1A5A" w:rsidRDefault="001042DA" w:rsidP="001042DA">
      <w:pPr>
        <w:spacing w:line="260" w:lineRule="atLeast"/>
        <w:rPr>
          <w:rFonts w:eastAsia="Calibri"/>
          <w:lang w:eastAsia="en-US"/>
        </w:rPr>
      </w:pPr>
    </w:p>
    <w:p w14:paraId="6DE673F8" w14:textId="77777777" w:rsidR="001A530E" w:rsidRDefault="001A530E">
      <w:pPr>
        <w:spacing w:after="160" w:line="259" w:lineRule="auto"/>
        <w:rPr>
          <w:rFonts w:eastAsia="Calibri"/>
          <w:lang w:eastAsia="en-US"/>
        </w:rPr>
      </w:pPr>
      <w:r>
        <w:rPr>
          <w:rFonts w:eastAsia="Calibri"/>
          <w:lang w:eastAsia="en-US"/>
        </w:rPr>
        <w:br w:type="page"/>
      </w:r>
    </w:p>
    <w:p w14:paraId="169A20E7" w14:textId="77777777" w:rsidR="001042DA" w:rsidRPr="006B1A5A" w:rsidRDefault="001042DA" w:rsidP="001042DA">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1042DA" w:rsidRPr="006B1A5A" w14:paraId="20650600" w14:textId="77777777" w:rsidTr="00AF2AEA">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731C513A" w14:textId="77777777" w:rsidR="001042DA" w:rsidRPr="006B1A5A" w:rsidRDefault="001042DA" w:rsidP="00AF2AEA">
            <w:pPr>
              <w:spacing w:line="260" w:lineRule="atLeast"/>
              <w:rPr>
                <w:rFonts w:eastAsia="Calibri"/>
                <w:b/>
                <w:lang w:eastAsia="en-US"/>
              </w:rPr>
            </w:pPr>
            <w:r w:rsidRPr="006B1A5A">
              <w:rPr>
                <w:rFonts w:eastAsia="Calibri"/>
                <w:b/>
                <w:lang w:eastAsia="en-US"/>
              </w:rPr>
              <w:t>Data waiving</w:t>
            </w:r>
          </w:p>
        </w:tc>
      </w:tr>
      <w:tr w:rsidR="001042DA" w:rsidRPr="006B1A5A" w14:paraId="5D8BEC7E" w14:textId="77777777" w:rsidTr="00AF2AEA">
        <w:tc>
          <w:tcPr>
            <w:tcW w:w="1048" w:type="pct"/>
            <w:tcBorders>
              <w:top w:val="single" w:sz="6" w:space="0" w:color="auto"/>
              <w:left w:val="single" w:sz="4" w:space="0" w:color="auto"/>
              <w:bottom w:val="single" w:sz="6" w:space="0" w:color="auto"/>
              <w:right w:val="single" w:sz="6" w:space="0" w:color="auto"/>
            </w:tcBorders>
            <w:shd w:val="clear" w:color="auto" w:fill="auto"/>
          </w:tcPr>
          <w:p w14:paraId="5EA3DF14" w14:textId="77777777" w:rsidR="001042DA" w:rsidRPr="006B1A5A" w:rsidRDefault="001042DA" w:rsidP="00AF2AEA">
            <w:pPr>
              <w:spacing w:line="260" w:lineRule="atLeast"/>
              <w:rPr>
                <w:rFonts w:eastAsia="Calibri"/>
                <w:lang w:eastAsia="en-US"/>
              </w:rPr>
            </w:pPr>
            <w:r w:rsidRPr="006B1A5A">
              <w:rPr>
                <w:rFonts w:eastAsia="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4FB1DB21" w14:textId="77777777" w:rsidR="001042DA" w:rsidRPr="006B1A5A" w:rsidRDefault="001042DA" w:rsidP="00AF2AEA">
            <w:pPr>
              <w:spacing w:line="260" w:lineRule="atLeast"/>
              <w:rPr>
                <w:rFonts w:eastAsia="Calibri"/>
                <w:lang w:eastAsia="en-US"/>
              </w:rPr>
            </w:pPr>
            <w:r w:rsidRPr="006B1A5A">
              <w:rPr>
                <w:rFonts w:eastAsia="Calibri"/>
                <w:lang w:eastAsia="en-US"/>
              </w:rPr>
              <w:t>Not a core data requirement</w:t>
            </w:r>
          </w:p>
          <w:p w14:paraId="75306B29" w14:textId="77777777" w:rsidR="001042DA" w:rsidRPr="006B1A5A" w:rsidRDefault="001042DA" w:rsidP="00AF2AEA">
            <w:pPr>
              <w:pStyle w:val="Default"/>
              <w:rPr>
                <w:rFonts w:eastAsia="Calibri"/>
                <w:lang w:eastAsia="en-US"/>
              </w:rPr>
            </w:pPr>
          </w:p>
        </w:tc>
      </w:tr>
      <w:tr w:rsidR="001042DA" w:rsidRPr="006B1A5A" w14:paraId="5727DF9D" w14:textId="77777777" w:rsidTr="00AF2AEA">
        <w:tc>
          <w:tcPr>
            <w:tcW w:w="1048" w:type="pct"/>
            <w:tcBorders>
              <w:top w:val="single" w:sz="6" w:space="0" w:color="auto"/>
              <w:left w:val="single" w:sz="4" w:space="0" w:color="auto"/>
              <w:bottom w:val="single" w:sz="6" w:space="0" w:color="auto"/>
              <w:right w:val="single" w:sz="6" w:space="0" w:color="auto"/>
            </w:tcBorders>
            <w:shd w:val="clear" w:color="auto" w:fill="auto"/>
          </w:tcPr>
          <w:p w14:paraId="5BFC8D7D" w14:textId="77777777" w:rsidR="001042DA" w:rsidRPr="006B1A5A" w:rsidRDefault="001042DA" w:rsidP="00AF2AEA">
            <w:pPr>
              <w:spacing w:line="260" w:lineRule="atLeast"/>
              <w:rPr>
                <w:rFonts w:eastAsia="Calibri"/>
                <w:lang w:eastAsia="en-US"/>
              </w:rPr>
            </w:pPr>
            <w:r w:rsidRPr="006B1A5A">
              <w:rPr>
                <w:rFonts w:eastAsia="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02CCEDF3" w14:textId="3CFBD5CC" w:rsidR="001042DA" w:rsidRPr="006B1A5A" w:rsidRDefault="001042DA" w:rsidP="00AF2AEA">
            <w:pPr>
              <w:spacing w:line="260" w:lineRule="atLeast"/>
              <w:rPr>
                <w:rFonts w:cs="EUAlbertina"/>
              </w:rPr>
            </w:pPr>
            <w:r w:rsidRPr="006B1A5A">
              <w:rPr>
                <w:rFonts w:cs="EUAlbertina"/>
              </w:rPr>
              <w:t>No test guideline available</w:t>
            </w:r>
            <w:r w:rsidR="001A530E">
              <w:rPr>
                <w:rFonts w:cs="EUAlbertina"/>
              </w:rPr>
              <w:t>.</w:t>
            </w:r>
            <w:r w:rsidRPr="006B1A5A">
              <w:rPr>
                <w:rFonts w:cs="EUAlbertina"/>
              </w:rPr>
              <w:t xml:space="preserve"> </w:t>
            </w:r>
          </w:p>
          <w:p w14:paraId="0AD12838" w14:textId="77777777" w:rsidR="001042DA" w:rsidRPr="006B1A5A" w:rsidRDefault="001042DA" w:rsidP="00AF2AEA">
            <w:pPr>
              <w:pStyle w:val="Default"/>
              <w:rPr>
                <w:rFonts w:ascii="Verdana" w:hAnsi="Verdana"/>
                <w:sz w:val="20"/>
              </w:rPr>
            </w:pPr>
            <w:r w:rsidRPr="006B1A5A">
              <w:rPr>
                <w:rFonts w:ascii="Verdana" w:hAnsi="Verdana"/>
                <w:sz w:val="20"/>
                <w:szCs w:val="20"/>
              </w:rPr>
              <w:t xml:space="preserve">The toxicity of the active substances (a.s.), and the co-formulants is known and no synergistic effects are expected. Thus, toxicological properties and classification of the biocidal product can be deduced from the respective properties of the a.s. and the co-formulants using the conventional method described in the guidance for classifying mixtures under Regulation 1272/2008 (CLP). </w:t>
            </w:r>
          </w:p>
          <w:p w14:paraId="1500B4E1" w14:textId="77777777" w:rsidR="001042DA" w:rsidRPr="006B1A5A" w:rsidRDefault="001042DA" w:rsidP="00AF2AEA">
            <w:pPr>
              <w:spacing w:line="260" w:lineRule="atLeast"/>
              <w:rPr>
                <w:rFonts w:eastAsia="Calibri"/>
                <w:lang w:eastAsia="en-US"/>
              </w:rPr>
            </w:pPr>
          </w:p>
        </w:tc>
      </w:tr>
    </w:tbl>
    <w:p w14:paraId="2FBA6A5B" w14:textId="77777777" w:rsidR="001042DA" w:rsidRPr="006B1A5A" w:rsidRDefault="001042DA" w:rsidP="001042DA">
      <w:pPr>
        <w:spacing w:line="260" w:lineRule="atLeast"/>
        <w:rPr>
          <w:rFonts w:eastAsia="Calibri"/>
          <w:lang w:eastAsia="en-US"/>
        </w:rPr>
      </w:pPr>
    </w:p>
    <w:p w14:paraId="1D8EFED3" w14:textId="77777777" w:rsidR="001042DA" w:rsidRPr="006B1A5A" w:rsidRDefault="001042DA" w:rsidP="001042DA">
      <w:pPr>
        <w:rPr>
          <w:rFonts w:eastAsia="Calibri"/>
          <w:b/>
          <w:i/>
          <w:lang w:eastAsia="en-US"/>
        </w:rPr>
      </w:pPr>
      <w:bookmarkStart w:id="1537" w:name="_Toc389729054"/>
      <w:bookmarkStart w:id="1538" w:name="_Toc403472759"/>
      <w:r w:rsidRPr="006B1A5A">
        <w:rPr>
          <w:rFonts w:eastAsia="Calibri"/>
          <w:b/>
          <w:i/>
          <w:lang w:eastAsia="en-US"/>
        </w:rPr>
        <w:t>Acute toxicity</w:t>
      </w:r>
      <w:bookmarkEnd w:id="1537"/>
      <w:bookmarkEnd w:id="1538"/>
      <w:r w:rsidRPr="006B1A5A">
        <w:rPr>
          <w:rFonts w:eastAsia="Calibri"/>
          <w:b/>
          <w:i/>
          <w:lang w:eastAsia="en-US"/>
        </w:rPr>
        <w:t xml:space="preserve"> </w:t>
      </w:r>
    </w:p>
    <w:p w14:paraId="11D2AF5C" w14:textId="77777777" w:rsidR="001042DA" w:rsidRPr="006B1A5A" w:rsidRDefault="001042DA" w:rsidP="001042DA">
      <w:pPr>
        <w:rPr>
          <w:rFonts w:eastAsia="Calibri"/>
          <w:b/>
          <w:i/>
          <w:lang w:eastAsia="en-US"/>
        </w:rPr>
      </w:pPr>
    </w:p>
    <w:p w14:paraId="5A9E1391" w14:textId="77777777" w:rsidR="001042DA" w:rsidRPr="006B1A5A" w:rsidRDefault="001042DA" w:rsidP="001042DA">
      <w:pPr>
        <w:rPr>
          <w:rFonts w:eastAsia="Calibri"/>
          <w:i/>
          <w:u w:val="single"/>
          <w:lang w:eastAsia="en-US"/>
        </w:rPr>
      </w:pPr>
      <w:bookmarkStart w:id="1539" w:name="_Toc389729055"/>
      <w:r w:rsidRPr="006B1A5A">
        <w:rPr>
          <w:rFonts w:eastAsia="Calibri"/>
          <w:i/>
          <w:u w:val="single"/>
          <w:lang w:eastAsia="en-US"/>
        </w:rPr>
        <w:t>Acute toxicity by oral route</w:t>
      </w:r>
      <w:bookmarkEnd w:id="1539"/>
    </w:p>
    <w:p w14:paraId="7D6195E3" w14:textId="77777777" w:rsidR="001042DA" w:rsidRPr="006B1A5A" w:rsidRDefault="001042DA" w:rsidP="001042DA">
      <w:pPr>
        <w:spacing w:line="260" w:lineRule="atLeast"/>
        <w:rPr>
          <w:rFonts w:ascii="Times New Roman" w:eastAsia="Calibri" w:hAnsi="Times New Roman"/>
          <w:i/>
          <w:iCs/>
          <w:lang w:eastAsia="en-US"/>
        </w:rPr>
      </w:pPr>
    </w:p>
    <w:p w14:paraId="23C01B1B" w14:textId="2445D1BF" w:rsidR="001042DA" w:rsidRPr="006B1A5A" w:rsidRDefault="001042DA" w:rsidP="001042DA">
      <w:pPr>
        <w:rPr>
          <w:rFonts w:cs="Verdana"/>
          <w:lang w:eastAsia="en-US"/>
        </w:rPr>
      </w:pPr>
      <w:bookmarkStart w:id="1540" w:name="_Hlk21700449"/>
      <w:r w:rsidRPr="006B1A5A">
        <w:t>No studies for the assessment of acute oral toxicity of AquaNet</w:t>
      </w:r>
      <w:r w:rsidRPr="006B1A5A">
        <w:rPr>
          <w:vertAlign w:val="superscript"/>
        </w:rPr>
        <w:t xml:space="preserve"> </w:t>
      </w:r>
      <w:r w:rsidRPr="006B1A5A">
        <w:t>360 BPF are available. Harmonised classification exists for both active substances. Dicopper oxide is classified with Acute Tox</w:t>
      </w:r>
      <w:r w:rsidR="001A530E">
        <w:t>.</w:t>
      </w:r>
      <w:r w:rsidRPr="006B1A5A">
        <w:t xml:space="preserve"> 4, H302 whereas copper thiocyanate is not classified for acute toxicity (ATP09 to CLP</w:t>
      </w:r>
      <w:r w:rsidRPr="006B1A5A">
        <w:rPr>
          <w:rFonts w:cs="Verdana"/>
          <w:lang w:eastAsia="en-US"/>
        </w:rPr>
        <w:t xml:space="preserve">). </w:t>
      </w:r>
    </w:p>
    <w:p w14:paraId="1BDC952E" w14:textId="77777777" w:rsidR="001042DA" w:rsidRPr="006B1A5A" w:rsidRDefault="001042DA" w:rsidP="001042DA">
      <w:pPr>
        <w:rPr>
          <w:rFonts w:cs="Verdana"/>
          <w:lang w:eastAsia="en-US"/>
        </w:rPr>
      </w:pPr>
    </w:p>
    <w:p w14:paraId="7853CC4A" w14:textId="12D957AC" w:rsidR="001042DA" w:rsidRPr="006B1A5A" w:rsidRDefault="001042DA" w:rsidP="001042DA">
      <w:pPr>
        <w:rPr>
          <w:rFonts w:eastAsia="Calibri"/>
        </w:rPr>
      </w:pPr>
      <w:r w:rsidRPr="006B1A5A">
        <w:rPr>
          <w:rFonts w:cs="Verdana"/>
          <w:lang w:eastAsia="en-US"/>
        </w:rPr>
        <w:t>One</w:t>
      </w:r>
      <w:r w:rsidRPr="006B1A5A">
        <w:t xml:space="preserve"> co-formulant is also classified for acute oral toxicity (Acute Tox</w:t>
      </w:r>
      <w:r w:rsidR="001A530E">
        <w:t>.</w:t>
      </w:r>
      <w:r w:rsidRPr="006B1A5A">
        <w:t xml:space="preserve"> 4; H302)</w:t>
      </w:r>
      <w:r w:rsidR="001A530E">
        <w:t>,</w:t>
      </w:r>
      <w:r w:rsidRPr="006B1A5A">
        <w:t xml:space="preserve"> but </w:t>
      </w:r>
      <w:r w:rsidRPr="006B1A5A">
        <w:rPr>
          <w:rFonts w:eastAsia="Calibri"/>
        </w:rPr>
        <w:t xml:space="preserve">should not be taken into account in the calculation of ATE value for acute oral toxicity as it is present in a concentration below the generic cut of value of 1% for this end point (Table 1.1, in Annex I to Reg. no 1272/2008). </w:t>
      </w:r>
    </w:p>
    <w:p w14:paraId="41D13722" w14:textId="77777777" w:rsidR="001042DA" w:rsidRPr="006B1A5A" w:rsidRDefault="001042DA" w:rsidP="001042DA">
      <w:pPr>
        <w:spacing w:line="260" w:lineRule="atLeast"/>
        <w:jc w:val="both"/>
      </w:pPr>
    </w:p>
    <w:p w14:paraId="123CDDC2" w14:textId="77777777" w:rsidR="001042DA" w:rsidRPr="006B1A5A" w:rsidRDefault="001042DA" w:rsidP="001042DA">
      <w:pPr>
        <w:jc w:val="both"/>
      </w:pPr>
      <w:r w:rsidRPr="006B1A5A">
        <w:t xml:space="preserve">Due to the contribution of dicopper oxide in the family member AquaNet HG 360, the classification for this endpoint is required according to the ATE calculation method (see the confidential annex for details). The two other family members, AquaNet LG 360 and AquaNet 360 RFU are not classified for acute oral toxicity. </w:t>
      </w:r>
    </w:p>
    <w:p w14:paraId="44141D1D" w14:textId="77777777" w:rsidR="001042DA" w:rsidRPr="006B1A5A" w:rsidRDefault="001042DA" w:rsidP="001042DA">
      <w:pPr>
        <w:spacing w:line="260" w:lineRule="atLeast"/>
        <w:jc w:val="both"/>
      </w:pPr>
    </w:p>
    <w:p w14:paraId="52ADBFDE" w14:textId="77777777" w:rsidR="001042DA" w:rsidRPr="006B1A5A" w:rsidRDefault="001042DA" w:rsidP="001042DA">
      <w:pPr>
        <w:spacing w:line="260" w:lineRule="atLeast"/>
        <w:jc w:val="both"/>
      </w:pPr>
      <w:r w:rsidRPr="006B1A5A">
        <w:t xml:space="preserve">According to Annex III, point 8.5.1, Column 3 of the BPR, as sufficient information is available for the active substance and the co-formulants (see separate report “Section 13 of the IUCLID file: “Background Document on the Human Health Hazard of Co-formulants in 360 Biocidal Product Family 2017.pdf”), a study investigating the acute toxic effects of AquaNet 360 BPF is not considered necessary. </w:t>
      </w:r>
    </w:p>
    <w:bookmarkEnd w:id="1540"/>
    <w:p w14:paraId="6EA69BC9" w14:textId="77777777" w:rsidR="001042DA" w:rsidRPr="006B1A5A" w:rsidRDefault="001042DA" w:rsidP="001042DA">
      <w:pPr>
        <w:jc w:val="both"/>
        <w:rPr>
          <w:sz w:val="23"/>
          <w:szCs w:val="23"/>
        </w:rPr>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85"/>
        <w:gridCol w:w="7371"/>
      </w:tblGrid>
      <w:tr w:rsidR="001042DA" w:rsidRPr="006B1A5A" w14:paraId="63F7B0B7" w14:textId="77777777" w:rsidTr="00AF2AEA">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08B35CB1" w14:textId="77777777" w:rsidR="001042DA" w:rsidRPr="006B1A5A" w:rsidRDefault="001042DA" w:rsidP="00AF2AEA">
            <w:pPr>
              <w:spacing w:line="260" w:lineRule="atLeast"/>
              <w:rPr>
                <w:rFonts w:eastAsia="Calibri"/>
                <w:b/>
                <w:bCs/>
                <w:lang w:eastAsia="en-US"/>
              </w:rPr>
            </w:pPr>
            <w:r w:rsidRPr="006B1A5A">
              <w:rPr>
                <w:rFonts w:eastAsia="Calibri"/>
                <w:b/>
                <w:bCs/>
                <w:lang w:eastAsia="en-US"/>
              </w:rPr>
              <w:t>Value used in the Risk Assessment – Acute oral toxicity</w:t>
            </w:r>
          </w:p>
        </w:tc>
      </w:tr>
      <w:tr w:rsidR="001042DA" w:rsidRPr="006B1A5A" w14:paraId="1C11AE18" w14:textId="77777777" w:rsidTr="00AF2AEA">
        <w:tc>
          <w:tcPr>
            <w:tcW w:w="1061" w:type="pct"/>
            <w:tcBorders>
              <w:top w:val="single" w:sz="6" w:space="0" w:color="auto"/>
              <w:left w:val="single" w:sz="4" w:space="0" w:color="auto"/>
              <w:bottom w:val="single" w:sz="6" w:space="0" w:color="auto"/>
              <w:right w:val="single" w:sz="6" w:space="0" w:color="auto"/>
            </w:tcBorders>
            <w:shd w:val="clear" w:color="auto" w:fill="auto"/>
          </w:tcPr>
          <w:p w14:paraId="30434216" w14:textId="77777777" w:rsidR="001042DA" w:rsidRPr="006B1A5A" w:rsidRDefault="001042DA" w:rsidP="00AF2AEA">
            <w:pPr>
              <w:spacing w:line="260" w:lineRule="atLeast"/>
              <w:rPr>
                <w:rFonts w:eastAsia="Calibri"/>
                <w:lang w:eastAsia="en-US"/>
              </w:rPr>
            </w:pPr>
            <w:r w:rsidRPr="006B1A5A">
              <w:rPr>
                <w:rFonts w:eastAsia="Calibri"/>
                <w:lang w:eastAsia="en-US"/>
              </w:rPr>
              <w:t>Value</w:t>
            </w:r>
          </w:p>
        </w:tc>
        <w:tc>
          <w:tcPr>
            <w:tcW w:w="3939" w:type="pct"/>
            <w:tcBorders>
              <w:top w:val="single" w:sz="6" w:space="0" w:color="auto"/>
              <w:left w:val="single" w:sz="6" w:space="0" w:color="auto"/>
              <w:bottom w:val="single" w:sz="6" w:space="0" w:color="auto"/>
              <w:right w:val="single" w:sz="6" w:space="0" w:color="auto"/>
            </w:tcBorders>
          </w:tcPr>
          <w:p w14:paraId="1F4B0529" w14:textId="77777777" w:rsidR="001042DA" w:rsidRPr="006B1A5A" w:rsidRDefault="001042DA" w:rsidP="00AF2AEA">
            <w:pPr>
              <w:spacing w:line="260" w:lineRule="atLeast"/>
              <w:rPr>
                <w:rFonts w:eastAsia="Calibri"/>
                <w:lang w:eastAsia="en-US"/>
              </w:rPr>
            </w:pPr>
            <w:r w:rsidRPr="006B1A5A">
              <w:rPr>
                <w:rFonts w:eastAsia="Calibri"/>
                <w:lang w:eastAsia="en-US"/>
              </w:rPr>
              <w:t>Acute oral toxicity Cat. 4 (AquaNet HG 360 only)</w:t>
            </w:r>
          </w:p>
        </w:tc>
      </w:tr>
      <w:tr w:rsidR="001042DA" w:rsidRPr="006B1A5A" w14:paraId="0BEC7F3C" w14:textId="77777777" w:rsidTr="00AF2AEA">
        <w:tc>
          <w:tcPr>
            <w:tcW w:w="1061" w:type="pct"/>
            <w:tcBorders>
              <w:top w:val="single" w:sz="6" w:space="0" w:color="auto"/>
              <w:left w:val="single" w:sz="4" w:space="0" w:color="auto"/>
              <w:bottom w:val="single" w:sz="6" w:space="0" w:color="auto"/>
              <w:right w:val="single" w:sz="6" w:space="0" w:color="auto"/>
            </w:tcBorders>
            <w:shd w:val="clear" w:color="auto" w:fill="auto"/>
          </w:tcPr>
          <w:p w14:paraId="6D508B09" w14:textId="77777777" w:rsidR="001042DA" w:rsidRPr="006B1A5A" w:rsidRDefault="001042DA" w:rsidP="00AF2AEA">
            <w:pPr>
              <w:spacing w:line="260" w:lineRule="atLeast"/>
              <w:rPr>
                <w:rFonts w:eastAsia="Calibri"/>
                <w:lang w:eastAsia="en-US"/>
              </w:rPr>
            </w:pPr>
            <w:r w:rsidRPr="006B1A5A">
              <w:rPr>
                <w:rFonts w:eastAsia="Calibri"/>
                <w:lang w:eastAsia="en-US"/>
              </w:rPr>
              <w:t>Justification for the selected value</w:t>
            </w:r>
          </w:p>
        </w:tc>
        <w:tc>
          <w:tcPr>
            <w:tcW w:w="3939" w:type="pct"/>
            <w:tcBorders>
              <w:top w:val="single" w:sz="6" w:space="0" w:color="auto"/>
              <w:left w:val="single" w:sz="6" w:space="0" w:color="auto"/>
              <w:bottom w:val="single" w:sz="6" w:space="0" w:color="auto"/>
              <w:right w:val="single" w:sz="6" w:space="0" w:color="auto"/>
            </w:tcBorders>
          </w:tcPr>
          <w:p w14:paraId="45F2BA93" w14:textId="77777777" w:rsidR="001042DA" w:rsidRPr="006B1A5A" w:rsidRDefault="001042DA" w:rsidP="00AF2AEA">
            <w:pPr>
              <w:spacing w:line="260" w:lineRule="atLeast"/>
              <w:rPr>
                <w:rFonts w:eastAsia="Calibri"/>
                <w:lang w:eastAsia="en-US"/>
              </w:rPr>
            </w:pPr>
            <w:r w:rsidRPr="006B1A5A">
              <w:rPr>
                <w:rFonts w:eastAsia="Calibri"/>
                <w:lang w:eastAsia="en-US"/>
              </w:rPr>
              <w:t xml:space="preserve">The products are classified </w:t>
            </w:r>
            <w:r w:rsidRPr="006B1A5A">
              <w:rPr>
                <w:rFonts w:eastAsia="Calibri"/>
                <w:noProof/>
                <w:lang w:eastAsia="en-US"/>
              </w:rPr>
              <w:t>as</w:t>
            </w:r>
            <w:r w:rsidRPr="006B1A5A">
              <w:rPr>
                <w:rFonts w:eastAsia="Calibri"/>
                <w:lang w:eastAsia="en-US"/>
              </w:rPr>
              <w:t xml:space="preserve"> acute oral toxicity based on the classification of the active substance dicopper oxide.</w:t>
            </w:r>
          </w:p>
        </w:tc>
      </w:tr>
      <w:tr w:rsidR="001042DA" w:rsidRPr="006B1A5A" w14:paraId="3FA00C41" w14:textId="77777777" w:rsidTr="00AF2AEA">
        <w:tc>
          <w:tcPr>
            <w:tcW w:w="1061" w:type="pct"/>
            <w:tcBorders>
              <w:top w:val="single" w:sz="6" w:space="0" w:color="auto"/>
              <w:left w:val="single" w:sz="4" w:space="0" w:color="auto"/>
              <w:bottom w:val="single" w:sz="6" w:space="0" w:color="auto"/>
              <w:right w:val="single" w:sz="6" w:space="0" w:color="auto"/>
            </w:tcBorders>
            <w:shd w:val="clear" w:color="auto" w:fill="auto"/>
          </w:tcPr>
          <w:p w14:paraId="0AD9CE82" w14:textId="77777777" w:rsidR="001042DA" w:rsidRPr="006B1A5A" w:rsidRDefault="001042DA" w:rsidP="00AF2AEA">
            <w:pPr>
              <w:spacing w:line="260" w:lineRule="atLeast"/>
              <w:rPr>
                <w:rFonts w:eastAsia="Calibri"/>
                <w:lang w:eastAsia="en-US"/>
              </w:rPr>
            </w:pPr>
            <w:r w:rsidRPr="006B1A5A">
              <w:rPr>
                <w:rFonts w:eastAsia="Calibri"/>
                <w:lang w:eastAsia="en-US"/>
              </w:rPr>
              <w:t xml:space="preserve">Classification of the product according to CLP </w:t>
            </w:r>
          </w:p>
        </w:tc>
        <w:tc>
          <w:tcPr>
            <w:tcW w:w="3939" w:type="pct"/>
            <w:tcBorders>
              <w:top w:val="single" w:sz="6" w:space="0" w:color="auto"/>
              <w:left w:val="single" w:sz="6" w:space="0" w:color="auto"/>
              <w:bottom w:val="single" w:sz="6" w:space="0" w:color="auto"/>
              <w:right w:val="single" w:sz="6" w:space="0" w:color="auto"/>
            </w:tcBorders>
          </w:tcPr>
          <w:p w14:paraId="60D3FD0F" w14:textId="77777777" w:rsidR="001042DA" w:rsidRPr="006B1A5A" w:rsidRDefault="001042DA" w:rsidP="00AF2AEA">
            <w:pPr>
              <w:spacing w:line="260" w:lineRule="atLeast"/>
              <w:rPr>
                <w:rFonts w:eastAsia="Calibri"/>
                <w:lang w:eastAsia="en-US"/>
              </w:rPr>
            </w:pPr>
            <w:r w:rsidRPr="006B1A5A">
              <w:rPr>
                <w:rFonts w:eastAsia="Calibri"/>
                <w:lang w:eastAsia="en-US"/>
              </w:rPr>
              <w:t>Acute Tox. 4 (H302, oral)</w:t>
            </w:r>
          </w:p>
        </w:tc>
      </w:tr>
    </w:tbl>
    <w:p w14:paraId="7A02F15A" w14:textId="77777777" w:rsidR="001042DA" w:rsidRPr="006B1A5A" w:rsidRDefault="001042DA" w:rsidP="001042DA">
      <w:pPr>
        <w:spacing w:line="260" w:lineRule="atLeast"/>
        <w:rPr>
          <w:rFonts w:eastAsia="Calibri"/>
          <w:lang w:eastAsia="en-US"/>
        </w:rPr>
      </w:pPr>
    </w:p>
    <w:p w14:paraId="5DF1FE6F" w14:textId="77777777" w:rsidR="001042DA" w:rsidRPr="006B1A5A" w:rsidRDefault="001042DA" w:rsidP="001042DA">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1042DA" w:rsidRPr="006B1A5A" w14:paraId="42B796EE" w14:textId="77777777" w:rsidTr="00AF2AEA">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27BAC22A" w14:textId="77777777" w:rsidR="001042DA" w:rsidRPr="006B1A5A" w:rsidRDefault="001042DA" w:rsidP="00AF2AEA">
            <w:pPr>
              <w:spacing w:line="260" w:lineRule="atLeast"/>
              <w:rPr>
                <w:rFonts w:eastAsia="Calibri"/>
                <w:b/>
                <w:lang w:eastAsia="en-US"/>
              </w:rPr>
            </w:pPr>
            <w:r w:rsidRPr="006B1A5A">
              <w:rPr>
                <w:rFonts w:eastAsia="Calibri"/>
                <w:b/>
                <w:lang w:eastAsia="en-US"/>
              </w:rPr>
              <w:t>Data waiving</w:t>
            </w:r>
          </w:p>
        </w:tc>
      </w:tr>
      <w:tr w:rsidR="001042DA" w:rsidRPr="006B1A5A" w14:paraId="7E2BB8FC" w14:textId="77777777" w:rsidTr="00AF2AEA">
        <w:tc>
          <w:tcPr>
            <w:tcW w:w="1048" w:type="pct"/>
            <w:tcBorders>
              <w:top w:val="single" w:sz="6" w:space="0" w:color="auto"/>
              <w:left w:val="single" w:sz="4" w:space="0" w:color="auto"/>
              <w:bottom w:val="single" w:sz="6" w:space="0" w:color="auto"/>
              <w:right w:val="single" w:sz="6" w:space="0" w:color="auto"/>
            </w:tcBorders>
            <w:shd w:val="clear" w:color="auto" w:fill="auto"/>
          </w:tcPr>
          <w:p w14:paraId="182601DA" w14:textId="77777777" w:rsidR="001042DA" w:rsidRPr="006B1A5A" w:rsidRDefault="001042DA" w:rsidP="00AF2AEA">
            <w:pPr>
              <w:spacing w:line="260" w:lineRule="atLeast"/>
              <w:rPr>
                <w:rFonts w:eastAsia="Calibri"/>
                <w:lang w:eastAsia="en-US"/>
              </w:rPr>
            </w:pPr>
            <w:r w:rsidRPr="006B1A5A">
              <w:rPr>
                <w:rFonts w:eastAsia="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0521D66D" w14:textId="77777777" w:rsidR="001042DA" w:rsidRPr="006B1A5A" w:rsidRDefault="001042DA" w:rsidP="00AF2AEA">
            <w:pPr>
              <w:spacing w:line="260" w:lineRule="atLeast"/>
              <w:rPr>
                <w:rFonts w:eastAsia="Calibri"/>
                <w:lang w:eastAsia="en-US"/>
              </w:rPr>
            </w:pPr>
            <w:r w:rsidRPr="006B1A5A">
              <w:rPr>
                <w:rFonts w:eastAsia="Calibri"/>
                <w:lang w:eastAsia="en-US"/>
              </w:rPr>
              <w:t>Acute oral toxicity</w:t>
            </w:r>
          </w:p>
        </w:tc>
      </w:tr>
      <w:tr w:rsidR="001042DA" w:rsidRPr="006B1A5A" w14:paraId="3DC51D7B" w14:textId="77777777" w:rsidTr="00AF2AEA">
        <w:tc>
          <w:tcPr>
            <w:tcW w:w="1048" w:type="pct"/>
            <w:tcBorders>
              <w:top w:val="single" w:sz="6" w:space="0" w:color="auto"/>
              <w:left w:val="single" w:sz="4" w:space="0" w:color="auto"/>
              <w:bottom w:val="single" w:sz="6" w:space="0" w:color="auto"/>
              <w:right w:val="single" w:sz="6" w:space="0" w:color="auto"/>
            </w:tcBorders>
            <w:shd w:val="clear" w:color="auto" w:fill="auto"/>
          </w:tcPr>
          <w:p w14:paraId="6E648DE3" w14:textId="77777777" w:rsidR="001042DA" w:rsidRPr="006B1A5A" w:rsidRDefault="001042DA" w:rsidP="00AF2AEA">
            <w:pPr>
              <w:spacing w:line="260" w:lineRule="atLeast"/>
              <w:rPr>
                <w:rFonts w:eastAsia="Calibri"/>
                <w:lang w:eastAsia="en-US"/>
              </w:rPr>
            </w:pPr>
            <w:r w:rsidRPr="006B1A5A">
              <w:rPr>
                <w:rFonts w:eastAsia="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22A41E80" w14:textId="77777777" w:rsidR="001042DA" w:rsidRPr="006B1A5A" w:rsidRDefault="001042DA" w:rsidP="00AF2AEA">
            <w:pPr>
              <w:spacing w:line="260" w:lineRule="atLeast"/>
              <w:rPr>
                <w:rFonts w:cs="EUAlbertina"/>
              </w:rPr>
            </w:pPr>
            <w:r w:rsidRPr="006B1A5A">
              <w:rPr>
                <w:rFonts w:cs="EUAlbertina"/>
              </w:rPr>
              <w:t>Waiving according to Annex III, point No. 8.5.1., Column 3 of the BPR:</w:t>
            </w:r>
          </w:p>
          <w:p w14:paraId="0D32D0AC" w14:textId="77777777" w:rsidR="001042DA" w:rsidRPr="006B1A5A" w:rsidRDefault="001042DA" w:rsidP="00AF2AEA">
            <w:pPr>
              <w:spacing w:line="260" w:lineRule="atLeast"/>
              <w:rPr>
                <w:rFonts w:cs="EUAlbertina"/>
              </w:rPr>
            </w:pPr>
          </w:p>
          <w:p w14:paraId="717C047D" w14:textId="77777777" w:rsidR="001042DA" w:rsidRPr="006B1A5A" w:rsidRDefault="001042DA" w:rsidP="00AF2AEA">
            <w:pPr>
              <w:spacing w:line="260" w:lineRule="atLeast"/>
              <w:rPr>
                <w:rFonts w:eastAsia="Calibri"/>
                <w:lang w:eastAsia="en-US"/>
              </w:rPr>
            </w:pPr>
            <w:r w:rsidRPr="006B1A5A">
              <w:rPr>
                <w:rFonts w:cs="EUAlbertina"/>
              </w:rPr>
              <w:t xml:space="preserve">There are sufficient data available on each of the components in the mixture to allow classification of the mixture. No relevant synergistic effects are expected. </w:t>
            </w:r>
          </w:p>
        </w:tc>
      </w:tr>
    </w:tbl>
    <w:p w14:paraId="4E08CB14" w14:textId="77777777" w:rsidR="001042DA" w:rsidRPr="006B1A5A" w:rsidRDefault="001042DA" w:rsidP="001042DA">
      <w:pPr>
        <w:rPr>
          <w:rFonts w:eastAsia="Calibri"/>
          <w:i/>
          <w:u w:val="single"/>
          <w:lang w:eastAsia="en-US"/>
        </w:rPr>
      </w:pPr>
      <w:bookmarkStart w:id="1541" w:name="_Toc389729056"/>
    </w:p>
    <w:p w14:paraId="42639E79" w14:textId="77777777" w:rsidR="001042DA" w:rsidRPr="006B1A5A" w:rsidRDefault="001042DA" w:rsidP="001042DA">
      <w:pPr>
        <w:rPr>
          <w:rFonts w:eastAsia="Calibri"/>
          <w:i/>
          <w:u w:val="single"/>
          <w:lang w:eastAsia="en-US"/>
        </w:rPr>
      </w:pPr>
    </w:p>
    <w:p w14:paraId="02C36A7E" w14:textId="77777777" w:rsidR="001042DA" w:rsidRPr="006B1A5A" w:rsidRDefault="001042DA" w:rsidP="001042DA">
      <w:pPr>
        <w:rPr>
          <w:rFonts w:eastAsia="Calibri"/>
          <w:i/>
          <w:u w:val="single"/>
          <w:lang w:eastAsia="en-US"/>
        </w:rPr>
      </w:pPr>
      <w:r w:rsidRPr="006B1A5A">
        <w:rPr>
          <w:rFonts w:eastAsia="Calibri"/>
          <w:i/>
          <w:u w:val="single"/>
          <w:lang w:eastAsia="en-US"/>
        </w:rPr>
        <w:t>Acute toxicity by inhalation</w:t>
      </w:r>
      <w:bookmarkEnd w:id="1541"/>
    </w:p>
    <w:p w14:paraId="1DD911C8" w14:textId="77777777" w:rsidR="001042DA" w:rsidRPr="006B1A5A" w:rsidRDefault="001042DA" w:rsidP="001042DA">
      <w:pPr>
        <w:jc w:val="both"/>
        <w:rPr>
          <w:rFonts w:ascii="Times New Roman" w:eastAsia="Calibri" w:hAnsi="Times New Roman"/>
          <w:i/>
          <w:iCs/>
          <w:lang w:eastAsia="en-US"/>
        </w:rPr>
      </w:pPr>
    </w:p>
    <w:p w14:paraId="2B8BED5E" w14:textId="77777777" w:rsidR="001042DA" w:rsidRPr="006B1A5A" w:rsidRDefault="001042DA" w:rsidP="001042DA">
      <w:pPr>
        <w:jc w:val="both"/>
      </w:pPr>
      <w:bookmarkStart w:id="1542" w:name="_Hlk21700890"/>
      <w:r w:rsidRPr="006B1A5A">
        <w:rPr>
          <w:rFonts w:eastAsia="Calibri"/>
          <w:iCs/>
          <w:lang w:eastAsia="en-US"/>
        </w:rPr>
        <w:t xml:space="preserve">No studies for the assessment of acute inhalation toxicity of </w:t>
      </w:r>
      <w:r w:rsidRPr="006B1A5A">
        <w:t>AquaNet 360 BPF</w:t>
      </w:r>
      <w:r w:rsidRPr="006B1A5A">
        <w:rPr>
          <w:rFonts w:eastAsia="Calibri"/>
          <w:iCs/>
          <w:lang w:eastAsia="en-US"/>
        </w:rPr>
        <w:t xml:space="preserve"> are available.</w:t>
      </w:r>
      <w:r w:rsidRPr="006B1A5A">
        <w:t xml:space="preserve"> Although this is not considered a data gap since the information on the ingredients is sufficient to generate the product classification for this endpoint. </w:t>
      </w:r>
    </w:p>
    <w:p w14:paraId="321DF31C" w14:textId="77777777" w:rsidR="001042DA" w:rsidRPr="006B1A5A" w:rsidRDefault="001042DA" w:rsidP="001042DA">
      <w:pPr>
        <w:jc w:val="both"/>
      </w:pPr>
    </w:p>
    <w:p w14:paraId="42044958" w14:textId="37052153" w:rsidR="001042DA" w:rsidRPr="006B1A5A" w:rsidRDefault="001042DA" w:rsidP="001042DA">
      <w:pPr>
        <w:jc w:val="both"/>
        <w:rPr>
          <w:rFonts w:eastAsia="Calibri"/>
          <w:iCs/>
          <w:lang w:eastAsia="en-US"/>
        </w:rPr>
      </w:pPr>
      <w:r w:rsidRPr="006B1A5A">
        <w:t xml:space="preserve">Harmonised classification exists for both active substances. Dicopper </w:t>
      </w:r>
      <w:r w:rsidRPr="006B1A5A">
        <w:rPr>
          <w:noProof/>
        </w:rPr>
        <w:t>oxide</w:t>
      </w:r>
      <w:r w:rsidRPr="006B1A5A">
        <w:t xml:space="preserve"> is classified with </w:t>
      </w:r>
      <w:r w:rsidRPr="006B1A5A">
        <w:rPr>
          <w:rFonts w:eastAsia="Calibri"/>
          <w:iCs/>
          <w:lang w:eastAsia="en-US"/>
        </w:rPr>
        <w:t>Acute Tox</w:t>
      </w:r>
      <w:r w:rsidR="001A530E">
        <w:rPr>
          <w:rFonts w:eastAsia="Calibri"/>
          <w:iCs/>
          <w:lang w:eastAsia="en-US"/>
        </w:rPr>
        <w:t>.</w:t>
      </w:r>
      <w:r w:rsidRPr="006B1A5A">
        <w:rPr>
          <w:rFonts w:eastAsia="Calibri"/>
          <w:iCs/>
          <w:lang w:eastAsia="en-US"/>
        </w:rPr>
        <w:t xml:space="preserve"> 4, H332 whereas copper thiocyanate is not classified </w:t>
      </w:r>
      <w:r w:rsidRPr="006B1A5A">
        <w:rPr>
          <w:rFonts w:cs="Verdana"/>
          <w:lang w:eastAsia="en-US"/>
        </w:rPr>
        <w:t>for acute inhalation toxicity (ATP09 to CLP). N</w:t>
      </w:r>
      <w:r w:rsidRPr="006B1A5A">
        <w:rPr>
          <w:rFonts w:eastAsia="Calibri"/>
          <w:iCs/>
          <w:lang w:eastAsia="en-US"/>
        </w:rPr>
        <w:t xml:space="preserve">one of the co-formulants are classified for this endpoint. </w:t>
      </w:r>
    </w:p>
    <w:p w14:paraId="397E9C72" w14:textId="77777777" w:rsidR="001042DA" w:rsidRPr="006B1A5A" w:rsidRDefault="001042DA" w:rsidP="001042DA">
      <w:pPr>
        <w:jc w:val="both"/>
        <w:rPr>
          <w:rFonts w:eastAsia="Calibri"/>
          <w:iCs/>
          <w:lang w:eastAsia="en-US"/>
        </w:rPr>
      </w:pPr>
    </w:p>
    <w:p w14:paraId="49449555" w14:textId="77777777" w:rsidR="001042DA" w:rsidRPr="006B1A5A" w:rsidRDefault="001042DA" w:rsidP="001042DA">
      <w:pPr>
        <w:jc w:val="both"/>
      </w:pPr>
      <w:r w:rsidRPr="006B1A5A">
        <w:t>Dicopper oxide</w:t>
      </w:r>
      <w:r w:rsidRPr="006B1A5A">
        <w:rPr>
          <w:rFonts w:eastAsia="Calibri"/>
          <w:lang w:eastAsia="en-US"/>
        </w:rPr>
        <w:t xml:space="preserve"> is present in the products at subthreshold levels according to</w:t>
      </w:r>
      <w:r w:rsidRPr="006B1A5A">
        <w:t xml:space="preserve"> the ATE calculation method, and no classification for this endpoint is required for this </w:t>
      </w:r>
      <w:bookmarkStart w:id="1543" w:name="_Hlk500761128"/>
      <w:r w:rsidRPr="006B1A5A">
        <w:t xml:space="preserve">AquaNet product family. </w:t>
      </w:r>
      <w:bookmarkEnd w:id="1543"/>
    </w:p>
    <w:p w14:paraId="6721C880" w14:textId="77777777" w:rsidR="001042DA" w:rsidRPr="006B1A5A" w:rsidRDefault="001042DA" w:rsidP="001042DA">
      <w:pPr>
        <w:spacing w:line="260" w:lineRule="atLeast"/>
      </w:pPr>
    </w:p>
    <w:p w14:paraId="1615C28D" w14:textId="77777777" w:rsidR="001042DA" w:rsidRPr="006B1A5A" w:rsidRDefault="001042DA" w:rsidP="001042DA">
      <w:pPr>
        <w:spacing w:line="260" w:lineRule="atLeast"/>
        <w:jc w:val="both"/>
      </w:pPr>
      <w:r w:rsidRPr="006B1A5A">
        <w:t>According to Annex III, point 8.5.2, Column 3 of the BPR, as sufficient information is available for the active substances and the co-formulants (see separate report “Section 13 of the IUCLID file: “Background Document on the Human Health Hazard of Co-formulants in 360 Biocidal Product Family 2017.pdf”), a study investigating the acute toxic effects after inhalation of the AquaNet 360</w:t>
      </w:r>
      <w:r w:rsidRPr="006B1A5A">
        <w:rPr>
          <w:vertAlign w:val="superscript"/>
        </w:rPr>
        <w:t xml:space="preserve"> </w:t>
      </w:r>
      <w:r w:rsidRPr="006B1A5A">
        <w:t xml:space="preserve">products is not considered necessary. </w:t>
      </w:r>
    </w:p>
    <w:bookmarkEnd w:id="1542"/>
    <w:p w14:paraId="5BD54BDA" w14:textId="77777777" w:rsidR="001042DA" w:rsidRPr="006B1A5A" w:rsidRDefault="001042DA" w:rsidP="001042DA">
      <w:pPr>
        <w:jc w:val="both"/>
        <w:rPr>
          <w:sz w:val="22"/>
          <w:szCs w:val="22"/>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1042DA" w:rsidRPr="006B1A5A" w14:paraId="4382C692" w14:textId="77777777" w:rsidTr="00AF2AEA">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20CBBF9E" w14:textId="77777777" w:rsidR="001042DA" w:rsidRPr="006B1A5A" w:rsidRDefault="001042DA" w:rsidP="00AF2AEA">
            <w:pPr>
              <w:spacing w:line="260" w:lineRule="atLeast"/>
              <w:rPr>
                <w:rFonts w:eastAsia="Calibri"/>
                <w:b/>
                <w:bCs/>
                <w:lang w:eastAsia="en-US"/>
              </w:rPr>
            </w:pPr>
            <w:r w:rsidRPr="006B1A5A">
              <w:rPr>
                <w:rFonts w:eastAsia="Calibri"/>
                <w:b/>
                <w:bCs/>
                <w:lang w:eastAsia="en-US"/>
              </w:rPr>
              <w:t>Value used in the Risk Assessment – Acute inhalation toxicity</w:t>
            </w:r>
          </w:p>
        </w:tc>
      </w:tr>
      <w:tr w:rsidR="001042DA" w:rsidRPr="006B1A5A" w14:paraId="391D5647" w14:textId="77777777" w:rsidTr="00AF2AEA">
        <w:tc>
          <w:tcPr>
            <w:tcW w:w="1048" w:type="pct"/>
            <w:tcBorders>
              <w:top w:val="single" w:sz="6" w:space="0" w:color="auto"/>
              <w:left w:val="single" w:sz="4" w:space="0" w:color="auto"/>
              <w:bottom w:val="single" w:sz="6" w:space="0" w:color="auto"/>
              <w:right w:val="single" w:sz="6" w:space="0" w:color="auto"/>
            </w:tcBorders>
            <w:shd w:val="clear" w:color="auto" w:fill="auto"/>
          </w:tcPr>
          <w:p w14:paraId="0B08B565" w14:textId="77777777" w:rsidR="001042DA" w:rsidRPr="006B1A5A" w:rsidRDefault="001042DA" w:rsidP="00AF2AEA">
            <w:pPr>
              <w:spacing w:line="260" w:lineRule="atLeast"/>
              <w:rPr>
                <w:rFonts w:eastAsia="Calibri"/>
                <w:lang w:eastAsia="en-US"/>
              </w:rPr>
            </w:pPr>
            <w:r w:rsidRPr="006B1A5A">
              <w:rPr>
                <w:rFonts w:eastAsia="Calibri"/>
                <w:lang w:eastAsia="en-US"/>
              </w:rPr>
              <w:t>Value</w:t>
            </w:r>
          </w:p>
        </w:tc>
        <w:tc>
          <w:tcPr>
            <w:tcW w:w="3952" w:type="pct"/>
            <w:tcBorders>
              <w:top w:val="single" w:sz="6" w:space="0" w:color="auto"/>
              <w:left w:val="single" w:sz="6" w:space="0" w:color="auto"/>
              <w:bottom w:val="single" w:sz="6" w:space="0" w:color="auto"/>
              <w:right w:val="single" w:sz="6" w:space="0" w:color="auto"/>
            </w:tcBorders>
          </w:tcPr>
          <w:p w14:paraId="68239BD0" w14:textId="77777777" w:rsidR="001042DA" w:rsidRPr="006B1A5A" w:rsidRDefault="001042DA" w:rsidP="00AF2AEA">
            <w:pPr>
              <w:spacing w:line="260" w:lineRule="atLeast"/>
              <w:rPr>
                <w:rFonts w:eastAsia="Calibri"/>
                <w:lang w:eastAsia="en-US"/>
              </w:rPr>
            </w:pPr>
            <w:r w:rsidRPr="006B1A5A">
              <w:rPr>
                <w:rFonts w:eastAsia="Calibri"/>
                <w:lang w:eastAsia="en-US"/>
              </w:rPr>
              <w:t>No acute inhalation toxicity</w:t>
            </w:r>
          </w:p>
        </w:tc>
      </w:tr>
      <w:tr w:rsidR="001042DA" w:rsidRPr="006B1A5A" w14:paraId="15092EAF" w14:textId="77777777" w:rsidTr="00AF2AEA">
        <w:tc>
          <w:tcPr>
            <w:tcW w:w="1048" w:type="pct"/>
            <w:tcBorders>
              <w:top w:val="single" w:sz="6" w:space="0" w:color="auto"/>
              <w:left w:val="single" w:sz="4" w:space="0" w:color="auto"/>
              <w:bottom w:val="single" w:sz="6" w:space="0" w:color="auto"/>
              <w:right w:val="single" w:sz="6" w:space="0" w:color="auto"/>
            </w:tcBorders>
            <w:shd w:val="clear" w:color="auto" w:fill="auto"/>
          </w:tcPr>
          <w:p w14:paraId="3583A1DC" w14:textId="77777777" w:rsidR="001042DA" w:rsidRPr="006B1A5A" w:rsidRDefault="001042DA" w:rsidP="00AF2AEA">
            <w:pPr>
              <w:spacing w:line="260" w:lineRule="atLeast"/>
              <w:rPr>
                <w:rFonts w:eastAsia="Calibri"/>
                <w:lang w:eastAsia="en-US"/>
              </w:rPr>
            </w:pPr>
            <w:r w:rsidRPr="006B1A5A">
              <w:rPr>
                <w:rFonts w:eastAsia="Calibri"/>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15E53404" w14:textId="6BA167D7" w:rsidR="001042DA" w:rsidRPr="006B1A5A" w:rsidRDefault="004C2C86" w:rsidP="00AF2AEA">
            <w:pPr>
              <w:spacing w:line="260" w:lineRule="atLeast"/>
              <w:rPr>
                <w:rFonts w:eastAsia="Calibri"/>
                <w:lang w:eastAsia="en-US"/>
              </w:rPr>
            </w:pPr>
            <w:r w:rsidRPr="008039A6">
              <w:t>Dicopper oxide</w:t>
            </w:r>
            <w:r w:rsidRPr="008039A6">
              <w:rPr>
                <w:rFonts w:eastAsia="Calibri"/>
                <w:lang w:eastAsia="en-US"/>
              </w:rPr>
              <w:t xml:space="preserve"> is</w:t>
            </w:r>
            <w:r>
              <w:rPr>
                <w:rFonts w:eastAsia="Calibri"/>
                <w:lang w:eastAsia="en-US"/>
              </w:rPr>
              <w:t xml:space="preserve"> classified for acute inhalational toxicity. However, the substance is </w:t>
            </w:r>
            <w:r w:rsidRPr="008039A6">
              <w:rPr>
                <w:rFonts w:eastAsia="Calibri"/>
                <w:lang w:eastAsia="en-US"/>
              </w:rPr>
              <w:t xml:space="preserve">present in the </w:t>
            </w:r>
            <w:r>
              <w:rPr>
                <w:rFonts w:eastAsia="Calibri"/>
                <w:lang w:eastAsia="en-US"/>
              </w:rPr>
              <w:t>products</w:t>
            </w:r>
            <w:r w:rsidRPr="008039A6">
              <w:rPr>
                <w:rFonts w:eastAsia="Calibri"/>
                <w:lang w:eastAsia="en-US"/>
              </w:rPr>
              <w:t xml:space="preserve"> at subthreshold levels according to</w:t>
            </w:r>
            <w:r w:rsidRPr="008039A6">
              <w:t xml:space="preserve"> the ATE calculation method</w:t>
            </w:r>
            <w:r>
              <w:t>.</w:t>
            </w:r>
            <w:r w:rsidRPr="008039A6">
              <w:t xml:space="preserve"> </w:t>
            </w:r>
          </w:p>
        </w:tc>
      </w:tr>
      <w:tr w:rsidR="001042DA" w:rsidRPr="006B1A5A" w14:paraId="1D6BC5EF" w14:textId="77777777" w:rsidTr="00AF2AEA">
        <w:tc>
          <w:tcPr>
            <w:tcW w:w="1048" w:type="pct"/>
            <w:tcBorders>
              <w:top w:val="single" w:sz="6" w:space="0" w:color="auto"/>
              <w:left w:val="single" w:sz="4" w:space="0" w:color="auto"/>
              <w:bottom w:val="single" w:sz="6" w:space="0" w:color="auto"/>
              <w:right w:val="single" w:sz="6" w:space="0" w:color="auto"/>
            </w:tcBorders>
            <w:shd w:val="clear" w:color="auto" w:fill="auto"/>
          </w:tcPr>
          <w:p w14:paraId="1C50B004" w14:textId="77777777" w:rsidR="001042DA" w:rsidRPr="006B1A5A" w:rsidRDefault="001042DA" w:rsidP="00AF2AEA">
            <w:pPr>
              <w:spacing w:line="260" w:lineRule="atLeast"/>
              <w:rPr>
                <w:rFonts w:eastAsia="Calibri"/>
                <w:lang w:eastAsia="en-US"/>
              </w:rPr>
            </w:pPr>
            <w:r w:rsidRPr="006B1A5A">
              <w:rPr>
                <w:rFonts w:eastAsia="Calibri"/>
                <w:lang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tcPr>
          <w:p w14:paraId="5E7D4505" w14:textId="77777777" w:rsidR="001042DA" w:rsidRPr="006B1A5A" w:rsidRDefault="001042DA" w:rsidP="00AF2AEA">
            <w:pPr>
              <w:spacing w:line="260" w:lineRule="atLeast"/>
              <w:rPr>
                <w:rFonts w:eastAsia="Calibri"/>
                <w:lang w:eastAsia="en-US"/>
              </w:rPr>
            </w:pPr>
            <w:r w:rsidRPr="006B1A5A">
              <w:rPr>
                <w:rFonts w:eastAsia="Calibri"/>
                <w:lang w:eastAsia="en-US"/>
              </w:rPr>
              <w:t>Not classified</w:t>
            </w:r>
          </w:p>
          <w:p w14:paraId="06CDBA2B" w14:textId="77777777" w:rsidR="001042DA" w:rsidRPr="006B1A5A" w:rsidRDefault="001042DA" w:rsidP="00AF2AEA">
            <w:pPr>
              <w:spacing w:line="260" w:lineRule="atLeast"/>
              <w:rPr>
                <w:rFonts w:eastAsia="Calibri"/>
                <w:lang w:eastAsia="en-US"/>
              </w:rPr>
            </w:pPr>
          </w:p>
        </w:tc>
      </w:tr>
    </w:tbl>
    <w:p w14:paraId="4A953226" w14:textId="77777777" w:rsidR="001042DA" w:rsidRPr="006B1A5A" w:rsidRDefault="001042DA" w:rsidP="001042DA">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1042DA" w:rsidRPr="006B1A5A" w14:paraId="32F45F3D" w14:textId="77777777" w:rsidTr="00AF2AEA">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58B1AADA" w14:textId="77777777" w:rsidR="001042DA" w:rsidRPr="006B1A5A" w:rsidRDefault="001042DA" w:rsidP="00AF2AEA">
            <w:pPr>
              <w:spacing w:line="260" w:lineRule="atLeast"/>
              <w:rPr>
                <w:rFonts w:eastAsia="Calibri"/>
                <w:b/>
                <w:lang w:eastAsia="en-US"/>
              </w:rPr>
            </w:pPr>
            <w:r w:rsidRPr="006B1A5A">
              <w:rPr>
                <w:rFonts w:eastAsia="Calibri"/>
                <w:b/>
                <w:lang w:eastAsia="en-US"/>
              </w:rPr>
              <w:t>Data waiving</w:t>
            </w:r>
          </w:p>
        </w:tc>
      </w:tr>
      <w:tr w:rsidR="001042DA" w:rsidRPr="006B1A5A" w14:paraId="4E25D845" w14:textId="77777777" w:rsidTr="00AF2AEA">
        <w:tc>
          <w:tcPr>
            <w:tcW w:w="1048" w:type="pct"/>
            <w:tcBorders>
              <w:top w:val="single" w:sz="6" w:space="0" w:color="auto"/>
              <w:left w:val="single" w:sz="4" w:space="0" w:color="auto"/>
              <w:bottom w:val="single" w:sz="6" w:space="0" w:color="auto"/>
              <w:right w:val="single" w:sz="6" w:space="0" w:color="auto"/>
            </w:tcBorders>
            <w:shd w:val="clear" w:color="auto" w:fill="auto"/>
          </w:tcPr>
          <w:p w14:paraId="63F66C2B" w14:textId="77777777" w:rsidR="001042DA" w:rsidRPr="006B1A5A" w:rsidRDefault="001042DA" w:rsidP="00AF2AEA">
            <w:pPr>
              <w:spacing w:line="260" w:lineRule="atLeast"/>
              <w:rPr>
                <w:rFonts w:eastAsia="Calibri"/>
                <w:lang w:eastAsia="en-US"/>
              </w:rPr>
            </w:pPr>
            <w:r w:rsidRPr="006B1A5A">
              <w:rPr>
                <w:rFonts w:eastAsia="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7FA0929F" w14:textId="77777777" w:rsidR="001042DA" w:rsidRPr="006B1A5A" w:rsidRDefault="001042DA" w:rsidP="00AF2AEA">
            <w:pPr>
              <w:spacing w:line="260" w:lineRule="atLeast"/>
              <w:rPr>
                <w:rFonts w:eastAsia="Calibri"/>
                <w:lang w:eastAsia="en-US"/>
              </w:rPr>
            </w:pPr>
            <w:r w:rsidRPr="006B1A5A">
              <w:rPr>
                <w:rFonts w:eastAsia="Calibri"/>
                <w:lang w:eastAsia="en-US"/>
              </w:rPr>
              <w:t>Acute inhalation toxicity</w:t>
            </w:r>
          </w:p>
        </w:tc>
      </w:tr>
      <w:tr w:rsidR="001042DA" w:rsidRPr="006B1A5A" w14:paraId="17794683" w14:textId="77777777" w:rsidTr="00AF2AEA">
        <w:tc>
          <w:tcPr>
            <w:tcW w:w="1048" w:type="pct"/>
            <w:tcBorders>
              <w:top w:val="single" w:sz="6" w:space="0" w:color="auto"/>
              <w:left w:val="single" w:sz="4" w:space="0" w:color="auto"/>
              <w:bottom w:val="single" w:sz="6" w:space="0" w:color="auto"/>
              <w:right w:val="single" w:sz="6" w:space="0" w:color="auto"/>
            </w:tcBorders>
            <w:shd w:val="clear" w:color="auto" w:fill="auto"/>
          </w:tcPr>
          <w:p w14:paraId="1CE6A84F" w14:textId="77777777" w:rsidR="001042DA" w:rsidRPr="006B1A5A" w:rsidRDefault="001042DA" w:rsidP="00AF2AEA">
            <w:pPr>
              <w:spacing w:line="260" w:lineRule="atLeast"/>
              <w:rPr>
                <w:rFonts w:eastAsia="Calibri"/>
                <w:lang w:eastAsia="en-US"/>
              </w:rPr>
            </w:pPr>
            <w:r w:rsidRPr="006B1A5A">
              <w:rPr>
                <w:rFonts w:eastAsia="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57D39EFD" w14:textId="77777777" w:rsidR="001042DA" w:rsidRPr="006B1A5A" w:rsidRDefault="001042DA" w:rsidP="00AF2AEA">
            <w:pPr>
              <w:spacing w:line="260" w:lineRule="atLeast"/>
              <w:rPr>
                <w:rFonts w:cs="EUAlbertina"/>
              </w:rPr>
            </w:pPr>
            <w:r w:rsidRPr="006B1A5A">
              <w:rPr>
                <w:rFonts w:cs="EUAlbertina"/>
              </w:rPr>
              <w:t>Waiving according to Annex III, point No. 8.5.2, Column 3 of the BPR:</w:t>
            </w:r>
          </w:p>
          <w:p w14:paraId="6C8723E7" w14:textId="77777777" w:rsidR="001042DA" w:rsidRPr="006B1A5A" w:rsidRDefault="001042DA" w:rsidP="00AF2AEA">
            <w:pPr>
              <w:spacing w:line="260" w:lineRule="atLeast"/>
              <w:rPr>
                <w:rFonts w:eastAsia="Calibri"/>
                <w:lang w:eastAsia="en-US"/>
              </w:rPr>
            </w:pPr>
            <w:r w:rsidRPr="006B1A5A">
              <w:rPr>
                <w:rFonts w:cs="EUAlbertina"/>
              </w:rPr>
              <w:t>There are sufficient data available on each of the components in the mixture to allow classification of the mixture. No relevant synergistic effects are expected.</w:t>
            </w:r>
          </w:p>
        </w:tc>
      </w:tr>
    </w:tbl>
    <w:p w14:paraId="2292D127" w14:textId="77777777" w:rsidR="001042DA" w:rsidRPr="006B1A5A" w:rsidRDefault="001042DA" w:rsidP="001042DA">
      <w:pPr>
        <w:rPr>
          <w:rFonts w:ascii="Times New Roman" w:eastAsia="Calibri" w:hAnsi="Times New Roman"/>
          <w:i/>
          <w:iCs/>
          <w:lang w:eastAsia="en-US"/>
        </w:rPr>
      </w:pPr>
      <w:bookmarkStart w:id="1544" w:name="_Toc389729057"/>
    </w:p>
    <w:p w14:paraId="756E9C88" w14:textId="77777777" w:rsidR="001042DA" w:rsidRPr="006B1A5A" w:rsidRDefault="001042DA" w:rsidP="001042DA">
      <w:pPr>
        <w:rPr>
          <w:rFonts w:ascii="Times New Roman" w:eastAsia="Calibri" w:hAnsi="Times New Roman"/>
          <w:i/>
          <w:iCs/>
          <w:lang w:eastAsia="en-US"/>
        </w:rPr>
      </w:pPr>
    </w:p>
    <w:p w14:paraId="2F7805AB" w14:textId="77777777" w:rsidR="001042DA" w:rsidRPr="006B1A5A" w:rsidRDefault="001042DA" w:rsidP="001042DA">
      <w:pPr>
        <w:rPr>
          <w:rFonts w:eastAsia="Calibri"/>
          <w:i/>
          <w:u w:val="single"/>
          <w:lang w:eastAsia="en-US"/>
        </w:rPr>
      </w:pPr>
      <w:r w:rsidRPr="006B1A5A">
        <w:rPr>
          <w:rFonts w:eastAsia="Calibri"/>
          <w:i/>
          <w:u w:val="single"/>
          <w:lang w:eastAsia="en-US"/>
        </w:rPr>
        <w:t>Acute toxicity by dermal route</w:t>
      </w:r>
      <w:bookmarkEnd w:id="1544"/>
    </w:p>
    <w:p w14:paraId="2A7E3921" w14:textId="77777777" w:rsidR="001042DA" w:rsidRPr="006B1A5A" w:rsidRDefault="001042DA" w:rsidP="001042DA">
      <w:pPr>
        <w:spacing w:line="260" w:lineRule="atLeast"/>
        <w:rPr>
          <w:rFonts w:ascii="Times New Roman" w:eastAsia="Calibri" w:hAnsi="Times New Roman"/>
          <w:i/>
          <w:iCs/>
          <w:lang w:eastAsia="en-US"/>
        </w:rPr>
      </w:pPr>
    </w:p>
    <w:p w14:paraId="47626FD2" w14:textId="77777777" w:rsidR="001042DA" w:rsidRPr="006B1A5A" w:rsidRDefault="001042DA" w:rsidP="001042DA">
      <w:pPr>
        <w:autoSpaceDE w:val="0"/>
        <w:autoSpaceDN w:val="0"/>
        <w:adjustRightInd w:val="0"/>
        <w:jc w:val="both"/>
        <w:rPr>
          <w:rFonts w:eastAsia="Calibri"/>
          <w:iCs/>
          <w:lang w:eastAsia="en-US"/>
        </w:rPr>
      </w:pPr>
      <w:r w:rsidRPr="006B1A5A">
        <w:rPr>
          <w:rFonts w:eastAsia="Calibri"/>
          <w:iCs/>
          <w:lang w:eastAsia="en-US"/>
        </w:rPr>
        <w:t xml:space="preserve">No studies for the assessment of acute dermal toxicity of the AquaNet </w:t>
      </w:r>
      <w:r w:rsidRPr="006B1A5A">
        <w:t xml:space="preserve">360 products </w:t>
      </w:r>
      <w:r w:rsidRPr="006B1A5A">
        <w:rPr>
          <w:rFonts w:eastAsia="Calibri"/>
          <w:iCs/>
          <w:lang w:eastAsia="en-US"/>
        </w:rPr>
        <w:t>are available.</w:t>
      </w:r>
      <w:r w:rsidRPr="006B1A5A">
        <w:t xml:space="preserve"> Dicopper oxide, copper thiocyanate</w:t>
      </w:r>
      <w:r w:rsidRPr="006B1A5A">
        <w:rPr>
          <w:rFonts w:eastAsia="Calibri"/>
          <w:iCs/>
          <w:lang w:eastAsia="en-US"/>
        </w:rPr>
        <w:t xml:space="preserve"> and the co-formulants are not classified for this endpoint. </w:t>
      </w:r>
    </w:p>
    <w:p w14:paraId="2668940C" w14:textId="77777777" w:rsidR="001042DA" w:rsidRPr="006B1A5A" w:rsidRDefault="001042DA" w:rsidP="001042DA">
      <w:pPr>
        <w:spacing w:line="260" w:lineRule="atLeast"/>
        <w:jc w:val="both"/>
        <w:rPr>
          <w:rFonts w:eastAsia="Calibri"/>
          <w:iCs/>
          <w:lang w:eastAsia="en-US"/>
        </w:rPr>
      </w:pPr>
    </w:p>
    <w:p w14:paraId="15045226" w14:textId="127365DF" w:rsidR="001042DA" w:rsidRPr="006B1A5A" w:rsidRDefault="001042DA" w:rsidP="001042DA">
      <w:pPr>
        <w:spacing w:line="260" w:lineRule="atLeast"/>
        <w:jc w:val="both"/>
      </w:pPr>
      <w:r w:rsidRPr="006B1A5A">
        <w:t>According to Annex III, point 8.5.3, Column 3 of the BPR, as sufficient information is available for the active substance and the co-formulants (see separate report “Section 13 of the IUCLID file: “Background Document on the Human Health Hazard of Co-formulants in 360 Biocidal Product Family 2017.pdf")</w:t>
      </w:r>
      <w:r w:rsidR="00224BD9">
        <w:t>,</w:t>
      </w:r>
      <w:r w:rsidRPr="006B1A5A">
        <w:t xml:space="preserve"> a study investigating the </w:t>
      </w:r>
      <w:r w:rsidRPr="006B1A5A">
        <w:rPr>
          <w:rFonts w:eastAsia="Calibri"/>
          <w:iCs/>
          <w:lang w:eastAsia="en-US"/>
        </w:rPr>
        <w:t xml:space="preserve">acute dermal toxicity </w:t>
      </w:r>
      <w:r w:rsidRPr="006B1A5A">
        <w:t>of 360 products</w:t>
      </w:r>
      <w:r w:rsidRPr="006B1A5A">
        <w:rPr>
          <w:rFonts w:eastAsia="Calibri"/>
          <w:iCs/>
          <w:lang w:eastAsia="en-US"/>
        </w:rPr>
        <w:t xml:space="preserve"> is not considered necessary. </w:t>
      </w:r>
    </w:p>
    <w:p w14:paraId="61D041B6" w14:textId="77777777" w:rsidR="001042DA" w:rsidRPr="006B1A5A" w:rsidRDefault="001042DA" w:rsidP="001042DA">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1042DA" w:rsidRPr="006B1A5A" w14:paraId="7B939581" w14:textId="77777777" w:rsidTr="00AF2AEA">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0D75CF04" w14:textId="77777777" w:rsidR="001042DA" w:rsidRPr="006B1A5A" w:rsidRDefault="001042DA" w:rsidP="00AF2AEA">
            <w:pPr>
              <w:spacing w:line="260" w:lineRule="atLeast"/>
              <w:rPr>
                <w:rFonts w:eastAsia="Calibri"/>
                <w:b/>
                <w:bCs/>
                <w:lang w:eastAsia="en-US"/>
              </w:rPr>
            </w:pPr>
            <w:r w:rsidRPr="006B1A5A">
              <w:rPr>
                <w:rFonts w:eastAsia="Calibri"/>
                <w:b/>
                <w:bCs/>
                <w:lang w:eastAsia="en-US"/>
              </w:rPr>
              <w:t>Value used in the Risk Assessment – Acute dermal toxicity</w:t>
            </w:r>
          </w:p>
        </w:tc>
      </w:tr>
      <w:tr w:rsidR="001042DA" w:rsidRPr="006B1A5A" w14:paraId="4B0AA563" w14:textId="77777777" w:rsidTr="00AF2AEA">
        <w:tc>
          <w:tcPr>
            <w:tcW w:w="1048" w:type="pct"/>
            <w:tcBorders>
              <w:top w:val="single" w:sz="6" w:space="0" w:color="auto"/>
              <w:left w:val="single" w:sz="4" w:space="0" w:color="auto"/>
              <w:bottom w:val="single" w:sz="6" w:space="0" w:color="auto"/>
              <w:right w:val="single" w:sz="6" w:space="0" w:color="auto"/>
            </w:tcBorders>
            <w:shd w:val="clear" w:color="auto" w:fill="auto"/>
          </w:tcPr>
          <w:p w14:paraId="67DB79E3" w14:textId="77777777" w:rsidR="001042DA" w:rsidRPr="006B1A5A" w:rsidRDefault="001042DA" w:rsidP="00AF2AEA">
            <w:pPr>
              <w:spacing w:line="260" w:lineRule="atLeast"/>
              <w:rPr>
                <w:rFonts w:eastAsia="Calibri"/>
                <w:lang w:eastAsia="en-US"/>
              </w:rPr>
            </w:pPr>
            <w:r w:rsidRPr="006B1A5A">
              <w:rPr>
                <w:rFonts w:eastAsia="Calibri"/>
                <w:lang w:eastAsia="en-US"/>
              </w:rPr>
              <w:t>Value</w:t>
            </w:r>
          </w:p>
        </w:tc>
        <w:tc>
          <w:tcPr>
            <w:tcW w:w="3952" w:type="pct"/>
            <w:tcBorders>
              <w:top w:val="single" w:sz="6" w:space="0" w:color="auto"/>
              <w:left w:val="single" w:sz="6" w:space="0" w:color="auto"/>
              <w:bottom w:val="single" w:sz="6" w:space="0" w:color="auto"/>
              <w:right w:val="single" w:sz="6" w:space="0" w:color="auto"/>
            </w:tcBorders>
          </w:tcPr>
          <w:p w14:paraId="69DFD566" w14:textId="77777777" w:rsidR="001042DA" w:rsidRPr="006B1A5A" w:rsidRDefault="001042DA" w:rsidP="00AF2AEA">
            <w:pPr>
              <w:spacing w:line="260" w:lineRule="atLeast"/>
              <w:rPr>
                <w:rFonts w:eastAsia="Calibri"/>
                <w:lang w:eastAsia="en-US"/>
              </w:rPr>
            </w:pPr>
            <w:r w:rsidRPr="006B1A5A">
              <w:rPr>
                <w:rFonts w:eastAsia="Calibri"/>
                <w:lang w:eastAsia="en-US"/>
              </w:rPr>
              <w:t>No acute dermal toxicity</w:t>
            </w:r>
          </w:p>
        </w:tc>
      </w:tr>
      <w:tr w:rsidR="001042DA" w:rsidRPr="006B1A5A" w14:paraId="386BC1B6" w14:textId="77777777" w:rsidTr="00AF2AEA">
        <w:tc>
          <w:tcPr>
            <w:tcW w:w="1048" w:type="pct"/>
            <w:tcBorders>
              <w:top w:val="single" w:sz="6" w:space="0" w:color="auto"/>
              <w:left w:val="single" w:sz="4" w:space="0" w:color="auto"/>
              <w:bottom w:val="single" w:sz="6" w:space="0" w:color="auto"/>
              <w:right w:val="single" w:sz="6" w:space="0" w:color="auto"/>
            </w:tcBorders>
            <w:shd w:val="clear" w:color="auto" w:fill="auto"/>
          </w:tcPr>
          <w:p w14:paraId="7277A00D" w14:textId="77777777" w:rsidR="001042DA" w:rsidRPr="006B1A5A" w:rsidRDefault="001042DA" w:rsidP="00AF2AEA">
            <w:pPr>
              <w:spacing w:line="260" w:lineRule="atLeast"/>
              <w:rPr>
                <w:rFonts w:eastAsia="Calibri"/>
                <w:lang w:eastAsia="en-US"/>
              </w:rPr>
            </w:pPr>
            <w:r w:rsidRPr="006B1A5A">
              <w:rPr>
                <w:rFonts w:eastAsia="Calibri"/>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724411CC" w14:textId="77777777" w:rsidR="001042DA" w:rsidRPr="006B1A5A" w:rsidRDefault="001042DA" w:rsidP="00AF2AEA">
            <w:pPr>
              <w:spacing w:line="260" w:lineRule="atLeast"/>
              <w:rPr>
                <w:rFonts w:eastAsia="Calibri"/>
                <w:lang w:eastAsia="en-US"/>
              </w:rPr>
            </w:pPr>
            <w:r w:rsidRPr="006B1A5A">
              <w:rPr>
                <w:rFonts w:eastAsia="Calibri"/>
                <w:lang w:eastAsia="en-US"/>
              </w:rPr>
              <w:t xml:space="preserve">No substance present in the 360 Biocidal Product Family is classified for acute toxicity by dermal route. Therefore, this BPF is not classified for this endpoint. </w:t>
            </w:r>
          </w:p>
        </w:tc>
      </w:tr>
      <w:tr w:rsidR="001042DA" w:rsidRPr="006B1A5A" w14:paraId="647EE88A" w14:textId="77777777" w:rsidTr="00AF2AEA">
        <w:tc>
          <w:tcPr>
            <w:tcW w:w="1048" w:type="pct"/>
            <w:tcBorders>
              <w:top w:val="single" w:sz="6" w:space="0" w:color="auto"/>
              <w:left w:val="single" w:sz="4" w:space="0" w:color="auto"/>
              <w:bottom w:val="single" w:sz="6" w:space="0" w:color="auto"/>
              <w:right w:val="single" w:sz="6" w:space="0" w:color="auto"/>
            </w:tcBorders>
            <w:shd w:val="clear" w:color="auto" w:fill="auto"/>
          </w:tcPr>
          <w:p w14:paraId="18F32DAC" w14:textId="77777777" w:rsidR="001042DA" w:rsidRPr="006B1A5A" w:rsidRDefault="001042DA" w:rsidP="00AF2AEA">
            <w:pPr>
              <w:spacing w:line="260" w:lineRule="atLeast"/>
              <w:rPr>
                <w:rFonts w:eastAsia="Calibri"/>
                <w:lang w:eastAsia="en-US"/>
              </w:rPr>
            </w:pPr>
            <w:r w:rsidRPr="006B1A5A">
              <w:rPr>
                <w:rFonts w:eastAsia="Calibri"/>
                <w:lang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tcPr>
          <w:p w14:paraId="442BEF0F" w14:textId="77777777" w:rsidR="001042DA" w:rsidRPr="006B1A5A" w:rsidRDefault="001042DA" w:rsidP="00AF2AEA">
            <w:pPr>
              <w:spacing w:line="260" w:lineRule="atLeast"/>
              <w:rPr>
                <w:rFonts w:eastAsia="Calibri"/>
                <w:lang w:eastAsia="en-US"/>
              </w:rPr>
            </w:pPr>
            <w:r w:rsidRPr="006B1A5A">
              <w:rPr>
                <w:rFonts w:eastAsia="Calibri"/>
                <w:lang w:eastAsia="en-US"/>
              </w:rPr>
              <w:t>Not classified</w:t>
            </w:r>
          </w:p>
        </w:tc>
      </w:tr>
    </w:tbl>
    <w:p w14:paraId="73ABEB05" w14:textId="77777777" w:rsidR="001042DA" w:rsidRPr="006B1A5A" w:rsidRDefault="001042DA" w:rsidP="001042DA">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1042DA" w:rsidRPr="006B1A5A" w14:paraId="0957FEFC" w14:textId="77777777" w:rsidTr="00AF2AEA">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25640672" w14:textId="77777777" w:rsidR="001042DA" w:rsidRPr="006B1A5A" w:rsidRDefault="001042DA" w:rsidP="00AF2AEA">
            <w:pPr>
              <w:spacing w:line="260" w:lineRule="atLeast"/>
              <w:rPr>
                <w:rFonts w:eastAsia="Calibri"/>
                <w:b/>
                <w:lang w:eastAsia="en-US"/>
              </w:rPr>
            </w:pPr>
            <w:r w:rsidRPr="006B1A5A">
              <w:rPr>
                <w:rFonts w:eastAsia="Calibri"/>
                <w:b/>
                <w:lang w:eastAsia="en-US"/>
              </w:rPr>
              <w:t>Data waiving</w:t>
            </w:r>
          </w:p>
        </w:tc>
      </w:tr>
      <w:tr w:rsidR="001042DA" w:rsidRPr="006B1A5A" w14:paraId="4FE503F4" w14:textId="77777777" w:rsidTr="00AF2AEA">
        <w:tc>
          <w:tcPr>
            <w:tcW w:w="1048" w:type="pct"/>
            <w:tcBorders>
              <w:top w:val="single" w:sz="6" w:space="0" w:color="auto"/>
              <w:left w:val="single" w:sz="4" w:space="0" w:color="auto"/>
              <w:bottom w:val="single" w:sz="6" w:space="0" w:color="auto"/>
              <w:right w:val="single" w:sz="6" w:space="0" w:color="auto"/>
            </w:tcBorders>
            <w:shd w:val="clear" w:color="auto" w:fill="auto"/>
          </w:tcPr>
          <w:p w14:paraId="0FDDCC89" w14:textId="77777777" w:rsidR="001042DA" w:rsidRPr="006B1A5A" w:rsidRDefault="001042DA" w:rsidP="00AF2AEA">
            <w:pPr>
              <w:spacing w:line="260" w:lineRule="atLeast"/>
              <w:rPr>
                <w:rFonts w:eastAsia="Calibri"/>
                <w:lang w:eastAsia="en-US"/>
              </w:rPr>
            </w:pPr>
            <w:r w:rsidRPr="006B1A5A">
              <w:rPr>
                <w:rFonts w:eastAsia="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4AFC6615" w14:textId="77777777" w:rsidR="001042DA" w:rsidRPr="006B1A5A" w:rsidRDefault="001042DA" w:rsidP="00AF2AEA">
            <w:pPr>
              <w:spacing w:line="260" w:lineRule="atLeast"/>
              <w:rPr>
                <w:rFonts w:eastAsia="Calibri"/>
                <w:lang w:eastAsia="en-US"/>
              </w:rPr>
            </w:pPr>
            <w:r w:rsidRPr="006B1A5A">
              <w:rPr>
                <w:rFonts w:eastAsia="Calibri"/>
                <w:lang w:eastAsia="en-US"/>
              </w:rPr>
              <w:t>Acute dermal toxicity</w:t>
            </w:r>
          </w:p>
        </w:tc>
      </w:tr>
      <w:tr w:rsidR="001042DA" w:rsidRPr="006B1A5A" w14:paraId="3F225BFB" w14:textId="77777777" w:rsidTr="00AF2AEA">
        <w:tc>
          <w:tcPr>
            <w:tcW w:w="1048" w:type="pct"/>
            <w:tcBorders>
              <w:top w:val="single" w:sz="6" w:space="0" w:color="auto"/>
              <w:left w:val="single" w:sz="4" w:space="0" w:color="auto"/>
              <w:bottom w:val="single" w:sz="6" w:space="0" w:color="auto"/>
              <w:right w:val="single" w:sz="6" w:space="0" w:color="auto"/>
            </w:tcBorders>
            <w:shd w:val="clear" w:color="auto" w:fill="auto"/>
          </w:tcPr>
          <w:p w14:paraId="1FD576B1" w14:textId="77777777" w:rsidR="001042DA" w:rsidRPr="006B1A5A" w:rsidRDefault="001042DA" w:rsidP="00AF2AEA">
            <w:pPr>
              <w:spacing w:line="260" w:lineRule="atLeast"/>
              <w:rPr>
                <w:rFonts w:eastAsia="Calibri"/>
                <w:lang w:eastAsia="en-US"/>
              </w:rPr>
            </w:pPr>
            <w:r w:rsidRPr="006B1A5A">
              <w:rPr>
                <w:rFonts w:eastAsia="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5B372FFA" w14:textId="77777777" w:rsidR="001042DA" w:rsidRPr="006B1A5A" w:rsidRDefault="001042DA" w:rsidP="00AF2AEA">
            <w:pPr>
              <w:spacing w:line="260" w:lineRule="atLeast"/>
              <w:rPr>
                <w:rFonts w:cs="EUAlbertina"/>
              </w:rPr>
            </w:pPr>
            <w:r w:rsidRPr="006B1A5A">
              <w:rPr>
                <w:rFonts w:cs="EUAlbertina"/>
              </w:rPr>
              <w:t>Waiving according to Annex III, point No. 8.5.3., Column 3 of the BPR:</w:t>
            </w:r>
          </w:p>
          <w:p w14:paraId="6F387531" w14:textId="77777777" w:rsidR="001042DA" w:rsidRPr="006B1A5A" w:rsidRDefault="001042DA" w:rsidP="00AF2AEA">
            <w:pPr>
              <w:spacing w:line="260" w:lineRule="atLeast"/>
              <w:rPr>
                <w:rFonts w:cs="EUAlbertina"/>
              </w:rPr>
            </w:pPr>
          </w:p>
          <w:p w14:paraId="63F4BDCD" w14:textId="77777777" w:rsidR="001042DA" w:rsidRPr="006B1A5A" w:rsidRDefault="001042DA" w:rsidP="00AF2AEA">
            <w:pPr>
              <w:spacing w:line="260" w:lineRule="atLeast"/>
              <w:rPr>
                <w:rFonts w:eastAsia="Calibri"/>
                <w:lang w:eastAsia="en-US"/>
              </w:rPr>
            </w:pPr>
            <w:r w:rsidRPr="006B1A5A">
              <w:rPr>
                <w:rFonts w:cs="EUAlbertina"/>
              </w:rPr>
              <w:t>There are sufficient data available on each of the components in the mixture to allow classification of the mixture. No relevant synergistic effects are expected.</w:t>
            </w:r>
          </w:p>
        </w:tc>
      </w:tr>
    </w:tbl>
    <w:p w14:paraId="242F855A" w14:textId="77777777" w:rsidR="001042DA" w:rsidRPr="006B1A5A" w:rsidRDefault="001042DA" w:rsidP="001042DA">
      <w:pPr>
        <w:spacing w:line="260" w:lineRule="atLeast"/>
        <w:rPr>
          <w:rFonts w:ascii="Times New Roman" w:eastAsia="Calibri" w:hAnsi="Times New Roman"/>
          <w:i/>
          <w:iCs/>
          <w:lang w:eastAsia="en-US"/>
        </w:rPr>
      </w:pPr>
    </w:p>
    <w:p w14:paraId="4E1B8704" w14:textId="77777777" w:rsidR="001042DA" w:rsidRPr="006B1A5A" w:rsidRDefault="001042DA" w:rsidP="001042DA">
      <w:pPr>
        <w:spacing w:line="260" w:lineRule="atLeast"/>
        <w:rPr>
          <w:rFonts w:eastAsia="Calibri"/>
          <w:lang w:eastAsia="en-US"/>
        </w:rPr>
      </w:pPr>
    </w:p>
    <w:p w14:paraId="11177C92" w14:textId="77777777" w:rsidR="001042DA" w:rsidRPr="006B1A5A" w:rsidRDefault="001042DA" w:rsidP="001042DA">
      <w:pPr>
        <w:rPr>
          <w:rFonts w:eastAsia="Calibri"/>
          <w:b/>
          <w:i/>
          <w:lang w:eastAsia="en-US"/>
        </w:rPr>
      </w:pPr>
      <w:bookmarkStart w:id="1545" w:name="_Toc367976971"/>
      <w:bookmarkStart w:id="1546" w:name="_Toc367977148"/>
      <w:bookmarkStart w:id="1547" w:name="_Toc389729051"/>
      <w:bookmarkStart w:id="1548" w:name="_Toc403472756"/>
      <w:bookmarkStart w:id="1549" w:name="_Toc389729058"/>
      <w:bookmarkStart w:id="1550" w:name="_Toc403472760"/>
      <w:r w:rsidRPr="006B1A5A">
        <w:rPr>
          <w:rFonts w:eastAsia="Calibri"/>
          <w:b/>
          <w:i/>
          <w:lang w:eastAsia="en-US"/>
        </w:rPr>
        <w:t>Respiratory tract irritation</w:t>
      </w:r>
      <w:bookmarkEnd w:id="1545"/>
      <w:bookmarkEnd w:id="1546"/>
      <w:bookmarkEnd w:id="1547"/>
      <w:bookmarkEnd w:id="1548"/>
      <w:r w:rsidRPr="006B1A5A">
        <w:rPr>
          <w:rFonts w:eastAsia="Calibri"/>
          <w:b/>
          <w:i/>
          <w:lang w:eastAsia="en-US"/>
        </w:rPr>
        <w:t xml:space="preserve"> </w:t>
      </w:r>
    </w:p>
    <w:p w14:paraId="4D12B7E4" w14:textId="77777777" w:rsidR="001042DA" w:rsidRPr="006B1A5A" w:rsidRDefault="001042DA" w:rsidP="001042DA">
      <w:pPr>
        <w:rPr>
          <w:rFonts w:eastAsia="Calibri"/>
          <w:b/>
          <w:i/>
          <w:lang w:eastAsia="en-US"/>
        </w:rPr>
      </w:pPr>
    </w:p>
    <w:p w14:paraId="62259146" w14:textId="77777777" w:rsidR="001042DA" w:rsidRPr="006B1A5A" w:rsidRDefault="001042DA" w:rsidP="001042DA">
      <w:pPr>
        <w:jc w:val="both"/>
      </w:pPr>
      <w:r w:rsidRPr="006B1A5A">
        <w:t xml:space="preserve">No studies for the assessment of respiratory tract irritation of the AquaNet 360 products are available. None of the ingredients of the product mixture including the co-formulants in 360 products are classified </w:t>
      </w:r>
      <w:r w:rsidRPr="006B1A5A">
        <w:rPr>
          <w:noProof/>
        </w:rPr>
        <w:t>for</w:t>
      </w:r>
      <w:r w:rsidRPr="006B1A5A">
        <w:t xml:space="preserve"> respiratory tract irritation. </w:t>
      </w:r>
    </w:p>
    <w:p w14:paraId="56431666" w14:textId="77777777" w:rsidR="001042DA" w:rsidRPr="006B1A5A" w:rsidRDefault="001042DA" w:rsidP="001042DA">
      <w:pPr>
        <w:spacing w:line="260" w:lineRule="atLeast"/>
        <w:jc w:val="both"/>
        <w:rPr>
          <w:sz w:val="23"/>
          <w:szCs w:val="23"/>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1042DA" w:rsidRPr="006B1A5A" w14:paraId="51A4F197" w14:textId="77777777" w:rsidTr="00AF2AEA">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66BF3D70" w14:textId="77777777" w:rsidR="001042DA" w:rsidRPr="006B1A5A" w:rsidRDefault="001042DA" w:rsidP="00AF2AEA">
            <w:pPr>
              <w:keepNext/>
              <w:keepLines/>
              <w:spacing w:before="60" w:after="60" w:line="260" w:lineRule="atLeast"/>
              <w:rPr>
                <w:rFonts w:eastAsia="Calibri"/>
                <w:b/>
                <w:lang w:eastAsia="da-DK"/>
              </w:rPr>
            </w:pPr>
            <w:r w:rsidRPr="006B1A5A">
              <w:rPr>
                <w:rFonts w:eastAsia="Calibri"/>
                <w:b/>
                <w:bCs/>
                <w:lang w:eastAsia="en-US"/>
              </w:rPr>
              <w:t>Conclusion used in the Risk Assessment – Respiratory tract irritation</w:t>
            </w:r>
          </w:p>
        </w:tc>
      </w:tr>
      <w:tr w:rsidR="001042DA" w:rsidRPr="006B1A5A" w14:paraId="4D1AD43E" w14:textId="77777777" w:rsidTr="00AF2AEA">
        <w:tc>
          <w:tcPr>
            <w:tcW w:w="1048" w:type="pct"/>
            <w:tcBorders>
              <w:top w:val="single" w:sz="6" w:space="0" w:color="auto"/>
              <w:left w:val="single" w:sz="4" w:space="0" w:color="auto"/>
              <w:bottom w:val="single" w:sz="6" w:space="0" w:color="auto"/>
              <w:right w:val="single" w:sz="6" w:space="0" w:color="auto"/>
            </w:tcBorders>
            <w:shd w:val="clear" w:color="auto" w:fill="auto"/>
          </w:tcPr>
          <w:p w14:paraId="3FD50A05" w14:textId="77777777" w:rsidR="001042DA" w:rsidRPr="006B1A5A" w:rsidRDefault="001042DA" w:rsidP="00AF2AEA">
            <w:pPr>
              <w:keepNext/>
              <w:keepLines/>
              <w:spacing w:before="60" w:after="60" w:line="260" w:lineRule="atLeast"/>
              <w:rPr>
                <w:rFonts w:eastAsia="Calibri"/>
                <w:bCs/>
                <w:lang w:eastAsia="en-US"/>
              </w:rPr>
            </w:pPr>
            <w:r w:rsidRPr="006B1A5A">
              <w:rPr>
                <w:rFonts w:eastAsia="Calibri"/>
                <w:bCs/>
                <w:lang w:eastAsia="en-US"/>
              </w:rPr>
              <w:t>Justification for the conclusion</w:t>
            </w:r>
          </w:p>
        </w:tc>
        <w:tc>
          <w:tcPr>
            <w:tcW w:w="3952" w:type="pct"/>
            <w:tcBorders>
              <w:top w:val="single" w:sz="6" w:space="0" w:color="auto"/>
              <w:left w:val="single" w:sz="6" w:space="0" w:color="auto"/>
              <w:bottom w:val="single" w:sz="6" w:space="0" w:color="auto"/>
              <w:right w:val="single" w:sz="6" w:space="0" w:color="auto"/>
            </w:tcBorders>
          </w:tcPr>
          <w:p w14:paraId="6AEE2553" w14:textId="77777777" w:rsidR="001042DA" w:rsidRPr="006B1A5A" w:rsidRDefault="001042DA" w:rsidP="00AF2AEA">
            <w:pPr>
              <w:keepNext/>
              <w:keepLines/>
              <w:spacing w:before="60" w:after="60" w:line="260" w:lineRule="atLeast"/>
              <w:rPr>
                <w:rFonts w:eastAsia="Calibri"/>
                <w:bCs/>
                <w:lang w:eastAsia="en-US"/>
              </w:rPr>
            </w:pPr>
            <w:r w:rsidRPr="006B1A5A">
              <w:rPr>
                <w:rFonts w:eastAsia="Calibri"/>
                <w:bCs/>
                <w:lang w:eastAsia="en-US"/>
              </w:rPr>
              <w:t>Not irritating</w:t>
            </w:r>
          </w:p>
        </w:tc>
      </w:tr>
      <w:tr w:rsidR="001042DA" w:rsidRPr="006B1A5A" w14:paraId="1898E6E5" w14:textId="77777777" w:rsidTr="00AF2AEA">
        <w:tc>
          <w:tcPr>
            <w:tcW w:w="1048" w:type="pct"/>
            <w:tcBorders>
              <w:top w:val="single" w:sz="6" w:space="0" w:color="auto"/>
              <w:left w:val="single" w:sz="4" w:space="0" w:color="auto"/>
              <w:bottom w:val="single" w:sz="6" w:space="0" w:color="auto"/>
              <w:right w:val="single" w:sz="6" w:space="0" w:color="auto"/>
            </w:tcBorders>
            <w:shd w:val="clear" w:color="auto" w:fill="auto"/>
          </w:tcPr>
          <w:p w14:paraId="194D285D" w14:textId="77777777" w:rsidR="001042DA" w:rsidRPr="006B1A5A" w:rsidRDefault="001042DA" w:rsidP="00AF2AEA">
            <w:pPr>
              <w:spacing w:line="260" w:lineRule="atLeast"/>
              <w:rPr>
                <w:rFonts w:eastAsia="Calibri"/>
                <w:lang w:eastAsia="en-US"/>
              </w:rPr>
            </w:pPr>
            <w:r w:rsidRPr="006B1A5A">
              <w:rPr>
                <w:rFonts w:eastAsia="Calibri"/>
                <w:lang w:eastAsia="en-US"/>
              </w:rPr>
              <w:t>Justification for the value/conclusion</w:t>
            </w:r>
          </w:p>
        </w:tc>
        <w:tc>
          <w:tcPr>
            <w:tcW w:w="3952" w:type="pct"/>
            <w:tcBorders>
              <w:top w:val="single" w:sz="6" w:space="0" w:color="auto"/>
              <w:left w:val="single" w:sz="6" w:space="0" w:color="auto"/>
              <w:bottom w:val="single" w:sz="6" w:space="0" w:color="auto"/>
              <w:right w:val="single" w:sz="6" w:space="0" w:color="auto"/>
            </w:tcBorders>
          </w:tcPr>
          <w:p w14:paraId="40124975" w14:textId="77777777" w:rsidR="001042DA" w:rsidRPr="006B1A5A" w:rsidRDefault="001042DA" w:rsidP="00AF2AEA">
            <w:pPr>
              <w:spacing w:line="260" w:lineRule="atLeast"/>
              <w:rPr>
                <w:rFonts w:eastAsia="Calibri"/>
                <w:lang w:eastAsia="en-US"/>
              </w:rPr>
            </w:pPr>
            <w:r w:rsidRPr="006B1A5A">
              <w:rPr>
                <w:rFonts w:eastAsia="Calibri"/>
                <w:lang w:eastAsia="en-US"/>
              </w:rPr>
              <w:t>No substance present in the AquaNet 360 Biocidal Product Family is classified for respiratory tract irritation (STOT SE 3; H335). Therefore, this BPF is not classified for this endpoint.</w:t>
            </w:r>
          </w:p>
        </w:tc>
      </w:tr>
      <w:tr w:rsidR="001042DA" w:rsidRPr="006B1A5A" w14:paraId="7FA49F19" w14:textId="77777777" w:rsidTr="00AF2AEA">
        <w:tc>
          <w:tcPr>
            <w:tcW w:w="1048" w:type="pct"/>
            <w:tcBorders>
              <w:top w:val="single" w:sz="6" w:space="0" w:color="auto"/>
              <w:left w:val="single" w:sz="4" w:space="0" w:color="auto"/>
              <w:bottom w:val="single" w:sz="6" w:space="0" w:color="auto"/>
              <w:right w:val="single" w:sz="6" w:space="0" w:color="auto"/>
            </w:tcBorders>
            <w:shd w:val="clear" w:color="auto" w:fill="auto"/>
          </w:tcPr>
          <w:p w14:paraId="3CDEAD6B" w14:textId="77777777" w:rsidR="001042DA" w:rsidRPr="006B1A5A" w:rsidRDefault="001042DA" w:rsidP="00AF2AEA">
            <w:pPr>
              <w:keepNext/>
              <w:keepLines/>
              <w:spacing w:before="60" w:after="60" w:line="260" w:lineRule="atLeast"/>
              <w:rPr>
                <w:rFonts w:eastAsia="Calibri"/>
                <w:bCs/>
                <w:lang w:eastAsia="en-US"/>
              </w:rPr>
            </w:pPr>
            <w:r w:rsidRPr="006B1A5A">
              <w:rPr>
                <w:rFonts w:eastAsia="Calibri"/>
                <w:bCs/>
                <w:lang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tcPr>
          <w:p w14:paraId="45AFADA0" w14:textId="77777777" w:rsidR="001042DA" w:rsidRPr="006B1A5A" w:rsidRDefault="001042DA" w:rsidP="00AF2AEA">
            <w:pPr>
              <w:keepNext/>
              <w:keepLines/>
              <w:spacing w:before="60" w:after="60" w:line="260" w:lineRule="atLeast"/>
              <w:rPr>
                <w:rFonts w:eastAsia="Calibri"/>
                <w:bCs/>
                <w:lang w:eastAsia="en-US"/>
              </w:rPr>
            </w:pPr>
            <w:r w:rsidRPr="006B1A5A">
              <w:rPr>
                <w:rFonts w:eastAsia="Calibri"/>
                <w:bCs/>
                <w:lang w:eastAsia="en-US"/>
              </w:rPr>
              <w:t>Not classified</w:t>
            </w:r>
          </w:p>
        </w:tc>
      </w:tr>
    </w:tbl>
    <w:p w14:paraId="69788953" w14:textId="77777777" w:rsidR="001042DA" w:rsidRPr="006B1A5A" w:rsidRDefault="001042DA" w:rsidP="001042DA">
      <w:pPr>
        <w:spacing w:line="260" w:lineRule="atLeast"/>
        <w:rPr>
          <w:rFonts w:eastAsia="Calibri"/>
          <w:lang w:eastAsia="en-US"/>
        </w:rPr>
      </w:pPr>
    </w:p>
    <w:p w14:paraId="5039301C" w14:textId="77777777" w:rsidR="001042DA" w:rsidRPr="006B1A5A" w:rsidRDefault="001042DA" w:rsidP="001042DA">
      <w:pPr>
        <w:rPr>
          <w:rFonts w:eastAsia="Calibri"/>
          <w:lang w:eastAsia="en-US"/>
        </w:rPr>
      </w:pPr>
    </w:p>
    <w:p w14:paraId="3CF77EC9" w14:textId="77777777" w:rsidR="001042DA" w:rsidRPr="006B1A5A" w:rsidRDefault="001042DA" w:rsidP="001042DA">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1042DA" w:rsidRPr="006B1A5A" w14:paraId="701D702E" w14:textId="77777777" w:rsidTr="00AF2AEA">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7DC7ABF9" w14:textId="77777777" w:rsidR="001042DA" w:rsidRPr="006B1A5A" w:rsidRDefault="001042DA" w:rsidP="00AF2AEA">
            <w:pPr>
              <w:spacing w:line="260" w:lineRule="atLeast"/>
              <w:rPr>
                <w:rFonts w:eastAsia="Calibri"/>
                <w:b/>
                <w:lang w:eastAsia="en-US"/>
              </w:rPr>
            </w:pPr>
            <w:r w:rsidRPr="006B1A5A">
              <w:rPr>
                <w:rFonts w:eastAsia="Calibri"/>
                <w:b/>
                <w:lang w:eastAsia="en-US"/>
              </w:rPr>
              <w:t>Data waiving</w:t>
            </w:r>
          </w:p>
        </w:tc>
      </w:tr>
      <w:tr w:rsidR="001042DA" w:rsidRPr="006B1A5A" w14:paraId="6DED56F8" w14:textId="77777777" w:rsidTr="00AF2AEA">
        <w:tc>
          <w:tcPr>
            <w:tcW w:w="1048" w:type="pct"/>
            <w:tcBorders>
              <w:top w:val="single" w:sz="6" w:space="0" w:color="auto"/>
              <w:left w:val="single" w:sz="4" w:space="0" w:color="auto"/>
              <w:bottom w:val="single" w:sz="6" w:space="0" w:color="auto"/>
              <w:right w:val="single" w:sz="6" w:space="0" w:color="auto"/>
            </w:tcBorders>
            <w:shd w:val="clear" w:color="auto" w:fill="auto"/>
          </w:tcPr>
          <w:p w14:paraId="34659750" w14:textId="77777777" w:rsidR="001042DA" w:rsidRPr="006B1A5A" w:rsidRDefault="001042DA" w:rsidP="00AF2AEA">
            <w:pPr>
              <w:spacing w:line="260" w:lineRule="atLeast"/>
              <w:rPr>
                <w:rFonts w:eastAsia="Calibri"/>
                <w:lang w:eastAsia="en-US"/>
              </w:rPr>
            </w:pPr>
            <w:r w:rsidRPr="006B1A5A">
              <w:rPr>
                <w:rFonts w:eastAsia="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386AA29E" w14:textId="77777777" w:rsidR="001042DA" w:rsidRPr="006B1A5A" w:rsidRDefault="001042DA" w:rsidP="00AF2AEA">
            <w:pPr>
              <w:spacing w:line="260" w:lineRule="atLeast"/>
              <w:rPr>
                <w:rFonts w:eastAsia="Calibri"/>
                <w:lang w:eastAsia="en-US"/>
              </w:rPr>
            </w:pPr>
            <w:r w:rsidRPr="006B1A5A">
              <w:rPr>
                <w:rFonts w:eastAsia="Calibri"/>
                <w:lang w:eastAsia="en-US"/>
              </w:rPr>
              <w:t>Respiratory tract irritation</w:t>
            </w:r>
          </w:p>
        </w:tc>
      </w:tr>
      <w:tr w:rsidR="001042DA" w:rsidRPr="006B1A5A" w14:paraId="2D3ABDE2" w14:textId="77777777" w:rsidTr="00AF2AEA">
        <w:tc>
          <w:tcPr>
            <w:tcW w:w="1048" w:type="pct"/>
            <w:tcBorders>
              <w:top w:val="single" w:sz="6" w:space="0" w:color="auto"/>
              <w:left w:val="single" w:sz="4" w:space="0" w:color="auto"/>
              <w:bottom w:val="single" w:sz="6" w:space="0" w:color="auto"/>
              <w:right w:val="single" w:sz="6" w:space="0" w:color="auto"/>
            </w:tcBorders>
            <w:shd w:val="clear" w:color="auto" w:fill="auto"/>
          </w:tcPr>
          <w:p w14:paraId="452E648D" w14:textId="77777777" w:rsidR="001042DA" w:rsidRPr="006B1A5A" w:rsidRDefault="001042DA" w:rsidP="00AF2AEA">
            <w:pPr>
              <w:spacing w:line="260" w:lineRule="atLeast"/>
              <w:rPr>
                <w:rFonts w:eastAsia="Calibri"/>
                <w:lang w:eastAsia="en-US"/>
              </w:rPr>
            </w:pPr>
            <w:r w:rsidRPr="006B1A5A">
              <w:rPr>
                <w:rFonts w:eastAsia="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1FD443D3" w14:textId="2D207CEF" w:rsidR="001042DA" w:rsidRPr="006B1A5A" w:rsidRDefault="001042DA" w:rsidP="00AF2AEA">
            <w:pPr>
              <w:spacing w:line="260" w:lineRule="atLeast"/>
              <w:rPr>
                <w:rFonts w:eastAsia="Calibri"/>
                <w:lang w:eastAsia="en-US"/>
              </w:rPr>
            </w:pPr>
            <w:r w:rsidRPr="006B1A5A">
              <w:rPr>
                <w:rFonts w:cs="EUAlbertina"/>
              </w:rPr>
              <w:t xml:space="preserve">No study required for this endpoint according to Annex III to BPR. </w:t>
            </w:r>
          </w:p>
        </w:tc>
      </w:tr>
    </w:tbl>
    <w:p w14:paraId="103A196A" w14:textId="05D14990" w:rsidR="001042DA" w:rsidRPr="006B1A5A" w:rsidRDefault="001042DA" w:rsidP="001042DA">
      <w:pPr>
        <w:rPr>
          <w:rFonts w:eastAsia="Calibri"/>
          <w:b/>
          <w:i/>
          <w:sz w:val="22"/>
          <w:szCs w:val="22"/>
          <w:lang w:eastAsia="en-US"/>
        </w:rPr>
      </w:pPr>
      <w:r w:rsidRPr="006B1A5A">
        <w:rPr>
          <w:rFonts w:eastAsia="Calibri"/>
          <w:b/>
          <w:i/>
          <w:sz w:val="22"/>
          <w:szCs w:val="22"/>
          <w:lang w:eastAsia="en-US"/>
        </w:rPr>
        <w:br w:type="page"/>
      </w:r>
    </w:p>
    <w:p w14:paraId="1FEDB2DA" w14:textId="72945099" w:rsidR="001042DA" w:rsidRPr="006B1A5A" w:rsidRDefault="001042DA" w:rsidP="001042DA">
      <w:pPr>
        <w:pStyle w:val="Overskrift5"/>
        <w:rPr>
          <w:rFonts w:eastAsia="Calibri"/>
          <w:lang w:val="en-GB"/>
        </w:rPr>
      </w:pPr>
      <w:bookmarkStart w:id="1551" w:name="_Hlk65571865"/>
      <w:r w:rsidRPr="006B1A5A">
        <w:rPr>
          <w:rFonts w:eastAsia="Calibri"/>
          <w:lang w:val="en-GB"/>
        </w:rPr>
        <w:t>Information on dermal absorption</w:t>
      </w:r>
      <w:bookmarkEnd w:id="1549"/>
      <w:bookmarkEnd w:id="1550"/>
      <w:r w:rsidRPr="006B1A5A">
        <w:rPr>
          <w:rFonts w:eastAsia="Calibri"/>
          <w:lang w:val="en-GB"/>
        </w:rPr>
        <w:t xml:space="preserve"> </w:t>
      </w:r>
    </w:p>
    <w:bookmarkEnd w:id="1551"/>
    <w:p w14:paraId="7CF329A3" w14:textId="5C8141C6" w:rsidR="001042DA" w:rsidRDefault="001042DA" w:rsidP="001042DA">
      <w:pPr>
        <w:spacing w:line="260" w:lineRule="atLeast"/>
        <w:jc w:val="both"/>
      </w:pPr>
      <w:r w:rsidRPr="006B1A5A">
        <w:t xml:space="preserve">An </w:t>
      </w:r>
      <w:r w:rsidRPr="006B1A5A">
        <w:rPr>
          <w:i/>
        </w:rPr>
        <w:t>in vitro</w:t>
      </w:r>
      <w:r w:rsidRPr="006B1A5A">
        <w:t xml:space="preserve"> dermal absorption study through human </w:t>
      </w:r>
      <w:r w:rsidRPr="0003486C">
        <w:t>skin (Bernal, J</w:t>
      </w:r>
      <w:r w:rsidR="005F25D0">
        <w:t>.</w:t>
      </w:r>
      <w:r w:rsidRPr="0003486C">
        <w:t>, 2018a)</w:t>
      </w:r>
      <w:r w:rsidRPr="006B1A5A">
        <w:t xml:space="preserve"> has been conducted on the representative family member AquaNet LG 360; testing both the concentrated product (13.8% Cu</w:t>
      </w:r>
      <w:r w:rsidRPr="006B1A5A">
        <w:rPr>
          <w:vertAlign w:val="subscript"/>
        </w:rPr>
        <w:t>2</w:t>
      </w:r>
      <w:r w:rsidRPr="006B1A5A">
        <w:t>O + 3.9% CuSCN (w/w)) and the diluted in-use concentration of the product (7.56% Cu</w:t>
      </w:r>
      <w:r w:rsidRPr="006B1A5A">
        <w:rPr>
          <w:vertAlign w:val="subscript"/>
        </w:rPr>
        <w:t>2</w:t>
      </w:r>
      <w:r w:rsidRPr="006B1A5A">
        <w:t xml:space="preserve">O + 2.14% CuSCN (w/w)). The study was performed according to the OECD 428 test guideline. The study measured the total amount of copper (non-radiolabelled) absorbed through </w:t>
      </w:r>
      <w:r w:rsidR="00023079">
        <w:t xml:space="preserve">split thickness </w:t>
      </w:r>
      <w:r w:rsidRPr="006B1A5A">
        <w:t>human skin samples</w:t>
      </w:r>
      <w:r w:rsidR="00023079">
        <w:t xml:space="preserve"> using ICP-MS</w:t>
      </w:r>
      <w:r w:rsidRPr="006B1A5A">
        <w:t xml:space="preserve">; this procedure is necessary as it is not technically feasible for copper to be radiolabelled. </w:t>
      </w:r>
    </w:p>
    <w:p w14:paraId="0760635E" w14:textId="55469608" w:rsidR="00324C13" w:rsidRPr="00FA3222" w:rsidRDefault="001042DA" w:rsidP="000E4414">
      <w:pPr>
        <w:spacing w:before="120" w:line="260" w:lineRule="atLeast"/>
        <w:jc w:val="both"/>
      </w:pPr>
      <w:bookmarkStart w:id="1552" w:name="_Hlk54238852"/>
      <w:r w:rsidRPr="006B1A5A">
        <w:t xml:space="preserve">The product is a paint formulation which dries on the skin and is </w:t>
      </w:r>
      <w:r w:rsidR="008019FB">
        <w:t xml:space="preserve">difficult </w:t>
      </w:r>
      <w:r w:rsidRPr="006B1A5A">
        <w:t>to remove by washing</w:t>
      </w:r>
      <w:r w:rsidR="00C65109">
        <w:t xml:space="preserve"> </w:t>
      </w:r>
      <w:r w:rsidR="00C65109">
        <w:rPr>
          <w:rFonts w:eastAsia="Calibri"/>
          <w:iCs/>
          <w:lang w:eastAsia="en-US"/>
        </w:rPr>
        <w:t>without damaging the skin sample</w:t>
      </w:r>
      <w:r w:rsidRPr="006B1A5A">
        <w:t>. The test formulation was therefore left on the skin samples for the whole test period of 24 hours,</w:t>
      </w:r>
      <w:r w:rsidR="004271EF">
        <w:t xml:space="preserve"> </w:t>
      </w:r>
      <w:r w:rsidRPr="006B1A5A">
        <w:t>as recommended by the PT21 dermal absorption guidance (</w:t>
      </w:r>
      <w:r w:rsidRPr="00EC30AF">
        <w:t>ECHA</w:t>
      </w:r>
      <w:r w:rsidR="003E4CA6">
        <w:t>,</w:t>
      </w:r>
      <w:r w:rsidRPr="00EC30AF">
        <w:t xml:space="preserve"> 2016</w:t>
      </w:r>
      <w:r w:rsidR="0003486C" w:rsidRPr="00EC30AF">
        <w:t>c</w:t>
      </w:r>
      <w:r w:rsidRPr="006B1A5A">
        <w:t xml:space="preserve">). </w:t>
      </w:r>
      <w:bookmarkStart w:id="1553" w:name="_Hlk54180591"/>
      <w:r w:rsidR="003C54AA" w:rsidRPr="000E4414">
        <w:t xml:space="preserve">The stratum corneum was removed with up to 15 successive tape strips. </w:t>
      </w:r>
      <w:r w:rsidRPr="009B0022">
        <w:t>All tape strips were</w:t>
      </w:r>
      <w:r w:rsidRPr="006B1A5A">
        <w:t xml:space="preserve"> photographed and analysed separately. </w:t>
      </w:r>
      <w:r w:rsidR="006E51D1" w:rsidRPr="00FA3222">
        <w:t xml:space="preserve">Based on the photos taken, almost all paint was removed at the first two tape strips. Some splinters were </w:t>
      </w:r>
      <w:r w:rsidR="00324C13" w:rsidRPr="00FA3222">
        <w:t xml:space="preserve">however </w:t>
      </w:r>
      <w:r w:rsidR="006E51D1" w:rsidRPr="00FA3222">
        <w:t xml:space="preserve">observed in </w:t>
      </w:r>
      <w:r w:rsidR="00473325" w:rsidRPr="00FA3222">
        <w:t xml:space="preserve">some of </w:t>
      </w:r>
      <w:r w:rsidR="006E51D1" w:rsidRPr="00FA3222">
        <w:t>the following strips for the dil</w:t>
      </w:r>
      <w:r w:rsidR="004271EF" w:rsidRPr="00FA3222">
        <w:t>u</w:t>
      </w:r>
      <w:r w:rsidR="006E51D1" w:rsidRPr="00FA3222">
        <w:t>ted product</w:t>
      </w:r>
      <w:r w:rsidR="001703D1" w:rsidRPr="00FA3222">
        <w:t xml:space="preserve"> </w:t>
      </w:r>
      <w:r w:rsidR="00FA3222">
        <w:t>(</w:t>
      </w:r>
      <w:r w:rsidR="001703D1" w:rsidRPr="00FA3222">
        <w:t>indicating that the paint was not fully removed</w:t>
      </w:r>
      <w:r w:rsidR="00FA3222">
        <w:t>)</w:t>
      </w:r>
      <w:r w:rsidR="00324C13" w:rsidRPr="00FA3222">
        <w:t>, with concurrent higher measured values</w:t>
      </w:r>
      <w:r w:rsidR="007910D6" w:rsidRPr="00FA3222">
        <w:t xml:space="preserve"> of test material</w:t>
      </w:r>
      <w:r w:rsidR="00324C13" w:rsidRPr="00FA3222">
        <w:t xml:space="preserve">. </w:t>
      </w:r>
      <w:bookmarkEnd w:id="1553"/>
      <w:r w:rsidR="00CA7F99" w:rsidRPr="00FA3222">
        <w:t xml:space="preserve">The </w:t>
      </w:r>
      <w:r w:rsidR="00C65109" w:rsidRPr="00FA3222">
        <w:t xml:space="preserve">test </w:t>
      </w:r>
      <w:r w:rsidR="00CA7F99" w:rsidRPr="00FA3222">
        <w:t>material in the paint layer should be considered as non-absorbed.</w:t>
      </w:r>
    </w:p>
    <w:p w14:paraId="5766696E" w14:textId="65C53546" w:rsidR="0080649D" w:rsidRPr="000E4414" w:rsidRDefault="003C54AA" w:rsidP="000E4414">
      <w:pPr>
        <w:spacing w:before="120" w:line="260" w:lineRule="atLeast"/>
        <w:jc w:val="both"/>
      </w:pPr>
      <w:bookmarkStart w:id="1554" w:name="_Hlk54140112"/>
      <w:r w:rsidRPr="00FA3222">
        <w:t>The receptor fluid was sampled six times at 1h, 2h, 4h, 8h, 12h and 24h from the commencement of the application</w:t>
      </w:r>
      <w:r w:rsidR="00BA7337">
        <w:t>.</w:t>
      </w:r>
      <w:r w:rsidRPr="000E4414">
        <w:t xml:space="preserve"> </w:t>
      </w:r>
      <w:bookmarkStart w:id="1555" w:name="_Hlk54181249"/>
      <w:r w:rsidR="004271EF" w:rsidRPr="000E4414">
        <w:t>According to the study report</w:t>
      </w:r>
      <w:r w:rsidR="005F25D0">
        <w:t>,</w:t>
      </w:r>
      <w:r w:rsidR="004271EF" w:rsidRPr="000E4414">
        <w:t xml:space="preserve"> </w:t>
      </w:r>
      <w:bookmarkEnd w:id="1555"/>
      <w:r w:rsidR="001042DA" w:rsidRPr="00FA3222">
        <w:t>more than 75% of the total absorption was recovered at half of the study duration (i.e. 12 hours)</w:t>
      </w:r>
      <w:r w:rsidR="004271EF" w:rsidRPr="00FA3222">
        <w:t xml:space="preserve">, and </w:t>
      </w:r>
      <w:r w:rsidR="001042DA" w:rsidRPr="00FA3222">
        <w:t xml:space="preserve">all tape strips were </w:t>
      </w:r>
      <w:r w:rsidR="004271EF" w:rsidRPr="00FA3222">
        <w:t xml:space="preserve">consequently </w:t>
      </w:r>
      <w:r w:rsidR="001042DA" w:rsidRPr="00FA3222">
        <w:t>considered as non-absorbed and discarded</w:t>
      </w:r>
      <w:r w:rsidR="001042DA" w:rsidRPr="00FA3222" w:rsidDel="004271EF">
        <w:t xml:space="preserve"> </w:t>
      </w:r>
      <w:r w:rsidR="004271EF" w:rsidRPr="00FA3222">
        <w:t>(</w:t>
      </w:r>
      <w:r w:rsidR="003E4CA6" w:rsidRPr="00FA3222">
        <w:t>EFSA</w:t>
      </w:r>
      <w:r w:rsidR="00DB66F6">
        <w:t>,</w:t>
      </w:r>
      <w:r w:rsidR="003E4CA6" w:rsidRPr="00FA3222">
        <w:t xml:space="preserve"> 2017)</w:t>
      </w:r>
      <w:r w:rsidR="001042DA" w:rsidRPr="00FA3222">
        <w:t>.</w:t>
      </w:r>
      <w:r w:rsidR="004271EF" w:rsidRPr="00FA3222">
        <w:t xml:space="preserve"> </w:t>
      </w:r>
      <w:r w:rsidR="00031DC0" w:rsidRPr="00FA3222">
        <w:t>T</w:t>
      </w:r>
      <w:r w:rsidR="00D8521A" w:rsidRPr="00FA3222">
        <w:t>here</w:t>
      </w:r>
      <w:r w:rsidR="004271EF" w:rsidRPr="000E4414">
        <w:t xml:space="preserve"> </w:t>
      </w:r>
      <w:r w:rsidR="00473325" w:rsidRPr="000E4414">
        <w:t>were</w:t>
      </w:r>
      <w:r w:rsidR="004271EF" w:rsidRPr="000E4414">
        <w:t xml:space="preserve"> quantifiable </w:t>
      </w:r>
      <w:r w:rsidR="00031DC0" w:rsidRPr="000E4414">
        <w:t xml:space="preserve">low levels of </w:t>
      </w:r>
      <w:r w:rsidR="004271EF" w:rsidRPr="000E4414">
        <w:t>copper in the receptor fluid at the first sampling time only</w:t>
      </w:r>
      <w:r w:rsidR="00CA7F99" w:rsidRPr="000E4414">
        <w:t>,</w:t>
      </w:r>
      <w:r w:rsidR="004271EF" w:rsidRPr="000E4414">
        <w:t xml:space="preserve"> whereas all other measurements were below the limit of quantification.</w:t>
      </w:r>
      <w:r w:rsidR="00473325" w:rsidRPr="000E4414">
        <w:t xml:space="preserve"> Hence, t</w:t>
      </w:r>
      <w:r w:rsidR="00473325" w:rsidRPr="00FA3222">
        <w:t>he relative amount of copper in the receptor fluid at half the study duration could not be convincingly demonstrated</w:t>
      </w:r>
      <w:r w:rsidR="00BA7337">
        <w:t xml:space="preserve"> </w:t>
      </w:r>
      <w:r w:rsidR="00BA7337" w:rsidRPr="008E48AD">
        <w:t>due to uncertainties in the figures</w:t>
      </w:r>
      <w:r w:rsidR="00473325" w:rsidRPr="00BA7337">
        <w:t xml:space="preserve"> (</w:t>
      </w:r>
      <w:r w:rsidR="00473325" w:rsidRPr="000E4414">
        <w:t>measuremen</w:t>
      </w:r>
      <w:r w:rsidR="00C65109" w:rsidRPr="000E4414">
        <w:t>t</w:t>
      </w:r>
      <w:r w:rsidR="00473325" w:rsidRPr="000E4414">
        <w:t xml:space="preserve">s below </w:t>
      </w:r>
      <w:r w:rsidR="00D63842">
        <w:t xml:space="preserve">the </w:t>
      </w:r>
      <w:r w:rsidR="00D63842" w:rsidRPr="00534AD4">
        <w:rPr>
          <w:color w:val="000000" w:themeColor="text1"/>
        </w:rPr>
        <w:t>limit of quantification</w:t>
      </w:r>
      <w:r w:rsidR="00D63842">
        <w:rPr>
          <w:color w:val="000000" w:themeColor="text1"/>
        </w:rPr>
        <w:t>,</w:t>
      </w:r>
      <w:r w:rsidR="00D63842" w:rsidRPr="00534AD4">
        <w:rPr>
          <w:color w:val="000000" w:themeColor="text1"/>
        </w:rPr>
        <w:t xml:space="preserve"> </w:t>
      </w:r>
      <w:r w:rsidR="00473325" w:rsidRPr="000E4414">
        <w:t>LOQ</w:t>
      </w:r>
      <w:r w:rsidR="00D63842">
        <w:t>,</w:t>
      </w:r>
      <w:r w:rsidR="00473325" w:rsidRPr="000E4414">
        <w:t xml:space="preserve"> </w:t>
      </w:r>
      <w:r w:rsidR="00C65109" w:rsidRPr="000E4414">
        <w:t>were</w:t>
      </w:r>
      <w:r w:rsidR="00473325" w:rsidRPr="000E4414">
        <w:t xml:space="preserve"> set as zero in the calculation of mean relative permeation in the receptor fluid at t0.5)</w:t>
      </w:r>
      <w:r w:rsidR="0080649D" w:rsidRPr="00FA3222">
        <w:t>.</w:t>
      </w:r>
      <w:r w:rsidR="0077562F" w:rsidRPr="00FA3222">
        <w:t xml:space="preserve"> </w:t>
      </w:r>
      <w:bookmarkStart w:id="1556" w:name="_Hlk54182522"/>
      <w:r w:rsidR="0080649D" w:rsidRPr="00FA3222">
        <w:t xml:space="preserve">Nevertheless, </w:t>
      </w:r>
      <w:r w:rsidR="00D8521A" w:rsidRPr="00FA3222">
        <w:t>considering also the conservative e</w:t>
      </w:r>
      <w:r w:rsidR="0080649D" w:rsidRPr="00FA3222">
        <w:t xml:space="preserve">xposure </w:t>
      </w:r>
      <w:r w:rsidR="00D8521A" w:rsidRPr="00FA3222">
        <w:t>duration (24 hours)</w:t>
      </w:r>
      <w:r w:rsidR="007910D6" w:rsidRPr="00FA3222">
        <w:t xml:space="preserve"> and</w:t>
      </w:r>
      <w:r w:rsidR="00D8521A" w:rsidRPr="00FA3222">
        <w:t xml:space="preserve"> the </w:t>
      </w:r>
      <w:r w:rsidR="00C65109" w:rsidRPr="00FA3222">
        <w:t xml:space="preserve">referred </w:t>
      </w:r>
      <w:r w:rsidR="007910D6" w:rsidRPr="00FA3222">
        <w:t xml:space="preserve">photo evidence, the </w:t>
      </w:r>
      <w:r w:rsidR="00D8521A" w:rsidRPr="00FA3222">
        <w:t xml:space="preserve">exclusion of </w:t>
      </w:r>
      <w:r w:rsidR="008B7D38" w:rsidRPr="00FA3222">
        <w:t xml:space="preserve">the </w:t>
      </w:r>
      <w:r w:rsidR="00781392" w:rsidRPr="00FA3222">
        <w:t xml:space="preserve">tape strips was </w:t>
      </w:r>
      <w:r w:rsidR="007910D6" w:rsidRPr="00FA3222">
        <w:t>considered acceptable</w:t>
      </w:r>
      <w:r w:rsidR="00D8521A" w:rsidRPr="00FA3222">
        <w:t>.</w:t>
      </w:r>
      <w:r w:rsidR="00D8521A">
        <w:t xml:space="preserve">  </w:t>
      </w:r>
      <w:bookmarkEnd w:id="1552"/>
    </w:p>
    <w:p w14:paraId="06A65FEC" w14:textId="67C2FAC6" w:rsidR="001042DA" w:rsidRPr="005C589C" w:rsidRDefault="001042DA" w:rsidP="001042DA">
      <w:pPr>
        <w:spacing w:before="120" w:line="260" w:lineRule="atLeast"/>
        <w:jc w:val="both"/>
      </w:pPr>
      <w:bookmarkStart w:id="1557" w:name="_Hlk65571891"/>
      <w:bookmarkEnd w:id="1554"/>
      <w:bookmarkEnd w:id="1556"/>
      <w:r w:rsidRPr="00D726E8">
        <w:t xml:space="preserve">The thiocyanate ion is not possible to accurately quantify in human skin, due to relatively high levels of endogenous thiocyanate. Although it is reasonable to assume that a proportional amount of </w:t>
      </w:r>
      <w:r w:rsidRPr="005C589C">
        <w:t xml:space="preserve">thiocyanate and </w:t>
      </w:r>
      <w:r w:rsidR="00CD3206" w:rsidRPr="00CD3206">
        <w:t xml:space="preserve">copper </w:t>
      </w:r>
      <w:r w:rsidRPr="005F25D0">
        <w:t>ions</w:t>
      </w:r>
      <w:r w:rsidRPr="005C589C">
        <w:t xml:space="preserve"> are released when solid copper thiocyanate dissociates, the dermal absorption value found for </w:t>
      </w:r>
      <w:r w:rsidR="00336FE8">
        <w:t xml:space="preserve">copper </w:t>
      </w:r>
      <w:r w:rsidRPr="00D726E8">
        <w:t xml:space="preserve">is not necessarily also valid for </w:t>
      </w:r>
      <w:r w:rsidR="00336FE8">
        <w:t>thiocyanate</w:t>
      </w:r>
      <w:r w:rsidRPr="005C589C">
        <w:t>. A dermal absorption value of 5% for the thiocyanate moiety was therefore applied in accordance with the recommendation given in the copper thiocyanate CAR.</w:t>
      </w:r>
    </w:p>
    <w:bookmarkEnd w:id="1557"/>
    <w:p w14:paraId="4DD1A32B" w14:textId="5EE12217" w:rsidR="008019FB" w:rsidRDefault="001042DA" w:rsidP="008019FB">
      <w:pPr>
        <w:spacing w:before="120" w:line="260" w:lineRule="atLeast"/>
        <w:jc w:val="both"/>
      </w:pPr>
      <w:r w:rsidRPr="006B1A5A">
        <w:t xml:space="preserve">An </w:t>
      </w:r>
      <w:r w:rsidRPr="006B1A5A">
        <w:rPr>
          <w:i/>
        </w:rPr>
        <w:t>in vitro</w:t>
      </w:r>
      <w:r w:rsidRPr="006B1A5A">
        <w:t xml:space="preserve"> dermal absorption study through human skin </w:t>
      </w:r>
      <w:r w:rsidRPr="00EC30AF">
        <w:t>(Bernal, J</w:t>
      </w:r>
      <w:r w:rsidR="005F25D0">
        <w:t>.</w:t>
      </w:r>
      <w:r w:rsidRPr="00EC30AF">
        <w:t>, 2018b)</w:t>
      </w:r>
      <w:r w:rsidRPr="006B1A5A">
        <w:t xml:space="preserve"> was also performed on a similar PT21 product from the same applicant, belonging to a different product family, AquaNet Premium (containing 10% Cu</w:t>
      </w:r>
      <w:r w:rsidRPr="006B1A5A">
        <w:rPr>
          <w:vertAlign w:val="subscript"/>
        </w:rPr>
        <w:t>2</w:t>
      </w:r>
      <w:r w:rsidRPr="006B1A5A">
        <w:t xml:space="preserve">O and 2% Tralopyril), with a very similar formulation as the AquaNet 360 product family. The AquaNet Premium family consists only of ready-for-use formulations. </w:t>
      </w:r>
      <w:bookmarkStart w:id="1558" w:name="_Hlk53338406"/>
      <w:r w:rsidRPr="006B1A5A">
        <w:t>This test formulation was also left on the skin samples for the whole test period of 24 hours as recommended by the PT21 dermal absorption guidance (ECHA</w:t>
      </w:r>
      <w:r w:rsidR="003E4CA6">
        <w:t>,</w:t>
      </w:r>
      <w:r w:rsidRPr="006B1A5A">
        <w:t xml:space="preserve"> 2016</w:t>
      </w:r>
      <w:r w:rsidR="00771DC3">
        <w:t>c</w:t>
      </w:r>
      <w:r w:rsidRPr="006B1A5A">
        <w:t>). All tape strips were photographed and analysed separately.</w:t>
      </w:r>
      <w:r w:rsidRPr="006B1A5A" w:rsidDel="00137AA9">
        <w:t xml:space="preserve"> </w:t>
      </w:r>
      <w:bookmarkStart w:id="1559" w:name="_Hlk53337974"/>
      <w:bookmarkEnd w:id="1558"/>
      <w:r w:rsidR="00D659F2" w:rsidRPr="0060729D">
        <w:t xml:space="preserve">Owing to deficiencies identified in the study </w:t>
      </w:r>
      <w:r w:rsidR="00EF0ED6">
        <w:t>(</w:t>
      </w:r>
      <w:r w:rsidR="00D659F2" w:rsidRPr="0060729D">
        <w:t>analytical problems resulting in a lack of exposed skin samples)</w:t>
      </w:r>
      <w:r w:rsidR="00EF0ED6">
        <w:t>,</w:t>
      </w:r>
      <w:r w:rsidR="00D659F2" w:rsidRPr="0060729D">
        <w:t xml:space="preserve"> this study was considered invalid. </w:t>
      </w:r>
    </w:p>
    <w:p w14:paraId="76E12973" w14:textId="26790428" w:rsidR="00AE00C7" w:rsidRDefault="00D659F2" w:rsidP="008019FB">
      <w:pPr>
        <w:spacing w:before="120" w:line="260" w:lineRule="atLeast"/>
        <w:jc w:val="both"/>
      </w:pPr>
      <w:bookmarkStart w:id="1560" w:name="_Hlk53338042"/>
      <w:bookmarkEnd w:id="1559"/>
      <w:r w:rsidRPr="0060729D">
        <w:t xml:space="preserve">A second dermal absorption study </w:t>
      </w:r>
      <w:r w:rsidR="007E1E36">
        <w:t>was</w:t>
      </w:r>
      <w:r w:rsidRPr="0060729D">
        <w:t xml:space="preserve"> therefore conducted</w:t>
      </w:r>
      <w:r w:rsidR="009A4042">
        <w:t xml:space="preserve"> </w:t>
      </w:r>
      <w:r w:rsidR="009A4042" w:rsidRPr="009A4042">
        <w:t>(</w:t>
      </w:r>
      <w:r w:rsidR="009A4042" w:rsidRPr="009A4042">
        <w:rPr>
          <w:rFonts w:eastAsia="Calibri"/>
          <w:color w:val="000000"/>
          <w:lang w:eastAsia="en-GB"/>
        </w:rPr>
        <w:t>Wallace, J</w:t>
      </w:r>
      <w:r w:rsidR="00DB66F6">
        <w:rPr>
          <w:rFonts w:eastAsia="Calibri"/>
          <w:color w:val="000000"/>
          <w:lang w:eastAsia="en-GB"/>
        </w:rPr>
        <w:t>.</w:t>
      </w:r>
      <w:r w:rsidR="005F25D0">
        <w:rPr>
          <w:rFonts w:eastAsia="Calibri"/>
          <w:color w:val="000000"/>
          <w:lang w:eastAsia="en-GB"/>
        </w:rPr>
        <w:t>,</w:t>
      </w:r>
      <w:r w:rsidR="009A4042" w:rsidRPr="009A4042">
        <w:rPr>
          <w:rFonts w:eastAsia="Calibri"/>
          <w:color w:val="000000"/>
          <w:lang w:eastAsia="en-GB"/>
        </w:rPr>
        <w:t xml:space="preserve"> 2020)</w:t>
      </w:r>
      <w:r w:rsidR="007E1E36" w:rsidRPr="009A4042">
        <w:t>.</w:t>
      </w:r>
      <w:r w:rsidRPr="0060729D">
        <w:t xml:space="preserve"> </w:t>
      </w:r>
      <w:bookmarkStart w:id="1561" w:name="_Hlk53338512"/>
      <w:bookmarkEnd w:id="1560"/>
      <w:r w:rsidRPr="0060729D">
        <w:t>In th</w:t>
      </w:r>
      <w:r w:rsidR="00EF0ED6">
        <w:t>is study</w:t>
      </w:r>
      <w:r w:rsidR="007E1E36">
        <w:t>,</w:t>
      </w:r>
      <w:r w:rsidRPr="0060729D">
        <w:t xml:space="preserve"> </w:t>
      </w:r>
      <w:r w:rsidR="008019FB">
        <w:t xml:space="preserve">the </w:t>
      </w:r>
      <w:r w:rsidR="000A29EC">
        <w:t xml:space="preserve">paint </w:t>
      </w:r>
      <w:r w:rsidR="008019FB">
        <w:t xml:space="preserve">was </w:t>
      </w:r>
      <w:r w:rsidR="000A29EC">
        <w:t xml:space="preserve">removed </w:t>
      </w:r>
      <w:r w:rsidR="008019FB">
        <w:rPr>
          <w:color w:val="000000" w:themeColor="text1"/>
        </w:rPr>
        <w:t xml:space="preserve">after </w:t>
      </w:r>
      <w:r w:rsidR="008019FB" w:rsidRPr="0060729D">
        <w:t>8</w:t>
      </w:r>
      <w:r w:rsidR="005F25D0">
        <w:t xml:space="preserve"> </w:t>
      </w:r>
      <w:r w:rsidR="008019FB" w:rsidRPr="0060729D">
        <w:t>hours</w:t>
      </w:r>
      <w:r w:rsidR="00EF0ED6">
        <w:t>.</w:t>
      </w:r>
      <w:r w:rsidR="000A29EC" w:rsidRPr="00D726E8">
        <w:t xml:space="preserve"> </w:t>
      </w:r>
      <w:r w:rsidR="00D726E8" w:rsidRPr="00D726E8">
        <w:rPr>
          <w:color w:val="000000" w:themeColor="text1"/>
        </w:rPr>
        <w:t xml:space="preserve">To demonstrate the extent of paint removal, one photograph of each skin sample was taken before and </w:t>
      </w:r>
      <w:r w:rsidR="008019FB">
        <w:rPr>
          <w:color w:val="000000" w:themeColor="text1"/>
        </w:rPr>
        <w:t xml:space="preserve">one </w:t>
      </w:r>
      <w:r w:rsidR="00D726E8" w:rsidRPr="00D726E8">
        <w:rPr>
          <w:color w:val="000000" w:themeColor="text1"/>
        </w:rPr>
        <w:t>after the washing procedure was complete.</w:t>
      </w:r>
      <w:r w:rsidR="00D726E8" w:rsidRPr="00B71241">
        <w:rPr>
          <w:color w:val="000000" w:themeColor="text1"/>
        </w:rPr>
        <w:t xml:space="preserve"> </w:t>
      </w:r>
      <w:r w:rsidR="008019FB">
        <w:rPr>
          <w:color w:val="000000" w:themeColor="text1"/>
        </w:rPr>
        <w:t xml:space="preserve">After </w:t>
      </w:r>
      <w:r w:rsidR="008019FB" w:rsidRPr="00D726E8">
        <w:t>a 16-hour post-dose monitoring period</w:t>
      </w:r>
      <w:r w:rsidR="007E2958">
        <w:t>,</w:t>
      </w:r>
      <w:r w:rsidR="008019FB" w:rsidRPr="00D726E8">
        <w:t xml:space="preserve"> </w:t>
      </w:r>
      <w:r w:rsidR="008019FB">
        <w:rPr>
          <w:color w:val="000000" w:themeColor="text1"/>
        </w:rPr>
        <w:t>t</w:t>
      </w:r>
      <w:r w:rsidR="00AE00C7" w:rsidRPr="00B71241">
        <w:rPr>
          <w:color w:val="000000" w:themeColor="text1"/>
        </w:rPr>
        <w:t xml:space="preserve">he </w:t>
      </w:r>
      <w:r w:rsidR="00AE00C7" w:rsidRPr="00B71241">
        <w:rPr>
          <w:i/>
          <w:color w:val="000000" w:themeColor="text1"/>
        </w:rPr>
        <w:t>stratum corneum</w:t>
      </w:r>
      <w:r w:rsidR="00AE00C7" w:rsidRPr="00B71241">
        <w:rPr>
          <w:color w:val="000000" w:themeColor="text1"/>
        </w:rPr>
        <w:t xml:space="preserve"> was removed </w:t>
      </w:r>
      <w:r w:rsidR="00AE00C7" w:rsidRPr="00AE00C7">
        <w:rPr>
          <w:color w:val="000000" w:themeColor="text1"/>
        </w:rPr>
        <w:t xml:space="preserve">with </w:t>
      </w:r>
      <w:r w:rsidR="00AE00C7" w:rsidRPr="008019FB">
        <w:rPr>
          <w:color w:val="000000" w:themeColor="text1"/>
        </w:rPr>
        <w:t>20 successive tape strips</w:t>
      </w:r>
      <w:r w:rsidR="008019FB">
        <w:rPr>
          <w:color w:val="000000" w:themeColor="text1"/>
        </w:rPr>
        <w:t>.</w:t>
      </w:r>
      <w:r w:rsidR="00AE00C7" w:rsidRPr="008019FB">
        <w:rPr>
          <w:color w:val="000000" w:themeColor="text1"/>
        </w:rPr>
        <w:t xml:space="preserve"> </w:t>
      </w:r>
      <w:bookmarkStart w:id="1562" w:name="_Hlk53396009"/>
      <w:r w:rsidR="00AE00C7" w:rsidRPr="00AE00C7">
        <w:rPr>
          <w:color w:val="000000" w:themeColor="text1"/>
        </w:rPr>
        <w:t>P</w:t>
      </w:r>
      <w:r w:rsidR="00AE00C7" w:rsidRPr="009B0022">
        <w:rPr>
          <w:rFonts w:cs="Arial"/>
          <w:color w:val="000000" w:themeColor="text1"/>
        </w:rPr>
        <w:t>hotograph</w:t>
      </w:r>
      <w:r w:rsidR="007E2958">
        <w:rPr>
          <w:rFonts w:cs="Arial"/>
          <w:color w:val="000000" w:themeColor="text1"/>
        </w:rPr>
        <w:t>s</w:t>
      </w:r>
      <w:r w:rsidR="00AE00C7" w:rsidRPr="009B0022">
        <w:rPr>
          <w:rFonts w:cs="Arial"/>
          <w:color w:val="000000" w:themeColor="text1"/>
        </w:rPr>
        <w:t xml:space="preserve"> of </w:t>
      </w:r>
      <w:r w:rsidR="00EF0ED6">
        <w:rPr>
          <w:rFonts w:cs="Arial"/>
          <w:color w:val="000000" w:themeColor="text1"/>
        </w:rPr>
        <w:t xml:space="preserve">the </w:t>
      </w:r>
      <w:r w:rsidR="00AE00C7" w:rsidRPr="00AE00C7">
        <w:rPr>
          <w:rFonts w:cs="Arial"/>
          <w:color w:val="000000" w:themeColor="text1"/>
        </w:rPr>
        <w:t xml:space="preserve">skin and tape strips </w:t>
      </w:r>
      <w:r w:rsidR="007E2958">
        <w:rPr>
          <w:rFonts w:cs="Arial"/>
          <w:color w:val="000000" w:themeColor="text1"/>
        </w:rPr>
        <w:t>were</w:t>
      </w:r>
      <w:r w:rsidR="00AE00C7" w:rsidRPr="009B0022">
        <w:rPr>
          <w:rFonts w:cs="Arial"/>
          <w:color w:val="000000" w:themeColor="text1"/>
        </w:rPr>
        <w:t xml:space="preserve"> taken after </w:t>
      </w:r>
      <w:r w:rsidR="00D92DD3">
        <w:rPr>
          <w:rFonts w:cs="Arial"/>
          <w:color w:val="000000" w:themeColor="text1"/>
        </w:rPr>
        <w:t>each tape strips</w:t>
      </w:r>
      <w:r w:rsidR="00EF0ED6" w:rsidRPr="00AE00C7">
        <w:rPr>
          <w:rFonts w:cs="Arial"/>
          <w:color w:val="000000" w:themeColor="text1"/>
        </w:rPr>
        <w:t xml:space="preserve"> </w:t>
      </w:r>
      <w:r w:rsidR="00AE00C7" w:rsidRPr="00AE00C7">
        <w:rPr>
          <w:rFonts w:cs="Arial"/>
          <w:color w:val="000000" w:themeColor="text1"/>
        </w:rPr>
        <w:t>until all of the paint formulation had been removed from the skin surface</w:t>
      </w:r>
      <w:bookmarkEnd w:id="1562"/>
      <w:r w:rsidR="00542654">
        <w:rPr>
          <w:rFonts w:cs="Arial"/>
          <w:color w:val="000000" w:themeColor="text1"/>
        </w:rPr>
        <w:t>, unless no paint was present on pre-tape stripping image</w:t>
      </w:r>
      <w:r w:rsidR="009B0022">
        <w:rPr>
          <w:rFonts w:cs="Arial"/>
          <w:color w:val="000000" w:themeColor="text1"/>
        </w:rPr>
        <w:t>.</w:t>
      </w:r>
    </w:p>
    <w:p w14:paraId="60676F00" w14:textId="6A5C13E7" w:rsidR="005C589C" w:rsidRDefault="000A29EC" w:rsidP="00D659F2">
      <w:pPr>
        <w:spacing w:before="120" w:after="120" w:line="260" w:lineRule="atLeast"/>
        <w:jc w:val="both"/>
        <w:rPr>
          <w:rFonts w:eastAsia="ArialUnicodeMS" w:cstheme="minorHAnsi"/>
        </w:rPr>
      </w:pPr>
      <w:bookmarkStart w:id="1563" w:name="_Hlk53357124"/>
      <w:bookmarkEnd w:id="1561"/>
      <w:r w:rsidRPr="00D726E8">
        <w:t>F</w:t>
      </w:r>
      <w:r w:rsidRPr="00D726E8">
        <w:rPr>
          <w:color w:val="000000" w:themeColor="text1"/>
        </w:rPr>
        <w:t>our</w:t>
      </w:r>
      <w:r w:rsidRPr="00D726E8">
        <w:rPr>
          <w:color w:val="000000" w:themeColor="text1"/>
        </w:rPr>
        <w:noBreakHyphen/>
        <w:t xml:space="preserve">hourly fractions of the receptor fluid from 0 to 24h post dose </w:t>
      </w:r>
      <w:r w:rsidR="00EF0ED6">
        <w:rPr>
          <w:color w:val="000000" w:themeColor="text1"/>
        </w:rPr>
        <w:t>were</w:t>
      </w:r>
      <w:r w:rsidRPr="00D726E8">
        <w:rPr>
          <w:color w:val="000000" w:themeColor="text1"/>
        </w:rPr>
        <w:t xml:space="preserve"> collected. </w:t>
      </w:r>
      <w:r w:rsidR="00A352E0">
        <w:rPr>
          <w:color w:val="000000" w:themeColor="text1"/>
        </w:rPr>
        <w:t>T</w:t>
      </w:r>
      <w:r w:rsidR="008019FB">
        <w:rPr>
          <w:color w:val="000000" w:themeColor="text1"/>
        </w:rPr>
        <w:t xml:space="preserve">he </w:t>
      </w:r>
      <w:r w:rsidRPr="00D726E8">
        <w:rPr>
          <w:color w:val="000000" w:themeColor="text1"/>
        </w:rPr>
        <w:t>test system,</w:t>
      </w:r>
      <w:r w:rsidRPr="00DD2D44">
        <w:rPr>
          <w:color w:val="000000" w:themeColor="text1"/>
        </w:rPr>
        <w:t xml:space="preserve"> especially the cell apparatus, </w:t>
      </w:r>
      <w:r w:rsidRPr="00D726E8">
        <w:rPr>
          <w:color w:val="000000" w:themeColor="text1"/>
        </w:rPr>
        <w:t>can contain levels of endogenous copper that must be accounted for to ensure reliable data. Hence, a second undosed group of skin samples from the same donors w</w:t>
      </w:r>
      <w:r w:rsidR="00EF0ED6">
        <w:rPr>
          <w:color w:val="000000" w:themeColor="text1"/>
        </w:rPr>
        <w:t>as</w:t>
      </w:r>
      <w:r w:rsidRPr="00D726E8">
        <w:rPr>
          <w:color w:val="000000" w:themeColor="text1"/>
        </w:rPr>
        <w:t xml:space="preserve"> set up, washed, terminated and analysed using the same methods described for those exposed to the test preparation. </w:t>
      </w:r>
      <w:r w:rsidRPr="00D726E8">
        <w:rPr>
          <w:rFonts w:eastAsia="ArialUnicodeMS" w:cstheme="minorHAnsi"/>
        </w:rPr>
        <w:t xml:space="preserve">Based on the undosed group results </w:t>
      </w:r>
      <w:bookmarkStart w:id="1564" w:name="_Hlk53357149"/>
      <w:bookmarkEnd w:id="1563"/>
      <w:r w:rsidRPr="00D726E8">
        <w:rPr>
          <w:rFonts w:eastAsia="ArialUnicodeMS" w:cstheme="minorHAnsi"/>
        </w:rPr>
        <w:t xml:space="preserve">(and the results of blank sample analysis), it was not </w:t>
      </w:r>
      <w:r w:rsidR="00A10B46">
        <w:rPr>
          <w:rFonts w:eastAsia="ArialUnicodeMS" w:cstheme="minorHAnsi"/>
        </w:rPr>
        <w:t xml:space="preserve">considered </w:t>
      </w:r>
      <w:r w:rsidRPr="00D726E8">
        <w:rPr>
          <w:rFonts w:eastAsia="ArialUnicodeMS" w:cstheme="minorHAnsi"/>
        </w:rPr>
        <w:t>necessary to adjust</w:t>
      </w:r>
      <w:r w:rsidRPr="00D726E8">
        <w:rPr>
          <w:rFonts w:eastAsia="ArialUnicodeMS" w:cstheme="minorHAnsi"/>
          <w:b/>
          <w:bCs/>
        </w:rPr>
        <w:t xml:space="preserve"> </w:t>
      </w:r>
      <w:r w:rsidRPr="00D726E8">
        <w:rPr>
          <w:rFonts w:eastAsia="ArialUnicodeMS" w:cstheme="minorHAnsi"/>
        </w:rPr>
        <w:t>the data to account for intrinsic copper content since low backgr</w:t>
      </w:r>
      <w:r w:rsidR="00D726E8" w:rsidRPr="00D726E8">
        <w:rPr>
          <w:rFonts w:eastAsia="ArialUnicodeMS" w:cstheme="minorHAnsi"/>
        </w:rPr>
        <w:t xml:space="preserve">ound </w:t>
      </w:r>
      <w:r w:rsidRPr="00D726E8">
        <w:rPr>
          <w:rFonts w:eastAsia="ArialUnicodeMS" w:cstheme="minorHAnsi"/>
        </w:rPr>
        <w:t xml:space="preserve">levels of Cu </w:t>
      </w:r>
      <w:r w:rsidR="00C95FD1">
        <w:rPr>
          <w:rFonts w:eastAsia="ArialUnicodeMS" w:cstheme="minorHAnsi"/>
        </w:rPr>
        <w:t>were</w:t>
      </w:r>
      <w:r w:rsidR="00D726E8" w:rsidRPr="00D726E8">
        <w:rPr>
          <w:rFonts w:eastAsia="ArialUnicodeMS" w:cstheme="minorHAnsi"/>
        </w:rPr>
        <w:t xml:space="preserve"> </w:t>
      </w:r>
      <w:r w:rsidRPr="00D726E8">
        <w:rPr>
          <w:rFonts w:eastAsia="ArialUnicodeMS" w:cstheme="minorHAnsi"/>
        </w:rPr>
        <w:t>measured</w:t>
      </w:r>
      <w:r w:rsidR="00D726E8" w:rsidRPr="00D726E8">
        <w:rPr>
          <w:rFonts w:eastAsia="ArialUnicodeMS" w:cstheme="minorHAnsi"/>
        </w:rPr>
        <w:t>.</w:t>
      </w:r>
    </w:p>
    <w:p w14:paraId="66B950F3" w14:textId="03551E25" w:rsidR="00F914F6" w:rsidRDefault="000043AC" w:rsidP="000043AC">
      <w:pPr>
        <w:spacing w:before="120" w:after="120" w:line="260" w:lineRule="atLeast"/>
        <w:jc w:val="both"/>
      </w:pPr>
      <w:r w:rsidRPr="000043AC">
        <w:t xml:space="preserve">An adjustment was nevertheless made for the receptor wash samples. </w:t>
      </w:r>
      <w:r w:rsidR="00D63842">
        <w:t xml:space="preserve">Small, but </w:t>
      </w:r>
      <w:r w:rsidR="00DA2C54">
        <w:t>measurable</w:t>
      </w:r>
      <w:r w:rsidR="00D63842">
        <w:t xml:space="preserve"> </w:t>
      </w:r>
      <w:r w:rsidR="00F914F6" w:rsidRPr="000043AC">
        <w:t xml:space="preserve">levels of copper </w:t>
      </w:r>
      <w:r w:rsidR="00D63842">
        <w:t xml:space="preserve">(all values above LOQ) were found </w:t>
      </w:r>
      <w:r w:rsidR="00A10B46" w:rsidRPr="000043AC">
        <w:t xml:space="preserve">for the </w:t>
      </w:r>
      <w:r w:rsidR="00F914F6" w:rsidRPr="000043AC">
        <w:t xml:space="preserve">undosed </w:t>
      </w:r>
      <w:r w:rsidR="003B60EE" w:rsidRPr="000043AC">
        <w:t>group</w:t>
      </w:r>
      <w:r w:rsidR="00F914F6" w:rsidRPr="000043AC">
        <w:t xml:space="preserve"> at around the same levels </w:t>
      </w:r>
      <w:r w:rsidR="00A10B46" w:rsidRPr="000043AC">
        <w:t xml:space="preserve">as the </w:t>
      </w:r>
      <w:r w:rsidR="003B60EE" w:rsidRPr="000043AC">
        <w:t>ones</w:t>
      </w:r>
      <w:r w:rsidR="00A10B46" w:rsidRPr="000043AC">
        <w:t xml:space="preserve"> </w:t>
      </w:r>
      <w:r w:rsidR="003B60EE" w:rsidRPr="000043AC">
        <w:t xml:space="preserve">in </w:t>
      </w:r>
      <w:r w:rsidR="00F914F6" w:rsidRPr="000043AC">
        <w:t xml:space="preserve">the </w:t>
      </w:r>
      <w:r w:rsidR="003B60EE" w:rsidRPr="000043AC">
        <w:t xml:space="preserve">test </w:t>
      </w:r>
      <w:r w:rsidR="00D63842">
        <w:t xml:space="preserve">material </w:t>
      </w:r>
      <w:r w:rsidR="00F914F6" w:rsidRPr="000043AC">
        <w:t>treated group.</w:t>
      </w:r>
      <w:r w:rsidR="00F914F6">
        <w:t xml:space="preserve"> It was concluded that </w:t>
      </w:r>
      <w:r w:rsidR="00F914F6" w:rsidRPr="000043AC">
        <w:t xml:space="preserve">the copper present in the receptor wash sample is very unlikely to come from the test </w:t>
      </w:r>
      <w:r w:rsidR="00D63842">
        <w:t>material</w:t>
      </w:r>
      <w:r w:rsidR="00F914F6" w:rsidRPr="000043AC">
        <w:t xml:space="preserve"> and should not contribute to the risk assessment figures. </w:t>
      </w:r>
      <w:r w:rsidR="003675E6" w:rsidRPr="000043AC">
        <w:t>Hence</w:t>
      </w:r>
      <w:r w:rsidR="00F914F6" w:rsidRPr="000043AC">
        <w:t xml:space="preserve">, the mean receptor wash value from the undosed group </w:t>
      </w:r>
      <w:r w:rsidR="003B60EE" w:rsidRPr="000043AC">
        <w:t xml:space="preserve">(0.11%) </w:t>
      </w:r>
      <w:r w:rsidR="00F914F6" w:rsidRPr="000043AC">
        <w:t xml:space="preserve">was subtracted from each individual cells in the test </w:t>
      </w:r>
      <w:r w:rsidR="00D63842">
        <w:t>material</w:t>
      </w:r>
      <w:r w:rsidR="00F914F6" w:rsidRPr="000043AC">
        <w:t xml:space="preserve"> treated group</w:t>
      </w:r>
      <w:r w:rsidR="003675E6" w:rsidRPr="000043AC">
        <w:t>.</w:t>
      </w:r>
      <w:r w:rsidR="003B60EE" w:rsidRPr="000043AC">
        <w:t xml:space="preserve"> The impact on the dermal absorption value of this adjustment was minor.</w:t>
      </w:r>
    </w:p>
    <w:p w14:paraId="0A0AB1E4" w14:textId="5D322B90" w:rsidR="003E4CA6" w:rsidRDefault="007E1E36" w:rsidP="00D659F2">
      <w:pPr>
        <w:spacing w:before="120" w:after="120" w:line="260" w:lineRule="atLeast"/>
        <w:jc w:val="both"/>
      </w:pPr>
      <w:bookmarkStart w:id="1565" w:name="_Hlk54283239"/>
      <w:r>
        <w:t>Since all</w:t>
      </w:r>
      <w:r w:rsidR="00D659F2" w:rsidRPr="0060729D">
        <w:t xml:space="preserve"> measurements in the receptor fluid </w:t>
      </w:r>
      <w:r w:rsidR="00D704B4">
        <w:t xml:space="preserve">for skin samples </w:t>
      </w:r>
      <w:r w:rsidR="00EF0ED6">
        <w:t xml:space="preserve">with </w:t>
      </w:r>
      <w:r w:rsidR="00D704B4">
        <w:t xml:space="preserve">applied test material </w:t>
      </w:r>
      <w:r w:rsidR="00D659F2" w:rsidRPr="0060729D">
        <w:t>were below the LOQ</w:t>
      </w:r>
      <w:r>
        <w:t xml:space="preserve">, it was not possible to determine the extent of absorption as defined in </w:t>
      </w:r>
      <w:r w:rsidR="003E4CA6">
        <w:t xml:space="preserve">the EFSA guidance. Hence, it could not be concluded that the absorption </w:t>
      </w:r>
      <w:r w:rsidR="003E4CA6" w:rsidRPr="00542A59">
        <w:t>was essentially complete at half of the study duration</w:t>
      </w:r>
      <w:r w:rsidR="003E4CA6">
        <w:t xml:space="preserve">. </w:t>
      </w:r>
      <w:r w:rsidR="00E80887">
        <w:t>Furthermore, b</w:t>
      </w:r>
      <w:r w:rsidR="00E80887" w:rsidRPr="000043AC">
        <w:rPr>
          <w:rFonts w:cs="Calibri"/>
          <w:lang w:val="en-US" w:eastAsia="nb-NO"/>
        </w:rPr>
        <w:t xml:space="preserve">ased on the available photo evidence of the tape strips, </w:t>
      </w:r>
      <w:r w:rsidR="00E80887">
        <w:rPr>
          <w:rFonts w:cs="Calibri"/>
          <w:lang w:val="en-US" w:eastAsia="nb-NO"/>
        </w:rPr>
        <w:t xml:space="preserve">there was no convincing evidence for disregarding </w:t>
      </w:r>
      <w:r w:rsidR="00E80887" w:rsidRPr="000043AC">
        <w:rPr>
          <w:rFonts w:cs="Calibri"/>
          <w:lang w:val="en-US" w:eastAsia="nb-NO"/>
        </w:rPr>
        <w:t xml:space="preserve">tape strips </w:t>
      </w:r>
      <w:r w:rsidR="00E80887">
        <w:rPr>
          <w:rFonts w:cs="Calibri"/>
          <w:lang w:val="en-US" w:eastAsia="nb-NO"/>
        </w:rPr>
        <w:t>3+</w:t>
      </w:r>
      <w:r w:rsidR="00E80887" w:rsidRPr="000043AC">
        <w:rPr>
          <w:rFonts w:cs="Calibri"/>
          <w:lang w:val="en-US" w:eastAsia="nb-NO"/>
        </w:rPr>
        <w:t>.</w:t>
      </w:r>
      <w:r w:rsidR="00E80887">
        <w:t xml:space="preserve"> </w:t>
      </w:r>
      <w:r w:rsidR="003E4CA6">
        <w:t xml:space="preserve">Consequently, a potential absorbable dose was calculated </w:t>
      </w:r>
      <w:r w:rsidR="006D0006">
        <w:t xml:space="preserve">including </w:t>
      </w:r>
      <w:r w:rsidR="00D704B4">
        <w:t xml:space="preserve">tape strips </w:t>
      </w:r>
      <w:r w:rsidR="006D0006">
        <w:t>3+,</w:t>
      </w:r>
      <w:r w:rsidR="00D704B4">
        <w:t xml:space="preserve"> in agreement with the EFSA guidance</w:t>
      </w:r>
      <w:r w:rsidR="000043AC">
        <w:t>.</w:t>
      </w:r>
      <w:r w:rsidR="003E4CA6">
        <w:t xml:space="preserve"> </w:t>
      </w:r>
    </w:p>
    <w:p w14:paraId="15A3F1AB" w14:textId="40AA7C28" w:rsidR="00BE1C34" w:rsidRPr="00803FE0" w:rsidRDefault="00BE1C34" w:rsidP="00BE1C34">
      <w:pPr>
        <w:spacing w:before="120" w:after="120" w:line="260" w:lineRule="atLeast"/>
        <w:jc w:val="both"/>
      </w:pPr>
      <w:r w:rsidRPr="00534AD4">
        <w:t xml:space="preserve">Where values measured </w:t>
      </w:r>
      <w:r>
        <w:t xml:space="preserve">were below </w:t>
      </w:r>
      <w:r w:rsidRPr="00534AD4">
        <w:t xml:space="preserve">LOQ, this </w:t>
      </w:r>
      <w:r>
        <w:t>value</w:t>
      </w:r>
      <w:r w:rsidRPr="00534AD4">
        <w:t xml:space="preserve"> </w:t>
      </w:r>
      <w:r>
        <w:t>was</w:t>
      </w:r>
      <w:r w:rsidRPr="00534AD4">
        <w:t xml:space="preserve"> used in calculations. </w:t>
      </w:r>
      <w:r>
        <w:t>An additional s</w:t>
      </w:r>
      <w:r w:rsidRPr="00534AD4">
        <w:t xml:space="preserve">et of results </w:t>
      </w:r>
      <w:r>
        <w:t xml:space="preserve">were </w:t>
      </w:r>
      <w:r w:rsidRPr="00534AD4">
        <w:t xml:space="preserve">generated </w:t>
      </w:r>
      <w:r w:rsidR="002B0D35">
        <w:t xml:space="preserve">on the request of the applicant (report amendment 1) </w:t>
      </w:r>
      <w:r>
        <w:t xml:space="preserve">for which all values for the test material treated group were </w:t>
      </w:r>
      <w:r w:rsidRPr="00534AD4">
        <w:t xml:space="preserve">corrected for the background/LOQ values </w:t>
      </w:r>
      <w:r>
        <w:t xml:space="preserve">seen </w:t>
      </w:r>
      <w:r w:rsidRPr="00534AD4">
        <w:t xml:space="preserve">in the undosed group. </w:t>
      </w:r>
      <w:r>
        <w:t>However, it was stressed in the report that t</w:t>
      </w:r>
      <w:r w:rsidRPr="00534AD4">
        <w:t>h</w:t>
      </w:r>
      <w:r>
        <w:t>ese values</w:t>
      </w:r>
      <w:r w:rsidRPr="00534AD4">
        <w:t xml:space="preserve"> represent the very best case for absorption</w:t>
      </w:r>
      <w:r>
        <w:t xml:space="preserve">. </w:t>
      </w:r>
      <w:r w:rsidRPr="00534AD4">
        <w:t xml:space="preserve">In reality, the real amount of absorbed copper is likely to be somewhere in between the </w:t>
      </w:r>
      <w:r>
        <w:t xml:space="preserve">two sets of calculated values. </w:t>
      </w:r>
      <w:r w:rsidRPr="00803FE0">
        <w:rPr>
          <w:lang w:val="en-US"/>
        </w:rPr>
        <w:t>Keeping in mind the uncertainties in the figures</w:t>
      </w:r>
      <w:r>
        <w:rPr>
          <w:lang w:val="en-US"/>
        </w:rPr>
        <w:t xml:space="preserve"> </w:t>
      </w:r>
      <w:r w:rsidRPr="00803FE0">
        <w:rPr>
          <w:lang w:val="en-US"/>
        </w:rPr>
        <w:t xml:space="preserve">and the aim of the risk assessment, i.e. to ascertain safe use of the workers, the </w:t>
      </w:r>
      <w:r w:rsidR="002B0D35" w:rsidRPr="00803FE0">
        <w:rPr>
          <w:lang w:val="en-US"/>
        </w:rPr>
        <w:t>r</w:t>
      </w:r>
      <w:r w:rsidRPr="00803FE0">
        <w:rPr>
          <w:lang w:val="en-US"/>
        </w:rPr>
        <w:t>MS is of the opinion that the calculated best-case values would not be sufficiently protective.</w:t>
      </w:r>
      <w:r>
        <w:rPr>
          <w:lang w:val="en-US"/>
        </w:rPr>
        <w:t xml:space="preserve"> </w:t>
      </w:r>
      <w:r w:rsidRPr="00803FE0">
        <w:rPr>
          <w:lang w:val="en-US"/>
        </w:rPr>
        <w:t> </w:t>
      </w:r>
    </w:p>
    <w:p w14:paraId="0BFCEB7B" w14:textId="5CC6EED5" w:rsidR="001042DA" w:rsidRPr="006B1A5A" w:rsidRDefault="001042DA" w:rsidP="001042DA">
      <w:pPr>
        <w:spacing w:before="120" w:line="260" w:lineRule="atLeast"/>
        <w:jc w:val="both"/>
      </w:pPr>
      <w:bookmarkStart w:id="1566" w:name="_Hlk21646031"/>
      <w:bookmarkEnd w:id="1564"/>
      <w:bookmarkEnd w:id="1565"/>
      <w:r w:rsidRPr="006B1A5A">
        <w:t>It's a general principle that the percentage dermal absorption of a substance from a formulation is inversely related to the concentration of the substance in the formulation (</w:t>
      </w:r>
      <w:r w:rsidRPr="00EC30AF">
        <w:t>EFSA</w:t>
      </w:r>
      <w:r w:rsidR="002162C7">
        <w:t>,</w:t>
      </w:r>
      <w:r w:rsidRPr="00EC30AF">
        <w:t xml:space="preserve"> 2017).</w:t>
      </w:r>
      <w:r w:rsidRPr="006B1A5A">
        <w:t xml:space="preserve"> The family members HG and LG are marketed as concentrates to be diluted 1:1 with water, while RFU is a ready-for-use product. The exposure to the operator using these products will mainly be to the in-use concentration of the products. The exposure to the undiluted products can only happen during the transfer of the product from the IPC to the dipping vat and is likely to be very low/negligible. As the in-use concentration of AquaNet LG 360 is the formulation with the lowest content of active substance, it is the best suited candidate as a representative product for this product family.</w:t>
      </w:r>
      <w:bookmarkEnd w:id="1566"/>
    </w:p>
    <w:p w14:paraId="00E293BF" w14:textId="46164D4E" w:rsidR="001042DA" w:rsidRPr="006B1A5A" w:rsidRDefault="001B54F2" w:rsidP="00546846">
      <w:pPr>
        <w:tabs>
          <w:tab w:val="left" w:pos="8115"/>
        </w:tabs>
        <w:spacing w:before="120" w:line="260" w:lineRule="atLeast"/>
        <w:jc w:val="both"/>
      </w:pPr>
      <w:r>
        <w:tab/>
      </w:r>
    </w:p>
    <w:tbl>
      <w:tblPr>
        <w:tblStyle w:val="Tabellrutenett"/>
        <w:tblW w:w="9493" w:type="dxa"/>
        <w:tblLayout w:type="fixed"/>
        <w:tblLook w:val="04A0" w:firstRow="1" w:lastRow="0" w:firstColumn="1" w:lastColumn="0" w:noHBand="0" w:noVBand="1"/>
      </w:tblPr>
      <w:tblGrid>
        <w:gridCol w:w="1696"/>
        <w:gridCol w:w="1134"/>
        <w:gridCol w:w="1134"/>
        <w:gridCol w:w="993"/>
        <w:gridCol w:w="1134"/>
        <w:gridCol w:w="1417"/>
        <w:gridCol w:w="1985"/>
      </w:tblGrid>
      <w:tr w:rsidR="001042DA" w:rsidRPr="006B1A5A" w14:paraId="623A8730" w14:textId="77777777" w:rsidTr="00C35AAF">
        <w:tc>
          <w:tcPr>
            <w:tcW w:w="7508" w:type="dxa"/>
            <w:gridSpan w:val="6"/>
            <w:tcBorders>
              <w:bottom w:val="single" w:sz="4" w:space="0" w:color="auto"/>
            </w:tcBorders>
            <w:shd w:val="clear" w:color="auto" w:fill="D9D9D9" w:themeFill="background1" w:themeFillShade="D9"/>
          </w:tcPr>
          <w:p w14:paraId="0F4AB37F" w14:textId="77777777" w:rsidR="001042DA" w:rsidRPr="006B1A5A" w:rsidRDefault="001042DA" w:rsidP="00AF2AEA">
            <w:pPr>
              <w:spacing w:before="120" w:line="260" w:lineRule="atLeast"/>
              <w:jc w:val="center"/>
              <w:rPr>
                <w:b/>
              </w:rPr>
            </w:pPr>
            <w:bookmarkStart w:id="1567" w:name="_Hlk21703014"/>
            <w:r w:rsidRPr="006B1A5A">
              <w:rPr>
                <w:b/>
              </w:rPr>
              <w:t>AquaNet 360 BPF</w:t>
            </w:r>
          </w:p>
        </w:tc>
        <w:tc>
          <w:tcPr>
            <w:tcW w:w="1985" w:type="dxa"/>
            <w:tcBorders>
              <w:bottom w:val="single" w:sz="4" w:space="0" w:color="auto"/>
            </w:tcBorders>
            <w:shd w:val="clear" w:color="auto" w:fill="D9D9D9" w:themeFill="background1" w:themeFillShade="D9"/>
          </w:tcPr>
          <w:p w14:paraId="3FD4CFF4" w14:textId="77777777" w:rsidR="001042DA" w:rsidRPr="006B1A5A" w:rsidRDefault="001042DA" w:rsidP="00AF2AEA">
            <w:pPr>
              <w:spacing w:before="120" w:line="260" w:lineRule="atLeast"/>
              <w:jc w:val="center"/>
              <w:rPr>
                <w:b/>
              </w:rPr>
            </w:pPr>
            <w:r w:rsidRPr="006B1A5A">
              <w:rPr>
                <w:b/>
              </w:rPr>
              <w:t>Aquanet Premium BPF</w:t>
            </w:r>
          </w:p>
        </w:tc>
      </w:tr>
      <w:tr w:rsidR="00C17B26" w:rsidRPr="006B1A5A" w14:paraId="7D29A3F1" w14:textId="77777777" w:rsidTr="00C35AAF">
        <w:tc>
          <w:tcPr>
            <w:tcW w:w="1696" w:type="dxa"/>
            <w:shd w:val="clear" w:color="auto" w:fill="D9D9D9" w:themeFill="background1" w:themeFillShade="D9"/>
          </w:tcPr>
          <w:p w14:paraId="7A611FCA" w14:textId="77777777" w:rsidR="001042DA" w:rsidRPr="006B1A5A" w:rsidRDefault="001042DA" w:rsidP="00AF2AEA">
            <w:pPr>
              <w:spacing w:before="120" w:line="260" w:lineRule="atLeast"/>
              <w:jc w:val="both"/>
            </w:pPr>
          </w:p>
        </w:tc>
        <w:tc>
          <w:tcPr>
            <w:tcW w:w="2268" w:type="dxa"/>
            <w:gridSpan w:val="2"/>
            <w:shd w:val="clear" w:color="auto" w:fill="D9D9D9" w:themeFill="background1" w:themeFillShade="D9"/>
          </w:tcPr>
          <w:p w14:paraId="7B0D830A" w14:textId="77777777" w:rsidR="001042DA" w:rsidRPr="006B1A5A" w:rsidRDefault="001042DA" w:rsidP="00AF2AEA">
            <w:pPr>
              <w:spacing w:before="120" w:line="260" w:lineRule="atLeast"/>
              <w:jc w:val="center"/>
              <w:rPr>
                <w:b/>
              </w:rPr>
            </w:pPr>
            <w:r w:rsidRPr="006B1A5A">
              <w:rPr>
                <w:b/>
              </w:rPr>
              <w:t>AquaNet LG 360</w:t>
            </w:r>
          </w:p>
        </w:tc>
        <w:tc>
          <w:tcPr>
            <w:tcW w:w="2127" w:type="dxa"/>
            <w:gridSpan w:val="2"/>
            <w:shd w:val="clear" w:color="auto" w:fill="D9D9D9" w:themeFill="background1" w:themeFillShade="D9"/>
          </w:tcPr>
          <w:p w14:paraId="5068FDCF" w14:textId="77777777" w:rsidR="001042DA" w:rsidRPr="006B1A5A" w:rsidRDefault="001042DA" w:rsidP="00AF2AEA">
            <w:pPr>
              <w:spacing w:before="120" w:line="260" w:lineRule="atLeast"/>
              <w:jc w:val="center"/>
              <w:rPr>
                <w:b/>
              </w:rPr>
            </w:pPr>
            <w:r w:rsidRPr="006B1A5A">
              <w:rPr>
                <w:b/>
              </w:rPr>
              <w:t>AquaNet HG 360</w:t>
            </w:r>
          </w:p>
        </w:tc>
        <w:tc>
          <w:tcPr>
            <w:tcW w:w="1417" w:type="dxa"/>
            <w:shd w:val="clear" w:color="auto" w:fill="D9D9D9" w:themeFill="background1" w:themeFillShade="D9"/>
          </w:tcPr>
          <w:p w14:paraId="66DDCCAF" w14:textId="77777777" w:rsidR="001042DA" w:rsidRPr="006B1A5A" w:rsidRDefault="001042DA" w:rsidP="00AF2AEA">
            <w:pPr>
              <w:spacing w:before="120" w:line="260" w:lineRule="atLeast"/>
              <w:jc w:val="center"/>
              <w:rPr>
                <w:b/>
              </w:rPr>
            </w:pPr>
            <w:r w:rsidRPr="006B1A5A">
              <w:rPr>
                <w:b/>
              </w:rPr>
              <w:t>AquaNet RFU 360</w:t>
            </w:r>
          </w:p>
        </w:tc>
        <w:tc>
          <w:tcPr>
            <w:tcW w:w="1985" w:type="dxa"/>
            <w:shd w:val="clear" w:color="auto" w:fill="D9D9D9" w:themeFill="background1" w:themeFillShade="D9"/>
          </w:tcPr>
          <w:p w14:paraId="66023149" w14:textId="77777777" w:rsidR="001042DA" w:rsidRPr="006B1A5A" w:rsidRDefault="001042DA" w:rsidP="00AF2AEA">
            <w:pPr>
              <w:spacing w:before="120" w:line="260" w:lineRule="atLeast"/>
              <w:jc w:val="center"/>
              <w:rPr>
                <w:b/>
              </w:rPr>
            </w:pPr>
            <w:r w:rsidRPr="006B1A5A">
              <w:rPr>
                <w:b/>
              </w:rPr>
              <w:t>Aquanet Premium</w:t>
            </w:r>
          </w:p>
        </w:tc>
      </w:tr>
      <w:tr w:rsidR="00C17B26" w:rsidRPr="006B1A5A" w14:paraId="496096CA" w14:textId="77777777" w:rsidTr="00C35AAF">
        <w:tc>
          <w:tcPr>
            <w:tcW w:w="1696" w:type="dxa"/>
          </w:tcPr>
          <w:p w14:paraId="4183605E" w14:textId="77777777" w:rsidR="001042DA" w:rsidRPr="006B1A5A" w:rsidRDefault="001042DA" w:rsidP="00AF2AEA">
            <w:pPr>
              <w:spacing w:before="120" w:after="120" w:line="260" w:lineRule="atLeast"/>
              <w:jc w:val="both"/>
            </w:pPr>
          </w:p>
        </w:tc>
        <w:tc>
          <w:tcPr>
            <w:tcW w:w="1134" w:type="dxa"/>
            <w:vAlign w:val="center"/>
          </w:tcPr>
          <w:p w14:paraId="6814CDE3" w14:textId="77777777" w:rsidR="001042DA" w:rsidRPr="006B1A5A" w:rsidRDefault="001042DA" w:rsidP="00AF2AEA">
            <w:pPr>
              <w:spacing w:before="120" w:after="120" w:line="260" w:lineRule="atLeast"/>
              <w:jc w:val="center"/>
            </w:pPr>
            <w:r w:rsidRPr="006B1A5A">
              <w:t>Conc.</w:t>
            </w:r>
          </w:p>
        </w:tc>
        <w:tc>
          <w:tcPr>
            <w:tcW w:w="1134" w:type="dxa"/>
            <w:vAlign w:val="center"/>
          </w:tcPr>
          <w:p w14:paraId="012B7235" w14:textId="49F8F546" w:rsidR="001042DA" w:rsidRPr="006B1A5A" w:rsidRDefault="001042DA" w:rsidP="00AF2AEA">
            <w:pPr>
              <w:spacing w:before="120" w:after="120" w:line="260" w:lineRule="atLeast"/>
              <w:jc w:val="center"/>
            </w:pPr>
            <w:r w:rsidRPr="006B1A5A">
              <w:t>In-use</w:t>
            </w:r>
            <w:r w:rsidR="00732C7F" w:rsidRPr="00732C7F">
              <w:rPr>
                <w:vertAlign w:val="superscript"/>
              </w:rPr>
              <w:t>1</w:t>
            </w:r>
          </w:p>
        </w:tc>
        <w:tc>
          <w:tcPr>
            <w:tcW w:w="993" w:type="dxa"/>
            <w:vAlign w:val="center"/>
          </w:tcPr>
          <w:p w14:paraId="7AC90E94" w14:textId="77777777" w:rsidR="001042DA" w:rsidRPr="006B1A5A" w:rsidRDefault="001042DA" w:rsidP="00AF2AEA">
            <w:pPr>
              <w:spacing w:before="120" w:after="120" w:line="260" w:lineRule="atLeast"/>
              <w:jc w:val="center"/>
            </w:pPr>
            <w:r w:rsidRPr="006B1A5A">
              <w:t>Conc.</w:t>
            </w:r>
          </w:p>
        </w:tc>
        <w:tc>
          <w:tcPr>
            <w:tcW w:w="1134" w:type="dxa"/>
            <w:vAlign w:val="center"/>
          </w:tcPr>
          <w:p w14:paraId="0E412DDE" w14:textId="47161811" w:rsidR="001042DA" w:rsidRPr="006B1A5A" w:rsidRDefault="001042DA" w:rsidP="00AF2AEA">
            <w:pPr>
              <w:spacing w:before="120" w:after="120" w:line="260" w:lineRule="atLeast"/>
              <w:jc w:val="center"/>
            </w:pPr>
            <w:r w:rsidRPr="006B1A5A">
              <w:t>In-use</w:t>
            </w:r>
            <w:r w:rsidR="00732C7F" w:rsidRPr="00732C7F">
              <w:rPr>
                <w:vertAlign w:val="superscript"/>
              </w:rPr>
              <w:t>1</w:t>
            </w:r>
          </w:p>
        </w:tc>
        <w:tc>
          <w:tcPr>
            <w:tcW w:w="1417" w:type="dxa"/>
            <w:vAlign w:val="center"/>
          </w:tcPr>
          <w:p w14:paraId="75896474" w14:textId="77777777" w:rsidR="001042DA" w:rsidRPr="006B1A5A" w:rsidRDefault="001042DA" w:rsidP="00AF2AEA">
            <w:pPr>
              <w:spacing w:before="120" w:after="120" w:line="260" w:lineRule="atLeast"/>
              <w:jc w:val="center"/>
            </w:pPr>
            <w:r w:rsidRPr="006B1A5A">
              <w:t>Ready to use</w:t>
            </w:r>
          </w:p>
        </w:tc>
        <w:tc>
          <w:tcPr>
            <w:tcW w:w="1985" w:type="dxa"/>
          </w:tcPr>
          <w:p w14:paraId="32DFA8EF" w14:textId="77777777" w:rsidR="001042DA" w:rsidRPr="006B1A5A" w:rsidRDefault="001042DA" w:rsidP="00AF2AEA">
            <w:pPr>
              <w:spacing w:before="120" w:after="120" w:line="260" w:lineRule="atLeast"/>
              <w:jc w:val="center"/>
            </w:pPr>
            <w:r w:rsidRPr="006B1A5A">
              <w:t>Ready to use</w:t>
            </w:r>
          </w:p>
        </w:tc>
      </w:tr>
      <w:tr w:rsidR="00C17B26" w:rsidRPr="006B1A5A" w14:paraId="76B6A48B" w14:textId="77777777" w:rsidTr="00C35AAF">
        <w:tc>
          <w:tcPr>
            <w:tcW w:w="1696" w:type="dxa"/>
            <w:vAlign w:val="center"/>
          </w:tcPr>
          <w:p w14:paraId="1985A58B" w14:textId="27A7F7E2" w:rsidR="001042DA" w:rsidRPr="00C35AAF" w:rsidRDefault="00F30768" w:rsidP="00AF2AEA">
            <w:pPr>
              <w:spacing w:before="120" w:after="120" w:line="260" w:lineRule="atLeast"/>
              <w:rPr>
                <w:bCs/>
              </w:rPr>
            </w:pPr>
            <w:r w:rsidRPr="00C35AAF">
              <w:rPr>
                <w:bCs/>
              </w:rPr>
              <w:t>Dicopper oxide</w:t>
            </w:r>
          </w:p>
        </w:tc>
        <w:tc>
          <w:tcPr>
            <w:tcW w:w="1134" w:type="dxa"/>
            <w:vAlign w:val="center"/>
          </w:tcPr>
          <w:p w14:paraId="372C7706" w14:textId="77777777" w:rsidR="001042DA" w:rsidRPr="006B1A5A" w:rsidRDefault="001042DA" w:rsidP="00AF2AEA">
            <w:pPr>
              <w:spacing w:before="120" w:after="120" w:line="260" w:lineRule="atLeast"/>
              <w:jc w:val="center"/>
            </w:pPr>
            <w:r w:rsidRPr="006B1A5A">
              <w:t>13.8</w:t>
            </w:r>
          </w:p>
        </w:tc>
        <w:tc>
          <w:tcPr>
            <w:tcW w:w="1134" w:type="dxa"/>
            <w:vAlign w:val="center"/>
          </w:tcPr>
          <w:p w14:paraId="3FDEFD7E" w14:textId="77777777" w:rsidR="001042DA" w:rsidRPr="006B1A5A" w:rsidRDefault="001042DA" w:rsidP="00AF2AEA">
            <w:pPr>
              <w:spacing w:before="120" w:after="120" w:line="260" w:lineRule="atLeast"/>
              <w:jc w:val="center"/>
            </w:pPr>
            <w:r w:rsidRPr="006B1A5A">
              <w:t>7.56</w:t>
            </w:r>
          </w:p>
        </w:tc>
        <w:tc>
          <w:tcPr>
            <w:tcW w:w="993" w:type="dxa"/>
            <w:vAlign w:val="center"/>
          </w:tcPr>
          <w:p w14:paraId="68AF9C38" w14:textId="77777777" w:rsidR="001042DA" w:rsidRPr="006B1A5A" w:rsidRDefault="001042DA" w:rsidP="00AF2AEA">
            <w:pPr>
              <w:spacing w:before="120" w:after="120" w:line="260" w:lineRule="atLeast"/>
              <w:jc w:val="center"/>
            </w:pPr>
            <w:r w:rsidRPr="006B1A5A">
              <w:t>24.5</w:t>
            </w:r>
          </w:p>
        </w:tc>
        <w:tc>
          <w:tcPr>
            <w:tcW w:w="1134" w:type="dxa"/>
            <w:vAlign w:val="center"/>
          </w:tcPr>
          <w:p w14:paraId="3408FB31" w14:textId="77777777" w:rsidR="001042DA" w:rsidRPr="006B1A5A" w:rsidRDefault="001042DA" w:rsidP="00AF2AEA">
            <w:pPr>
              <w:spacing w:before="120" w:after="120" w:line="260" w:lineRule="atLeast"/>
              <w:jc w:val="center"/>
            </w:pPr>
            <w:r w:rsidRPr="006B1A5A">
              <w:t>14.22</w:t>
            </w:r>
          </w:p>
        </w:tc>
        <w:tc>
          <w:tcPr>
            <w:tcW w:w="1417" w:type="dxa"/>
            <w:vAlign w:val="center"/>
          </w:tcPr>
          <w:p w14:paraId="57996163" w14:textId="77777777" w:rsidR="001042DA" w:rsidRPr="006B1A5A" w:rsidRDefault="001042DA" w:rsidP="00AF2AEA">
            <w:pPr>
              <w:spacing w:before="120" w:after="120" w:line="260" w:lineRule="atLeast"/>
              <w:jc w:val="center"/>
            </w:pPr>
            <w:r w:rsidRPr="006B1A5A">
              <w:t>12.3</w:t>
            </w:r>
          </w:p>
        </w:tc>
        <w:tc>
          <w:tcPr>
            <w:tcW w:w="1985" w:type="dxa"/>
          </w:tcPr>
          <w:p w14:paraId="323A03F5" w14:textId="77777777" w:rsidR="001042DA" w:rsidRPr="006B1A5A" w:rsidRDefault="001042DA" w:rsidP="00AF2AEA">
            <w:pPr>
              <w:spacing w:before="120" w:after="120" w:line="260" w:lineRule="atLeast"/>
              <w:jc w:val="center"/>
            </w:pPr>
            <w:r w:rsidRPr="006B1A5A">
              <w:t>10</w:t>
            </w:r>
          </w:p>
        </w:tc>
      </w:tr>
      <w:tr w:rsidR="00C17B26" w:rsidRPr="006B1A5A" w14:paraId="7CD29478" w14:textId="77777777" w:rsidTr="00C35AAF">
        <w:tc>
          <w:tcPr>
            <w:tcW w:w="1696" w:type="dxa"/>
            <w:vAlign w:val="center"/>
          </w:tcPr>
          <w:p w14:paraId="57D360D4" w14:textId="71DD5498" w:rsidR="001042DA" w:rsidRPr="00C35AAF" w:rsidRDefault="00F30768" w:rsidP="00AF2AEA">
            <w:pPr>
              <w:spacing w:before="120" w:after="120" w:line="260" w:lineRule="atLeast"/>
              <w:rPr>
                <w:bCs/>
              </w:rPr>
            </w:pPr>
            <w:r w:rsidRPr="00C35AAF">
              <w:rPr>
                <w:bCs/>
              </w:rPr>
              <w:t>Copper thiocyanate</w:t>
            </w:r>
          </w:p>
        </w:tc>
        <w:tc>
          <w:tcPr>
            <w:tcW w:w="1134" w:type="dxa"/>
            <w:vAlign w:val="center"/>
          </w:tcPr>
          <w:p w14:paraId="63369A6D" w14:textId="77777777" w:rsidR="001042DA" w:rsidRPr="006B1A5A" w:rsidRDefault="001042DA" w:rsidP="00AF2AEA">
            <w:pPr>
              <w:spacing w:before="120" w:after="120" w:line="260" w:lineRule="atLeast"/>
              <w:jc w:val="center"/>
            </w:pPr>
            <w:r w:rsidRPr="006B1A5A">
              <w:t>3.9</w:t>
            </w:r>
          </w:p>
        </w:tc>
        <w:tc>
          <w:tcPr>
            <w:tcW w:w="1134" w:type="dxa"/>
            <w:vAlign w:val="center"/>
          </w:tcPr>
          <w:p w14:paraId="40CF39A4" w14:textId="77777777" w:rsidR="001042DA" w:rsidRPr="006B1A5A" w:rsidRDefault="001042DA" w:rsidP="00AF2AEA">
            <w:pPr>
              <w:spacing w:before="120" w:after="120" w:line="260" w:lineRule="atLeast"/>
              <w:jc w:val="center"/>
            </w:pPr>
            <w:r w:rsidRPr="006B1A5A">
              <w:t>2.14</w:t>
            </w:r>
          </w:p>
        </w:tc>
        <w:tc>
          <w:tcPr>
            <w:tcW w:w="993" w:type="dxa"/>
            <w:vAlign w:val="center"/>
          </w:tcPr>
          <w:p w14:paraId="68E30D96" w14:textId="77777777" w:rsidR="001042DA" w:rsidRPr="006B1A5A" w:rsidRDefault="001042DA" w:rsidP="00AF2AEA">
            <w:pPr>
              <w:spacing w:before="120" w:after="120" w:line="260" w:lineRule="atLeast"/>
              <w:jc w:val="center"/>
            </w:pPr>
            <w:r w:rsidRPr="006B1A5A">
              <w:t>8.04</w:t>
            </w:r>
          </w:p>
        </w:tc>
        <w:tc>
          <w:tcPr>
            <w:tcW w:w="1134" w:type="dxa"/>
            <w:vAlign w:val="center"/>
          </w:tcPr>
          <w:p w14:paraId="698D187E" w14:textId="77777777" w:rsidR="001042DA" w:rsidRPr="006B1A5A" w:rsidRDefault="001042DA" w:rsidP="00AF2AEA">
            <w:pPr>
              <w:spacing w:before="120" w:after="120" w:line="260" w:lineRule="atLeast"/>
              <w:jc w:val="center"/>
            </w:pPr>
            <w:r w:rsidRPr="006B1A5A">
              <w:t>4.66</w:t>
            </w:r>
          </w:p>
        </w:tc>
        <w:tc>
          <w:tcPr>
            <w:tcW w:w="1417" w:type="dxa"/>
            <w:vAlign w:val="center"/>
          </w:tcPr>
          <w:p w14:paraId="64F19447" w14:textId="77777777" w:rsidR="001042DA" w:rsidRPr="006B1A5A" w:rsidRDefault="001042DA" w:rsidP="00AF2AEA">
            <w:pPr>
              <w:spacing w:before="120" w:after="120" w:line="260" w:lineRule="atLeast"/>
              <w:jc w:val="center"/>
            </w:pPr>
            <w:r w:rsidRPr="006B1A5A">
              <w:t>1.7</w:t>
            </w:r>
          </w:p>
        </w:tc>
        <w:tc>
          <w:tcPr>
            <w:tcW w:w="1985" w:type="dxa"/>
          </w:tcPr>
          <w:p w14:paraId="22D26753" w14:textId="77777777" w:rsidR="001042DA" w:rsidRPr="006B1A5A" w:rsidRDefault="001042DA" w:rsidP="00AF2AEA">
            <w:pPr>
              <w:spacing w:before="120" w:after="120" w:line="260" w:lineRule="atLeast"/>
              <w:jc w:val="center"/>
            </w:pPr>
            <w:r w:rsidRPr="006B1A5A">
              <w:t>(Tralopyril 2%)</w:t>
            </w:r>
          </w:p>
        </w:tc>
      </w:tr>
      <w:tr w:rsidR="00C17B26" w:rsidRPr="006B1A5A" w14:paraId="27148E9A" w14:textId="77777777" w:rsidTr="00C35AAF">
        <w:tc>
          <w:tcPr>
            <w:tcW w:w="1696" w:type="dxa"/>
            <w:vAlign w:val="center"/>
          </w:tcPr>
          <w:p w14:paraId="3596BE13" w14:textId="3BF93374" w:rsidR="001042DA" w:rsidRPr="00C35AAF" w:rsidRDefault="00F30768" w:rsidP="00AF2AEA">
            <w:pPr>
              <w:spacing w:before="120" w:after="120" w:line="260" w:lineRule="atLeast"/>
              <w:rPr>
                <w:bCs/>
              </w:rPr>
            </w:pPr>
            <w:r w:rsidRPr="002162C7">
              <w:t>Copper</w:t>
            </w:r>
            <w:r w:rsidR="00732C7F" w:rsidRPr="00C35AAF">
              <w:rPr>
                <w:bCs/>
                <w:vertAlign w:val="superscript"/>
              </w:rPr>
              <w:t>2</w:t>
            </w:r>
          </w:p>
        </w:tc>
        <w:tc>
          <w:tcPr>
            <w:tcW w:w="1134" w:type="dxa"/>
            <w:vAlign w:val="center"/>
          </w:tcPr>
          <w:p w14:paraId="7306A9C1" w14:textId="77777777" w:rsidR="001042DA" w:rsidRPr="006B1A5A" w:rsidRDefault="001042DA" w:rsidP="00AF2AEA">
            <w:pPr>
              <w:spacing w:before="120" w:after="120" w:line="260" w:lineRule="atLeast"/>
              <w:jc w:val="center"/>
            </w:pPr>
            <w:r w:rsidRPr="006B1A5A">
              <w:t>14.3</w:t>
            </w:r>
          </w:p>
        </w:tc>
        <w:tc>
          <w:tcPr>
            <w:tcW w:w="1134" w:type="dxa"/>
            <w:vAlign w:val="center"/>
          </w:tcPr>
          <w:p w14:paraId="61AB3C8F" w14:textId="77777777" w:rsidR="001042DA" w:rsidRPr="006B1A5A" w:rsidRDefault="001042DA" w:rsidP="00AF2AEA">
            <w:pPr>
              <w:spacing w:before="120" w:after="120" w:line="260" w:lineRule="atLeast"/>
              <w:jc w:val="center"/>
            </w:pPr>
            <w:r w:rsidRPr="006B1A5A">
              <w:t>7.83</w:t>
            </w:r>
          </w:p>
        </w:tc>
        <w:tc>
          <w:tcPr>
            <w:tcW w:w="993" w:type="dxa"/>
            <w:vAlign w:val="center"/>
          </w:tcPr>
          <w:p w14:paraId="013F2613" w14:textId="77777777" w:rsidR="001042DA" w:rsidRPr="006B1A5A" w:rsidRDefault="001042DA" w:rsidP="00AF2AEA">
            <w:pPr>
              <w:spacing w:before="120" w:after="120" w:line="260" w:lineRule="atLeast"/>
              <w:jc w:val="center"/>
            </w:pPr>
            <w:r w:rsidRPr="006B1A5A">
              <w:t>26.45</w:t>
            </w:r>
          </w:p>
        </w:tc>
        <w:tc>
          <w:tcPr>
            <w:tcW w:w="1134" w:type="dxa"/>
            <w:vAlign w:val="center"/>
          </w:tcPr>
          <w:p w14:paraId="6EA45E7F" w14:textId="77777777" w:rsidR="001042DA" w:rsidRPr="006B1A5A" w:rsidRDefault="001042DA" w:rsidP="00AF2AEA">
            <w:pPr>
              <w:spacing w:before="120" w:after="120" w:line="260" w:lineRule="atLeast"/>
              <w:jc w:val="center"/>
            </w:pPr>
            <w:r w:rsidRPr="006B1A5A">
              <w:t>15.06</w:t>
            </w:r>
          </w:p>
        </w:tc>
        <w:tc>
          <w:tcPr>
            <w:tcW w:w="1417" w:type="dxa"/>
            <w:vAlign w:val="center"/>
          </w:tcPr>
          <w:p w14:paraId="32CA25CD" w14:textId="77777777" w:rsidR="001042DA" w:rsidRPr="006B1A5A" w:rsidRDefault="001042DA" w:rsidP="00AF2AEA">
            <w:pPr>
              <w:spacing w:before="120" w:after="120" w:line="260" w:lineRule="atLeast"/>
              <w:jc w:val="center"/>
            </w:pPr>
            <w:r w:rsidRPr="006B1A5A">
              <w:t>11.82</w:t>
            </w:r>
          </w:p>
        </w:tc>
        <w:tc>
          <w:tcPr>
            <w:tcW w:w="1985" w:type="dxa"/>
          </w:tcPr>
          <w:p w14:paraId="1018EBA3" w14:textId="77777777" w:rsidR="001042DA" w:rsidRPr="006B1A5A" w:rsidRDefault="001042DA" w:rsidP="00AF2AEA">
            <w:pPr>
              <w:spacing w:before="120" w:after="120" w:line="260" w:lineRule="atLeast"/>
              <w:jc w:val="center"/>
            </w:pPr>
            <w:r w:rsidRPr="006B1A5A">
              <w:t>8.87</w:t>
            </w:r>
          </w:p>
        </w:tc>
      </w:tr>
      <w:tr w:rsidR="00C17B26" w:rsidRPr="006B1A5A" w14:paraId="116C0C83" w14:textId="77777777" w:rsidTr="00C35AAF">
        <w:tc>
          <w:tcPr>
            <w:tcW w:w="1696" w:type="dxa"/>
            <w:vAlign w:val="center"/>
          </w:tcPr>
          <w:p w14:paraId="5AAF813C" w14:textId="0FCFCDE7" w:rsidR="001042DA" w:rsidRPr="00C35AAF" w:rsidRDefault="00C17B26" w:rsidP="00AF2AEA">
            <w:pPr>
              <w:spacing w:before="120" w:after="120" w:line="260" w:lineRule="atLeast"/>
              <w:rPr>
                <w:bCs/>
              </w:rPr>
            </w:pPr>
            <w:r w:rsidRPr="00C35AAF">
              <w:rPr>
                <w:bCs/>
              </w:rPr>
              <w:t>Thiocyanate</w:t>
            </w:r>
            <w:r w:rsidR="00732C7F" w:rsidRPr="00C35AAF">
              <w:rPr>
                <w:bCs/>
                <w:vertAlign w:val="superscript"/>
              </w:rPr>
              <w:t>3</w:t>
            </w:r>
          </w:p>
        </w:tc>
        <w:tc>
          <w:tcPr>
            <w:tcW w:w="1134" w:type="dxa"/>
            <w:vAlign w:val="center"/>
          </w:tcPr>
          <w:p w14:paraId="19FDCC17" w14:textId="77777777" w:rsidR="001042DA" w:rsidRPr="006B1A5A" w:rsidRDefault="001042DA" w:rsidP="00AF2AEA">
            <w:pPr>
              <w:spacing w:before="120" w:after="120" w:line="260" w:lineRule="atLeast"/>
              <w:jc w:val="center"/>
            </w:pPr>
            <w:r w:rsidRPr="006B1A5A">
              <w:t>1.87</w:t>
            </w:r>
          </w:p>
        </w:tc>
        <w:tc>
          <w:tcPr>
            <w:tcW w:w="1134" w:type="dxa"/>
            <w:vAlign w:val="center"/>
          </w:tcPr>
          <w:p w14:paraId="388B5A69" w14:textId="77777777" w:rsidR="001042DA" w:rsidRPr="006B1A5A" w:rsidRDefault="001042DA" w:rsidP="00AF2AEA">
            <w:pPr>
              <w:spacing w:before="120" w:after="120" w:line="260" w:lineRule="atLeast"/>
              <w:jc w:val="center"/>
            </w:pPr>
            <w:r w:rsidRPr="006B1A5A">
              <w:t>1.02</w:t>
            </w:r>
          </w:p>
        </w:tc>
        <w:tc>
          <w:tcPr>
            <w:tcW w:w="993" w:type="dxa"/>
            <w:vAlign w:val="center"/>
          </w:tcPr>
          <w:p w14:paraId="55182FA2" w14:textId="77777777" w:rsidR="001042DA" w:rsidRPr="006B1A5A" w:rsidRDefault="001042DA" w:rsidP="00AF2AEA">
            <w:pPr>
              <w:spacing w:before="120" w:after="120" w:line="260" w:lineRule="atLeast"/>
              <w:jc w:val="center"/>
            </w:pPr>
            <w:r w:rsidRPr="006B1A5A">
              <w:t>3.84</w:t>
            </w:r>
          </w:p>
        </w:tc>
        <w:tc>
          <w:tcPr>
            <w:tcW w:w="1134" w:type="dxa"/>
            <w:vAlign w:val="center"/>
          </w:tcPr>
          <w:p w14:paraId="1BE82A41" w14:textId="77777777" w:rsidR="001042DA" w:rsidRPr="006B1A5A" w:rsidRDefault="001042DA" w:rsidP="00AF2AEA">
            <w:pPr>
              <w:spacing w:before="120" w:after="120" w:line="260" w:lineRule="atLeast"/>
              <w:jc w:val="center"/>
            </w:pPr>
            <w:r w:rsidRPr="006B1A5A">
              <w:t>2.23</w:t>
            </w:r>
          </w:p>
        </w:tc>
        <w:tc>
          <w:tcPr>
            <w:tcW w:w="1417" w:type="dxa"/>
            <w:vAlign w:val="center"/>
          </w:tcPr>
          <w:p w14:paraId="34A9AF45" w14:textId="77777777" w:rsidR="001042DA" w:rsidRPr="006B1A5A" w:rsidRDefault="001042DA" w:rsidP="00AF2AEA">
            <w:pPr>
              <w:spacing w:before="120" w:after="120" w:line="260" w:lineRule="atLeast"/>
              <w:jc w:val="center"/>
            </w:pPr>
            <w:r w:rsidRPr="006B1A5A">
              <w:t>0.82</w:t>
            </w:r>
          </w:p>
        </w:tc>
        <w:tc>
          <w:tcPr>
            <w:tcW w:w="1985" w:type="dxa"/>
          </w:tcPr>
          <w:p w14:paraId="6CB5B19F" w14:textId="77777777" w:rsidR="001042DA" w:rsidRPr="006B1A5A" w:rsidRDefault="001042DA" w:rsidP="00AF2AEA">
            <w:pPr>
              <w:spacing w:before="120" w:after="120" w:line="260" w:lineRule="atLeast"/>
              <w:jc w:val="center"/>
            </w:pPr>
            <w:r w:rsidRPr="006B1A5A">
              <w:t>(Tralopyril 2%)</w:t>
            </w:r>
          </w:p>
        </w:tc>
      </w:tr>
    </w:tbl>
    <w:bookmarkEnd w:id="1567"/>
    <w:p w14:paraId="69D10B24" w14:textId="32686540" w:rsidR="00924524" w:rsidRDefault="00732C7F" w:rsidP="00C35AAF">
      <w:pPr>
        <w:spacing w:before="120" w:after="120"/>
        <w:jc w:val="both"/>
        <w:rPr>
          <w:sz w:val="18"/>
          <w:szCs w:val="18"/>
          <w:lang w:eastAsia="en-GB"/>
        </w:rPr>
      </w:pPr>
      <w:r w:rsidRPr="00C35AAF">
        <w:rPr>
          <w:sz w:val="18"/>
          <w:szCs w:val="18"/>
          <w:vertAlign w:val="superscript"/>
          <w:lang w:eastAsia="en-GB"/>
        </w:rPr>
        <w:t>1</w:t>
      </w:r>
      <w:r w:rsidR="00F30768">
        <w:rPr>
          <w:sz w:val="18"/>
          <w:szCs w:val="18"/>
          <w:lang w:eastAsia="en-GB"/>
        </w:rPr>
        <w:t xml:space="preserve"> </w:t>
      </w:r>
      <w:r w:rsidR="00924524" w:rsidRPr="004D5421">
        <w:rPr>
          <w:sz w:val="18"/>
          <w:szCs w:val="18"/>
          <w:lang w:eastAsia="en-GB"/>
        </w:rPr>
        <w:t>Density has been taken into account when calculating the in</w:t>
      </w:r>
      <w:r>
        <w:rPr>
          <w:sz w:val="18"/>
          <w:szCs w:val="18"/>
          <w:lang w:eastAsia="en-GB"/>
        </w:rPr>
        <w:t>-</w:t>
      </w:r>
      <w:r w:rsidR="00924524" w:rsidRPr="004D5421">
        <w:rPr>
          <w:sz w:val="18"/>
          <w:szCs w:val="18"/>
          <w:lang w:eastAsia="en-GB"/>
        </w:rPr>
        <w:t>use concentration</w:t>
      </w:r>
      <w:r w:rsidR="00932B58">
        <w:rPr>
          <w:sz w:val="18"/>
          <w:szCs w:val="18"/>
          <w:lang w:eastAsia="en-GB"/>
        </w:rPr>
        <w:t>s</w:t>
      </w:r>
    </w:p>
    <w:p w14:paraId="13524F3C" w14:textId="07FE7231" w:rsidR="00C35AAF" w:rsidRDefault="00732C7F" w:rsidP="00C35AAF">
      <w:pPr>
        <w:spacing w:after="120"/>
        <w:rPr>
          <w:sz w:val="18"/>
          <w:szCs w:val="18"/>
          <w:lang w:eastAsia="en-GB"/>
        </w:rPr>
      </w:pPr>
      <w:r w:rsidRPr="00C35AAF">
        <w:rPr>
          <w:sz w:val="18"/>
          <w:szCs w:val="18"/>
          <w:vertAlign w:val="superscript"/>
          <w:lang w:eastAsia="en-GB"/>
        </w:rPr>
        <w:t>2</w:t>
      </w:r>
      <w:r w:rsidR="00924524">
        <w:rPr>
          <w:sz w:val="18"/>
          <w:szCs w:val="18"/>
          <w:lang w:eastAsia="en-GB"/>
        </w:rPr>
        <w:t xml:space="preserve"> I</w:t>
      </w:r>
      <w:r w:rsidR="00F30768">
        <w:rPr>
          <w:sz w:val="18"/>
          <w:szCs w:val="18"/>
          <w:lang w:eastAsia="en-GB"/>
        </w:rPr>
        <w:t xml:space="preserve">ncludes </w:t>
      </w:r>
      <w:r w:rsidR="00F30768" w:rsidRPr="00E62FA2">
        <w:rPr>
          <w:sz w:val="18"/>
          <w:szCs w:val="18"/>
          <w:lang w:eastAsia="en-GB"/>
        </w:rPr>
        <w:t xml:space="preserve">contribution </w:t>
      </w:r>
      <w:r w:rsidR="0041307D">
        <w:rPr>
          <w:sz w:val="18"/>
          <w:szCs w:val="18"/>
          <w:lang w:eastAsia="en-GB"/>
        </w:rPr>
        <w:t xml:space="preserve">of copper </w:t>
      </w:r>
      <w:r w:rsidR="00F30768" w:rsidRPr="00E62FA2">
        <w:rPr>
          <w:sz w:val="18"/>
          <w:szCs w:val="18"/>
          <w:lang w:eastAsia="en-GB"/>
        </w:rPr>
        <w:t xml:space="preserve">from </w:t>
      </w:r>
      <w:r w:rsidR="00F30768" w:rsidRPr="00AA2D3A">
        <w:rPr>
          <w:sz w:val="18"/>
          <w:szCs w:val="18"/>
          <w:u w:val="single"/>
          <w:lang w:eastAsia="en-GB"/>
        </w:rPr>
        <w:t>both</w:t>
      </w:r>
      <w:r w:rsidR="00F30768" w:rsidRPr="00E62FA2">
        <w:rPr>
          <w:sz w:val="18"/>
          <w:szCs w:val="18"/>
          <w:lang w:eastAsia="en-GB"/>
        </w:rPr>
        <w:t xml:space="preserve"> </w:t>
      </w:r>
      <w:r w:rsidR="00F30768">
        <w:rPr>
          <w:sz w:val="18"/>
          <w:szCs w:val="18"/>
          <w:lang w:eastAsia="en-GB"/>
        </w:rPr>
        <w:t xml:space="preserve">active </w:t>
      </w:r>
      <w:r w:rsidR="00F30768" w:rsidRPr="00E62FA2">
        <w:rPr>
          <w:sz w:val="18"/>
          <w:szCs w:val="18"/>
          <w:lang w:eastAsia="en-GB"/>
        </w:rPr>
        <w:t>substances</w:t>
      </w:r>
      <w:r w:rsidR="00F30768">
        <w:rPr>
          <w:sz w:val="18"/>
          <w:szCs w:val="18"/>
          <w:lang w:eastAsia="en-GB"/>
        </w:rPr>
        <w:t>, using relevant conversion factors:</w:t>
      </w:r>
      <w:r w:rsidR="00C35AAF">
        <w:rPr>
          <w:sz w:val="18"/>
          <w:szCs w:val="18"/>
          <w:lang w:eastAsia="en-GB"/>
        </w:rPr>
        <w:t xml:space="preserve">  </w:t>
      </w:r>
    </w:p>
    <w:p w14:paraId="176BDB67" w14:textId="043CA1B0" w:rsidR="00F30768" w:rsidRPr="008311D0" w:rsidRDefault="00C35AAF" w:rsidP="00C35AAF">
      <w:pPr>
        <w:spacing w:after="120"/>
        <w:rPr>
          <w:sz w:val="18"/>
          <w:szCs w:val="18"/>
          <w:lang w:val="en-US" w:eastAsia="en-GB"/>
        </w:rPr>
      </w:pPr>
      <w:r>
        <w:rPr>
          <w:sz w:val="18"/>
          <w:szCs w:val="18"/>
          <w:lang w:val="en-US" w:eastAsia="en-GB"/>
        </w:rPr>
        <w:t xml:space="preserve"> </w:t>
      </w:r>
      <w:r>
        <w:rPr>
          <w:sz w:val="18"/>
          <w:szCs w:val="18"/>
          <w:lang w:val="en-US" w:eastAsia="en-GB"/>
        </w:rPr>
        <w:tab/>
        <w:t>(</w:t>
      </w:r>
      <w:r w:rsidR="00F30768" w:rsidRPr="008311D0">
        <w:rPr>
          <w:sz w:val="18"/>
          <w:szCs w:val="18"/>
          <w:lang w:val="en-US" w:eastAsia="en-GB"/>
        </w:rPr>
        <w:t>[Cu</w:t>
      </w:r>
      <w:r w:rsidR="00F30768" w:rsidRPr="008311D0">
        <w:rPr>
          <w:sz w:val="18"/>
          <w:szCs w:val="18"/>
          <w:vertAlign w:val="subscript"/>
          <w:lang w:val="en-US" w:eastAsia="en-GB"/>
        </w:rPr>
        <w:t>2</w:t>
      </w:r>
      <w:r w:rsidR="00F30768" w:rsidRPr="008311D0">
        <w:rPr>
          <w:sz w:val="18"/>
          <w:szCs w:val="18"/>
          <w:lang w:val="en-US" w:eastAsia="en-GB"/>
        </w:rPr>
        <w:t>O]*0,888)+([CuSCN]*0,522)</w:t>
      </w:r>
    </w:p>
    <w:p w14:paraId="7928B8DB" w14:textId="395FCD62" w:rsidR="001042DA" w:rsidRPr="00924524" w:rsidRDefault="00732C7F" w:rsidP="00C35AAF">
      <w:pPr>
        <w:spacing w:after="120"/>
        <w:jc w:val="both"/>
        <w:rPr>
          <w:sz w:val="18"/>
          <w:szCs w:val="18"/>
        </w:rPr>
      </w:pPr>
      <w:r w:rsidRPr="00C35AAF">
        <w:rPr>
          <w:sz w:val="18"/>
          <w:szCs w:val="18"/>
          <w:vertAlign w:val="superscript"/>
        </w:rPr>
        <w:t>3</w:t>
      </w:r>
      <w:r w:rsidR="00924524" w:rsidRPr="00924524">
        <w:rPr>
          <w:sz w:val="18"/>
          <w:szCs w:val="18"/>
        </w:rPr>
        <w:t xml:space="preserve"> Conversion </w:t>
      </w:r>
      <w:r w:rsidR="00C35AAF">
        <w:rPr>
          <w:sz w:val="18"/>
          <w:szCs w:val="18"/>
        </w:rPr>
        <w:t>factor</w:t>
      </w:r>
      <w:r>
        <w:rPr>
          <w:sz w:val="18"/>
          <w:szCs w:val="18"/>
        </w:rPr>
        <w:t xml:space="preserve">: </w:t>
      </w:r>
      <w:r w:rsidR="00924524" w:rsidRPr="00924524">
        <w:rPr>
          <w:sz w:val="18"/>
          <w:szCs w:val="18"/>
        </w:rPr>
        <w:t>[CuSCN]*0,478</w:t>
      </w:r>
      <w:r w:rsidR="00F30768" w:rsidRPr="00924524">
        <w:rPr>
          <w:sz w:val="18"/>
          <w:szCs w:val="18"/>
        </w:rPr>
        <w:t xml:space="preserve"> </w:t>
      </w:r>
    </w:p>
    <w:p w14:paraId="4C76E621" w14:textId="77777777" w:rsidR="00C35AAF" w:rsidRDefault="00C35AAF" w:rsidP="001042DA">
      <w:pPr>
        <w:spacing w:before="120" w:line="260" w:lineRule="atLeast"/>
        <w:jc w:val="both"/>
      </w:pPr>
    </w:p>
    <w:p w14:paraId="2A489D66" w14:textId="371C1C4F" w:rsidR="001042DA" w:rsidRPr="006B1A5A" w:rsidRDefault="001042DA" w:rsidP="001042DA">
      <w:pPr>
        <w:spacing w:before="120" w:line="260" w:lineRule="atLeast"/>
        <w:jc w:val="both"/>
      </w:pPr>
      <w:r w:rsidRPr="006B1A5A">
        <w:t xml:space="preserve">As described in more detail in the confidential annex (see confidential annex, 3.6.1.) there is a high degree of similarity in the product composition of the AquaNet LG 360 and the AquaNet HG 360 products. The dermal absorption value found for the LG 360 product can therefore be deemed valid for the HG 360 product. </w:t>
      </w:r>
    </w:p>
    <w:p w14:paraId="3ECB2500" w14:textId="77777777" w:rsidR="001042DA" w:rsidRPr="006B1A5A" w:rsidRDefault="001042DA" w:rsidP="001042DA">
      <w:pPr>
        <w:spacing w:before="120" w:line="260" w:lineRule="atLeast"/>
        <w:jc w:val="both"/>
      </w:pPr>
      <w:r w:rsidRPr="006B1A5A">
        <w:t>The dermal absorption values applied for the LG 360 and the HG 360 products are thus:</w:t>
      </w:r>
    </w:p>
    <w:p w14:paraId="12574DC4" w14:textId="77777777" w:rsidR="001042DA" w:rsidRPr="006B1A5A" w:rsidRDefault="001042DA" w:rsidP="001042DA">
      <w:pPr>
        <w:spacing w:before="120" w:line="260" w:lineRule="atLeast"/>
        <w:jc w:val="both"/>
      </w:pPr>
      <w:r w:rsidRPr="006B1A5A">
        <w:t>For the undiluted product:</w:t>
      </w:r>
    </w:p>
    <w:p w14:paraId="3A4F06BC" w14:textId="5ECB4925" w:rsidR="001042DA" w:rsidRPr="006B1A5A" w:rsidRDefault="00C17B26" w:rsidP="001042DA">
      <w:pPr>
        <w:spacing w:before="120" w:line="260" w:lineRule="atLeast"/>
        <w:ind w:firstLine="708"/>
        <w:jc w:val="both"/>
      </w:pPr>
      <w:r>
        <w:t>Copper</w:t>
      </w:r>
      <w:r w:rsidR="001042DA" w:rsidRPr="00C17B26">
        <w:t>:</w:t>
      </w:r>
      <w:r w:rsidR="001042DA" w:rsidRPr="006B1A5A">
        <w:t xml:space="preserve"> 0.1% dermal uptake</w:t>
      </w:r>
    </w:p>
    <w:p w14:paraId="04C22C6C" w14:textId="25373E7A" w:rsidR="001042DA" w:rsidRPr="006B1A5A" w:rsidRDefault="00C17B26" w:rsidP="001042DA">
      <w:pPr>
        <w:spacing w:before="120" w:line="260" w:lineRule="atLeast"/>
        <w:ind w:firstLine="708"/>
        <w:jc w:val="both"/>
      </w:pPr>
      <w:r>
        <w:t>Thiocyanate</w:t>
      </w:r>
      <w:r w:rsidR="001042DA" w:rsidRPr="006B1A5A">
        <w:t>: 5% dermal uptake</w:t>
      </w:r>
    </w:p>
    <w:p w14:paraId="282EE1B6" w14:textId="77777777" w:rsidR="001042DA" w:rsidRPr="006B1A5A" w:rsidRDefault="001042DA" w:rsidP="001042DA">
      <w:pPr>
        <w:spacing w:before="120" w:line="260" w:lineRule="atLeast"/>
        <w:jc w:val="both"/>
      </w:pPr>
      <w:r w:rsidRPr="006B1A5A">
        <w:t>For the in-use concentration of the products</w:t>
      </w:r>
    </w:p>
    <w:p w14:paraId="2995B89E" w14:textId="54D97DFE" w:rsidR="001042DA" w:rsidRPr="006B1A5A" w:rsidRDefault="00C17B26" w:rsidP="001042DA">
      <w:pPr>
        <w:spacing w:before="120" w:line="260" w:lineRule="atLeast"/>
        <w:ind w:firstLine="708"/>
        <w:jc w:val="both"/>
      </w:pPr>
      <w:r>
        <w:t>Copper</w:t>
      </w:r>
      <w:r w:rsidR="001042DA" w:rsidRPr="006B1A5A">
        <w:t>: 0.4% dermal uptake</w:t>
      </w:r>
    </w:p>
    <w:p w14:paraId="6FD85365" w14:textId="7EDF6B20" w:rsidR="001042DA" w:rsidRPr="006B1A5A" w:rsidRDefault="00C17B26" w:rsidP="001042DA">
      <w:pPr>
        <w:spacing w:before="120" w:line="260" w:lineRule="atLeast"/>
        <w:ind w:firstLine="708"/>
        <w:jc w:val="both"/>
      </w:pPr>
      <w:r>
        <w:t>Thiocyanate</w:t>
      </w:r>
      <w:r w:rsidR="001042DA" w:rsidRPr="006B1A5A">
        <w:t>: 5% dermal uptake</w:t>
      </w:r>
    </w:p>
    <w:p w14:paraId="59044D44" w14:textId="77777777" w:rsidR="001042DA" w:rsidRPr="006B1A5A" w:rsidRDefault="001042DA" w:rsidP="001042DA">
      <w:pPr>
        <w:spacing w:before="120" w:line="260" w:lineRule="atLeast"/>
        <w:jc w:val="both"/>
      </w:pPr>
      <w:r w:rsidRPr="006B1A5A">
        <w:t xml:space="preserve">As for AquaNet 360 RFU, there is a higher degree of similarity with the composition of AquaNet Premium (see confidential annex, 3.6.1.) than with AquaNet LG 360. The rMS has therefore found it more appropriate to use the dermal absorption value found in the study on this product to read across to the AquaNet RFU product. </w:t>
      </w:r>
    </w:p>
    <w:p w14:paraId="1515020C" w14:textId="77777777" w:rsidR="001042DA" w:rsidRPr="006B1A5A" w:rsidRDefault="001042DA" w:rsidP="001042DA">
      <w:pPr>
        <w:spacing w:before="120" w:line="260" w:lineRule="atLeast"/>
        <w:jc w:val="both"/>
      </w:pPr>
      <w:r w:rsidRPr="006B1A5A">
        <w:t>The dermal absorption values applied for AquaNet 360 RFU are:</w:t>
      </w:r>
    </w:p>
    <w:p w14:paraId="61FC3FC1" w14:textId="78D63CB2" w:rsidR="001042DA" w:rsidRPr="00732C7F" w:rsidRDefault="00C17B26" w:rsidP="001042DA">
      <w:pPr>
        <w:spacing w:before="120" w:line="260" w:lineRule="atLeast"/>
        <w:ind w:left="708"/>
        <w:jc w:val="both"/>
        <w:rPr>
          <w:lang w:val="nb-NO"/>
        </w:rPr>
      </w:pPr>
      <w:r w:rsidRPr="00732C7F">
        <w:rPr>
          <w:lang w:val="nb-NO"/>
        </w:rPr>
        <w:t>Copper</w:t>
      </w:r>
      <w:r w:rsidR="001042DA" w:rsidRPr="00732C7F">
        <w:rPr>
          <w:lang w:val="nb-NO"/>
        </w:rPr>
        <w:t>: 1</w:t>
      </w:r>
      <w:r w:rsidR="0060729D" w:rsidRPr="00732C7F">
        <w:rPr>
          <w:lang w:val="nb-NO"/>
        </w:rPr>
        <w:t>.</w:t>
      </w:r>
      <w:r w:rsidR="002B0D35" w:rsidRPr="00732C7F">
        <w:rPr>
          <w:lang w:val="nb-NO"/>
        </w:rPr>
        <w:t>1</w:t>
      </w:r>
      <w:r w:rsidR="001042DA" w:rsidRPr="00732C7F">
        <w:rPr>
          <w:lang w:val="nb-NO"/>
        </w:rPr>
        <w:t>% dermal uptake</w:t>
      </w:r>
    </w:p>
    <w:p w14:paraId="2526AE33" w14:textId="26B57B9B" w:rsidR="001042DA" w:rsidRPr="002162C7" w:rsidRDefault="00C17B26" w:rsidP="001042DA">
      <w:pPr>
        <w:spacing w:before="120" w:line="260" w:lineRule="atLeast"/>
        <w:ind w:firstLine="708"/>
        <w:jc w:val="both"/>
        <w:rPr>
          <w:lang w:val="nb-NO"/>
        </w:rPr>
      </w:pPr>
      <w:r>
        <w:rPr>
          <w:lang w:val="nb-NO"/>
        </w:rPr>
        <w:t>Thiocyanate</w:t>
      </w:r>
      <w:r w:rsidR="001042DA" w:rsidRPr="002162C7">
        <w:rPr>
          <w:lang w:val="nb-NO"/>
        </w:rPr>
        <w:t>: 5% dermal uptake</w:t>
      </w:r>
    </w:p>
    <w:tbl>
      <w:tblPr>
        <w:tblW w:w="928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68"/>
        <w:gridCol w:w="1709"/>
        <w:gridCol w:w="1488"/>
        <w:gridCol w:w="3615"/>
        <w:gridCol w:w="1204"/>
      </w:tblGrid>
      <w:tr w:rsidR="001042DA" w:rsidRPr="006B1A5A" w14:paraId="05384CCD" w14:textId="77777777" w:rsidTr="00AF2AEA">
        <w:trPr>
          <w:tblHeader/>
        </w:trPr>
        <w:tc>
          <w:tcPr>
            <w:tcW w:w="9284" w:type="dxa"/>
            <w:gridSpan w:val="5"/>
            <w:tcBorders>
              <w:bottom w:val="single" w:sz="6" w:space="0" w:color="auto"/>
            </w:tcBorders>
            <w:shd w:val="clear" w:color="auto" w:fill="FFFFCC"/>
          </w:tcPr>
          <w:p w14:paraId="57F5A142" w14:textId="77777777" w:rsidR="001042DA" w:rsidRPr="006B1A5A" w:rsidRDefault="001042DA" w:rsidP="00AF2AEA">
            <w:pPr>
              <w:keepNext/>
              <w:widowControl w:val="0"/>
              <w:tabs>
                <w:tab w:val="center" w:pos="4536"/>
                <w:tab w:val="right" w:pos="9072"/>
              </w:tabs>
              <w:spacing w:line="260" w:lineRule="atLeast"/>
              <w:jc w:val="center"/>
              <w:rPr>
                <w:rFonts w:eastAsia="Calibri"/>
                <w:b/>
                <w:bCs/>
                <w:color w:val="000000"/>
                <w:lang w:eastAsia="en-GB"/>
              </w:rPr>
            </w:pPr>
            <w:r w:rsidRPr="006B1A5A">
              <w:rPr>
                <w:rFonts w:eastAsia="Calibri"/>
                <w:b/>
                <w:bCs/>
                <w:color w:val="000000"/>
                <w:lang w:eastAsia="en-GB"/>
              </w:rPr>
              <w:t>Summary table of in vitro studies on dermal absorption</w:t>
            </w:r>
          </w:p>
        </w:tc>
      </w:tr>
      <w:tr w:rsidR="00163289" w:rsidRPr="006B1A5A" w14:paraId="61E59D18" w14:textId="77777777" w:rsidTr="002F6080">
        <w:trPr>
          <w:tblHeader/>
        </w:trPr>
        <w:tc>
          <w:tcPr>
            <w:tcW w:w="1268" w:type="dxa"/>
            <w:shd w:val="clear" w:color="auto" w:fill="D9D9D9" w:themeFill="background1" w:themeFillShade="D9"/>
            <w:tcMar>
              <w:top w:w="57" w:type="dxa"/>
              <w:bottom w:w="57" w:type="dxa"/>
            </w:tcMar>
          </w:tcPr>
          <w:p w14:paraId="5BE7168F" w14:textId="77777777" w:rsidR="001042DA" w:rsidRPr="006B1A5A" w:rsidRDefault="001042DA" w:rsidP="00AF2AEA">
            <w:pPr>
              <w:keepNext/>
              <w:widowControl w:val="0"/>
              <w:tabs>
                <w:tab w:val="center" w:pos="4536"/>
                <w:tab w:val="right" w:pos="9072"/>
              </w:tabs>
              <w:spacing w:line="260" w:lineRule="atLeast"/>
              <w:rPr>
                <w:rFonts w:eastAsia="Calibri"/>
                <w:b/>
                <w:bCs/>
                <w:color w:val="000000"/>
                <w:lang w:eastAsia="en-GB"/>
              </w:rPr>
            </w:pPr>
            <w:r w:rsidRPr="006B1A5A">
              <w:rPr>
                <w:rFonts w:eastAsia="Calibri"/>
                <w:b/>
                <w:bCs/>
                <w:color w:val="000000"/>
                <w:lang w:eastAsia="en-GB"/>
              </w:rPr>
              <w:t>Method, Guideline,</w:t>
            </w:r>
          </w:p>
          <w:p w14:paraId="4B594DBB" w14:textId="77777777" w:rsidR="001042DA" w:rsidRPr="006B1A5A" w:rsidRDefault="001042DA" w:rsidP="00AF2AEA">
            <w:pPr>
              <w:keepNext/>
              <w:widowControl w:val="0"/>
              <w:tabs>
                <w:tab w:val="center" w:pos="4536"/>
                <w:tab w:val="right" w:pos="9072"/>
              </w:tabs>
              <w:spacing w:line="260" w:lineRule="atLeast"/>
              <w:rPr>
                <w:rFonts w:eastAsia="Calibri"/>
                <w:b/>
                <w:bCs/>
                <w:color w:val="000000"/>
                <w:lang w:eastAsia="en-GB"/>
              </w:rPr>
            </w:pPr>
            <w:r w:rsidRPr="006B1A5A">
              <w:rPr>
                <w:rFonts w:eastAsia="Calibri"/>
                <w:b/>
                <w:lang w:eastAsia="en-GB"/>
              </w:rPr>
              <w:t>GLP status</w:t>
            </w:r>
            <w:r w:rsidRPr="006B1A5A">
              <w:rPr>
                <w:rFonts w:eastAsia="Calibri"/>
                <w:b/>
                <w:bCs/>
                <w:color w:val="000000"/>
                <w:lang w:eastAsia="en-GB"/>
              </w:rPr>
              <w:t>, Reliability</w:t>
            </w:r>
          </w:p>
        </w:tc>
        <w:tc>
          <w:tcPr>
            <w:tcW w:w="1709" w:type="dxa"/>
            <w:shd w:val="clear" w:color="auto" w:fill="D9D9D9" w:themeFill="background1" w:themeFillShade="D9"/>
            <w:tcMar>
              <w:top w:w="57" w:type="dxa"/>
              <w:bottom w:w="57" w:type="dxa"/>
            </w:tcMar>
          </w:tcPr>
          <w:p w14:paraId="3C07DA59" w14:textId="77777777" w:rsidR="001042DA" w:rsidRPr="006B1A5A" w:rsidRDefault="001042DA" w:rsidP="00AF2AEA">
            <w:pPr>
              <w:keepNext/>
              <w:widowControl w:val="0"/>
              <w:tabs>
                <w:tab w:val="center" w:pos="4536"/>
                <w:tab w:val="right" w:pos="9072"/>
              </w:tabs>
              <w:spacing w:line="260" w:lineRule="atLeast"/>
              <w:rPr>
                <w:rFonts w:eastAsia="Calibri"/>
                <w:b/>
                <w:bCs/>
                <w:color w:val="000000"/>
                <w:lang w:eastAsia="en-GB"/>
              </w:rPr>
            </w:pPr>
            <w:r w:rsidRPr="006B1A5A">
              <w:rPr>
                <w:rFonts w:eastAsia="Calibri"/>
                <w:b/>
                <w:bCs/>
                <w:color w:val="000000"/>
                <w:lang w:eastAsia="en-GB"/>
              </w:rPr>
              <w:t>Species, Number of skin samples tested per dose, Other relevant information about the study</w:t>
            </w:r>
          </w:p>
        </w:tc>
        <w:tc>
          <w:tcPr>
            <w:tcW w:w="1488" w:type="dxa"/>
            <w:shd w:val="clear" w:color="auto" w:fill="D9D9D9" w:themeFill="background1" w:themeFillShade="D9"/>
            <w:tcMar>
              <w:top w:w="57" w:type="dxa"/>
              <w:bottom w:w="57" w:type="dxa"/>
            </w:tcMar>
          </w:tcPr>
          <w:p w14:paraId="145052E4" w14:textId="77777777" w:rsidR="001042DA" w:rsidRPr="006B1A5A" w:rsidRDefault="001042DA" w:rsidP="00AF2AEA">
            <w:pPr>
              <w:keepNext/>
              <w:widowControl w:val="0"/>
              <w:tabs>
                <w:tab w:val="center" w:pos="4536"/>
                <w:tab w:val="right" w:pos="9072"/>
              </w:tabs>
              <w:spacing w:line="260" w:lineRule="atLeast"/>
              <w:rPr>
                <w:rFonts w:eastAsia="Calibri"/>
                <w:b/>
                <w:bCs/>
                <w:color w:val="000000"/>
                <w:lang w:eastAsia="en-GB"/>
              </w:rPr>
            </w:pPr>
            <w:r w:rsidRPr="006B1A5A">
              <w:rPr>
                <w:rFonts w:eastAsia="Calibri"/>
                <w:b/>
                <w:bCs/>
                <w:color w:val="000000"/>
                <w:lang w:eastAsia="en-GB"/>
              </w:rPr>
              <w:t>Test substance, Doses</w:t>
            </w:r>
          </w:p>
        </w:tc>
        <w:tc>
          <w:tcPr>
            <w:tcW w:w="3615" w:type="dxa"/>
            <w:shd w:val="clear" w:color="auto" w:fill="D9D9D9" w:themeFill="background1" w:themeFillShade="D9"/>
            <w:tcMar>
              <w:top w:w="57" w:type="dxa"/>
              <w:bottom w:w="57" w:type="dxa"/>
            </w:tcMar>
          </w:tcPr>
          <w:p w14:paraId="68889E09" w14:textId="77777777" w:rsidR="001042DA" w:rsidRPr="006B1A5A" w:rsidRDefault="001042DA" w:rsidP="00AF2AEA">
            <w:pPr>
              <w:keepNext/>
              <w:widowControl w:val="0"/>
              <w:tabs>
                <w:tab w:val="center" w:pos="4536"/>
                <w:tab w:val="right" w:pos="9072"/>
              </w:tabs>
              <w:spacing w:line="260" w:lineRule="atLeast"/>
              <w:rPr>
                <w:rFonts w:eastAsia="Calibri"/>
                <w:b/>
                <w:bCs/>
                <w:color w:val="000000"/>
                <w:lang w:eastAsia="en-GB"/>
              </w:rPr>
            </w:pPr>
            <w:r w:rsidRPr="006B1A5A">
              <w:rPr>
                <w:rFonts w:eastAsia="Calibri"/>
                <w:b/>
                <w:bCs/>
                <w:color w:val="000000"/>
                <w:lang w:eastAsia="en-GB"/>
              </w:rPr>
              <w:t>Absorption data for each compartment and final absorption value</w:t>
            </w:r>
          </w:p>
        </w:tc>
        <w:tc>
          <w:tcPr>
            <w:tcW w:w="1204" w:type="dxa"/>
            <w:shd w:val="clear" w:color="auto" w:fill="D9D9D9" w:themeFill="background1" w:themeFillShade="D9"/>
            <w:tcMar>
              <w:top w:w="57" w:type="dxa"/>
              <w:bottom w:w="57" w:type="dxa"/>
            </w:tcMar>
          </w:tcPr>
          <w:p w14:paraId="5C23BBB9" w14:textId="77777777" w:rsidR="001042DA" w:rsidRPr="006B1A5A" w:rsidRDefault="001042DA" w:rsidP="00AF2AEA">
            <w:pPr>
              <w:keepNext/>
              <w:widowControl w:val="0"/>
              <w:tabs>
                <w:tab w:val="center" w:pos="4536"/>
                <w:tab w:val="right" w:pos="9072"/>
              </w:tabs>
              <w:spacing w:line="260" w:lineRule="atLeast"/>
              <w:rPr>
                <w:rFonts w:eastAsia="Calibri"/>
                <w:b/>
                <w:bCs/>
                <w:color w:val="000000"/>
                <w:lang w:eastAsia="en-GB"/>
              </w:rPr>
            </w:pPr>
            <w:r w:rsidRPr="006B1A5A">
              <w:rPr>
                <w:rFonts w:eastAsia="Calibri"/>
                <w:b/>
                <w:lang w:eastAsia="en-GB"/>
              </w:rPr>
              <w:t xml:space="preserve">Remarks </w:t>
            </w:r>
            <w:r w:rsidRPr="002F6080">
              <w:rPr>
                <w:rFonts w:eastAsia="Calibri"/>
                <w:i/>
                <w:sz w:val="18"/>
                <w:szCs w:val="18"/>
                <w:lang w:eastAsia="en-GB"/>
              </w:rPr>
              <w:t>(e.g. major deviations)</w:t>
            </w:r>
          </w:p>
        </w:tc>
      </w:tr>
      <w:tr w:rsidR="001042DA" w:rsidRPr="006B1A5A" w14:paraId="633BBB1F" w14:textId="77777777" w:rsidTr="002F6080">
        <w:trPr>
          <w:tblHeader/>
        </w:trPr>
        <w:tc>
          <w:tcPr>
            <w:tcW w:w="1268" w:type="dxa"/>
            <w:shd w:val="clear" w:color="auto" w:fill="auto"/>
            <w:tcMar>
              <w:top w:w="57" w:type="dxa"/>
              <w:bottom w:w="57" w:type="dxa"/>
            </w:tcMar>
          </w:tcPr>
          <w:p w14:paraId="47D351F8" w14:textId="4363277F" w:rsidR="00642630" w:rsidRDefault="00642630" w:rsidP="00AF2AEA">
            <w:pPr>
              <w:keepNext/>
              <w:widowControl w:val="0"/>
              <w:tabs>
                <w:tab w:val="center" w:pos="4536"/>
                <w:tab w:val="right" w:pos="9072"/>
              </w:tabs>
              <w:spacing w:before="120" w:line="276" w:lineRule="auto"/>
              <w:rPr>
                <w:rFonts w:eastAsia="Calibri"/>
                <w:color w:val="000000"/>
                <w:lang w:eastAsia="en-GB"/>
              </w:rPr>
            </w:pPr>
            <w:r w:rsidRPr="005F211C">
              <w:rPr>
                <w:iCs/>
                <w:shd w:val="clear" w:color="auto" w:fill="FFFFFF"/>
              </w:rPr>
              <w:t>In-vitro human skin pene</w:t>
            </w:r>
            <w:r w:rsidR="002F6080">
              <w:rPr>
                <w:iCs/>
                <w:shd w:val="clear" w:color="auto" w:fill="FFFFFF"/>
              </w:rPr>
              <w:t>-</w:t>
            </w:r>
            <w:r w:rsidRPr="005F211C">
              <w:rPr>
                <w:iCs/>
                <w:shd w:val="clear" w:color="auto" w:fill="FFFFFF"/>
              </w:rPr>
              <w:t>tration of total copper in AquaNet LG 360 PT21 Biocide product</w:t>
            </w:r>
            <w:r w:rsidRPr="006B1A5A">
              <w:rPr>
                <w:rFonts w:eastAsia="Calibri"/>
                <w:color w:val="000000"/>
                <w:lang w:eastAsia="en-GB"/>
              </w:rPr>
              <w:t xml:space="preserve"> </w:t>
            </w:r>
          </w:p>
          <w:p w14:paraId="40C88958" w14:textId="763419EB" w:rsidR="001042DA" w:rsidRPr="006B1A5A" w:rsidRDefault="001042DA" w:rsidP="00AF2AEA">
            <w:pPr>
              <w:keepNext/>
              <w:widowControl w:val="0"/>
              <w:tabs>
                <w:tab w:val="center" w:pos="4536"/>
                <w:tab w:val="right" w:pos="9072"/>
              </w:tabs>
              <w:spacing w:before="120" w:line="276" w:lineRule="auto"/>
              <w:rPr>
                <w:rFonts w:eastAsia="Calibri"/>
                <w:color w:val="000000"/>
                <w:lang w:eastAsia="en-GB"/>
              </w:rPr>
            </w:pPr>
            <w:r w:rsidRPr="006B1A5A">
              <w:rPr>
                <w:rFonts w:eastAsia="Calibri"/>
                <w:color w:val="000000"/>
                <w:lang w:eastAsia="en-GB"/>
              </w:rPr>
              <w:t>OECD TG 428 (2004)</w:t>
            </w:r>
          </w:p>
          <w:p w14:paraId="6849D6D3" w14:textId="77777777" w:rsidR="001042DA" w:rsidRPr="006B1A5A" w:rsidRDefault="001042DA" w:rsidP="00AF2AEA">
            <w:pPr>
              <w:keepNext/>
              <w:widowControl w:val="0"/>
              <w:tabs>
                <w:tab w:val="center" w:pos="4536"/>
                <w:tab w:val="right" w:pos="9072"/>
              </w:tabs>
              <w:spacing w:before="120" w:line="276" w:lineRule="auto"/>
            </w:pPr>
          </w:p>
          <w:p w14:paraId="73C33F08" w14:textId="77777777" w:rsidR="001042DA" w:rsidRPr="006B1A5A" w:rsidRDefault="001042DA" w:rsidP="00AF2AEA">
            <w:pPr>
              <w:keepNext/>
              <w:widowControl w:val="0"/>
              <w:tabs>
                <w:tab w:val="center" w:pos="4536"/>
                <w:tab w:val="right" w:pos="9072"/>
              </w:tabs>
              <w:spacing w:before="120" w:line="276" w:lineRule="auto"/>
            </w:pPr>
            <w:r w:rsidRPr="006B1A5A">
              <w:t xml:space="preserve">GLP </w:t>
            </w:r>
          </w:p>
          <w:p w14:paraId="245602B4" w14:textId="77777777" w:rsidR="001042DA" w:rsidRPr="006B1A5A" w:rsidRDefault="001042DA" w:rsidP="00AF2AEA">
            <w:pPr>
              <w:keepNext/>
              <w:widowControl w:val="0"/>
              <w:tabs>
                <w:tab w:val="center" w:pos="4536"/>
                <w:tab w:val="right" w:pos="9072"/>
              </w:tabs>
              <w:spacing w:before="120" w:line="276" w:lineRule="auto"/>
              <w:rPr>
                <w:rFonts w:eastAsia="Calibri"/>
                <w:color w:val="000000"/>
                <w:lang w:eastAsia="en-GB"/>
              </w:rPr>
            </w:pPr>
            <w:r w:rsidRPr="006B1A5A">
              <w:rPr>
                <w:rFonts w:eastAsia="Calibri"/>
                <w:color w:val="000000"/>
                <w:lang w:eastAsia="en-GB"/>
              </w:rPr>
              <w:t>Reliability 1</w:t>
            </w:r>
          </w:p>
          <w:p w14:paraId="12B28358" w14:textId="11C80E44" w:rsidR="001042DA" w:rsidRPr="006B1A5A" w:rsidRDefault="001042DA" w:rsidP="00AF2AEA">
            <w:pPr>
              <w:keepNext/>
              <w:widowControl w:val="0"/>
              <w:tabs>
                <w:tab w:val="center" w:pos="4536"/>
                <w:tab w:val="right" w:pos="9072"/>
              </w:tabs>
              <w:spacing w:before="120" w:line="276" w:lineRule="auto"/>
              <w:rPr>
                <w:rFonts w:eastAsia="Calibri"/>
                <w:color w:val="000000"/>
                <w:lang w:eastAsia="en-GB"/>
              </w:rPr>
            </w:pPr>
            <w:bookmarkStart w:id="1568" w:name="_Hlk21874971"/>
            <w:r w:rsidRPr="006B1A5A">
              <w:rPr>
                <w:rFonts w:eastAsia="Calibri"/>
                <w:color w:val="000000"/>
                <w:lang w:eastAsia="en-GB"/>
              </w:rPr>
              <w:t>Bernal, J</w:t>
            </w:r>
            <w:r w:rsidR="001B54F2">
              <w:rPr>
                <w:rFonts w:eastAsia="Calibri"/>
                <w:color w:val="000000"/>
                <w:lang w:eastAsia="en-GB"/>
              </w:rPr>
              <w:t>.</w:t>
            </w:r>
            <w:r w:rsidRPr="006B1A5A">
              <w:rPr>
                <w:rFonts w:eastAsia="Calibri"/>
                <w:color w:val="000000"/>
                <w:lang w:eastAsia="en-GB"/>
              </w:rPr>
              <w:t xml:space="preserve"> (2018a)</w:t>
            </w:r>
            <w:bookmarkEnd w:id="1568"/>
          </w:p>
        </w:tc>
        <w:tc>
          <w:tcPr>
            <w:tcW w:w="1709" w:type="dxa"/>
            <w:tcMar>
              <w:top w:w="57" w:type="dxa"/>
              <w:bottom w:w="57" w:type="dxa"/>
            </w:tcMar>
          </w:tcPr>
          <w:p w14:paraId="67D6ED68" w14:textId="42D8044B" w:rsidR="002107C6" w:rsidRDefault="001042DA" w:rsidP="002107C6">
            <w:pPr>
              <w:keepNext/>
              <w:widowControl w:val="0"/>
              <w:tabs>
                <w:tab w:val="center" w:pos="4536"/>
                <w:tab w:val="right" w:pos="9072"/>
              </w:tabs>
              <w:spacing w:line="276" w:lineRule="auto"/>
              <w:rPr>
                <w:rFonts w:eastAsia="Calibri"/>
                <w:color w:val="000000"/>
                <w:lang w:eastAsia="en-GB"/>
              </w:rPr>
            </w:pPr>
            <w:r w:rsidRPr="006B1A5A">
              <w:rPr>
                <w:rFonts w:eastAsia="Calibri"/>
                <w:i/>
                <w:color w:val="000000"/>
                <w:lang w:eastAsia="en-GB"/>
              </w:rPr>
              <w:t>In vitro</w:t>
            </w:r>
            <w:r w:rsidRPr="006B1A5A">
              <w:rPr>
                <w:rFonts w:eastAsia="Calibri"/>
                <w:color w:val="000000"/>
                <w:lang w:eastAsia="en-GB"/>
              </w:rPr>
              <w:t xml:space="preserve">, </w:t>
            </w:r>
            <w:r w:rsidR="00F53583">
              <w:rPr>
                <w:rFonts w:eastAsia="Calibri"/>
                <w:color w:val="000000"/>
                <w:lang w:eastAsia="en-GB"/>
              </w:rPr>
              <w:t xml:space="preserve">split thickness </w:t>
            </w:r>
            <w:r w:rsidRPr="006B1A5A">
              <w:rPr>
                <w:rFonts w:eastAsia="Calibri"/>
                <w:color w:val="000000"/>
                <w:lang w:eastAsia="en-GB"/>
              </w:rPr>
              <w:t xml:space="preserve">human skin, abdomen, 4 donors, 2 samples per dose </w:t>
            </w:r>
          </w:p>
          <w:p w14:paraId="3A29AE32" w14:textId="77777777" w:rsidR="002107C6" w:rsidRDefault="002107C6" w:rsidP="002107C6">
            <w:pPr>
              <w:keepNext/>
              <w:widowControl w:val="0"/>
              <w:tabs>
                <w:tab w:val="center" w:pos="4536"/>
                <w:tab w:val="right" w:pos="9072"/>
              </w:tabs>
              <w:spacing w:line="276" w:lineRule="auto"/>
              <w:rPr>
                <w:rFonts w:eastAsia="Calibri"/>
                <w:color w:val="000000"/>
                <w:lang w:eastAsia="en-GB"/>
              </w:rPr>
            </w:pPr>
          </w:p>
          <w:p w14:paraId="57EAF83E" w14:textId="339AA86A" w:rsidR="0060729D" w:rsidRDefault="002107C6" w:rsidP="0060729D">
            <w:pPr>
              <w:keepNext/>
              <w:widowControl w:val="0"/>
              <w:tabs>
                <w:tab w:val="center" w:pos="4536"/>
                <w:tab w:val="right" w:pos="9072"/>
              </w:tabs>
              <w:spacing w:line="276" w:lineRule="auto"/>
              <w:rPr>
                <w:rFonts w:eastAsia="Calibri"/>
                <w:color w:val="000000"/>
                <w:lang w:eastAsia="en-GB"/>
              </w:rPr>
            </w:pPr>
            <w:r w:rsidRPr="00954C66">
              <w:rPr>
                <w:rFonts w:cstheme="minorHAnsi"/>
              </w:rPr>
              <w:t>Static diffusion cells</w:t>
            </w:r>
            <w:r w:rsidR="00821D3B">
              <w:rPr>
                <w:rFonts w:cstheme="minorHAnsi"/>
              </w:rPr>
              <w:t xml:space="preserve">, </w:t>
            </w:r>
            <w:r w:rsidR="0060729D">
              <w:rPr>
                <w:rFonts w:eastAsia="Calibri"/>
                <w:color w:val="000000"/>
                <w:lang w:eastAsia="en-GB"/>
              </w:rPr>
              <w:t>24h exposure</w:t>
            </w:r>
          </w:p>
          <w:p w14:paraId="469FE153" w14:textId="77777777" w:rsidR="002107C6" w:rsidRDefault="002107C6" w:rsidP="0060729D">
            <w:pPr>
              <w:keepNext/>
              <w:widowControl w:val="0"/>
              <w:tabs>
                <w:tab w:val="center" w:pos="4536"/>
                <w:tab w:val="right" w:pos="9072"/>
              </w:tabs>
              <w:spacing w:line="276" w:lineRule="auto"/>
            </w:pPr>
          </w:p>
          <w:p w14:paraId="11209AB7" w14:textId="16153506" w:rsidR="002107C6" w:rsidRDefault="002107C6" w:rsidP="0060729D">
            <w:pPr>
              <w:keepNext/>
              <w:widowControl w:val="0"/>
              <w:tabs>
                <w:tab w:val="center" w:pos="4536"/>
                <w:tab w:val="right" w:pos="9072"/>
              </w:tabs>
              <w:spacing w:line="276" w:lineRule="auto"/>
            </w:pPr>
            <w:r>
              <w:t>R</w:t>
            </w:r>
            <w:r w:rsidRPr="00DD2D44">
              <w:t>eceptor fluid sampled at 1h, 2h, 4h, 8h, 12h and 24h</w:t>
            </w:r>
          </w:p>
          <w:p w14:paraId="5755D3F7" w14:textId="12B19761" w:rsidR="002107C6" w:rsidRDefault="002107C6" w:rsidP="0060729D">
            <w:pPr>
              <w:keepNext/>
              <w:widowControl w:val="0"/>
              <w:tabs>
                <w:tab w:val="center" w:pos="4536"/>
                <w:tab w:val="right" w:pos="9072"/>
              </w:tabs>
              <w:spacing w:line="276" w:lineRule="auto"/>
            </w:pPr>
          </w:p>
          <w:p w14:paraId="42092640" w14:textId="330E7D60" w:rsidR="002107C6" w:rsidRDefault="002107C6" w:rsidP="0060729D">
            <w:pPr>
              <w:keepNext/>
              <w:widowControl w:val="0"/>
              <w:tabs>
                <w:tab w:val="center" w:pos="4536"/>
                <w:tab w:val="right" w:pos="9072"/>
              </w:tabs>
              <w:spacing w:line="276" w:lineRule="auto"/>
            </w:pPr>
            <w:r>
              <w:t>Tape stripping (max 15)</w:t>
            </w:r>
          </w:p>
          <w:p w14:paraId="4DEC8891" w14:textId="77777777" w:rsidR="00A352E0" w:rsidRDefault="00A352E0" w:rsidP="0060729D">
            <w:pPr>
              <w:keepNext/>
              <w:widowControl w:val="0"/>
              <w:tabs>
                <w:tab w:val="center" w:pos="4536"/>
                <w:tab w:val="right" w:pos="9072"/>
              </w:tabs>
              <w:spacing w:line="276" w:lineRule="auto"/>
            </w:pPr>
          </w:p>
          <w:p w14:paraId="78EF6D7D" w14:textId="5B012829" w:rsidR="00A352E0" w:rsidRDefault="00A352E0" w:rsidP="0060729D">
            <w:pPr>
              <w:keepNext/>
              <w:widowControl w:val="0"/>
              <w:tabs>
                <w:tab w:val="center" w:pos="4536"/>
                <w:tab w:val="right" w:pos="9072"/>
              </w:tabs>
              <w:spacing w:line="276" w:lineRule="auto"/>
              <w:rPr>
                <w:rFonts w:eastAsia="Calibri"/>
                <w:color w:val="000000"/>
                <w:lang w:eastAsia="en-GB"/>
              </w:rPr>
            </w:pPr>
            <w:r>
              <w:rPr>
                <w:rFonts w:eastAsia="Calibri"/>
                <w:color w:val="000000"/>
                <w:lang w:eastAsia="en-GB"/>
              </w:rPr>
              <w:t>Photo-evidence of tape strips</w:t>
            </w:r>
          </w:p>
          <w:p w14:paraId="657CABED" w14:textId="77777777" w:rsidR="0060729D" w:rsidRDefault="0060729D" w:rsidP="00AF2AEA">
            <w:pPr>
              <w:keepNext/>
              <w:widowControl w:val="0"/>
              <w:tabs>
                <w:tab w:val="center" w:pos="4536"/>
                <w:tab w:val="right" w:pos="9072"/>
              </w:tabs>
              <w:spacing w:line="276" w:lineRule="auto"/>
              <w:rPr>
                <w:rFonts w:eastAsia="Calibri"/>
                <w:color w:val="000000"/>
                <w:lang w:eastAsia="en-GB"/>
              </w:rPr>
            </w:pPr>
          </w:p>
          <w:p w14:paraId="2CAFB4CF" w14:textId="77777777" w:rsidR="00B562AF" w:rsidRDefault="00B562AF" w:rsidP="00AF2AEA">
            <w:pPr>
              <w:keepNext/>
              <w:widowControl w:val="0"/>
              <w:tabs>
                <w:tab w:val="center" w:pos="4536"/>
                <w:tab w:val="right" w:pos="9072"/>
              </w:tabs>
              <w:spacing w:line="276" w:lineRule="auto"/>
              <w:rPr>
                <w:rFonts w:eastAsia="Calibri"/>
                <w:color w:val="000000"/>
                <w:lang w:eastAsia="en-GB"/>
              </w:rPr>
            </w:pPr>
          </w:p>
          <w:p w14:paraId="6565732D" w14:textId="033C67FA" w:rsidR="002107C6" w:rsidRPr="00CF059E" w:rsidRDefault="002107C6" w:rsidP="00AF2AEA">
            <w:pPr>
              <w:keepNext/>
              <w:widowControl w:val="0"/>
              <w:tabs>
                <w:tab w:val="center" w:pos="4536"/>
                <w:tab w:val="right" w:pos="9072"/>
              </w:tabs>
              <w:spacing w:line="276" w:lineRule="auto"/>
              <w:rPr>
                <w:rFonts w:eastAsia="Calibri"/>
                <w:color w:val="000000"/>
                <w:lang w:eastAsia="en-GB"/>
              </w:rPr>
            </w:pPr>
          </w:p>
        </w:tc>
        <w:tc>
          <w:tcPr>
            <w:tcW w:w="1488" w:type="dxa"/>
            <w:shd w:val="clear" w:color="auto" w:fill="auto"/>
            <w:tcMar>
              <w:top w:w="57" w:type="dxa"/>
              <w:bottom w:w="57" w:type="dxa"/>
            </w:tcMar>
          </w:tcPr>
          <w:p w14:paraId="000065A2" w14:textId="77777777" w:rsidR="001042DA" w:rsidRPr="006B1A5A" w:rsidRDefault="001042DA" w:rsidP="00AF2AEA">
            <w:pPr>
              <w:keepNext/>
              <w:widowControl w:val="0"/>
              <w:tabs>
                <w:tab w:val="center" w:pos="4536"/>
                <w:tab w:val="right" w:pos="9072"/>
              </w:tabs>
              <w:spacing w:line="276" w:lineRule="auto"/>
              <w:rPr>
                <w:rFonts w:eastAsia="Calibri"/>
                <w:color w:val="000000"/>
                <w:lang w:eastAsia="en-GB"/>
              </w:rPr>
            </w:pPr>
            <w:r w:rsidRPr="006B1A5A">
              <w:rPr>
                <w:rFonts w:eastAsia="Calibri"/>
                <w:color w:val="000000"/>
                <w:lang w:eastAsia="en-GB"/>
              </w:rPr>
              <w:t xml:space="preserve">AquaNet LG360 </w:t>
            </w:r>
          </w:p>
          <w:p w14:paraId="2A47BAFD" w14:textId="77777777" w:rsidR="001042DA" w:rsidRPr="006B1A5A" w:rsidRDefault="001042DA" w:rsidP="00AF2AEA">
            <w:pPr>
              <w:keepNext/>
              <w:widowControl w:val="0"/>
              <w:tabs>
                <w:tab w:val="center" w:pos="4536"/>
                <w:tab w:val="right" w:pos="9072"/>
              </w:tabs>
              <w:spacing w:line="276" w:lineRule="auto"/>
              <w:rPr>
                <w:rFonts w:eastAsia="Calibri"/>
                <w:color w:val="000000"/>
                <w:lang w:eastAsia="en-GB"/>
              </w:rPr>
            </w:pPr>
          </w:p>
          <w:p w14:paraId="5E9E4FA0" w14:textId="77777777" w:rsidR="004271EF" w:rsidRDefault="001042DA" w:rsidP="00AF2AEA">
            <w:pPr>
              <w:keepNext/>
              <w:widowControl w:val="0"/>
              <w:tabs>
                <w:tab w:val="center" w:pos="4536"/>
                <w:tab w:val="right" w:pos="9072"/>
              </w:tabs>
              <w:spacing w:line="276" w:lineRule="auto"/>
              <w:rPr>
                <w:rFonts w:eastAsia="Calibri"/>
                <w:color w:val="000000"/>
                <w:lang w:eastAsia="en-GB"/>
              </w:rPr>
            </w:pPr>
            <w:r w:rsidRPr="006B1A5A">
              <w:rPr>
                <w:rFonts w:eastAsia="Calibri"/>
                <w:color w:val="000000"/>
                <w:lang w:eastAsia="en-GB"/>
              </w:rPr>
              <w:t>Concentrate: dicopper oxide 13.8% and copper thiocyanate</w:t>
            </w:r>
          </w:p>
          <w:p w14:paraId="1CDD4C2A" w14:textId="487C2B84" w:rsidR="001042DA" w:rsidRDefault="001042DA" w:rsidP="00AF2AEA">
            <w:pPr>
              <w:keepNext/>
              <w:widowControl w:val="0"/>
              <w:tabs>
                <w:tab w:val="center" w:pos="4536"/>
                <w:tab w:val="right" w:pos="9072"/>
              </w:tabs>
              <w:spacing w:line="276" w:lineRule="auto"/>
              <w:rPr>
                <w:rFonts w:eastAsia="Calibri"/>
                <w:color w:val="000000"/>
                <w:lang w:eastAsia="en-GB"/>
              </w:rPr>
            </w:pPr>
            <w:r w:rsidRPr="006B1A5A">
              <w:rPr>
                <w:rFonts w:eastAsia="Calibri"/>
                <w:color w:val="000000"/>
                <w:lang w:eastAsia="en-GB"/>
              </w:rPr>
              <w:t xml:space="preserve">3.9% </w:t>
            </w:r>
          </w:p>
          <w:p w14:paraId="4FBA55B2" w14:textId="77777777" w:rsidR="00F53583" w:rsidRPr="006B1A5A" w:rsidRDefault="00F53583" w:rsidP="00AF2AEA">
            <w:pPr>
              <w:keepNext/>
              <w:widowControl w:val="0"/>
              <w:tabs>
                <w:tab w:val="center" w:pos="4536"/>
                <w:tab w:val="right" w:pos="9072"/>
              </w:tabs>
              <w:spacing w:line="276" w:lineRule="auto"/>
              <w:rPr>
                <w:rFonts w:eastAsia="Calibri"/>
                <w:color w:val="000000"/>
                <w:lang w:eastAsia="en-GB"/>
              </w:rPr>
            </w:pPr>
          </w:p>
          <w:p w14:paraId="70BF96C2" w14:textId="77777777" w:rsidR="001042DA" w:rsidRPr="006B1A5A" w:rsidRDefault="001042DA" w:rsidP="00AF2AEA">
            <w:pPr>
              <w:keepNext/>
              <w:widowControl w:val="0"/>
              <w:tabs>
                <w:tab w:val="center" w:pos="4536"/>
                <w:tab w:val="right" w:pos="9072"/>
              </w:tabs>
              <w:spacing w:line="276" w:lineRule="auto"/>
              <w:rPr>
                <w:rFonts w:eastAsia="Calibri"/>
                <w:color w:val="000000"/>
                <w:lang w:eastAsia="en-GB"/>
              </w:rPr>
            </w:pPr>
            <w:r w:rsidRPr="006B1A5A">
              <w:rPr>
                <w:rFonts w:eastAsia="Calibri"/>
                <w:color w:val="000000"/>
                <w:lang w:eastAsia="en-GB"/>
              </w:rPr>
              <w:t xml:space="preserve">Dilution: concentrate diluted 1:1 with water </w:t>
            </w:r>
          </w:p>
        </w:tc>
        <w:tc>
          <w:tcPr>
            <w:tcW w:w="3615" w:type="dxa"/>
            <w:shd w:val="clear" w:color="auto" w:fill="auto"/>
            <w:tcMar>
              <w:top w:w="57" w:type="dxa"/>
              <w:bottom w:w="57" w:type="dxa"/>
            </w:tcMar>
          </w:tcPr>
          <w:tbl>
            <w:tblPr>
              <w:tblStyle w:val="Tabellrutenett"/>
              <w:tblW w:w="3534" w:type="dxa"/>
              <w:tblLayout w:type="fixed"/>
              <w:tblLook w:val="04A0" w:firstRow="1" w:lastRow="0" w:firstColumn="1" w:lastColumn="0" w:noHBand="0" w:noVBand="1"/>
            </w:tblPr>
            <w:tblGrid>
              <w:gridCol w:w="1269"/>
              <w:gridCol w:w="1131"/>
              <w:gridCol w:w="1134"/>
            </w:tblGrid>
            <w:tr w:rsidR="001042DA" w:rsidRPr="006B1A5A" w14:paraId="287D2505" w14:textId="77777777" w:rsidTr="00A14CD6">
              <w:tc>
                <w:tcPr>
                  <w:tcW w:w="1269" w:type="dxa"/>
                </w:tcPr>
                <w:p w14:paraId="010796D4" w14:textId="77777777" w:rsidR="001042DA" w:rsidRPr="006B1A5A" w:rsidRDefault="001042DA" w:rsidP="00AF2AEA">
                  <w:pPr>
                    <w:keepNext/>
                    <w:widowControl w:val="0"/>
                    <w:tabs>
                      <w:tab w:val="center" w:pos="4536"/>
                      <w:tab w:val="right" w:pos="9072"/>
                    </w:tabs>
                    <w:spacing w:line="276" w:lineRule="auto"/>
                    <w:jc w:val="center"/>
                    <w:rPr>
                      <w:rFonts w:eastAsia="Calibri"/>
                      <w:color w:val="000000"/>
                      <w:sz w:val="18"/>
                      <w:szCs w:val="16"/>
                      <w:lang w:eastAsia="en-GB"/>
                    </w:rPr>
                  </w:pPr>
                  <w:r w:rsidRPr="006B1A5A">
                    <w:rPr>
                      <w:rFonts w:eastAsia="Calibri"/>
                      <w:color w:val="000000"/>
                      <w:sz w:val="18"/>
                      <w:szCs w:val="16"/>
                      <w:lang w:eastAsia="en-GB"/>
                    </w:rPr>
                    <w:t>Compart-ment</w:t>
                  </w:r>
                </w:p>
              </w:tc>
              <w:tc>
                <w:tcPr>
                  <w:tcW w:w="1131" w:type="dxa"/>
                </w:tcPr>
                <w:p w14:paraId="1B31EA5B" w14:textId="77777777" w:rsidR="001042DA" w:rsidRPr="006B1A5A" w:rsidRDefault="001042DA" w:rsidP="00AF2AEA">
                  <w:pPr>
                    <w:keepNext/>
                    <w:widowControl w:val="0"/>
                    <w:tabs>
                      <w:tab w:val="center" w:pos="4536"/>
                      <w:tab w:val="right" w:pos="9072"/>
                    </w:tabs>
                    <w:spacing w:line="276" w:lineRule="auto"/>
                    <w:jc w:val="center"/>
                    <w:rPr>
                      <w:rFonts w:eastAsia="Calibri"/>
                      <w:color w:val="000000"/>
                      <w:sz w:val="18"/>
                      <w:szCs w:val="16"/>
                      <w:lang w:eastAsia="en-GB"/>
                    </w:rPr>
                  </w:pPr>
                  <w:r w:rsidRPr="006B1A5A">
                    <w:rPr>
                      <w:rFonts w:eastAsia="Calibri"/>
                      <w:color w:val="000000"/>
                      <w:sz w:val="18"/>
                      <w:szCs w:val="16"/>
                      <w:lang w:eastAsia="en-GB"/>
                    </w:rPr>
                    <w:t>Concentrate</w:t>
                  </w:r>
                </w:p>
              </w:tc>
              <w:tc>
                <w:tcPr>
                  <w:tcW w:w="1134" w:type="dxa"/>
                </w:tcPr>
                <w:p w14:paraId="64F86665" w14:textId="77777777" w:rsidR="001042DA" w:rsidRPr="006B1A5A" w:rsidRDefault="001042DA" w:rsidP="00AF2AEA">
                  <w:pPr>
                    <w:keepNext/>
                    <w:widowControl w:val="0"/>
                    <w:tabs>
                      <w:tab w:val="center" w:pos="4536"/>
                      <w:tab w:val="right" w:pos="9072"/>
                    </w:tabs>
                    <w:spacing w:line="276" w:lineRule="auto"/>
                    <w:jc w:val="center"/>
                    <w:rPr>
                      <w:rFonts w:eastAsia="Calibri"/>
                      <w:color w:val="000000"/>
                      <w:sz w:val="18"/>
                      <w:szCs w:val="16"/>
                      <w:lang w:eastAsia="en-GB"/>
                    </w:rPr>
                  </w:pPr>
                  <w:r w:rsidRPr="006B1A5A">
                    <w:rPr>
                      <w:rFonts w:eastAsia="Calibri"/>
                      <w:color w:val="000000"/>
                      <w:sz w:val="18"/>
                      <w:szCs w:val="16"/>
                      <w:lang w:eastAsia="en-GB"/>
                    </w:rPr>
                    <w:t>Dilution</w:t>
                  </w:r>
                </w:p>
              </w:tc>
            </w:tr>
            <w:tr w:rsidR="001042DA" w:rsidRPr="006B1A5A" w14:paraId="59D06405" w14:textId="77777777" w:rsidTr="00A14CD6">
              <w:tc>
                <w:tcPr>
                  <w:tcW w:w="1269" w:type="dxa"/>
                </w:tcPr>
                <w:p w14:paraId="6401F766" w14:textId="77777777" w:rsidR="001042DA" w:rsidRPr="006B1A5A" w:rsidRDefault="001042DA" w:rsidP="00AF2AEA">
                  <w:pPr>
                    <w:keepNext/>
                    <w:widowControl w:val="0"/>
                    <w:tabs>
                      <w:tab w:val="center" w:pos="4536"/>
                      <w:tab w:val="right" w:pos="9072"/>
                    </w:tabs>
                    <w:spacing w:line="276" w:lineRule="auto"/>
                    <w:jc w:val="center"/>
                    <w:rPr>
                      <w:rFonts w:eastAsia="Calibri"/>
                      <w:color w:val="000000"/>
                      <w:sz w:val="18"/>
                      <w:szCs w:val="16"/>
                      <w:lang w:eastAsia="en-GB"/>
                    </w:rPr>
                  </w:pPr>
                  <w:r w:rsidRPr="006B1A5A">
                    <w:rPr>
                      <w:rFonts w:eastAsia="Calibri"/>
                      <w:color w:val="000000"/>
                      <w:sz w:val="18"/>
                      <w:szCs w:val="16"/>
                      <w:lang w:eastAsia="en-GB"/>
                    </w:rPr>
                    <w:t xml:space="preserve">Tape strips </w:t>
                  </w:r>
                </w:p>
                <w:p w14:paraId="3A7CE1F1" w14:textId="77777777" w:rsidR="001042DA" w:rsidRPr="006B1A5A" w:rsidRDefault="001042DA" w:rsidP="00AF2AEA">
                  <w:pPr>
                    <w:keepNext/>
                    <w:widowControl w:val="0"/>
                    <w:tabs>
                      <w:tab w:val="center" w:pos="4536"/>
                      <w:tab w:val="right" w:pos="9072"/>
                    </w:tabs>
                    <w:spacing w:line="276" w:lineRule="auto"/>
                    <w:jc w:val="center"/>
                    <w:rPr>
                      <w:rFonts w:eastAsia="Calibri"/>
                      <w:color w:val="000000"/>
                      <w:sz w:val="18"/>
                      <w:szCs w:val="16"/>
                      <w:lang w:eastAsia="en-GB"/>
                    </w:rPr>
                  </w:pPr>
                  <w:r w:rsidRPr="006B1A5A">
                    <w:rPr>
                      <w:rFonts w:eastAsia="Calibri"/>
                      <w:color w:val="000000"/>
                      <w:sz w:val="18"/>
                      <w:szCs w:val="16"/>
                      <w:lang w:eastAsia="en-GB"/>
                    </w:rPr>
                    <w:t>1 &amp; 2</w:t>
                  </w:r>
                </w:p>
              </w:tc>
              <w:tc>
                <w:tcPr>
                  <w:tcW w:w="1131" w:type="dxa"/>
                </w:tcPr>
                <w:p w14:paraId="562F8947" w14:textId="77777777" w:rsidR="002F6080" w:rsidRDefault="001042DA" w:rsidP="00AF2AEA">
                  <w:pPr>
                    <w:keepNext/>
                    <w:widowControl w:val="0"/>
                    <w:tabs>
                      <w:tab w:val="center" w:pos="4536"/>
                      <w:tab w:val="right" w:pos="9072"/>
                    </w:tabs>
                    <w:spacing w:line="276" w:lineRule="auto"/>
                    <w:jc w:val="center"/>
                    <w:rPr>
                      <w:rFonts w:eastAsia="Calibri"/>
                      <w:color w:val="000000"/>
                      <w:sz w:val="18"/>
                      <w:szCs w:val="16"/>
                      <w:lang w:eastAsia="en-GB"/>
                    </w:rPr>
                  </w:pPr>
                  <w:r w:rsidRPr="006B1A5A">
                    <w:rPr>
                      <w:rFonts w:eastAsia="Calibri"/>
                      <w:color w:val="000000"/>
                      <w:sz w:val="18"/>
                      <w:szCs w:val="16"/>
                      <w:lang w:eastAsia="en-GB"/>
                    </w:rPr>
                    <w:t>108.88±</w:t>
                  </w:r>
                </w:p>
                <w:p w14:paraId="63F4A4E1" w14:textId="64A983BB" w:rsidR="001042DA" w:rsidRPr="006B1A5A" w:rsidRDefault="001042DA" w:rsidP="00AF2AEA">
                  <w:pPr>
                    <w:keepNext/>
                    <w:widowControl w:val="0"/>
                    <w:tabs>
                      <w:tab w:val="center" w:pos="4536"/>
                      <w:tab w:val="right" w:pos="9072"/>
                    </w:tabs>
                    <w:spacing w:line="276" w:lineRule="auto"/>
                    <w:jc w:val="center"/>
                    <w:rPr>
                      <w:rFonts w:eastAsia="Calibri"/>
                      <w:color w:val="000000"/>
                      <w:sz w:val="18"/>
                      <w:szCs w:val="16"/>
                      <w:lang w:eastAsia="en-GB"/>
                    </w:rPr>
                  </w:pPr>
                  <w:r w:rsidRPr="006B1A5A">
                    <w:rPr>
                      <w:rFonts w:eastAsia="Calibri"/>
                      <w:color w:val="000000"/>
                      <w:sz w:val="18"/>
                      <w:szCs w:val="16"/>
                      <w:lang w:eastAsia="en-GB"/>
                    </w:rPr>
                    <w:t>13.87</w:t>
                  </w:r>
                </w:p>
              </w:tc>
              <w:tc>
                <w:tcPr>
                  <w:tcW w:w="1134" w:type="dxa"/>
                </w:tcPr>
                <w:p w14:paraId="7CF7A433" w14:textId="77777777" w:rsidR="002F6080" w:rsidRDefault="001042DA" w:rsidP="00AF2AEA">
                  <w:pPr>
                    <w:keepNext/>
                    <w:widowControl w:val="0"/>
                    <w:tabs>
                      <w:tab w:val="center" w:pos="4536"/>
                      <w:tab w:val="right" w:pos="9072"/>
                    </w:tabs>
                    <w:spacing w:line="276" w:lineRule="auto"/>
                    <w:jc w:val="center"/>
                    <w:rPr>
                      <w:rFonts w:eastAsia="Calibri"/>
                      <w:color w:val="000000"/>
                      <w:sz w:val="18"/>
                      <w:szCs w:val="16"/>
                      <w:lang w:eastAsia="en-GB"/>
                    </w:rPr>
                  </w:pPr>
                  <w:r w:rsidRPr="006B1A5A">
                    <w:rPr>
                      <w:rFonts w:eastAsia="Calibri"/>
                      <w:color w:val="000000"/>
                      <w:sz w:val="18"/>
                      <w:szCs w:val="16"/>
                      <w:lang w:eastAsia="en-GB"/>
                    </w:rPr>
                    <w:t>96.52±</w:t>
                  </w:r>
                </w:p>
                <w:p w14:paraId="3B662CC5" w14:textId="4A50130D" w:rsidR="001042DA" w:rsidRPr="006B1A5A" w:rsidRDefault="001042DA" w:rsidP="00AF2AEA">
                  <w:pPr>
                    <w:keepNext/>
                    <w:widowControl w:val="0"/>
                    <w:tabs>
                      <w:tab w:val="center" w:pos="4536"/>
                      <w:tab w:val="right" w:pos="9072"/>
                    </w:tabs>
                    <w:spacing w:line="276" w:lineRule="auto"/>
                    <w:jc w:val="center"/>
                    <w:rPr>
                      <w:rFonts w:eastAsia="Calibri"/>
                      <w:color w:val="000000"/>
                      <w:sz w:val="18"/>
                      <w:szCs w:val="16"/>
                      <w:lang w:eastAsia="en-GB"/>
                    </w:rPr>
                  </w:pPr>
                  <w:r w:rsidRPr="006B1A5A">
                    <w:rPr>
                      <w:rFonts w:eastAsia="Calibri"/>
                      <w:color w:val="000000"/>
                      <w:sz w:val="18"/>
                      <w:szCs w:val="16"/>
                      <w:lang w:eastAsia="en-GB"/>
                    </w:rPr>
                    <w:t>4.46</w:t>
                  </w:r>
                </w:p>
              </w:tc>
            </w:tr>
            <w:tr w:rsidR="001042DA" w:rsidRPr="006B1A5A" w14:paraId="2376861E" w14:textId="77777777" w:rsidTr="00A14CD6">
              <w:tc>
                <w:tcPr>
                  <w:tcW w:w="1269" w:type="dxa"/>
                </w:tcPr>
                <w:p w14:paraId="2A9A0795" w14:textId="77777777" w:rsidR="001042DA" w:rsidRPr="006B1A5A" w:rsidRDefault="001042DA" w:rsidP="00AF2AEA">
                  <w:pPr>
                    <w:keepNext/>
                    <w:widowControl w:val="0"/>
                    <w:tabs>
                      <w:tab w:val="center" w:pos="4536"/>
                      <w:tab w:val="right" w:pos="9072"/>
                    </w:tabs>
                    <w:spacing w:line="276" w:lineRule="auto"/>
                    <w:jc w:val="center"/>
                    <w:rPr>
                      <w:rFonts w:eastAsia="Calibri"/>
                      <w:color w:val="000000"/>
                      <w:sz w:val="18"/>
                      <w:szCs w:val="16"/>
                      <w:lang w:eastAsia="en-GB"/>
                    </w:rPr>
                  </w:pPr>
                  <w:r w:rsidRPr="006B1A5A">
                    <w:rPr>
                      <w:rFonts w:eastAsia="Calibri"/>
                      <w:color w:val="000000"/>
                      <w:sz w:val="18"/>
                      <w:szCs w:val="16"/>
                      <w:lang w:eastAsia="en-GB"/>
                    </w:rPr>
                    <w:t>Tape-strips 3+</w:t>
                  </w:r>
                </w:p>
              </w:tc>
              <w:tc>
                <w:tcPr>
                  <w:tcW w:w="1131" w:type="dxa"/>
                </w:tcPr>
                <w:p w14:paraId="6D732753" w14:textId="77777777" w:rsidR="002F6080" w:rsidRDefault="001042DA" w:rsidP="00AF2AEA">
                  <w:pPr>
                    <w:keepNext/>
                    <w:widowControl w:val="0"/>
                    <w:tabs>
                      <w:tab w:val="center" w:pos="4536"/>
                      <w:tab w:val="right" w:pos="9072"/>
                    </w:tabs>
                    <w:spacing w:line="276" w:lineRule="auto"/>
                    <w:jc w:val="center"/>
                    <w:rPr>
                      <w:rFonts w:eastAsia="Calibri"/>
                      <w:color w:val="000000"/>
                      <w:sz w:val="18"/>
                      <w:szCs w:val="16"/>
                      <w:lang w:eastAsia="en-GB"/>
                    </w:rPr>
                  </w:pPr>
                  <w:r w:rsidRPr="006B1A5A">
                    <w:rPr>
                      <w:rFonts w:eastAsia="Calibri"/>
                      <w:color w:val="000000"/>
                      <w:sz w:val="18"/>
                      <w:szCs w:val="16"/>
                      <w:lang w:eastAsia="en-GB"/>
                    </w:rPr>
                    <w:t>0.44±</w:t>
                  </w:r>
                </w:p>
                <w:p w14:paraId="7221AAF4" w14:textId="78B25BA8" w:rsidR="001042DA" w:rsidRPr="006B1A5A" w:rsidRDefault="001042DA" w:rsidP="00AF2AEA">
                  <w:pPr>
                    <w:keepNext/>
                    <w:widowControl w:val="0"/>
                    <w:tabs>
                      <w:tab w:val="center" w:pos="4536"/>
                      <w:tab w:val="right" w:pos="9072"/>
                    </w:tabs>
                    <w:spacing w:line="276" w:lineRule="auto"/>
                    <w:jc w:val="center"/>
                    <w:rPr>
                      <w:rFonts w:eastAsia="Calibri"/>
                      <w:color w:val="000000"/>
                      <w:sz w:val="18"/>
                      <w:szCs w:val="16"/>
                      <w:lang w:eastAsia="en-GB"/>
                    </w:rPr>
                  </w:pPr>
                  <w:r w:rsidRPr="006B1A5A">
                    <w:rPr>
                      <w:rFonts w:eastAsia="Calibri"/>
                      <w:color w:val="000000"/>
                      <w:sz w:val="18"/>
                      <w:szCs w:val="16"/>
                      <w:lang w:eastAsia="en-GB"/>
                    </w:rPr>
                    <w:t>0.40</w:t>
                  </w:r>
                </w:p>
              </w:tc>
              <w:tc>
                <w:tcPr>
                  <w:tcW w:w="1134" w:type="dxa"/>
                </w:tcPr>
                <w:p w14:paraId="5E750510" w14:textId="77777777" w:rsidR="002F6080" w:rsidRDefault="001042DA" w:rsidP="00AF2AEA">
                  <w:pPr>
                    <w:keepNext/>
                    <w:widowControl w:val="0"/>
                    <w:tabs>
                      <w:tab w:val="center" w:pos="4536"/>
                      <w:tab w:val="right" w:pos="9072"/>
                    </w:tabs>
                    <w:spacing w:line="276" w:lineRule="auto"/>
                    <w:jc w:val="center"/>
                    <w:rPr>
                      <w:rFonts w:eastAsia="Calibri"/>
                      <w:color w:val="000000"/>
                      <w:sz w:val="18"/>
                      <w:szCs w:val="16"/>
                      <w:lang w:eastAsia="en-GB"/>
                    </w:rPr>
                  </w:pPr>
                  <w:r w:rsidRPr="006B1A5A">
                    <w:rPr>
                      <w:rFonts w:eastAsia="Calibri"/>
                      <w:color w:val="000000"/>
                      <w:sz w:val="18"/>
                      <w:szCs w:val="16"/>
                      <w:lang w:eastAsia="en-GB"/>
                    </w:rPr>
                    <w:t>3.07±</w:t>
                  </w:r>
                </w:p>
                <w:p w14:paraId="10A84BF4" w14:textId="7FE0644E" w:rsidR="001042DA" w:rsidRPr="006B1A5A" w:rsidRDefault="001042DA" w:rsidP="00AF2AEA">
                  <w:pPr>
                    <w:keepNext/>
                    <w:widowControl w:val="0"/>
                    <w:tabs>
                      <w:tab w:val="center" w:pos="4536"/>
                      <w:tab w:val="right" w:pos="9072"/>
                    </w:tabs>
                    <w:spacing w:line="276" w:lineRule="auto"/>
                    <w:jc w:val="center"/>
                    <w:rPr>
                      <w:rFonts w:eastAsia="Calibri"/>
                      <w:color w:val="000000"/>
                      <w:sz w:val="18"/>
                      <w:szCs w:val="16"/>
                      <w:lang w:eastAsia="en-GB"/>
                    </w:rPr>
                  </w:pPr>
                  <w:r w:rsidRPr="006B1A5A">
                    <w:rPr>
                      <w:rFonts w:eastAsia="Calibri"/>
                      <w:color w:val="000000"/>
                      <w:sz w:val="18"/>
                      <w:szCs w:val="16"/>
                      <w:lang w:eastAsia="en-GB"/>
                    </w:rPr>
                    <w:t>3.54</w:t>
                  </w:r>
                </w:p>
              </w:tc>
            </w:tr>
            <w:tr w:rsidR="001042DA" w:rsidRPr="006B1A5A" w14:paraId="0EB812F4" w14:textId="77777777" w:rsidTr="00A14CD6">
              <w:tc>
                <w:tcPr>
                  <w:tcW w:w="1269" w:type="dxa"/>
                </w:tcPr>
                <w:p w14:paraId="0645150D" w14:textId="6207C4C2" w:rsidR="001042DA" w:rsidRDefault="001042DA" w:rsidP="00AF2AEA">
                  <w:pPr>
                    <w:keepNext/>
                    <w:widowControl w:val="0"/>
                    <w:tabs>
                      <w:tab w:val="center" w:pos="4536"/>
                      <w:tab w:val="right" w:pos="9072"/>
                    </w:tabs>
                    <w:spacing w:line="276" w:lineRule="auto"/>
                    <w:jc w:val="center"/>
                    <w:rPr>
                      <w:rFonts w:eastAsia="Calibri"/>
                      <w:color w:val="000000"/>
                      <w:sz w:val="18"/>
                      <w:szCs w:val="16"/>
                      <w:lang w:eastAsia="en-GB"/>
                    </w:rPr>
                  </w:pPr>
                  <w:r w:rsidRPr="006B1A5A">
                    <w:rPr>
                      <w:rFonts w:eastAsia="Calibri"/>
                      <w:color w:val="000000"/>
                      <w:sz w:val="18"/>
                      <w:szCs w:val="16"/>
                      <w:lang w:eastAsia="en-GB"/>
                    </w:rPr>
                    <w:t>Skin</w:t>
                  </w:r>
                </w:p>
                <w:p w14:paraId="1503E266" w14:textId="372AF2CE" w:rsidR="00710B33" w:rsidRPr="008369B6" w:rsidRDefault="008369B6" w:rsidP="008369B6">
                  <w:pPr>
                    <w:keepNext/>
                    <w:widowControl w:val="0"/>
                    <w:tabs>
                      <w:tab w:val="center" w:pos="4536"/>
                      <w:tab w:val="right" w:pos="9072"/>
                    </w:tabs>
                    <w:spacing w:line="276" w:lineRule="auto"/>
                    <w:jc w:val="center"/>
                    <w:rPr>
                      <w:rFonts w:eastAsia="Calibri"/>
                      <w:color w:val="000000"/>
                      <w:sz w:val="16"/>
                      <w:szCs w:val="16"/>
                      <w:lang w:eastAsia="en-GB"/>
                    </w:rPr>
                  </w:pPr>
                  <w:r w:rsidRPr="008369B6">
                    <w:rPr>
                      <w:rFonts w:eastAsia="Calibri"/>
                      <w:color w:val="000000"/>
                      <w:sz w:val="16"/>
                      <w:szCs w:val="16"/>
                      <w:lang w:eastAsia="en-GB"/>
                    </w:rPr>
                    <w:t>(exposed + surrounding skin)</w:t>
                  </w:r>
                </w:p>
              </w:tc>
              <w:tc>
                <w:tcPr>
                  <w:tcW w:w="1131" w:type="dxa"/>
                </w:tcPr>
                <w:p w14:paraId="46CDBC90" w14:textId="77777777" w:rsidR="002F6080" w:rsidRDefault="001042DA" w:rsidP="00AF2AEA">
                  <w:pPr>
                    <w:keepNext/>
                    <w:widowControl w:val="0"/>
                    <w:tabs>
                      <w:tab w:val="center" w:pos="4536"/>
                      <w:tab w:val="right" w:pos="9072"/>
                    </w:tabs>
                    <w:spacing w:line="276" w:lineRule="auto"/>
                    <w:jc w:val="center"/>
                    <w:rPr>
                      <w:rFonts w:eastAsia="Calibri"/>
                      <w:color w:val="000000"/>
                      <w:sz w:val="18"/>
                      <w:szCs w:val="16"/>
                      <w:lang w:eastAsia="en-GB"/>
                    </w:rPr>
                  </w:pPr>
                  <w:r w:rsidRPr="006B1A5A">
                    <w:rPr>
                      <w:rFonts w:eastAsia="Calibri"/>
                      <w:color w:val="000000"/>
                      <w:sz w:val="18"/>
                      <w:szCs w:val="16"/>
                      <w:lang w:eastAsia="en-GB"/>
                    </w:rPr>
                    <w:t>0.05±</w:t>
                  </w:r>
                </w:p>
                <w:p w14:paraId="5111310E" w14:textId="75B89F8C" w:rsidR="001042DA" w:rsidRPr="006B1A5A" w:rsidRDefault="001042DA" w:rsidP="00AF2AEA">
                  <w:pPr>
                    <w:keepNext/>
                    <w:widowControl w:val="0"/>
                    <w:tabs>
                      <w:tab w:val="center" w:pos="4536"/>
                      <w:tab w:val="right" w:pos="9072"/>
                    </w:tabs>
                    <w:spacing w:line="276" w:lineRule="auto"/>
                    <w:jc w:val="center"/>
                    <w:rPr>
                      <w:rFonts w:eastAsia="Calibri"/>
                      <w:color w:val="000000"/>
                      <w:sz w:val="18"/>
                      <w:szCs w:val="16"/>
                      <w:lang w:eastAsia="en-GB"/>
                    </w:rPr>
                  </w:pPr>
                  <w:r w:rsidRPr="006B1A5A">
                    <w:rPr>
                      <w:rFonts w:eastAsia="Calibri"/>
                      <w:color w:val="000000"/>
                      <w:sz w:val="18"/>
                      <w:szCs w:val="16"/>
                      <w:lang w:eastAsia="en-GB"/>
                    </w:rPr>
                    <w:t>0.05</w:t>
                  </w:r>
                </w:p>
              </w:tc>
              <w:tc>
                <w:tcPr>
                  <w:tcW w:w="1134" w:type="dxa"/>
                </w:tcPr>
                <w:p w14:paraId="27764922" w14:textId="77777777" w:rsidR="002F6080" w:rsidRDefault="001042DA" w:rsidP="00AF2AEA">
                  <w:pPr>
                    <w:keepNext/>
                    <w:widowControl w:val="0"/>
                    <w:tabs>
                      <w:tab w:val="center" w:pos="4536"/>
                      <w:tab w:val="right" w:pos="9072"/>
                    </w:tabs>
                    <w:spacing w:line="276" w:lineRule="auto"/>
                    <w:jc w:val="center"/>
                    <w:rPr>
                      <w:rFonts w:eastAsia="Calibri"/>
                      <w:color w:val="000000"/>
                      <w:sz w:val="18"/>
                      <w:szCs w:val="16"/>
                      <w:lang w:eastAsia="en-GB"/>
                    </w:rPr>
                  </w:pPr>
                  <w:r w:rsidRPr="006B1A5A">
                    <w:rPr>
                      <w:rFonts w:eastAsia="Calibri"/>
                      <w:color w:val="000000"/>
                      <w:sz w:val="18"/>
                      <w:szCs w:val="16"/>
                      <w:lang w:eastAsia="en-GB"/>
                    </w:rPr>
                    <w:t>0.28±</w:t>
                  </w:r>
                </w:p>
                <w:p w14:paraId="1B93C34D" w14:textId="6378AC49" w:rsidR="001042DA" w:rsidRPr="006B1A5A" w:rsidRDefault="001042DA" w:rsidP="00AF2AEA">
                  <w:pPr>
                    <w:keepNext/>
                    <w:widowControl w:val="0"/>
                    <w:tabs>
                      <w:tab w:val="center" w:pos="4536"/>
                      <w:tab w:val="right" w:pos="9072"/>
                    </w:tabs>
                    <w:spacing w:line="276" w:lineRule="auto"/>
                    <w:jc w:val="center"/>
                    <w:rPr>
                      <w:rFonts w:eastAsia="Calibri"/>
                      <w:color w:val="000000"/>
                      <w:sz w:val="18"/>
                      <w:szCs w:val="16"/>
                      <w:lang w:eastAsia="en-GB"/>
                    </w:rPr>
                  </w:pPr>
                  <w:r w:rsidRPr="006B1A5A">
                    <w:rPr>
                      <w:rFonts w:eastAsia="Calibri"/>
                      <w:color w:val="000000"/>
                      <w:sz w:val="18"/>
                      <w:szCs w:val="16"/>
                      <w:lang w:eastAsia="en-GB"/>
                    </w:rPr>
                    <w:t>0.11</w:t>
                  </w:r>
                </w:p>
              </w:tc>
            </w:tr>
            <w:tr w:rsidR="001042DA" w:rsidRPr="006B1A5A" w14:paraId="40267234" w14:textId="77777777" w:rsidTr="00A14CD6">
              <w:tc>
                <w:tcPr>
                  <w:tcW w:w="1269" w:type="dxa"/>
                </w:tcPr>
                <w:p w14:paraId="7B289964" w14:textId="77777777" w:rsidR="001042DA" w:rsidRDefault="001042DA" w:rsidP="00AF2AEA">
                  <w:pPr>
                    <w:keepNext/>
                    <w:widowControl w:val="0"/>
                    <w:tabs>
                      <w:tab w:val="center" w:pos="4536"/>
                      <w:tab w:val="right" w:pos="9072"/>
                    </w:tabs>
                    <w:spacing w:line="276" w:lineRule="auto"/>
                    <w:jc w:val="center"/>
                    <w:rPr>
                      <w:rFonts w:eastAsia="Calibri"/>
                      <w:color w:val="000000"/>
                      <w:sz w:val="18"/>
                      <w:szCs w:val="16"/>
                      <w:lang w:eastAsia="en-GB"/>
                    </w:rPr>
                  </w:pPr>
                  <w:r w:rsidRPr="006B1A5A">
                    <w:rPr>
                      <w:rFonts w:eastAsia="Calibri"/>
                      <w:color w:val="000000"/>
                      <w:sz w:val="18"/>
                      <w:szCs w:val="16"/>
                      <w:lang w:eastAsia="en-GB"/>
                    </w:rPr>
                    <w:t>Receptor Fluid</w:t>
                  </w:r>
                </w:p>
                <w:p w14:paraId="46BBD409" w14:textId="13FAD699" w:rsidR="008369B6" w:rsidRPr="008369B6" w:rsidRDefault="008369B6" w:rsidP="00AF2AEA">
                  <w:pPr>
                    <w:keepNext/>
                    <w:widowControl w:val="0"/>
                    <w:tabs>
                      <w:tab w:val="center" w:pos="4536"/>
                      <w:tab w:val="right" w:pos="9072"/>
                    </w:tabs>
                    <w:spacing w:line="276" w:lineRule="auto"/>
                    <w:jc w:val="center"/>
                    <w:rPr>
                      <w:rFonts w:eastAsia="Calibri"/>
                      <w:color w:val="000000"/>
                      <w:sz w:val="16"/>
                      <w:szCs w:val="16"/>
                      <w:lang w:eastAsia="en-GB"/>
                    </w:rPr>
                  </w:pPr>
                  <w:r w:rsidRPr="008369B6">
                    <w:rPr>
                      <w:rFonts w:eastAsia="Calibri"/>
                      <w:color w:val="000000"/>
                      <w:sz w:val="16"/>
                      <w:szCs w:val="16"/>
                      <w:lang w:eastAsia="en-GB"/>
                    </w:rPr>
                    <w:t>(incl. receptor compartment rinsing)</w:t>
                  </w:r>
                </w:p>
              </w:tc>
              <w:tc>
                <w:tcPr>
                  <w:tcW w:w="1131" w:type="dxa"/>
                </w:tcPr>
                <w:p w14:paraId="5323317E" w14:textId="77777777" w:rsidR="002F6080" w:rsidRDefault="001042DA" w:rsidP="00AF2AEA">
                  <w:pPr>
                    <w:keepNext/>
                    <w:widowControl w:val="0"/>
                    <w:tabs>
                      <w:tab w:val="center" w:pos="4536"/>
                      <w:tab w:val="right" w:pos="9072"/>
                    </w:tabs>
                    <w:spacing w:line="276" w:lineRule="auto"/>
                    <w:jc w:val="center"/>
                    <w:rPr>
                      <w:rFonts w:eastAsia="Calibri"/>
                      <w:color w:val="000000"/>
                      <w:sz w:val="18"/>
                      <w:szCs w:val="16"/>
                      <w:lang w:eastAsia="en-GB"/>
                    </w:rPr>
                  </w:pPr>
                  <w:r w:rsidRPr="006B1A5A">
                    <w:rPr>
                      <w:rFonts w:eastAsia="Calibri"/>
                      <w:color w:val="000000"/>
                      <w:sz w:val="18"/>
                      <w:szCs w:val="16"/>
                      <w:lang w:eastAsia="en-GB"/>
                    </w:rPr>
                    <w:t>0.01±</w:t>
                  </w:r>
                </w:p>
                <w:p w14:paraId="2EC23C5B" w14:textId="5DC7C025" w:rsidR="001042DA" w:rsidRPr="006B1A5A" w:rsidRDefault="001042DA" w:rsidP="00AF2AEA">
                  <w:pPr>
                    <w:keepNext/>
                    <w:widowControl w:val="0"/>
                    <w:tabs>
                      <w:tab w:val="center" w:pos="4536"/>
                      <w:tab w:val="right" w:pos="9072"/>
                    </w:tabs>
                    <w:spacing w:line="276" w:lineRule="auto"/>
                    <w:jc w:val="center"/>
                    <w:rPr>
                      <w:rFonts w:eastAsia="Calibri"/>
                      <w:color w:val="000000"/>
                      <w:sz w:val="18"/>
                      <w:szCs w:val="16"/>
                      <w:lang w:eastAsia="en-GB"/>
                    </w:rPr>
                  </w:pPr>
                  <w:r w:rsidRPr="006B1A5A">
                    <w:rPr>
                      <w:rFonts w:eastAsia="Calibri"/>
                      <w:color w:val="000000"/>
                      <w:sz w:val="18"/>
                      <w:szCs w:val="16"/>
                      <w:lang w:eastAsia="en-GB"/>
                    </w:rPr>
                    <w:t>0.001</w:t>
                  </w:r>
                </w:p>
              </w:tc>
              <w:tc>
                <w:tcPr>
                  <w:tcW w:w="1134" w:type="dxa"/>
                </w:tcPr>
                <w:p w14:paraId="5DFA3964" w14:textId="77777777" w:rsidR="002F6080" w:rsidRDefault="001042DA" w:rsidP="00AF2AEA">
                  <w:pPr>
                    <w:keepNext/>
                    <w:widowControl w:val="0"/>
                    <w:tabs>
                      <w:tab w:val="center" w:pos="4536"/>
                      <w:tab w:val="right" w:pos="9072"/>
                    </w:tabs>
                    <w:spacing w:line="276" w:lineRule="auto"/>
                    <w:jc w:val="center"/>
                    <w:rPr>
                      <w:rFonts w:eastAsia="Calibri"/>
                      <w:color w:val="000000"/>
                      <w:sz w:val="18"/>
                      <w:szCs w:val="16"/>
                      <w:lang w:eastAsia="en-GB"/>
                    </w:rPr>
                  </w:pPr>
                  <w:r w:rsidRPr="006B1A5A">
                    <w:rPr>
                      <w:rFonts w:eastAsia="Calibri"/>
                      <w:color w:val="000000"/>
                      <w:sz w:val="18"/>
                      <w:szCs w:val="16"/>
                      <w:lang w:eastAsia="en-GB"/>
                    </w:rPr>
                    <w:t>0.01±</w:t>
                  </w:r>
                </w:p>
                <w:p w14:paraId="6C9235CA" w14:textId="59DBBD4E" w:rsidR="001042DA" w:rsidRPr="006B1A5A" w:rsidRDefault="001042DA" w:rsidP="00AF2AEA">
                  <w:pPr>
                    <w:keepNext/>
                    <w:widowControl w:val="0"/>
                    <w:tabs>
                      <w:tab w:val="center" w:pos="4536"/>
                      <w:tab w:val="right" w:pos="9072"/>
                    </w:tabs>
                    <w:spacing w:line="276" w:lineRule="auto"/>
                    <w:jc w:val="center"/>
                    <w:rPr>
                      <w:rFonts w:eastAsia="Calibri"/>
                      <w:color w:val="000000"/>
                      <w:sz w:val="18"/>
                      <w:szCs w:val="16"/>
                      <w:lang w:eastAsia="en-GB"/>
                    </w:rPr>
                  </w:pPr>
                  <w:r w:rsidRPr="006B1A5A">
                    <w:rPr>
                      <w:rFonts w:eastAsia="Calibri"/>
                      <w:color w:val="000000"/>
                      <w:sz w:val="18"/>
                      <w:szCs w:val="16"/>
                      <w:lang w:eastAsia="en-GB"/>
                    </w:rPr>
                    <w:t>0.02</w:t>
                  </w:r>
                </w:p>
              </w:tc>
            </w:tr>
            <w:tr w:rsidR="001042DA" w:rsidRPr="006B1A5A" w14:paraId="261604FF" w14:textId="77777777" w:rsidTr="00A14CD6">
              <w:tc>
                <w:tcPr>
                  <w:tcW w:w="1269" w:type="dxa"/>
                </w:tcPr>
                <w:p w14:paraId="1DF81D6B" w14:textId="57518967" w:rsidR="001042DA" w:rsidRPr="006B1A5A" w:rsidRDefault="0011482B" w:rsidP="00AF2AEA">
                  <w:pPr>
                    <w:keepNext/>
                    <w:widowControl w:val="0"/>
                    <w:tabs>
                      <w:tab w:val="center" w:pos="4536"/>
                      <w:tab w:val="right" w:pos="9072"/>
                    </w:tabs>
                    <w:spacing w:line="276" w:lineRule="auto"/>
                    <w:jc w:val="center"/>
                    <w:rPr>
                      <w:rFonts w:eastAsia="Calibri"/>
                      <w:color w:val="000000"/>
                      <w:sz w:val="18"/>
                      <w:szCs w:val="16"/>
                      <w:lang w:eastAsia="en-GB"/>
                    </w:rPr>
                  </w:pPr>
                  <w:r>
                    <w:rPr>
                      <w:rFonts w:eastAsia="Calibri"/>
                      <w:color w:val="000000"/>
                      <w:sz w:val="18"/>
                      <w:szCs w:val="16"/>
                      <w:lang w:eastAsia="en-GB"/>
                    </w:rPr>
                    <w:t xml:space="preserve">Potentially absorbable </w:t>
                  </w:r>
                  <w:r w:rsidR="001042DA" w:rsidRPr="006B1A5A">
                    <w:rPr>
                      <w:rFonts w:eastAsia="Calibri"/>
                      <w:color w:val="000000"/>
                      <w:sz w:val="18"/>
                      <w:szCs w:val="16"/>
                      <w:lang w:eastAsia="en-GB"/>
                    </w:rPr>
                    <w:t>dose*</w:t>
                  </w:r>
                </w:p>
              </w:tc>
              <w:tc>
                <w:tcPr>
                  <w:tcW w:w="1131" w:type="dxa"/>
                </w:tcPr>
                <w:p w14:paraId="7E806694" w14:textId="77777777" w:rsidR="002F6080" w:rsidRDefault="001042DA" w:rsidP="00AF2AEA">
                  <w:pPr>
                    <w:keepNext/>
                    <w:widowControl w:val="0"/>
                    <w:tabs>
                      <w:tab w:val="center" w:pos="4536"/>
                      <w:tab w:val="right" w:pos="9072"/>
                    </w:tabs>
                    <w:spacing w:line="276" w:lineRule="auto"/>
                    <w:jc w:val="center"/>
                    <w:rPr>
                      <w:rFonts w:eastAsia="Calibri"/>
                      <w:color w:val="000000"/>
                      <w:sz w:val="18"/>
                      <w:szCs w:val="16"/>
                      <w:lang w:eastAsia="en-GB"/>
                    </w:rPr>
                  </w:pPr>
                  <w:r w:rsidRPr="006B1A5A">
                    <w:rPr>
                      <w:rFonts w:eastAsia="Calibri"/>
                      <w:color w:val="000000"/>
                      <w:sz w:val="18"/>
                      <w:szCs w:val="16"/>
                      <w:lang w:eastAsia="en-GB"/>
                    </w:rPr>
                    <w:t>0.06±</w:t>
                  </w:r>
                </w:p>
                <w:p w14:paraId="528D5442" w14:textId="082E97C0" w:rsidR="001042DA" w:rsidRPr="006B1A5A" w:rsidRDefault="001042DA" w:rsidP="00AF2AEA">
                  <w:pPr>
                    <w:keepNext/>
                    <w:widowControl w:val="0"/>
                    <w:tabs>
                      <w:tab w:val="center" w:pos="4536"/>
                      <w:tab w:val="right" w:pos="9072"/>
                    </w:tabs>
                    <w:spacing w:line="276" w:lineRule="auto"/>
                    <w:jc w:val="center"/>
                    <w:rPr>
                      <w:rFonts w:eastAsia="Calibri"/>
                      <w:color w:val="000000"/>
                      <w:sz w:val="18"/>
                      <w:szCs w:val="16"/>
                      <w:lang w:eastAsia="en-GB"/>
                    </w:rPr>
                  </w:pPr>
                  <w:r w:rsidRPr="006B1A5A">
                    <w:rPr>
                      <w:rFonts w:eastAsia="Calibri"/>
                      <w:color w:val="000000"/>
                      <w:sz w:val="18"/>
                      <w:szCs w:val="16"/>
                      <w:lang w:eastAsia="en-GB"/>
                    </w:rPr>
                    <w:t>0.05</w:t>
                  </w:r>
                </w:p>
              </w:tc>
              <w:tc>
                <w:tcPr>
                  <w:tcW w:w="1134" w:type="dxa"/>
                </w:tcPr>
                <w:p w14:paraId="16691F20" w14:textId="77777777" w:rsidR="002F6080" w:rsidRDefault="001042DA" w:rsidP="00AF2AEA">
                  <w:pPr>
                    <w:keepNext/>
                    <w:widowControl w:val="0"/>
                    <w:tabs>
                      <w:tab w:val="center" w:pos="4536"/>
                      <w:tab w:val="right" w:pos="9072"/>
                    </w:tabs>
                    <w:spacing w:line="276" w:lineRule="auto"/>
                    <w:jc w:val="center"/>
                    <w:rPr>
                      <w:rFonts w:eastAsia="Calibri"/>
                      <w:color w:val="000000"/>
                      <w:sz w:val="18"/>
                      <w:szCs w:val="16"/>
                      <w:lang w:eastAsia="en-GB"/>
                    </w:rPr>
                  </w:pPr>
                  <w:r w:rsidRPr="006B1A5A">
                    <w:rPr>
                      <w:rFonts w:eastAsia="Calibri"/>
                      <w:color w:val="000000"/>
                      <w:sz w:val="18"/>
                      <w:szCs w:val="16"/>
                      <w:lang w:eastAsia="en-GB"/>
                    </w:rPr>
                    <w:t>0.29±</w:t>
                  </w:r>
                </w:p>
                <w:p w14:paraId="12E63F45" w14:textId="7E9ADEFA" w:rsidR="001042DA" w:rsidRPr="006B1A5A" w:rsidRDefault="001042DA" w:rsidP="00AF2AEA">
                  <w:pPr>
                    <w:keepNext/>
                    <w:widowControl w:val="0"/>
                    <w:tabs>
                      <w:tab w:val="center" w:pos="4536"/>
                      <w:tab w:val="right" w:pos="9072"/>
                    </w:tabs>
                    <w:spacing w:line="276" w:lineRule="auto"/>
                    <w:jc w:val="center"/>
                    <w:rPr>
                      <w:rFonts w:eastAsia="Calibri"/>
                      <w:color w:val="000000"/>
                      <w:sz w:val="18"/>
                      <w:szCs w:val="16"/>
                      <w:lang w:eastAsia="en-GB"/>
                    </w:rPr>
                  </w:pPr>
                  <w:r w:rsidRPr="006B1A5A">
                    <w:rPr>
                      <w:rFonts w:eastAsia="Calibri"/>
                      <w:color w:val="000000"/>
                      <w:sz w:val="18"/>
                      <w:szCs w:val="16"/>
                      <w:lang w:eastAsia="en-GB"/>
                    </w:rPr>
                    <w:t>0.12</w:t>
                  </w:r>
                </w:p>
              </w:tc>
            </w:tr>
            <w:tr w:rsidR="001042DA" w:rsidRPr="006B1A5A" w14:paraId="24557CAD" w14:textId="77777777" w:rsidTr="00A14CD6">
              <w:tc>
                <w:tcPr>
                  <w:tcW w:w="1269" w:type="dxa"/>
                </w:tcPr>
                <w:p w14:paraId="35CA76B1" w14:textId="77777777" w:rsidR="001042DA" w:rsidRPr="006B1A5A" w:rsidRDefault="001042DA" w:rsidP="00AF2AEA">
                  <w:pPr>
                    <w:keepNext/>
                    <w:widowControl w:val="0"/>
                    <w:tabs>
                      <w:tab w:val="center" w:pos="4536"/>
                      <w:tab w:val="right" w:pos="9072"/>
                    </w:tabs>
                    <w:spacing w:line="276" w:lineRule="auto"/>
                    <w:jc w:val="center"/>
                    <w:rPr>
                      <w:rFonts w:eastAsia="Calibri"/>
                      <w:color w:val="000000"/>
                      <w:sz w:val="18"/>
                      <w:szCs w:val="16"/>
                      <w:lang w:eastAsia="en-GB"/>
                    </w:rPr>
                  </w:pPr>
                  <w:r w:rsidRPr="006B1A5A">
                    <w:rPr>
                      <w:rFonts w:eastAsia="Calibri"/>
                      <w:color w:val="000000"/>
                      <w:sz w:val="18"/>
                      <w:szCs w:val="16"/>
                      <w:lang w:eastAsia="en-GB"/>
                    </w:rPr>
                    <w:t>Total absorption (mean + 0.84*SD)</w:t>
                  </w:r>
                </w:p>
              </w:tc>
              <w:tc>
                <w:tcPr>
                  <w:tcW w:w="1131" w:type="dxa"/>
                </w:tcPr>
                <w:p w14:paraId="333825CA" w14:textId="431C19AD" w:rsidR="001042DA" w:rsidRPr="006B1A5A" w:rsidRDefault="001042DA" w:rsidP="00AF2AEA">
                  <w:pPr>
                    <w:keepNext/>
                    <w:widowControl w:val="0"/>
                    <w:tabs>
                      <w:tab w:val="center" w:pos="4536"/>
                      <w:tab w:val="right" w:pos="9072"/>
                    </w:tabs>
                    <w:spacing w:line="276" w:lineRule="auto"/>
                    <w:jc w:val="center"/>
                    <w:rPr>
                      <w:rFonts w:eastAsia="Calibri"/>
                      <w:color w:val="000000"/>
                      <w:sz w:val="18"/>
                      <w:szCs w:val="16"/>
                      <w:lang w:eastAsia="en-GB"/>
                    </w:rPr>
                  </w:pPr>
                  <w:r w:rsidRPr="006B1A5A">
                    <w:rPr>
                      <w:rFonts w:eastAsia="Calibri"/>
                      <w:color w:val="000000"/>
                      <w:sz w:val="18"/>
                      <w:szCs w:val="16"/>
                      <w:lang w:eastAsia="en-GB"/>
                    </w:rPr>
                    <w:t>0.1</w:t>
                  </w:r>
                  <w:r w:rsidR="00710B33">
                    <w:rPr>
                      <w:rFonts w:eastAsia="Calibri"/>
                      <w:color w:val="000000"/>
                      <w:sz w:val="18"/>
                      <w:szCs w:val="16"/>
                      <w:lang w:eastAsia="en-GB"/>
                    </w:rPr>
                    <w:t>0</w:t>
                  </w:r>
                  <w:r w:rsidRPr="006B1A5A">
                    <w:rPr>
                      <w:rFonts w:eastAsia="Calibri"/>
                      <w:color w:val="000000"/>
                      <w:sz w:val="18"/>
                      <w:szCs w:val="16"/>
                      <w:lang w:eastAsia="en-GB"/>
                    </w:rPr>
                    <w:t>9</w:t>
                  </w:r>
                </w:p>
              </w:tc>
              <w:tc>
                <w:tcPr>
                  <w:tcW w:w="1134" w:type="dxa"/>
                </w:tcPr>
                <w:p w14:paraId="0C0E86C9" w14:textId="77777777" w:rsidR="001042DA" w:rsidRPr="006B1A5A" w:rsidRDefault="001042DA" w:rsidP="00AF2AEA">
                  <w:pPr>
                    <w:keepNext/>
                    <w:widowControl w:val="0"/>
                    <w:tabs>
                      <w:tab w:val="center" w:pos="4536"/>
                      <w:tab w:val="right" w:pos="9072"/>
                    </w:tabs>
                    <w:spacing w:line="276" w:lineRule="auto"/>
                    <w:jc w:val="center"/>
                    <w:rPr>
                      <w:rFonts w:eastAsia="Calibri"/>
                      <w:color w:val="000000"/>
                      <w:sz w:val="18"/>
                      <w:szCs w:val="16"/>
                      <w:lang w:eastAsia="en-GB"/>
                    </w:rPr>
                  </w:pPr>
                  <w:r w:rsidRPr="006B1A5A">
                    <w:rPr>
                      <w:rFonts w:eastAsia="Calibri"/>
                      <w:color w:val="000000"/>
                      <w:sz w:val="18"/>
                      <w:szCs w:val="16"/>
                      <w:lang w:eastAsia="en-GB"/>
                    </w:rPr>
                    <w:t>0.400**</w:t>
                  </w:r>
                </w:p>
              </w:tc>
            </w:tr>
            <w:tr w:rsidR="001042DA" w:rsidRPr="006B1A5A" w14:paraId="1630274F" w14:textId="77777777" w:rsidTr="00A14CD6">
              <w:tc>
                <w:tcPr>
                  <w:tcW w:w="1269" w:type="dxa"/>
                </w:tcPr>
                <w:p w14:paraId="7E9CC067" w14:textId="77777777" w:rsidR="001042DA" w:rsidRPr="006B1A5A" w:rsidRDefault="001042DA" w:rsidP="00AF2AEA">
                  <w:pPr>
                    <w:keepNext/>
                    <w:widowControl w:val="0"/>
                    <w:tabs>
                      <w:tab w:val="center" w:pos="4536"/>
                      <w:tab w:val="right" w:pos="9072"/>
                    </w:tabs>
                    <w:spacing w:line="276" w:lineRule="auto"/>
                    <w:jc w:val="center"/>
                    <w:rPr>
                      <w:rFonts w:eastAsia="Calibri"/>
                      <w:color w:val="000000"/>
                      <w:sz w:val="18"/>
                      <w:szCs w:val="16"/>
                      <w:lang w:eastAsia="en-GB"/>
                    </w:rPr>
                  </w:pPr>
                  <w:r w:rsidRPr="006B1A5A">
                    <w:rPr>
                      <w:rFonts w:eastAsia="Calibri"/>
                      <w:color w:val="000000"/>
                      <w:sz w:val="18"/>
                      <w:szCs w:val="16"/>
                      <w:lang w:eastAsia="en-GB"/>
                    </w:rPr>
                    <w:t>Total recovery</w:t>
                  </w:r>
                </w:p>
              </w:tc>
              <w:tc>
                <w:tcPr>
                  <w:tcW w:w="1131" w:type="dxa"/>
                </w:tcPr>
                <w:p w14:paraId="696ED7B3" w14:textId="77777777" w:rsidR="002F6080" w:rsidRDefault="001042DA" w:rsidP="00AF2AEA">
                  <w:pPr>
                    <w:keepNext/>
                    <w:widowControl w:val="0"/>
                    <w:tabs>
                      <w:tab w:val="center" w:pos="4536"/>
                      <w:tab w:val="right" w:pos="9072"/>
                    </w:tabs>
                    <w:spacing w:line="276" w:lineRule="auto"/>
                    <w:jc w:val="center"/>
                    <w:rPr>
                      <w:rFonts w:eastAsia="Calibri"/>
                      <w:color w:val="000000"/>
                      <w:sz w:val="18"/>
                      <w:szCs w:val="16"/>
                      <w:lang w:eastAsia="en-GB"/>
                    </w:rPr>
                  </w:pPr>
                  <w:r w:rsidRPr="006B1A5A">
                    <w:rPr>
                      <w:rFonts w:eastAsia="Calibri"/>
                      <w:color w:val="000000"/>
                      <w:sz w:val="18"/>
                      <w:szCs w:val="16"/>
                      <w:lang w:eastAsia="en-GB"/>
                    </w:rPr>
                    <w:t>109.39±</w:t>
                  </w:r>
                </w:p>
                <w:p w14:paraId="5E8E1B2A" w14:textId="1EEC470F" w:rsidR="001042DA" w:rsidRPr="006B1A5A" w:rsidRDefault="001042DA" w:rsidP="00AF2AEA">
                  <w:pPr>
                    <w:keepNext/>
                    <w:widowControl w:val="0"/>
                    <w:tabs>
                      <w:tab w:val="center" w:pos="4536"/>
                      <w:tab w:val="right" w:pos="9072"/>
                    </w:tabs>
                    <w:spacing w:line="276" w:lineRule="auto"/>
                    <w:jc w:val="center"/>
                    <w:rPr>
                      <w:rFonts w:eastAsia="Calibri"/>
                      <w:color w:val="000000"/>
                      <w:sz w:val="18"/>
                      <w:szCs w:val="16"/>
                      <w:lang w:eastAsia="en-GB"/>
                    </w:rPr>
                  </w:pPr>
                  <w:r w:rsidRPr="006B1A5A">
                    <w:rPr>
                      <w:rFonts w:eastAsia="Calibri"/>
                      <w:color w:val="000000"/>
                      <w:sz w:val="18"/>
                      <w:szCs w:val="16"/>
                      <w:lang w:eastAsia="en-GB"/>
                    </w:rPr>
                    <w:t>13.8</w:t>
                  </w:r>
                </w:p>
              </w:tc>
              <w:tc>
                <w:tcPr>
                  <w:tcW w:w="1134" w:type="dxa"/>
                </w:tcPr>
                <w:p w14:paraId="6370EF58" w14:textId="77777777" w:rsidR="002F6080" w:rsidRDefault="001042DA" w:rsidP="00AF2AEA">
                  <w:pPr>
                    <w:keepNext/>
                    <w:widowControl w:val="0"/>
                    <w:tabs>
                      <w:tab w:val="center" w:pos="4536"/>
                      <w:tab w:val="right" w:pos="9072"/>
                    </w:tabs>
                    <w:spacing w:line="276" w:lineRule="auto"/>
                    <w:jc w:val="center"/>
                    <w:rPr>
                      <w:rFonts w:eastAsia="Calibri"/>
                      <w:color w:val="000000"/>
                      <w:sz w:val="18"/>
                      <w:szCs w:val="16"/>
                      <w:lang w:eastAsia="en-GB"/>
                    </w:rPr>
                  </w:pPr>
                  <w:r w:rsidRPr="006B1A5A">
                    <w:rPr>
                      <w:rFonts w:eastAsia="Calibri"/>
                      <w:color w:val="000000"/>
                      <w:sz w:val="18"/>
                      <w:szCs w:val="16"/>
                      <w:lang w:eastAsia="en-GB"/>
                    </w:rPr>
                    <w:t>98.9±</w:t>
                  </w:r>
                </w:p>
                <w:p w14:paraId="0CB4FBE5" w14:textId="5C55D248" w:rsidR="001042DA" w:rsidRPr="006B1A5A" w:rsidRDefault="001042DA" w:rsidP="00AF2AEA">
                  <w:pPr>
                    <w:keepNext/>
                    <w:widowControl w:val="0"/>
                    <w:tabs>
                      <w:tab w:val="center" w:pos="4536"/>
                      <w:tab w:val="right" w:pos="9072"/>
                    </w:tabs>
                    <w:spacing w:line="276" w:lineRule="auto"/>
                    <w:jc w:val="center"/>
                    <w:rPr>
                      <w:rFonts w:eastAsia="Calibri"/>
                      <w:color w:val="000000"/>
                      <w:sz w:val="18"/>
                      <w:szCs w:val="16"/>
                      <w:lang w:eastAsia="en-GB"/>
                    </w:rPr>
                  </w:pPr>
                  <w:r w:rsidRPr="006B1A5A">
                    <w:rPr>
                      <w:rFonts w:eastAsia="Calibri"/>
                      <w:color w:val="000000"/>
                      <w:sz w:val="18"/>
                      <w:szCs w:val="16"/>
                      <w:lang w:eastAsia="en-GB"/>
                    </w:rPr>
                    <w:t>5.06</w:t>
                  </w:r>
                </w:p>
              </w:tc>
            </w:tr>
            <w:tr w:rsidR="001042DA" w:rsidRPr="006B1A5A" w14:paraId="673D247B" w14:textId="77777777" w:rsidTr="00A14CD6">
              <w:tc>
                <w:tcPr>
                  <w:tcW w:w="3534" w:type="dxa"/>
                  <w:gridSpan w:val="3"/>
                </w:tcPr>
                <w:p w14:paraId="5060AE22" w14:textId="77777777" w:rsidR="001042DA" w:rsidRPr="006B1A5A" w:rsidRDefault="001042DA" w:rsidP="00AF2AEA">
                  <w:pPr>
                    <w:keepNext/>
                    <w:widowControl w:val="0"/>
                    <w:tabs>
                      <w:tab w:val="center" w:pos="4536"/>
                      <w:tab w:val="right" w:pos="9072"/>
                    </w:tabs>
                    <w:spacing w:line="276" w:lineRule="auto"/>
                    <w:rPr>
                      <w:rFonts w:eastAsia="Calibri"/>
                      <w:color w:val="000000"/>
                      <w:sz w:val="16"/>
                      <w:szCs w:val="16"/>
                      <w:lang w:eastAsia="en-GB"/>
                    </w:rPr>
                  </w:pPr>
                  <w:r w:rsidRPr="006B1A5A">
                    <w:rPr>
                      <w:rFonts w:eastAsia="Calibri"/>
                      <w:color w:val="000000"/>
                      <w:sz w:val="16"/>
                      <w:szCs w:val="16"/>
                      <w:lang w:eastAsia="en-GB"/>
                    </w:rPr>
                    <w:t>* Skin + receptor fluid - all tape-strips (absorption complete)</w:t>
                  </w:r>
                </w:p>
                <w:p w14:paraId="28051D2E" w14:textId="2E9F4487" w:rsidR="001042DA" w:rsidRPr="006B1A5A" w:rsidRDefault="001042DA" w:rsidP="00AF2AEA">
                  <w:pPr>
                    <w:keepNext/>
                    <w:widowControl w:val="0"/>
                    <w:tabs>
                      <w:tab w:val="center" w:pos="4536"/>
                      <w:tab w:val="right" w:pos="9072"/>
                    </w:tabs>
                    <w:spacing w:line="276" w:lineRule="auto"/>
                    <w:rPr>
                      <w:rFonts w:eastAsia="Calibri"/>
                      <w:color w:val="000000"/>
                      <w:sz w:val="16"/>
                      <w:szCs w:val="16"/>
                      <w:lang w:eastAsia="en-GB"/>
                    </w:rPr>
                  </w:pPr>
                  <w:r w:rsidRPr="006B1A5A">
                    <w:rPr>
                      <w:rFonts w:eastAsia="Calibri"/>
                      <w:color w:val="000000"/>
                      <w:sz w:val="16"/>
                      <w:szCs w:val="16"/>
                      <w:lang w:eastAsia="en-GB"/>
                    </w:rPr>
                    <w:t>**Excludes one cell owing to poor recovery (therefore n=7</w:t>
                  </w:r>
                  <w:r w:rsidR="00A352E0">
                    <w:rPr>
                      <w:rFonts w:eastAsia="Calibri"/>
                      <w:color w:val="000000"/>
                      <w:sz w:val="16"/>
                      <w:szCs w:val="16"/>
                      <w:lang w:eastAsia="en-GB"/>
                    </w:rPr>
                    <w:t xml:space="preserve">; </w:t>
                  </w:r>
                  <w:r w:rsidR="00710B33">
                    <w:rPr>
                      <w:rFonts w:eastAsia="Calibri"/>
                      <w:color w:val="000000"/>
                      <w:sz w:val="16"/>
                      <w:szCs w:val="16"/>
                      <w:lang w:eastAsia="en-GB"/>
                    </w:rPr>
                    <w:t>mean + 0.92*SD</w:t>
                  </w:r>
                  <w:r w:rsidRPr="006B1A5A">
                    <w:rPr>
                      <w:rFonts w:eastAsia="Calibri"/>
                      <w:color w:val="000000"/>
                      <w:sz w:val="16"/>
                      <w:szCs w:val="16"/>
                      <w:lang w:eastAsia="en-GB"/>
                    </w:rPr>
                    <w:t>)</w:t>
                  </w:r>
                </w:p>
              </w:tc>
            </w:tr>
          </w:tbl>
          <w:p w14:paraId="2FAD7A6C" w14:textId="77777777" w:rsidR="001042DA" w:rsidRPr="006B1A5A" w:rsidRDefault="001042DA" w:rsidP="00AF2AEA">
            <w:pPr>
              <w:keepNext/>
              <w:widowControl w:val="0"/>
              <w:tabs>
                <w:tab w:val="center" w:pos="4536"/>
                <w:tab w:val="right" w:pos="9072"/>
              </w:tabs>
              <w:spacing w:line="276" w:lineRule="auto"/>
              <w:jc w:val="center"/>
              <w:rPr>
                <w:rFonts w:eastAsia="Calibri"/>
                <w:color w:val="000000"/>
                <w:lang w:eastAsia="en-GB"/>
              </w:rPr>
            </w:pPr>
          </w:p>
          <w:p w14:paraId="3AB05ED6" w14:textId="77777777" w:rsidR="0011482B" w:rsidRDefault="001042DA" w:rsidP="00AF2AEA">
            <w:pPr>
              <w:keepNext/>
              <w:widowControl w:val="0"/>
              <w:tabs>
                <w:tab w:val="center" w:pos="4536"/>
                <w:tab w:val="right" w:pos="9072"/>
              </w:tabs>
              <w:spacing w:line="276" w:lineRule="auto"/>
              <w:jc w:val="center"/>
              <w:rPr>
                <w:rFonts w:eastAsia="Calibri"/>
                <w:color w:val="000000"/>
                <w:lang w:eastAsia="en-GB"/>
              </w:rPr>
            </w:pPr>
            <w:r w:rsidRPr="006B1A5A">
              <w:rPr>
                <w:rFonts w:eastAsia="Calibri"/>
                <w:color w:val="000000"/>
                <w:lang w:eastAsia="en-GB"/>
              </w:rPr>
              <w:t>Final dermal absorption value</w:t>
            </w:r>
            <w:r w:rsidR="0011482B">
              <w:rPr>
                <w:rFonts w:eastAsia="Calibri"/>
                <w:color w:val="000000"/>
                <w:lang w:eastAsia="en-GB"/>
              </w:rPr>
              <w:t xml:space="preserve"> </w:t>
            </w:r>
            <w:r w:rsidR="0011482B" w:rsidRPr="0011482B">
              <w:rPr>
                <w:rFonts w:eastAsia="Calibri"/>
                <w:color w:val="000000"/>
                <w:lang w:eastAsia="en-GB"/>
              </w:rPr>
              <w:t>correcting for variability according to EFSA, 2017</w:t>
            </w:r>
            <w:r w:rsidRPr="0011482B">
              <w:rPr>
                <w:rFonts w:eastAsia="Calibri"/>
                <w:color w:val="000000"/>
                <w:lang w:eastAsia="en-GB"/>
              </w:rPr>
              <w:t>:</w:t>
            </w:r>
            <w:r w:rsidRPr="006B1A5A">
              <w:rPr>
                <w:rFonts w:eastAsia="Calibri"/>
                <w:color w:val="000000"/>
                <w:lang w:eastAsia="en-GB"/>
              </w:rPr>
              <w:t xml:space="preserve"> </w:t>
            </w:r>
          </w:p>
          <w:p w14:paraId="2D3E3EC1" w14:textId="1C14041D" w:rsidR="00710B33" w:rsidRPr="006B1A5A" w:rsidRDefault="001042DA" w:rsidP="0011482B">
            <w:pPr>
              <w:keepNext/>
              <w:widowControl w:val="0"/>
              <w:tabs>
                <w:tab w:val="center" w:pos="4536"/>
                <w:tab w:val="right" w:pos="9072"/>
              </w:tabs>
              <w:spacing w:line="276" w:lineRule="auto"/>
              <w:jc w:val="center"/>
              <w:rPr>
                <w:rFonts w:eastAsia="Calibri"/>
                <w:color w:val="000000"/>
                <w:lang w:eastAsia="en-GB"/>
              </w:rPr>
            </w:pPr>
            <w:r w:rsidRPr="006B1A5A">
              <w:rPr>
                <w:rFonts w:eastAsia="Calibri"/>
                <w:color w:val="000000"/>
                <w:lang w:eastAsia="en-GB"/>
              </w:rPr>
              <w:t>0.1% (concentrate) and 0.4% (dilution)</w:t>
            </w:r>
          </w:p>
        </w:tc>
        <w:tc>
          <w:tcPr>
            <w:tcW w:w="1204" w:type="dxa"/>
            <w:shd w:val="clear" w:color="auto" w:fill="auto"/>
            <w:tcMar>
              <w:top w:w="57" w:type="dxa"/>
              <w:bottom w:w="57" w:type="dxa"/>
            </w:tcMar>
          </w:tcPr>
          <w:p w14:paraId="4A596BE6" w14:textId="5994D994" w:rsidR="001042DA" w:rsidRDefault="001042DA" w:rsidP="00AF2AEA">
            <w:pPr>
              <w:keepNext/>
              <w:widowControl w:val="0"/>
              <w:tabs>
                <w:tab w:val="center" w:pos="4536"/>
                <w:tab w:val="right" w:pos="9072"/>
              </w:tabs>
              <w:spacing w:line="276" w:lineRule="auto"/>
              <w:rPr>
                <w:rFonts w:eastAsia="Calibri"/>
                <w:color w:val="000000"/>
                <w:lang w:eastAsia="en-GB"/>
              </w:rPr>
            </w:pPr>
            <w:r w:rsidRPr="006B1A5A">
              <w:rPr>
                <w:rFonts w:eastAsia="Calibri"/>
                <w:color w:val="000000"/>
                <w:lang w:eastAsia="en-GB"/>
              </w:rPr>
              <w:t>Non-radio-labelled (copper cannot be radio-</w:t>
            </w:r>
            <w:r w:rsidR="00954C66">
              <w:rPr>
                <w:rFonts w:eastAsia="Calibri"/>
                <w:color w:val="000000"/>
                <w:lang w:eastAsia="en-GB"/>
              </w:rPr>
              <w:t>l</w:t>
            </w:r>
            <w:r w:rsidRPr="006B1A5A">
              <w:rPr>
                <w:rFonts w:eastAsia="Calibri"/>
                <w:color w:val="000000"/>
                <w:lang w:eastAsia="en-GB"/>
              </w:rPr>
              <w:t>abelled)</w:t>
            </w:r>
          </w:p>
          <w:p w14:paraId="3E6BD5C9" w14:textId="49F563C0" w:rsidR="00A352E0" w:rsidRDefault="00A352E0" w:rsidP="00AF2AEA">
            <w:pPr>
              <w:keepNext/>
              <w:widowControl w:val="0"/>
              <w:tabs>
                <w:tab w:val="center" w:pos="4536"/>
                <w:tab w:val="right" w:pos="9072"/>
              </w:tabs>
              <w:spacing w:line="276" w:lineRule="auto"/>
              <w:rPr>
                <w:rFonts w:eastAsia="Calibri"/>
                <w:color w:val="000000"/>
                <w:lang w:eastAsia="en-GB"/>
              </w:rPr>
            </w:pPr>
          </w:p>
          <w:p w14:paraId="3E42202D" w14:textId="77777777" w:rsidR="00A352E0" w:rsidRDefault="00A352E0" w:rsidP="00A352E0">
            <w:pPr>
              <w:keepNext/>
              <w:widowControl w:val="0"/>
              <w:tabs>
                <w:tab w:val="center" w:pos="4536"/>
                <w:tab w:val="right" w:pos="9072"/>
              </w:tabs>
              <w:spacing w:line="276" w:lineRule="auto"/>
              <w:rPr>
                <w:rFonts w:eastAsia="Calibri"/>
                <w:color w:val="000000"/>
                <w:lang w:eastAsia="en-GB"/>
              </w:rPr>
            </w:pPr>
            <w:r w:rsidRPr="006B1A5A">
              <w:rPr>
                <w:rFonts w:eastAsia="Calibri"/>
                <w:color w:val="000000"/>
                <w:lang w:eastAsia="en-GB"/>
              </w:rPr>
              <w:t>absorption of total copper measured</w:t>
            </w:r>
            <w:r>
              <w:rPr>
                <w:rFonts w:eastAsia="Calibri"/>
                <w:color w:val="000000"/>
                <w:lang w:eastAsia="en-GB"/>
              </w:rPr>
              <w:t xml:space="preserve"> </w:t>
            </w:r>
          </w:p>
          <w:p w14:paraId="075F6936" w14:textId="7253FACE" w:rsidR="000E4414" w:rsidRDefault="000E4414" w:rsidP="00A352E0">
            <w:pPr>
              <w:keepNext/>
              <w:widowControl w:val="0"/>
              <w:tabs>
                <w:tab w:val="center" w:pos="4536"/>
                <w:tab w:val="right" w:pos="9072"/>
              </w:tabs>
              <w:spacing w:line="276" w:lineRule="auto"/>
              <w:rPr>
                <w:rFonts w:eastAsia="Calibri"/>
                <w:color w:val="000000"/>
                <w:lang w:eastAsia="en-GB"/>
              </w:rPr>
            </w:pPr>
          </w:p>
          <w:p w14:paraId="35AF4524" w14:textId="77777777" w:rsidR="00C84F36" w:rsidRDefault="00A14CD6" w:rsidP="00A352E0">
            <w:pPr>
              <w:keepNext/>
              <w:widowControl w:val="0"/>
              <w:tabs>
                <w:tab w:val="center" w:pos="4536"/>
                <w:tab w:val="right" w:pos="9072"/>
              </w:tabs>
              <w:spacing w:line="276" w:lineRule="auto"/>
              <w:rPr>
                <w:rFonts w:eastAsia="Calibri"/>
                <w:color w:val="000000"/>
                <w:lang w:eastAsia="en-GB"/>
              </w:rPr>
            </w:pPr>
            <w:bookmarkStart w:id="1569" w:name="_Hlk58570192"/>
            <w:r>
              <w:rPr>
                <w:rFonts w:eastAsia="Calibri"/>
                <w:color w:val="000000"/>
                <w:lang w:eastAsia="en-GB"/>
              </w:rPr>
              <w:t xml:space="preserve">Values below </w:t>
            </w:r>
            <w:r w:rsidR="000E4414">
              <w:rPr>
                <w:rFonts w:eastAsia="Calibri"/>
                <w:color w:val="000000"/>
                <w:lang w:eastAsia="en-GB"/>
              </w:rPr>
              <w:t>LOQ set as zero in the calcu</w:t>
            </w:r>
            <w:r>
              <w:rPr>
                <w:rFonts w:eastAsia="Calibri"/>
                <w:color w:val="000000"/>
                <w:lang w:eastAsia="en-GB"/>
              </w:rPr>
              <w:t>-</w:t>
            </w:r>
            <w:r w:rsidR="000E4414">
              <w:rPr>
                <w:rFonts w:eastAsia="Calibri"/>
                <w:color w:val="000000"/>
                <w:lang w:eastAsia="en-GB"/>
              </w:rPr>
              <w:t>lations</w:t>
            </w:r>
            <w:r>
              <w:rPr>
                <w:rFonts w:eastAsia="Calibri"/>
                <w:color w:val="000000"/>
                <w:lang w:eastAsia="en-GB"/>
              </w:rPr>
              <w:t>;</w:t>
            </w:r>
          </w:p>
          <w:p w14:paraId="00CF58F0" w14:textId="53205056" w:rsidR="000E4414" w:rsidRPr="00954C66" w:rsidRDefault="002F6080" w:rsidP="00A352E0">
            <w:pPr>
              <w:keepNext/>
              <w:widowControl w:val="0"/>
              <w:tabs>
                <w:tab w:val="center" w:pos="4536"/>
                <w:tab w:val="right" w:pos="9072"/>
              </w:tabs>
              <w:spacing w:line="276" w:lineRule="auto"/>
              <w:rPr>
                <w:rFonts w:eastAsia="Calibri"/>
                <w:color w:val="000000"/>
                <w:sz w:val="18"/>
                <w:szCs w:val="18"/>
                <w:lang w:eastAsia="en-GB"/>
              </w:rPr>
            </w:pPr>
            <w:r>
              <w:rPr>
                <w:rFonts w:eastAsia="Calibri"/>
                <w:color w:val="000000"/>
                <w:lang w:eastAsia="en-GB"/>
              </w:rPr>
              <w:t xml:space="preserve">thus </w:t>
            </w:r>
            <w:r w:rsidR="00A14CD6">
              <w:rPr>
                <w:rFonts w:eastAsia="Calibri"/>
                <w:color w:val="000000"/>
                <w:lang w:eastAsia="en-GB"/>
              </w:rPr>
              <w:t xml:space="preserve">underestimating </w:t>
            </w:r>
            <w:r w:rsidR="002B0D35">
              <w:rPr>
                <w:rFonts w:eastAsia="Calibri"/>
                <w:color w:val="000000"/>
                <w:lang w:eastAsia="en-GB"/>
              </w:rPr>
              <w:t xml:space="preserve">somewhat </w:t>
            </w:r>
            <w:r w:rsidR="00A14CD6">
              <w:rPr>
                <w:rFonts w:eastAsia="Calibri"/>
                <w:color w:val="000000"/>
                <w:lang w:eastAsia="en-GB"/>
              </w:rPr>
              <w:t>the dermal absorption</w:t>
            </w:r>
            <w:bookmarkEnd w:id="1569"/>
          </w:p>
          <w:p w14:paraId="66008D85" w14:textId="77777777" w:rsidR="00A352E0" w:rsidRDefault="00A352E0" w:rsidP="00AF2AEA">
            <w:pPr>
              <w:keepNext/>
              <w:widowControl w:val="0"/>
              <w:tabs>
                <w:tab w:val="center" w:pos="4536"/>
                <w:tab w:val="right" w:pos="9072"/>
              </w:tabs>
              <w:spacing w:line="276" w:lineRule="auto"/>
              <w:rPr>
                <w:rFonts w:eastAsia="Calibri"/>
                <w:color w:val="000000"/>
                <w:lang w:eastAsia="en-GB"/>
              </w:rPr>
            </w:pPr>
          </w:p>
          <w:p w14:paraId="3B8BF898" w14:textId="77777777" w:rsidR="00017672" w:rsidRDefault="00017672" w:rsidP="00AF2AEA">
            <w:pPr>
              <w:keepNext/>
              <w:widowControl w:val="0"/>
              <w:tabs>
                <w:tab w:val="center" w:pos="4536"/>
                <w:tab w:val="right" w:pos="9072"/>
              </w:tabs>
              <w:spacing w:line="276" w:lineRule="auto"/>
              <w:rPr>
                <w:rFonts w:eastAsia="Calibri"/>
                <w:color w:val="000000"/>
                <w:lang w:eastAsia="en-GB"/>
              </w:rPr>
            </w:pPr>
          </w:p>
          <w:p w14:paraId="47FA2A76" w14:textId="431938E1" w:rsidR="00017672" w:rsidRPr="006B1A5A" w:rsidRDefault="00017672" w:rsidP="00AF2AEA">
            <w:pPr>
              <w:keepNext/>
              <w:widowControl w:val="0"/>
              <w:tabs>
                <w:tab w:val="center" w:pos="4536"/>
                <w:tab w:val="right" w:pos="9072"/>
              </w:tabs>
              <w:spacing w:line="276" w:lineRule="auto"/>
              <w:rPr>
                <w:rFonts w:eastAsia="Calibri"/>
                <w:color w:val="000000"/>
                <w:lang w:eastAsia="en-GB"/>
              </w:rPr>
            </w:pPr>
          </w:p>
        </w:tc>
      </w:tr>
      <w:tr w:rsidR="00A43D0C" w:rsidRPr="006B1A5A" w14:paraId="25F22E3F" w14:textId="77777777" w:rsidTr="002F6080">
        <w:trPr>
          <w:tblHeader/>
        </w:trPr>
        <w:tc>
          <w:tcPr>
            <w:tcW w:w="1268" w:type="dxa"/>
            <w:shd w:val="clear" w:color="auto" w:fill="auto"/>
            <w:tcMar>
              <w:top w:w="57" w:type="dxa"/>
              <w:bottom w:w="57" w:type="dxa"/>
            </w:tcMar>
          </w:tcPr>
          <w:p w14:paraId="12CE953E" w14:textId="6F42DF57" w:rsidR="00A43D0C" w:rsidRPr="00F86B4B" w:rsidRDefault="00A43D0C" w:rsidP="00111FB3">
            <w:pPr>
              <w:keepNext/>
              <w:widowControl w:val="0"/>
              <w:tabs>
                <w:tab w:val="center" w:pos="4536"/>
                <w:tab w:val="right" w:pos="9072"/>
              </w:tabs>
              <w:spacing w:line="276" w:lineRule="auto"/>
              <w:rPr>
                <w:rFonts w:eastAsia="Calibri"/>
                <w:iCs/>
                <w:color w:val="000000"/>
                <w:sz w:val="18"/>
                <w:szCs w:val="18"/>
                <w:lang w:eastAsia="en-GB"/>
              </w:rPr>
            </w:pPr>
            <w:bookmarkStart w:id="1570" w:name="_Hlk53359625"/>
            <w:r w:rsidRPr="00642630">
              <w:rPr>
                <w:rFonts w:eastAsia="Calibri"/>
                <w:iCs/>
                <w:color w:val="000000"/>
                <w:sz w:val="18"/>
                <w:szCs w:val="18"/>
                <w:lang w:eastAsia="en-GB"/>
              </w:rPr>
              <w:t xml:space="preserve">The </w:t>
            </w:r>
            <w:r w:rsidRPr="00642630">
              <w:rPr>
                <w:rFonts w:eastAsia="Calibri"/>
                <w:i/>
                <w:color w:val="000000"/>
                <w:sz w:val="18"/>
                <w:szCs w:val="18"/>
                <w:lang w:eastAsia="en-GB"/>
              </w:rPr>
              <w:t>In Vitro</w:t>
            </w:r>
            <w:r w:rsidRPr="00642630">
              <w:rPr>
                <w:rFonts w:eastAsia="Calibri"/>
                <w:iCs/>
                <w:color w:val="000000"/>
                <w:sz w:val="18"/>
                <w:szCs w:val="18"/>
                <w:lang w:eastAsia="en-GB"/>
              </w:rPr>
              <w:t xml:space="preserve"> Percutaneous Absorption of Dicopper Oxide in AquaNet Premium Paint Formulation through Human Split-Thickness Skin</w:t>
            </w:r>
          </w:p>
          <w:p w14:paraId="1A40278B" w14:textId="77777777" w:rsidR="00A43D0C" w:rsidRPr="00F773BF" w:rsidRDefault="00A43D0C" w:rsidP="00A43D0C">
            <w:pPr>
              <w:keepNext/>
              <w:widowControl w:val="0"/>
              <w:tabs>
                <w:tab w:val="center" w:pos="4536"/>
                <w:tab w:val="right" w:pos="9072"/>
              </w:tabs>
              <w:spacing w:before="120" w:line="276" w:lineRule="auto"/>
              <w:rPr>
                <w:rFonts w:eastAsia="Calibri"/>
                <w:color w:val="000000"/>
                <w:sz w:val="18"/>
                <w:szCs w:val="18"/>
                <w:lang w:eastAsia="en-GB"/>
              </w:rPr>
            </w:pPr>
            <w:r w:rsidRPr="00C642C7">
              <w:rPr>
                <w:rFonts w:eastAsia="Calibri"/>
                <w:color w:val="000000"/>
                <w:sz w:val="18"/>
                <w:szCs w:val="18"/>
                <w:lang w:eastAsia="en-GB"/>
              </w:rPr>
              <w:t>OECD TG 428 (2004)</w:t>
            </w:r>
          </w:p>
          <w:p w14:paraId="2A39C5EE" w14:textId="77777777" w:rsidR="00A43D0C" w:rsidRPr="00CA27F7" w:rsidRDefault="00A43D0C" w:rsidP="00A43D0C">
            <w:pPr>
              <w:keepNext/>
              <w:widowControl w:val="0"/>
              <w:tabs>
                <w:tab w:val="center" w:pos="4536"/>
                <w:tab w:val="right" w:pos="9072"/>
              </w:tabs>
              <w:spacing w:before="120" w:line="276" w:lineRule="auto"/>
              <w:rPr>
                <w:sz w:val="18"/>
                <w:szCs w:val="18"/>
              </w:rPr>
            </w:pPr>
            <w:r w:rsidRPr="00F773BF">
              <w:rPr>
                <w:sz w:val="18"/>
                <w:szCs w:val="18"/>
              </w:rPr>
              <w:t xml:space="preserve">GLP </w:t>
            </w:r>
          </w:p>
          <w:p w14:paraId="056B0B6A" w14:textId="77777777" w:rsidR="00A43D0C" w:rsidRPr="00642630" w:rsidRDefault="00A43D0C" w:rsidP="00A43D0C">
            <w:pPr>
              <w:keepNext/>
              <w:widowControl w:val="0"/>
              <w:tabs>
                <w:tab w:val="center" w:pos="4536"/>
                <w:tab w:val="right" w:pos="9072"/>
              </w:tabs>
              <w:spacing w:before="120" w:line="276" w:lineRule="auto"/>
              <w:rPr>
                <w:rFonts w:eastAsia="Calibri"/>
                <w:color w:val="000000"/>
                <w:sz w:val="18"/>
                <w:szCs w:val="18"/>
                <w:lang w:eastAsia="en-GB"/>
              </w:rPr>
            </w:pPr>
            <w:r w:rsidRPr="00642630">
              <w:rPr>
                <w:rFonts w:eastAsia="Calibri"/>
                <w:color w:val="000000"/>
                <w:sz w:val="18"/>
                <w:szCs w:val="18"/>
                <w:lang w:eastAsia="en-GB"/>
              </w:rPr>
              <w:t>Reliability 1</w:t>
            </w:r>
          </w:p>
          <w:p w14:paraId="76A18DB6" w14:textId="742996EC" w:rsidR="00A43D0C" w:rsidRPr="00642630" w:rsidRDefault="00A43D0C" w:rsidP="00A43D0C">
            <w:pPr>
              <w:keepNext/>
              <w:widowControl w:val="0"/>
              <w:tabs>
                <w:tab w:val="center" w:pos="4536"/>
                <w:tab w:val="right" w:pos="9072"/>
              </w:tabs>
              <w:spacing w:before="120" w:line="276" w:lineRule="auto"/>
              <w:rPr>
                <w:rFonts w:eastAsia="Calibri"/>
                <w:color w:val="000000"/>
                <w:sz w:val="18"/>
                <w:szCs w:val="18"/>
                <w:lang w:eastAsia="en-GB"/>
              </w:rPr>
            </w:pPr>
            <w:bookmarkStart w:id="1571" w:name="_Hlk53094041"/>
            <w:r w:rsidRPr="00642630">
              <w:rPr>
                <w:rFonts w:eastAsia="Calibri"/>
                <w:color w:val="000000"/>
                <w:sz w:val="18"/>
                <w:szCs w:val="18"/>
                <w:lang w:eastAsia="en-GB"/>
              </w:rPr>
              <w:t>Wallace, J</w:t>
            </w:r>
            <w:r w:rsidR="001B54F2">
              <w:rPr>
                <w:rFonts w:eastAsia="Calibri"/>
                <w:color w:val="000000"/>
                <w:sz w:val="18"/>
                <w:szCs w:val="18"/>
                <w:lang w:eastAsia="en-GB"/>
              </w:rPr>
              <w:t>.</w:t>
            </w:r>
            <w:r w:rsidRPr="00642630">
              <w:rPr>
                <w:rFonts w:eastAsia="Calibri"/>
                <w:color w:val="000000"/>
                <w:sz w:val="18"/>
                <w:szCs w:val="18"/>
                <w:lang w:eastAsia="en-GB"/>
              </w:rPr>
              <w:t xml:space="preserve"> (2020)</w:t>
            </w:r>
          </w:p>
          <w:bookmarkEnd w:id="1571"/>
          <w:p w14:paraId="17C28C88" w14:textId="77777777" w:rsidR="00A43D0C" w:rsidRPr="005C589C" w:rsidRDefault="00A43D0C" w:rsidP="00A43D0C">
            <w:pPr>
              <w:keepNext/>
              <w:widowControl w:val="0"/>
              <w:tabs>
                <w:tab w:val="center" w:pos="4536"/>
                <w:tab w:val="right" w:pos="9072"/>
              </w:tabs>
              <w:spacing w:before="120" w:line="276" w:lineRule="auto"/>
              <w:rPr>
                <w:i/>
                <w:shd w:val="clear" w:color="auto" w:fill="FFFFFF"/>
              </w:rPr>
            </w:pPr>
          </w:p>
        </w:tc>
        <w:tc>
          <w:tcPr>
            <w:tcW w:w="1709" w:type="dxa"/>
            <w:tcMar>
              <w:top w:w="57" w:type="dxa"/>
              <w:bottom w:w="57" w:type="dxa"/>
            </w:tcMar>
          </w:tcPr>
          <w:p w14:paraId="19733428" w14:textId="790159DE" w:rsidR="002107C6" w:rsidRDefault="00A43D0C" w:rsidP="00954C66">
            <w:pPr>
              <w:keepNext/>
              <w:widowControl w:val="0"/>
              <w:tabs>
                <w:tab w:val="center" w:pos="4536"/>
                <w:tab w:val="right" w:pos="9072"/>
              </w:tabs>
              <w:spacing w:line="276" w:lineRule="auto"/>
              <w:rPr>
                <w:rFonts w:eastAsia="Calibri"/>
                <w:color w:val="000000"/>
                <w:sz w:val="18"/>
                <w:szCs w:val="18"/>
                <w:lang w:eastAsia="en-GB"/>
              </w:rPr>
            </w:pPr>
            <w:r w:rsidRPr="00954C66">
              <w:rPr>
                <w:rFonts w:eastAsia="Calibri"/>
                <w:i/>
                <w:color w:val="000000"/>
                <w:sz w:val="18"/>
                <w:szCs w:val="18"/>
                <w:lang w:eastAsia="en-GB"/>
              </w:rPr>
              <w:t>In vitro</w:t>
            </w:r>
            <w:r w:rsidRPr="00954C66">
              <w:rPr>
                <w:rFonts w:eastAsia="Calibri"/>
                <w:color w:val="000000"/>
                <w:sz w:val="18"/>
                <w:szCs w:val="18"/>
                <w:lang w:eastAsia="en-GB"/>
              </w:rPr>
              <w:t xml:space="preserve">, </w:t>
            </w:r>
            <w:r w:rsidR="00B562AF" w:rsidRPr="00954C66">
              <w:rPr>
                <w:rFonts w:eastAsia="Calibri"/>
                <w:color w:val="000000"/>
                <w:sz w:val="18"/>
                <w:szCs w:val="18"/>
                <w:lang w:eastAsia="en-GB"/>
              </w:rPr>
              <w:t xml:space="preserve">split thickness </w:t>
            </w:r>
            <w:r w:rsidRPr="00954C66">
              <w:rPr>
                <w:rFonts w:eastAsia="Calibri"/>
                <w:color w:val="000000"/>
                <w:sz w:val="18"/>
                <w:szCs w:val="18"/>
                <w:lang w:eastAsia="en-GB"/>
              </w:rPr>
              <w:t xml:space="preserve">human skin, abdomen, </w:t>
            </w:r>
            <w:r w:rsidR="00B81B45" w:rsidRPr="00954C66">
              <w:rPr>
                <w:rFonts w:eastAsia="Calibri"/>
                <w:color w:val="000000"/>
                <w:sz w:val="18"/>
                <w:szCs w:val="18"/>
                <w:lang w:eastAsia="en-GB"/>
              </w:rPr>
              <w:t xml:space="preserve">12 samples from </w:t>
            </w:r>
            <w:r w:rsidRPr="00954C66">
              <w:rPr>
                <w:rFonts w:eastAsia="Calibri"/>
                <w:color w:val="000000"/>
                <w:sz w:val="18"/>
                <w:szCs w:val="18"/>
                <w:lang w:eastAsia="en-GB"/>
              </w:rPr>
              <w:t>4 donors</w:t>
            </w:r>
            <w:r w:rsidR="00B81B45" w:rsidRPr="00954C66">
              <w:rPr>
                <w:rFonts w:eastAsia="Calibri"/>
                <w:color w:val="000000"/>
                <w:sz w:val="18"/>
                <w:szCs w:val="18"/>
                <w:lang w:eastAsia="en-GB"/>
              </w:rPr>
              <w:t xml:space="preserve"> (8 processed)</w:t>
            </w:r>
          </w:p>
          <w:p w14:paraId="38A3F5CD" w14:textId="77777777" w:rsidR="00B81B45" w:rsidRPr="00954C66" w:rsidRDefault="00B81B45" w:rsidP="00A43D0C">
            <w:pPr>
              <w:keepNext/>
              <w:widowControl w:val="0"/>
              <w:tabs>
                <w:tab w:val="center" w:pos="4536"/>
                <w:tab w:val="right" w:pos="9072"/>
              </w:tabs>
              <w:spacing w:line="276" w:lineRule="auto"/>
              <w:rPr>
                <w:rFonts w:eastAsia="Calibri"/>
                <w:color w:val="000000"/>
                <w:sz w:val="18"/>
                <w:szCs w:val="18"/>
                <w:lang w:eastAsia="en-GB"/>
              </w:rPr>
            </w:pPr>
          </w:p>
          <w:p w14:paraId="5E2C80F4" w14:textId="43E1A324" w:rsidR="00017672" w:rsidRPr="00954C66" w:rsidRDefault="00017672" w:rsidP="005C589C">
            <w:pPr>
              <w:keepNext/>
              <w:widowControl w:val="0"/>
              <w:tabs>
                <w:tab w:val="center" w:pos="4536"/>
                <w:tab w:val="right" w:pos="9072"/>
              </w:tabs>
              <w:spacing w:line="276" w:lineRule="auto"/>
              <w:rPr>
                <w:rFonts w:eastAsia="Calibri"/>
                <w:iCs/>
                <w:color w:val="000000"/>
                <w:sz w:val="18"/>
                <w:szCs w:val="18"/>
                <w:lang w:eastAsia="en-GB"/>
              </w:rPr>
            </w:pPr>
            <w:r w:rsidRPr="00954C66">
              <w:rPr>
                <w:rFonts w:eastAsia="Calibri"/>
                <w:iCs/>
                <w:color w:val="000000"/>
                <w:sz w:val="18"/>
                <w:szCs w:val="18"/>
                <w:lang w:eastAsia="en-GB"/>
              </w:rPr>
              <w:t xml:space="preserve">Additional 8 samples from </w:t>
            </w:r>
            <w:r w:rsidR="005C589C" w:rsidRPr="00954C66">
              <w:rPr>
                <w:rFonts w:eastAsia="Calibri"/>
                <w:iCs/>
                <w:color w:val="000000"/>
                <w:sz w:val="18"/>
                <w:szCs w:val="18"/>
                <w:lang w:eastAsia="en-GB"/>
              </w:rPr>
              <w:t>4</w:t>
            </w:r>
            <w:r w:rsidRPr="00954C66">
              <w:rPr>
                <w:rFonts w:eastAsia="Calibri"/>
                <w:iCs/>
                <w:color w:val="000000"/>
                <w:sz w:val="18"/>
                <w:szCs w:val="18"/>
                <w:lang w:eastAsia="en-GB"/>
              </w:rPr>
              <w:t xml:space="preserve"> donors</w:t>
            </w:r>
            <w:r w:rsidR="00821D3B">
              <w:rPr>
                <w:rFonts w:eastAsia="Calibri"/>
                <w:iCs/>
                <w:color w:val="000000"/>
                <w:sz w:val="18"/>
                <w:szCs w:val="18"/>
                <w:lang w:eastAsia="en-GB"/>
              </w:rPr>
              <w:t xml:space="preserve"> (</w:t>
            </w:r>
            <w:r w:rsidRPr="00954C66">
              <w:rPr>
                <w:rFonts w:eastAsia="Calibri"/>
                <w:iCs/>
                <w:color w:val="000000"/>
                <w:sz w:val="18"/>
                <w:szCs w:val="18"/>
                <w:lang w:eastAsia="en-GB"/>
              </w:rPr>
              <w:t>blank controls to account for intrinsic copper levels in the matrices</w:t>
            </w:r>
            <w:r w:rsidR="00821D3B">
              <w:rPr>
                <w:rFonts w:eastAsia="Calibri"/>
                <w:iCs/>
                <w:color w:val="000000"/>
                <w:sz w:val="18"/>
                <w:szCs w:val="18"/>
                <w:lang w:eastAsia="en-GB"/>
              </w:rPr>
              <w:t>)</w:t>
            </w:r>
          </w:p>
          <w:p w14:paraId="6C5C0813" w14:textId="52B37CB7" w:rsidR="00017672" w:rsidRPr="00954C66" w:rsidRDefault="00017672" w:rsidP="005C589C">
            <w:pPr>
              <w:keepNext/>
              <w:widowControl w:val="0"/>
              <w:tabs>
                <w:tab w:val="center" w:pos="4536"/>
                <w:tab w:val="right" w:pos="9072"/>
              </w:tabs>
              <w:spacing w:line="276" w:lineRule="auto"/>
              <w:rPr>
                <w:rFonts w:eastAsia="Calibri"/>
                <w:i/>
                <w:color w:val="000000"/>
                <w:sz w:val="18"/>
                <w:szCs w:val="18"/>
                <w:lang w:eastAsia="en-GB"/>
              </w:rPr>
            </w:pPr>
          </w:p>
          <w:p w14:paraId="030D0C2E" w14:textId="77777777" w:rsidR="00B81B45" w:rsidRPr="00954C66" w:rsidRDefault="00B81B45" w:rsidP="00954C66">
            <w:pPr>
              <w:keepNext/>
              <w:widowControl w:val="0"/>
              <w:tabs>
                <w:tab w:val="center" w:pos="4536"/>
                <w:tab w:val="right" w:pos="9072"/>
              </w:tabs>
              <w:spacing w:line="276" w:lineRule="auto"/>
              <w:rPr>
                <w:rFonts w:eastAsia="Calibri"/>
                <w:iCs/>
                <w:color w:val="000000"/>
                <w:sz w:val="18"/>
                <w:szCs w:val="18"/>
                <w:lang w:eastAsia="en-GB"/>
              </w:rPr>
            </w:pPr>
            <w:r w:rsidRPr="00954C66">
              <w:rPr>
                <w:rFonts w:eastAsia="Calibri"/>
                <w:iCs/>
                <w:color w:val="000000"/>
                <w:sz w:val="18"/>
                <w:szCs w:val="18"/>
                <w:lang w:eastAsia="en-GB"/>
              </w:rPr>
              <w:t xml:space="preserve">Blank samples: </w:t>
            </w:r>
          </w:p>
          <w:p w14:paraId="15581398" w14:textId="64BAAED3" w:rsidR="00B81B45" w:rsidRPr="00954C66" w:rsidRDefault="00821D3B" w:rsidP="00954C66">
            <w:pPr>
              <w:keepNext/>
              <w:widowControl w:val="0"/>
              <w:tabs>
                <w:tab w:val="center" w:pos="4536"/>
                <w:tab w:val="right" w:pos="9072"/>
              </w:tabs>
              <w:spacing w:line="276" w:lineRule="auto"/>
              <w:rPr>
                <w:rFonts w:eastAsia="Calibri"/>
                <w:iCs/>
                <w:color w:val="000000"/>
                <w:sz w:val="18"/>
                <w:szCs w:val="18"/>
                <w:lang w:eastAsia="en-GB"/>
              </w:rPr>
            </w:pPr>
            <w:r>
              <w:rPr>
                <w:rFonts w:eastAsia="Calibri"/>
                <w:iCs/>
                <w:color w:val="000000"/>
                <w:sz w:val="18"/>
                <w:szCs w:val="18"/>
                <w:lang w:eastAsia="en-GB"/>
              </w:rPr>
              <w:t>(</w:t>
            </w:r>
            <w:r w:rsidR="00B81B45" w:rsidRPr="00954C66">
              <w:rPr>
                <w:rFonts w:eastAsia="Calibri"/>
                <w:iCs/>
                <w:color w:val="000000"/>
                <w:sz w:val="18"/>
                <w:szCs w:val="18"/>
                <w:lang w:eastAsia="en-GB"/>
              </w:rPr>
              <w:t>4 receptor fluid</w:t>
            </w:r>
            <w:r>
              <w:rPr>
                <w:rFonts w:eastAsia="Calibri"/>
                <w:iCs/>
                <w:color w:val="000000"/>
                <w:sz w:val="18"/>
                <w:szCs w:val="18"/>
                <w:lang w:eastAsia="en-GB"/>
              </w:rPr>
              <w:t>,</w:t>
            </w:r>
            <w:r w:rsidR="00954C66">
              <w:rPr>
                <w:rFonts w:eastAsia="Calibri"/>
                <w:iCs/>
                <w:color w:val="000000"/>
                <w:sz w:val="18"/>
                <w:szCs w:val="18"/>
                <w:lang w:eastAsia="en-GB"/>
              </w:rPr>
              <w:t xml:space="preserve"> </w:t>
            </w:r>
          </w:p>
          <w:p w14:paraId="3EFA473A" w14:textId="2650755A" w:rsidR="00B81B45" w:rsidRDefault="00B81B45" w:rsidP="00D91F71">
            <w:pPr>
              <w:keepNext/>
              <w:widowControl w:val="0"/>
              <w:tabs>
                <w:tab w:val="center" w:pos="4536"/>
                <w:tab w:val="right" w:pos="9072"/>
              </w:tabs>
              <w:spacing w:line="276" w:lineRule="auto"/>
              <w:rPr>
                <w:rFonts w:eastAsia="Calibri"/>
                <w:iCs/>
                <w:color w:val="000000"/>
                <w:sz w:val="18"/>
                <w:szCs w:val="18"/>
                <w:lang w:eastAsia="en-GB"/>
              </w:rPr>
            </w:pPr>
            <w:r w:rsidRPr="00954C66">
              <w:rPr>
                <w:rFonts w:eastAsia="Calibri"/>
                <w:iCs/>
                <w:color w:val="000000"/>
                <w:sz w:val="18"/>
                <w:szCs w:val="18"/>
                <w:lang w:eastAsia="en-GB"/>
              </w:rPr>
              <w:t>4 skin, 4</w:t>
            </w:r>
            <w:r w:rsidR="00954C66">
              <w:rPr>
                <w:rFonts w:eastAsia="Calibri"/>
                <w:iCs/>
                <w:color w:val="000000"/>
                <w:sz w:val="18"/>
                <w:szCs w:val="18"/>
                <w:lang w:eastAsia="en-GB"/>
              </w:rPr>
              <w:t xml:space="preserve"> </w:t>
            </w:r>
            <w:r w:rsidRPr="00954C66">
              <w:rPr>
                <w:rFonts w:eastAsia="Calibri"/>
                <w:iCs/>
                <w:color w:val="000000"/>
                <w:sz w:val="18"/>
                <w:szCs w:val="18"/>
                <w:lang w:eastAsia="en-GB"/>
              </w:rPr>
              <w:t>tape strip, 4 skin wash, 4 tissue swabs, 8 donor and 8 receptor chamber washes</w:t>
            </w:r>
            <w:r w:rsidR="00821D3B">
              <w:rPr>
                <w:rFonts w:eastAsia="Calibri"/>
                <w:iCs/>
                <w:color w:val="000000"/>
                <w:sz w:val="18"/>
                <w:szCs w:val="18"/>
                <w:lang w:eastAsia="en-GB"/>
              </w:rPr>
              <w:t>)</w:t>
            </w:r>
          </w:p>
          <w:p w14:paraId="53AB5D00" w14:textId="701BAE9A" w:rsidR="00B81B45" w:rsidRPr="00954C66" w:rsidRDefault="00B81B45" w:rsidP="00954C66">
            <w:pPr>
              <w:keepNext/>
              <w:widowControl w:val="0"/>
              <w:tabs>
                <w:tab w:val="center" w:pos="4536"/>
                <w:tab w:val="right" w:pos="9072"/>
              </w:tabs>
              <w:spacing w:line="276" w:lineRule="auto"/>
              <w:jc w:val="center"/>
              <w:rPr>
                <w:rFonts w:eastAsia="Calibri"/>
                <w:iCs/>
                <w:color w:val="000000"/>
                <w:sz w:val="18"/>
                <w:szCs w:val="18"/>
                <w:lang w:eastAsia="en-GB"/>
              </w:rPr>
            </w:pPr>
          </w:p>
          <w:p w14:paraId="4471F5A4" w14:textId="5526AD01" w:rsidR="002107C6" w:rsidRDefault="002107C6" w:rsidP="00821D3B">
            <w:pPr>
              <w:pStyle w:val="Default"/>
              <w:rPr>
                <w:rFonts w:eastAsia="Calibri"/>
                <w:iCs/>
                <w:sz w:val="18"/>
                <w:szCs w:val="18"/>
              </w:rPr>
            </w:pPr>
            <w:r w:rsidRPr="00954C66">
              <w:rPr>
                <w:rFonts w:ascii="Verdana" w:eastAsia="ArialUnicodeMS" w:hAnsi="Verdana" w:cstheme="minorHAnsi"/>
                <w:iCs/>
                <w:sz w:val="18"/>
                <w:szCs w:val="18"/>
              </w:rPr>
              <w:t>Flow-through diffusion cells</w:t>
            </w:r>
            <w:r w:rsidR="00821D3B">
              <w:rPr>
                <w:rFonts w:ascii="Verdana" w:eastAsia="ArialUnicodeMS" w:hAnsi="Verdana" w:cstheme="minorHAnsi"/>
                <w:iCs/>
                <w:sz w:val="18"/>
                <w:szCs w:val="18"/>
              </w:rPr>
              <w:t xml:space="preserve">, </w:t>
            </w:r>
          </w:p>
          <w:p w14:paraId="21AEAF46" w14:textId="35E9A975" w:rsidR="00017672" w:rsidRPr="00954C66" w:rsidRDefault="00017672" w:rsidP="00954C66">
            <w:pPr>
              <w:keepNext/>
              <w:widowControl w:val="0"/>
              <w:tabs>
                <w:tab w:val="center" w:pos="4536"/>
                <w:tab w:val="right" w:pos="9072"/>
              </w:tabs>
              <w:spacing w:line="276" w:lineRule="auto"/>
              <w:rPr>
                <w:rFonts w:eastAsia="Calibri"/>
                <w:iCs/>
                <w:color w:val="000000"/>
                <w:sz w:val="18"/>
                <w:szCs w:val="18"/>
                <w:lang w:eastAsia="en-GB"/>
              </w:rPr>
            </w:pPr>
            <w:r w:rsidRPr="00954C66">
              <w:rPr>
                <w:rFonts w:eastAsia="Calibri"/>
                <w:iCs/>
                <w:color w:val="000000"/>
                <w:sz w:val="18"/>
                <w:szCs w:val="18"/>
                <w:lang w:eastAsia="en-GB"/>
              </w:rPr>
              <w:t>8 h exposure</w:t>
            </w:r>
            <w:r w:rsidR="00EF0ED6">
              <w:rPr>
                <w:rFonts w:eastAsia="Calibri"/>
                <w:iCs/>
                <w:color w:val="000000"/>
                <w:sz w:val="18"/>
                <w:szCs w:val="18"/>
                <w:lang w:eastAsia="en-GB"/>
              </w:rPr>
              <w:t xml:space="preserve"> </w:t>
            </w:r>
            <w:r w:rsidR="00EF0ED6" w:rsidRPr="00EF0ED6">
              <w:rPr>
                <w:rFonts w:eastAsia="Calibri"/>
                <w:iCs/>
                <w:color w:val="000000"/>
                <w:sz w:val="18"/>
                <w:szCs w:val="18"/>
                <w:lang w:eastAsia="en-GB"/>
              </w:rPr>
              <w:t xml:space="preserve">(paint removed with </w:t>
            </w:r>
            <w:r w:rsidR="00EF0ED6" w:rsidRPr="00642630">
              <w:rPr>
                <w:color w:val="000000" w:themeColor="text1"/>
                <w:sz w:val="18"/>
                <w:szCs w:val="18"/>
              </w:rPr>
              <w:t>Swarfega</w:t>
            </w:r>
            <w:r w:rsidR="00EF0ED6" w:rsidRPr="00642630">
              <w:rPr>
                <w:color w:val="000000" w:themeColor="text1"/>
                <w:sz w:val="18"/>
                <w:szCs w:val="18"/>
                <w:vertAlign w:val="superscript"/>
              </w:rPr>
              <w:t>®</w:t>
            </w:r>
            <w:r w:rsidR="00EF0ED6" w:rsidRPr="00642630">
              <w:rPr>
                <w:color w:val="000000" w:themeColor="text1"/>
                <w:sz w:val="18"/>
                <w:szCs w:val="18"/>
              </w:rPr>
              <w:t xml:space="preserve"> Paint Pro),</w:t>
            </w:r>
            <w:r w:rsidR="00EF0ED6" w:rsidRPr="00D726E8">
              <w:t xml:space="preserve"> </w:t>
            </w:r>
            <w:r w:rsidRPr="00954C66">
              <w:rPr>
                <w:rFonts w:eastAsia="Calibri"/>
                <w:iCs/>
                <w:color w:val="000000"/>
                <w:sz w:val="18"/>
                <w:szCs w:val="18"/>
                <w:lang w:eastAsia="en-GB"/>
              </w:rPr>
              <w:t xml:space="preserve"> </w:t>
            </w:r>
          </w:p>
          <w:p w14:paraId="614C87F7" w14:textId="26918498" w:rsidR="00017672" w:rsidRDefault="00017672" w:rsidP="00954C66">
            <w:pPr>
              <w:keepNext/>
              <w:widowControl w:val="0"/>
              <w:tabs>
                <w:tab w:val="center" w:pos="4536"/>
                <w:tab w:val="right" w:pos="9072"/>
              </w:tabs>
              <w:spacing w:line="276" w:lineRule="auto"/>
              <w:rPr>
                <w:rFonts w:eastAsia="Calibri"/>
                <w:iCs/>
                <w:color w:val="000000"/>
                <w:sz w:val="18"/>
                <w:szCs w:val="18"/>
                <w:lang w:eastAsia="en-GB"/>
              </w:rPr>
            </w:pPr>
            <w:r w:rsidRPr="00954C66">
              <w:rPr>
                <w:rFonts w:eastAsia="Calibri"/>
                <w:iCs/>
                <w:color w:val="000000"/>
                <w:sz w:val="18"/>
                <w:szCs w:val="18"/>
                <w:lang w:eastAsia="en-GB"/>
              </w:rPr>
              <w:t>16 h post exposure monitoring</w:t>
            </w:r>
          </w:p>
          <w:p w14:paraId="379894E9" w14:textId="77777777" w:rsidR="001B54F2" w:rsidRDefault="001B54F2" w:rsidP="00954C66">
            <w:pPr>
              <w:keepNext/>
              <w:widowControl w:val="0"/>
              <w:tabs>
                <w:tab w:val="center" w:pos="4536"/>
                <w:tab w:val="right" w:pos="9072"/>
              </w:tabs>
              <w:spacing w:line="276" w:lineRule="auto"/>
              <w:rPr>
                <w:rFonts w:eastAsia="Calibri"/>
                <w:iCs/>
                <w:color w:val="000000"/>
                <w:sz w:val="18"/>
                <w:szCs w:val="18"/>
                <w:lang w:eastAsia="en-GB"/>
              </w:rPr>
            </w:pPr>
          </w:p>
          <w:p w14:paraId="400D2B53" w14:textId="4751D4DF" w:rsidR="00A352E0" w:rsidRDefault="00A352E0" w:rsidP="00A352E0">
            <w:pPr>
              <w:rPr>
                <w:rFonts w:eastAsia="Calibri"/>
                <w:color w:val="000000"/>
                <w:sz w:val="18"/>
                <w:szCs w:val="18"/>
                <w:lang w:eastAsia="en-GB"/>
              </w:rPr>
            </w:pPr>
            <w:r w:rsidRPr="00954C66">
              <w:rPr>
                <w:rFonts w:eastAsia="Calibri"/>
                <w:color w:val="000000"/>
                <w:sz w:val="18"/>
                <w:szCs w:val="18"/>
                <w:lang w:eastAsia="en-GB"/>
              </w:rPr>
              <w:t>Photo</w:t>
            </w:r>
            <w:r w:rsidR="00821D3B">
              <w:rPr>
                <w:rFonts w:eastAsia="Calibri"/>
                <w:color w:val="000000"/>
                <w:sz w:val="18"/>
                <w:szCs w:val="18"/>
                <w:lang w:eastAsia="en-GB"/>
              </w:rPr>
              <w:t>s demonstrating extent of paint removal</w:t>
            </w:r>
          </w:p>
          <w:p w14:paraId="6071766B" w14:textId="4DC68D68" w:rsidR="00B562AF" w:rsidRDefault="00B562AF" w:rsidP="00017672">
            <w:pPr>
              <w:keepNext/>
              <w:keepLines/>
              <w:widowControl w:val="0"/>
              <w:tabs>
                <w:tab w:val="center" w:pos="4536"/>
                <w:tab w:val="right" w:pos="9072"/>
              </w:tabs>
              <w:spacing w:line="276" w:lineRule="auto"/>
              <w:rPr>
                <w:iCs/>
                <w:sz w:val="18"/>
                <w:szCs w:val="18"/>
              </w:rPr>
            </w:pPr>
          </w:p>
          <w:p w14:paraId="552B9E47" w14:textId="21DE41A3" w:rsidR="002107C6" w:rsidRPr="002107C6" w:rsidRDefault="00821D3B" w:rsidP="00017672">
            <w:pPr>
              <w:keepNext/>
              <w:keepLines/>
              <w:widowControl w:val="0"/>
              <w:tabs>
                <w:tab w:val="center" w:pos="4536"/>
                <w:tab w:val="right" w:pos="9072"/>
              </w:tabs>
              <w:spacing w:line="276" w:lineRule="auto"/>
              <w:rPr>
                <w:iCs/>
                <w:sz w:val="18"/>
                <w:szCs w:val="18"/>
              </w:rPr>
            </w:pPr>
            <w:r>
              <w:rPr>
                <w:sz w:val="18"/>
                <w:szCs w:val="18"/>
              </w:rPr>
              <w:t>4h</w:t>
            </w:r>
            <w:r w:rsidR="002107C6" w:rsidRPr="002107C6">
              <w:rPr>
                <w:color w:val="000000" w:themeColor="text1"/>
                <w:sz w:val="18"/>
                <w:szCs w:val="18"/>
              </w:rPr>
              <w:t xml:space="preserve"> fractions of receptor fluid </w:t>
            </w:r>
            <w:r>
              <w:rPr>
                <w:color w:val="000000" w:themeColor="text1"/>
                <w:sz w:val="18"/>
                <w:szCs w:val="18"/>
              </w:rPr>
              <w:t>(</w:t>
            </w:r>
            <w:r w:rsidR="002107C6" w:rsidRPr="002107C6">
              <w:rPr>
                <w:color w:val="000000" w:themeColor="text1"/>
                <w:sz w:val="18"/>
                <w:szCs w:val="18"/>
              </w:rPr>
              <w:t>0 to 24h post dose</w:t>
            </w:r>
            <w:r>
              <w:rPr>
                <w:color w:val="000000" w:themeColor="text1"/>
                <w:sz w:val="18"/>
                <w:szCs w:val="18"/>
              </w:rPr>
              <w:t>)</w:t>
            </w:r>
          </w:p>
          <w:p w14:paraId="06E1955E" w14:textId="172BF305" w:rsidR="002107C6" w:rsidRDefault="002107C6" w:rsidP="002107C6">
            <w:pPr>
              <w:keepNext/>
              <w:widowControl w:val="0"/>
              <w:tabs>
                <w:tab w:val="center" w:pos="4536"/>
                <w:tab w:val="right" w:pos="9072"/>
              </w:tabs>
              <w:spacing w:line="276" w:lineRule="auto"/>
              <w:rPr>
                <w:rFonts w:eastAsia="Calibri"/>
                <w:color w:val="000000"/>
                <w:sz w:val="18"/>
                <w:szCs w:val="18"/>
                <w:lang w:eastAsia="en-GB"/>
              </w:rPr>
            </w:pPr>
          </w:p>
          <w:p w14:paraId="1D95EEDD" w14:textId="484A4A18" w:rsidR="00821D3B" w:rsidRPr="00954C66" w:rsidRDefault="002107C6" w:rsidP="00821D3B">
            <w:pPr>
              <w:rPr>
                <w:rFonts w:eastAsia="Calibri"/>
                <w:i/>
                <w:color w:val="000000"/>
                <w:sz w:val="18"/>
                <w:szCs w:val="18"/>
                <w:lang w:eastAsia="en-GB"/>
              </w:rPr>
            </w:pPr>
            <w:r w:rsidRPr="002107C6">
              <w:rPr>
                <w:sz w:val="18"/>
                <w:szCs w:val="18"/>
              </w:rPr>
              <w:t>Tape stripping (20)</w:t>
            </w:r>
            <w:r w:rsidR="00821D3B">
              <w:rPr>
                <w:sz w:val="18"/>
                <w:szCs w:val="18"/>
              </w:rPr>
              <w:t xml:space="preserve">. </w:t>
            </w:r>
            <w:r w:rsidR="00821D3B">
              <w:rPr>
                <w:rFonts w:eastAsia="Calibri"/>
                <w:color w:val="000000"/>
                <w:sz w:val="18"/>
                <w:szCs w:val="18"/>
                <w:lang w:eastAsia="en-GB"/>
              </w:rPr>
              <w:t xml:space="preserve">Photo-evidence. </w:t>
            </w:r>
          </w:p>
        </w:tc>
        <w:tc>
          <w:tcPr>
            <w:tcW w:w="1488" w:type="dxa"/>
            <w:shd w:val="clear" w:color="auto" w:fill="auto"/>
            <w:tcMar>
              <w:top w:w="57" w:type="dxa"/>
              <w:bottom w:w="57" w:type="dxa"/>
            </w:tcMar>
          </w:tcPr>
          <w:p w14:paraId="1106736B" w14:textId="77777777" w:rsidR="00A43D0C" w:rsidRPr="00954C66" w:rsidRDefault="00A43D0C" w:rsidP="00A43D0C">
            <w:pPr>
              <w:keepNext/>
              <w:widowControl w:val="0"/>
              <w:tabs>
                <w:tab w:val="center" w:pos="4536"/>
                <w:tab w:val="right" w:pos="9072"/>
              </w:tabs>
              <w:spacing w:line="276" w:lineRule="auto"/>
              <w:rPr>
                <w:rFonts w:eastAsia="Calibri"/>
                <w:color w:val="000000"/>
                <w:sz w:val="18"/>
                <w:szCs w:val="18"/>
                <w:lang w:eastAsia="en-GB"/>
              </w:rPr>
            </w:pPr>
            <w:r w:rsidRPr="00954C66">
              <w:rPr>
                <w:rFonts w:eastAsia="Calibri"/>
                <w:color w:val="000000"/>
                <w:sz w:val="18"/>
                <w:szCs w:val="18"/>
                <w:lang w:eastAsia="en-GB"/>
              </w:rPr>
              <w:t>AquaNet Premium</w:t>
            </w:r>
          </w:p>
          <w:p w14:paraId="3F8680BA" w14:textId="77777777" w:rsidR="00A43D0C" w:rsidRPr="00954C66" w:rsidRDefault="00A43D0C" w:rsidP="00A43D0C">
            <w:pPr>
              <w:keepNext/>
              <w:widowControl w:val="0"/>
              <w:tabs>
                <w:tab w:val="center" w:pos="4536"/>
                <w:tab w:val="right" w:pos="9072"/>
              </w:tabs>
              <w:spacing w:line="276" w:lineRule="auto"/>
              <w:rPr>
                <w:rFonts w:eastAsia="Calibri"/>
                <w:color w:val="000000"/>
                <w:sz w:val="18"/>
                <w:szCs w:val="18"/>
                <w:lang w:eastAsia="en-GB"/>
              </w:rPr>
            </w:pPr>
          </w:p>
          <w:p w14:paraId="26052388" w14:textId="77777777" w:rsidR="00A43D0C" w:rsidRPr="00954C66" w:rsidRDefault="00A43D0C" w:rsidP="00A43D0C">
            <w:pPr>
              <w:keepNext/>
              <w:widowControl w:val="0"/>
              <w:tabs>
                <w:tab w:val="center" w:pos="4536"/>
                <w:tab w:val="right" w:pos="9072"/>
              </w:tabs>
              <w:spacing w:after="120" w:line="276" w:lineRule="auto"/>
              <w:rPr>
                <w:rFonts w:eastAsia="Calibri"/>
                <w:color w:val="000000"/>
                <w:sz w:val="18"/>
                <w:szCs w:val="18"/>
                <w:lang w:eastAsia="en-GB"/>
              </w:rPr>
            </w:pPr>
            <w:r w:rsidRPr="00954C66">
              <w:rPr>
                <w:rFonts w:eastAsia="Calibri"/>
                <w:color w:val="000000"/>
                <w:sz w:val="18"/>
                <w:szCs w:val="18"/>
                <w:lang w:eastAsia="en-GB"/>
              </w:rPr>
              <w:t xml:space="preserve">dicopper oxide 10% and tralopyril 2% </w:t>
            </w:r>
          </w:p>
          <w:p w14:paraId="1BF94345" w14:textId="77777777" w:rsidR="00A43D0C" w:rsidRPr="00954C66" w:rsidRDefault="00A43D0C" w:rsidP="00A43D0C">
            <w:pPr>
              <w:keepNext/>
              <w:widowControl w:val="0"/>
              <w:tabs>
                <w:tab w:val="center" w:pos="4536"/>
                <w:tab w:val="right" w:pos="9072"/>
              </w:tabs>
              <w:spacing w:line="276" w:lineRule="auto"/>
              <w:rPr>
                <w:rFonts w:eastAsia="Calibri"/>
                <w:color w:val="000000"/>
                <w:sz w:val="18"/>
                <w:szCs w:val="18"/>
                <w:lang w:eastAsia="en-GB"/>
              </w:rPr>
            </w:pPr>
          </w:p>
        </w:tc>
        <w:tc>
          <w:tcPr>
            <w:tcW w:w="3615" w:type="dxa"/>
            <w:shd w:val="clear" w:color="auto" w:fill="auto"/>
            <w:tcMar>
              <w:top w:w="57" w:type="dxa"/>
              <w:bottom w:w="57" w:type="dxa"/>
            </w:tcMar>
          </w:tcPr>
          <w:tbl>
            <w:tblPr>
              <w:tblStyle w:val="Tabellrutenett"/>
              <w:tblW w:w="3686" w:type="dxa"/>
              <w:tblLayout w:type="fixed"/>
              <w:tblLook w:val="04A0" w:firstRow="1" w:lastRow="0" w:firstColumn="1" w:lastColumn="0" w:noHBand="0" w:noVBand="1"/>
            </w:tblPr>
            <w:tblGrid>
              <w:gridCol w:w="1778"/>
              <w:gridCol w:w="1908"/>
            </w:tblGrid>
            <w:tr w:rsidR="00A43D0C" w:rsidRPr="00954C66" w14:paraId="6EDBC4AC" w14:textId="77777777" w:rsidTr="00A14CD6">
              <w:tc>
                <w:tcPr>
                  <w:tcW w:w="1778" w:type="dxa"/>
                </w:tcPr>
                <w:p w14:paraId="25575D3E" w14:textId="77777777" w:rsidR="00A43D0C" w:rsidRPr="00954C66" w:rsidRDefault="00A43D0C" w:rsidP="00A43D0C">
                  <w:pPr>
                    <w:keepNext/>
                    <w:widowControl w:val="0"/>
                    <w:tabs>
                      <w:tab w:val="center" w:pos="4536"/>
                      <w:tab w:val="right" w:pos="9072"/>
                    </w:tabs>
                    <w:spacing w:line="276" w:lineRule="auto"/>
                    <w:jc w:val="center"/>
                    <w:rPr>
                      <w:rFonts w:eastAsia="Calibri"/>
                      <w:color w:val="000000"/>
                      <w:sz w:val="18"/>
                      <w:szCs w:val="18"/>
                      <w:lang w:eastAsia="en-GB"/>
                    </w:rPr>
                  </w:pPr>
                  <w:r w:rsidRPr="00954C66">
                    <w:rPr>
                      <w:rFonts w:eastAsia="Calibri"/>
                      <w:color w:val="000000"/>
                      <w:sz w:val="18"/>
                      <w:szCs w:val="18"/>
                      <w:lang w:eastAsia="en-GB"/>
                    </w:rPr>
                    <w:t>Compartment</w:t>
                  </w:r>
                </w:p>
              </w:tc>
              <w:tc>
                <w:tcPr>
                  <w:tcW w:w="1908" w:type="dxa"/>
                </w:tcPr>
                <w:p w14:paraId="23A0E772" w14:textId="77777777" w:rsidR="00A43D0C" w:rsidRPr="00954C66" w:rsidRDefault="00A43D0C" w:rsidP="00A43D0C">
                  <w:pPr>
                    <w:keepNext/>
                    <w:widowControl w:val="0"/>
                    <w:tabs>
                      <w:tab w:val="center" w:pos="4536"/>
                      <w:tab w:val="right" w:pos="9072"/>
                    </w:tabs>
                    <w:spacing w:line="276" w:lineRule="auto"/>
                    <w:jc w:val="center"/>
                    <w:rPr>
                      <w:rFonts w:eastAsia="Calibri"/>
                      <w:color w:val="000000"/>
                      <w:sz w:val="18"/>
                      <w:szCs w:val="18"/>
                      <w:lang w:eastAsia="en-GB"/>
                    </w:rPr>
                  </w:pPr>
                  <w:r w:rsidRPr="00954C66">
                    <w:rPr>
                      <w:rFonts w:eastAsia="Calibri"/>
                      <w:color w:val="000000"/>
                      <w:sz w:val="18"/>
                      <w:szCs w:val="18"/>
                      <w:lang w:eastAsia="en-GB"/>
                    </w:rPr>
                    <w:t>Concentrate</w:t>
                  </w:r>
                </w:p>
              </w:tc>
            </w:tr>
            <w:tr w:rsidR="00A43D0C" w:rsidRPr="00954C66" w14:paraId="7CB9CC36" w14:textId="77777777" w:rsidTr="00A14CD6">
              <w:tc>
                <w:tcPr>
                  <w:tcW w:w="1778" w:type="dxa"/>
                </w:tcPr>
                <w:p w14:paraId="0014E689" w14:textId="77777777" w:rsidR="00A43D0C" w:rsidRPr="00954C66" w:rsidRDefault="00A43D0C" w:rsidP="00A43D0C">
                  <w:pPr>
                    <w:keepNext/>
                    <w:widowControl w:val="0"/>
                    <w:tabs>
                      <w:tab w:val="center" w:pos="4536"/>
                      <w:tab w:val="right" w:pos="9072"/>
                    </w:tabs>
                    <w:spacing w:line="276" w:lineRule="auto"/>
                    <w:jc w:val="center"/>
                    <w:rPr>
                      <w:rFonts w:eastAsia="Calibri"/>
                      <w:color w:val="000000"/>
                      <w:sz w:val="18"/>
                      <w:szCs w:val="18"/>
                      <w:lang w:eastAsia="en-GB"/>
                    </w:rPr>
                  </w:pPr>
                  <w:r w:rsidRPr="00954C66">
                    <w:rPr>
                      <w:rFonts w:eastAsia="Calibri"/>
                      <w:color w:val="000000"/>
                      <w:sz w:val="18"/>
                      <w:szCs w:val="18"/>
                      <w:lang w:eastAsia="en-GB"/>
                    </w:rPr>
                    <w:t>Tape strips 1 &amp; 2</w:t>
                  </w:r>
                </w:p>
              </w:tc>
              <w:tc>
                <w:tcPr>
                  <w:tcW w:w="1908" w:type="dxa"/>
                </w:tcPr>
                <w:p w14:paraId="3CDCC68C" w14:textId="77777777" w:rsidR="00A43D0C" w:rsidRPr="00954C66" w:rsidRDefault="00A43D0C" w:rsidP="00A43D0C">
                  <w:pPr>
                    <w:keepNext/>
                    <w:widowControl w:val="0"/>
                    <w:tabs>
                      <w:tab w:val="center" w:pos="4536"/>
                      <w:tab w:val="right" w:pos="9072"/>
                    </w:tabs>
                    <w:spacing w:line="276" w:lineRule="auto"/>
                    <w:jc w:val="center"/>
                    <w:rPr>
                      <w:rFonts w:eastAsia="Calibri"/>
                      <w:color w:val="000000"/>
                      <w:sz w:val="18"/>
                      <w:szCs w:val="18"/>
                      <w:lang w:eastAsia="en-GB"/>
                    </w:rPr>
                  </w:pPr>
                  <w:r w:rsidRPr="00954C66">
                    <w:rPr>
                      <w:rFonts w:eastAsia="Calibri"/>
                      <w:color w:val="000000"/>
                      <w:sz w:val="18"/>
                      <w:szCs w:val="18"/>
                      <w:lang w:eastAsia="en-GB"/>
                    </w:rPr>
                    <w:t>1±0.73</w:t>
                  </w:r>
                </w:p>
              </w:tc>
            </w:tr>
            <w:tr w:rsidR="00A43D0C" w:rsidRPr="00954C66" w14:paraId="4C60D2E5" w14:textId="77777777" w:rsidTr="00A14CD6">
              <w:tc>
                <w:tcPr>
                  <w:tcW w:w="1778" w:type="dxa"/>
                </w:tcPr>
                <w:p w14:paraId="7EDC3BE9" w14:textId="77777777" w:rsidR="00A43D0C" w:rsidRPr="00954C66" w:rsidRDefault="00A43D0C" w:rsidP="00A43D0C">
                  <w:pPr>
                    <w:keepNext/>
                    <w:widowControl w:val="0"/>
                    <w:tabs>
                      <w:tab w:val="center" w:pos="4536"/>
                      <w:tab w:val="right" w:pos="9072"/>
                    </w:tabs>
                    <w:spacing w:line="276" w:lineRule="auto"/>
                    <w:jc w:val="center"/>
                    <w:rPr>
                      <w:rFonts w:eastAsia="Calibri"/>
                      <w:color w:val="000000"/>
                      <w:sz w:val="18"/>
                      <w:szCs w:val="18"/>
                      <w:lang w:eastAsia="en-GB"/>
                    </w:rPr>
                  </w:pPr>
                  <w:r w:rsidRPr="00954C66">
                    <w:rPr>
                      <w:rFonts w:eastAsia="Calibri"/>
                      <w:color w:val="000000"/>
                      <w:sz w:val="18"/>
                      <w:szCs w:val="18"/>
                      <w:lang w:eastAsia="en-GB"/>
                    </w:rPr>
                    <w:t>Tape-strips 3+</w:t>
                  </w:r>
                </w:p>
              </w:tc>
              <w:tc>
                <w:tcPr>
                  <w:tcW w:w="1908" w:type="dxa"/>
                </w:tcPr>
                <w:p w14:paraId="61F34311" w14:textId="1AB9A2E4" w:rsidR="00A43D0C" w:rsidRPr="00954C66" w:rsidRDefault="00A43D0C" w:rsidP="00A43D0C">
                  <w:pPr>
                    <w:keepNext/>
                    <w:widowControl w:val="0"/>
                    <w:tabs>
                      <w:tab w:val="center" w:pos="4536"/>
                      <w:tab w:val="right" w:pos="9072"/>
                    </w:tabs>
                    <w:spacing w:line="276" w:lineRule="auto"/>
                    <w:jc w:val="center"/>
                    <w:rPr>
                      <w:rFonts w:eastAsia="Calibri"/>
                      <w:color w:val="000000"/>
                      <w:sz w:val="18"/>
                      <w:szCs w:val="18"/>
                      <w:lang w:eastAsia="en-GB"/>
                    </w:rPr>
                  </w:pPr>
                  <w:r w:rsidRPr="00954C66">
                    <w:rPr>
                      <w:rFonts w:eastAsia="Calibri"/>
                      <w:color w:val="000000"/>
                      <w:sz w:val="18"/>
                      <w:szCs w:val="18"/>
                      <w:lang w:eastAsia="en-GB"/>
                    </w:rPr>
                    <w:t>0.65±0.</w:t>
                  </w:r>
                  <w:r w:rsidR="00C075A8">
                    <w:rPr>
                      <w:rFonts w:eastAsia="Calibri"/>
                      <w:color w:val="000000"/>
                      <w:sz w:val="18"/>
                      <w:szCs w:val="18"/>
                      <w:lang w:eastAsia="en-GB"/>
                    </w:rPr>
                    <w:t>10</w:t>
                  </w:r>
                </w:p>
              </w:tc>
            </w:tr>
            <w:tr w:rsidR="00A43D0C" w:rsidRPr="00954C66" w14:paraId="251387E3" w14:textId="77777777" w:rsidTr="00A14CD6">
              <w:tc>
                <w:tcPr>
                  <w:tcW w:w="1778" w:type="dxa"/>
                </w:tcPr>
                <w:p w14:paraId="39876E5D" w14:textId="77777777" w:rsidR="00A43D0C" w:rsidRPr="00954C66" w:rsidRDefault="00A43D0C" w:rsidP="00A43D0C">
                  <w:pPr>
                    <w:keepNext/>
                    <w:widowControl w:val="0"/>
                    <w:tabs>
                      <w:tab w:val="center" w:pos="4536"/>
                      <w:tab w:val="right" w:pos="9072"/>
                    </w:tabs>
                    <w:spacing w:line="276" w:lineRule="auto"/>
                    <w:jc w:val="center"/>
                    <w:rPr>
                      <w:rFonts w:eastAsia="Calibri"/>
                      <w:color w:val="000000"/>
                      <w:sz w:val="18"/>
                      <w:szCs w:val="18"/>
                      <w:lang w:eastAsia="en-GB"/>
                    </w:rPr>
                  </w:pPr>
                  <w:r w:rsidRPr="00954C66">
                    <w:rPr>
                      <w:rFonts w:eastAsia="Calibri"/>
                      <w:color w:val="000000"/>
                      <w:sz w:val="18"/>
                      <w:szCs w:val="18"/>
                      <w:lang w:eastAsia="en-GB"/>
                    </w:rPr>
                    <w:t>Exposed skin</w:t>
                  </w:r>
                </w:p>
              </w:tc>
              <w:tc>
                <w:tcPr>
                  <w:tcW w:w="1908" w:type="dxa"/>
                </w:tcPr>
                <w:p w14:paraId="1BA1B117" w14:textId="77777777" w:rsidR="00A43D0C" w:rsidRPr="00954C66" w:rsidRDefault="00A43D0C" w:rsidP="00A43D0C">
                  <w:pPr>
                    <w:keepNext/>
                    <w:widowControl w:val="0"/>
                    <w:tabs>
                      <w:tab w:val="center" w:pos="4536"/>
                      <w:tab w:val="right" w:pos="9072"/>
                    </w:tabs>
                    <w:spacing w:line="276" w:lineRule="auto"/>
                    <w:jc w:val="center"/>
                    <w:rPr>
                      <w:rFonts w:eastAsia="Calibri"/>
                      <w:color w:val="000000"/>
                      <w:sz w:val="18"/>
                      <w:szCs w:val="18"/>
                      <w:lang w:eastAsia="en-GB"/>
                    </w:rPr>
                  </w:pPr>
                  <w:r w:rsidRPr="00954C66">
                    <w:rPr>
                      <w:rFonts w:eastAsia="Calibri"/>
                      <w:color w:val="000000"/>
                      <w:sz w:val="18"/>
                      <w:szCs w:val="18"/>
                      <w:lang w:eastAsia="en-GB"/>
                    </w:rPr>
                    <w:t>0.23±0.05</w:t>
                  </w:r>
                </w:p>
              </w:tc>
            </w:tr>
            <w:tr w:rsidR="00A43D0C" w:rsidRPr="00954C66" w14:paraId="0197EAE4" w14:textId="77777777" w:rsidTr="00A14CD6">
              <w:tc>
                <w:tcPr>
                  <w:tcW w:w="1778" w:type="dxa"/>
                </w:tcPr>
                <w:p w14:paraId="7950E2B5" w14:textId="77777777" w:rsidR="00A43D0C" w:rsidRPr="00954C66" w:rsidRDefault="00A43D0C" w:rsidP="00A43D0C">
                  <w:pPr>
                    <w:keepNext/>
                    <w:widowControl w:val="0"/>
                    <w:tabs>
                      <w:tab w:val="center" w:pos="4536"/>
                      <w:tab w:val="right" w:pos="9072"/>
                    </w:tabs>
                    <w:spacing w:line="276" w:lineRule="auto"/>
                    <w:jc w:val="center"/>
                    <w:rPr>
                      <w:rFonts w:eastAsia="Calibri"/>
                      <w:color w:val="000000"/>
                      <w:sz w:val="18"/>
                      <w:szCs w:val="18"/>
                      <w:lang w:eastAsia="en-GB"/>
                    </w:rPr>
                  </w:pPr>
                  <w:r w:rsidRPr="00954C66">
                    <w:rPr>
                      <w:rFonts w:eastAsia="Calibri"/>
                      <w:color w:val="000000"/>
                      <w:sz w:val="18"/>
                      <w:szCs w:val="18"/>
                      <w:lang w:eastAsia="en-GB"/>
                    </w:rPr>
                    <w:t>Receptor Fluid</w:t>
                  </w:r>
                </w:p>
              </w:tc>
              <w:tc>
                <w:tcPr>
                  <w:tcW w:w="1908" w:type="dxa"/>
                </w:tcPr>
                <w:p w14:paraId="2F163264" w14:textId="77777777" w:rsidR="00A43D0C" w:rsidRPr="00954C66" w:rsidRDefault="00A43D0C" w:rsidP="00A43D0C">
                  <w:pPr>
                    <w:keepNext/>
                    <w:widowControl w:val="0"/>
                    <w:tabs>
                      <w:tab w:val="center" w:pos="4536"/>
                      <w:tab w:val="right" w:pos="9072"/>
                    </w:tabs>
                    <w:spacing w:line="276" w:lineRule="auto"/>
                    <w:jc w:val="center"/>
                    <w:rPr>
                      <w:rFonts w:eastAsia="Calibri"/>
                      <w:color w:val="000000"/>
                      <w:sz w:val="18"/>
                      <w:szCs w:val="18"/>
                      <w:lang w:eastAsia="en-GB"/>
                    </w:rPr>
                  </w:pPr>
                  <w:r w:rsidRPr="00954C66">
                    <w:rPr>
                      <w:rFonts w:eastAsia="Calibri"/>
                      <w:color w:val="000000"/>
                      <w:sz w:val="18"/>
                      <w:szCs w:val="18"/>
                      <w:lang w:eastAsia="en-GB"/>
                    </w:rPr>
                    <w:t>0.07±0.00</w:t>
                  </w:r>
                </w:p>
              </w:tc>
            </w:tr>
            <w:tr w:rsidR="00A43D0C" w:rsidRPr="00954C66" w14:paraId="1D0EE652" w14:textId="77777777" w:rsidTr="00A14CD6">
              <w:tc>
                <w:tcPr>
                  <w:tcW w:w="1778" w:type="dxa"/>
                </w:tcPr>
                <w:p w14:paraId="3C1AE806" w14:textId="77777777" w:rsidR="00A43D0C" w:rsidRPr="00954C66" w:rsidRDefault="00A43D0C" w:rsidP="00A43D0C">
                  <w:pPr>
                    <w:keepNext/>
                    <w:widowControl w:val="0"/>
                    <w:tabs>
                      <w:tab w:val="center" w:pos="4536"/>
                      <w:tab w:val="right" w:pos="9072"/>
                    </w:tabs>
                    <w:spacing w:line="276" w:lineRule="auto"/>
                    <w:jc w:val="center"/>
                    <w:rPr>
                      <w:rFonts w:eastAsia="Calibri"/>
                      <w:color w:val="000000"/>
                      <w:sz w:val="18"/>
                      <w:szCs w:val="18"/>
                      <w:lang w:eastAsia="en-GB"/>
                    </w:rPr>
                  </w:pPr>
                  <w:r w:rsidRPr="00954C66">
                    <w:rPr>
                      <w:rFonts w:eastAsia="Calibri"/>
                      <w:color w:val="000000"/>
                      <w:sz w:val="18"/>
                      <w:szCs w:val="18"/>
                      <w:lang w:eastAsia="en-GB"/>
                    </w:rPr>
                    <w:t>Receptor wash</w:t>
                  </w:r>
                </w:p>
              </w:tc>
              <w:tc>
                <w:tcPr>
                  <w:tcW w:w="1908" w:type="dxa"/>
                </w:tcPr>
                <w:p w14:paraId="6F43F4B0" w14:textId="5EAAB861" w:rsidR="00A43D0C" w:rsidRPr="00954C66" w:rsidRDefault="00A43D0C" w:rsidP="00A43D0C">
                  <w:pPr>
                    <w:keepNext/>
                    <w:widowControl w:val="0"/>
                    <w:tabs>
                      <w:tab w:val="center" w:pos="4536"/>
                      <w:tab w:val="right" w:pos="9072"/>
                    </w:tabs>
                    <w:spacing w:line="276" w:lineRule="auto"/>
                    <w:jc w:val="center"/>
                    <w:rPr>
                      <w:rFonts w:eastAsia="Calibri"/>
                      <w:color w:val="000000"/>
                      <w:sz w:val="18"/>
                      <w:szCs w:val="18"/>
                      <w:lang w:eastAsia="en-GB"/>
                    </w:rPr>
                  </w:pPr>
                  <w:r w:rsidRPr="00954C66">
                    <w:rPr>
                      <w:rFonts w:eastAsia="Calibri"/>
                      <w:color w:val="000000"/>
                      <w:sz w:val="18"/>
                      <w:szCs w:val="18"/>
                      <w:lang w:eastAsia="en-GB"/>
                    </w:rPr>
                    <w:t>0.</w:t>
                  </w:r>
                  <w:r w:rsidR="00E22B72">
                    <w:rPr>
                      <w:rFonts w:eastAsia="Calibri"/>
                      <w:color w:val="000000"/>
                      <w:sz w:val="18"/>
                      <w:szCs w:val="18"/>
                      <w:lang w:eastAsia="en-GB"/>
                    </w:rPr>
                    <w:t>01</w:t>
                  </w:r>
                  <w:r w:rsidR="003A5EDF" w:rsidRPr="00954C66">
                    <w:rPr>
                      <w:rFonts w:eastAsia="Calibri"/>
                      <w:color w:val="000000"/>
                      <w:sz w:val="18"/>
                      <w:szCs w:val="18"/>
                      <w:lang w:eastAsia="en-GB"/>
                    </w:rPr>
                    <w:t>±</w:t>
                  </w:r>
                  <w:r w:rsidR="003A5EDF">
                    <w:rPr>
                      <w:rFonts w:eastAsia="Calibri"/>
                      <w:color w:val="000000"/>
                      <w:sz w:val="18"/>
                      <w:szCs w:val="18"/>
                      <w:lang w:eastAsia="en-GB"/>
                    </w:rPr>
                    <w:t>0.01</w:t>
                  </w:r>
                </w:p>
              </w:tc>
            </w:tr>
            <w:tr w:rsidR="00A43D0C" w:rsidRPr="00954C66" w14:paraId="0A02297F" w14:textId="77777777" w:rsidTr="00A14CD6">
              <w:tc>
                <w:tcPr>
                  <w:tcW w:w="1778" w:type="dxa"/>
                </w:tcPr>
                <w:p w14:paraId="5FA69E4C" w14:textId="55AAC1E0" w:rsidR="00A43D0C" w:rsidRPr="00954C66" w:rsidRDefault="00A43D0C" w:rsidP="00A43D0C">
                  <w:pPr>
                    <w:keepNext/>
                    <w:widowControl w:val="0"/>
                    <w:tabs>
                      <w:tab w:val="center" w:pos="4536"/>
                      <w:tab w:val="right" w:pos="9072"/>
                    </w:tabs>
                    <w:spacing w:line="276" w:lineRule="auto"/>
                    <w:jc w:val="center"/>
                    <w:rPr>
                      <w:rFonts w:eastAsia="Calibri"/>
                      <w:color w:val="000000"/>
                      <w:sz w:val="18"/>
                      <w:szCs w:val="18"/>
                      <w:lang w:eastAsia="en-GB"/>
                    </w:rPr>
                  </w:pPr>
                  <w:r w:rsidRPr="00954C66">
                    <w:rPr>
                      <w:rFonts w:eastAsia="Calibri"/>
                      <w:color w:val="000000"/>
                      <w:sz w:val="18"/>
                      <w:szCs w:val="18"/>
                      <w:lang w:eastAsia="en-GB"/>
                    </w:rPr>
                    <w:t>Total absorbed dose</w:t>
                  </w:r>
                  <w:r w:rsidR="00D34075">
                    <w:rPr>
                      <w:rFonts w:eastAsia="Calibri"/>
                      <w:color w:val="000000"/>
                      <w:sz w:val="18"/>
                      <w:szCs w:val="18"/>
                      <w:lang w:eastAsia="en-GB"/>
                    </w:rPr>
                    <w:t>*</w:t>
                  </w:r>
                </w:p>
              </w:tc>
              <w:tc>
                <w:tcPr>
                  <w:tcW w:w="1908" w:type="dxa"/>
                </w:tcPr>
                <w:p w14:paraId="1613A087" w14:textId="2A694202" w:rsidR="00A43D0C" w:rsidRPr="003A5EDF" w:rsidRDefault="00A43D0C" w:rsidP="00A43D0C">
                  <w:pPr>
                    <w:keepNext/>
                    <w:widowControl w:val="0"/>
                    <w:tabs>
                      <w:tab w:val="center" w:pos="4536"/>
                      <w:tab w:val="right" w:pos="9072"/>
                    </w:tabs>
                    <w:spacing w:line="276" w:lineRule="auto"/>
                    <w:jc w:val="center"/>
                    <w:rPr>
                      <w:rFonts w:eastAsia="Calibri"/>
                      <w:color w:val="000000"/>
                      <w:sz w:val="18"/>
                      <w:szCs w:val="18"/>
                      <w:highlight w:val="yellow"/>
                      <w:lang w:eastAsia="en-GB"/>
                    </w:rPr>
                  </w:pPr>
                  <w:r w:rsidRPr="002F6080">
                    <w:rPr>
                      <w:rFonts w:eastAsia="Calibri"/>
                      <w:color w:val="000000"/>
                      <w:sz w:val="18"/>
                      <w:szCs w:val="18"/>
                      <w:lang w:eastAsia="en-GB"/>
                    </w:rPr>
                    <w:t>0.</w:t>
                  </w:r>
                  <w:r w:rsidR="00C075A8" w:rsidRPr="002F6080">
                    <w:rPr>
                      <w:rFonts w:eastAsia="Calibri"/>
                      <w:color w:val="000000"/>
                      <w:sz w:val="18"/>
                      <w:szCs w:val="18"/>
                      <w:lang w:eastAsia="en-GB"/>
                    </w:rPr>
                    <w:t>08</w:t>
                  </w:r>
                  <w:r w:rsidRPr="002F6080">
                    <w:rPr>
                      <w:rFonts w:eastAsia="Calibri"/>
                      <w:color w:val="000000"/>
                      <w:sz w:val="18"/>
                      <w:szCs w:val="18"/>
                      <w:lang w:eastAsia="en-GB"/>
                    </w:rPr>
                    <w:t>±0.0</w:t>
                  </w:r>
                  <w:r w:rsidR="00C075A8" w:rsidRPr="002F6080">
                    <w:rPr>
                      <w:rFonts w:eastAsia="Calibri"/>
                      <w:color w:val="000000"/>
                      <w:sz w:val="18"/>
                      <w:szCs w:val="18"/>
                      <w:lang w:eastAsia="en-GB"/>
                    </w:rPr>
                    <w:t>1</w:t>
                  </w:r>
                </w:p>
              </w:tc>
            </w:tr>
            <w:tr w:rsidR="00A43D0C" w:rsidRPr="00954C66" w14:paraId="7A7F3531" w14:textId="77777777" w:rsidTr="00A14CD6">
              <w:tc>
                <w:tcPr>
                  <w:tcW w:w="1778" w:type="dxa"/>
                </w:tcPr>
                <w:p w14:paraId="0FFEA76F" w14:textId="5F9D9A96" w:rsidR="00A43D0C" w:rsidRPr="00954C66" w:rsidRDefault="00A43D0C" w:rsidP="00A43D0C">
                  <w:pPr>
                    <w:keepNext/>
                    <w:widowControl w:val="0"/>
                    <w:tabs>
                      <w:tab w:val="center" w:pos="4536"/>
                      <w:tab w:val="right" w:pos="9072"/>
                    </w:tabs>
                    <w:spacing w:line="276" w:lineRule="auto"/>
                    <w:jc w:val="center"/>
                    <w:rPr>
                      <w:rFonts w:eastAsia="Calibri"/>
                      <w:color w:val="000000"/>
                      <w:sz w:val="18"/>
                      <w:szCs w:val="18"/>
                      <w:lang w:eastAsia="en-GB"/>
                    </w:rPr>
                  </w:pPr>
                  <w:r w:rsidRPr="00954C66">
                    <w:rPr>
                      <w:rFonts w:eastAsia="Calibri"/>
                      <w:color w:val="000000"/>
                      <w:sz w:val="18"/>
                      <w:szCs w:val="18"/>
                      <w:lang w:eastAsia="en-GB"/>
                    </w:rPr>
                    <w:t>Dermal delivery*</w:t>
                  </w:r>
                  <w:r w:rsidR="00D34075">
                    <w:rPr>
                      <w:rFonts w:eastAsia="Calibri"/>
                      <w:color w:val="000000"/>
                      <w:sz w:val="18"/>
                      <w:szCs w:val="18"/>
                      <w:lang w:eastAsia="en-GB"/>
                    </w:rPr>
                    <w:t>*</w:t>
                  </w:r>
                  <w:r w:rsidRPr="00954C66">
                    <w:rPr>
                      <w:rFonts w:eastAsia="Calibri"/>
                      <w:color w:val="000000"/>
                      <w:sz w:val="18"/>
                      <w:szCs w:val="18"/>
                      <w:lang w:eastAsia="en-GB"/>
                    </w:rPr>
                    <w:t xml:space="preserve"> </w:t>
                  </w:r>
                </w:p>
              </w:tc>
              <w:tc>
                <w:tcPr>
                  <w:tcW w:w="1908" w:type="dxa"/>
                </w:tcPr>
                <w:p w14:paraId="376A0CF0" w14:textId="23161554" w:rsidR="00A43D0C" w:rsidRPr="00A14CD6" w:rsidRDefault="00A43D0C" w:rsidP="00A43D0C">
                  <w:pPr>
                    <w:keepNext/>
                    <w:widowControl w:val="0"/>
                    <w:tabs>
                      <w:tab w:val="center" w:pos="4536"/>
                      <w:tab w:val="right" w:pos="9072"/>
                    </w:tabs>
                    <w:spacing w:line="276" w:lineRule="auto"/>
                    <w:jc w:val="center"/>
                    <w:rPr>
                      <w:rFonts w:eastAsia="Calibri"/>
                      <w:color w:val="000000"/>
                      <w:sz w:val="18"/>
                      <w:szCs w:val="18"/>
                      <w:lang w:eastAsia="en-GB"/>
                    </w:rPr>
                  </w:pPr>
                  <w:r w:rsidRPr="00A14CD6">
                    <w:rPr>
                      <w:rFonts w:eastAsia="Calibri"/>
                      <w:color w:val="000000"/>
                      <w:sz w:val="18"/>
                      <w:szCs w:val="18"/>
                      <w:lang w:eastAsia="en-GB"/>
                    </w:rPr>
                    <w:t>0.</w:t>
                  </w:r>
                  <w:r w:rsidR="00C075A8" w:rsidRPr="00A14CD6">
                    <w:rPr>
                      <w:rFonts w:eastAsia="Calibri"/>
                      <w:color w:val="000000"/>
                      <w:sz w:val="18"/>
                      <w:szCs w:val="18"/>
                      <w:lang w:eastAsia="en-GB"/>
                    </w:rPr>
                    <w:t>30</w:t>
                  </w:r>
                  <w:r w:rsidRPr="00A14CD6">
                    <w:rPr>
                      <w:rFonts w:eastAsia="Calibri"/>
                      <w:color w:val="000000"/>
                      <w:sz w:val="18"/>
                      <w:szCs w:val="18"/>
                      <w:lang w:eastAsia="en-GB"/>
                    </w:rPr>
                    <w:t>±0.05</w:t>
                  </w:r>
                </w:p>
              </w:tc>
            </w:tr>
            <w:tr w:rsidR="00A43D0C" w:rsidRPr="00954C66" w14:paraId="6E1C9AC8" w14:textId="77777777" w:rsidTr="00A14CD6">
              <w:tc>
                <w:tcPr>
                  <w:tcW w:w="1778" w:type="dxa"/>
                </w:tcPr>
                <w:p w14:paraId="7D28891D" w14:textId="7D081CDF" w:rsidR="00A43D0C" w:rsidRPr="00954C66" w:rsidRDefault="00A43D0C" w:rsidP="00A43D0C">
                  <w:pPr>
                    <w:keepNext/>
                    <w:widowControl w:val="0"/>
                    <w:tabs>
                      <w:tab w:val="center" w:pos="4536"/>
                      <w:tab w:val="right" w:pos="9072"/>
                    </w:tabs>
                    <w:spacing w:line="276" w:lineRule="auto"/>
                    <w:jc w:val="center"/>
                    <w:rPr>
                      <w:rFonts w:eastAsia="Calibri"/>
                      <w:color w:val="000000"/>
                      <w:sz w:val="18"/>
                      <w:szCs w:val="18"/>
                      <w:lang w:eastAsia="en-GB"/>
                    </w:rPr>
                  </w:pPr>
                  <w:r w:rsidRPr="00954C66">
                    <w:rPr>
                      <w:rFonts w:eastAsia="Calibri"/>
                      <w:color w:val="000000"/>
                      <w:sz w:val="18"/>
                      <w:szCs w:val="18"/>
                      <w:lang w:eastAsia="en-GB"/>
                    </w:rPr>
                    <w:t>Potential absorbable dose **</w:t>
                  </w:r>
                  <w:r w:rsidR="00D34075">
                    <w:rPr>
                      <w:rFonts w:eastAsia="Calibri"/>
                      <w:color w:val="000000"/>
                      <w:sz w:val="18"/>
                      <w:szCs w:val="18"/>
                      <w:lang w:eastAsia="en-GB"/>
                    </w:rPr>
                    <w:t>*</w:t>
                  </w:r>
                  <w:r w:rsidRPr="00954C66">
                    <w:rPr>
                      <w:rFonts w:eastAsia="Calibri"/>
                      <w:color w:val="000000"/>
                      <w:sz w:val="18"/>
                      <w:szCs w:val="18"/>
                      <w:lang w:eastAsia="en-GB"/>
                    </w:rPr>
                    <w:t xml:space="preserve">  </w:t>
                  </w:r>
                </w:p>
              </w:tc>
              <w:tc>
                <w:tcPr>
                  <w:tcW w:w="1908" w:type="dxa"/>
                </w:tcPr>
                <w:p w14:paraId="73EE5C0F" w14:textId="5B3A1FE8" w:rsidR="00E22B72" w:rsidRDefault="00E22B72" w:rsidP="00A43D0C">
                  <w:pPr>
                    <w:keepNext/>
                    <w:widowControl w:val="0"/>
                    <w:tabs>
                      <w:tab w:val="center" w:pos="4536"/>
                      <w:tab w:val="right" w:pos="9072"/>
                    </w:tabs>
                    <w:spacing w:line="276" w:lineRule="auto"/>
                    <w:jc w:val="center"/>
                    <w:rPr>
                      <w:rFonts w:eastAsia="Calibri"/>
                      <w:color w:val="000000"/>
                      <w:sz w:val="18"/>
                      <w:szCs w:val="18"/>
                      <w:lang w:eastAsia="en-GB"/>
                    </w:rPr>
                  </w:pPr>
                  <w:r w:rsidRPr="00E22B72">
                    <w:rPr>
                      <w:rFonts w:eastAsia="Calibri"/>
                      <w:color w:val="000000"/>
                      <w:sz w:val="18"/>
                      <w:szCs w:val="18"/>
                      <w:lang w:eastAsia="en-GB"/>
                    </w:rPr>
                    <w:t>0.95±0.12.</w:t>
                  </w:r>
                </w:p>
                <w:p w14:paraId="17212888" w14:textId="03D92805" w:rsidR="00A43D0C" w:rsidRPr="00954C66" w:rsidRDefault="00A43D0C" w:rsidP="00A43D0C">
                  <w:pPr>
                    <w:keepNext/>
                    <w:widowControl w:val="0"/>
                    <w:tabs>
                      <w:tab w:val="center" w:pos="4536"/>
                      <w:tab w:val="right" w:pos="9072"/>
                    </w:tabs>
                    <w:spacing w:line="276" w:lineRule="auto"/>
                    <w:jc w:val="center"/>
                    <w:rPr>
                      <w:rFonts w:eastAsia="Calibri"/>
                      <w:color w:val="000000"/>
                      <w:sz w:val="18"/>
                      <w:szCs w:val="18"/>
                      <w:lang w:eastAsia="en-GB"/>
                    </w:rPr>
                  </w:pPr>
                </w:p>
              </w:tc>
            </w:tr>
            <w:tr w:rsidR="00A43D0C" w:rsidRPr="00954C66" w14:paraId="613FD614" w14:textId="77777777" w:rsidTr="00A14CD6">
              <w:tc>
                <w:tcPr>
                  <w:tcW w:w="1778" w:type="dxa"/>
                </w:tcPr>
                <w:p w14:paraId="5A6ADF65" w14:textId="77777777" w:rsidR="00A43D0C" w:rsidRPr="00954C66" w:rsidRDefault="00A43D0C" w:rsidP="00A43D0C">
                  <w:pPr>
                    <w:keepNext/>
                    <w:widowControl w:val="0"/>
                    <w:tabs>
                      <w:tab w:val="center" w:pos="4536"/>
                      <w:tab w:val="right" w:pos="9072"/>
                    </w:tabs>
                    <w:spacing w:line="276" w:lineRule="auto"/>
                    <w:jc w:val="center"/>
                    <w:rPr>
                      <w:rFonts w:eastAsia="Calibri"/>
                      <w:color w:val="000000"/>
                      <w:sz w:val="18"/>
                      <w:szCs w:val="18"/>
                      <w:lang w:eastAsia="en-GB"/>
                    </w:rPr>
                  </w:pPr>
                  <w:r w:rsidRPr="00954C66">
                    <w:rPr>
                      <w:rFonts w:eastAsia="Calibri"/>
                      <w:color w:val="000000"/>
                      <w:sz w:val="18"/>
                      <w:szCs w:val="18"/>
                      <w:lang w:eastAsia="en-GB"/>
                    </w:rPr>
                    <w:t>Total recovery</w:t>
                  </w:r>
                </w:p>
              </w:tc>
              <w:tc>
                <w:tcPr>
                  <w:tcW w:w="1908" w:type="dxa"/>
                </w:tcPr>
                <w:p w14:paraId="5108FF88" w14:textId="20656347" w:rsidR="00A43D0C" w:rsidRPr="00954C66" w:rsidRDefault="00A43D0C" w:rsidP="00A43D0C">
                  <w:pPr>
                    <w:keepNext/>
                    <w:widowControl w:val="0"/>
                    <w:tabs>
                      <w:tab w:val="center" w:pos="4536"/>
                      <w:tab w:val="right" w:pos="9072"/>
                    </w:tabs>
                    <w:spacing w:line="276" w:lineRule="auto"/>
                    <w:jc w:val="center"/>
                    <w:rPr>
                      <w:rFonts w:eastAsia="Calibri"/>
                      <w:color w:val="000000"/>
                      <w:sz w:val="18"/>
                      <w:szCs w:val="18"/>
                      <w:lang w:eastAsia="en-GB"/>
                    </w:rPr>
                  </w:pPr>
                  <w:r w:rsidRPr="00954C66">
                    <w:rPr>
                      <w:rFonts w:eastAsia="Calibri"/>
                      <w:color w:val="000000"/>
                      <w:sz w:val="18"/>
                      <w:szCs w:val="18"/>
                      <w:lang w:eastAsia="en-GB"/>
                    </w:rPr>
                    <w:t>104.</w:t>
                  </w:r>
                  <w:r w:rsidR="002F6080">
                    <w:rPr>
                      <w:rFonts w:eastAsia="Calibri"/>
                      <w:color w:val="000000"/>
                      <w:sz w:val="18"/>
                      <w:szCs w:val="18"/>
                      <w:lang w:eastAsia="en-GB"/>
                    </w:rPr>
                    <w:t>8</w:t>
                  </w:r>
                  <w:r w:rsidRPr="00954C66">
                    <w:rPr>
                      <w:rFonts w:eastAsia="Calibri"/>
                      <w:color w:val="000000"/>
                      <w:sz w:val="18"/>
                      <w:szCs w:val="18"/>
                      <w:lang w:eastAsia="en-GB"/>
                    </w:rPr>
                    <w:t>4±5.2</w:t>
                  </w:r>
                  <w:r w:rsidR="002F6080">
                    <w:rPr>
                      <w:rFonts w:eastAsia="Calibri"/>
                      <w:color w:val="000000"/>
                      <w:sz w:val="18"/>
                      <w:szCs w:val="18"/>
                      <w:lang w:eastAsia="en-GB"/>
                    </w:rPr>
                    <w:t>6</w:t>
                  </w:r>
                </w:p>
              </w:tc>
            </w:tr>
            <w:tr w:rsidR="00A43D0C" w:rsidRPr="00954C66" w14:paraId="06FD5C67" w14:textId="77777777" w:rsidTr="00A14CD6">
              <w:tc>
                <w:tcPr>
                  <w:tcW w:w="3686" w:type="dxa"/>
                  <w:gridSpan w:val="2"/>
                </w:tcPr>
                <w:p w14:paraId="3AE687E4" w14:textId="7F72131D" w:rsidR="00D34075" w:rsidRPr="00D91F71" w:rsidRDefault="00D34075" w:rsidP="00D91F71">
                  <w:pPr>
                    <w:rPr>
                      <w:color w:val="000000" w:themeColor="text1"/>
                      <w:sz w:val="18"/>
                      <w:szCs w:val="18"/>
                    </w:rPr>
                  </w:pPr>
                  <w:r w:rsidRPr="00D91F71">
                    <w:rPr>
                      <w:color w:val="000000" w:themeColor="text1"/>
                      <w:sz w:val="18"/>
                      <w:szCs w:val="18"/>
                    </w:rPr>
                    <w:t>*cumulative receptor fluid + receptor chamber wash</w:t>
                  </w:r>
                  <w:r w:rsidR="008D6F26">
                    <w:rPr>
                      <w:color w:val="000000" w:themeColor="text1"/>
                      <w:sz w:val="18"/>
                      <w:szCs w:val="18"/>
                    </w:rPr>
                    <w:t xml:space="preserve"> </w:t>
                  </w:r>
                  <w:r w:rsidR="008D6F26" w:rsidRPr="008D6F26">
                    <w:rPr>
                      <w:color w:val="000000" w:themeColor="text1"/>
                      <w:sz w:val="16"/>
                      <w:szCs w:val="16"/>
                    </w:rPr>
                    <w:t xml:space="preserve">(excluding mean value from </w:t>
                  </w:r>
                  <w:r w:rsidR="00792505">
                    <w:rPr>
                      <w:color w:val="000000" w:themeColor="text1"/>
                      <w:sz w:val="16"/>
                      <w:szCs w:val="16"/>
                    </w:rPr>
                    <w:t xml:space="preserve">the </w:t>
                  </w:r>
                  <w:r w:rsidR="008D6F26" w:rsidRPr="008D6F26">
                    <w:rPr>
                      <w:color w:val="000000" w:themeColor="text1"/>
                      <w:sz w:val="16"/>
                      <w:szCs w:val="16"/>
                    </w:rPr>
                    <w:t xml:space="preserve">undosed </w:t>
                  </w:r>
                  <w:r w:rsidR="00792505">
                    <w:rPr>
                      <w:color w:val="000000" w:themeColor="text1"/>
                      <w:sz w:val="16"/>
                      <w:szCs w:val="16"/>
                    </w:rPr>
                    <w:t>group</w:t>
                  </w:r>
                  <w:r w:rsidR="00A14CD6">
                    <w:rPr>
                      <w:color w:val="000000" w:themeColor="text1"/>
                      <w:sz w:val="16"/>
                      <w:szCs w:val="16"/>
                    </w:rPr>
                    <w:t xml:space="preserve"> from the latter</w:t>
                  </w:r>
                  <w:r w:rsidR="008D6F26" w:rsidRPr="008D6F26">
                    <w:rPr>
                      <w:color w:val="000000" w:themeColor="text1"/>
                      <w:sz w:val="16"/>
                      <w:szCs w:val="16"/>
                    </w:rPr>
                    <w:t>)</w:t>
                  </w:r>
                  <w:r w:rsidRPr="008D6F26">
                    <w:rPr>
                      <w:color w:val="000000" w:themeColor="text1"/>
                      <w:sz w:val="16"/>
                      <w:szCs w:val="16"/>
                    </w:rPr>
                    <w:t>.</w:t>
                  </w:r>
                </w:p>
                <w:p w14:paraId="5A2201A5" w14:textId="43D1B5D1" w:rsidR="00D34075" w:rsidRPr="00D91F71" w:rsidRDefault="00D34075" w:rsidP="00D91F71">
                  <w:pPr>
                    <w:rPr>
                      <w:color w:val="000000" w:themeColor="text1"/>
                      <w:sz w:val="18"/>
                      <w:szCs w:val="18"/>
                    </w:rPr>
                  </w:pPr>
                  <w:r w:rsidRPr="00D91F71">
                    <w:rPr>
                      <w:color w:val="000000" w:themeColor="text1"/>
                      <w:sz w:val="18"/>
                      <w:szCs w:val="18"/>
                    </w:rPr>
                    <w:t>**absorbed dose + exposed skin.</w:t>
                  </w:r>
                </w:p>
                <w:p w14:paraId="5C7CA4BA" w14:textId="4D490374" w:rsidR="00A43D0C" w:rsidRPr="00954C66" w:rsidRDefault="00D34075" w:rsidP="00A43D0C">
                  <w:pPr>
                    <w:keepNext/>
                    <w:widowControl w:val="0"/>
                    <w:tabs>
                      <w:tab w:val="center" w:pos="4536"/>
                      <w:tab w:val="right" w:pos="9072"/>
                    </w:tabs>
                    <w:spacing w:line="276" w:lineRule="auto"/>
                    <w:rPr>
                      <w:rFonts w:eastAsia="Calibri"/>
                      <w:color w:val="000000"/>
                      <w:sz w:val="18"/>
                      <w:szCs w:val="18"/>
                      <w:lang w:eastAsia="en-GB"/>
                    </w:rPr>
                  </w:pPr>
                  <w:r w:rsidRPr="00D91F71">
                    <w:rPr>
                      <w:rFonts w:eastAsia="Calibri"/>
                      <w:color w:val="000000"/>
                      <w:sz w:val="18"/>
                      <w:szCs w:val="18"/>
                      <w:lang w:eastAsia="en-GB"/>
                    </w:rPr>
                    <w:t>*** Dermal delivery</w:t>
                  </w:r>
                  <w:r w:rsidR="00A14CD6">
                    <w:rPr>
                      <w:rFonts w:eastAsia="Calibri"/>
                      <w:color w:val="000000"/>
                      <w:sz w:val="18"/>
                      <w:szCs w:val="18"/>
                      <w:lang w:eastAsia="en-GB"/>
                    </w:rPr>
                    <w:t xml:space="preserve"> </w:t>
                  </w:r>
                  <w:r w:rsidRPr="00D91F71">
                    <w:rPr>
                      <w:rFonts w:eastAsia="Calibri"/>
                      <w:color w:val="000000"/>
                      <w:sz w:val="18"/>
                      <w:szCs w:val="18"/>
                      <w:lang w:eastAsia="en-GB"/>
                    </w:rPr>
                    <w:t xml:space="preserve">+ </w:t>
                  </w:r>
                  <w:r w:rsidRPr="00D91F71">
                    <w:rPr>
                      <w:i/>
                      <w:color w:val="000000" w:themeColor="text1"/>
                      <w:sz w:val="18"/>
                      <w:szCs w:val="18"/>
                    </w:rPr>
                    <w:t xml:space="preserve">stratum corneum </w:t>
                  </w:r>
                  <w:r w:rsidRPr="00D91F71">
                    <w:rPr>
                      <w:color w:val="000000" w:themeColor="text1"/>
                      <w:sz w:val="18"/>
                      <w:szCs w:val="18"/>
                    </w:rPr>
                    <w:t>3-20</w:t>
                  </w:r>
                  <w:r>
                    <w:rPr>
                      <w:rFonts w:eastAsia="Calibri"/>
                      <w:color w:val="000000"/>
                      <w:sz w:val="18"/>
                      <w:szCs w:val="18"/>
                      <w:lang w:eastAsia="en-GB"/>
                    </w:rPr>
                    <w:t xml:space="preserve"> </w:t>
                  </w:r>
                </w:p>
                <w:p w14:paraId="34C865FD" w14:textId="77777777" w:rsidR="00A43D0C" w:rsidRPr="00954C66" w:rsidRDefault="00A43D0C" w:rsidP="00A43D0C">
                  <w:pPr>
                    <w:keepNext/>
                    <w:widowControl w:val="0"/>
                    <w:tabs>
                      <w:tab w:val="center" w:pos="4536"/>
                      <w:tab w:val="right" w:pos="9072"/>
                    </w:tabs>
                    <w:spacing w:line="276" w:lineRule="auto"/>
                    <w:rPr>
                      <w:rFonts w:eastAsia="Calibri"/>
                      <w:color w:val="000000"/>
                      <w:sz w:val="18"/>
                      <w:szCs w:val="18"/>
                      <w:lang w:eastAsia="en-GB"/>
                    </w:rPr>
                  </w:pPr>
                </w:p>
              </w:tc>
            </w:tr>
          </w:tbl>
          <w:p w14:paraId="40CE8574" w14:textId="77777777" w:rsidR="00A43D0C" w:rsidRPr="00954C66" w:rsidRDefault="00A43D0C" w:rsidP="00A43D0C">
            <w:pPr>
              <w:keepNext/>
              <w:widowControl w:val="0"/>
              <w:tabs>
                <w:tab w:val="center" w:pos="4536"/>
                <w:tab w:val="right" w:pos="9072"/>
              </w:tabs>
              <w:spacing w:line="276" w:lineRule="auto"/>
              <w:jc w:val="center"/>
              <w:rPr>
                <w:rFonts w:eastAsia="Calibri"/>
                <w:color w:val="000000"/>
                <w:sz w:val="18"/>
                <w:szCs w:val="18"/>
                <w:lang w:eastAsia="en-GB"/>
              </w:rPr>
            </w:pPr>
          </w:p>
          <w:p w14:paraId="4DE28928" w14:textId="77777777" w:rsidR="00A43D0C" w:rsidRPr="00954C66" w:rsidRDefault="00A43D0C" w:rsidP="00A43D0C">
            <w:pPr>
              <w:keepNext/>
              <w:widowControl w:val="0"/>
              <w:tabs>
                <w:tab w:val="center" w:pos="4536"/>
                <w:tab w:val="right" w:pos="9072"/>
              </w:tabs>
              <w:spacing w:line="276" w:lineRule="auto"/>
              <w:jc w:val="center"/>
              <w:rPr>
                <w:rFonts w:eastAsia="Calibri"/>
                <w:color w:val="000000"/>
                <w:sz w:val="18"/>
                <w:szCs w:val="18"/>
                <w:lang w:eastAsia="en-GB"/>
              </w:rPr>
            </w:pPr>
            <w:bookmarkStart w:id="1572" w:name="_Hlk58578471"/>
            <w:r w:rsidRPr="00954C66">
              <w:rPr>
                <w:rFonts w:eastAsia="Calibri"/>
                <w:color w:val="000000"/>
                <w:sz w:val="18"/>
                <w:szCs w:val="18"/>
                <w:lang w:eastAsia="en-GB"/>
              </w:rPr>
              <w:t>Final dermal absorption value correcting for variability according to EFSA, 2017</w:t>
            </w:r>
          </w:p>
          <w:p w14:paraId="44965D45" w14:textId="6BC919A2" w:rsidR="00A43D0C" w:rsidRPr="00954C66" w:rsidRDefault="00A43D0C" w:rsidP="00A43D0C">
            <w:pPr>
              <w:keepNext/>
              <w:widowControl w:val="0"/>
              <w:tabs>
                <w:tab w:val="center" w:pos="4536"/>
                <w:tab w:val="right" w:pos="9072"/>
              </w:tabs>
              <w:spacing w:line="276" w:lineRule="auto"/>
              <w:jc w:val="center"/>
              <w:rPr>
                <w:rFonts w:eastAsia="Calibri"/>
                <w:color w:val="000000"/>
                <w:sz w:val="18"/>
                <w:szCs w:val="18"/>
                <w:lang w:eastAsia="en-GB"/>
              </w:rPr>
            </w:pPr>
            <w:r w:rsidRPr="00954C66">
              <w:rPr>
                <w:rFonts w:eastAsia="Calibri"/>
                <w:color w:val="000000"/>
                <w:sz w:val="18"/>
                <w:szCs w:val="18"/>
                <w:lang w:eastAsia="en-GB"/>
              </w:rPr>
              <w:t>(mean value + 0.84 x standard deviation; n=8): 0.4% (excluding tape strips) – 1.</w:t>
            </w:r>
            <w:r w:rsidR="003A5EDF">
              <w:rPr>
                <w:rFonts w:eastAsia="Calibri"/>
                <w:color w:val="000000"/>
                <w:sz w:val="18"/>
                <w:szCs w:val="18"/>
                <w:lang w:eastAsia="en-GB"/>
              </w:rPr>
              <w:t>1</w:t>
            </w:r>
            <w:r w:rsidRPr="00954C66">
              <w:rPr>
                <w:rFonts w:eastAsia="Calibri"/>
                <w:color w:val="000000"/>
                <w:sz w:val="18"/>
                <w:szCs w:val="18"/>
                <w:lang w:eastAsia="en-GB"/>
              </w:rPr>
              <w:t>% (including tape strips</w:t>
            </w:r>
            <w:r w:rsidR="0011482B" w:rsidRPr="00954C66">
              <w:rPr>
                <w:rFonts w:eastAsia="Calibri"/>
                <w:color w:val="000000"/>
                <w:sz w:val="18"/>
                <w:szCs w:val="18"/>
                <w:lang w:eastAsia="en-GB"/>
              </w:rPr>
              <w:t xml:space="preserve"> 3</w:t>
            </w:r>
            <w:r w:rsidR="009B0C9B">
              <w:rPr>
                <w:rFonts w:eastAsia="Calibri"/>
                <w:color w:val="000000"/>
                <w:sz w:val="18"/>
                <w:szCs w:val="18"/>
                <w:lang w:eastAsia="en-GB"/>
              </w:rPr>
              <w:t>-20</w:t>
            </w:r>
            <w:r w:rsidRPr="00954C66">
              <w:rPr>
                <w:rFonts w:eastAsia="Calibri"/>
                <w:color w:val="000000"/>
                <w:sz w:val="18"/>
                <w:szCs w:val="18"/>
                <w:lang w:eastAsia="en-GB"/>
              </w:rPr>
              <w:t>)</w:t>
            </w:r>
            <w:bookmarkEnd w:id="1572"/>
          </w:p>
        </w:tc>
        <w:tc>
          <w:tcPr>
            <w:tcW w:w="1204" w:type="dxa"/>
            <w:shd w:val="clear" w:color="auto" w:fill="auto"/>
            <w:tcMar>
              <w:top w:w="57" w:type="dxa"/>
              <w:bottom w:w="57" w:type="dxa"/>
            </w:tcMar>
          </w:tcPr>
          <w:p w14:paraId="3E9D7340" w14:textId="72BB6557" w:rsidR="00B81B45" w:rsidRPr="00954C66" w:rsidRDefault="00B81B45" w:rsidP="00B81B45">
            <w:pPr>
              <w:keepNext/>
              <w:widowControl w:val="0"/>
              <w:tabs>
                <w:tab w:val="center" w:pos="4536"/>
                <w:tab w:val="right" w:pos="9072"/>
              </w:tabs>
              <w:spacing w:line="276" w:lineRule="auto"/>
              <w:rPr>
                <w:rFonts w:eastAsia="Calibri"/>
                <w:color w:val="000000"/>
                <w:sz w:val="18"/>
                <w:szCs w:val="18"/>
                <w:lang w:eastAsia="en-GB"/>
              </w:rPr>
            </w:pPr>
            <w:r w:rsidRPr="00954C66">
              <w:rPr>
                <w:rFonts w:eastAsia="Calibri"/>
                <w:color w:val="000000"/>
                <w:sz w:val="18"/>
                <w:szCs w:val="18"/>
                <w:lang w:eastAsia="en-GB"/>
              </w:rPr>
              <w:t>Non-radio-labelled (copper cannot be radio-</w:t>
            </w:r>
            <w:r w:rsidR="00954C66">
              <w:rPr>
                <w:rFonts w:eastAsia="Calibri"/>
                <w:color w:val="000000"/>
                <w:sz w:val="18"/>
                <w:szCs w:val="18"/>
                <w:lang w:eastAsia="en-GB"/>
              </w:rPr>
              <w:t>l</w:t>
            </w:r>
            <w:r w:rsidRPr="00954C66">
              <w:rPr>
                <w:rFonts w:eastAsia="Calibri"/>
                <w:color w:val="000000"/>
                <w:sz w:val="18"/>
                <w:szCs w:val="18"/>
                <w:lang w:eastAsia="en-GB"/>
              </w:rPr>
              <w:t>abelled)</w:t>
            </w:r>
          </w:p>
          <w:p w14:paraId="7C3E739E" w14:textId="2711353C" w:rsidR="00B81B45" w:rsidRDefault="00B81B45" w:rsidP="00B81B45">
            <w:pPr>
              <w:autoSpaceDE w:val="0"/>
              <w:autoSpaceDN w:val="0"/>
              <w:adjustRightInd w:val="0"/>
              <w:rPr>
                <w:rFonts w:eastAsia="ArialUnicodeMS" w:cstheme="minorHAnsi"/>
                <w:sz w:val="18"/>
                <w:szCs w:val="18"/>
              </w:rPr>
            </w:pPr>
          </w:p>
          <w:p w14:paraId="6D87BF5C" w14:textId="77777777" w:rsidR="00A352E0" w:rsidRDefault="00A352E0" w:rsidP="00A352E0">
            <w:pPr>
              <w:keepNext/>
              <w:widowControl w:val="0"/>
              <w:tabs>
                <w:tab w:val="center" w:pos="4536"/>
                <w:tab w:val="right" w:pos="9072"/>
              </w:tabs>
              <w:spacing w:line="276" w:lineRule="auto"/>
              <w:rPr>
                <w:rFonts w:eastAsia="Calibri"/>
                <w:color w:val="000000"/>
                <w:sz w:val="18"/>
                <w:szCs w:val="18"/>
                <w:lang w:eastAsia="en-GB"/>
              </w:rPr>
            </w:pPr>
            <w:r w:rsidRPr="00954C66">
              <w:rPr>
                <w:rFonts w:eastAsia="Calibri"/>
                <w:color w:val="000000"/>
                <w:sz w:val="18"/>
                <w:szCs w:val="18"/>
                <w:lang w:eastAsia="en-GB"/>
              </w:rPr>
              <w:t>absorption of total copper measured.</w:t>
            </w:r>
          </w:p>
          <w:p w14:paraId="609DA35B" w14:textId="1A90C9DB" w:rsidR="00D63842" w:rsidRDefault="00D63842" w:rsidP="00A352E0">
            <w:pPr>
              <w:keepNext/>
              <w:widowControl w:val="0"/>
              <w:tabs>
                <w:tab w:val="center" w:pos="4536"/>
                <w:tab w:val="right" w:pos="9072"/>
              </w:tabs>
              <w:spacing w:line="276" w:lineRule="auto"/>
              <w:rPr>
                <w:rFonts w:eastAsia="Calibri"/>
                <w:color w:val="000000"/>
                <w:sz w:val="18"/>
                <w:szCs w:val="18"/>
                <w:lang w:eastAsia="en-GB"/>
              </w:rPr>
            </w:pPr>
          </w:p>
          <w:p w14:paraId="5A34126A" w14:textId="1AB361A0" w:rsidR="00A352E0" w:rsidRDefault="00A352E0" w:rsidP="00B81B45">
            <w:pPr>
              <w:autoSpaceDE w:val="0"/>
              <w:autoSpaceDN w:val="0"/>
              <w:adjustRightInd w:val="0"/>
              <w:rPr>
                <w:rFonts w:eastAsia="ArialUnicodeMS" w:cstheme="minorHAnsi"/>
                <w:sz w:val="18"/>
                <w:szCs w:val="18"/>
              </w:rPr>
            </w:pPr>
          </w:p>
          <w:p w14:paraId="6EB4E6ED" w14:textId="0517536F" w:rsidR="00A352E0" w:rsidRDefault="00005E1B" w:rsidP="00B81B45">
            <w:pPr>
              <w:autoSpaceDE w:val="0"/>
              <w:autoSpaceDN w:val="0"/>
              <w:adjustRightInd w:val="0"/>
              <w:rPr>
                <w:rFonts w:eastAsia="ArialUnicodeMS" w:cstheme="minorHAnsi"/>
                <w:sz w:val="18"/>
                <w:szCs w:val="18"/>
              </w:rPr>
            </w:pPr>
            <w:r>
              <w:rPr>
                <w:rFonts w:eastAsia="Calibri"/>
                <w:color w:val="000000"/>
                <w:lang w:eastAsia="en-GB"/>
              </w:rPr>
              <w:t>LOQ used in the calcu-lations for values below LOQ</w:t>
            </w:r>
          </w:p>
          <w:p w14:paraId="42802D38" w14:textId="4A53A68B" w:rsidR="00A352E0" w:rsidRDefault="00A352E0" w:rsidP="00B81B45">
            <w:pPr>
              <w:autoSpaceDE w:val="0"/>
              <w:autoSpaceDN w:val="0"/>
              <w:adjustRightInd w:val="0"/>
              <w:rPr>
                <w:rFonts w:eastAsia="ArialUnicodeMS" w:cstheme="minorHAnsi"/>
                <w:sz w:val="18"/>
                <w:szCs w:val="18"/>
              </w:rPr>
            </w:pPr>
          </w:p>
          <w:p w14:paraId="0628FD3D" w14:textId="77777777" w:rsidR="00A352E0" w:rsidRPr="00954C66" w:rsidRDefault="00A352E0" w:rsidP="00B81B45">
            <w:pPr>
              <w:autoSpaceDE w:val="0"/>
              <w:autoSpaceDN w:val="0"/>
              <w:adjustRightInd w:val="0"/>
              <w:rPr>
                <w:rFonts w:eastAsia="ArialUnicodeMS" w:cstheme="minorHAnsi"/>
                <w:sz w:val="18"/>
                <w:szCs w:val="18"/>
              </w:rPr>
            </w:pPr>
          </w:p>
          <w:p w14:paraId="203C3DA3" w14:textId="626A2388" w:rsidR="00AE00C7" w:rsidRDefault="00AE00C7" w:rsidP="00AE00C7">
            <w:pPr>
              <w:rPr>
                <w:rFonts w:eastAsia="Calibri"/>
                <w:color w:val="000000"/>
                <w:sz w:val="18"/>
                <w:szCs w:val="18"/>
                <w:lang w:eastAsia="en-GB"/>
              </w:rPr>
            </w:pPr>
          </w:p>
          <w:p w14:paraId="1CE20AE6" w14:textId="77777777" w:rsidR="002107C6" w:rsidRDefault="002107C6" w:rsidP="00AE00C7">
            <w:pPr>
              <w:rPr>
                <w:rFonts w:eastAsia="Calibri"/>
                <w:color w:val="000000"/>
                <w:sz w:val="18"/>
                <w:szCs w:val="18"/>
                <w:lang w:eastAsia="en-GB"/>
              </w:rPr>
            </w:pPr>
          </w:p>
          <w:p w14:paraId="57850A8A" w14:textId="0140E85A" w:rsidR="00A43D0C" w:rsidRPr="006B1A5A" w:rsidRDefault="00A43D0C" w:rsidP="00821D3B">
            <w:pPr>
              <w:rPr>
                <w:rFonts w:eastAsia="Calibri"/>
                <w:color w:val="000000"/>
                <w:lang w:eastAsia="en-GB"/>
              </w:rPr>
            </w:pPr>
          </w:p>
        </w:tc>
      </w:tr>
      <w:bookmarkEnd w:id="1570"/>
    </w:tbl>
    <w:p w14:paraId="566B0A00" w14:textId="77777777" w:rsidR="001042DA" w:rsidRPr="006B1A5A" w:rsidRDefault="001042DA" w:rsidP="001042DA">
      <w:pPr>
        <w:spacing w:line="260" w:lineRule="atLeast"/>
        <w:jc w:val="both"/>
        <w:rPr>
          <w:strike/>
        </w:rPr>
      </w:pPr>
    </w:p>
    <w:p w14:paraId="636B8700" w14:textId="2FFB7C75" w:rsidR="00955A18" w:rsidRDefault="00955A18">
      <w:pPr>
        <w:spacing w:after="160" w:line="259" w:lineRule="auto"/>
        <w:rPr>
          <w:strike/>
        </w:rPr>
      </w:pPr>
      <w:r>
        <w:rPr>
          <w:strike/>
        </w:rPr>
        <w:br w:type="page"/>
      </w:r>
    </w:p>
    <w:p w14:paraId="5DE25D2F" w14:textId="77777777" w:rsidR="001042DA" w:rsidRPr="006B1A5A" w:rsidRDefault="001042DA" w:rsidP="001042DA">
      <w:pPr>
        <w:spacing w:line="260" w:lineRule="atLeast"/>
        <w:jc w:val="both"/>
        <w:rPr>
          <w:strike/>
        </w:rPr>
      </w:pPr>
    </w:p>
    <w:tbl>
      <w:tblPr>
        <w:tblW w:w="92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37"/>
        <w:gridCol w:w="2453"/>
        <w:gridCol w:w="2409"/>
        <w:gridCol w:w="2443"/>
      </w:tblGrid>
      <w:tr w:rsidR="001042DA" w:rsidRPr="006B1A5A" w14:paraId="070B2565" w14:textId="77777777" w:rsidTr="00AF2AEA">
        <w:tc>
          <w:tcPr>
            <w:tcW w:w="9242" w:type="dxa"/>
            <w:gridSpan w:val="4"/>
            <w:tcBorders>
              <w:top w:val="single" w:sz="4" w:space="0" w:color="auto"/>
              <w:left w:val="single" w:sz="4" w:space="0" w:color="auto"/>
              <w:bottom w:val="single" w:sz="6" w:space="0" w:color="auto"/>
              <w:right w:val="single" w:sz="6" w:space="0" w:color="auto"/>
            </w:tcBorders>
            <w:shd w:val="clear" w:color="auto" w:fill="CCFFCC"/>
          </w:tcPr>
          <w:p w14:paraId="2F270582" w14:textId="77777777" w:rsidR="001042DA" w:rsidRPr="006B1A5A" w:rsidRDefault="001042DA" w:rsidP="00AF2AEA">
            <w:pPr>
              <w:spacing w:line="260" w:lineRule="atLeast"/>
              <w:rPr>
                <w:rFonts w:eastAsia="Calibri"/>
                <w:b/>
                <w:bCs/>
                <w:lang w:eastAsia="en-US"/>
              </w:rPr>
            </w:pPr>
            <w:bookmarkStart w:id="1573" w:name="_Hlk23581916"/>
            <w:r w:rsidRPr="006B1A5A">
              <w:rPr>
                <w:rFonts w:eastAsia="Calibri"/>
                <w:b/>
                <w:bCs/>
                <w:lang w:eastAsia="en-US"/>
              </w:rPr>
              <w:t>Value(s) used in the Risk Assessment – Dermal absorption</w:t>
            </w:r>
          </w:p>
        </w:tc>
      </w:tr>
      <w:tr w:rsidR="001042DA" w:rsidRPr="006B1A5A" w14:paraId="58383868" w14:textId="77777777" w:rsidTr="00AF2AEA">
        <w:tc>
          <w:tcPr>
            <w:tcW w:w="1937" w:type="dxa"/>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51A64D03" w14:textId="77777777" w:rsidR="001042DA" w:rsidRPr="006B1A5A" w:rsidRDefault="001042DA" w:rsidP="00AF2AEA">
            <w:pPr>
              <w:spacing w:line="260" w:lineRule="atLeast"/>
              <w:rPr>
                <w:rFonts w:eastAsia="Calibri"/>
                <w:lang w:eastAsia="en-US"/>
              </w:rPr>
            </w:pPr>
            <w:r w:rsidRPr="006B1A5A">
              <w:rPr>
                <w:rFonts w:eastAsia="Calibri"/>
                <w:lang w:eastAsia="en-US"/>
              </w:rPr>
              <w:t>Substance</w:t>
            </w:r>
          </w:p>
        </w:tc>
        <w:tc>
          <w:tcPr>
            <w:tcW w:w="2453" w:type="dxa"/>
            <w:tcBorders>
              <w:top w:val="single" w:sz="6" w:space="0" w:color="auto"/>
              <w:left w:val="single" w:sz="6" w:space="0" w:color="auto"/>
              <w:bottom w:val="single" w:sz="6" w:space="0" w:color="auto"/>
              <w:right w:val="single" w:sz="4" w:space="0" w:color="auto"/>
            </w:tcBorders>
          </w:tcPr>
          <w:p w14:paraId="73E54434" w14:textId="4EB0F420" w:rsidR="001042DA" w:rsidRPr="000A184C" w:rsidRDefault="001042DA" w:rsidP="00AF2AEA">
            <w:pPr>
              <w:spacing w:line="260" w:lineRule="atLeast"/>
              <w:rPr>
                <w:rFonts w:eastAsia="Calibri"/>
                <w:lang w:eastAsia="en-US"/>
              </w:rPr>
            </w:pPr>
            <w:r w:rsidRPr="000A184C">
              <w:rPr>
                <w:rFonts w:eastAsia="Calibri"/>
                <w:lang w:eastAsia="en-US"/>
              </w:rPr>
              <w:t xml:space="preserve">Dicopper </w:t>
            </w:r>
            <w:r w:rsidR="00546846">
              <w:rPr>
                <w:rFonts w:eastAsia="Calibri"/>
                <w:lang w:eastAsia="en-US"/>
              </w:rPr>
              <w:t>o</w:t>
            </w:r>
            <w:r w:rsidRPr="000A184C">
              <w:rPr>
                <w:rFonts w:eastAsia="Calibri"/>
                <w:lang w:eastAsia="en-US"/>
              </w:rPr>
              <w:t>xide</w:t>
            </w:r>
          </w:p>
          <w:p w14:paraId="3D76701C" w14:textId="04C396AF" w:rsidR="001042DA" w:rsidRPr="00D42FF7" w:rsidRDefault="000A184C" w:rsidP="00AF2AEA">
            <w:pPr>
              <w:spacing w:line="260" w:lineRule="atLeast"/>
              <w:rPr>
                <w:rFonts w:eastAsia="Calibri"/>
                <w:lang w:eastAsia="en-US"/>
              </w:rPr>
            </w:pPr>
            <w:r>
              <w:rPr>
                <w:rFonts w:eastAsia="Calibri"/>
                <w:lang w:eastAsia="en-US"/>
              </w:rPr>
              <w:t>(copper)</w:t>
            </w:r>
          </w:p>
        </w:tc>
        <w:tc>
          <w:tcPr>
            <w:tcW w:w="2409" w:type="dxa"/>
            <w:tcBorders>
              <w:top w:val="single" w:sz="6" w:space="0" w:color="auto"/>
              <w:left w:val="single" w:sz="4" w:space="0" w:color="auto"/>
              <w:bottom w:val="single" w:sz="6" w:space="0" w:color="auto"/>
              <w:right w:val="single" w:sz="4" w:space="0" w:color="auto"/>
            </w:tcBorders>
          </w:tcPr>
          <w:p w14:paraId="502D9A9E" w14:textId="462FD58B" w:rsidR="001042DA" w:rsidRDefault="001042DA" w:rsidP="00AF2AEA">
            <w:pPr>
              <w:spacing w:line="260" w:lineRule="atLeast"/>
              <w:rPr>
                <w:rFonts w:eastAsia="Calibri"/>
                <w:lang w:eastAsia="en-US"/>
              </w:rPr>
            </w:pPr>
            <w:r w:rsidRPr="00D42FF7">
              <w:rPr>
                <w:rFonts w:eastAsia="Calibri"/>
                <w:lang w:eastAsia="en-US"/>
              </w:rPr>
              <w:t xml:space="preserve">Copper </w:t>
            </w:r>
            <w:r w:rsidR="00546846">
              <w:rPr>
                <w:rFonts w:eastAsia="Calibri"/>
                <w:lang w:eastAsia="en-US"/>
              </w:rPr>
              <w:t>t</w:t>
            </w:r>
            <w:r w:rsidRPr="00D42FF7">
              <w:rPr>
                <w:rFonts w:eastAsia="Calibri"/>
                <w:lang w:eastAsia="en-US"/>
              </w:rPr>
              <w:t xml:space="preserve">hiocyanate </w:t>
            </w:r>
          </w:p>
          <w:p w14:paraId="03B7A756" w14:textId="6BD87CA4" w:rsidR="000A184C" w:rsidRPr="000A184C" w:rsidRDefault="000A184C" w:rsidP="00AF2AEA">
            <w:pPr>
              <w:spacing w:line="260" w:lineRule="atLeast"/>
              <w:rPr>
                <w:rFonts w:eastAsia="Calibri"/>
                <w:lang w:eastAsia="en-US"/>
              </w:rPr>
            </w:pPr>
            <w:r>
              <w:rPr>
                <w:rFonts w:eastAsia="Calibri"/>
                <w:lang w:eastAsia="en-US"/>
              </w:rPr>
              <w:t>(copper)</w:t>
            </w:r>
          </w:p>
        </w:tc>
        <w:tc>
          <w:tcPr>
            <w:tcW w:w="2443" w:type="dxa"/>
            <w:tcBorders>
              <w:top w:val="single" w:sz="6" w:space="0" w:color="auto"/>
              <w:left w:val="single" w:sz="4" w:space="0" w:color="auto"/>
              <w:bottom w:val="single" w:sz="6" w:space="0" w:color="auto"/>
              <w:right w:val="single" w:sz="6" w:space="0" w:color="auto"/>
            </w:tcBorders>
          </w:tcPr>
          <w:p w14:paraId="379B3475" w14:textId="17BD9197" w:rsidR="001042DA" w:rsidRPr="006B1A5A" w:rsidRDefault="001042DA" w:rsidP="00AF2AEA">
            <w:pPr>
              <w:spacing w:line="260" w:lineRule="atLeast"/>
              <w:rPr>
                <w:rFonts w:eastAsia="Calibri"/>
                <w:lang w:eastAsia="en-US"/>
              </w:rPr>
            </w:pPr>
            <w:r w:rsidRPr="006B1A5A">
              <w:rPr>
                <w:rFonts w:eastAsia="Calibri"/>
                <w:lang w:eastAsia="en-US"/>
              </w:rPr>
              <w:t>Copper thiocyanate (</w:t>
            </w:r>
            <w:r w:rsidR="000A184C">
              <w:rPr>
                <w:rFonts w:eastAsia="Calibri"/>
                <w:lang w:eastAsia="en-US"/>
              </w:rPr>
              <w:t>thiocyanate</w:t>
            </w:r>
            <w:r w:rsidRPr="006B1A5A">
              <w:rPr>
                <w:rFonts w:eastAsia="Calibri"/>
                <w:lang w:eastAsia="en-US"/>
              </w:rPr>
              <w:t>)</w:t>
            </w:r>
          </w:p>
        </w:tc>
      </w:tr>
      <w:tr w:rsidR="001042DA" w:rsidRPr="006B1A5A" w14:paraId="78871D5F" w14:textId="77777777" w:rsidTr="00AF2AEA">
        <w:tc>
          <w:tcPr>
            <w:tcW w:w="1937" w:type="dxa"/>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7FD8C7B1" w14:textId="427610CC" w:rsidR="001042DA" w:rsidRPr="006B1A5A" w:rsidRDefault="001042DA" w:rsidP="00AF2AEA">
            <w:pPr>
              <w:spacing w:line="260" w:lineRule="atLeast"/>
              <w:rPr>
                <w:rFonts w:eastAsia="Calibri"/>
                <w:lang w:eastAsia="en-US"/>
              </w:rPr>
            </w:pPr>
            <w:r w:rsidRPr="006B1A5A">
              <w:rPr>
                <w:rFonts w:eastAsia="Calibri"/>
                <w:lang w:eastAsia="en-US"/>
              </w:rPr>
              <w:t>Value(s)</w:t>
            </w:r>
          </w:p>
        </w:tc>
        <w:tc>
          <w:tcPr>
            <w:tcW w:w="2453" w:type="dxa"/>
            <w:tcBorders>
              <w:top w:val="single" w:sz="6" w:space="0" w:color="auto"/>
              <w:left w:val="single" w:sz="6" w:space="0" w:color="auto"/>
              <w:bottom w:val="single" w:sz="6" w:space="0" w:color="auto"/>
              <w:right w:val="single" w:sz="4" w:space="0" w:color="auto"/>
            </w:tcBorders>
          </w:tcPr>
          <w:p w14:paraId="2588919B" w14:textId="748A452A" w:rsidR="00EC30AF" w:rsidRDefault="00EC30AF" w:rsidP="00AF2AEA">
            <w:pPr>
              <w:spacing w:line="260" w:lineRule="atLeast"/>
              <w:rPr>
                <w:rFonts w:eastAsia="Calibri"/>
                <w:color w:val="000000"/>
                <w:lang w:eastAsia="en-GB"/>
              </w:rPr>
            </w:pPr>
            <w:r>
              <w:rPr>
                <w:rFonts w:eastAsia="Calibri"/>
                <w:color w:val="000000"/>
                <w:lang w:eastAsia="en-GB"/>
              </w:rPr>
              <w:t xml:space="preserve">For </w:t>
            </w:r>
            <w:r w:rsidR="00446C69">
              <w:rPr>
                <w:rFonts w:eastAsia="Calibri"/>
                <w:color w:val="000000"/>
                <w:lang w:eastAsia="en-GB"/>
              </w:rPr>
              <w:t>LG 360 and HG 360:</w:t>
            </w:r>
          </w:p>
          <w:p w14:paraId="3A71D04E" w14:textId="430BF57C" w:rsidR="001042DA" w:rsidRPr="006B1A5A" w:rsidRDefault="001042DA" w:rsidP="00AF2AEA">
            <w:pPr>
              <w:spacing w:line="260" w:lineRule="atLeast"/>
              <w:rPr>
                <w:rFonts w:eastAsia="Calibri"/>
                <w:color w:val="000000"/>
                <w:lang w:eastAsia="en-GB"/>
              </w:rPr>
            </w:pPr>
            <w:r w:rsidRPr="006B1A5A">
              <w:rPr>
                <w:rFonts w:eastAsia="Calibri"/>
                <w:color w:val="000000"/>
                <w:lang w:eastAsia="en-GB"/>
              </w:rPr>
              <w:t>0.1% (concentrate) and 0.4% (</w:t>
            </w:r>
            <w:r w:rsidR="00446C69">
              <w:rPr>
                <w:rFonts w:eastAsia="Calibri"/>
                <w:color w:val="000000"/>
                <w:lang w:eastAsia="en-GB"/>
              </w:rPr>
              <w:t>In-use concentration</w:t>
            </w:r>
            <w:r w:rsidRPr="006B1A5A">
              <w:rPr>
                <w:rFonts w:eastAsia="Calibri"/>
                <w:color w:val="000000"/>
                <w:lang w:eastAsia="en-GB"/>
              </w:rPr>
              <w:t>)</w:t>
            </w:r>
          </w:p>
          <w:p w14:paraId="3B5115AE" w14:textId="77777777" w:rsidR="001042DA" w:rsidRPr="006B1A5A" w:rsidRDefault="001042DA" w:rsidP="00AF2AEA">
            <w:pPr>
              <w:spacing w:line="260" w:lineRule="atLeast"/>
              <w:rPr>
                <w:rFonts w:eastAsia="Calibri"/>
                <w:color w:val="000000"/>
                <w:lang w:eastAsia="en-GB"/>
              </w:rPr>
            </w:pPr>
          </w:p>
          <w:p w14:paraId="30B989C8" w14:textId="36C0B670" w:rsidR="001042DA" w:rsidRPr="006B1A5A" w:rsidRDefault="00446C69" w:rsidP="00446C69">
            <w:pPr>
              <w:spacing w:line="260" w:lineRule="atLeast"/>
              <w:rPr>
                <w:rFonts w:eastAsia="Calibri"/>
                <w:lang w:eastAsia="en-US"/>
              </w:rPr>
            </w:pPr>
            <w:r>
              <w:rPr>
                <w:rFonts w:eastAsia="Calibri"/>
                <w:color w:val="000000"/>
                <w:lang w:eastAsia="en-GB"/>
              </w:rPr>
              <w:t xml:space="preserve">For RFU 360: </w:t>
            </w:r>
            <w:r w:rsidR="001042DA" w:rsidRPr="006B1A5A">
              <w:rPr>
                <w:rFonts w:eastAsia="Calibri"/>
                <w:color w:val="000000"/>
                <w:lang w:eastAsia="en-GB"/>
              </w:rPr>
              <w:t>1</w:t>
            </w:r>
            <w:r w:rsidR="00A43D0C">
              <w:rPr>
                <w:rFonts w:eastAsia="Calibri"/>
                <w:color w:val="000000"/>
                <w:lang w:eastAsia="en-GB"/>
              </w:rPr>
              <w:t>.</w:t>
            </w:r>
            <w:r w:rsidR="000E4414">
              <w:rPr>
                <w:rFonts w:eastAsia="Calibri"/>
                <w:color w:val="000000"/>
                <w:lang w:eastAsia="en-GB"/>
              </w:rPr>
              <w:t>1</w:t>
            </w:r>
            <w:r w:rsidR="001042DA" w:rsidRPr="006B1A5A">
              <w:rPr>
                <w:rFonts w:eastAsia="Calibri"/>
                <w:color w:val="000000"/>
                <w:lang w:eastAsia="en-GB"/>
              </w:rPr>
              <w:t xml:space="preserve">% </w:t>
            </w:r>
          </w:p>
        </w:tc>
        <w:tc>
          <w:tcPr>
            <w:tcW w:w="2409" w:type="dxa"/>
            <w:tcBorders>
              <w:top w:val="single" w:sz="6" w:space="0" w:color="auto"/>
              <w:left w:val="single" w:sz="4" w:space="0" w:color="auto"/>
              <w:bottom w:val="single" w:sz="6" w:space="0" w:color="auto"/>
              <w:right w:val="single" w:sz="4" w:space="0" w:color="auto"/>
            </w:tcBorders>
          </w:tcPr>
          <w:p w14:paraId="0F8FDCC6" w14:textId="39F8CB22" w:rsidR="00446C69" w:rsidRDefault="00446C69" w:rsidP="00AF2AEA">
            <w:pPr>
              <w:spacing w:line="260" w:lineRule="atLeast"/>
              <w:rPr>
                <w:rFonts w:eastAsia="Calibri"/>
                <w:color w:val="000000"/>
                <w:lang w:eastAsia="en-GB"/>
              </w:rPr>
            </w:pPr>
            <w:r>
              <w:rPr>
                <w:rFonts w:eastAsia="Calibri"/>
                <w:color w:val="000000"/>
                <w:lang w:eastAsia="en-GB"/>
              </w:rPr>
              <w:t>For LG 360 and HG 360:</w:t>
            </w:r>
          </w:p>
          <w:p w14:paraId="58E781C4" w14:textId="20B161BA" w:rsidR="001042DA" w:rsidRPr="006B1A5A" w:rsidRDefault="001042DA" w:rsidP="00AF2AEA">
            <w:pPr>
              <w:spacing w:line="260" w:lineRule="atLeast"/>
              <w:rPr>
                <w:rFonts w:eastAsia="Calibri"/>
                <w:color w:val="000000"/>
                <w:lang w:eastAsia="en-GB"/>
              </w:rPr>
            </w:pPr>
            <w:r w:rsidRPr="006B1A5A">
              <w:rPr>
                <w:rFonts w:eastAsia="Calibri"/>
                <w:color w:val="000000"/>
                <w:lang w:eastAsia="en-GB"/>
              </w:rPr>
              <w:t xml:space="preserve">0.1% (concentrate) and 0.4% </w:t>
            </w:r>
            <w:r w:rsidR="00446C69" w:rsidRPr="006B1A5A">
              <w:rPr>
                <w:rFonts w:eastAsia="Calibri"/>
                <w:color w:val="000000"/>
                <w:lang w:eastAsia="en-GB"/>
              </w:rPr>
              <w:t>(</w:t>
            </w:r>
            <w:r w:rsidR="00446C69">
              <w:rPr>
                <w:rFonts w:eastAsia="Calibri"/>
                <w:color w:val="000000"/>
                <w:lang w:eastAsia="en-GB"/>
              </w:rPr>
              <w:t>In-use concentration</w:t>
            </w:r>
            <w:r w:rsidR="00446C69" w:rsidRPr="006B1A5A">
              <w:rPr>
                <w:rFonts w:eastAsia="Calibri"/>
                <w:color w:val="000000"/>
                <w:lang w:eastAsia="en-GB"/>
              </w:rPr>
              <w:t>)</w:t>
            </w:r>
          </w:p>
          <w:p w14:paraId="446A1A50" w14:textId="77777777" w:rsidR="001042DA" w:rsidRPr="006B1A5A" w:rsidRDefault="001042DA" w:rsidP="00AF2AEA">
            <w:pPr>
              <w:spacing w:line="260" w:lineRule="atLeast"/>
              <w:rPr>
                <w:rFonts w:eastAsia="Calibri"/>
                <w:color w:val="000000"/>
                <w:lang w:eastAsia="en-GB"/>
              </w:rPr>
            </w:pPr>
          </w:p>
          <w:p w14:paraId="35804E4C" w14:textId="1A23AF25" w:rsidR="001042DA" w:rsidRPr="006B1A5A" w:rsidRDefault="00446C69" w:rsidP="00AF2AEA">
            <w:pPr>
              <w:spacing w:line="260" w:lineRule="atLeast"/>
              <w:rPr>
                <w:rFonts w:eastAsia="Calibri"/>
                <w:lang w:eastAsia="en-US"/>
              </w:rPr>
            </w:pPr>
            <w:r>
              <w:rPr>
                <w:rFonts w:eastAsia="Calibri"/>
                <w:color w:val="000000"/>
                <w:lang w:eastAsia="en-GB"/>
              </w:rPr>
              <w:t xml:space="preserve">For RFU 360: </w:t>
            </w:r>
            <w:r w:rsidRPr="006B1A5A">
              <w:rPr>
                <w:rFonts w:eastAsia="Calibri"/>
                <w:color w:val="000000"/>
                <w:lang w:eastAsia="en-GB"/>
              </w:rPr>
              <w:t>1</w:t>
            </w:r>
            <w:r w:rsidR="00A43D0C">
              <w:rPr>
                <w:rFonts w:eastAsia="Calibri"/>
                <w:color w:val="000000"/>
                <w:lang w:eastAsia="en-GB"/>
              </w:rPr>
              <w:t>.</w:t>
            </w:r>
            <w:r w:rsidR="000E4414">
              <w:rPr>
                <w:rFonts w:eastAsia="Calibri"/>
                <w:color w:val="000000"/>
                <w:lang w:eastAsia="en-GB"/>
              </w:rPr>
              <w:t>1</w:t>
            </w:r>
            <w:r w:rsidRPr="006B1A5A">
              <w:rPr>
                <w:rFonts w:eastAsia="Calibri"/>
                <w:color w:val="000000"/>
                <w:lang w:eastAsia="en-GB"/>
              </w:rPr>
              <w:t>%</w:t>
            </w:r>
          </w:p>
        </w:tc>
        <w:tc>
          <w:tcPr>
            <w:tcW w:w="2443" w:type="dxa"/>
            <w:tcBorders>
              <w:top w:val="single" w:sz="6" w:space="0" w:color="auto"/>
              <w:left w:val="single" w:sz="4" w:space="0" w:color="auto"/>
              <w:bottom w:val="single" w:sz="6" w:space="0" w:color="auto"/>
              <w:right w:val="single" w:sz="6" w:space="0" w:color="auto"/>
            </w:tcBorders>
          </w:tcPr>
          <w:p w14:paraId="16488E48" w14:textId="77777777" w:rsidR="001042DA" w:rsidRPr="006B1A5A" w:rsidRDefault="001042DA" w:rsidP="00AF2AEA">
            <w:pPr>
              <w:spacing w:line="260" w:lineRule="atLeast"/>
              <w:rPr>
                <w:rFonts w:eastAsia="Calibri"/>
                <w:lang w:eastAsia="en-US"/>
              </w:rPr>
            </w:pPr>
            <w:r w:rsidRPr="006B1A5A">
              <w:rPr>
                <w:rFonts w:eastAsia="Calibri"/>
                <w:lang w:eastAsia="en-US"/>
              </w:rPr>
              <w:t>5%</w:t>
            </w:r>
          </w:p>
        </w:tc>
      </w:tr>
      <w:tr w:rsidR="001042DA" w:rsidRPr="006B1A5A" w14:paraId="51248936" w14:textId="77777777" w:rsidTr="00AF2AEA">
        <w:tc>
          <w:tcPr>
            <w:tcW w:w="1937" w:type="dxa"/>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727EAEB5" w14:textId="77777777" w:rsidR="001042DA" w:rsidRPr="006B1A5A" w:rsidRDefault="001042DA" w:rsidP="00AF2AEA">
            <w:pPr>
              <w:spacing w:line="260" w:lineRule="atLeast"/>
              <w:rPr>
                <w:rFonts w:eastAsia="Calibri"/>
                <w:lang w:eastAsia="en-US"/>
              </w:rPr>
            </w:pPr>
            <w:r w:rsidRPr="006B1A5A">
              <w:rPr>
                <w:rFonts w:eastAsia="Calibri"/>
                <w:lang w:eastAsia="en-US"/>
              </w:rPr>
              <w:t>Justification for the selected value(s)</w:t>
            </w:r>
          </w:p>
        </w:tc>
        <w:tc>
          <w:tcPr>
            <w:tcW w:w="2453" w:type="dxa"/>
            <w:tcBorders>
              <w:top w:val="single" w:sz="6" w:space="0" w:color="auto"/>
              <w:left w:val="single" w:sz="6" w:space="0" w:color="auto"/>
              <w:bottom w:val="single" w:sz="6" w:space="0" w:color="auto"/>
              <w:right w:val="single" w:sz="4" w:space="0" w:color="auto"/>
            </w:tcBorders>
          </w:tcPr>
          <w:p w14:paraId="010156DC" w14:textId="77777777" w:rsidR="001042DA" w:rsidRPr="006B1A5A" w:rsidRDefault="001042DA" w:rsidP="00AF2AEA">
            <w:pPr>
              <w:spacing w:line="260" w:lineRule="atLeast"/>
              <w:rPr>
                <w:rFonts w:eastAsia="Calibri"/>
                <w:lang w:eastAsia="en-US"/>
              </w:rPr>
            </w:pPr>
            <w:r w:rsidRPr="006B1A5A">
              <w:rPr>
                <w:rFonts w:eastAsia="Calibri"/>
                <w:i/>
                <w:lang w:eastAsia="en-US"/>
              </w:rPr>
              <w:t>In vitro</w:t>
            </w:r>
            <w:r w:rsidRPr="006B1A5A">
              <w:rPr>
                <w:rFonts w:eastAsia="Calibri"/>
                <w:lang w:eastAsia="en-US"/>
              </w:rPr>
              <w:t xml:space="preserve"> study through human skin</w:t>
            </w:r>
          </w:p>
        </w:tc>
        <w:tc>
          <w:tcPr>
            <w:tcW w:w="2409" w:type="dxa"/>
            <w:tcBorders>
              <w:top w:val="single" w:sz="6" w:space="0" w:color="auto"/>
              <w:left w:val="single" w:sz="4" w:space="0" w:color="auto"/>
              <w:bottom w:val="single" w:sz="6" w:space="0" w:color="auto"/>
              <w:right w:val="single" w:sz="4" w:space="0" w:color="auto"/>
            </w:tcBorders>
          </w:tcPr>
          <w:p w14:paraId="2B6DE833" w14:textId="77777777" w:rsidR="001042DA" w:rsidRPr="006B1A5A" w:rsidRDefault="001042DA" w:rsidP="00AF2AEA">
            <w:pPr>
              <w:spacing w:line="260" w:lineRule="atLeast"/>
              <w:rPr>
                <w:rFonts w:eastAsia="Calibri"/>
                <w:lang w:eastAsia="en-US"/>
              </w:rPr>
            </w:pPr>
            <w:r w:rsidRPr="006B1A5A">
              <w:rPr>
                <w:rFonts w:eastAsia="Calibri"/>
                <w:i/>
                <w:lang w:eastAsia="en-US"/>
              </w:rPr>
              <w:t>In vitro</w:t>
            </w:r>
            <w:r w:rsidRPr="006B1A5A">
              <w:rPr>
                <w:rFonts w:eastAsia="Calibri"/>
                <w:lang w:eastAsia="en-US"/>
              </w:rPr>
              <w:t xml:space="preserve"> study through human skin</w:t>
            </w:r>
          </w:p>
        </w:tc>
        <w:tc>
          <w:tcPr>
            <w:tcW w:w="2443" w:type="dxa"/>
            <w:tcBorders>
              <w:top w:val="single" w:sz="6" w:space="0" w:color="auto"/>
              <w:left w:val="single" w:sz="4" w:space="0" w:color="auto"/>
              <w:bottom w:val="single" w:sz="6" w:space="0" w:color="auto"/>
              <w:right w:val="single" w:sz="6" w:space="0" w:color="auto"/>
            </w:tcBorders>
          </w:tcPr>
          <w:p w14:paraId="3271C1CC" w14:textId="77777777" w:rsidR="001042DA" w:rsidRPr="006B1A5A" w:rsidRDefault="001042DA" w:rsidP="00AF2AEA">
            <w:pPr>
              <w:spacing w:line="260" w:lineRule="atLeast"/>
              <w:rPr>
                <w:rFonts w:eastAsia="Calibri"/>
                <w:lang w:eastAsia="en-US"/>
              </w:rPr>
            </w:pPr>
            <w:r w:rsidRPr="006B1A5A">
              <w:rPr>
                <w:rFonts w:eastAsia="Calibri"/>
                <w:lang w:eastAsia="en-US"/>
              </w:rPr>
              <w:t>Recommendation in the copper thiocyanate CAR</w:t>
            </w:r>
          </w:p>
        </w:tc>
      </w:tr>
      <w:bookmarkEnd w:id="1573"/>
    </w:tbl>
    <w:p w14:paraId="01B0B380" w14:textId="77777777" w:rsidR="001042DA" w:rsidRPr="006B1A5A" w:rsidRDefault="001042DA" w:rsidP="001042DA">
      <w:pPr>
        <w:spacing w:line="260" w:lineRule="atLeast"/>
        <w:jc w:val="both"/>
        <w:rPr>
          <w:strike/>
        </w:rPr>
      </w:pPr>
    </w:p>
    <w:p w14:paraId="72E2ED3E" w14:textId="77777777" w:rsidR="001042DA" w:rsidRPr="006B1A5A" w:rsidRDefault="001042DA" w:rsidP="001042DA">
      <w:pPr>
        <w:spacing w:line="260" w:lineRule="atLeast"/>
        <w:jc w:val="both"/>
        <w:rPr>
          <w:rFonts w:eastAsia="Calibri"/>
          <w:iCs/>
          <w:lang w:eastAsia="en-US"/>
        </w:rPr>
      </w:pPr>
    </w:p>
    <w:p w14:paraId="06B46920" w14:textId="77777777" w:rsidR="001042DA" w:rsidRPr="006B1A5A" w:rsidRDefault="001042DA" w:rsidP="001042DA">
      <w:pPr>
        <w:spacing w:line="260" w:lineRule="atLeast"/>
        <w:jc w:val="both"/>
        <w:rPr>
          <w:sz w:val="22"/>
          <w:szCs w:val="22"/>
          <w:shd w:val="clear" w:color="auto" w:fill="FFFFFF"/>
        </w:rPr>
      </w:pPr>
    </w:p>
    <w:p w14:paraId="5231B5EF" w14:textId="77777777" w:rsidR="001042DA" w:rsidRPr="006B1A5A" w:rsidRDefault="001042DA" w:rsidP="001042DA">
      <w:pPr>
        <w:jc w:val="both"/>
        <w:rPr>
          <w:rFonts w:eastAsia="Calibri"/>
          <w:b/>
          <w:i/>
          <w:sz w:val="22"/>
          <w:szCs w:val="22"/>
          <w:lang w:eastAsia="en-US"/>
        </w:rPr>
      </w:pPr>
      <w:bookmarkStart w:id="1574" w:name="_Toc389729059"/>
      <w:bookmarkStart w:id="1575" w:name="_Toc403472761"/>
      <w:r w:rsidRPr="006B1A5A">
        <w:rPr>
          <w:rFonts w:eastAsia="Calibri"/>
          <w:b/>
          <w:i/>
          <w:sz w:val="22"/>
          <w:szCs w:val="22"/>
          <w:lang w:eastAsia="en-US"/>
        </w:rPr>
        <w:t>Available toxicological data relating to non-active substance(s) (i.e. substance(s) of concern)</w:t>
      </w:r>
      <w:bookmarkEnd w:id="1574"/>
      <w:bookmarkEnd w:id="1575"/>
    </w:p>
    <w:p w14:paraId="581D6C56" w14:textId="75925EAA" w:rsidR="001042DA" w:rsidRPr="006B1A5A" w:rsidRDefault="001042DA" w:rsidP="001042DA">
      <w:pPr>
        <w:pStyle w:val="Liste-Zeichen2"/>
        <w:numPr>
          <w:ilvl w:val="0"/>
          <w:numId w:val="0"/>
        </w:numPr>
        <w:rPr>
          <w:rFonts w:ascii="Verdana" w:eastAsia="Calibri" w:hAnsi="Verdana"/>
          <w:iCs/>
          <w:sz w:val="20"/>
          <w:szCs w:val="20"/>
          <w:lang w:val="en-GB" w:eastAsia="en-US"/>
        </w:rPr>
      </w:pPr>
      <w:r w:rsidRPr="006B1A5A">
        <w:rPr>
          <w:rFonts w:ascii="Verdana" w:eastAsia="Calibri" w:hAnsi="Verdana"/>
          <w:iCs/>
          <w:sz w:val="20"/>
          <w:szCs w:val="20"/>
          <w:lang w:val="en-GB" w:eastAsia="en-US"/>
        </w:rPr>
        <w:t xml:space="preserve">Toxicological information on the co-formulants is summarized in a separate report </w:t>
      </w:r>
      <w:bookmarkStart w:id="1576" w:name="_Hlk22762622"/>
      <w:r w:rsidRPr="006B1A5A">
        <w:rPr>
          <w:rFonts w:ascii="Verdana" w:eastAsia="Calibri" w:hAnsi="Verdana"/>
          <w:iCs/>
          <w:sz w:val="20"/>
          <w:szCs w:val="20"/>
          <w:lang w:val="en-GB" w:eastAsia="en-US"/>
        </w:rPr>
        <w:t>(see “Section 13 of the IUCLID file:</w:t>
      </w:r>
      <w:bookmarkEnd w:id="1576"/>
      <w:r w:rsidRPr="006B1A5A">
        <w:rPr>
          <w:rFonts w:ascii="Verdana" w:eastAsia="Calibri" w:hAnsi="Verdana"/>
          <w:iCs/>
          <w:sz w:val="20"/>
          <w:szCs w:val="20"/>
          <w:lang w:val="en-GB" w:eastAsia="en-US"/>
        </w:rPr>
        <w:t xml:space="preserve"> “Background Document on the Human Health Hazard of Co-formulants in 360 Biocidal Product Family 2017.pdf")</w:t>
      </w:r>
      <w:r w:rsidR="00546846">
        <w:rPr>
          <w:rFonts w:ascii="Verdana" w:eastAsia="Calibri" w:hAnsi="Verdana"/>
          <w:iCs/>
          <w:sz w:val="20"/>
          <w:szCs w:val="20"/>
          <w:lang w:val="en-GB" w:eastAsia="en-US"/>
        </w:rPr>
        <w:t>.</w:t>
      </w:r>
    </w:p>
    <w:p w14:paraId="7BD20943" w14:textId="77777777" w:rsidR="001042DA" w:rsidRPr="006B1A5A" w:rsidRDefault="001042DA" w:rsidP="001042DA">
      <w:pPr>
        <w:spacing w:line="260" w:lineRule="atLeast"/>
        <w:rPr>
          <w:rFonts w:eastAsia="Calibri"/>
          <w:lang w:eastAsia="en-US"/>
        </w:rPr>
      </w:pPr>
    </w:p>
    <w:p w14:paraId="43BA505E" w14:textId="77777777" w:rsidR="001042DA" w:rsidRPr="006B1A5A" w:rsidRDefault="001042DA" w:rsidP="001042DA">
      <w:pPr>
        <w:rPr>
          <w:rFonts w:eastAsia="Calibri"/>
          <w:b/>
          <w:i/>
          <w:sz w:val="22"/>
          <w:szCs w:val="22"/>
          <w:lang w:eastAsia="en-US"/>
        </w:rPr>
      </w:pPr>
      <w:bookmarkStart w:id="1577" w:name="_Toc389729060"/>
      <w:bookmarkStart w:id="1578" w:name="_Toc403472762"/>
      <w:r w:rsidRPr="006B1A5A">
        <w:rPr>
          <w:rFonts w:eastAsia="Calibri"/>
          <w:b/>
          <w:i/>
          <w:sz w:val="22"/>
          <w:szCs w:val="22"/>
          <w:lang w:eastAsia="en-US"/>
        </w:rPr>
        <w:t>Available toxicological data relating to a mixture</w:t>
      </w:r>
      <w:bookmarkEnd w:id="1577"/>
      <w:bookmarkEnd w:id="1578"/>
      <w:r w:rsidRPr="006B1A5A">
        <w:rPr>
          <w:rFonts w:eastAsia="Calibri"/>
          <w:b/>
          <w:i/>
          <w:sz w:val="22"/>
          <w:szCs w:val="22"/>
          <w:lang w:eastAsia="en-US"/>
        </w:rPr>
        <w:t xml:space="preserve"> </w:t>
      </w:r>
    </w:p>
    <w:p w14:paraId="5DA9F7E5" w14:textId="77777777" w:rsidR="001042DA" w:rsidRPr="006B1A5A" w:rsidRDefault="001042DA" w:rsidP="001042DA">
      <w:pPr>
        <w:spacing w:line="260" w:lineRule="atLeast"/>
        <w:rPr>
          <w:rFonts w:eastAsia="Calibri"/>
          <w:lang w:eastAsia="en-US"/>
        </w:rPr>
      </w:pPr>
    </w:p>
    <w:p w14:paraId="5C97EC8C" w14:textId="77777777" w:rsidR="001042DA" w:rsidRPr="006B1A5A" w:rsidRDefault="001042DA" w:rsidP="001042DA">
      <w:pPr>
        <w:spacing w:line="260" w:lineRule="atLeast"/>
        <w:rPr>
          <w:rFonts w:ascii="Times New Roman" w:eastAsia="Calibri" w:hAnsi="Times New Roman"/>
          <w:i/>
          <w:iCs/>
          <w:lang w:eastAsia="en-US"/>
        </w:rPr>
      </w:pPr>
      <w:r w:rsidRPr="006B1A5A">
        <w:rPr>
          <w:rFonts w:eastAsia="Calibri"/>
          <w:lang w:eastAsia="en-US"/>
        </w:rPr>
        <w:t>Not relevant</w:t>
      </w:r>
    </w:p>
    <w:p w14:paraId="4B5AA754" w14:textId="77777777" w:rsidR="001042DA" w:rsidRPr="006B1A5A" w:rsidRDefault="001042DA" w:rsidP="001042DA">
      <w:pPr>
        <w:rPr>
          <w:rFonts w:eastAsia="Calibri"/>
          <w:b/>
          <w:i/>
          <w:sz w:val="22"/>
          <w:szCs w:val="22"/>
          <w:lang w:eastAsia="en-US"/>
        </w:rPr>
      </w:pPr>
    </w:p>
    <w:p w14:paraId="6FD20DA4" w14:textId="77777777" w:rsidR="001042DA" w:rsidRPr="006B1A5A" w:rsidRDefault="001042DA" w:rsidP="001042DA">
      <w:pPr>
        <w:rPr>
          <w:rFonts w:eastAsia="Calibri"/>
          <w:b/>
          <w:i/>
          <w:sz w:val="22"/>
          <w:szCs w:val="22"/>
          <w:lang w:eastAsia="en-US"/>
        </w:rPr>
      </w:pPr>
      <w:bookmarkStart w:id="1579" w:name="_Toc389729061"/>
      <w:bookmarkStart w:id="1580" w:name="_Toc403472763"/>
      <w:r w:rsidRPr="006B1A5A">
        <w:rPr>
          <w:rFonts w:eastAsia="Calibri"/>
          <w:b/>
          <w:i/>
          <w:sz w:val="22"/>
          <w:szCs w:val="22"/>
          <w:lang w:eastAsia="en-US"/>
        </w:rPr>
        <w:t>Other</w:t>
      </w:r>
      <w:bookmarkEnd w:id="1579"/>
      <w:bookmarkEnd w:id="1580"/>
    </w:p>
    <w:p w14:paraId="68623B65" w14:textId="77777777" w:rsidR="001042DA" w:rsidRPr="006B1A5A" w:rsidRDefault="001042DA" w:rsidP="001042DA">
      <w:pPr>
        <w:rPr>
          <w:rFonts w:eastAsia="Calibri"/>
          <w:sz w:val="22"/>
          <w:szCs w:val="22"/>
          <w:lang w:eastAsia="en-US"/>
        </w:rPr>
      </w:pPr>
    </w:p>
    <w:p w14:paraId="1B8D8469" w14:textId="77777777" w:rsidR="001042DA" w:rsidRPr="006B1A5A" w:rsidRDefault="001042DA" w:rsidP="001042DA">
      <w:pPr>
        <w:rPr>
          <w:rFonts w:eastAsia="Calibri"/>
          <w:b/>
          <w:i/>
          <w:sz w:val="22"/>
          <w:szCs w:val="22"/>
          <w:lang w:eastAsia="en-US"/>
        </w:rPr>
      </w:pPr>
      <w:bookmarkStart w:id="1581" w:name="_Hlk947972"/>
      <w:r w:rsidRPr="006B1A5A">
        <w:rPr>
          <w:rFonts w:eastAsia="Calibri"/>
          <w:b/>
          <w:i/>
          <w:sz w:val="22"/>
          <w:szCs w:val="22"/>
          <w:lang w:eastAsia="en-US"/>
        </w:rPr>
        <w:t>Endocrine disrupting potential</w:t>
      </w:r>
    </w:p>
    <w:p w14:paraId="1F1D6725" w14:textId="77777777" w:rsidR="001042DA" w:rsidRPr="006B1A5A" w:rsidRDefault="001042DA" w:rsidP="001042DA">
      <w:pPr>
        <w:rPr>
          <w:rFonts w:eastAsia="Calibri"/>
          <w:b/>
          <w:i/>
          <w:sz w:val="22"/>
          <w:szCs w:val="22"/>
          <w:lang w:eastAsia="en-US"/>
        </w:rPr>
      </w:pPr>
    </w:p>
    <w:p w14:paraId="460AB65B" w14:textId="77777777" w:rsidR="001042DA" w:rsidRPr="006B1A5A" w:rsidRDefault="001042DA" w:rsidP="001042DA">
      <w:pPr>
        <w:rPr>
          <w:iCs/>
        </w:rPr>
      </w:pPr>
      <w:r w:rsidRPr="006B1A5A">
        <w:rPr>
          <w:iCs/>
        </w:rPr>
        <w:t>According to the assessment performed according to the draft document</w:t>
      </w:r>
      <w:r w:rsidRPr="006B1A5A">
        <w:rPr>
          <w:rFonts w:ascii="CIDFont+F2" w:hAnsi="CIDFont+F2"/>
        </w:rPr>
        <w:t xml:space="preserve"> "</w:t>
      </w:r>
      <w:r w:rsidRPr="006B1A5A">
        <w:rPr>
          <w:i/>
          <w:iCs/>
        </w:rPr>
        <w:t>Practical approach for the assessment of ED properties of a biocidal product by rMS/eCA",</w:t>
      </w:r>
      <w:r w:rsidRPr="006B1A5A">
        <w:rPr>
          <w:iCs/>
        </w:rPr>
        <w:t xml:space="preserve"> none of the formulants contained in the products of the </w:t>
      </w:r>
      <w:r w:rsidRPr="006B1A5A">
        <w:rPr>
          <w:rFonts w:eastAsia="Calibri"/>
          <w:lang w:eastAsia="en-US"/>
        </w:rPr>
        <w:t xml:space="preserve">AquaNet 360 family </w:t>
      </w:r>
      <w:r w:rsidRPr="006B1A5A">
        <w:rPr>
          <w:iCs/>
        </w:rPr>
        <w:t xml:space="preserve">are identified as endocrine disruptors. </w:t>
      </w:r>
    </w:p>
    <w:p w14:paraId="5DD5EDCF" w14:textId="77777777" w:rsidR="007B791A" w:rsidRDefault="007B791A" w:rsidP="00A15668">
      <w:pPr>
        <w:pStyle w:val="Merknadstekst"/>
        <w:rPr>
          <w:iCs/>
        </w:rPr>
      </w:pPr>
    </w:p>
    <w:p w14:paraId="28643A63" w14:textId="77777777" w:rsidR="00A15668" w:rsidRPr="00472E9B" w:rsidRDefault="00A15668" w:rsidP="00A15668">
      <w:pPr>
        <w:pStyle w:val="Merknadstekst"/>
      </w:pPr>
      <w:r w:rsidRPr="006B1A5A">
        <w:rPr>
          <w:iCs/>
        </w:rPr>
        <w:t xml:space="preserve">However, there </w:t>
      </w:r>
      <w:r>
        <w:rPr>
          <w:iCs/>
        </w:rPr>
        <w:t>might be</w:t>
      </w:r>
      <w:r w:rsidRPr="006B1A5A">
        <w:rPr>
          <w:iCs/>
        </w:rPr>
        <w:t xml:space="preserve"> indications that one co-formulant shows</w:t>
      </w:r>
      <w:r w:rsidRPr="00472E9B">
        <w:t xml:space="preserve"> </w:t>
      </w:r>
      <w:r>
        <w:t xml:space="preserve">alerts for endocrine disruption potential from in vitro assays and in silico models. </w:t>
      </w:r>
      <w:r w:rsidRPr="006B1A5A">
        <w:rPr>
          <w:rFonts w:cs="Arial"/>
        </w:rPr>
        <w:t xml:space="preserve">An Endocrine Disruption Screening Program (EDSP) 21 search was done, and the substance tested positive in 5 of 26 estrogen receptor (ER) bioactivity assays; 8 of 16 androgen receptor (AR) bioactivity assay, 5 of 10 thyroid bioactivity assays and 2 of 2 steroidogenesis assays. According to a ToxCast model prediction for the co-formulant, it seems to be an ED alert at least for anti-androgenicity, that should be further explored. </w:t>
      </w:r>
      <w:r>
        <w:t xml:space="preserve">No evidence of endocrine disruption effects has been observed in standard </w:t>
      </w:r>
      <w:r w:rsidRPr="00546846">
        <w:rPr>
          <w:i/>
        </w:rPr>
        <w:t>in vivo</w:t>
      </w:r>
      <w:r>
        <w:t xml:space="preserve"> regulatory studies or in the published literature.</w:t>
      </w:r>
      <w:r w:rsidRPr="006B1A5A">
        <w:rPr>
          <w:iCs/>
        </w:rPr>
        <w:t xml:space="preserve"> Based on available information, </w:t>
      </w:r>
      <w:r w:rsidRPr="006B1A5A">
        <w:t xml:space="preserve">it is not possible to conclude whether this co-formulant should be considered to have ED properties or not. The co-formulant </w:t>
      </w:r>
      <w:r w:rsidRPr="006B1A5A">
        <w:rPr>
          <w:rFonts w:cs="Arial"/>
        </w:rPr>
        <w:t xml:space="preserve">is a biocidal active substance currently under evaluation as an active substance. If the substance is finally identified as ED, the biocidal product will be considered as ED and the authorisation of the family products will have to be revised accordingly. </w:t>
      </w:r>
    </w:p>
    <w:p w14:paraId="5004AB1A" w14:textId="05DD73F9" w:rsidR="001042DA" w:rsidRPr="006B1A5A" w:rsidRDefault="001042DA" w:rsidP="00C35AAF">
      <w:pPr>
        <w:pStyle w:val="NormalWeb"/>
      </w:pPr>
      <w:r w:rsidRPr="006B1A5A">
        <w:rPr>
          <w:rFonts w:ascii="Verdana" w:hAnsi="Verdana" w:cs="Arial"/>
          <w:sz w:val="20"/>
        </w:rPr>
        <w:t>The complete assessment is available in the confidential annex (3.6.5).</w:t>
      </w:r>
      <w:r w:rsidR="008D05E9">
        <w:br w:type="page"/>
      </w:r>
    </w:p>
    <w:p w14:paraId="20923BCF" w14:textId="77777777" w:rsidR="001042DA" w:rsidRPr="006B1A5A" w:rsidRDefault="001042DA" w:rsidP="00916E44">
      <w:pPr>
        <w:pStyle w:val="Overskrift4"/>
      </w:pPr>
      <w:bookmarkStart w:id="1582" w:name="_Toc389729062"/>
      <w:bookmarkStart w:id="1583" w:name="_Toc403472764"/>
      <w:bookmarkStart w:id="1584" w:name="_Toc403566576"/>
      <w:bookmarkStart w:id="1585" w:name="_Ref444597449"/>
      <w:bookmarkStart w:id="1586" w:name="_Toc66448833"/>
      <w:bookmarkStart w:id="1587" w:name="_Hlk54274713"/>
      <w:bookmarkEnd w:id="1581"/>
      <w:r w:rsidRPr="006B1A5A">
        <w:t>Exposure assessment</w:t>
      </w:r>
      <w:bookmarkEnd w:id="1582"/>
      <w:bookmarkEnd w:id="1583"/>
      <w:bookmarkEnd w:id="1584"/>
      <w:bookmarkEnd w:id="1585"/>
      <w:bookmarkEnd w:id="1586"/>
    </w:p>
    <w:bookmarkEnd w:id="1587"/>
    <w:p w14:paraId="250D3A09" w14:textId="77777777" w:rsidR="001042DA" w:rsidRPr="006B1A5A" w:rsidRDefault="001042DA" w:rsidP="001042DA">
      <w:pPr>
        <w:spacing w:line="260" w:lineRule="atLeast"/>
        <w:jc w:val="both"/>
        <w:rPr>
          <w:rFonts w:eastAsia="Calibri"/>
          <w:b/>
          <w:bCs/>
          <w:lang w:eastAsia="en-US"/>
        </w:rPr>
      </w:pPr>
    </w:p>
    <w:p w14:paraId="077829D7" w14:textId="77777777" w:rsidR="001042DA" w:rsidRPr="006B1A5A" w:rsidRDefault="001042DA" w:rsidP="001042DA">
      <w:pPr>
        <w:spacing w:line="260" w:lineRule="atLeast"/>
        <w:jc w:val="both"/>
        <w:rPr>
          <w:rFonts w:eastAsia="Calibri"/>
          <w:b/>
          <w:bCs/>
          <w:lang w:eastAsia="en-US"/>
        </w:rPr>
      </w:pPr>
      <w:r w:rsidRPr="006B1A5A">
        <w:rPr>
          <w:rFonts w:eastAsia="Calibri"/>
          <w:b/>
          <w:bCs/>
          <w:lang w:eastAsia="en-US"/>
        </w:rPr>
        <w:t>Identification of main paths of human exposure towards active substances and substances of concern from its use in biocidal product</w:t>
      </w:r>
    </w:p>
    <w:p w14:paraId="27E9C3EC" w14:textId="77777777" w:rsidR="001042DA" w:rsidRPr="006B1A5A" w:rsidRDefault="001042DA" w:rsidP="001042DA">
      <w:pPr>
        <w:spacing w:line="260" w:lineRule="atLeast"/>
        <w:jc w:val="both"/>
        <w:rPr>
          <w:rFonts w:eastAsia="Calibri"/>
          <w:b/>
          <w:bCs/>
          <w:lang w:eastAsia="en-US"/>
        </w:rPr>
      </w:pPr>
    </w:p>
    <w:p w14:paraId="4E0DEBA8" w14:textId="77777777" w:rsidR="001042DA" w:rsidRPr="006B1A5A" w:rsidRDefault="001042DA" w:rsidP="001042DA">
      <w:pPr>
        <w:spacing w:line="260" w:lineRule="atLeast"/>
        <w:jc w:val="both"/>
      </w:pPr>
      <w:bookmarkStart w:id="1588" w:name="_Hlk22313148"/>
      <w:r w:rsidRPr="006B1A5A">
        <w:t xml:space="preserve">Nets used to house fish in aquaculture are coated with an antifouling product before being used on fish farms. </w:t>
      </w:r>
      <w:bookmarkStart w:id="1589" w:name="_Hlk54274700"/>
      <w:r w:rsidRPr="006B1A5A">
        <w:t xml:space="preserve">The treatment process is undertaken industrially by specialised service companies. </w:t>
      </w:r>
      <w:bookmarkEnd w:id="1588"/>
      <w:bookmarkEnd w:id="1589"/>
      <w:r w:rsidRPr="006B1A5A">
        <w:t xml:space="preserve">This document assesses the risks to the operators and workers involved in the treatment and deployment of nets when using the applicant’s Biocidal Product Family – Aquanet 360, in compliance with Regulation (EU) No. 528/2012. </w:t>
      </w:r>
      <w:bookmarkStart w:id="1590" w:name="_Hlk22649356"/>
      <w:bookmarkStart w:id="1591" w:name="_Hlk22649408"/>
      <w:r w:rsidRPr="006B1A5A">
        <w:t xml:space="preserve">The relevant work tasks </w:t>
      </w:r>
      <w:bookmarkEnd w:id="1590"/>
      <w:r w:rsidRPr="006B1A5A">
        <w:t>for industrial and professional workers dealing with antifouling coating nets are described below</w:t>
      </w:r>
      <w:bookmarkEnd w:id="1591"/>
      <w:r w:rsidRPr="006B1A5A">
        <w:t>.</w:t>
      </w:r>
    </w:p>
    <w:p w14:paraId="07166B58" w14:textId="77777777" w:rsidR="001042DA" w:rsidRPr="006B1A5A" w:rsidRDefault="001042DA" w:rsidP="001042DA">
      <w:pPr>
        <w:spacing w:line="260" w:lineRule="atLeast"/>
        <w:jc w:val="both"/>
        <w:rPr>
          <w:rFonts w:eastAsia="Calibri"/>
          <w:b/>
          <w:i/>
          <w:sz w:val="22"/>
          <w:szCs w:val="22"/>
          <w:lang w:eastAsia="en-US"/>
        </w:rPr>
      </w:pPr>
    </w:p>
    <w:p w14:paraId="0220C43F" w14:textId="77777777" w:rsidR="001042DA" w:rsidRPr="006B1A5A" w:rsidRDefault="001042DA" w:rsidP="001042DA">
      <w:pPr>
        <w:spacing w:line="260" w:lineRule="atLeast"/>
        <w:jc w:val="both"/>
      </w:pPr>
      <w:bookmarkStart w:id="1592" w:name="_Hlk22313260"/>
      <w:bookmarkStart w:id="1593" w:name="_Hlk22382096"/>
      <w:bookmarkStart w:id="1594" w:name="_Hlk22653136"/>
      <w:bookmarkStart w:id="1595" w:name="_Hlk19704669"/>
      <w:r w:rsidRPr="006B1A5A">
        <w:rPr>
          <w:rFonts w:eastAsia="Calibri"/>
          <w:b/>
          <w:i/>
          <w:lang w:eastAsia="en-US"/>
        </w:rPr>
        <w:t>Mixing and loading</w:t>
      </w:r>
    </w:p>
    <w:p w14:paraId="3E155DFC" w14:textId="77777777" w:rsidR="001042DA" w:rsidRPr="006B1A5A" w:rsidRDefault="001042DA" w:rsidP="001042DA">
      <w:pPr>
        <w:pStyle w:val="Default"/>
        <w:jc w:val="both"/>
        <w:rPr>
          <w:rFonts w:ascii="Verdana" w:hAnsi="Verdana"/>
          <w:color w:val="auto"/>
          <w:sz w:val="20"/>
          <w:szCs w:val="20"/>
          <w:lang w:eastAsia="de-DE"/>
        </w:rPr>
      </w:pPr>
    </w:p>
    <w:p w14:paraId="54C34FC2" w14:textId="7709E915" w:rsidR="001042DA" w:rsidRPr="006B1A5A" w:rsidRDefault="001042DA" w:rsidP="001042DA">
      <w:pPr>
        <w:pStyle w:val="Default"/>
        <w:jc w:val="both"/>
        <w:rPr>
          <w:rFonts w:ascii="Verdana" w:hAnsi="Verdana"/>
          <w:color w:val="auto"/>
          <w:sz w:val="20"/>
          <w:szCs w:val="20"/>
          <w:lang w:eastAsia="de-DE"/>
        </w:rPr>
      </w:pPr>
      <w:r w:rsidRPr="006B1A5A">
        <w:rPr>
          <w:rFonts w:ascii="Verdana" w:hAnsi="Verdana"/>
          <w:color w:val="auto"/>
          <w:sz w:val="20"/>
          <w:szCs w:val="20"/>
          <w:lang w:eastAsia="de-DE"/>
        </w:rPr>
        <w:t xml:space="preserve">Under normal working procedures, the product is pumped directly from the 1000 litre IBC containers into larger storage tanks. From here the product is pumped to the treatment unit using integrated systems. </w:t>
      </w:r>
      <w:bookmarkStart w:id="1596" w:name="_Hlk54274680"/>
      <w:r w:rsidRPr="006B1A5A">
        <w:rPr>
          <w:rFonts w:ascii="Verdana" w:hAnsi="Verdana"/>
          <w:color w:val="auto"/>
          <w:sz w:val="20"/>
          <w:szCs w:val="20"/>
          <w:lang w:eastAsia="de-DE"/>
        </w:rPr>
        <w:t>After a treatment episode, the unused product is pumped back to the storage tank for re-use.</w:t>
      </w:r>
      <w:bookmarkEnd w:id="1596"/>
      <w:r w:rsidRPr="006B1A5A">
        <w:rPr>
          <w:rFonts w:ascii="Verdana" w:hAnsi="Verdana"/>
          <w:color w:val="auto"/>
          <w:sz w:val="20"/>
          <w:szCs w:val="20"/>
          <w:lang w:eastAsia="de-DE"/>
        </w:rPr>
        <w:t xml:space="preserve"> Internal circulation pumps in holding/storage tanks are also common Since there is no pouring or mixing by hand, no physical contact is expected. However, as a worst-case scenario, some dermal exposure may occur during the fixing/removing of the pump lines to the IBC (</w:t>
      </w:r>
      <w:r w:rsidRPr="006B1A5A">
        <w:rPr>
          <w:rFonts w:ascii="Verdana" w:hAnsi="Verdana"/>
          <w:color w:val="auto"/>
          <w:sz w:val="20"/>
          <w:szCs w:val="20"/>
          <w:lang w:eastAsia="de-DE"/>
        </w:rPr>
        <w:fldChar w:fldCharType="begin"/>
      </w:r>
      <w:r w:rsidRPr="006B1A5A">
        <w:rPr>
          <w:rFonts w:ascii="Verdana" w:hAnsi="Verdana"/>
          <w:color w:val="auto"/>
          <w:sz w:val="20"/>
          <w:szCs w:val="20"/>
          <w:lang w:eastAsia="de-DE"/>
        </w:rPr>
        <w:instrText xml:space="preserve"> REF _Ref490042875 \h  \* MERGEFORMAT </w:instrText>
      </w:r>
      <w:r w:rsidRPr="006B1A5A">
        <w:rPr>
          <w:rFonts w:ascii="Verdana" w:hAnsi="Verdana"/>
          <w:color w:val="auto"/>
          <w:sz w:val="20"/>
          <w:szCs w:val="20"/>
          <w:lang w:eastAsia="de-DE"/>
        </w:rPr>
      </w:r>
      <w:r w:rsidRPr="006B1A5A">
        <w:rPr>
          <w:rFonts w:ascii="Verdana" w:hAnsi="Verdana"/>
          <w:color w:val="auto"/>
          <w:sz w:val="20"/>
          <w:szCs w:val="20"/>
          <w:lang w:eastAsia="de-DE"/>
        </w:rPr>
        <w:fldChar w:fldCharType="separate"/>
      </w:r>
      <w:r w:rsidR="00FF5B6D" w:rsidRPr="00FF5B6D">
        <w:rPr>
          <w:rFonts w:ascii="Verdana" w:hAnsi="Verdana"/>
          <w:color w:val="auto"/>
          <w:sz w:val="20"/>
          <w:szCs w:val="20"/>
          <w:lang w:eastAsia="de-DE"/>
        </w:rPr>
        <w:t>Figure 1</w:t>
      </w:r>
      <w:r w:rsidRPr="006B1A5A">
        <w:rPr>
          <w:rFonts w:ascii="Verdana" w:hAnsi="Verdana"/>
          <w:color w:val="auto"/>
          <w:sz w:val="20"/>
          <w:szCs w:val="20"/>
          <w:lang w:eastAsia="de-DE"/>
        </w:rPr>
        <w:fldChar w:fldCharType="end"/>
      </w:r>
      <w:r w:rsidRPr="006B1A5A">
        <w:rPr>
          <w:rFonts w:ascii="Verdana" w:hAnsi="Verdana"/>
          <w:color w:val="auto"/>
          <w:sz w:val="20"/>
          <w:szCs w:val="20"/>
          <w:lang w:eastAsia="de-DE"/>
        </w:rPr>
        <w:t>).</w:t>
      </w:r>
    </w:p>
    <w:bookmarkEnd w:id="1592"/>
    <w:p w14:paraId="63D7B3B2" w14:textId="77777777" w:rsidR="001042DA" w:rsidRPr="006B1A5A" w:rsidRDefault="001042DA" w:rsidP="001042DA">
      <w:pPr>
        <w:pStyle w:val="Default"/>
        <w:jc w:val="both"/>
        <w:rPr>
          <w:rFonts w:ascii="Verdana" w:hAnsi="Verdana"/>
          <w:color w:val="auto"/>
          <w:sz w:val="20"/>
          <w:szCs w:val="20"/>
          <w:lang w:eastAsia="de-DE"/>
        </w:rPr>
      </w:pPr>
    </w:p>
    <w:p w14:paraId="651594EB" w14:textId="77777777" w:rsidR="001042DA" w:rsidRPr="006B1A5A" w:rsidRDefault="001042DA" w:rsidP="001042DA">
      <w:pPr>
        <w:pStyle w:val="Default"/>
        <w:jc w:val="both"/>
        <w:rPr>
          <w:rFonts w:ascii="Verdana" w:hAnsi="Verdana"/>
          <w:color w:val="auto"/>
          <w:sz w:val="20"/>
          <w:szCs w:val="20"/>
          <w:lang w:eastAsia="de-DE"/>
        </w:rPr>
      </w:pPr>
      <w:r w:rsidRPr="006B1A5A">
        <w:rPr>
          <w:noProof/>
          <w:highlight w:val="yellow"/>
        </w:rPr>
        <w:drawing>
          <wp:inline distT="0" distB="0" distL="0" distR="0" wp14:anchorId="3BF2BC42" wp14:editId="6A2D1427">
            <wp:extent cx="4313877" cy="2136915"/>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val="0"/>
                        </a:ext>
                      </a:extLst>
                    </a:blip>
                    <a:srcRect/>
                    <a:stretch>
                      <a:fillRect/>
                    </a:stretch>
                  </pic:blipFill>
                  <pic:spPr bwMode="auto">
                    <a:xfrm>
                      <a:off x="0" y="0"/>
                      <a:ext cx="4357641" cy="2158594"/>
                    </a:xfrm>
                    <a:prstGeom prst="rect">
                      <a:avLst/>
                    </a:prstGeom>
                    <a:noFill/>
                    <a:ln>
                      <a:noFill/>
                    </a:ln>
                  </pic:spPr>
                </pic:pic>
              </a:graphicData>
            </a:graphic>
          </wp:inline>
        </w:drawing>
      </w:r>
    </w:p>
    <w:p w14:paraId="07FEF2BC" w14:textId="7A98E11C" w:rsidR="001042DA" w:rsidRPr="006B1A5A" w:rsidRDefault="001042DA" w:rsidP="001042DA">
      <w:pPr>
        <w:pStyle w:val="Bildetekst"/>
        <w:rPr>
          <w:sz w:val="22"/>
          <w:szCs w:val="22"/>
        </w:rPr>
      </w:pPr>
      <w:bookmarkStart w:id="1597" w:name="_Ref490042875"/>
      <w:bookmarkStart w:id="1598" w:name="_Toc490222157"/>
      <w:r w:rsidRPr="006B1A5A">
        <w:rPr>
          <w:sz w:val="22"/>
          <w:szCs w:val="22"/>
        </w:rPr>
        <w:t xml:space="preserve">Figure </w:t>
      </w:r>
      <w:r w:rsidRPr="006B1A5A">
        <w:rPr>
          <w:sz w:val="22"/>
          <w:szCs w:val="22"/>
        </w:rPr>
        <w:fldChar w:fldCharType="begin"/>
      </w:r>
      <w:r w:rsidRPr="006B1A5A">
        <w:rPr>
          <w:sz w:val="22"/>
          <w:szCs w:val="22"/>
        </w:rPr>
        <w:instrText xml:space="preserve"> SEQ Figure \* ARABIC </w:instrText>
      </w:r>
      <w:r w:rsidRPr="006B1A5A">
        <w:rPr>
          <w:sz w:val="22"/>
          <w:szCs w:val="22"/>
        </w:rPr>
        <w:fldChar w:fldCharType="separate"/>
      </w:r>
      <w:r w:rsidR="00FF5B6D">
        <w:rPr>
          <w:noProof/>
          <w:sz w:val="22"/>
          <w:szCs w:val="22"/>
        </w:rPr>
        <w:t>1</w:t>
      </w:r>
      <w:r w:rsidRPr="006B1A5A">
        <w:rPr>
          <w:sz w:val="22"/>
          <w:szCs w:val="22"/>
        </w:rPr>
        <w:fldChar w:fldCharType="end"/>
      </w:r>
      <w:bookmarkEnd w:id="1597"/>
      <w:r w:rsidRPr="006B1A5A">
        <w:rPr>
          <w:sz w:val="22"/>
          <w:szCs w:val="22"/>
        </w:rPr>
        <w:t>: Mixing and loading operations with AquaNet products (Figure: Steen-Hansen)</w:t>
      </w:r>
      <w:bookmarkEnd w:id="1598"/>
      <w:r w:rsidRPr="006B1A5A">
        <w:rPr>
          <w:sz w:val="22"/>
          <w:szCs w:val="22"/>
        </w:rPr>
        <w:t xml:space="preserve"> </w:t>
      </w:r>
    </w:p>
    <w:p w14:paraId="5AB2D755" w14:textId="77777777" w:rsidR="001042DA" w:rsidRPr="006B1A5A" w:rsidRDefault="001042DA" w:rsidP="001042DA">
      <w:pPr>
        <w:spacing w:line="260" w:lineRule="atLeast"/>
        <w:jc w:val="both"/>
      </w:pPr>
    </w:p>
    <w:p w14:paraId="19FBCB32" w14:textId="77777777" w:rsidR="001042DA" w:rsidRPr="006B1A5A" w:rsidRDefault="001042DA" w:rsidP="001042DA">
      <w:pPr>
        <w:spacing w:line="260" w:lineRule="atLeast"/>
        <w:jc w:val="both"/>
      </w:pPr>
      <w:bookmarkStart w:id="1599" w:name="_Hlk22313277"/>
      <w:bookmarkStart w:id="1600" w:name="_Hlk22304619"/>
      <w:r w:rsidRPr="006B1A5A">
        <w:rPr>
          <w:rFonts w:eastAsia="Calibri"/>
          <w:b/>
          <w:i/>
          <w:iCs/>
          <w:lang w:eastAsia="en-US"/>
        </w:rPr>
        <w:t>Treatment of nets</w:t>
      </w:r>
      <w:bookmarkStart w:id="1601" w:name="_Hlk11273637"/>
    </w:p>
    <w:p w14:paraId="6BAF058B" w14:textId="77777777" w:rsidR="001042DA" w:rsidRPr="006B1A5A" w:rsidRDefault="001042DA" w:rsidP="001042DA">
      <w:pPr>
        <w:spacing w:line="260" w:lineRule="atLeast"/>
        <w:jc w:val="both"/>
      </w:pPr>
      <w:bookmarkStart w:id="1602" w:name="_Hlk22305187"/>
      <w:bookmarkEnd w:id="1599"/>
      <w:r w:rsidRPr="006B1A5A">
        <w:t xml:space="preserve">In general, there are two methods in use for the treatment of aquaculture nets; crane assisted dipping in open tanks and vacuum treatment. </w:t>
      </w:r>
    </w:p>
    <w:p w14:paraId="3474912B" w14:textId="77777777" w:rsidR="001042DA" w:rsidRPr="006B1A5A" w:rsidRDefault="001042DA" w:rsidP="001042DA">
      <w:pPr>
        <w:spacing w:line="260" w:lineRule="atLeast"/>
        <w:jc w:val="both"/>
      </w:pPr>
    </w:p>
    <w:p w14:paraId="76F1F935" w14:textId="2F63D0CA" w:rsidR="001042DA" w:rsidRPr="006B1A5A" w:rsidRDefault="001042DA" w:rsidP="001042DA">
      <w:pPr>
        <w:spacing w:line="260" w:lineRule="atLeast"/>
        <w:jc w:val="both"/>
      </w:pPr>
      <w:r w:rsidRPr="006B1A5A">
        <w:rPr>
          <w:b/>
        </w:rPr>
        <w:t>Crane assisted dipping</w:t>
      </w:r>
      <w:r w:rsidRPr="006B1A5A">
        <w:t xml:space="preserve"> is performed by lowering the net into a vat containing the product. </w:t>
      </w:r>
      <w:bookmarkStart w:id="1603" w:name="_Hlk54274774"/>
      <w:r w:rsidRPr="006B1A5A">
        <w:t>The net is left submerged in the product for app. 20 minutes</w:t>
      </w:r>
      <w:r w:rsidRPr="006B1A5A">
        <w:rPr>
          <w:szCs w:val="22"/>
        </w:rPr>
        <w:t xml:space="preserve"> whilst being held down by a weight attached to a crane</w:t>
      </w:r>
      <w:r w:rsidRPr="006B1A5A">
        <w:t xml:space="preserve">. </w:t>
      </w:r>
      <w:bookmarkEnd w:id="1603"/>
      <w:r w:rsidRPr="006B1A5A">
        <w:rPr>
          <w:szCs w:val="22"/>
        </w:rPr>
        <w:t>After treatment, the weight is removed, and the net is either rolled back onto the roller or is gradually lifted by the crane to allow unattached product to drain off the net (</w:t>
      </w:r>
      <w:r w:rsidRPr="006B1A5A">
        <w:rPr>
          <w:szCs w:val="22"/>
        </w:rPr>
        <w:fldChar w:fldCharType="begin"/>
      </w:r>
      <w:r w:rsidRPr="006B1A5A">
        <w:rPr>
          <w:szCs w:val="22"/>
        </w:rPr>
        <w:instrText xml:space="preserve"> REF _Ref490042912 \h </w:instrText>
      </w:r>
      <w:r w:rsidRPr="006B1A5A">
        <w:rPr>
          <w:szCs w:val="22"/>
        </w:rPr>
      </w:r>
      <w:r w:rsidRPr="006B1A5A">
        <w:rPr>
          <w:szCs w:val="22"/>
        </w:rPr>
        <w:fldChar w:fldCharType="separate"/>
      </w:r>
      <w:r w:rsidR="00FF5B6D" w:rsidRPr="006B1A5A">
        <w:rPr>
          <w:sz w:val="22"/>
          <w:szCs w:val="22"/>
        </w:rPr>
        <w:t xml:space="preserve">Figure </w:t>
      </w:r>
      <w:r w:rsidR="00FF5B6D">
        <w:rPr>
          <w:noProof/>
          <w:sz w:val="22"/>
          <w:szCs w:val="22"/>
        </w:rPr>
        <w:t>2</w:t>
      </w:r>
      <w:r w:rsidRPr="006B1A5A">
        <w:rPr>
          <w:szCs w:val="22"/>
        </w:rPr>
        <w:fldChar w:fldCharType="end"/>
      </w:r>
      <w:r w:rsidRPr="006B1A5A">
        <w:rPr>
          <w:szCs w:val="22"/>
        </w:rPr>
        <w:t xml:space="preserve">). </w:t>
      </w:r>
      <w:r w:rsidRPr="006B1A5A">
        <w:t xml:space="preserve">It is assumed that no more than two nets are treated during a working day, and that this task is performed 2-3 times pr. week. </w:t>
      </w:r>
    </w:p>
    <w:p w14:paraId="3BF2573F" w14:textId="70C12684" w:rsidR="001042DA" w:rsidRPr="006B1A5A" w:rsidRDefault="001042DA" w:rsidP="001042DA">
      <w:pPr>
        <w:spacing w:line="260" w:lineRule="atLeast"/>
        <w:jc w:val="both"/>
      </w:pPr>
      <w:r w:rsidRPr="006B1A5A">
        <w:t>There is a potential for dermal exposure through contact with contaminated surfaces/equipment</w:t>
      </w:r>
      <w:r w:rsidR="007F4488">
        <w:t>.</w:t>
      </w:r>
    </w:p>
    <w:p w14:paraId="5B09E26D" w14:textId="77777777" w:rsidR="001042DA" w:rsidRPr="006B1A5A" w:rsidRDefault="001042DA" w:rsidP="001042DA">
      <w:pPr>
        <w:spacing w:line="260" w:lineRule="atLeast"/>
        <w:jc w:val="both"/>
        <w:rPr>
          <w:szCs w:val="22"/>
        </w:rPr>
      </w:pPr>
    </w:p>
    <w:p w14:paraId="254067EF" w14:textId="77777777" w:rsidR="001042DA" w:rsidRPr="006B1A5A" w:rsidRDefault="001042DA" w:rsidP="001042DA">
      <w:pPr>
        <w:spacing w:line="260" w:lineRule="atLeast"/>
        <w:jc w:val="both"/>
      </w:pPr>
    </w:p>
    <w:bookmarkEnd w:id="1602"/>
    <w:p w14:paraId="32E00ABA" w14:textId="77777777" w:rsidR="001042DA" w:rsidRPr="006B1A5A" w:rsidRDefault="001042DA" w:rsidP="001042DA">
      <w:pPr>
        <w:spacing w:line="260" w:lineRule="atLeast"/>
        <w:jc w:val="both"/>
      </w:pPr>
      <w:r w:rsidRPr="006B1A5A">
        <w:rPr>
          <w:noProof/>
        </w:rPr>
        <w:drawing>
          <wp:inline distT="0" distB="0" distL="0" distR="0" wp14:anchorId="5E6B16C0" wp14:editId="4D54A3E2">
            <wp:extent cx="4025900" cy="2731135"/>
            <wp:effectExtent l="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25900" cy="2731135"/>
                    </a:xfrm>
                    <a:prstGeom prst="rect">
                      <a:avLst/>
                    </a:prstGeom>
                    <a:noFill/>
                    <a:ln>
                      <a:noFill/>
                    </a:ln>
                  </pic:spPr>
                </pic:pic>
              </a:graphicData>
            </a:graphic>
          </wp:inline>
        </w:drawing>
      </w:r>
    </w:p>
    <w:p w14:paraId="58083F4F" w14:textId="5A5FD336" w:rsidR="001042DA" w:rsidRPr="006B1A5A" w:rsidRDefault="001042DA" w:rsidP="001042DA">
      <w:pPr>
        <w:pStyle w:val="Bildetekst"/>
        <w:rPr>
          <w:sz w:val="22"/>
          <w:szCs w:val="22"/>
        </w:rPr>
      </w:pPr>
      <w:bookmarkStart w:id="1604" w:name="_Ref490042912"/>
      <w:bookmarkStart w:id="1605" w:name="_Toc490222158"/>
      <w:r w:rsidRPr="006B1A5A">
        <w:rPr>
          <w:sz w:val="22"/>
          <w:szCs w:val="22"/>
        </w:rPr>
        <w:t xml:space="preserve">Figure </w:t>
      </w:r>
      <w:r w:rsidRPr="006B1A5A">
        <w:rPr>
          <w:sz w:val="22"/>
          <w:szCs w:val="22"/>
        </w:rPr>
        <w:fldChar w:fldCharType="begin"/>
      </w:r>
      <w:r w:rsidRPr="006B1A5A">
        <w:rPr>
          <w:sz w:val="22"/>
          <w:szCs w:val="22"/>
        </w:rPr>
        <w:instrText xml:space="preserve"> SEQ Figure \* ARABIC </w:instrText>
      </w:r>
      <w:r w:rsidRPr="006B1A5A">
        <w:rPr>
          <w:sz w:val="22"/>
          <w:szCs w:val="22"/>
        </w:rPr>
        <w:fldChar w:fldCharType="separate"/>
      </w:r>
      <w:r w:rsidR="00FF5B6D">
        <w:rPr>
          <w:noProof/>
          <w:sz w:val="22"/>
          <w:szCs w:val="22"/>
        </w:rPr>
        <w:t>2</w:t>
      </w:r>
      <w:r w:rsidRPr="006B1A5A">
        <w:rPr>
          <w:sz w:val="22"/>
          <w:szCs w:val="22"/>
        </w:rPr>
        <w:fldChar w:fldCharType="end"/>
      </w:r>
      <w:bookmarkEnd w:id="1604"/>
      <w:r w:rsidRPr="006B1A5A">
        <w:rPr>
          <w:sz w:val="22"/>
          <w:szCs w:val="22"/>
        </w:rPr>
        <w:t>: Net dipping procedure using dipping tanks (Figure: Steen-Hansen)</w:t>
      </w:r>
      <w:bookmarkEnd w:id="1605"/>
    </w:p>
    <w:p w14:paraId="4F71AD50" w14:textId="77777777" w:rsidR="001042DA" w:rsidRPr="006B1A5A" w:rsidRDefault="001042DA" w:rsidP="001042DA">
      <w:pPr>
        <w:spacing w:line="260" w:lineRule="atLeast"/>
        <w:jc w:val="both"/>
      </w:pPr>
    </w:p>
    <w:p w14:paraId="5712BA51" w14:textId="77777777" w:rsidR="001042DA" w:rsidRPr="006B1A5A" w:rsidRDefault="001042DA" w:rsidP="001042DA">
      <w:pPr>
        <w:spacing w:line="260" w:lineRule="atLeast"/>
        <w:jc w:val="both"/>
      </w:pPr>
      <w:bookmarkStart w:id="1606" w:name="_Hlk22305261"/>
      <w:bookmarkStart w:id="1607" w:name="_Hlk22312122"/>
      <w:r w:rsidRPr="006B1A5A">
        <w:rPr>
          <w:b/>
        </w:rPr>
        <w:t>Vacuum treatment</w:t>
      </w:r>
      <w:r w:rsidRPr="006B1A5A">
        <w:t xml:space="preserve"> is performed by placing the net inside a special bag. The bag is then sealed tight and is filled with product. Repeated vacuum cycles are then applied to "suck" the product into the net, and later to remove excess product from the net. At the end of the treatment, excess product is pumped out from the bottom of the bag. The drip-dry net is then hoisted out of the bag by crane or winch. </w:t>
      </w:r>
    </w:p>
    <w:p w14:paraId="0482909E" w14:textId="77777777" w:rsidR="001042DA" w:rsidRPr="006B1A5A" w:rsidRDefault="001042DA" w:rsidP="001042DA">
      <w:pPr>
        <w:spacing w:line="260" w:lineRule="atLeast"/>
        <w:jc w:val="both"/>
      </w:pPr>
      <w:r w:rsidRPr="006B1A5A">
        <w:t xml:space="preserve">There is a potential for exposure to the body and hands through direct contact with the treated nets when manually reconnecting the nets from the hoist after impregnation. </w:t>
      </w:r>
    </w:p>
    <w:bookmarkEnd w:id="1606"/>
    <w:bookmarkEnd w:id="1607"/>
    <w:p w14:paraId="1FF2B30D" w14:textId="77777777" w:rsidR="001042DA" w:rsidRPr="006B1A5A" w:rsidRDefault="001042DA" w:rsidP="001042DA">
      <w:pPr>
        <w:spacing w:line="260" w:lineRule="atLeast"/>
        <w:jc w:val="both"/>
      </w:pPr>
    </w:p>
    <w:p w14:paraId="3CCBAF4C" w14:textId="77777777" w:rsidR="001042DA" w:rsidRPr="006B1A5A" w:rsidRDefault="001042DA" w:rsidP="001042DA">
      <w:pPr>
        <w:spacing w:line="260" w:lineRule="atLeast"/>
        <w:jc w:val="both"/>
      </w:pPr>
      <w:r w:rsidRPr="006B1A5A">
        <w:t>The applicant Steen-Hansen recommends dip treatment with their products, as they are of the opinion that this method gives the best quality of the treatment. It can nevertheless not be excluded that some service stations choose to apply their products using the vacuum method.</w:t>
      </w:r>
    </w:p>
    <w:p w14:paraId="6D10CB93" w14:textId="77777777" w:rsidR="001042DA" w:rsidRPr="006B1A5A" w:rsidRDefault="001042DA" w:rsidP="001042DA">
      <w:pPr>
        <w:spacing w:line="260" w:lineRule="atLeast"/>
        <w:jc w:val="both"/>
      </w:pPr>
    </w:p>
    <w:p w14:paraId="385EC5DB" w14:textId="77777777" w:rsidR="001042DA" w:rsidRPr="006B1A5A" w:rsidRDefault="001042DA" w:rsidP="001042DA">
      <w:pPr>
        <w:spacing w:line="260" w:lineRule="atLeast"/>
        <w:jc w:val="both"/>
      </w:pPr>
    </w:p>
    <w:p w14:paraId="26D93B5A" w14:textId="77777777" w:rsidR="001042DA" w:rsidRPr="006B1A5A" w:rsidRDefault="001042DA" w:rsidP="001042DA">
      <w:pPr>
        <w:spacing w:line="260" w:lineRule="atLeast"/>
        <w:jc w:val="both"/>
        <w:rPr>
          <w:rFonts w:eastAsia="Calibri"/>
          <w:b/>
          <w:i/>
          <w:iCs/>
          <w:lang w:eastAsia="en-US"/>
        </w:rPr>
      </w:pPr>
      <w:bookmarkStart w:id="1608" w:name="_Hlk22312154"/>
      <w:r w:rsidRPr="006B1A5A">
        <w:rPr>
          <w:rFonts w:eastAsia="Calibri"/>
          <w:b/>
          <w:i/>
          <w:iCs/>
          <w:lang w:eastAsia="en-US"/>
        </w:rPr>
        <w:t>Net drying</w:t>
      </w:r>
    </w:p>
    <w:p w14:paraId="76C6A889" w14:textId="77777777" w:rsidR="001042DA" w:rsidRPr="006B1A5A" w:rsidRDefault="001042DA" w:rsidP="001042DA">
      <w:pPr>
        <w:spacing w:line="260" w:lineRule="atLeast"/>
        <w:jc w:val="both"/>
      </w:pPr>
    </w:p>
    <w:p w14:paraId="3E3C7C7E" w14:textId="6C0A1B63" w:rsidR="001042DA" w:rsidRPr="006B1A5A" w:rsidRDefault="001042DA" w:rsidP="001042DA">
      <w:pPr>
        <w:spacing w:line="260" w:lineRule="atLeast"/>
        <w:jc w:val="both"/>
        <w:rPr>
          <w:szCs w:val="22"/>
        </w:rPr>
      </w:pPr>
      <w:bookmarkStart w:id="1609" w:name="_Hlk23257487"/>
      <w:r w:rsidRPr="006B1A5A">
        <w:rPr>
          <w:szCs w:val="22"/>
        </w:rPr>
        <w:t>After treatment, the net can be left hanging freely over the dipping tank to dry in ambient temperature. The drying may also be accelerated by exposing it to dried heated air. Net drying may also be done in a separate drying station. An alternative method in use is when the net is wound up on a net roller which is injected in the cent</w:t>
      </w:r>
      <w:r w:rsidR="007F4488">
        <w:rPr>
          <w:szCs w:val="22"/>
        </w:rPr>
        <w:t>re</w:t>
      </w:r>
      <w:r w:rsidRPr="006B1A5A">
        <w:rPr>
          <w:szCs w:val="22"/>
        </w:rPr>
        <w:t xml:space="preserve"> with dried heated air.</w:t>
      </w:r>
    </w:p>
    <w:p w14:paraId="3180B6D4" w14:textId="6F3A3512" w:rsidR="001042DA" w:rsidRPr="006B1A5A" w:rsidRDefault="001042DA" w:rsidP="001042DA">
      <w:pPr>
        <w:spacing w:line="260" w:lineRule="atLeast"/>
        <w:jc w:val="both"/>
        <w:rPr>
          <w:szCs w:val="22"/>
        </w:rPr>
      </w:pPr>
      <w:r w:rsidRPr="006B1A5A">
        <w:rPr>
          <w:szCs w:val="22"/>
        </w:rPr>
        <w:t>When the net is totally dry, it is transferred to a compression/packing unit where it is tightly packed in a sealed waterproof bag. The transfer of the treated net is performed using winches or cranes. In a worst-case scenario, the drip-free net is suspended in a drying tower or left dry freely using outside freestanding cranes (</w:t>
      </w:r>
      <w:r w:rsidRPr="006B1A5A">
        <w:rPr>
          <w:szCs w:val="22"/>
        </w:rPr>
        <w:fldChar w:fldCharType="begin"/>
      </w:r>
      <w:r w:rsidRPr="006B1A5A">
        <w:rPr>
          <w:szCs w:val="22"/>
        </w:rPr>
        <w:instrText xml:space="preserve"> REF _Ref490043541 \h </w:instrText>
      </w:r>
      <w:r w:rsidRPr="006B1A5A">
        <w:rPr>
          <w:szCs w:val="22"/>
        </w:rPr>
      </w:r>
      <w:r w:rsidRPr="006B1A5A">
        <w:rPr>
          <w:szCs w:val="22"/>
        </w:rPr>
        <w:fldChar w:fldCharType="separate"/>
      </w:r>
      <w:r w:rsidR="00FF5B6D" w:rsidRPr="006B1A5A">
        <w:rPr>
          <w:sz w:val="22"/>
          <w:szCs w:val="22"/>
        </w:rPr>
        <w:t xml:space="preserve">Figure </w:t>
      </w:r>
      <w:r w:rsidR="00FF5B6D">
        <w:rPr>
          <w:noProof/>
          <w:sz w:val="22"/>
          <w:szCs w:val="22"/>
        </w:rPr>
        <w:t>3</w:t>
      </w:r>
      <w:r w:rsidRPr="006B1A5A">
        <w:rPr>
          <w:szCs w:val="22"/>
        </w:rPr>
        <w:fldChar w:fldCharType="end"/>
      </w:r>
      <w:r w:rsidRPr="006B1A5A">
        <w:rPr>
          <w:szCs w:val="22"/>
        </w:rPr>
        <w:t xml:space="preserve">). </w:t>
      </w:r>
      <w:r w:rsidR="006613B7">
        <w:rPr>
          <w:szCs w:val="22"/>
        </w:rPr>
        <w:t xml:space="preserve">Exposure may occur when the treated net is connected to the crane or drying roller in the drying station and by manual assistance when the net is wound up on the roller. </w:t>
      </w:r>
    </w:p>
    <w:bookmarkEnd w:id="1609"/>
    <w:p w14:paraId="31F2C0AD" w14:textId="77777777" w:rsidR="001042DA" w:rsidRPr="006B1A5A" w:rsidRDefault="001042DA" w:rsidP="001042DA">
      <w:pPr>
        <w:spacing w:line="260" w:lineRule="atLeast"/>
        <w:jc w:val="both"/>
        <w:rPr>
          <w:szCs w:val="22"/>
        </w:rPr>
      </w:pPr>
    </w:p>
    <w:bookmarkEnd w:id="1608"/>
    <w:p w14:paraId="48D688A2" w14:textId="77777777" w:rsidR="001042DA" w:rsidRPr="006B1A5A" w:rsidRDefault="001042DA" w:rsidP="001042DA">
      <w:pPr>
        <w:spacing w:line="260" w:lineRule="atLeast"/>
        <w:jc w:val="both"/>
        <w:rPr>
          <w:szCs w:val="22"/>
        </w:rPr>
      </w:pPr>
    </w:p>
    <w:p w14:paraId="69449C3F" w14:textId="77777777" w:rsidR="001042DA" w:rsidRPr="006B1A5A" w:rsidRDefault="001042DA" w:rsidP="001042DA">
      <w:pPr>
        <w:spacing w:line="260" w:lineRule="atLeast"/>
        <w:jc w:val="both"/>
      </w:pPr>
      <w:r w:rsidRPr="006B1A5A">
        <w:rPr>
          <w:noProof/>
        </w:rPr>
        <w:drawing>
          <wp:inline distT="0" distB="0" distL="0" distR="0" wp14:anchorId="431FF0AA" wp14:editId="3B608240">
            <wp:extent cx="4180205" cy="2672080"/>
            <wp:effectExtent l="0" t="0" r="0"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80205" cy="2672080"/>
                    </a:xfrm>
                    <a:prstGeom prst="rect">
                      <a:avLst/>
                    </a:prstGeom>
                    <a:noFill/>
                    <a:ln>
                      <a:noFill/>
                    </a:ln>
                  </pic:spPr>
                </pic:pic>
              </a:graphicData>
            </a:graphic>
          </wp:inline>
        </w:drawing>
      </w:r>
    </w:p>
    <w:p w14:paraId="082AFE39" w14:textId="0C5A7BEC" w:rsidR="001042DA" w:rsidRPr="006B1A5A" w:rsidRDefault="001042DA" w:rsidP="001042DA">
      <w:pPr>
        <w:pStyle w:val="Bildetekst"/>
        <w:rPr>
          <w:sz w:val="22"/>
          <w:szCs w:val="22"/>
        </w:rPr>
      </w:pPr>
      <w:bookmarkStart w:id="1610" w:name="_Ref490043541"/>
      <w:bookmarkStart w:id="1611" w:name="_Toc490222159"/>
      <w:r w:rsidRPr="006B1A5A">
        <w:rPr>
          <w:sz w:val="22"/>
          <w:szCs w:val="22"/>
        </w:rPr>
        <w:t xml:space="preserve">Figure </w:t>
      </w:r>
      <w:r w:rsidRPr="006B1A5A">
        <w:rPr>
          <w:sz w:val="22"/>
          <w:szCs w:val="22"/>
        </w:rPr>
        <w:fldChar w:fldCharType="begin"/>
      </w:r>
      <w:r w:rsidRPr="006B1A5A">
        <w:rPr>
          <w:sz w:val="22"/>
          <w:szCs w:val="22"/>
        </w:rPr>
        <w:instrText xml:space="preserve"> SEQ Figure \* ARABIC </w:instrText>
      </w:r>
      <w:r w:rsidRPr="006B1A5A">
        <w:rPr>
          <w:sz w:val="22"/>
          <w:szCs w:val="22"/>
        </w:rPr>
        <w:fldChar w:fldCharType="separate"/>
      </w:r>
      <w:r w:rsidR="00FF5B6D">
        <w:rPr>
          <w:noProof/>
          <w:sz w:val="22"/>
          <w:szCs w:val="22"/>
        </w:rPr>
        <w:t>3</w:t>
      </w:r>
      <w:r w:rsidRPr="006B1A5A">
        <w:rPr>
          <w:sz w:val="22"/>
          <w:szCs w:val="22"/>
        </w:rPr>
        <w:fldChar w:fldCharType="end"/>
      </w:r>
      <w:bookmarkEnd w:id="1610"/>
      <w:r w:rsidRPr="006B1A5A">
        <w:rPr>
          <w:sz w:val="22"/>
          <w:szCs w:val="22"/>
        </w:rPr>
        <w:t xml:space="preserve">: Net drying procedure </w:t>
      </w:r>
      <w:bookmarkEnd w:id="1611"/>
      <w:r w:rsidRPr="006B1A5A">
        <w:rPr>
          <w:sz w:val="22"/>
          <w:szCs w:val="22"/>
        </w:rPr>
        <w:t>(Figure: Steen-Hansen)</w:t>
      </w:r>
    </w:p>
    <w:bookmarkEnd w:id="1593"/>
    <w:bookmarkEnd w:id="1600"/>
    <w:p w14:paraId="7467824F" w14:textId="77777777" w:rsidR="001042DA" w:rsidRPr="006B1A5A" w:rsidRDefault="001042DA" w:rsidP="001042DA">
      <w:pPr>
        <w:spacing w:line="260" w:lineRule="atLeast"/>
        <w:jc w:val="both"/>
      </w:pPr>
    </w:p>
    <w:p w14:paraId="41FEF3FB" w14:textId="77777777" w:rsidR="001042DA" w:rsidRPr="006B1A5A" w:rsidRDefault="001042DA" w:rsidP="001042DA">
      <w:pPr>
        <w:spacing w:line="260" w:lineRule="atLeast"/>
        <w:jc w:val="both"/>
        <w:rPr>
          <w:rFonts w:eastAsia="Calibri"/>
          <w:b/>
          <w:i/>
          <w:iCs/>
          <w:sz w:val="22"/>
          <w:szCs w:val="22"/>
          <w:lang w:eastAsia="en-US"/>
        </w:rPr>
      </w:pPr>
    </w:p>
    <w:p w14:paraId="4104B85C" w14:textId="1F37DAF7" w:rsidR="00241C9A" w:rsidRDefault="00241C9A" w:rsidP="00241C9A">
      <w:pPr>
        <w:spacing w:line="260" w:lineRule="atLeast"/>
        <w:jc w:val="both"/>
        <w:rPr>
          <w:rFonts w:eastAsia="Calibri"/>
          <w:b/>
          <w:i/>
          <w:iCs/>
          <w:lang w:eastAsia="en-US"/>
        </w:rPr>
      </w:pPr>
      <w:bookmarkStart w:id="1612" w:name="_Hlk23798694"/>
      <w:r>
        <w:rPr>
          <w:rFonts w:eastAsia="Calibri"/>
          <w:b/>
          <w:i/>
          <w:iCs/>
          <w:lang w:eastAsia="en-US"/>
        </w:rPr>
        <w:t>Cleaning of dipping vats</w:t>
      </w:r>
    </w:p>
    <w:p w14:paraId="3CD7E948" w14:textId="421D47CC" w:rsidR="00241C9A" w:rsidRDefault="00241C9A" w:rsidP="00241C9A">
      <w:pPr>
        <w:spacing w:line="260" w:lineRule="atLeast"/>
        <w:jc w:val="both"/>
        <w:rPr>
          <w:rFonts w:eastAsia="Calibri"/>
          <w:b/>
          <w:i/>
          <w:iCs/>
          <w:lang w:eastAsia="en-US"/>
        </w:rPr>
      </w:pPr>
    </w:p>
    <w:p w14:paraId="4261BD34" w14:textId="698855D9" w:rsidR="00F55222" w:rsidRDefault="00241C9A" w:rsidP="00241C9A">
      <w:pPr>
        <w:spacing w:line="260" w:lineRule="atLeast"/>
        <w:jc w:val="both"/>
        <w:rPr>
          <w:szCs w:val="22"/>
        </w:rPr>
      </w:pPr>
      <w:r w:rsidRPr="00241C9A">
        <w:rPr>
          <w:szCs w:val="22"/>
        </w:rPr>
        <w:t>Cleaning of dipping vats</w:t>
      </w:r>
      <w:r>
        <w:rPr>
          <w:szCs w:val="22"/>
        </w:rPr>
        <w:t xml:space="preserve"> is normally performed once p</w:t>
      </w:r>
      <w:r w:rsidR="006B45EA">
        <w:rPr>
          <w:szCs w:val="22"/>
        </w:rPr>
        <w:t>e</w:t>
      </w:r>
      <w:r>
        <w:rPr>
          <w:szCs w:val="22"/>
        </w:rPr>
        <w:t xml:space="preserve">r year. All product is pumped out of the vat and the metal inlay is hoisted out and is left to dry overnight. Residues in the bottom of the vat is removed manually and transferred to an empty IBC. </w:t>
      </w:r>
      <w:r w:rsidR="00F55222">
        <w:rPr>
          <w:szCs w:val="22"/>
        </w:rPr>
        <w:t>The inlay is then scraped free of dry product.</w:t>
      </w:r>
    </w:p>
    <w:p w14:paraId="78583260" w14:textId="2ABBCB83" w:rsidR="00241C9A" w:rsidRPr="00241C9A" w:rsidRDefault="00F55222" w:rsidP="00241C9A">
      <w:pPr>
        <w:spacing w:line="260" w:lineRule="atLeast"/>
        <w:jc w:val="both"/>
        <w:rPr>
          <w:szCs w:val="22"/>
        </w:rPr>
      </w:pPr>
      <w:r>
        <w:rPr>
          <w:szCs w:val="22"/>
        </w:rPr>
        <w:t xml:space="preserve">The task is performed by the same personnel as performs the net dipping. Some contact with wet surfaces will occur and single-use coveralls, boots, gloves and a face shield </w:t>
      </w:r>
      <w:r w:rsidR="006B45EA">
        <w:rPr>
          <w:szCs w:val="22"/>
        </w:rPr>
        <w:t>are</w:t>
      </w:r>
      <w:r>
        <w:rPr>
          <w:szCs w:val="22"/>
        </w:rPr>
        <w:t xml:space="preserve"> used when cleaning is performed. </w:t>
      </w:r>
    </w:p>
    <w:bookmarkEnd w:id="1612"/>
    <w:p w14:paraId="600BD55A" w14:textId="6D217304" w:rsidR="00241C9A" w:rsidRDefault="00241C9A" w:rsidP="001042DA">
      <w:pPr>
        <w:spacing w:line="260" w:lineRule="atLeast"/>
        <w:jc w:val="both"/>
        <w:rPr>
          <w:rFonts w:eastAsia="Calibri"/>
          <w:b/>
          <w:i/>
          <w:iCs/>
          <w:lang w:eastAsia="en-US"/>
        </w:rPr>
      </w:pPr>
    </w:p>
    <w:p w14:paraId="3746593D" w14:textId="77777777" w:rsidR="00241C9A" w:rsidRDefault="00241C9A" w:rsidP="001042DA">
      <w:pPr>
        <w:spacing w:line="260" w:lineRule="atLeast"/>
        <w:jc w:val="both"/>
        <w:rPr>
          <w:rFonts w:eastAsia="Calibri"/>
          <w:b/>
          <w:i/>
          <w:iCs/>
          <w:lang w:eastAsia="en-US"/>
        </w:rPr>
      </w:pPr>
    </w:p>
    <w:p w14:paraId="6CE2B195" w14:textId="29F2BB65" w:rsidR="001042DA" w:rsidRPr="006B1A5A" w:rsidRDefault="001042DA" w:rsidP="001042DA">
      <w:pPr>
        <w:spacing w:line="260" w:lineRule="atLeast"/>
        <w:jc w:val="both"/>
        <w:rPr>
          <w:rFonts w:eastAsia="Calibri"/>
          <w:b/>
          <w:i/>
          <w:iCs/>
          <w:lang w:eastAsia="en-US"/>
        </w:rPr>
      </w:pPr>
      <w:r w:rsidRPr="006B1A5A">
        <w:rPr>
          <w:rFonts w:eastAsia="Calibri"/>
          <w:b/>
          <w:i/>
          <w:iCs/>
          <w:lang w:eastAsia="en-US"/>
        </w:rPr>
        <w:t>Inspection and repair of used nets</w:t>
      </w:r>
    </w:p>
    <w:p w14:paraId="4FC39352" w14:textId="77777777" w:rsidR="001042DA" w:rsidRPr="006B1A5A" w:rsidRDefault="001042DA" w:rsidP="001042DA">
      <w:pPr>
        <w:spacing w:line="260" w:lineRule="atLeast"/>
        <w:jc w:val="both"/>
      </w:pPr>
    </w:p>
    <w:p w14:paraId="1CF783BD" w14:textId="77777777" w:rsidR="001042DA" w:rsidRPr="006B1A5A" w:rsidRDefault="001042DA" w:rsidP="001042DA">
      <w:pPr>
        <w:spacing w:line="260" w:lineRule="atLeast"/>
        <w:jc w:val="both"/>
      </w:pPr>
      <w:r w:rsidRPr="006B1A5A">
        <w:t>Net service companies typically treat both new and used nets. Used nets are returned to the service station by boat or truck in closed containers. The nets are then cleaned and disinfected before they are thoroughly inspected and repaired if necessary.</w:t>
      </w:r>
    </w:p>
    <w:p w14:paraId="5E85A00E" w14:textId="62E341A4" w:rsidR="001042DA" w:rsidRPr="006B1A5A" w:rsidRDefault="001042DA" w:rsidP="001042DA">
      <w:pPr>
        <w:spacing w:line="260" w:lineRule="atLeast"/>
        <w:jc w:val="both"/>
      </w:pPr>
      <w:r w:rsidRPr="006B1A5A">
        <w:t>The net is lifted using an electrically operated hoist/crane and manoeuvred into a tumble washer containing seawater. It is washed for 3 – 5 hours where the biofouling and old coating are removed primarily through mechanical action. The cleaning is conducted in a closed loop process with the wash water being reused after extraction of the solid waste. The solid waste is incinerated or is sent for recovery of the metals. The washed nets are then submerged in disinfectant fluids in an aseptic zone (</w:t>
      </w:r>
      <w:r w:rsidRPr="006B1A5A">
        <w:fldChar w:fldCharType="begin"/>
      </w:r>
      <w:r w:rsidRPr="006B1A5A">
        <w:instrText xml:space="preserve"> REF _Ref490044216 \h  \* MERGEFORMAT </w:instrText>
      </w:r>
      <w:r w:rsidRPr="006B1A5A">
        <w:fldChar w:fldCharType="separate"/>
      </w:r>
      <w:r w:rsidR="00FF5B6D" w:rsidRPr="00FF5B6D">
        <w:t>Figure 4</w:t>
      </w:r>
      <w:r w:rsidRPr="006B1A5A">
        <w:fldChar w:fldCharType="end"/>
      </w:r>
      <w:r w:rsidRPr="006B1A5A">
        <w:t>). No physical contact is expected during the net cleaning procedures.</w:t>
      </w:r>
    </w:p>
    <w:p w14:paraId="475A3458" w14:textId="77777777" w:rsidR="001042DA" w:rsidRPr="006B1A5A" w:rsidRDefault="001042DA" w:rsidP="001042DA">
      <w:pPr>
        <w:spacing w:line="260" w:lineRule="atLeast"/>
        <w:jc w:val="both"/>
        <w:rPr>
          <w:sz w:val="22"/>
          <w:szCs w:val="22"/>
        </w:rPr>
      </w:pPr>
    </w:p>
    <w:p w14:paraId="6A96E616" w14:textId="77777777" w:rsidR="001042DA" w:rsidRPr="006B1A5A" w:rsidRDefault="001042DA" w:rsidP="001042DA">
      <w:pPr>
        <w:spacing w:line="260" w:lineRule="atLeast"/>
        <w:jc w:val="both"/>
        <w:rPr>
          <w:sz w:val="22"/>
          <w:szCs w:val="22"/>
        </w:rPr>
      </w:pPr>
    </w:p>
    <w:p w14:paraId="3A05DD31" w14:textId="77777777" w:rsidR="001042DA" w:rsidRPr="006B1A5A" w:rsidRDefault="001042DA" w:rsidP="001042DA">
      <w:pPr>
        <w:spacing w:line="260" w:lineRule="atLeast"/>
        <w:jc w:val="both"/>
      </w:pPr>
      <w:r w:rsidRPr="006B1A5A">
        <w:rPr>
          <w:noProof/>
          <w:highlight w:val="yellow"/>
        </w:rPr>
        <w:drawing>
          <wp:inline distT="0" distB="0" distL="0" distR="0" wp14:anchorId="00719896" wp14:editId="20F762F9">
            <wp:extent cx="4370070" cy="2838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70070" cy="2838450"/>
                    </a:xfrm>
                    <a:prstGeom prst="rect">
                      <a:avLst/>
                    </a:prstGeom>
                    <a:noFill/>
                    <a:ln>
                      <a:noFill/>
                    </a:ln>
                  </pic:spPr>
                </pic:pic>
              </a:graphicData>
            </a:graphic>
          </wp:inline>
        </w:drawing>
      </w:r>
    </w:p>
    <w:p w14:paraId="0E037CAB" w14:textId="01C87F07" w:rsidR="001042DA" w:rsidRPr="006B1A5A" w:rsidRDefault="001042DA" w:rsidP="001042DA">
      <w:pPr>
        <w:pStyle w:val="Bildetekst"/>
        <w:rPr>
          <w:sz w:val="22"/>
          <w:szCs w:val="22"/>
        </w:rPr>
      </w:pPr>
      <w:bookmarkStart w:id="1613" w:name="_Ref490044216"/>
      <w:bookmarkStart w:id="1614" w:name="_Toc490222160"/>
      <w:r w:rsidRPr="006B1A5A">
        <w:rPr>
          <w:sz w:val="22"/>
          <w:szCs w:val="22"/>
        </w:rPr>
        <w:t xml:space="preserve">Figure </w:t>
      </w:r>
      <w:r w:rsidRPr="006B1A5A">
        <w:rPr>
          <w:sz w:val="22"/>
          <w:szCs w:val="22"/>
        </w:rPr>
        <w:fldChar w:fldCharType="begin"/>
      </w:r>
      <w:r w:rsidRPr="006B1A5A">
        <w:rPr>
          <w:sz w:val="22"/>
          <w:szCs w:val="22"/>
        </w:rPr>
        <w:instrText xml:space="preserve"> SEQ Figure \* ARABIC </w:instrText>
      </w:r>
      <w:r w:rsidRPr="006B1A5A">
        <w:rPr>
          <w:sz w:val="22"/>
          <w:szCs w:val="22"/>
        </w:rPr>
        <w:fldChar w:fldCharType="separate"/>
      </w:r>
      <w:r w:rsidR="00FF5B6D">
        <w:rPr>
          <w:noProof/>
          <w:sz w:val="22"/>
          <w:szCs w:val="22"/>
        </w:rPr>
        <w:t>4</w:t>
      </w:r>
      <w:r w:rsidRPr="006B1A5A">
        <w:rPr>
          <w:sz w:val="22"/>
          <w:szCs w:val="22"/>
        </w:rPr>
        <w:fldChar w:fldCharType="end"/>
      </w:r>
      <w:bookmarkEnd w:id="1613"/>
      <w:r w:rsidRPr="006B1A5A">
        <w:rPr>
          <w:sz w:val="22"/>
          <w:szCs w:val="22"/>
        </w:rPr>
        <w:t>: Net washing and disinfection procedure (</w:t>
      </w:r>
      <w:r w:rsidRPr="006B1A5A">
        <w:rPr>
          <w:i/>
          <w:sz w:val="22"/>
          <w:szCs w:val="22"/>
        </w:rPr>
        <w:t>Figure: Steen-Hansen</w:t>
      </w:r>
      <w:r w:rsidRPr="006B1A5A">
        <w:rPr>
          <w:sz w:val="22"/>
          <w:szCs w:val="22"/>
        </w:rPr>
        <w:t>)</w:t>
      </w:r>
      <w:bookmarkEnd w:id="1614"/>
    </w:p>
    <w:p w14:paraId="36D253C2" w14:textId="77777777" w:rsidR="001042DA" w:rsidRPr="006B1A5A" w:rsidRDefault="001042DA" w:rsidP="001042DA">
      <w:pPr>
        <w:spacing w:line="260" w:lineRule="atLeast"/>
        <w:jc w:val="both"/>
      </w:pPr>
    </w:p>
    <w:p w14:paraId="3DE416B0" w14:textId="6A9ADB98" w:rsidR="001042DA" w:rsidRPr="006B1A5A" w:rsidRDefault="001042DA" w:rsidP="001042DA">
      <w:pPr>
        <w:spacing w:line="260" w:lineRule="atLeast"/>
        <w:jc w:val="both"/>
      </w:pPr>
      <w:r w:rsidRPr="006B1A5A">
        <w:rPr>
          <w:b/>
        </w:rPr>
        <w:t>Inspection/repair of cleaned nets</w:t>
      </w:r>
      <w:r w:rsidRPr="006B1A5A">
        <w:t>: The entire net must be inspected for damage and the breakage strength is tested in several places, depending on the size of the net (</w:t>
      </w:r>
      <w:r w:rsidRPr="006B1A5A">
        <w:fldChar w:fldCharType="begin"/>
      </w:r>
      <w:r w:rsidRPr="006B1A5A">
        <w:instrText xml:space="preserve"> REF _Ref490044438 \h  \* MERGEFORMAT </w:instrText>
      </w:r>
      <w:r w:rsidRPr="006B1A5A">
        <w:fldChar w:fldCharType="separate"/>
      </w:r>
      <w:r w:rsidR="00FF5B6D" w:rsidRPr="00FF5B6D">
        <w:t>Figure 5</w:t>
      </w:r>
      <w:r w:rsidRPr="006B1A5A">
        <w:fldChar w:fldCharType="end"/>
      </w:r>
      <w:r w:rsidRPr="006B1A5A">
        <w:t xml:space="preserve">). Any damaged areas are repaired manually. This activity requires physical handling of the nets. </w:t>
      </w:r>
    </w:p>
    <w:p w14:paraId="72473646" w14:textId="77777777" w:rsidR="001042DA" w:rsidRPr="006B1A5A" w:rsidRDefault="001042DA" w:rsidP="001042DA">
      <w:pPr>
        <w:spacing w:line="260" w:lineRule="atLeast"/>
        <w:jc w:val="both"/>
      </w:pPr>
      <w:r w:rsidRPr="006B1A5A">
        <w:t>The nets will, however, at this point contain a very small amount of remaining product. Personnel involved in the inspection and repair process may thus be exposed to a very small amount of product residues by dermal contact with the net and through inhalation of formed dust.</w:t>
      </w:r>
    </w:p>
    <w:p w14:paraId="30FA218D" w14:textId="77777777" w:rsidR="001042DA" w:rsidRPr="006B1A5A" w:rsidRDefault="001042DA" w:rsidP="001042DA">
      <w:pPr>
        <w:pStyle w:val="Default"/>
        <w:rPr>
          <w:sz w:val="22"/>
          <w:szCs w:val="22"/>
        </w:rPr>
      </w:pPr>
    </w:p>
    <w:p w14:paraId="06E5FD76" w14:textId="77777777" w:rsidR="001042DA" w:rsidRPr="006B1A5A" w:rsidRDefault="001042DA" w:rsidP="001042DA">
      <w:pPr>
        <w:spacing w:line="260" w:lineRule="atLeast"/>
        <w:jc w:val="both"/>
      </w:pPr>
    </w:p>
    <w:p w14:paraId="4039462C" w14:textId="77777777" w:rsidR="001042DA" w:rsidRPr="006B1A5A" w:rsidRDefault="001042DA" w:rsidP="001042DA">
      <w:pPr>
        <w:spacing w:line="260" w:lineRule="atLeast"/>
        <w:jc w:val="both"/>
      </w:pPr>
      <w:r w:rsidRPr="006B1A5A">
        <w:rPr>
          <w:noProof/>
        </w:rPr>
        <w:drawing>
          <wp:inline distT="0" distB="0" distL="0" distR="0" wp14:anchorId="4D9CB1F0" wp14:editId="0F633479">
            <wp:extent cx="4524375" cy="2838450"/>
            <wp:effectExtent l="0" t="0" r="952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24375" cy="2838450"/>
                    </a:xfrm>
                    <a:prstGeom prst="rect">
                      <a:avLst/>
                    </a:prstGeom>
                    <a:noFill/>
                    <a:ln>
                      <a:noFill/>
                    </a:ln>
                  </pic:spPr>
                </pic:pic>
              </a:graphicData>
            </a:graphic>
          </wp:inline>
        </w:drawing>
      </w:r>
    </w:p>
    <w:p w14:paraId="7045E990" w14:textId="3C1FD171" w:rsidR="001042DA" w:rsidRPr="006B1A5A" w:rsidRDefault="001042DA" w:rsidP="001042DA">
      <w:pPr>
        <w:spacing w:line="260" w:lineRule="atLeast"/>
        <w:jc w:val="both"/>
        <w:rPr>
          <w:rFonts w:ascii="Times New Roman" w:hAnsi="Times New Roman"/>
          <w:sz w:val="22"/>
          <w:szCs w:val="22"/>
        </w:rPr>
      </w:pPr>
      <w:bookmarkStart w:id="1615" w:name="_Ref490044438"/>
      <w:r w:rsidRPr="006B1A5A">
        <w:rPr>
          <w:rFonts w:ascii="Times New Roman" w:hAnsi="Times New Roman"/>
          <w:sz w:val="22"/>
          <w:szCs w:val="22"/>
        </w:rPr>
        <w:t xml:space="preserve">Figure </w:t>
      </w:r>
      <w:r w:rsidRPr="006B1A5A">
        <w:rPr>
          <w:rFonts w:ascii="Times New Roman" w:hAnsi="Times New Roman"/>
          <w:sz w:val="22"/>
          <w:szCs w:val="22"/>
        </w:rPr>
        <w:fldChar w:fldCharType="begin"/>
      </w:r>
      <w:r w:rsidRPr="006B1A5A">
        <w:rPr>
          <w:rFonts w:ascii="Times New Roman" w:hAnsi="Times New Roman"/>
          <w:sz w:val="22"/>
          <w:szCs w:val="22"/>
        </w:rPr>
        <w:instrText xml:space="preserve"> SEQ Figure \* ARABIC </w:instrText>
      </w:r>
      <w:r w:rsidRPr="006B1A5A">
        <w:rPr>
          <w:rFonts w:ascii="Times New Roman" w:hAnsi="Times New Roman"/>
          <w:sz w:val="22"/>
          <w:szCs w:val="22"/>
        </w:rPr>
        <w:fldChar w:fldCharType="separate"/>
      </w:r>
      <w:r w:rsidR="00FF5B6D">
        <w:rPr>
          <w:rFonts w:ascii="Times New Roman" w:hAnsi="Times New Roman"/>
          <w:noProof/>
          <w:sz w:val="22"/>
          <w:szCs w:val="22"/>
        </w:rPr>
        <w:t>5</w:t>
      </w:r>
      <w:r w:rsidRPr="006B1A5A">
        <w:rPr>
          <w:rFonts w:ascii="Times New Roman" w:hAnsi="Times New Roman"/>
          <w:sz w:val="22"/>
          <w:szCs w:val="22"/>
        </w:rPr>
        <w:fldChar w:fldCharType="end"/>
      </w:r>
      <w:bookmarkEnd w:id="1615"/>
      <w:r w:rsidRPr="006B1A5A">
        <w:rPr>
          <w:rFonts w:ascii="Times New Roman" w:hAnsi="Times New Roman"/>
          <w:sz w:val="22"/>
          <w:szCs w:val="22"/>
        </w:rPr>
        <w:t>: Net inspection procedure (Figure: Steen-Hansen)</w:t>
      </w:r>
    </w:p>
    <w:p w14:paraId="451E2283" w14:textId="77777777" w:rsidR="001042DA" w:rsidRPr="006B1A5A" w:rsidRDefault="001042DA" w:rsidP="001042DA">
      <w:pPr>
        <w:spacing w:line="260" w:lineRule="atLeast"/>
        <w:jc w:val="both"/>
      </w:pPr>
    </w:p>
    <w:p w14:paraId="49F02EB1" w14:textId="49EBE0DF" w:rsidR="001042DA" w:rsidRPr="006B1A5A" w:rsidDel="00932B58" w:rsidRDefault="008D05E9" w:rsidP="008D05E9">
      <w:pPr>
        <w:spacing w:after="160" w:line="259" w:lineRule="auto"/>
        <w:rPr>
          <w:rFonts w:eastAsia="Calibri"/>
          <w:b/>
          <w:i/>
          <w:iCs/>
          <w:lang w:eastAsia="en-US"/>
        </w:rPr>
      </w:pPr>
      <w:r w:rsidDel="00932B58">
        <w:rPr>
          <w:rFonts w:eastAsia="Calibri"/>
          <w:b/>
          <w:i/>
          <w:iCs/>
          <w:lang w:eastAsia="en-US"/>
        </w:rPr>
        <w:br w:type="page"/>
      </w:r>
    </w:p>
    <w:p w14:paraId="2A112D15" w14:textId="77777777" w:rsidR="001042DA" w:rsidRPr="006B1A5A" w:rsidRDefault="001042DA" w:rsidP="00CC2890">
      <w:pPr>
        <w:spacing w:after="160" w:line="259" w:lineRule="auto"/>
        <w:rPr>
          <w:rFonts w:eastAsia="Calibri"/>
          <w:b/>
          <w:i/>
          <w:iCs/>
          <w:lang w:eastAsia="en-US"/>
        </w:rPr>
      </w:pPr>
      <w:r w:rsidRPr="006B1A5A">
        <w:rPr>
          <w:rFonts w:eastAsia="Calibri"/>
          <w:b/>
          <w:i/>
          <w:iCs/>
          <w:lang w:eastAsia="en-US"/>
        </w:rPr>
        <w:t>Deployment/removal of nets</w:t>
      </w:r>
    </w:p>
    <w:p w14:paraId="6FFB4CED" w14:textId="77777777" w:rsidR="001042DA" w:rsidRPr="006B1A5A" w:rsidRDefault="001042DA" w:rsidP="001042DA">
      <w:pPr>
        <w:spacing w:line="260" w:lineRule="atLeast"/>
        <w:jc w:val="both"/>
        <w:rPr>
          <w:rFonts w:eastAsia="Calibri"/>
          <w:b/>
          <w:i/>
          <w:iCs/>
          <w:sz w:val="22"/>
          <w:szCs w:val="22"/>
          <w:lang w:eastAsia="en-US"/>
        </w:rPr>
      </w:pPr>
    </w:p>
    <w:p w14:paraId="16C3192F" w14:textId="77777777" w:rsidR="001042DA" w:rsidRPr="006B1A5A" w:rsidRDefault="001042DA" w:rsidP="001042DA">
      <w:pPr>
        <w:spacing w:line="260" w:lineRule="atLeast"/>
        <w:jc w:val="both"/>
      </w:pPr>
      <w:r w:rsidRPr="006B1A5A">
        <w:t xml:space="preserve">The treated net is hoisted </w:t>
      </w:r>
      <w:r w:rsidRPr="006B1A5A">
        <w:rPr>
          <w:noProof/>
        </w:rPr>
        <w:t>by</w:t>
      </w:r>
      <w:r w:rsidRPr="006B1A5A">
        <w:t xml:space="preserve"> a crane into a service boat. The net is attached to one side of a floating frame and then pulled towards the other side of the frame. Remotely controlled weights and supports are lowered into the water. The net is attached to floats and its upper part is tied to the cage fence. These </w:t>
      </w:r>
      <w:r w:rsidRPr="006B1A5A">
        <w:rPr>
          <w:noProof/>
        </w:rPr>
        <w:t xml:space="preserve">activities require handling the nets and although </w:t>
      </w:r>
      <w:r w:rsidRPr="006B1A5A">
        <w:t xml:space="preserve">limited, physical contact is expected, and workers would be exposed via the dermal route. Removal of the net is the opposite process of deployment. Up to 6 people are involved in the deployment of one net and the operators may deploy up to 3-7 nets in a day. As nets are normally changed with 5 – 10 months intervals, the involved personnel perform this task infrequently. </w:t>
      </w:r>
    </w:p>
    <w:bookmarkEnd w:id="1594"/>
    <w:p w14:paraId="55A9E7EE" w14:textId="77777777" w:rsidR="001042DA" w:rsidRPr="006B1A5A" w:rsidRDefault="001042DA" w:rsidP="001042DA">
      <w:pPr>
        <w:spacing w:line="260" w:lineRule="atLeast"/>
        <w:jc w:val="both"/>
      </w:pPr>
    </w:p>
    <w:p w14:paraId="723376B7" w14:textId="77777777" w:rsidR="001042DA" w:rsidRPr="006B1A5A" w:rsidRDefault="001042DA" w:rsidP="001042DA">
      <w:pPr>
        <w:spacing w:line="260" w:lineRule="atLeast"/>
        <w:jc w:val="both"/>
      </w:pPr>
    </w:p>
    <w:tbl>
      <w:tblPr>
        <w:tblStyle w:val="Tabellrutenett"/>
        <w:tblW w:w="9209" w:type="dxa"/>
        <w:tblLayout w:type="fixed"/>
        <w:tblLook w:val="04A0" w:firstRow="1" w:lastRow="0" w:firstColumn="1" w:lastColumn="0" w:noHBand="0" w:noVBand="1"/>
      </w:tblPr>
      <w:tblGrid>
        <w:gridCol w:w="1231"/>
        <w:gridCol w:w="1177"/>
        <w:gridCol w:w="1273"/>
        <w:gridCol w:w="1276"/>
        <w:gridCol w:w="992"/>
        <w:gridCol w:w="1134"/>
        <w:gridCol w:w="850"/>
        <w:gridCol w:w="1276"/>
      </w:tblGrid>
      <w:tr w:rsidR="001042DA" w:rsidRPr="006B1A5A" w14:paraId="2A10BC95" w14:textId="77777777" w:rsidTr="00AF2AEA">
        <w:tc>
          <w:tcPr>
            <w:tcW w:w="9209" w:type="dxa"/>
            <w:gridSpan w:val="8"/>
            <w:shd w:val="pct12" w:color="FFFF00" w:fill="FFFFCC"/>
          </w:tcPr>
          <w:p w14:paraId="3B5E41D8" w14:textId="77777777" w:rsidR="001042DA" w:rsidRPr="006B1A5A" w:rsidRDefault="001042DA" w:rsidP="00AF2AEA">
            <w:pPr>
              <w:spacing w:line="260" w:lineRule="atLeast"/>
              <w:jc w:val="center"/>
              <w:rPr>
                <w:b/>
              </w:rPr>
            </w:pPr>
            <w:r w:rsidRPr="006B1A5A">
              <w:rPr>
                <w:b/>
              </w:rPr>
              <w:t>Summary table: relevant paths of human exposure</w:t>
            </w:r>
          </w:p>
        </w:tc>
      </w:tr>
      <w:tr w:rsidR="001042DA" w:rsidRPr="006B1A5A" w14:paraId="6BEF9D6C" w14:textId="77777777" w:rsidTr="00AF2AEA">
        <w:tc>
          <w:tcPr>
            <w:tcW w:w="1231" w:type="dxa"/>
            <w:shd w:val="pct12" w:color="FFFF00" w:fill="FFFFCC"/>
          </w:tcPr>
          <w:p w14:paraId="5F1F740C" w14:textId="77777777" w:rsidR="001042DA" w:rsidRPr="006B1A5A" w:rsidRDefault="001042DA" w:rsidP="00AF2AEA">
            <w:pPr>
              <w:spacing w:line="260" w:lineRule="atLeast"/>
              <w:jc w:val="both"/>
            </w:pPr>
            <w:r w:rsidRPr="006B1A5A">
              <w:t>Exposure path</w:t>
            </w:r>
          </w:p>
        </w:tc>
        <w:tc>
          <w:tcPr>
            <w:tcW w:w="3726" w:type="dxa"/>
            <w:gridSpan w:val="3"/>
            <w:shd w:val="pct12" w:color="FFFF00" w:fill="FFFFCC"/>
          </w:tcPr>
          <w:p w14:paraId="54B3DAFB" w14:textId="77777777" w:rsidR="001042DA" w:rsidRPr="006B1A5A" w:rsidRDefault="001042DA" w:rsidP="00AF2AEA">
            <w:pPr>
              <w:spacing w:line="260" w:lineRule="atLeast"/>
              <w:jc w:val="center"/>
              <w:rPr>
                <w:b/>
              </w:rPr>
            </w:pPr>
            <w:r w:rsidRPr="006B1A5A">
              <w:rPr>
                <w:b/>
              </w:rPr>
              <w:t xml:space="preserve">Primary (direct) exposure </w:t>
            </w:r>
            <w:r w:rsidRPr="006B1A5A">
              <w:t>(treatment and deployment of nets)</w:t>
            </w:r>
          </w:p>
        </w:tc>
        <w:tc>
          <w:tcPr>
            <w:tcW w:w="4252" w:type="dxa"/>
            <w:gridSpan w:val="4"/>
            <w:shd w:val="pct12" w:color="FFFF00" w:fill="FFFFCC"/>
          </w:tcPr>
          <w:p w14:paraId="12E4BB3C" w14:textId="77777777" w:rsidR="001042DA" w:rsidRPr="006B1A5A" w:rsidRDefault="001042DA" w:rsidP="00AF2AEA">
            <w:pPr>
              <w:spacing w:line="260" w:lineRule="atLeast"/>
              <w:jc w:val="center"/>
              <w:rPr>
                <w:b/>
              </w:rPr>
            </w:pPr>
            <w:r w:rsidRPr="006B1A5A">
              <w:rPr>
                <w:b/>
              </w:rPr>
              <w:t>Secondary (indirect) exposure</w:t>
            </w:r>
          </w:p>
        </w:tc>
      </w:tr>
      <w:tr w:rsidR="001042DA" w:rsidRPr="006B1A5A" w14:paraId="042ACCCB" w14:textId="77777777" w:rsidTr="00C35AAF">
        <w:tc>
          <w:tcPr>
            <w:tcW w:w="1231" w:type="dxa"/>
          </w:tcPr>
          <w:p w14:paraId="62773404" w14:textId="77777777" w:rsidR="001042DA" w:rsidRPr="006B1A5A" w:rsidRDefault="001042DA" w:rsidP="00AF2AEA">
            <w:pPr>
              <w:spacing w:line="260" w:lineRule="atLeast"/>
              <w:jc w:val="both"/>
            </w:pPr>
          </w:p>
        </w:tc>
        <w:tc>
          <w:tcPr>
            <w:tcW w:w="1177" w:type="dxa"/>
          </w:tcPr>
          <w:p w14:paraId="121359FE" w14:textId="77777777" w:rsidR="001042DA" w:rsidRPr="006B1A5A" w:rsidRDefault="001042DA" w:rsidP="00AF2AEA">
            <w:pPr>
              <w:spacing w:line="260" w:lineRule="atLeast"/>
              <w:jc w:val="both"/>
            </w:pPr>
            <w:r w:rsidRPr="006B1A5A">
              <w:t>Industrial use</w:t>
            </w:r>
          </w:p>
        </w:tc>
        <w:tc>
          <w:tcPr>
            <w:tcW w:w="1273" w:type="dxa"/>
          </w:tcPr>
          <w:p w14:paraId="0B702544" w14:textId="77777777" w:rsidR="001042DA" w:rsidRPr="006B1A5A" w:rsidRDefault="001042DA" w:rsidP="00AF2AEA">
            <w:pPr>
              <w:spacing w:line="260" w:lineRule="atLeast"/>
              <w:jc w:val="both"/>
            </w:pPr>
            <w:r w:rsidRPr="006B1A5A">
              <w:t>Professional use</w:t>
            </w:r>
          </w:p>
        </w:tc>
        <w:tc>
          <w:tcPr>
            <w:tcW w:w="1276" w:type="dxa"/>
          </w:tcPr>
          <w:p w14:paraId="685259D3" w14:textId="77777777" w:rsidR="001042DA" w:rsidRPr="006B1A5A" w:rsidRDefault="001042DA" w:rsidP="00AF2AEA">
            <w:pPr>
              <w:spacing w:line="260" w:lineRule="atLeast"/>
              <w:jc w:val="both"/>
            </w:pPr>
            <w:r w:rsidRPr="006B1A5A">
              <w:t>Non-professional use</w:t>
            </w:r>
          </w:p>
        </w:tc>
        <w:tc>
          <w:tcPr>
            <w:tcW w:w="992" w:type="dxa"/>
          </w:tcPr>
          <w:p w14:paraId="3A4CCF5E" w14:textId="77777777" w:rsidR="001042DA" w:rsidRPr="006B1A5A" w:rsidRDefault="001042DA" w:rsidP="00AF2AEA">
            <w:pPr>
              <w:spacing w:line="260" w:lineRule="atLeast"/>
              <w:jc w:val="both"/>
            </w:pPr>
            <w:r w:rsidRPr="006B1A5A">
              <w:t>Industrial use</w:t>
            </w:r>
          </w:p>
        </w:tc>
        <w:tc>
          <w:tcPr>
            <w:tcW w:w="1134" w:type="dxa"/>
          </w:tcPr>
          <w:p w14:paraId="2FBC0937" w14:textId="77777777" w:rsidR="001042DA" w:rsidRPr="006B1A5A" w:rsidRDefault="001042DA" w:rsidP="00AF2AEA">
            <w:pPr>
              <w:spacing w:line="260" w:lineRule="atLeast"/>
              <w:jc w:val="both"/>
            </w:pPr>
            <w:r w:rsidRPr="006B1A5A">
              <w:t>Professional use</w:t>
            </w:r>
          </w:p>
        </w:tc>
        <w:tc>
          <w:tcPr>
            <w:tcW w:w="850" w:type="dxa"/>
          </w:tcPr>
          <w:p w14:paraId="5BBA4212" w14:textId="77777777" w:rsidR="001042DA" w:rsidRPr="006B1A5A" w:rsidRDefault="001042DA" w:rsidP="00AF2AEA">
            <w:pPr>
              <w:spacing w:line="260" w:lineRule="atLeast"/>
              <w:jc w:val="both"/>
            </w:pPr>
            <w:r w:rsidRPr="006B1A5A">
              <w:t>Non-professional use</w:t>
            </w:r>
          </w:p>
        </w:tc>
        <w:tc>
          <w:tcPr>
            <w:tcW w:w="1276" w:type="dxa"/>
          </w:tcPr>
          <w:p w14:paraId="13858422" w14:textId="77777777" w:rsidR="001042DA" w:rsidRPr="006B1A5A" w:rsidRDefault="001042DA" w:rsidP="00AF2AEA">
            <w:pPr>
              <w:spacing w:line="260" w:lineRule="atLeast"/>
              <w:jc w:val="both"/>
            </w:pPr>
            <w:r w:rsidRPr="006B1A5A">
              <w:t>Via food</w:t>
            </w:r>
          </w:p>
        </w:tc>
      </w:tr>
      <w:tr w:rsidR="001042DA" w:rsidRPr="006B1A5A" w14:paraId="6AB1710E" w14:textId="77777777" w:rsidTr="00C35AAF">
        <w:tc>
          <w:tcPr>
            <w:tcW w:w="1231" w:type="dxa"/>
          </w:tcPr>
          <w:p w14:paraId="78FF4350" w14:textId="77777777" w:rsidR="001042DA" w:rsidRPr="006B1A5A" w:rsidRDefault="001042DA" w:rsidP="00AF2AEA">
            <w:pPr>
              <w:spacing w:line="260" w:lineRule="atLeast"/>
              <w:jc w:val="both"/>
            </w:pPr>
            <w:r w:rsidRPr="006B1A5A">
              <w:t>Inhalation</w:t>
            </w:r>
          </w:p>
        </w:tc>
        <w:tc>
          <w:tcPr>
            <w:tcW w:w="1177" w:type="dxa"/>
          </w:tcPr>
          <w:p w14:paraId="73C63D69" w14:textId="77777777" w:rsidR="001042DA" w:rsidRPr="006B1A5A" w:rsidRDefault="001042DA" w:rsidP="00AF2AEA">
            <w:pPr>
              <w:spacing w:line="260" w:lineRule="atLeast"/>
              <w:jc w:val="both"/>
            </w:pPr>
            <w:r w:rsidRPr="006B1A5A">
              <w:t>Yes</w:t>
            </w:r>
          </w:p>
        </w:tc>
        <w:tc>
          <w:tcPr>
            <w:tcW w:w="1273" w:type="dxa"/>
          </w:tcPr>
          <w:p w14:paraId="172ECDF9" w14:textId="77777777" w:rsidR="001042DA" w:rsidRPr="006B1A5A" w:rsidRDefault="001042DA" w:rsidP="00AF2AEA">
            <w:pPr>
              <w:spacing w:line="260" w:lineRule="atLeast"/>
              <w:jc w:val="both"/>
            </w:pPr>
            <w:r w:rsidRPr="006B1A5A">
              <w:t>Negligible</w:t>
            </w:r>
          </w:p>
        </w:tc>
        <w:tc>
          <w:tcPr>
            <w:tcW w:w="1276" w:type="dxa"/>
          </w:tcPr>
          <w:p w14:paraId="79A0816D" w14:textId="77777777" w:rsidR="001042DA" w:rsidRPr="006B1A5A" w:rsidRDefault="001042DA" w:rsidP="00AF2AEA">
            <w:pPr>
              <w:spacing w:line="260" w:lineRule="atLeast"/>
              <w:jc w:val="both"/>
            </w:pPr>
            <w:r w:rsidRPr="006B1A5A">
              <w:t>n.a.</w:t>
            </w:r>
          </w:p>
        </w:tc>
        <w:tc>
          <w:tcPr>
            <w:tcW w:w="992" w:type="dxa"/>
          </w:tcPr>
          <w:p w14:paraId="1D9226BD" w14:textId="77777777" w:rsidR="001042DA" w:rsidRPr="006B1A5A" w:rsidRDefault="001042DA" w:rsidP="00AF2AEA">
            <w:pPr>
              <w:spacing w:line="260" w:lineRule="atLeast"/>
              <w:jc w:val="both"/>
            </w:pPr>
            <w:r w:rsidRPr="006B1A5A">
              <w:t>n.a.</w:t>
            </w:r>
          </w:p>
        </w:tc>
        <w:tc>
          <w:tcPr>
            <w:tcW w:w="1134" w:type="dxa"/>
          </w:tcPr>
          <w:p w14:paraId="0AE4E91F" w14:textId="77777777" w:rsidR="001042DA" w:rsidRPr="006B1A5A" w:rsidRDefault="001042DA" w:rsidP="00AF2AEA">
            <w:pPr>
              <w:spacing w:line="260" w:lineRule="atLeast"/>
              <w:jc w:val="both"/>
              <w:rPr>
                <w:sz w:val="18"/>
                <w:szCs w:val="18"/>
              </w:rPr>
            </w:pPr>
            <w:r w:rsidRPr="006B1A5A">
              <w:t>n.a.</w:t>
            </w:r>
          </w:p>
        </w:tc>
        <w:tc>
          <w:tcPr>
            <w:tcW w:w="850" w:type="dxa"/>
          </w:tcPr>
          <w:p w14:paraId="0ACFF02E" w14:textId="77777777" w:rsidR="001042DA" w:rsidRPr="006B1A5A" w:rsidRDefault="001042DA" w:rsidP="00AF2AEA">
            <w:pPr>
              <w:spacing w:line="260" w:lineRule="atLeast"/>
              <w:jc w:val="both"/>
            </w:pPr>
            <w:r w:rsidRPr="006B1A5A">
              <w:t>n.a.</w:t>
            </w:r>
          </w:p>
        </w:tc>
        <w:tc>
          <w:tcPr>
            <w:tcW w:w="1276" w:type="dxa"/>
          </w:tcPr>
          <w:p w14:paraId="663DC4BD" w14:textId="77777777" w:rsidR="001042DA" w:rsidRPr="006B1A5A" w:rsidRDefault="001042DA" w:rsidP="00AF2AEA">
            <w:pPr>
              <w:spacing w:line="260" w:lineRule="atLeast"/>
              <w:jc w:val="both"/>
            </w:pPr>
            <w:r w:rsidRPr="006B1A5A">
              <w:t>n.a.</w:t>
            </w:r>
          </w:p>
        </w:tc>
      </w:tr>
      <w:tr w:rsidR="001042DA" w:rsidRPr="006B1A5A" w14:paraId="6ED2CC05" w14:textId="77777777" w:rsidTr="00C35AAF">
        <w:tc>
          <w:tcPr>
            <w:tcW w:w="1231" w:type="dxa"/>
          </w:tcPr>
          <w:p w14:paraId="344B2398" w14:textId="77777777" w:rsidR="001042DA" w:rsidRPr="006B1A5A" w:rsidRDefault="001042DA" w:rsidP="00AF2AEA">
            <w:pPr>
              <w:spacing w:line="260" w:lineRule="atLeast"/>
              <w:jc w:val="both"/>
            </w:pPr>
            <w:r w:rsidRPr="006B1A5A">
              <w:t>Dermal</w:t>
            </w:r>
          </w:p>
        </w:tc>
        <w:tc>
          <w:tcPr>
            <w:tcW w:w="1177" w:type="dxa"/>
          </w:tcPr>
          <w:p w14:paraId="41A13B36" w14:textId="77777777" w:rsidR="001042DA" w:rsidRPr="006B1A5A" w:rsidRDefault="001042DA" w:rsidP="00AF2AEA">
            <w:pPr>
              <w:spacing w:line="260" w:lineRule="atLeast"/>
              <w:jc w:val="both"/>
            </w:pPr>
            <w:r w:rsidRPr="006B1A5A">
              <w:t>Yes</w:t>
            </w:r>
          </w:p>
        </w:tc>
        <w:tc>
          <w:tcPr>
            <w:tcW w:w="1273" w:type="dxa"/>
          </w:tcPr>
          <w:p w14:paraId="61695AE9" w14:textId="77777777" w:rsidR="001042DA" w:rsidRPr="006B1A5A" w:rsidRDefault="001042DA" w:rsidP="00AF2AEA">
            <w:pPr>
              <w:spacing w:line="260" w:lineRule="atLeast"/>
              <w:jc w:val="both"/>
            </w:pPr>
            <w:r w:rsidRPr="006B1A5A">
              <w:t>Yes</w:t>
            </w:r>
          </w:p>
        </w:tc>
        <w:tc>
          <w:tcPr>
            <w:tcW w:w="1276" w:type="dxa"/>
          </w:tcPr>
          <w:p w14:paraId="21D183BF" w14:textId="77777777" w:rsidR="001042DA" w:rsidRPr="006B1A5A" w:rsidRDefault="001042DA" w:rsidP="00AF2AEA">
            <w:pPr>
              <w:spacing w:line="260" w:lineRule="atLeast"/>
              <w:jc w:val="both"/>
            </w:pPr>
            <w:r w:rsidRPr="006B1A5A">
              <w:t>n.a.</w:t>
            </w:r>
          </w:p>
        </w:tc>
        <w:tc>
          <w:tcPr>
            <w:tcW w:w="992" w:type="dxa"/>
          </w:tcPr>
          <w:p w14:paraId="7DB80DD3" w14:textId="77777777" w:rsidR="001042DA" w:rsidRPr="006B1A5A" w:rsidRDefault="001042DA" w:rsidP="00AF2AEA">
            <w:pPr>
              <w:spacing w:line="260" w:lineRule="atLeast"/>
              <w:jc w:val="both"/>
            </w:pPr>
            <w:r w:rsidRPr="006B1A5A">
              <w:t>n.a.</w:t>
            </w:r>
          </w:p>
        </w:tc>
        <w:tc>
          <w:tcPr>
            <w:tcW w:w="1134" w:type="dxa"/>
          </w:tcPr>
          <w:p w14:paraId="18F756E2" w14:textId="77777777" w:rsidR="001042DA" w:rsidRPr="006B1A5A" w:rsidRDefault="001042DA" w:rsidP="00AF2AEA">
            <w:pPr>
              <w:spacing w:line="260" w:lineRule="atLeast"/>
              <w:jc w:val="both"/>
            </w:pPr>
            <w:r w:rsidRPr="006B1A5A">
              <w:t>n.a.</w:t>
            </w:r>
          </w:p>
        </w:tc>
        <w:tc>
          <w:tcPr>
            <w:tcW w:w="850" w:type="dxa"/>
          </w:tcPr>
          <w:p w14:paraId="63CCE00F" w14:textId="77777777" w:rsidR="001042DA" w:rsidRPr="006B1A5A" w:rsidRDefault="001042DA" w:rsidP="00AF2AEA">
            <w:pPr>
              <w:spacing w:line="260" w:lineRule="atLeast"/>
              <w:jc w:val="both"/>
            </w:pPr>
            <w:r w:rsidRPr="006B1A5A">
              <w:t>n.a.</w:t>
            </w:r>
          </w:p>
        </w:tc>
        <w:tc>
          <w:tcPr>
            <w:tcW w:w="1276" w:type="dxa"/>
          </w:tcPr>
          <w:p w14:paraId="45BC95FC" w14:textId="77777777" w:rsidR="001042DA" w:rsidRPr="006B1A5A" w:rsidRDefault="001042DA" w:rsidP="00AF2AEA">
            <w:pPr>
              <w:spacing w:line="260" w:lineRule="atLeast"/>
              <w:jc w:val="both"/>
            </w:pPr>
            <w:r w:rsidRPr="006B1A5A">
              <w:t>n.a.</w:t>
            </w:r>
          </w:p>
        </w:tc>
      </w:tr>
      <w:tr w:rsidR="001042DA" w:rsidRPr="006B1A5A" w14:paraId="6DD4718A" w14:textId="77777777" w:rsidTr="00C35AAF">
        <w:tc>
          <w:tcPr>
            <w:tcW w:w="1231" w:type="dxa"/>
          </w:tcPr>
          <w:p w14:paraId="27E9D61A" w14:textId="77777777" w:rsidR="001042DA" w:rsidRPr="006B1A5A" w:rsidRDefault="001042DA" w:rsidP="00AF2AEA">
            <w:pPr>
              <w:spacing w:line="260" w:lineRule="atLeast"/>
              <w:jc w:val="both"/>
            </w:pPr>
            <w:r w:rsidRPr="006B1A5A">
              <w:t>Oral</w:t>
            </w:r>
          </w:p>
        </w:tc>
        <w:tc>
          <w:tcPr>
            <w:tcW w:w="1177" w:type="dxa"/>
          </w:tcPr>
          <w:p w14:paraId="50C767B4" w14:textId="77777777" w:rsidR="001042DA" w:rsidRPr="006B1A5A" w:rsidRDefault="001042DA" w:rsidP="00AF2AEA">
            <w:pPr>
              <w:spacing w:line="260" w:lineRule="atLeast"/>
              <w:jc w:val="both"/>
            </w:pPr>
            <w:r w:rsidRPr="006B1A5A">
              <w:t>No</w:t>
            </w:r>
          </w:p>
        </w:tc>
        <w:tc>
          <w:tcPr>
            <w:tcW w:w="1273" w:type="dxa"/>
          </w:tcPr>
          <w:p w14:paraId="0CE25071" w14:textId="77777777" w:rsidR="001042DA" w:rsidRPr="006B1A5A" w:rsidRDefault="001042DA" w:rsidP="00AF2AEA">
            <w:pPr>
              <w:spacing w:line="260" w:lineRule="atLeast"/>
              <w:jc w:val="both"/>
            </w:pPr>
            <w:r w:rsidRPr="006B1A5A">
              <w:t>No</w:t>
            </w:r>
          </w:p>
        </w:tc>
        <w:tc>
          <w:tcPr>
            <w:tcW w:w="1276" w:type="dxa"/>
          </w:tcPr>
          <w:p w14:paraId="6134AFAD" w14:textId="77777777" w:rsidR="001042DA" w:rsidRPr="006B1A5A" w:rsidRDefault="001042DA" w:rsidP="00AF2AEA">
            <w:pPr>
              <w:spacing w:line="260" w:lineRule="atLeast"/>
              <w:jc w:val="both"/>
            </w:pPr>
            <w:r w:rsidRPr="006B1A5A">
              <w:t>n.a.</w:t>
            </w:r>
          </w:p>
        </w:tc>
        <w:tc>
          <w:tcPr>
            <w:tcW w:w="992" w:type="dxa"/>
          </w:tcPr>
          <w:p w14:paraId="3D447BA1" w14:textId="77777777" w:rsidR="001042DA" w:rsidRPr="006B1A5A" w:rsidRDefault="001042DA" w:rsidP="00AF2AEA">
            <w:pPr>
              <w:spacing w:line="260" w:lineRule="atLeast"/>
              <w:jc w:val="both"/>
            </w:pPr>
            <w:r w:rsidRPr="006B1A5A">
              <w:t>n.a.</w:t>
            </w:r>
          </w:p>
        </w:tc>
        <w:tc>
          <w:tcPr>
            <w:tcW w:w="1134" w:type="dxa"/>
          </w:tcPr>
          <w:p w14:paraId="0747AC07" w14:textId="77777777" w:rsidR="001042DA" w:rsidRPr="006B1A5A" w:rsidRDefault="001042DA" w:rsidP="00AF2AEA">
            <w:pPr>
              <w:spacing w:line="260" w:lineRule="atLeast"/>
              <w:jc w:val="both"/>
            </w:pPr>
            <w:r w:rsidRPr="006B1A5A">
              <w:t>n.a.</w:t>
            </w:r>
          </w:p>
        </w:tc>
        <w:tc>
          <w:tcPr>
            <w:tcW w:w="850" w:type="dxa"/>
          </w:tcPr>
          <w:p w14:paraId="639F4888" w14:textId="77777777" w:rsidR="001042DA" w:rsidRPr="006B1A5A" w:rsidRDefault="001042DA" w:rsidP="00AF2AEA">
            <w:pPr>
              <w:spacing w:line="260" w:lineRule="atLeast"/>
              <w:jc w:val="both"/>
            </w:pPr>
            <w:r w:rsidRPr="006B1A5A">
              <w:t>n.a.</w:t>
            </w:r>
          </w:p>
        </w:tc>
        <w:tc>
          <w:tcPr>
            <w:tcW w:w="1276" w:type="dxa"/>
          </w:tcPr>
          <w:p w14:paraId="70AE67E3" w14:textId="77777777" w:rsidR="001042DA" w:rsidRPr="006B1A5A" w:rsidRDefault="001042DA" w:rsidP="00AF2AEA">
            <w:pPr>
              <w:spacing w:line="260" w:lineRule="atLeast"/>
              <w:jc w:val="both"/>
            </w:pPr>
            <w:r w:rsidRPr="006B1A5A">
              <w:t>yes</w:t>
            </w:r>
          </w:p>
        </w:tc>
      </w:tr>
      <w:bookmarkEnd w:id="1601"/>
    </w:tbl>
    <w:p w14:paraId="0A14A190" w14:textId="77777777" w:rsidR="001042DA" w:rsidRPr="006B1A5A" w:rsidRDefault="001042DA" w:rsidP="001042DA">
      <w:pPr>
        <w:spacing w:line="260" w:lineRule="atLeast"/>
        <w:jc w:val="both"/>
      </w:pPr>
    </w:p>
    <w:p w14:paraId="5486D07A" w14:textId="77777777" w:rsidR="001042DA" w:rsidRPr="006B1A5A" w:rsidRDefault="001042DA" w:rsidP="001042DA">
      <w:pPr>
        <w:spacing w:line="260" w:lineRule="atLeast"/>
        <w:jc w:val="both"/>
        <w:rPr>
          <w:sz w:val="22"/>
          <w:szCs w:val="22"/>
        </w:rPr>
      </w:pPr>
    </w:p>
    <w:p w14:paraId="52F8B6E1" w14:textId="77777777" w:rsidR="001042DA" w:rsidRPr="006B1A5A" w:rsidRDefault="001042DA" w:rsidP="001042DA">
      <w:pPr>
        <w:spacing w:line="260" w:lineRule="atLeast"/>
        <w:jc w:val="both"/>
        <w:rPr>
          <w:b/>
          <w:i/>
          <w:sz w:val="22"/>
          <w:szCs w:val="22"/>
        </w:rPr>
      </w:pPr>
      <w:r w:rsidRPr="006B1A5A">
        <w:rPr>
          <w:b/>
          <w:i/>
          <w:sz w:val="22"/>
          <w:szCs w:val="22"/>
        </w:rPr>
        <w:t>List of scenarios.</w:t>
      </w:r>
    </w:p>
    <w:bookmarkEnd w:id="1595"/>
    <w:p w14:paraId="2A8CB86C" w14:textId="2C3170C0" w:rsidR="001042DA" w:rsidRDefault="001042DA" w:rsidP="001042DA">
      <w:pPr>
        <w:spacing w:line="260" w:lineRule="atLeast"/>
        <w:jc w:val="both"/>
        <w:rPr>
          <w:rFonts w:eastAsia="Calibri"/>
          <w:b/>
          <w:i/>
          <w:iCs/>
          <w:sz w:val="22"/>
          <w:szCs w:val="22"/>
          <w:lang w:eastAsia="en-US"/>
        </w:rPr>
      </w:pPr>
    </w:p>
    <w:p w14:paraId="7FBF4AF1" w14:textId="77777777" w:rsidR="001F1F8D" w:rsidRPr="006B1A5A" w:rsidRDefault="001F1F8D" w:rsidP="001042DA">
      <w:pPr>
        <w:spacing w:line="260" w:lineRule="atLeast"/>
        <w:jc w:val="both"/>
        <w:rPr>
          <w:rFonts w:eastAsia="Calibri"/>
          <w:b/>
          <w:i/>
          <w:iCs/>
          <w:sz w:val="22"/>
          <w:szCs w:val="22"/>
          <w:lang w:eastAsia="en-US"/>
        </w:rPr>
      </w:pPr>
    </w:p>
    <w:p w14:paraId="738BC32D" w14:textId="77777777" w:rsidR="001042DA" w:rsidRPr="006B1A5A" w:rsidRDefault="001042DA" w:rsidP="001042DA">
      <w:pPr>
        <w:spacing w:line="260" w:lineRule="atLeast"/>
        <w:jc w:val="both"/>
        <w:rPr>
          <w:rFonts w:eastAsia="Calibri"/>
          <w:b/>
          <w:i/>
          <w:iCs/>
          <w:lang w:eastAsia="en-US"/>
        </w:rPr>
      </w:pPr>
      <w:bookmarkStart w:id="1616" w:name="_Hlk22763627"/>
      <w:bookmarkStart w:id="1617" w:name="_Hlk19705633"/>
      <w:bookmarkStart w:id="1618" w:name="_Hlk11273755"/>
      <w:r w:rsidRPr="006B1A5A">
        <w:rPr>
          <w:rFonts w:eastAsia="Calibri"/>
          <w:b/>
          <w:i/>
          <w:iCs/>
          <w:lang w:eastAsia="en-US"/>
        </w:rPr>
        <w:t>Mixing and loading</w:t>
      </w:r>
    </w:p>
    <w:p w14:paraId="53CB7B2D" w14:textId="77777777" w:rsidR="001042DA" w:rsidRPr="006B1A5A" w:rsidRDefault="001042DA" w:rsidP="001042DA">
      <w:pPr>
        <w:spacing w:line="260" w:lineRule="atLeast"/>
        <w:jc w:val="both"/>
        <w:rPr>
          <w:rFonts w:eastAsia="Calibri"/>
          <w:b/>
          <w:i/>
          <w:iCs/>
          <w:lang w:eastAsia="en-US"/>
        </w:rPr>
      </w:pPr>
    </w:p>
    <w:p w14:paraId="4041417E" w14:textId="77777777" w:rsidR="001042DA" w:rsidRPr="006B1A5A" w:rsidRDefault="001042DA" w:rsidP="001042DA">
      <w:pPr>
        <w:spacing w:line="260" w:lineRule="atLeast"/>
        <w:jc w:val="both"/>
        <w:rPr>
          <w:rFonts w:eastAsia="Calibri"/>
          <w:iCs/>
          <w:lang w:eastAsia="en-US"/>
        </w:rPr>
      </w:pPr>
      <w:r w:rsidRPr="006B1A5A">
        <w:rPr>
          <w:rFonts w:eastAsia="Calibri"/>
          <w:iCs/>
          <w:lang w:eastAsia="en-US"/>
        </w:rPr>
        <w:t>Minimal risk of exposure is expected as the mixing and loading process is automated and occurs in a closed system. Some accidental exposure can occur during fixing/removal of the pump lines. Mixing and loading is included in Dipping model 4 and is not assessed separately.</w:t>
      </w:r>
    </w:p>
    <w:bookmarkEnd w:id="1616"/>
    <w:p w14:paraId="227A57F1" w14:textId="77777777" w:rsidR="001042DA" w:rsidRPr="006B1A5A" w:rsidRDefault="001042DA" w:rsidP="001042DA">
      <w:pPr>
        <w:spacing w:line="260" w:lineRule="atLeast"/>
        <w:jc w:val="both"/>
        <w:rPr>
          <w:rFonts w:eastAsia="Calibri"/>
          <w:iCs/>
          <w:lang w:eastAsia="en-US"/>
        </w:rPr>
      </w:pPr>
    </w:p>
    <w:p w14:paraId="4A8C71DF" w14:textId="77777777" w:rsidR="001042DA" w:rsidRPr="006B1A5A" w:rsidRDefault="001042DA" w:rsidP="001042DA">
      <w:pPr>
        <w:spacing w:line="260" w:lineRule="atLeast"/>
        <w:jc w:val="both"/>
        <w:rPr>
          <w:rFonts w:eastAsia="Calibri"/>
          <w:iCs/>
          <w:lang w:eastAsia="en-US"/>
        </w:rPr>
      </w:pPr>
    </w:p>
    <w:p w14:paraId="08F95022" w14:textId="77777777" w:rsidR="001042DA" w:rsidRPr="006B1A5A" w:rsidRDefault="001042DA" w:rsidP="001042DA">
      <w:pPr>
        <w:spacing w:line="260" w:lineRule="atLeast"/>
        <w:jc w:val="both"/>
        <w:rPr>
          <w:rFonts w:eastAsia="Calibri"/>
          <w:b/>
          <w:i/>
          <w:iCs/>
          <w:lang w:eastAsia="en-US"/>
        </w:rPr>
      </w:pPr>
      <w:bookmarkStart w:id="1619" w:name="_Hlk22763724"/>
      <w:r w:rsidRPr="006B1A5A">
        <w:rPr>
          <w:rFonts w:eastAsia="Calibri"/>
          <w:b/>
          <w:i/>
          <w:iCs/>
          <w:lang w:eastAsia="en-US"/>
        </w:rPr>
        <w:t>Inspection and repair of used nets</w:t>
      </w:r>
    </w:p>
    <w:p w14:paraId="5F83CCD7" w14:textId="77777777" w:rsidR="001042DA" w:rsidRPr="006B1A5A" w:rsidRDefault="001042DA" w:rsidP="001042DA">
      <w:pPr>
        <w:spacing w:line="260" w:lineRule="atLeast"/>
        <w:jc w:val="both"/>
        <w:rPr>
          <w:rFonts w:eastAsia="Calibri"/>
          <w:b/>
          <w:i/>
          <w:iCs/>
          <w:lang w:eastAsia="en-US"/>
        </w:rPr>
      </w:pPr>
    </w:p>
    <w:p w14:paraId="5E563F8D" w14:textId="77777777" w:rsidR="001042DA" w:rsidRPr="006B1A5A" w:rsidRDefault="001042DA" w:rsidP="001042DA">
      <w:pPr>
        <w:spacing w:line="260" w:lineRule="atLeast"/>
        <w:jc w:val="both"/>
        <w:rPr>
          <w:rFonts w:eastAsia="Calibri"/>
          <w:iCs/>
          <w:lang w:eastAsia="en-US"/>
        </w:rPr>
      </w:pPr>
      <w:bookmarkStart w:id="1620" w:name="_Hlk23257830"/>
      <w:r w:rsidRPr="006B1A5A">
        <w:rPr>
          <w:rFonts w:eastAsia="Calibri"/>
          <w:iCs/>
          <w:lang w:eastAsia="en-US"/>
        </w:rPr>
        <w:t>A scenario to assess exposure from the task of inspecting and repairing used nets does not exist. At the end of the service life of a net, it is in the risk assessment for the environment assumed that approx. 80% of the active substances has leached out. Before being inspected, the nets have also been thoroughly washed in a tumble washing machine with the aim to remove all remaining coating and attached debris and have been disinfected. It can thus reasonably be expected that the small amount of product residues that may still be found in the nets at this point represents a negligible exposure compared to e.g. deployment of nets. This task is thus not further assessed.</w:t>
      </w:r>
    </w:p>
    <w:bookmarkEnd w:id="1619"/>
    <w:bookmarkEnd w:id="1620"/>
    <w:p w14:paraId="2DD0F032" w14:textId="77777777" w:rsidR="001042DA" w:rsidRPr="006B1A5A" w:rsidRDefault="001042DA" w:rsidP="001042DA">
      <w:pPr>
        <w:spacing w:line="260" w:lineRule="atLeast"/>
        <w:jc w:val="both"/>
        <w:rPr>
          <w:rFonts w:eastAsia="Calibri"/>
          <w:iCs/>
          <w:lang w:eastAsia="en-US"/>
        </w:rPr>
      </w:pPr>
    </w:p>
    <w:bookmarkEnd w:id="1617"/>
    <w:p w14:paraId="6B9ACC61" w14:textId="18A3F6FA" w:rsidR="001042DA" w:rsidRPr="006B1A5A" w:rsidRDefault="006B45EA" w:rsidP="006B45EA">
      <w:pPr>
        <w:spacing w:after="160" w:line="259" w:lineRule="auto"/>
        <w:rPr>
          <w:rFonts w:eastAsia="Calibri"/>
          <w:b/>
          <w:i/>
          <w:iCs/>
          <w:lang w:eastAsia="en-US"/>
        </w:rPr>
      </w:pPr>
      <w:r>
        <w:rPr>
          <w:rFonts w:eastAsia="Calibri"/>
          <w:b/>
          <w:i/>
          <w:iCs/>
          <w:lang w:eastAsia="en-US"/>
        </w:rPr>
        <w:br w:type="page"/>
      </w:r>
    </w:p>
    <w:p w14:paraId="3F44D0FA" w14:textId="77777777" w:rsidR="001042DA" w:rsidRPr="006B1A5A" w:rsidRDefault="001042DA" w:rsidP="001042DA">
      <w:pPr>
        <w:spacing w:line="260" w:lineRule="atLeast"/>
        <w:jc w:val="both"/>
        <w:rPr>
          <w:rFonts w:eastAsia="Calibri"/>
          <w:b/>
          <w:i/>
          <w:iCs/>
          <w:lang w:eastAsia="en-US"/>
        </w:rPr>
      </w:pPr>
      <w:bookmarkStart w:id="1621" w:name="_Hlk22382034"/>
      <w:bookmarkStart w:id="1622" w:name="_Hlk22763806"/>
      <w:bookmarkStart w:id="1623" w:name="_Hlk19705659"/>
      <w:r w:rsidRPr="006B1A5A">
        <w:rPr>
          <w:rFonts w:eastAsia="Calibri"/>
          <w:b/>
          <w:i/>
          <w:iCs/>
          <w:lang w:eastAsia="en-US"/>
        </w:rPr>
        <w:t>Treatment of nets – semiautomatic dipping</w:t>
      </w:r>
    </w:p>
    <w:p w14:paraId="4E11E2FB" w14:textId="77777777" w:rsidR="001042DA" w:rsidRPr="006B1A5A" w:rsidRDefault="001042DA" w:rsidP="001042DA">
      <w:pPr>
        <w:spacing w:line="260" w:lineRule="atLeast"/>
        <w:jc w:val="both"/>
        <w:rPr>
          <w:rFonts w:eastAsia="Calibri"/>
          <w:b/>
          <w:i/>
          <w:iCs/>
          <w:lang w:eastAsia="en-US"/>
        </w:rPr>
      </w:pPr>
    </w:p>
    <w:p w14:paraId="1F3DA10F" w14:textId="381EB835" w:rsidR="001042DA" w:rsidRPr="006B1A5A" w:rsidRDefault="001042DA" w:rsidP="001042DA">
      <w:pPr>
        <w:spacing w:line="260" w:lineRule="atLeast"/>
        <w:jc w:val="both"/>
        <w:rPr>
          <w:rFonts w:eastAsia="Calibri"/>
          <w:iCs/>
          <w:lang w:eastAsia="en-US"/>
        </w:rPr>
      </w:pPr>
      <w:bookmarkStart w:id="1624" w:name="_Hlk23593406"/>
      <w:bookmarkStart w:id="1625" w:name="_Hlk22387688"/>
      <w:bookmarkStart w:id="1626" w:name="_Hlk23258364"/>
      <w:bookmarkStart w:id="1627" w:name="_Hlk23261379"/>
      <w:r w:rsidRPr="006B1A5A">
        <w:rPr>
          <w:rFonts w:eastAsia="Calibri"/>
          <w:iCs/>
          <w:lang w:eastAsia="en-US"/>
        </w:rPr>
        <w:t>A scenario to assess exposure from dip treatment of aquaculture nets, Dipping model 4, is found in the Biocides Human Health Exposure Methodology (</w:t>
      </w:r>
      <w:r w:rsidRPr="006B1A5A">
        <w:rPr>
          <w:rFonts w:cstheme="minorHAnsi"/>
        </w:rPr>
        <w:t>page 311</w:t>
      </w:r>
      <w:r w:rsidRPr="006B1A5A">
        <w:rPr>
          <w:rFonts w:eastAsia="Calibri"/>
          <w:iCs/>
          <w:lang w:eastAsia="en-US"/>
        </w:rPr>
        <w:t>). The scenario includes dispensing product from IBC (mixing and loading), stirring and crane assisted dipping of both solvent</w:t>
      </w:r>
      <w:r w:rsidR="006613B7">
        <w:rPr>
          <w:rFonts w:eastAsia="Calibri"/>
          <w:iCs/>
          <w:lang w:eastAsia="en-US"/>
        </w:rPr>
        <w:t>-</w:t>
      </w:r>
      <w:r w:rsidRPr="006B1A5A">
        <w:rPr>
          <w:rFonts w:eastAsia="Calibri"/>
          <w:iCs/>
          <w:lang w:eastAsia="en-US"/>
        </w:rPr>
        <w:t>based and water</w:t>
      </w:r>
      <w:r w:rsidR="00A02DB5">
        <w:rPr>
          <w:rFonts w:eastAsia="Calibri"/>
          <w:iCs/>
          <w:lang w:eastAsia="en-US"/>
        </w:rPr>
        <w:t>-</w:t>
      </w:r>
      <w:r w:rsidRPr="006B1A5A">
        <w:rPr>
          <w:rFonts w:eastAsia="Calibri"/>
          <w:iCs/>
          <w:lang w:eastAsia="en-US"/>
        </w:rPr>
        <w:t xml:space="preserve">based products. Indicative values for this scenario </w:t>
      </w:r>
      <w:r w:rsidR="001F1F8D" w:rsidRPr="006B1A5A">
        <w:rPr>
          <w:rFonts w:eastAsia="Calibri"/>
          <w:iCs/>
          <w:lang w:eastAsia="en-US"/>
        </w:rPr>
        <w:t>are</w:t>
      </w:r>
      <w:r w:rsidRPr="006B1A5A">
        <w:rPr>
          <w:rFonts w:eastAsia="Calibri"/>
          <w:iCs/>
          <w:lang w:eastAsia="en-US"/>
        </w:rPr>
        <w:t xml:space="preserve"> further given (page 199). The indicative values are the maximum values due to the low number of measurements and the large variation.</w:t>
      </w:r>
    </w:p>
    <w:p w14:paraId="1A58892E" w14:textId="77777777" w:rsidR="001042DA" w:rsidRPr="006B1A5A" w:rsidRDefault="001042DA" w:rsidP="001042DA">
      <w:pPr>
        <w:spacing w:line="260" w:lineRule="atLeast"/>
        <w:jc w:val="both"/>
        <w:rPr>
          <w:rFonts w:eastAsia="Calibri"/>
          <w:iCs/>
          <w:lang w:eastAsia="en-US"/>
        </w:rPr>
      </w:pPr>
    </w:p>
    <w:p w14:paraId="51935D30" w14:textId="77777777" w:rsidR="001042DA" w:rsidRPr="006B1A5A" w:rsidRDefault="001042DA" w:rsidP="001042DA">
      <w:pPr>
        <w:spacing w:line="260" w:lineRule="atLeast"/>
        <w:jc w:val="both"/>
        <w:rPr>
          <w:rFonts w:eastAsia="Calibri"/>
          <w:iCs/>
          <w:lang w:eastAsia="en-US"/>
        </w:rPr>
      </w:pPr>
      <w:r w:rsidRPr="006B1A5A">
        <w:rPr>
          <w:rFonts w:eastAsia="Calibri"/>
          <w:iCs/>
          <w:lang w:eastAsia="en-US"/>
        </w:rPr>
        <w:t xml:space="preserve">The scenario is based on survey data from different dipping processes. </w:t>
      </w:r>
    </w:p>
    <w:p w14:paraId="1D6ACC1D" w14:textId="787B678F" w:rsidR="001042DA" w:rsidRPr="006B1A5A" w:rsidRDefault="001042DA" w:rsidP="001042DA">
      <w:pPr>
        <w:spacing w:line="260" w:lineRule="atLeast"/>
        <w:jc w:val="both"/>
      </w:pPr>
      <w:r w:rsidRPr="006B1A5A">
        <w:rPr>
          <w:rFonts w:eastAsia="Calibri"/>
          <w:lang w:eastAsia="en-US"/>
        </w:rPr>
        <w:t>According to the guidance document, the results reflect the true nature of the net dipping activity; i.e. an intermittent handling of treated nets at various stages of dryness.  The work includes semi-automated</w:t>
      </w:r>
      <w:r w:rsidRPr="006B1A5A">
        <w:t xml:space="preserve"> immersion of the nets in large vats of fluid and similar retrieval at the conclusion of the process. This work is then followed by the drying and preparation of the nets and wrapping prior to transportation to the ultimate customer.</w:t>
      </w:r>
    </w:p>
    <w:p w14:paraId="25252790" w14:textId="77777777" w:rsidR="001042DA" w:rsidRPr="006B1A5A" w:rsidRDefault="001042DA" w:rsidP="001042DA">
      <w:pPr>
        <w:spacing w:line="260" w:lineRule="atLeast"/>
        <w:jc w:val="both"/>
        <w:rPr>
          <w:rFonts w:eastAsia="Calibri"/>
          <w:iCs/>
          <w:lang w:eastAsia="en-US"/>
        </w:rPr>
      </w:pPr>
    </w:p>
    <w:p w14:paraId="1D6B8D8A" w14:textId="204A21F3" w:rsidR="001042DA" w:rsidRPr="006B1A5A" w:rsidRDefault="001042DA" w:rsidP="001042DA">
      <w:pPr>
        <w:spacing w:line="260" w:lineRule="atLeast"/>
        <w:jc w:val="both"/>
        <w:rPr>
          <w:rFonts w:eastAsia="Calibri"/>
          <w:iCs/>
          <w:lang w:eastAsia="en-US"/>
        </w:rPr>
      </w:pPr>
      <w:r w:rsidRPr="006B1A5A">
        <w:rPr>
          <w:rFonts w:eastAsia="Calibri"/>
          <w:iCs/>
          <w:lang w:eastAsia="en-US"/>
        </w:rPr>
        <w:t xml:space="preserve">The survey reports it is based on are, however, rather old (from 1999), and the number of measurements </w:t>
      </w:r>
      <w:r w:rsidR="00A02DB5" w:rsidRPr="006B1A5A">
        <w:rPr>
          <w:rFonts w:eastAsia="Calibri"/>
          <w:iCs/>
          <w:lang w:eastAsia="en-US"/>
        </w:rPr>
        <w:t>is</w:t>
      </w:r>
      <w:r w:rsidRPr="006B1A5A">
        <w:rPr>
          <w:rFonts w:eastAsia="Calibri"/>
          <w:iCs/>
          <w:lang w:eastAsia="en-US"/>
        </w:rPr>
        <w:t xml:space="preserve"> very low (n=9). The dipping techniques used differ between the sites included in the survey with different degrees of automatization and hence potential for dermal exposure. Dermal exposure resulted from manually connecting/disconnecting of treated nets to hoists/fork lifts/drums, contact with contaminated surfaces, manually immersion of buoyant nets using sticks (where relevant, two sites only) and particularly from physical contact when transferring the nets to the drying stations. </w:t>
      </w:r>
    </w:p>
    <w:p w14:paraId="4221B2E3" w14:textId="74016A30" w:rsidR="001042DA" w:rsidRPr="006B1A5A" w:rsidRDefault="001042DA" w:rsidP="001042DA">
      <w:pPr>
        <w:spacing w:line="260" w:lineRule="atLeast"/>
        <w:jc w:val="both"/>
        <w:rPr>
          <w:rFonts w:eastAsia="Calibri"/>
          <w:iCs/>
          <w:lang w:eastAsia="en-US"/>
        </w:rPr>
      </w:pPr>
      <w:r w:rsidRPr="006B1A5A">
        <w:rPr>
          <w:rFonts w:eastAsia="Calibri"/>
          <w:lang w:eastAsia="en-US"/>
        </w:rPr>
        <w:t xml:space="preserve">Several of the measurements </w:t>
      </w:r>
      <w:r w:rsidRPr="006B1A5A">
        <w:rPr>
          <w:rFonts w:eastAsia="Calibri"/>
          <w:iCs/>
          <w:lang w:eastAsia="en-US"/>
        </w:rPr>
        <w:t xml:space="preserve">(n=5) </w:t>
      </w:r>
      <w:r w:rsidRPr="006B1A5A">
        <w:rPr>
          <w:rFonts w:eastAsia="Calibri"/>
          <w:lang w:eastAsia="en-US"/>
        </w:rPr>
        <w:t xml:space="preserve">are from dipping and packing of nets treated with solvent based products. Nets treated with solvent based products need to be packed and deployed in a damp state and </w:t>
      </w:r>
      <w:r w:rsidRPr="006B1A5A">
        <w:rPr>
          <w:rFonts w:eastAsia="Calibri"/>
          <w:iCs/>
          <w:lang w:eastAsia="en-US"/>
        </w:rPr>
        <w:t>might therefore</w:t>
      </w:r>
      <w:r w:rsidRPr="006B1A5A">
        <w:rPr>
          <w:rFonts w:eastAsia="Calibri"/>
          <w:lang w:eastAsia="en-US"/>
        </w:rPr>
        <w:t xml:space="preserve"> result in a high exposure to the involved personnel</w:t>
      </w:r>
      <w:r w:rsidRPr="006B1A5A">
        <w:rPr>
          <w:rFonts w:eastAsia="Calibri"/>
          <w:iCs/>
          <w:lang w:eastAsia="en-US"/>
        </w:rPr>
        <w:t xml:space="preserve">. </w:t>
      </w:r>
      <w:r w:rsidRPr="006B1A5A">
        <w:rPr>
          <w:rFonts w:eastAsia="Calibri"/>
          <w:lang w:eastAsia="en-US"/>
        </w:rPr>
        <w:t>Solvent based net impregnation products are no longer on the market in Europe.</w:t>
      </w:r>
      <w:r w:rsidRPr="006B1A5A">
        <w:rPr>
          <w:rFonts w:eastAsia="Calibri"/>
          <w:iCs/>
          <w:lang w:eastAsia="en-US"/>
        </w:rPr>
        <w:t xml:space="preserve">  Nets treated with w</w:t>
      </w:r>
      <w:r w:rsidRPr="006B1A5A">
        <w:rPr>
          <w:rFonts w:eastAsia="Calibri"/>
          <w:lang w:eastAsia="en-US"/>
        </w:rPr>
        <w:t xml:space="preserve">ater-based products </w:t>
      </w:r>
      <w:r w:rsidRPr="006B1A5A">
        <w:rPr>
          <w:rFonts w:eastAsia="Calibri"/>
          <w:iCs/>
          <w:lang w:eastAsia="en-US"/>
        </w:rPr>
        <w:t xml:space="preserve">on the contrary must be </w:t>
      </w:r>
      <w:r w:rsidRPr="006B1A5A">
        <w:rPr>
          <w:rFonts w:eastAsia="Calibri"/>
          <w:lang w:eastAsia="en-US"/>
        </w:rPr>
        <w:t xml:space="preserve">completely dry before they can be packed. The packing process does no longer involve any manual handling as the nets are transferred directly by winch into a special waterproof net bag in a compression unit for packing. </w:t>
      </w:r>
    </w:p>
    <w:p w14:paraId="21D87A72" w14:textId="03725F59" w:rsidR="001042DA" w:rsidRPr="006B1A5A" w:rsidRDefault="00A02DB5" w:rsidP="001042DA">
      <w:pPr>
        <w:spacing w:line="260" w:lineRule="atLeast"/>
        <w:jc w:val="both"/>
        <w:rPr>
          <w:rFonts w:eastAsia="Calibri"/>
          <w:iCs/>
          <w:lang w:eastAsia="en-US"/>
        </w:rPr>
      </w:pPr>
      <w:r>
        <w:rPr>
          <w:rFonts w:eastAsia="Calibri"/>
          <w:iCs/>
          <w:lang w:eastAsia="en-US"/>
        </w:rPr>
        <w:t>T</w:t>
      </w:r>
      <w:r w:rsidR="001042DA" w:rsidRPr="006B1A5A">
        <w:rPr>
          <w:rFonts w:eastAsia="Calibri"/>
          <w:iCs/>
          <w:lang w:eastAsia="en-US"/>
        </w:rPr>
        <w:t xml:space="preserve">he dipping process has been developed </w:t>
      </w:r>
      <w:r w:rsidR="006613B7">
        <w:rPr>
          <w:rFonts w:eastAsia="Calibri"/>
          <w:iCs/>
          <w:lang w:eastAsia="en-US"/>
        </w:rPr>
        <w:t>in</w:t>
      </w:r>
      <w:r w:rsidR="001042DA" w:rsidRPr="006B1A5A">
        <w:rPr>
          <w:rFonts w:eastAsia="Calibri"/>
          <w:iCs/>
          <w:lang w:eastAsia="en-US"/>
        </w:rPr>
        <w:t xml:space="preserve"> the last 20 years, as both the aquaculture business and its service providers has grown significantly and professionalised in this period. The service stations use, to our knowledge, treatment processes which involve very little degree of physical contact with the nets</w:t>
      </w:r>
      <w:r w:rsidR="006613B7">
        <w:rPr>
          <w:rFonts w:eastAsia="Calibri"/>
          <w:iCs/>
          <w:lang w:eastAsia="en-US"/>
        </w:rPr>
        <w:t xml:space="preserve"> during the treatment process</w:t>
      </w:r>
      <w:r w:rsidR="001042DA" w:rsidRPr="006B1A5A">
        <w:rPr>
          <w:rFonts w:eastAsia="Calibri"/>
          <w:iCs/>
          <w:lang w:eastAsia="en-US"/>
        </w:rPr>
        <w:t>.</w:t>
      </w:r>
    </w:p>
    <w:p w14:paraId="08DE21F0" w14:textId="77777777" w:rsidR="001042DA" w:rsidRPr="006B1A5A" w:rsidRDefault="001042DA" w:rsidP="001042DA">
      <w:pPr>
        <w:spacing w:line="260" w:lineRule="atLeast"/>
        <w:jc w:val="both"/>
        <w:rPr>
          <w:rFonts w:eastAsia="Calibri"/>
          <w:iCs/>
          <w:lang w:eastAsia="en-US"/>
        </w:rPr>
      </w:pPr>
      <w:r w:rsidRPr="006B1A5A">
        <w:rPr>
          <w:rFonts w:eastAsia="Calibri"/>
          <w:iCs/>
          <w:lang w:eastAsia="en-US"/>
        </w:rPr>
        <w:t xml:space="preserve"> </w:t>
      </w:r>
    </w:p>
    <w:p w14:paraId="4CC8A258" w14:textId="2748D5E2" w:rsidR="001042DA" w:rsidRDefault="001042DA" w:rsidP="001042DA">
      <w:pPr>
        <w:spacing w:line="260" w:lineRule="atLeast"/>
        <w:jc w:val="both"/>
        <w:rPr>
          <w:rFonts w:eastAsia="Calibri"/>
          <w:iCs/>
          <w:lang w:eastAsia="en-US"/>
        </w:rPr>
      </w:pPr>
      <w:r w:rsidRPr="006B1A5A">
        <w:rPr>
          <w:rFonts w:eastAsia="Calibri"/>
          <w:iCs/>
          <w:lang w:eastAsia="en-US"/>
        </w:rPr>
        <w:t xml:space="preserve">The recommendation in the Biocides Human Health Exposure Methodology for this exposure model is that the maximum value is used, due to the low number and the variability of the data. This is obviously a very conservative approach and the exposure calculations must therefore be </w:t>
      </w:r>
      <w:r w:rsidR="00A02DB5">
        <w:rPr>
          <w:rFonts w:eastAsia="Calibri"/>
          <w:iCs/>
          <w:lang w:eastAsia="en-US"/>
        </w:rPr>
        <w:t>regarded</w:t>
      </w:r>
      <w:r w:rsidR="00A02DB5" w:rsidRPr="006B1A5A">
        <w:rPr>
          <w:rFonts w:eastAsia="Calibri"/>
          <w:iCs/>
          <w:lang w:eastAsia="en-US"/>
        </w:rPr>
        <w:t xml:space="preserve"> </w:t>
      </w:r>
      <w:r w:rsidRPr="006B1A5A">
        <w:rPr>
          <w:rFonts w:eastAsia="Calibri"/>
          <w:iCs/>
          <w:lang w:eastAsia="en-US"/>
        </w:rPr>
        <w:t>as very conservative.</w:t>
      </w:r>
    </w:p>
    <w:bookmarkEnd w:id="1624"/>
    <w:p w14:paraId="56541977" w14:textId="77777777" w:rsidR="00A02DB5" w:rsidRPr="006B1A5A" w:rsidRDefault="00A02DB5" w:rsidP="001042DA">
      <w:pPr>
        <w:spacing w:line="260" w:lineRule="atLeast"/>
        <w:jc w:val="both"/>
        <w:rPr>
          <w:rFonts w:eastAsia="Calibri"/>
          <w:iCs/>
          <w:lang w:eastAsia="en-US"/>
        </w:rPr>
      </w:pPr>
    </w:p>
    <w:bookmarkEnd w:id="1625"/>
    <w:bookmarkEnd w:id="1626"/>
    <w:p w14:paraId="4808DF9D" w14:textId="77777777" w:rsidR="001042DA" w:rsidRPr="006B1A5A" w:rsidRDefault="001042DA" w:rsidP="001042DA">
      <w:pPr>
        <w:spacing w:line="260" w:lineRule="atLeast"/>
        <w:jc w:val="both"/>
        <w:rPr>
          <w:rFonts w:eastAsia="Calibri"/>
          <w:iCs/>
          <w:lang w:eastAsia="en-US"/>
        </w:rPr>
      </w:pPr>
    </w:p>
    <w:p w14:paraId="1777551E" w14:textId="77777777" w:rsidR="001042DA" w:rsidRPr="006B1A5A" w:rsidRDefault="001042DA" w:rsidP="001042DA">
      <w:pPr>
        <w:spacing w:line="260" w:lineRule="atLeast"/>
        <w:jc w:val="both"/>
        <w:rPr>
          <w:rFonts w:eastAsia="Calibri"/>
          <w:b/>
          <w:i/>
          <w:iCs/>
          <w:lang w:eastAsia="en-US"/>
        </w:rPr>
      </w:pPr>
      <w:r w:rsidRPr="006B1A5A">
        <w:rPr>
          <w:rFonts w:eastAsia="Calibri"/>
          <w:b/>
          <w:i/>
          <w:iCs/>
          <w:lang w:eastAsia="en-US"/>
        </w:rPr>
        <w:t>Treatment of nets – Vacuum treatment</w:t>
      </w:r>
    </w:p>
    <w:p w14:paraId="58091386" w14:textId="77777777" w:rsidR="001042DA" w:rsidRPr="006B1A5A" w:rsidRDefault="001042DA" w:rsidP="001042DA">
      <w:pPr>
        <w:spacing w:line="260" w:lineRule="atLeast"/>
        <w:jc w:val="both"/>
        <w:rPr>
          <w:rFonts w:eastAsia="Calibri"/>
          <w:iCs/>
          <w:lang w:eastAsia="en-US"/>
        </w:rPr>
      </w:pPr>
    </w:p>
    <w:p w14:paraId="6F3EDB49" w14:textId="183BAB84" w:rsidR="001042DA" w:rsidRPr="006B1A5A" w:rsidRDefault="001042DA" w:rsidP="001042DA">
      <w:pPr>
        <w:spacing w:line="260" w:lineRule="atLeast"/>
        <w:jc w:val="both"/>
        <w:rPr>
          <w:rFonts w:eastAsia="Calibri"/>
          <w:iCs/>
          <w:lang w:eastAsia="en-US"/>
        </w:rPr>
      </w:pPr>
      <w:bookmarkStart w:id="1628" w:name="_Hlk23364029"/>
      <w:r w:rsidRPr="006B1A5A">
        <w:rPr>
          <w:rFonts w:eastAsia="Calibri"/>
          <w:iCs/>
          <w:lang w:eastAsia="en-US"/>
        </w:rPr>
        <w:t xml:space="preserve">No scenario </w:t>
      </w:r>
      <w:r w:rsidR="006613B7" w:rsidRPr="006B1A5A">
        <w:rPr>
          <w:rFonts w:eastAsia="Calibri"/>
          <w:iCs/>
          <w:lang w:eastAsia="en-US"/>
        </w:rPr>
        <w:t>exists</w:t>
      </w:r>
      <w:r w:rsidRPr="006B1A5A">
        <w:rPr>
          <w:rFonts w:eastAsia="Calibri"/>
          <w:iCs/>
          <w:lang w:eastAsia="en-US"/>
        </w:rPr>
        <w:t xml:space="preserve"> for the assessment of exposure from vacuum treatment of nets. Many of the tasks involving potential physical handling are, however, identical, such as connecting/disconnecting nets to cranes/winches, spills on the equ</w:t>
      </w:r>
      <w:r w:rsidR="006613B7">
        <w:rPr>
          <w:rFonts w:eastAsia="Calibri"/>
          <w:iCs/>
          <w:lang w:eastAsia="en-US"/>
        </w:rPr>
        <w:t>i</w:t>
      </w:r>
      <w:r w:rsidRPr="006B1A5A">
        <w:rPr>
          <w:rFonts w:eastAsia="Calibri"/>
          <w:iCs/>
          <w:lang w:eastAsia="en-US"/>
        </w:rPr>
        <w:t>pment and handling when the net is transferred to the drying station.</w:t>
      </w:r>
    </w:p>
    <w:p w14:paraId="596F7707" w14:textId="77777777" w:rsidR="001042DA" w:rsidRPr="006B1A5A" w:rsidRDefault="001042DA" w:rsidP="001042DA">
      <w:pPr>
        <w:spacing w:line="260" w:lineRule="atLeast"/>
        <w:jc w:val="both"/>
        <w:rPr>
          <w:rFonts w:eastAsia="Calibri"/>
          <w:iCs/>
          <w:lang w:eastAsia="en-US"/>
        </w:rPr>
      </w:pPr>
      <w:r w:rsidRPr="006B1A5A">
        <w:rPr>
          <w:rFonts w:eastAsia="Calibri"/>
          <w:iCs/>
          <w:lang w:eastAsia="en-US"/>
        </w:rPr>
        <w:t>It is assumed that the Dipping model 4 also covers treatment using the vacuum method.</w:t>
      </w:r>
    </w:p>
    <w:bookmarkEnd w:id="1621"/>
    <w:bookmarkEnd w:id="1627"/>
    <w:bookmarkEnd w:id="1628"/>
    <w:p w14:paraId="285C28B9" w14:textId="5EC804CF" w:rsidR="001042DA" w:rsidRDefault="008D05E9" w:rsidP="008D05E9">
      <w:pPr>
        <w:spacing w:after="160" w:line="259" w:lineRule="auto"/>
        <w:rPr>
          <w:rFonts w:eastAsia="Calibri"/>
          <w:iCs/>
          <w:lang w:eastAsia="en-US"/>
        </w:rPr>
      </w:pPr>
      <w:r>
        <w:rPr>
          <w:rFonts w:eastAsia="Calibri"/>
          <w:iCs/>
          <w:lang w:eastAsia="en-US"/>
        </w:rPr>
        <w:br w:type="page"/>
      </w:r>
    </w:p>
    <w:p w14:paraId="4535F35A" w14:textId="1F15610D" w:rsidR="00241C9A" w:rsidRPr="006B1A5A" w:rsidRDefault="00241C9A" w:rsidP="00241C9A">
      <w:pPr>
        <w:spacing w:line="260" w:lineRule="atLeast"/>
        <w:jc w:val="both"/>
        <w:rPr>
          <w:rFonts w:eastAsia="Calibri"/>
          <w:b/>
          <w:i/>
          <w:iCs/>
          <w:lang w:eastAsia="en-US"/>
        </w:rPr>
      </w:pPr>
      <w:bookmarkStart w:id="1629" w:name="_Hlk23798757"/>
      <w:r>
        <w:rPr>
          <w:rFonts w:eastAsia="Calibri"/>
          <w:b/>
          <w:i/>
          <w:iCs/>
          <w:lang w:eastAsia="en-US"/>
        </w:rPr>
        <w:t>Cleaning of dipping vats</w:t>
      </w:r>
    </w:p>
    <w:p w14:paraId="02B81A7A" w14:textId="3002D891" w:rsidR="00A02DB5" w:rsidRDefault="00A02DB5" w:rsidP="001042DA">
      <w:pPr>
        <w:spacing w:line="260" w:lineRule="atLeast"/>
        <w:jc w:val="both"/>
        <w:rPr>
          <w:rFonts w:eastAsia="Calibri"/>
          <w:iCs/>
          <w:lang w:eastAsia="en-US"/>
        </w:rPr>
      </w:pPr>
    </w:p>
    <w:p w14:paraId="783AF06A" w14:textId="197A2191" w:rsidR="00241C9A" w:rsidRPr="006B1A5A" w:rsidRDefault="00241C9A" w:rsidP="001042DA">
      <w:pPr>
        <w:spacing w:line="260" w:lineRule="atLeast"/>
        <w:jc w:val="both"/>
        <w:rPr>
          <w:rFonts w:eastAsia="Calibri"/>
          <w:iCs/>
          <w:lang w:eastAsia="en-US"/>
        </w:rPr>
      </w:pPr>
      <w:r w:rsidRPr="006B1A5A">
        <w:rPr>
          <w:rFonts w:eastAsia="Calibri"/>
          <w:iCs/>
          <w:lang w:eastAsia="en-US"/>
        </w:rPr>
        <w:t xml:space="preserve">No scenario exists for the assessment of exposure from </w:t>
      </w:r>
      <w:r>
        <w:rPr>
          <w:rFonts w:eastAsia="Calibri"/>
          <w:iCs/>
          <w:lang w:eastAsia="en-US"/>
        </w:rPr>
        <w:t>cleaning of dipping vats. Cleaning is normally performed once pr</w:t>
      </w:r>
      <w:r w:rsidR="00F55222">
        <w:rPr>
          <w:rFonts w:eastAsia="Calibri"/>
          <w:iCs/>
          <w:lang w:eastAsia="en-US"/>
        </w:rPr>
        <w:t>.</w:t>
      </w:r>
      <w:r>
        <w:rPr>
          <w:rFonts w:eastAsia="Calibri"/>
          <w:iCs/>
          <w:lang w:eastAsia="en-US"/>
        </w:rPr>
        <w:t xml:space="preserve"> year and is performed using single-use coveralls,</w:t>
      </w:r>
      <w:r w:rsidR="00F55222">
        <w:rPr>
          <w:rFonts w:eastAsia="Calibri"/>
          <w:iCs/>
          <w:lang w:eastAsia="en-US"/>
        </w:rPr>
        <w:t xml:space="preserve"> gloves,</w:t>
      </w:r>
      <w:r>
        <w:rPr>
          <w:rFonts w:eastAsia="Calibri"/>
          <w:iCs/>
          <w:lang w:eastAsia="en-US"/>
        </w:rPr>
        <w:t xml:space="preserve"> boots and face shields. The exposure is </w:t>
      </w:r>
      <w:r w:rsidR="008D05E9">
        <w:rPr>
          <w:rFonts w:eastAsia="Calibri"/>
          <w:iCs/>
          <w:lang w:eastAsia="en-US"/>
        </w:rPr>
        <w:t>considered</w:t>
      </w:r>
      <w:r>
        <w:rPr>
          <w:rFonts w:eastAsia="Calibri"/>
          <w:iCs/>
          <w:lang w:eastAsia="en-US"/>
        </w:rPr>
        <w:t xml:space="preserve"> as being covered by the dipping 4 model.</w:t>
      </w:r>
    </w:p>
    <w:bookmarkEnd w:id="1629"/>
    <w:p w14:paraId="256FDE00" w14:textId="77777777" w:rsidR="00F55222" w:rsidRDefault="00F55222" w:rsidP="001042DA">
      <w:pPr>
        <w:spacing w:line="260" w:lineRule="atLeast"/>
        <w:jc w:val="both"/>
        <w:rPr>
          <w:rFonts w:eastAsia="Calibri"/>
          <w:b/>
          <w:i/>
          <w:iCs/>
          <w:lang w:eastAsia="en-US"/>
        </w:rPr>
      </w:pPr>
    </w:p>
    <w:p w14:paraId="4FCD4EAE" w14:textId="030A7263" w:rsidR="001042DA" w:rsidRPr="006B1A5A" w:rsidRDefault="001042DA" w:rsidP="001042DA">
      <w:pPr>
        <w:spacing w:line="260" w:lineRule="atLeast"/>
        <w:jc w:val="both"/>
        <w:rPr>
          <w:rFonts w:eastAsia="Calibri"/>
          <w:b/>
          <w:i/>
          <w:iCs/>
          <w:lang w:eastAsia="en-US"/>
        </w:rPr>
      </w:pPr>
      <w:r w:rsidRPr="006B1A5A">
        <w:rPr>
          <w:rFonts w:eastAsia="Calibri"/>
          <w:b/>
          <w:i/>
          <w:iCs/>
          <w:lang w:eastAsia="en-US"/>
        </w:rPr>
        <w:t>Deployment of treated nets</w:t>
      </w:r>
    </w:p>
    <w:p w14:paraId="12505496" w14:textId="77777777" w:rsidR="001042DA" w:rsidRPr="006B1A5A" w:rsidRDefault="001042DA" w:rsidP="001042DA">
      <w:pPr>
        <w:spacing w:line="260" w:lineRule="atLeast"/>
        <w:jc w:val="both"/>
        <w:rPr>
          <w:rFonts w:eastAsia="Calibri"/>
          <w:iCs/>
          <w:lang w:eastAsia="en-US"/>
        </w:rPr>
      </w:pPr>
    </w:p>
    <w:p w14:paraId="2EC9BD22" w14:textId="6EA6D405" w:rsidR="001042DA" w:rsidRPr="006B1A5A" w:rsidRDefault="001042DA" w:rsidP="001042DA">
      <w:pPr>
        <w:spacing w:line="260" w:lineRule="atLeast"/>
        <w:jc w:val="both"/>
        <w:rPr>
          <w:rFonts w:eastAsia="Calibri"/>
          <w:iCs/>
          <w:lang w:eastAsia="en-US"/>
        </w:rPr>
      </w:pPr>
      <w:bookmarkStart w:id="1630" w:name="_Hlk23261484"/>
      <w:r w:rsidRPr="006B1A5A">
        <w:rPr>
          <w:rFonts w:eastAsia="Calibri"/>
          <w:iCs/>
          <w:lang w:eastAsia="en-US"/>
        </w:rPr>
        <w:t xml:space="preserve">A scenario to assess exposure from deployment and installation of a net at a fish farm, Handling model 2, is found in the </w:t>
      </w:r>
      <w:r w:rsidRPr="006B1A5A">
        <w:rPr>
          <w:rFonts w:cstheme="minorHAnsi"/>
        </w:rPr>
        <w:t>Biocides Human Health Exposure Methodology</w:t>
      </w:r>
      <w:r w:rsidRPr="006B1A5A">
        <w:rPr>
          <w:rFonts w:eastAsia="Calibri"/>
          <w:iCs/>
          <w:lang w:eastAsia="en-US"/>
        </w:rPr>
        <w:t xml:space="preserve"> (page 303).</w:t>
      </w:r>
      <w:r w:rsidRPr="006B1A5A" w:rsidDel="00E9770F">
        <w:rPr>
          <w:rFonts w:eastAsia="Calibri"/>
          <w:iCs/>
          <w:lang w:eastAsia="en-US"/>
        </w:rPr>
        <w:t xml:space="preserve"> </w:t>
      </w:r>
      <w:r w:rsidRPr="006B1A5A">
        <w:rPr>
          <w:rFonts w:eastAsia="Calibri"/>
          <w:iCs/>
          <w:lang w:eastAsia="en-US"/>
        </w:rPr>
        <w:t xml:space="preserve">Indicative values for this scenario </w:t>
      </w:r>
      <w:r w:rsidR="00E9770F">
        <w:rPr>
          <w:rFonts w:eastAsia="Calibri"/>
          <w:iCs/>
          <w:lang w:eastAsia="en-US"/>
        </w:rPr>
        <w:t>are</w:t>
      </w:r>
      <w:r w:rsidRPr="006B1A5A">
        <w:rPr>
          <w:rFonts w:eastAsia="Calibri"/>
          <w:iCs/>
          <w:lang w:eastAsia="en-US"/>
        </w:rPr>
        <w:t xml:space="preserve"> further given (page 198) and </w:t>
      </w:r>
      <w:r w:rsidR="00E9770F">
        <w:rPr>
          <w:rFonts w:eastAsia="Calibri"/>
          <w:iCs/>
          <w:lang w:eastAsia="en-US"/>
        </w:rPr>
        <w:t>are</w:t>
      </w:r>
      <w:r w:rsidRPr="006B1A5A">
        <w:rPr>
          <w:rFonts w:eastAsia="Calibri"/>
          <w:iCs/>
          <w:lang w:eastAsia="en-US"/>
        </w:rPr>
        <w:t xml:space="preserve"> the 75 percentile values.</w:t>
      </w:r>
    </w:p>
    <w:p w14:paraId="0C699580" w14:textId="46B2EAB6" w:rsidR="001042DA" w:rsidRPr="006B1A5A" w:rsidRDefault="001042DA" w:rsidP="001042DA">
      <w:pPr>
        <w:spacing w:line="260" w:lineRule="atLeast"/>
        <w:jc w:val="both"/>
        <w:rPr>
          <w:rFonts w:eastAsia="Calibri"/>
          <w:iCs/>
          <w:lang w:eastAsia="en-US"/>
        </w:rPr>
      </w:pPr>
      <w:r w:rsidRPr="006B1A5A">
        <w:rPr>
          <w:rFonts w:eastAsia="Calibri"/>
          <w:iCs/>
          <w:lang w:eastAsia="en-US"/>
        </w:rPr>
        <w:t>The situation is similar for the exposure scenario for deployment of a treated net. The scenario is titled "installing fish cages using lifting equipment and handling nets damp with sticky product". The original surveys the scenario is based upon are rather old and the number of data is very low. For several of the data, the workers are employing nets treated with solvent based antifouling products, requiring that the nets are still damp with product at deployment. This will inevitabl</w:t>
      </w:r>
      <w:r w:rsidR="00C920FE">
        <w:rPr>
          <w:rFonts w:eastAsia="Calibri"/>
          <w:iCs/>
          <w:lang w:eastAsia="en-US"/>
        </w:rPr>
        <w:t>y</w:t>
      </w:r>
      <w:r w:rsidRPr="006B1A5A">
        <w:rPr>
          <w:rFonts w:eastAsia="Calibri"/>
          <w:iCs/>
          <w:lang w:eastAsia="en-US"/>
        </w:rPr>
        <w:t xml:space="preserve"> result in a higher risk for exposure than if the nets are treated with a water-based product which is completely dry before the net is installed.</w:t>
      </w:r>
    </w:p>
    <w:p w14:paraId="4999024D" w14:textId="77777777" w:rsidR="001042DA" w:rsidRPr="006B1A5A" w:rsidRDefault="001042DA" w:rsidP="001042DA">
      <w:pPr>
        <w:spacing w:line="260" w:lineRule="atLeast"/>
        <w:jc w:val="both"/>
        <w:rPr>
          <w:rFonts w:eastAsia="Calibri"/>
          <w:iCs/>
          <w:lang w:eastAsia="en-US"/>
        </w:rPr>
      </w:pPr>
      <w:r w:rsidRPr="006B1A5A">
        <w:rPr>
          <w:rFonts w:eastAsia="Calibri"/>
          <w:iCs/>
          <w:lang w:eastAsia="en-US"/>
        </w:rPr>
        <w:t xml:space="preserve">The assessment must therefore be regarded as being conservative. </w:t>
      </w:r>
    </w:p>
    <w:bookmarkEnd w:id="1618"/>
    <w:bookmarkEnd w:id="1622"/>
    <w:bookmarkEnd w:id="1630"/>
    <w:p w14:paraId="0DFA23A9" w14:textId="77777777" w:rsidR="001042DA" w:rsidRPr="006B1A5A" w:rsidRDefault="001042DA" w:rsidP="001042DA">
      <w:pPr>
        <w:spacing w:line="260" w:lineRule="atLeast"/>
        <w:jc w:val="both"/>
        <w:rPr>
          <w:rFonts w:eastAsia="Calibri"/>
          <w:iCs/>
          <w:sz w:val="22"/>
          <w:szCs w:val="22"/>
          <w:lang w:eastAsia="en-US"/>
        </w:rPr>
      </w:pPr>
    </w:p>
    <w:p w14:paraId="5036BC25" w14:textId="77777777" w:rsidR="001042DA" w:rsidRPr="006B1A5A" w:rsidRDefault="001042DA" w:rsidP="001042DA">
      <w:pPr>
        <w:spacing w:line="260" w:lineRule="atLeast"/>
        <w:jc w:val="both"/>
        <w:rPr>
          <w:rFonts w:eastAsia="Calibri"/>
          <w:iCs/>
          <w:sz w:val="22"/>
          <w:szCs w:val="22"/>
          <w:lang w:eastAsia="en-US"/>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67"/>
        <w:gridCol w:w="1132"/>
        <w:gridCol w:w="4536"/>
        <w:gridCol w:w="2270"/>
      </w:tblGrid>
      <w:tr w:rsidR="001042DA" w:rsidRPr="006B1A5A" w14:paraId="570AC07A" w14:textId="77777777" w:rsidTr="00AF2AEA">
        <w:trPr>
          <w:tblHeader/>
        </w:trPr>
        <w:tc>
          <w:tcPr>
            <w:tcW w:w="5000" w:type="pct"/>
            <w:gridSpan w:val="4"/>
            <w:shd w:val="clear" w:color="auto" w:fill="FFFFCC"/>
          </w:tcPr>
          <w:p w14:paraId="5EDCC8A8" w14:textId="77777777" w:rsidR="001042DA" w:rsidRPr="006B1A5A" w:rsidRDefault="001042DA" w:rsidP="00AF2AEA">
            <w:pPr>
              <w:keepNext/>
              <w:widowControl w:val="0"/>
              <w:tabs>
                <w:tab w:val="center" w:pos="4536"/>
                <w:tab w:val="right" w:pos="9072"/>
              </w:tabs>
              <w:spacing w:before="60" w:after="60"/>
              <w:jc w:val="center"/>
              <w:rPr>
                <w:rFonts w:eastAsia="Calibri"/>
                <w:b/>
                <w:bCs/>
                <w:color w:val="000000"/>
                <w:highlight w:val="green"/>
                <w:lang w:eastAsia="en-GB"/>
              </w:rPr>
            </w:pPr>
            <w:bookmarkStart w:id="1631" w:name="_Hlk11273809"/>
            <w:r w:rsidRPr="006B1A5A">
              <w:rPr>
                <w:rFonts w:eastAsia="Calibri"/>
                <w:b/>
                <w:bCs/>
                <w:color w:val="000000"/>
                <w:lang w:eastAsia="en-GB"/>
              </w:rPr>
              <w:t>Summary table: Scenarios</w:t>
            </w:r>
          </w:p>
        </w:tc>
      </w:tr>
      <w:tr w:rsidR="001042DA" w:rsidRPr="006B1A5A" w14:paraId="5FB57990" w14:textId="77777777" w:rsidTr="00AF2AEA">
        <w:trPr>
          <w:tblHeader/>
        </w:trPr>
        <w:tc>
          <w:tcPr>
            <w:tcW w:w="688" w:type="pct"/>
            <w:shd w:val="clear" w:color="auto" w:fill="FFFFCC"/>
            <w:tcMar>
              <w:top w:w="57" w:type="dxa"/>
              <w:bottom w:w="57" w:type="dxa"/>
            </w:tcMar>
          </w:tcPr>
          <w:p w14:paraId="5286F44B" w14:textId="77777777" w:rsidR="001042DA" w:rsidRPr="006B1A5A" w:rsidRDefault="001042DA" w:rsidP="00AF2AEA">
            <w:pPr>
              <w:keepNext/>
              <w:widowControl w:val="0"/>
              <w:tabs>
                <w:tab w:val="center" w:pos="4536"/>
                <w:tab w:val="right" w:pos="9072"/>
              </w:tabs>
              <w:jc w:val="center"/>
              <w:rPr>
                <w:rFonts w:eastAsia="Calibri"/>
                <w:b/>
                <w:bCs/>
                <w:color w:val="000000"/>
                <w:lang w:eastAsia="en-GB"/>
              </w:rPr>
            </w:pPr>
            <w:r w:rsidRPr="006B1A5A">
              <w:rPr>
                <w:rFonts w:eastAsia="Calibri"/>
                <w:b/>
                <w:bCs/>
                <w:color w:val="000000"/>
                <w:lang w:eastAsia="en-GB"/>
              </w:rPr>
              <w:t>Scenario number</w:t>
            </w:r>
          </w:p>
        </w:tc>
        <w:tc>
          <w:tcPr>
            <w:tcW w:w="615" w:type="pct"/>
            <w:shd w:val="clear" w:color="auto" w:fill="FFFFCC"/>
            <w:tcMar>
              <w:top w:w="57" w:type="dxa"/>
              <w:bottom w:w="57" w:type="dxa"/>
            </w:tcMar>
          </w:tcPr>
          <w:p w14:paraId="1E56B146" w14:textId="77777777" w:rsidR="001042DA" w:rsidRPr="006B1A5A" w:rsidRDefault="001042DA" w:rsidP="00AF2AEA">
            <w:pPr>
              <w:keepNext/>
              <w:widowControl w:val="0"/>
              <w:tabs>
                <w:tab w:val="center" w:pos="4536"/>
                <w:tab w:val="right" w:pos="9072"/>
              </w:tabs>
              <w:jc w:val="center"/>
              <w:rPr>
                <w:rFonts w:eastAsia="Calibri"/>
                <w:b/>
                <w:bCs/>
                <w:color w:val="000000"/>
                <w:lang w:eastAsia="en-GB"/>
              </w:rPr>
            </w:pPr>
            <w:r w:rsidRPr="006B1A5A">
              <w:rPr>
                <w:rFonts w:eastAsia="Calibri"/>
                <w:b/>
                <w:bCs/>
                <w:color w:val="000000"/>
                <w:lang w:eastAsia="en-GB"/>
              </w:rPr>
              <w:t>Scenario</w:t>
            </w:r>
          </w:p>
          <w:p w14:paraId="7EDB7D9A" w14:textId="77777777" w:rsidR="001042DA" w:rsidRPr="006B1A5A" w:rsidRDefault="001042DA" w:rsidP="00AF2AEA">
            <w:pPr>
              <w:keepNext/>
              <w:widowControl w:val="0"/>
              <w:tabs>
                <w:tab w:val="center" w:pos="4536"/>
                <w:tab w:val="right" w:pos="9072"/>
              </w:tabs>
              <w:jc w:val="center"/>
              <w:rPr>
                <w:rFonts w:eastAsia="Calibri"/>
                <w:bCs/>
                <w:color w:val="000000"/>
                <w:lang w:eastAsia="en-GB"/>
              </w:rPr>
            </w:pPr>
            <w:r w:rsidRPr="006B1A5A">
              <w:rPr>
                <w:rFonts w:eastAsia="Calibri"/>
                <w:bCs/>
                <w:color w:val="000000"/>
                <w:lang w:eastAsia="en-GB"/>
              </w:rPr>
              <w:t>(e.g. mixing/ loading)</w:t>
            </w:r>
          </w:p>
        </w:tc>
        <w:tc>
          <w:tcPr>
            <w:tcW w:w="2464" w:type="pct"/>
            <w:shd w:val="clear" w:color="auto" w:fill="FFFFCC"/>
            <w:tcMar>
              <w:top w:w="57" w:type="dxa"/>
              <w:bottom w:w="57" w:type="dxa"/>
            </w:tcMar>
          </w:tcPr>
          <w:p w14:paraId="456E7F78" w14:textId="77777777" w:rsidR="001042DA" w:rsidRPr="006B1A5A" w:rsidRDefault="001042DA" w:rsidP="00AF2AEA">
            <w:pPr>
              <w:keepNext/>
              <w:widowControl w:val="0"/>
              <w:tabs>
                <w:tab w:val="center" w:pos="4536"/>
                <w:tab w:val="right" w:pos="9072"/>
              </w:tabs>
              <w:jc w:val="center"/>
              <w:rPr>
                <w:rFonts w:eastAsia="Calibri"/>
                <w:b/>
                <w:bCs/>
                <w:color w:val="000000"/>
                <w:lang w:eastAsia="en-GB"/>
              </w:rPr>
            </w:pPr>
            <w:r w:rsidRPr="006B1A5A">
              <w:rPr>
                <w:rFonts w:eastAsia="Calibri"/>
                <w:b/>
                <w:bCs/>
                <w:lang w:eastAsia="en-GB"/>
              </w:rPr>
              <w:t>Primary (direct) or secondary (indirect)</w:t>
            </w:r>
            <w:r w:rsidRPr="006B1A5A">
              <w:rPr>
                <w:rFonts w:eastAsia="Calibri"/>
                <w:b/>
                <w:bCs/>
                <w:color w:val="FF0000"/>
                <w:lang w:eastAsia="en-GB"/>
              </w:rPr>
              <w:t xml:space="preserve"> </w:t>
            </w:r>
            <w:r w:rsidRPr="006B1A5A">
              <w:rPr>
                <w:rFonts w:eastAsia="Calibri"/>
                <w:b/>
                <w:bCs/>
                <w:color w:val="000000"/>
                <w:lang w:eastAsia="en-GB"/>
              </w:rPr>
              <w:t>exposure</w:t>
            </w:r>
          </w:p>
          <w:p w14:paraId="3B1D089E" w14:textId="77777777" w:rsidR="001042DA" w:rsidRPr="006B1A5A" w:rsidRDefault="001042DA" w:rsidP="00AF2AEA">
            <w:pPr>
              <w:keepNext/>
              <w:widowControl w:val="0"/>
              <w:tabs>
                <w:tab w:val="center" w:pos="4536"/>
                <w:tab w:val="right" w:pos="9072"/>
              </w:tabs>
              <w:jc w:val="center"/>
              <w:rPr>
                <w:rFonts w:eastAsia="Calibri"/>
                <w:bCs/>
                <w:color w:val="000000"/>
                <w:lang w:eastAsia="en-GB"/>
              </w:rPr>
            </w:pPr>
            <w:r w:rsidRPr="006B1A5A">
              <w:rPr>
                <w:rFonts w:eastAsia="Calibri"/>
                <w:b/>
                <w:bCs/>
                <w:color w:val="000000"/>
                <w:lang w:eastAsia="en-GB"/>
              </w:rPr>
              <w:t>Description of scenario</w:t>
            </w:r>
          </w:p>
        </w:tc>
        <w:tc>
          <w:tcPr>
            <w:tcW w:w="1233" w:type="pct"/>
            <w:shd w:val="clear" w:color="auto" w:fill="FFFFCC"/>
            <w:tcMar>
              <w:top w:w="57" w:type="dxa"/>
              <w:bottom w:w="57" w:type="dxa"/>
            </w:tcMar>
          </w:tcPr>
          <w:p w14:paraId="63E0700F" w14:textId="77777777" w:rsidR="001042DA" w:rsidRPr="006B1A5A" w:rsidRDefault="001042DA" w:rsidP="00AF2AEA">
            <w:pPr>
              <w:keepNext/>
              <w:widowControl w:val="0"/>
              <w:tabs>
                <w:tab w:val="center" w:pos="4536"/>
                <w:tab w:val="right" w:pos="9072"/>
              </w:tabs>
              <w:jc w:val="center"/>
              <w:rPr>
                <w:rFonts w:eastAsia="Calibri"/>
                <w:b/>
                <w:bCs/>
                <w:color w:val="000000"/>
                <w:lang w:eastAsia="en-GB"/>
              </w:rPr>
            </w:pPr>
            <w:r w:rsidRPr="006B1A5A">
              <w:rPr>
                <w:rFonts w:eastAsia="Calibri"/>
                <w:b/>
                <w:bCs/>
                <w:color w:val="000000"/>
                <w:lang w:eastAsia="en-GB"/>
              </w:rPr>
              <w:t>Exposed group</w:t>
            </w:r>
          </w:p>
          <w:p w14:paraId="3437E769" w14:textId="77777777" w:rsidR="001042DA" w:rsidRPr="006B1A5A" w:rsidRDefault="001042DA" w:rsidP="00AF2AEA">
            <w:pPr>
              <w:keepNext/>
              <w:widowControl w:val="0"/>
              <w:tabs>
                <w:tab w:val="center" w:pos="4536"/>
                <w:tab w:val="right" w:pos="9072"/>
              </w:tabs>
              <w:jc w:val="center"/>
              <w:rPr>
                <w:rFonts w:eastAsia="Calibri"/>
                <w:bCs/>
                <w:color w:val="000000"/>
                <w:lang w:eastAsia="en-GB"/>
              </w:rPr>
            </w:pPr>
            <w:r w:rsidRPr="006B1A5A">
              <w:rPr>
                <w:rFonts w:eastAsia="Calibri"/>
                <w:bCs/>
                <w:color w:val="000000"/>
                <w:lang w:eastAsia="en-GB"/>
              </w:rPr>
              <w:t>(e.g. professionals, non-professionals, bystanders)</w:t>
            </w:r>
          </w:p>
        </w:tc>
      </w:tr>
      <w:tr w:rsidR="001042DA" w:rsidRPr="006B1A5A" w14:paraId="25857B75" w14:textId="77777777" w:rsidTr="00AF2AEA">
        <w:trPr>
          <w:tblHeader/>
        </w:trPr>
        <w:tc>
          <w:tcPr>
            <w:tcW w:w="688" w:type="pct"/>
            <w:tcMar>
              <w:top w:w="57" w:type="dxa"/>
              <w:bottom w:w="57" w:type="dxa"/>
            </w:tcMar>
          </w:tcPr>
          <w:p w14:paraId="50058205" w14:textId="77777777" w:rsidR="001042DA" w:rsidRPr="006B1A5A" w:rsidRDefault="001042DA" w:rsidP="00AF2AEA">
            <w:pPr>
              <w:keepNext/>
              <w:rPr>
                <w:rFonts w:eastAsia="Calibri"/>
              </w:rPr>
            </w:pPr>
            <w:r w:rsidRPr="006B1A5A">
              <w:rPr>
                <w:rFonts w:eastAsia="Calibri"/>
              </w:rPr>
              <w:t>1.</w:t>
            </w:r>
          </w:p>
        </w:tc>
        <w:tc>
          <w:tcPr>
            <w:tcW w:w="615" w:type="pct"/>
            <w:shd w:val="clear" w:color="auto" w:fill="auto"/>
            <w:tcMar>
              <w:top w:w="57" w:type="dxa"/>
              <w:bottom w:w="57" w:type="dxa"/>
            </w:tcMar>
          </w:tcPr>
          <w:p w14:paraId="7E59EB8E" w14:textId="77777777" w:rsidR="001042DA" w:rsidRPr="006B1A5A" w:rsidRDefault="001042DA" w:rsidP="00AF2AEA">
            <w:pPr>
              <w:keepNext/>
              <w:widowControl w:val="0"/>
              <w:tabs>
                <w:tab w:val="center" w:pos="4536"/>
                <w:tab w:val="right" w:pos="9072"/>
              </w:tabs>
              <w:rPr>
                <w:rFonts w:eastAsia="Calibri"/>
                <w:color w:val="000000"/>
                <w:lang w:eastAsia="en-GB"/>
              </w:rPr>
            </w:pPr>
            <w:r w:rsidRPr="006B1A5A">
              <w:rPr>
                <w:rFonts w:eastAsia="Calibri"/>
                <w:color w:val="000000"/>
                <w:lang w:eastAsia="en-GB"/>
              </w:rPr>
              <w:t>Dipping Model 4; Net Dipping</w:t>
            </w:r>
          </w:p>
        </w:tc>
        <w:tc>
          <w:tcPr>
            <w:tcW w:w="2464" w:type="pct"/>
            <w:tcMar>
              <w:top w:w="57" w:type="dxa"/>
              <w:bottom w:w="57" w:type="dxa"/>
            </w:tcMar>
          </w:tcPr>
          <w:p w14:paraId="5AAE9C72" w14:textId="77777777" w:rsidR="001042DA" w:rsidRPr="006B1A5A" w:rsidRDefault="001042DA" w:rsidP="00AF2AEA">
            <w:pPr>
              <w:keepNext/>
              <w:widowControl w:val="0"/>
              <w:tabs>
                <w:tab w:val="center" w:pos="4536"/>
                <w:tab w:val="right" w:pos="9072"/>
              </w:tabs>
              <w:jc w:val="both"/>
              <w:rPr>
                <w:rFonts w:eastAsia="Calibri"/>
                <w:color w:val="000000"/>
                <w:lang w:eastAsia="en-GB"/>
              </w:rPr>
            </w:pPr>
            <w:r w:rsidRPr="006B1A5A">
              <w:rPr>
                <w:rFonts w:eastAsia="Calibri"/>
                <w:color w:val="000000"/>
                <w:lang w:eastAsia="en-GB"/>
              </w:rPr>
              <w:t xml:space="preserve">Describes the process of </w:t>
            </w:r>
            <w:r w:rsidRPr="006B1A5A">
              <w:t>mixing and loading antifouling product into reservoirs for net dipping, crane assisted net dipping and the packing of treated nets for shipment out to the customer. The model covers the use of both water-based and solvent based products. Hand exposure is actual values inside gloves. Indicative values are maximum values.</w:t>
            </w:r>
          </w:p>
          <w:p w14:paraId="77B4B6F9" w14:textId="77777777" w:rsidR="001042DA" w:rsidRPr="006B1A5A" w:rsidRDefault="001042DA" w:rsidP="00AF2AEA">
            <w:pPr>
              <w:keepNext/>
              <w:widowControl w:val="0"/>
              <w:tabs>
                <w:tab w:val="center" w:pos="4536"/>
                <w:tab w:val="right" w:pos="9072"/>
              </w:tabs>
              <w:jc w:val="both"/>
              <w:rPr>
                <w:rFonts w:eastAsia="Calibri"/>
                <w:color w:val="000000"/>
                <w:lang w:eastAsia="en-GB"/>
              </w:rPr>
            </w:pPr>
          </w:p>
        </w:tc>
        <w:tc>
          <w:tcPr>
            <w:tcW w:w="1233" w:type="pct"/>
            <w:shd w:val="clear" w:color="auto" w:fill="auto"/>
            <w:tcMar>
              <w:top w:w="57" w:type="dxa"/>
              <w:bottom w:w="57" w:type="dxa"/>
            </w:tcMar>
          </w:tcPr>
          <w:p w14:paraId="6ADC6E6F" w14:textId="77777777" w:rsidR="001042DA" w:rsidRPr="006B1A5A" w:rsidRDefault="001042DA" w:rsidP="00AF2AEA">
            <w:pPr>
              <w:keepNext/>
              <w:widowControl w:val="0"/>
              <w:tabs>
                <w:tab w:val="center" w:pos="4536"/>
                <w:tab w:val="right" w:pos="9072"/>
              </w:tabs>
              <w:jc w:val="center"/>
              <w:rPr>
                <w:rFonts w:eastAsia="Calibri"/>
                <w:color w:val="000000"/>
                <w:lang w:eastAsia="en-GB"/>
              </w:rPr>
            </w:pPr>
            <w:r w:rsidRPr="006B1A5A">
              <w:rPr>
                <w:rFonts w:eastAsia="Calibri"/>
                <w:color w:val="000000"/>
                <w:lang w:eastAsia="en-GB"/>
              </w:rPr>
              <w:t>Industrial workers</w:t>
            </w:r>
          </w:p>
        </w:tc>
      </w:tr>
      <w:tr w:rsidR="001042DA" w:rsidRPr="006B1A5A" w14:paraId="70E2A47B" w14:textId="77777777" w:rsidTr="00AF2AEA">
        <w:trPr>
          <w:tblHeader/>
        </w:trPr>
        <w:tc>
          <w:tcPr>
            <w:tcW w:w="688" w:type="pct"/>
            <w:tcMar>
              <w:top w:w="57" w:type="dxa"/>
              <w:bottom w:w="57" w:type="dxa"/>
            </w:tcMar>
          </w:tcPr>
          <w:p w14:paraId="0CDDF6F9" w14:textId="77777777" w:rsidR="001042DA" w:rsidRPr="006B1A5A" w:rsidRDefault="001042DA" w:rsidP="00AF2AEA">
            <w:pPr>
              <w:keepNext/>
              <w:rPr>
                <w:rFonts w:eastAsia="Calibri"/>
              </w:rPr>
            </w:pPr>
            <w:r w:rsidRPr="006B1A5A">
              <w:rPr>
                <w:rFonts w:eastAsia="Calibri"/>
              </w:rPr>
              <w:t>2.</w:t>
            </w:r>
          </w:p>
        </w:tc>
        <w:tc>
          <w:tcPr>
            <w:tcW w:w="615" w:type="pct"/>
            <w:shd w:val="clear" w:color="auto" w:fill="auto"/>
            <w:tcMar>
              <w:top w:w="57" w:type="dxa"/>
              <w:bottom w:w="57" w:type="dxa"/>
            </w:tcMar>
          </w:tcPr>
          <w:p w14:paraId="3A585C2A" w14:textId="77777777" w:rsidR="001042DA" w:rsidRPr="006B1A5A" w:rsidRDefault="001042DA" w:rsidP="00AF2AEA">
            <w:pPr>
              <w:keepNext/>
              <w:widowControl w:val="0"/>
              <w:tabs>
                <w:tab w:val="center" w:pos="4536"/>
                <w:tab w:val="right" w:pos="9072"/>
              </w:tabs>
              <w:rPr>
                <w:rFonts w:eastAsia="Calibri"/>
                <w:color w:val="000000"/>
                <w:lang w:eastAsia="en-GB"/>
              </w:rPr>
            </w:pPr>
            <w:r w:rsidRPr="006B1A5A">
              <w:rPr>
                <w:rFonts w:eastAsia="Calibri"/>
                <w:color w:val="000000"/>
                <w:lang w:eastAsia="en-GB"/>
              </w:rPr>
              <w:t>Handling model 2; Net deployment/removal</w:t>
            </w:r>
          </w:p>
        </w:tc>
        <w:tc>
          <w:tcPr>
            <w:tcW w:w="2464" w:type="pct"/>
            <w:tcMar>
              <w:top w:w="57" w:type="dxa"/>
              <w:bottom w:w="57" w:type="dxa"/>
            </w:tcMar>
          </w:tcPr>
          <w:p w14:paraId="6AD48974" w14:textId="77777777" w:rsidR="001042DA" w:rsidRPr="006B1A5A" w:rsidRDefault="001042DA" w:rsidP="00AF2AEA">
            <w:pPr>
              <w:pStyle w:val="Default"/>
              <w:jc w:val="both"/>
              <w:rPr>
                <w:rFonts w:ascii="Verdana" w:hAnsi="Verdana"/>
                <w:sz w:val="20"/>
                <w:szCs w:val="20"/>
              </w:rPr>
            </w:pPr>
            <w:r w:rsidRPr="006B1A5A">
              <w:rPr>
                <w:rFonts w:ascii="Verdana" w:eastAsia="Calibri" w:hAnsi="Verdana"/>
                <w:sz w:val="20"/>
                <w:szCs w:val="20"/>
              </w:rPr>
              <w:t>Describes the process where the</w:t>
            </w:r>
            <w:r w:rsidRPr="006B1A5A">
              <w:rPr>
                <w:rFonts w:ascii="Verdana" w:hAnsi="Verdana"/>
                <w:sz w:val="20"/>
                <w:szCs w:val="20"/>
              </w:rPr>
              <w:t xml:space="preserve"> treated net is hoisted </w:t>
            </w:r>
            <w:r w:rsidRPr="006B1A5A">
              <w:rPr>
                <w:rFonts w:ascii="Verdana" w:hAnsi="Verdana"/>
                <w:noProof/>
                <w:sz w:val="20"/>
                <w:szCs w:val="20"/>
              </w:rPr>
              <w:t>by</w:t>
            </w:r>
            <w:r w:rsidRPr="006B1A5A">
              <w:rPr>
                <w:rFonts w:ascii="Verdana" w:hAnsi="Verdana"/>
                <w:sz w:val="20"/>
                <w:szCs w:val="20"/>
              </w:rPr>
              <w:t xml:space="preserve"> a crane from a service boat and employed in the sea at an aquaculture farm. It will also cover the process of changing a net which is still in service in an active fish farm. These </w:t>
            </w:r>
            <w:r w:rsidRPr="006B1A5A">
              <w:rPr>
                <w:rFonts w:ascii="Verdana" w:hAnsi="Verdana"/>
                <w:noProof/>
                <w:sz w:val="20"/>
                <w:szCs w:val="20"/>
              </w:rPr>
              <w:t xml:space="preserve">activities require handling the nets and although </w:t>
            </w:r>
            <w:r w:rsidRPr="006B1A5A">
              <w:rPr>
                <w:rFonts w:ascii="Verdana" w:hAnsi="Verdana"/>
                <w:sz w:val="20"/>
                <w:szCs w:val="20"/>
              </w:rPr>
              <w:t>limited, physical contact is expected, and workers would be exposed via the dermal route. Removal of the net is the opposite process of deployment. Hand exposure is actual values inside gloves. Indicative values are 75 percentile values.</w:t>
            </w:r>
          </w:p>
          <w:p w14:paraId="76AA0AF1" w14:textId="77777777" w:rsidR="001042DA" w:rsidRPr="006B1A5A" w:rsidRDefault="001042DA" w:rsidP="00AF2AEA">
            <w:pPr>
              <w:keepNext/>
              <w:widowControl w:val="0"/>
              <w:tabs>
                <w:tab w:val="center" w:pos="4536"/>
                <w:tab w:val="right" w:pos="9072"/>
              </w:tabs>
              <w:rPr>
                <w:rFonts w:eastAsia="Calibri"/>
                <w:color w:val="000000"/>
                <w:highlight w:val="green"/>
                <w:lang w:eastAsia="en-GB"/>
              </w:rPr>
            </w:pPr>
          </w:p>
        </w:tc>
        <w:tc>
          <w:tcPr>
            <w:tcW w:w="1233" w:type="pct"/>
            <w:shd w:val="clear" w:color="auto" w:fill="auto"/>
            <w:tcMar>
              <w:top w:w="57" w:type="dxa"/>
              <w:bottom w:w="57" w:type="dxa"/>
            </w:tcMar>
          </w:tcPr>
          <w:p w14:paraId="7472BDA7" w14:textId="77777777" w:rsidR="001042DA" w:rsidRPr="006B1A5A" w:rsidRDefault="001042DA" w:rsidP="00AF2AEA">
            <w:pPr>
              <w:keepNext/>
              <w:widowControl w:val="0"/>
              <w:tabs>
                <w:tab w:val="center" w:pos="4536"/>
                <w:tab w:val="right" w:pos="9072"/>
              </w:tabs>
              <w:jc w:val="center"/>
              <w:rPr>
                <w:rFonts w:eastAsia="Calibri"/>
                <w:color w:val="000000"/>
                <w:highlight w:val="green"/>
                <w:lang w:eastAsia="en-GB"/>
              </w:rPr>
            </w:pPr>
            <w:r w:rsidRPr="006B1A5A">
              <w:rPr>
                <w:rFonts w:eastAsia="Calibri"/>
                <w:color w:val="000000"/>
                <w:lang w:eastAsia="en-GB"/>
              </w:rPr>
              <w:t>Professional operators</w:t>
            </w:r>
          </w:p>
        </w:tc>
      </w:tr>
      <w:bookmarkEnd w:id="1623"/>
      <w:bookmarkEnd w:id="1631"/>
    </w:tbl>
    <w:p w14:paraId="41CCE36B" w14:textId="77777777" w:rsidR="001042DA" w:rsidRPr="006B1A5A" w:rsidRDefault="001042DA" w:rsidP="001042DA">
      <w:pPr>
        <w:spacing w:line="260" w:lineRule="atLeast"/>
        <w:jc w:val="both"/>
        <w:rPr>
          <w:sz w:val="22"/>
          <w:szCs w:val="22"/>
        </w:rPr>
      </w:pPr>
    </w:p>
    <w:p w14:paraId="6C3D4687" w14:textId="77777777" w:rsidR="001042DA" w:rsidRPr="006B1A5A" w:rsidRDefault="001042DA" w:rsidP="001042DA">
      <w:pPr>
        <w:autoSpaceDE w:val="0"/>
        <w:autoSpaceDN w:val="0"/>
        <w:adjustRightInd w:val="0"/>
        <w:spacing w:after="120"/>
        <w:jc w:val="both"/>
        <w:rPr>
          <w:iC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137"/>
        <w:gridCol w:w="2741"/>
        <w:gridCol w:w="3045"/>
      </w:tblGrid>
      <w:tr w:rsidR="001042DA" w:rsidRPr="006B1A5A" w14:paraId="539B76E9" w14:textId="77777777" w:rsidTr="00AF2AEA">
        <w:trPr>
          <w:tblHeader/>
        </w:trPr>
        <w:tc>
          <w:tcPr>
            <w:tcW w:w="8923" w:type="dxa"/>
            <w:gridSpan w:val="3"/>
            <w:shd w:val="clear" w:color="auto" w:fill="FFFFCC"/>
            <w:tcMar>
              <w:top w:w="57" w:type="dxa"/>
              <w:bottom w:w="57" w:type="dxa"/>
            </w:tcMar>
          </w:tcPr>
          <w:p w14:paraId="05C78DE6" w14:textId="77777777" w:rsidR="001042DA" w:rsidRPr="006B1A5A" w:rsidRDefault="001042DA" w:rsidP="00AF2AEA">
            <w:pPr>
              <w:keepNext/>
              <w:widowControl w:val="0"/>
              <w:tabs>
                <w:tab w:val="center" w:pos="4536"/>
                <w:tab w:val="right" w:pos="9072"/>
              </w:tabs>
              <w:jc w:val="center"/>
              <w:rPr>
                <w:rFonts w:eastAsia="Calibri"/>
                <w:b/>
                <w:bCs/>
                <w:color w:val="000000"/>
                <w:lang w:eastAsia="en-GB"/>
              </w:rPr>
            </w:pPr>
            <w:bookmarkStart w:id="1632" w:name="_Hlk11273995"/>
            <w:bookmarkStart w:id="1633" w:name="_Hlk19705921"/>
            <w:r w:rsidRPr="006B1A5A">
              <w:rPr>
                <w:rFonts w:eastAsia="Calibri"/>
                <w:b/>
                <w:bCs/>
                <w:color w:val="000000"/>
                <w:lang w:eastAsia="en-GB"/>
              </w:rPr>
              <w:t>Description of Scenario 1</w:t>
            </w:r>
          </w:p>
        </w:tc>
      </w:tr>
      <w:tr w:rsidR="001042DA" w:rsidRPr="006B1A5A" w14:paraId="0AF83B9B" w14:textId="77777777" w:rsidTr="00AF2AEA">
        <w:trPr>
          <w:tblHeader/>
        </w:trPr>
        <w:tc>
          <w:tcPr>
            <w:tcW w:w="8923" w:type="dxa"/>
            <w:gridSpan w:val="3"/>
            <w:tcMar>
              <w:top w:w="57" w:type="dxa"/>
              <w:bottom w:w="57" w:type="dxa"/>
            </w:tcMar>
          </w:tcPr>
          <w:p w14:paraId="0E2DB7FE" w14:textId="77777777" w:rsidR="001042DA" w:rsidRPr="006B1A5A" w:rsidRDefault="001042DA" w:rsidP="00AF2AEA">
            <w:pPr>
              <w:keepNext/>
              <w:widowControl w:val="0"/>
              <w:tabs>
                <w:tab w:val="center" w:pos="4536"/>
                <w:tab w:val="right" w:pos="9072"/>
              </w:tabs>
              <w:jc w:val="center"/>
              <w:rPr>
                <w:rFonts w:eastAsia="Calibri"/>
                <w:color w:val="000000"/>
                <w:lang w:eastAsia="en-GB"/>
              </w:rPr>
            </w:pPr>
            <w:r w:rsidRPr="006B1A5A">
              <w:rPr>
                <w:rFonts w:eastAsia="Calibri"/>
                <w:b/>
              </w:rPr>
              <w:t>Dipping model 4</w:t>
            </w:r>
          </w:p>
        </w:tc>
      </w:tr>
      <w:tr w:rsidR="001042DA" w:rsidRPr="006B1A5A" w14:paraId="17DE53D3" w14:textId="77777777" w:rsidTr="00AF2AEA">
        <w:trPr>
          <w:tblHeader/>
        </w:trPr>
        <w:tc>
          <w:tcPr>
            <w:tcW w:w="3137" w:type="dxa"/>
            <w:tcMar>
              <w:top w:w="57" w:type="dxa"/>
              <w:bottom w:w="57" w:type="dxa"/>
            </w:tcMar>
          </w:tcPr>
          <w:p w14:paraId="701362DA" w14:textId="77777777" w:rsidR="001042DA" w:rsidRPr="006B1A5A" w:rsidRDefault="001042DA" w:rsidP="00AF2AEA">
            <w:pPr>
              <w:keepNext/>
              <w:rPr>
                <w:rFonts w:eastAsia="Calibri"/>
              </w:rPr>
            </w:pPr>
          </w:p>
        </w:tc>
        <w:tc>
          <w:tcPr>
            <w:tcW w:w="2741" w:type="dxa"/>
            <w:shd w:val="clear" w:color="auto" w:fill="auto"/>
            <w:tcMar>
              <w:top w:w="57" w:type="dxa"/>
              <w:bottom w:w="57" w:type="dxa"/>
            </w:tcMar>
          </w:tcPr>
          <w:p w14:paraId="32C43238" w14:textId="77777777" w:rsidR="001042DA" w:rsidRPr="006B1A5A" w:rsidRDefault="001042DA" w:rsidP="00AF2AEA">
            <w:pPr>
              <w:keepNext/>
              <w:widowControl w:val="0"/>
              <w:tabs>
                <w:tab w:val="center" w:pos="4536"/>
                <w:tab w:val="right" w:pos="9072"/>
              </w:tabs>
              <w:jc w:val="center"/>
              <w:rPr>
                <w:rFonts w:eastAsia="Calibri"/>
                <w:color w:val="000000"/>
                <w:lang w:eastAsia="en-GB"/>
              </w:rPr>
            </w:pPr>
            <w:r w:rsidRPr="006B1A5A">
              <w:rPr>
                <w:rFonts w:eastAsia="Calibri"/>
                <w:color w:val="000000"/>
                <w:lang w:eastAsia="en-GB"/>
              </w:rPr>
              <w:t>Parameters</w:t>
            </w:r>
          </w:p>
        </w:tc>
        <w:tc>
          <w:tcPr>
            <w:tcW w:w="3045" w:type="dxa"/>
          </w:tcPr>
          <w:p w14:paraId="2BC74CE9" w14:textId="77777777" w:rsidR="001042DA" w:rsidRPr="006B1A5A" w:rsidRDefault="001042DA" w:rsidP="00AF2AEA">
            <w:pPr>
              <w:keepNext/>
              <w:widowControl w:val="0"/>
              <w:tabs>
                <w:tab w:val="center" w:pos="4536"/>
                <w:tab w:val="right" w:pos="9072"/>
              </w:tabs>
              <w:jc w:val="center"/>
            </w:pPr>
            <w:r w:rsidRPr="006B1A5A">
              <w:t>Value</w:t>
            </w:r>
          </w:p>
        </w:tc>
      </w:tr>
      <w:tr w:rsidR="001042DA" w:rsidRPr="006B1A5A" w14:paraId="09DC2C9E" w14:textId="77777777" w:rsidTr="00AF2AEA">
        <w:trPr>
          <w:tblHeader/>
        </w:trPr>
        <w:tc>
          <w:tcPr>
            <w:tcW w:w="3137" w:type="dxa"/>
            <w:vMerge w:val="restart"/>
            <w:tcMar>
              <w:top w:w="57" w:type="dxa"/>
              <w:bottom w:w="57" w:type="dxa"/>
            </w:tcMar>
          </w:tcPr>
          <w:p w14:paraId="47427C93" w14:textId="77777777" w:rsidR="001042DA" w:rsidRPr="006B1A5A" w:rsidRDefault="001042DA" w:rsidP="00AF2AEA">
            <w:pPr>
              <w:keepNext/>
              <w:rPr>
                <w:rFonts w:eastAsia="Calibri"/>
              </w:rPr>
            </w:pPr>
          </w:p>
          <w:p w14:paraId="5CB1F2B6" w14:textId="77777777" w:rsidR="001042DA" w:rsidRPr="006B1A5A" w:rsidRDefault="001042DA" w:rsidP="00AF2AEA">
            <w:pPr>
              <w:keepNext/>
              <w:rPr>
                <w:rFonts w:eastAsia="Calibri"/>
              </w:rPr>
            </w:pPr>
            <w:r w:rsidRPr="006B1A5A">
              <w:t>Tier 1</w:t>
            </w:r>
          </w:p>
        </w:tc>
        <w:tc>
          <w:tcPr>
            <w:tcW w:w="2741" w:type="dxa"/>
            <w:shd w:val="clear" w:color="auto" w:fill="auto"/>
            <w:tcMar>
              <w:top w:w="57" w:type="dxa"/>
              <w:bottom w:w="57" w:type="dxa"/>
            </w:tcMar>
          </w:tcPr>
          <w:p w14:paraId="31B90BC1" w14:textId="77777777" w:rsidR="001042DA" w:rsidRPr="006B1A5A" w:rsidRDefault="001042DA" w:rsidP="00AF2AEA">
            <w:pPr>
              <w:keepNext/>
              <w:widowControl w:val="0"/>
              <w:tabs>
                <w:tab w:val="center" w:pos="4536"/>
                <w:tab w:val="right" w:pos="9072"/>
              </w:tabs>
              <w:jc w:val="center"/>
            </w:pPr>
            <w:r w:rsidRPr="006B1A5A">
              <w:rPr>
                <w:rFonts w:eastAsia="Calibri"/>
              </w:rPr>
              <w:t>Body</w:t>
            </w:r>
            <w:r w:rsidRPr="006B1A5A">
              <w:rPr>
                <w:rFonts w:eastAsia="Calibri"/>
                <w:vertAlign w:val="superscript"/>
              </w:rPr>
              <w:t>1</w:t>
            </w:r>
          </w:p>
        </w:tc>
        <w:tc>
          <w:tcPr>
            <w:tcW w:w="3045" w:type="dxa"/>
          </w:tcPr>
          <w:p w14:paraId="2304CA93" w14:textId="77777777" w:rsidR="001042DA" w:rsidRPr="006B1A5A" w:rsidDel="00010735" w:rsidRDefault="001042DA" w:rsidP="00AF2AEA">
            <w:pPr>
              <w:keepNext/>
              <w:widowControl w:val="0"/>
              <w:tabs>
                <w:tab w:val="center" w:pos="4536"/>
                <w:tab w:val="right" w:pos="9072"/>
              </w:tabs>
              <w:jc w:val="center"/>
              <w:rPr>
                <w:vertAlign w:val="superscript"/>
              </w:rPr>
            </w:pPr>
            <w:r w:rsidRPr="006B1A5A">
              <w:t>221 mg/min</w:t>
            </w:r>
          </w:p>
        </w:tc>
      </w:tr>
      <w:tr w:rsidR="001042DA" w:rsidRPr="006B1A5A" w14:paraId="51371507" w14:textId="77777777" w:rsidTr="00AF2AEA">
        <w:trPr>
          <w:tblHeader/>
        </w:trPr>
        <w:tc>
          <w:tcPr>
            <w:tcW w:w="3137" w:type="dxa"/>
            <w:vMerge/>
            <w:tcMar>
              <w:top w:w="57" w:type="dxa"/>
              <w:bottom w:w="57" w:type="dxa"/>
            </w:tcMar>
          </w:tcPr>
          <w:p w14:paraId="5EA85A40" w14:textId="77777777" w:rsidR="001042DA" w:rsidRPr="006B1A5A" w:rsidRDefault="001042DA" w:rsidP="00AF2AEA">
            <w:pPr>
              <w:keepNext/>
            </w:pPr>
          </w:p>
        </w:tc>
        <w:tc>
          <w:tcPr>
            <w:tcW w:w="2741" w:type="dxa"/>
            <w:shd w:val="clear" w:color="auto" w:fill="auto"/>
            <w:tcMar>
              <w:top w:w="57" w:type="dxa"/>
              <w:bottom w:w="57" w:type="dxa"/>
            </w:tcMar>
          </w:tcPr>
          <w:p w14:paraId="7B9B3392" w14:textId="77777777" w:rsidR="001042DA" w:rsidRPr="006B1A5A" w:rsidRDefault="001042DA" w:rsidP="00AF2AEA">
            <w:pPr>
              <w:keepNext/>
              <w:widowControl w:val="0"/>
              <w:tabs>
                <w:tab w:val="center" w:pos="4536"/>
                <w:tab w:val="right" w:pos="9072"/>
              </w:tabs>
              <w:jc w:val="center"/>
            </w:pPr>
            <w:r w:rsidRPr="006B1A5A">
              <w:rPr>
                <w:rFonts w:eastAsia="Calibri"/>
              </w:rPr>
              <w:t>Hands</w:t>
            </w:r>
            <w:r w:rsidRPr="006B1A5A">
              <w:rPr>
                <w:rFonts w:eastAsia="Calibri"/>
                <w:vertAlign w:val="superscript"/>
              </w:rPr>
              <w:t>1</w:t>
            </w:r>
            <w:r w:rsidRPr="006B1A5A">
              <w:rPr>
                <w:rFonts w:eastAsia="Calibri"/>
              </w:rPr>
              <w:t xml:space="preserve"> (</w:t>
            </w:r>
            <w:r w:rsidRPr="006B1A5A">
              <w:rPr>
                <w:iCs/>
                <w:sz w:val="18"/>
              </w:rPr>
              <w:t>hand exposure values are actual measurements inside gloves)</w:t>
            </w:r>
          </w:p>
        </w:tc>
        <w:tc>
          <w:tcPr>
            <w:tcW w:w="3045" w:type="dxa"/>
          </w:tcPr>
          <w:p w14:paraId="0C165E94" w14:textId="77777777" w:rsidR="001042DA" w:rsidRPr="006B1A5A" w:rsidRDefault="001042DA" w:rsidP="00AF2AEA">
            <w:pPr>
              <w:keepNext/>
              <w:widowControl w:val="0"/>
              <w:tabs>
                <w:tab w:val="center" w:pos="4536"/>
                <w:tab w:val="right" w:pos="9072"/>
              </w:tabs>
              <w:jc w:val="center"/>
              <w:rPr>
                <w:vertAlign w:val="superscript"/>
              </w:rPr>
            </w:pPr>
            <w:r w:rsidRPr="006B1A5A">
              <w:rPr>
                <w:rFonts w:eastAsia="Calibri"/>
                <w:color w:val="000000"/>
                <w:lang w:eastAsia="en-GB"/>
              </w:rPr>
              <w:t>16.7 mg/min</w:t>
            </w:r>
          </w:p>
        </w:tc>
      </w:tr>
      <w:tr w:rsidR="001042DA" w:rsidRPr="006B1A5A" w14:paraId="2C85F636" w14:textId="77777777" w:rsidTr="00AF2AEA">
        <w:trPr>
          <w:tblHeader/>
        </w:trPr>
        <w:tc>
          <w:tcPr>
            <w:tcW w:w="3137" w:type="dxa"/>
            <w:vMerge/>
            <w:tcMar>
              <w:top w:w="57" w:type="dxa"/>
              <w:bottom w:w="57" w:type="dxa"/>
            </w:tcMar>
          </w:tcPr>
          <w:p w14:paraId="492E8F66" w14:textId="77777777" w:rsidR="001042DA" w:rsidRPr="006B1A5A" w:rsidRDefault="001042DA" w:rsidP="00AF2AEA">
            <w:pPr>
              <w:keepNext/>
            </w:pPr>
          </w:p>
        </w:tc>
        <w:tc>
          <w:tcPr>
            <w:tcW w:w="2741" w:type="dxa"/>
            <w:shd w:val="clear" w:color="auto" w:fill="auto"/>
            <w:tcMar>
              <w:top w:w="57" w:type="dxa"/>
              <w:bottom w:w="57" w:type="dxa"/>
            </w:tcMar>
          </w:tcPr>
          <w:p w14:paraId="1A401E70" w14:textId="77777777" w:rsidR="001042DA" w:rsidRPr="006B1A5A" w:rsidRDefault="001042DA" w:rsidP="00AF2AEA">
            <w:pPr>
              <w:keepNext/>
              <w:widowControl w:val="0"/>
              <w:tabs>
                <w:tab w:val="center" w:pos="4536"/>
                <w:tab w:val="right" w:pos="9072"/>
              </w:tabs>
              <w:jc w:val="center"/>
              <w:rPr>
                <w:b/>
                <w:vertAlign w:val="superscript"/>
              </w:rPr>
            </w:pPr>
            <w:r w:rsidRPr="006B1A5A">
              <w:t>Inhalation</w:t>
            </w:r>
            <w:r w:rsidRPr="006B1A5A">
              <w:rPr>
                <w:vertAlign w:val="superscript"/>
              </w:rPr>
              <w:t>1</w:t>
            </w:r>
          </w:p>
        </w:tc>
        <w:tc>
          <w:tcPr>
            <w:tcW w:w="3045" w:type="dxa"/>
          </w:tcPr>
          <w:p w14:paraId="28DC751F" w14:textId="77777777" w:rsidR="001042DA" w:rsidRPr="006B1A5A" w:rsidRDefault="001042DA" w:rsidP="00AF2AEA">
            <w:pPr>
              <w:keepNext/>
              <w:widowControl w:val="0"/>
              <w:tabs>
                <w:tab w:val="center" w:pos="4536"/>
                <w:tab w:val="right" w:pos="9072"/>
              </w:tabs>
              <w:jc w:val="center"/>
              <w:rPr>
                <w:b/>
                <w:vertAlign w:val="superscript"/>
              </w:rPr>
            </w:pPr>
            <w:r w:rsidRPr="006B1A5A">
              <w:t>0.20 mg/min</w:t>
            </w:r>
          </w:p>
        </w:tc>
      </w:tr>
      <w:tr w:rsidR="001042DA" w:rsidRPr="006B1A5A" w14:paraId="7915CD37" w14:textId="77777777" w:rsidTr="00AF2AEA">
        <w:trPr>
          <w:tblHeader/>
        </w:trPr>
        <w:tc>
          <w:tcPr>
            <w:tcW w:w="3137" w:type="dxa"/>
            <w:vMerge/>
            <w:tcMar>
              <w:top w:w="57" w:type="dxa"/>
              <w:bottom w:w="57" w:type="dxa"/>
            </w:tcMar>
          </w:tcPr>
          <w:p w14:paraId="2A434831" w14:textId="77777777" w:rsidR="001042DA" w:rsidRPr="006B1A5A" w:rsidRDefault="001042DA" w:rsidP="00AF2AEA">
            <w:pPr>
              <w:keepNext/>
            </w:pPr>
          </w:p>
        </w:tc>
        <w:tc>
          <w:tcPr>
            <w:tcW w:w="2741" w:type="dxa"/>
            <w:shd w:val="clear" w:color="auto" w:fill="auto"/>
            <w:tcMar>
              <w:top w:w="57" w:type="dxa"/>
              <w:bottom w:w="57" w:type="dxa"/>
            </w:tcMar>
          </w:tcPr>
          <w:p w14:paraId="723539B8" w14:textId="77777777" w:rsidR="001042DA" w:rsidRPr="006B1A5A" w:rsidRDefault="001042DA" w:rsidP="00AF2AEA">
            <w:pPr>
              <w:keepNext/>
              <w:widowControl w:val="0"/>
              <w:tabs>
                <w:tab w:val="center" w:pos="4536"/>
                <w:tab w:val="right" w:pos="9072"/>
              </w:tabs>
              <w:jc w:val="center"/>
              <w:rPr>
                <w:vertAlign w:val="superscript"/>
              </w:rPr>
            </w:pPr>
            <w:r w:rsidRPr="006B1A5A">
              <w:t>Inhalation rate</w:t>
            </w:r>
            <w:r w:rsidRPr="006B1A5A">
              <w:rPr>
                <w:vertAlign w:val="superscript"/>
              </w:rPr>
              <w:t>2</w:t>
            </w:r>
          </w:p>
        </w:tc>
        <w:tc>
          <w:tcPr>
            <w:tcW w:w="3045" w:type="dxa"/>
          </w:tcPr>
          <w:p w14:paraId="7EF43157" w14:textId="77777777" w:rsidR="001042DA" w:rsidRPr="006B1A5A" w:rsidRDefault="001042DA" w:rsidP="00AF2AEA">
            <w:pPr>
              <w:keepNext/>
              <w:widowControl w:val="0"/>
              <w:tabs>
                <w:tab w:val="center" w:pos="4536"/>
                <w:tab w:val="right" w:pos="9072"/>
              </w:tabs>
              <w:jc w:val="center"/>
            </w:pPr>
            <w:r w:rsidRPr="006B1A5A">
              <w:t>1.25 m</w:t>
            </w:r>
            <w:r w:rsidRPr="006B1A5A">
              <w:rPr>
                <w:vertAlign w:val="superscript"/>
              </w:rPr>
              <w:t>3</w:t>
            </w:r>
            <w:r w:rsidRPr="006B1A5A">
              <w:t>/h</w:t>
            </w:r>
          </w:p>
        </w:tc>
      </w:tr>
      <w:tr w:rsidR="001042DA" w:rsidRPr="006B1A5A" w14:paraId="0F1D018F" w14:textId="77777777" w:rsidTr="00AF2AEA">
        <w:trPr>
          <w:tblHeader/>
        </w:trPr>
        <w:tc>
          <w:tcPr>
            <w:tcW w:w="3137" w:type="dxa"/>
            <w:vMerge/>
            <w:tcMar>
              <w:top w:w="57" w:type="dxa"/>
              <w:bottom w:w="57" w:type="dxa"/>
            </w:tcMar>
          </w:tcPr>
          <w:p w14:paraId="546EA580" w14:textId="77777777" w:rsidR="001042DA" w:rsidRPr="006B1A5A" w:rsidRDefault="001042DA" w:rsidP="00AF2AEA">
            <w:pPr>
              <w:keepNext/>
            </w:pPr>
          </w:p>
        </w:tc>
        <w:tc>
          <w:tcPr>
            <w:tcW w:w="2741" w:type="dxa"/>
            <w:shd w:val="clear" w:color="auto" w:fill="auto"/>
            <w:tcMar>
              <w:top w:w="57" w:type="dxa"/>
              <w:bottom w:w="57" w:type="dxa"/>
            </w:tcMar>
          </w:tcPr>
          <w:p w14:paraId="33CFF658" w14:textId="77777777" w:rsidR="001042DA" w:rsidRPr="006B1A5A" w:rsidRDefault="001042DA" w:rsidP="00AF2AEA">
            <w:pPr>
              <w:keepNext/>
              <w:widowControl w:val="0"/>
              <w:tabs>
                <w:tab w:val="center" w:pos="4536"/>
                <w:tab w:val="right" w:pos="9072"/>
              </w:tabs>
              <w:jc w:val="center"/>
              <w:rPr>
                <w:vertAlign w:val="superscript"/>
              </w:rPr>
            </w:pPr>
            <w:r w:rsidRPr="006B1A5A">
              <w:t>Duration</w:t>
            </w:r>
            <w:r w:rsidRPr="006B1A5A">
              <w:rPr>
                <w:vertAlign w:val="superscript"/>
              </w:rPr>
              <w:t>1</w:t>
            </w:r>
          </w:p>
        </w:tc>
        <w:tc>
          <w:tcPr>
            <w:tcW w:w="3045" w:type="dxa"/>
          </w:tcPr>
          <w:p w14:paraId="4C2A5573" w14:textId="09187BB7" w:rsidR="001042DA" w:rsidRPr="006B1A5A" w:rsidRDefault="001042DA" w:rsidP="00AF2AEA">
            <w:pPr>
              <w:keepNext/>
              <w:widowControl w:val="0"/>
              <w:tabs>
                <w:tab w:val="center" w:pos="4536"/>
                <w:tab w:val="right" w:pos="9072"/>
              </w:tabs>
              <w:jc w:val="center"/>
            </w:pPr>
            <w:r w:rsidRPr="006B1A5A">
              <w:t>60 min</w:t>
            </w:r>
          </w:p>
        </w:tc>
      </w:tr>
      <w:tr w:rsidR="001042DA" w:rsidRPr="006B1A5A" w14:paraId="58AE0B90" w14:textId="77777777" w:rsidTr="00AF2AEA">
        <w:trPr>
          <w:tblHeader/>
        </w:trPr>
        <w:tc>
          <w:tcPr>
            <w:tcW w:w="3137" w:type="dxa"/>
            <w:vMerge/>
            <w:tcMar>
              <w:top w:w="57" w:type="dxa"/>
              <w:bottom w:w="57" w:type="dxa"/>
            </w:tcMar>
          </w:tcPr>
          <w:p w14:paraId="66D18A30" w14:textId="77777777" w:rsidR="001042DA" w:rsidRPr="006B1A5A" w:rsidRDefault="001042DA" w:rsidP="00AF2AEA">
            <w:pPr>
              <w:keepNext/>
            </w:pPr>
          </w:p>
        </w:tc>
        <w:tc>
          <w:tcPr>
            <w:tcW w:w="2741" w:type="dxa"/>
            <w:shd w:val="clear" w:color="auto" w:fill="auto"/>
            <w:tcMar>
              <w:top w:w="57" w:type="dxa"/>
              <w:bottom w:w="57" w:type="dxa"/>
            </w:tcMar>
          </w:tcPr>
          <w:p w14:paraId="0FAF38F8" w14:textId="77777777" w:rsidR="001042DA" w:rsidRPr="006B1A5A" w:rsidRDefault="001042DA" w:rsidP="00AF2AEA">
            <w:pPr>
              <w:keepNext/>
              <w:widowControl w:val="0"/>
              <w:tabs>
                <w:tab w:val="center" w:pos="4536"/>
                <w:tab w:val="right" w:pos="9072"/>
              </w:tabs>
              <w:jc w:val="center"/>
              <w:rPr>
                <w:vertAlign w:val="superscript"/>
              </w:rPr>
            </w:pPr>
            <w:r w:rsidRPr="006B1A5A">
              <w:t>Body weight</w:t>
            </w:r>
            <w:r w:rsidRPr="006B1A5A">
              <w:rPr>
                <w:vertAlign w:val="superscript"/>
              </w:rPr>
              <w:t>2</w:t>
            </w:r>
          </w:p>
        </w:tc>
        <w:tc>
          <w:tcPr>
            <w:tcW w:w="3045" w:type="dxa"/>
          </w:tcPr>
          <w:p w14:paraId="50293A4A" w14:textId="77777777" w:rsidR="001042DA" w:rsidRPr="006B1A5A" w:rsidRDefault="001042DA" w:rsidP="00AF2AEA">
            <w:pPr>
              <w:keepNext/>
              <w:widowControl w:val="0"/>
              <w:tabs>
                <w:tab w:val="center" w:pos="4536"/>
                <w:tab w:val="right" w:pos="9072"/>
              </w:tabs>
              <w:jc w:val="center"/>
            </w:pPr>
            <w:r w:rsidRPr="006B1A5A">
              <w:t>60 kg</w:t>
            </w:r>
          </w:p>
        </w:tc>
      </w:tr>
      <w:tr w:rsidR="001042DA" w:rsidRPr="00C17B26" w14:paraId="23403C47" w14:textId="77777777" w:rsidTr="00BF75EC">
        <w:trPr>
          <w:tblHeader/>
        </w:trPr>
        <w:tc>
          <w:tcPr>
            <w:tcW w:w="3137" w:type="dxa"/>
            <w:vMerge/>
            <w:tcMar>
              <w:top w:w="57" w:type="dxa"/>
              <w:bottom w:w="57" w:type="dxa"/>
            </w:tcMar>
          </w:tcPr>
          <w:p w14:paraId="27FE759F" w14:textId="77777777" w:rsidR="001042DA" w:rsidRPr="006B1A5A" w:rsidRDefault="001042DA" w:rsidP="00AF2AEA">
            <w:pPr>
              <w:keepNext/>
            </w:pPr>
          </w:p>
        </w:tc>
        <w:tc>
          <w:tcPr>
            <w:tcW w:w="2741" w:type="dxa"/>
            <w:shd w:val="clear" w:color="auto" w:fill="auto"/>
            <w:tcMar>
              <w:top w:w="57" w:type="dxa"/>
              <w:bottom w:w="57" w:type="dxa"/>
            </w:tcMar>
          </w:tcPr>
          <w:p w14:paraId="67F31439" w14:textId="77777777" w:rsidR="001042DA" w:rsidRPr="006B1A5A" w:rsidRDefault="001042DA" w:rsidP="00AF2AEA">
            <w:pPr>
              <w:keepNext/>
              <w:widowControl w:val="0"/>
              <w:tabs>
                <w:tab w:val="center" w:pos="4536"/>
                <w:tab w:val="right" w:pos="9072"/>
              </w:tabs>
              <w:jc w:val="center"/>
            </w:pPr>
            <w:r w:rsidRPr="006B1A5A">
              <w:t>Dermal absorption</w:t>
            </w:r>
            <w:r w:rsidRPr="006B1A5A">
              <w:rPr>
                <w:vertAlign w:val="superscript"/>
              </w:rPr>
              <w:t>4</w:t>
            </w:r>
          </w:p>
        </w:tc>
        <w:tc>
          <w:tcPr>
            <w:tcW w:w="3045" w:type="dxa"/>
            <w:shd w:val="clear" w:color="auto" w:fill="auto"/>
          </w:tcPr>
          <w:p w14:paraId="735BC923" w14:textId="1FAEB1DA" w:rsidR="001042DA" w:rsidRPr="00C17B26" w:rsidRDefault="001042DA" w:rsidP="00AF2AEA">
            <w:pPr>
              <w:keepNext/>
              <w:widowControl w:val="0"/>
              <w:tabs>
                <w:tab w:val="center" w:pos="4536"/>
                <w:tab w:val="right" w:pos="9072"/>
              </w:tabs>
              <w:jc w:val="center"/>
            </w:pPr>
            <w:r w:rsidRPr="00C17B26">
              <w:t>0.4% (</w:t>
            </w:r>
            <w:r w:rsidR="008F5C8B">
              <w:t>copper</w:t>
            </w:r>
            <w:r w:rsidRPr="00C17B26">
              <w:t>; LG and HG 360 products); 1</w:t>
            </w:r>
            <w:r w:rsidR="00A43D0C" w:rsidRPr="00C17B26">
              <w:t>.</w:t>
            </w:r>
            <w:r w:rsidR="003A5EDF" w:rsidRPr="00C17B26">
              <w:t>1</w:t>
            </w:r>
            <w:r w:rsidRPr="00C17B26">
              <w:t>% (</w:t>
            </w:r>
            <w:r w:rsidR="008F5C8B">
              <w:t>copper;</w:t>
            </w:r>
            <w:r w:rsidRPr="00C17B26">
              <w:t xml:space="preserve"> RFU 360); 5% (</w:t>
            </w:r>
            <w:r w:rsidR="005D2346">
              <w:t>t</w:t>
            </w:r>
            <w:r w:rsidR="00C17B26" w:rsidRPr="00C17B26">
              <w:t>hiocyanate</w:t>
            </w:r>
            <w:r w:rsidRPr="00C17B26">
              <w:t>)</w:t>
            </w:r>
          </w:p>
        </w:tc>
      </w:tr>
      <w:tr w:rsidR="001042DA" w:rsidRPr="006B1A5A" w14:paraId="1D35CF1F" w14:textId="77777777" w:rsidTr="00AF2AEA">
        <w:trPr>
          <w:tblHeader/>
        </w:trPr>
        <w:tc>
          <w:tcPr>
            <w:tcW w:w="3137" w:type="dxa"/>
            <w:vMerge w:val="restart"/>
            <w:tcMar>
              <w:top w:w="57" w:type="dxa"/>
              <w:bottom w:w="57" w:type="dxa"/>
            </w:tcMar>
          </w:tcPr>
          <w:p w14:paraId="72552D4E" w14:textId="77777777" w:rsidR="001042DA" w:rsidRPr="006B1A5A" w:rsidRDefault="001042DA" w:rsidP="00AF2AEA">
            <w:pPr>
              <w:keepNext/>
            </w:pPr>
            <w:r w:rsidRPr="006B1A5A">
              <w:t>Tier 2a</w:t>
            </w:r>
          </w:p>
        </w:tc>
        <w:tc>
          <w:tcPr>
            <w:tcW w:w="2741" w:type="dxa"/>
            <w:shd w:val="clear" w:color="auto" w:fill="auto"/>
            <w:tcMar>
              <w:top w:w="57" w:type="dxa"/>
              <w:bottom w:w="57" w:type="dxa"/>
            </w:tcMar>
          </w:tcPr>
          <w:p w14:paraId="48B80E69" w14:textId="77777777" w:rsidR="001042DA" w:rsidRPr="006B1A5A" w:rsidRDefault="001042DA" w:rsidP="00AF2AEA">
            <w:pPr>
              <w:keepNext/>
              <w:widowControl w:val="0"/>
              <w:tabs>
                <w:tab w:val="center" w:pos="4536"/>
                <w:tab w:val="right" w:pos="9072"/>
              </w:tabs>
              <w:jc w:val="center"/>
              <w:rPr>
                <w:vertAlign w:val="superscript"/>
              </w:rPr>
            </w:pPr>
            <w:r w:rsidRPr="006B1A5A">
              <w:t>Clothing penetration (coated coverall)</w:t>
            </w:r>
            <w:r w:rsidRPr="006B1A5A">
              <w:rPr>
                <w:vertAlign w:val="superscript"/>
              </w:rPr>
              <w:t>3</w:t>
            </w:r>
          </w:p>
        </w:tc>
        <w:tc>
          <w:tcPr>
            <w:tcW w:w="3045" w:type="dxa"/>
          </w:tcPr>
          <w:p w14:paraId="580D9C66" w14:textId="77777777" w:rsidR="001042DA" w:rsidRPr="00825938" w:rsidRDefault="001042DA" w:rsidP="00AF2AEA">
            <w:pPr>
              <w:keepNext/>
              <w:widowControl w:val="0"/>
              <w:tabs>
                <w:tab w:val="center" w:pos="4536"/>
                <w:tab w:val="right" w:pos="9072"/>
              </w:tabs>
              <w:jc w:val="center"/>
            </w:pPr>
            <w:r w:rsidRPr="00825938">
              <w:t>10%</w:t>
            </w:r>
          </w:p>
        </w:tc>
      </w:tr>
      <w:tr w:rsidR="001042DA" w:rsidRPr="006B1A5A" w14:paraId="7A82E0C2" w14:textId="77777777" w:rsidTr="00AF2AEA">
        <w:trPr>
          <w:tblHeader/>
        </w:trPr>
        <w:tc>
          <w:tcPr>
            <w:tcW w:w="3137" w:type="dxa"/>
            <w:vMerge/>
            <w:tcMar>
              <w:top w:w="57" w:type="dxa"/>
              <w:bottom w:w="57" w:type="dxa"/>
            </w:tcMar>
          </w:tcPr>
          <w:p w14:paraId="3457987A" w14:textId="77777777" w:rsidR="001042DA" w:rsidRPr="006B1A5A" w:rsidRDefault="001042DA" w:rsidP="00AF2AEA">
            <w:pPr>
              <w:keepNext/>
            </w:pPr>
          </w:p>
        </w:tc>
        <w:tc>
          <w:tcPr>
            <w:tcW w:w="2741" w:type="dxa"/>
            <w:shd w:val="clear" w:color="auto" w:fill="auto"/>
            <w:tcMar>
              <w:top w:w="57" w:type="dxa"/>
              <w:bottom w:w="57" w:type="dxa"/>
            </w:tcMar>
          </w:tcPr>
          <w:p w14:paraId="1F814D59" w14:textId="77777777" w:rsidR="001042DA" w:rsidRPr="006B1A5A" w:rsidRDefault="001042DA" w:rsidP="00AF2AEA">
            <w:pPr>
              <w:keepNext/>
              <w:widowControl w:val="0"/>
              <w:tabs>
                <w:tab w:val="center" w:pos="4536"/>
                <w:tab w:val="right" w:pos="9072"/>
              </w:tabs>
              <w:jc w:val="center"/>
            </w:pPr>
            <w:r w:rsidRPr="006B1A5A">
              <w:t>Hand exposure</w:t>
            </w:r>
            <w:r w:rsidRPr="006B1A5A">
              <w:rPr>
                <w:vertAlign w:val="superscript"/>
              </w:rPr>
              <w:t>1</w:t>
            </w:r>
          </w:p>
        </w:tc>
        <w:tc>
          <w:tcPr>
            <w:tcW w:w="3045" w:type="dxa"/>
          </w:tcPr>
          <w:p w14:paraId="3E811EAE" w14:textId="77777777" w:rsidR="001042DA" w:rsidRPr="006B1A5A" w:rsidRDefault="001042DA" w:rsidP="00AF2AEA">
            <w:pPr>
              <w:keepNext/>
              <w:widowControl w:val="0"/>
              <w:tabs>
                <w:tab w:val="center" w:pos="4536"/>
                <w:tab w:val="right" w:pos="9072"/>
              </w:tabs>
            </w:pPr>
            <w:r w:rsidRPr="006B1A5A">
              <w:rPr>
                <w:iCs/>
                <w:sz w:val="18"/>
              </w:rPr>
              <w:t>Hand exposure values are actual measurements inside gloves.</w:t>
            </w:r>
          </w:p>
        </w:tc>
      </w:tr>
      <w:tr w:rsidR="001042DA" w:rsidRPr="006B1A5A" w14:paraId="136D35BB" w14:textId="77777777" w:rsidTr="00AF2AEA">
        <w:trPr>
          <w:tblHeader/>
        </w:trPr>
        <w:tc>
          <w:tcPr>
            <w:tcW w:w="3137" w:type="dxa"/>
            <w:vMerge w:val="restart"/>
            <w:tcMar>
              <w:top w:w="57" w:type="dxa"/>
              <w:bottom w:w="57" w:type="dxa"/>
            </w:tcMar>
          </w:tcPr>
          <w:p w14:paraId="09F573BB" w14:textId="77777777" w:rsidR="001042DA" w:rsidRPr="006B1A5A" w:rsidRDefault="001042DA" w:rsidP="00AF2AEA">
            <w:pPr>
              <w:keepNext/>
            </w:pPr>
            <w:r w:rsidRPr="006B1A5A">
              <w:t>Tier 2b</w:t>
            </w:r>
          </w:p>
        </w:tc>
        <w:tc>
          <w:tcPr>
            <w:tcW w:w="2741" w:type="dxa"/>
            <w:shd w:val="clear" w:color="auto" w:fill="auto"/>
            <w:tcMar>
              <w:top w:w="57" w:type="dxa"/>
              <w:bottom w:w="57" w:type="dxa"/>
            </w:tcMar>
          </w:tcPr>
          <w:p w14:paraId="28658D26" w14:textId="77777777" w:rsidR="001042DA" w:rsidRPr="006B1A5A" w:rsidRDefault="001042DA" w:rsidP="00AF2AEA">
            <w:pPr>
              <w:keepNext/>
              <w:widowControl w:val="0"/>
              <w:tabs>
                <w:tab w:val="center" w:pos="4536"/>
                <w:tab w:val="right" w:pos="9072"/>
              </w:tabs>
              <w:jc w:val="center"/>
            </w:pPr>
            <w:r w:rsidRPr="006B1A5A">
              <w:t>Clothing penetration (impermeable coverall)</w:t>
            </w:r>
            <w:r w:rsidRPr="006B1A5A">
              <w:rPr>
                <w:vertAlign w:val="superscript"/>
              </w:rPr>
              <w:t>3</w:t>
            </w:r>
          </w:p>
        </w:tc>
        <w:tc>
          <w:tcPr>
            <w:tcW w:w="3045" w:type="dxa"/>
            <w:vAlign w:val="center"/>
          </w:tcPr>
          <w:p w14:paraId="5AE4B7D4" w14:textId="77777777" w:rsidR="001042DA" w:rsidRPr="006B1A5A" w:rsidRDefault="001042DA" w:rsidP="00AF2AEA">
            <w:pPr>
              <w:keepNext/>
              <w:widowControl w:val="0"/>
              <w:tabs>
                <w:tab w:val="center" w:pos="4536"/>
                <w:tab w:val="right" w:pos="9072"/>
              </w:tabs>
              <w:jc w:val="center"/>
              <w:rPr>
                <w:iCs/>
                <w:sz w:val="18"/>
              </w:rPr>
            </w:pPr>
            <w:r w:rsidRPr="006B1A5A">
              <w:rPr>
                <w:iCs/>
                <w:sz w:val="18"/>
              </w:rPr>
              <w:t>5%</w:t>
            </w:r>
          </w:p>
        </w:tc>
      </w:tr>
      <w:tr w:rsidR="001042DA" w:rsidRPr="006B1A5A" w14:paraId="34667CC2" w14:textId="77777777" w:rsidTr="00AF2AEA">
        <w:trPr>
          <w:tblHeader/>
        </w:trPr>
        <w:tc>
          <w:tcPr>
            <w:tcW w:w="3137" w:type="dxa"/>
            <w:vMerge/>
            <w:tcMar>
              <w:top w:w="57" w:type="dxa"/>
              <w:bottom w:w="57" w:type="dxa"/>
            </w:tcMar>
          </w:tcPr>
          <w:p w14:paraId="5FB3081F" w14:textId="77777777" w:rsidR="001042DA" w:rsidRPr="006B1A5A" w:rsidRDefault="001042DA" w:rsidP="00AF2AEA">
            <w:pPr>
              <w:keepNext/>
            </w:pPr>
          </w:p>
        </w:tc>
        <w:tc>
          <w:tcPr>
            <w:tcW w:w="2741" w:type="dxa"/>
            <w:shd w:val="clear" w:color="auto" w:fill="auto"/>
            <w:tcMar>
              <w:top w:w="57" w:type="dxa"/>
              <w:bottom w:w="57" w:type="dxa"/>
            </w:tcMar>
          </w:tcPr>
          <w:p w14:paraId="724B6826" w14:textId="77777777" w:rsidR="001042DA" w:rsidRPr="006B1A5A" w:rsidRDefault="001042DA" w:rsidP="00AF2AEA">
            <w:pPr>
              <w:keepNext/>
              <w:widowControl w:val="0"/>
              <w:tabs>
                <w:tab w:val="center" w:pos="4536"/>
                <w:tab w:val="right" w:pos="9072"/>
              </w:tabs>
              <w:jc w:val="center"/>
            </w:pPr>
            <w:r w:rsidRPr="006B1A5A">
              <w:t>Hand exposure</w:t>
            </w:r>
            <w:r w:rsidRPr="006B1A5A">
              <w:rPr>
                <w:vertAlign w:val="superscript"/>
              </w:rPr>
              <w:t>1</w:t>
            </w:r>
          </w:p>
        </w:tc>
        <w:tc>
          <w:tcPr>
            <w:tcW w:w="3045" w:type="dxa"/>
          </w:tcPr>
          <w:p w14:paraId="51E7604E" w14:textId="77777777" w:rsidR="001042DA" w:rsidRPr="006B1A5A" w:rsidRDefault="001042DA" w:rsidP="00AF2AEA">
            <w:pPr>
              <w:keepNext/>
              <w:widowControl w:val="0"/>
              <w:tabs>
                <w:tab w:val="center" w:pos="4536"/>
                <w:tab w:val="right" w:pos="9072"/>
              </w:tabs>
              <w:rPr>
                <w:iCs/>
                <w:sz w:val="18"/>
              </w:rPr>
            </w:pPr>
            <w:r w:rsidRPr="006B1A5A">
              <w:rPr>
                <w:iCs/>
                <w:sz w:val="18"/>
              </w:rPr>
              <w:t>Hand exposure values are actual measurements inside gloves.</w:t>
            </w:r>
          </w:p>
        </w:tc>
      </w:tr>
    </w:tbl>
    <w:p w14:paraId="5ACCF1F2" w14:textId="478B970A" w:rsidR="001042DA" w:rsidRDefault="001042DA" w:rsidP="007E65EF">
      <w:pPr>
        <w:pStyle w:val="Merknadstekst"/>
        <w:spacing w:after="120"/>
        <w:rPr>
          <w:iCs/>
          <w:sz w:val="18"/>
        </w:rPr>
      </w:pPr>
      <w:bookmarkStart w:id="1634" w:name="_Hlk11274022"/>
      <w:bookmarkEnd w:id="1632"/>
      <w:r w:rsidRPr="006B1A5A">
        <w:rPr>
          <w:iCs/>
          <w:sz w:val="18"/>
          <w:vertAlign w:val="superscript"/>
        </w:rPr>
        <w:t>1)</w:t>
      </w:r>
      <w:r w:rsidRPr="006B1A5A">
        <w:rPr>
          <w:iCs/>
          <w:sz w:val="18"/>
        </w:rPr>
        <w:t xml:space="preserve">Dipping model 4; </w:t>
      </w:r>
      <w:bookmarkStart w:id="1635" w:name="_Hlk22765352"/>
      <w:r w:rsidRPr="006B1A5A">
        <w:rPr>
          <w:iCs/>
          <w:sz w:val="18"/>
        </w:rPr>
        <w:t>Biocides Human Health Exposure Methodology</w:t>
      </w:r>
      <w:bookmarkEnd w:id="1635"/>
      <w:r w:rsidRPr="006B1A5A">
        <w:rPr>
          <w:iCs/>
          <w:sz w:val="18"/>
        </w:rPr>
        <w:t>, maximum values.</w:t>
      </w:r>
      <w:r w:rsidRPr="006B1A5A">
        <w:rPr>
          <w:iCs/>
          <w:sz w:val="18"/>
          <w:vertAlign w:val="superscript"/>
        </w:rPr>
        <w:t xml:space="preserve"> </w:t>
      </w:r>
    </w:p>
    <w:p w14:paraId="036AB818" w14:textId="77777777" w:rsidR="001042DA" w:rsidRPr="006B1A5A" w:rsidRDefault="001042DA" w:rsidP="001042DA">
      <w:pPr>
        <w:autoSpaceDE w:val="0"/>
        <w:autoSpaceDN w:val="0"/>
        <w:adjustRightInd w:val="0"/>
        <w:spacing w:after="120"/>
        <w:jc w:val="both"/>
        <w:rPr>
          <w:iCs/>
          <w:sz w:val="18"/>
        </w:rPr>
      </w:pPr>
      <w:r w:rsidRPr="006B1A5A">
        <w:rPr>
          <w:iCs/>
          <w:sz w:val="18"/>
          <w:vertAlign w:val="superscript"/>
        </w:rPr>
        <w:t>2)</w:t>
      </w:r>
      <w:r w:rsidRPr="006B1A5A">
        <w:rPr>
          <w:iCs/>
          <w:sz w:val="18"/>
        </w:rPr>
        <w:t>HEEG opinion 17, default human factor values for use in exposure assessment for biocidal products</w:t>
      </w:r>
    </w:p>
    <w:p w14:paraId="302528C4" w14:textId="77777777" w:rsidR="001042DA" w:rsidRPr="006B1A5A" w:rsidRDefault="001042DA" w:rsidP="001042DA">
      <w:pPr>
        <w:autoSpaceDE w:val="0"/>
        <w:autoSpaceDN w:val="0"/>
        <w:adjustRightInd w:val="0"/>
        <w:spacing w:after="120"/>
        <w:jc w:val="both"/>
        <w:rPr>
          <w:iCs/>
          <w:sz w:val="18"/>
        </w:rPr>
      </w:pPr>
      <w:r w:rsidRPr="006B1A5A">
        <w:rPr>
          <w:iCs/>
          <w:sz w:val="18"/>
          <w:vertAlign w:val="superscript"/>
        </w:rPr>
        <w:t>3)</w:t>
      </w:r>
      <w:r w:rsidRPr="006B1A5A">
        <w:rPr>
          <w:iCs/>
          <w:sz w:val="18"/>
        </w:rPr>
        <w:t>HEEG opinion 9, Default protection factors for protective clothing and gloves</w:t>
      </w:r>
    </w:p>
    <w:p w14:paraId="1C99BBF3" w14:textId="372D0A6C" w:rsidR="001042DA" w:rsidRPr="006B1A5A" w:rsidRDefault="001042DA" w:rsidP="001042DA">
      <w:pPr>
        <w:autoSpaceDE w:val="0"/>
        <w:autoSpaceDN w:val="0"/>
        <w:adjustRightInd w:val="0"/>
        <w:spacing w:after="120"/>
        <w:jc w:val="both"/>
        <w:rPr>
          <w:iCs/>
          <w:sz w:val="18"/>
        </w:rPr>
      </w:pPr>
      <w:r w:rsidRPr="006B1A5A">
        <w:rPr>
          <w:iCs/>
          <w:sz w:val="18"/>
          <w:vertAlign w:val="superscript"/>
        </w:rPr>
        <w:t>4)</w:t>
      </w:r>
      <w:r w:rsidRPr="006B1A5A">
        <w:rPr>
          <w:iCs/>
          <w:sz w:val="18"/>
        </w:rPr>
        <w:t xml:space="preserve">Dermal absorption of </w:t>
      </w:r>
      <w:r w:rsidR="00825938">
        <w:rPr>
          <w:iCs/>
          <w:sz w:val="18"/>
        </w:rPr>
        <w:t>copper</w:t>
      </w:r>
      <w:r w:rsidRPr="006B1A5A">
        <w:rPr>
          <w:iCs/>
          <w:sz w:val="18"/>
        </w:rPr>
        <w:t xml:space="preserve">: Studies; Dermal absorption of </w:t>
      </w:r>
      <w:r w:rsidR="00825938">
        <w:rPr>
          <w:iCs/>
          <w:sz w:val="18"/>
        </w:rPr>
        <w:t>thiocyanate</w:t>
      </w:r>
      <w:r w:rsidRPr="006B1A5A">
        <w:rPr>
          <w:iCs/>
          <w:sz w:val="18"/>
        </w:rPr>
        <w:t xml:space="preserve">: 5% in accordance with the AR for CuSCN (See ch. </w:t>
      </w:r>
      <w:r w:rsidR="00506F7C">
        <w:rPr>
          <w:iCs/>
          <w:sz w:val="18"/>
        </w:rPr>
        <w:t>2.4.1.1.12</w:t>
      </w:r>
      <w:r w:rsidRPr="006B1A5A">
        <w:rPr>
          <w:iCs/>
          <w:sz w:val="18"/>
        </w:rPr>
        <w:t>)</w:t>
      </w:r>
    </w:p>
    <w:bookmarkEnd w:id="1634"/>
    <w:p w14:paraId="50CC1D76" w14:textId="77777777" w:rsidR="001042DA" w:rsidRPr="006B1A5A" w:rsidRDefault="001042DA" w:rsidP="001042DA">
      <w:pPr>
        <w:autoSpaceDE w:val="0"/>
        <w:autoSpaceDN w:val="0"/>
        <w:adjustRightInd w:val="0"/>
        <w:spacing w:after="120"/>
        <w:jc w:val="both"/>
        <w:rPr>
          <w:b/>
          <w:iCs/>
        </w:rPr>
      </w:pPr>
    </w:p>
    <w:tbl>
      <w:tblP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137"/>
        <w:gridCol w:w="2741"/>
        <w:gridCol w:w="3328"/>
      </w:tblGrid>
      <w:tr w:rsidR="001042DA" w:rsidRPr="006B1A5A" w14:paraId="43CA4B07" w14:textId="77777777" w:rsidTr="00AF2AEA">
        <w:trPr>
          <w:tblHeader/>
        </w:trPr>
        <w:tc>
          <w:tcPr>
            <w:tcW w:w="9206" w:type="dxa"/>
            <w:gridSpan w:val="3"/>
            <w:shd w:val="clear" w:color="auto" w:fill="FFFFCC"/>
            <w:tcMar>
              <w:top w:w="57" w:type="dxa"/>
              <w:bottom w:w="57" w:type="dxa"/>
            </w:tcMar>
          </w:tcPr>
          <w:p w14:paraId="41931CF2" w14:textId="77777777" w:rsidR="001042DA" w:rsidRPr="006B1A5A" w:rsidRDefault="001042DA" w:rsidP="00AF2AEA">
            <w:pPr>
              <w:keepNext/>
              <w:widowControl w:val="0"/>
              <w:tabs>
                <w:tab w:val="center" w:pos="4536"/>
                <w:tab w:val="right" w:pos="9072"/>
              </w:tabs>
              <w:jc w:val="center"/>
              <w:rPr>
                <w:rFonts w:eastAsia="Calibri"/>
                <w:b/>
                <w:bCs/>
                <w:color w:val="000000"/>
                <w:lang w:eastAsia="en-GB"/>
              </w:rPr>
            </w:pPr>
            <w:bookmarkStart w:id="1636" w:name="_Hlk11274116"/>
            <w:r w:rsidRPr="006B1A5A">
              <w:rPr>
                <w:rFonts w:eastAsia="Calibri"/>
                <w:b/>
                <w:bCs/>
                <w:color w:val="000000"/>
                <w:lang w:eastAsia="en-GB"/>
              </w:rPr>
              <w:t>Description of Scenario 2</w:t>
            </w:r>
          </w:p>
        </w:tc>
      </w:tr>
      <w:tr w:rsidR="001042DA" w:rsidRPr="006B1A5A" w14:paraId="06C7FA8E" w14:textId="77777777" w:rsidTr="00127322">
        <w:trPr>
          <w:tblHeader/>
        </w:trPr>
        <w:tc>
          <w:tcPr>
            <w:tcW w:w="9206" w:type="dxa"/>
            <w:gridSpan w:val="3"/>
            <w:tcMar>
              <w:top w:w="57" w:type="dxa"/>
              <w:bottom w:w="57" w:type="dxa"/>
            </w:tcMar>
            <w:vAlign w:val="center"/>
          </w:tcPr>
          <w:p w14:paraId="42AD2096" w14:textId="273E9A3B" w:rsidR="001042DA" w:rsidRPr="006B1A5A" w:rsidRDefault="001042DA" w:rsidP="00127322">
            <w:pPr>
              <w:keepNext/>
              <w:widowControl w:val="0"/>
              <w:tabs>
                <w:tab w:val="center" w:pos="4536"/>
                <w:tab w:val="right" w:pos="9072"/>
              </w:tabs>
              <w:jc w:val="center"/>
              <w:rPr>
                <w:rFonts w:eastAsia="Calibri"/>
                <w:color w:val="000000"/>
                <w:lang w:eastAsia="en-GB"/>
              </w:rPr>
            </w:pPr>
            <w:r w:rsidRPr="006B1A5A">
              <w:rPr>
                <w:rFonts w:eastAsia="Calibri"/>
                <w:b/>
              </w:rPr>
              <w:t>Handling model 2</w:t>
            </w:r>
          </w:p>
        </w:tc>
      </w:tr>
      <w:tr w:rsidR="001042DA" w:rsidRPr="006B1A5A" w14:paraId="7026CECB" w14:textId="77777777" w:rsidTr="00AF2AEA">
        <w:trPr>
          <w:tblHeader/>
        </w:trPr>
        <w:tc>
          <w:tcPr>
            <w:tcW w:w="3137" w:type="dxa"/>
            <w:tcMar>
              <w:top w:w="57" w:type="dxa"/>
              <w:bottom w:w="57" w:type="dxa"/>
            </w:tcMar>
          </w:tcPr>
          <w:p w14:paraId="40E3C7D1" w14:textId="77777777" w:rsidR="001042DA" w:rsidRPr="006B1A5A" w:rsidRDefault="001042DA" w:rsidP="00AF2AEA">
            <w:pPr>
              <w:keepNext/>
              <w:rPr>
                <w:rFonts w:eastAsia="Calibri"/>
              </w:rPr>
            </w:pPr>
          </w:p>
        </w:tc>
        <w:tc>
          <w:tcPr>
            <w:tcW w:w="2741" w:type="dxa"/>
            <w:shd w:val="clear" w:color="auto" w:fill="auto"/>
            <w:tcMar>
              <w:top w:w="57" w:type="dxa"/>
              <w:bottom w:w="57" w:type="dxa"/>
            </w:tcMar>
          </w:tcPr>
          <w:p w14:paraId="7D757989" w14:textId="77777777" w:rsidR="001042DA" w:rsidRPr="006B1A5A" w:rsidRDefault="001042DA" w:rsidP="00AF2AEA">
            <w:pPr>
              <w:keepNext/>
              <w:widowControl w:val="0"/>
              <w:tabs>
                <w:tab w:val="center" w:pos="4536"/>
                <w:tab w:val="right" w:pos="9072"/>
              </w:tabs>
              <w:jc w:val="center"/>
              <w:rPr>
                <w:rFonts w:eastAsia="Calibri"/>
                <w:color w:val="000000"/>
                <w:lang w:eastAsia="en-GB"/>
              </w:rPr>
            </w:pPr>
            <w:r w:rsidRPr="006B1A5A">
              <w:rPr>
                <w:rFonts w:eastAsia="Calibri"/>
                <w:color w:val="000000"/>
                <w:lang w:eastAsia="en-GB"/>
              </w:rPr>
              <w:t>Parameters</w:t>
            </w:r>
          </w:p>
        </w:tc>
        <w:tc>
          <w:tcPr>
            <w:tcW w:w="3328" w:type="dxa"/>
          </w:tcPr>
          <w:p w14:paraId="1EC46A18" w14:textId="77777777" w:rsidR="001042DA" w:rsidRPr="006B1A5A" w:rsidRDefault="001042DA" w:rsidP="00AF2AEA">
            <w:pPr>
              <w:keepNext/>
              <w:widowControl w:val="0"/>
              <w:tabs>
                <w:tab w:val="center" w:pos="4536"/>
                <w:tab w:val="right" w:pos="9072"/>
              </w:tabs>
              <w:jc w:val="center"/>
            </w:pPr>
            <w:r w:rsidRPr="006B1A5A">
              <w:t>Value</w:t>
            </w:r>
          </w:p>
        </w:tc>
      </w:tr>
      <w:tr w:rsidR="001042DA" w:rsidRPr="006B1A5A" w:rsidDel="00010735" w14:paraId="527C48F3" w14:textId="77777777" w:rsidTr="00AF2AEA">
        <w:trPr>
          <w:tblHeader/>
        </w:trPr>
        <w:tc>
          <w:tcPr>
            <w:tcW w:w="3137" w:type="dxa"/>
            <w:vMerge w:val="restart"/>
            <w:tcMar>
              <w:top w:w="57" w:type="dxa"/>
              <w:bottom w:w="57" w:type="dxa"/>
            </w:tcMar>
          </w:tcPr>
          <w:p w14:paraId="1BD824CE" w14:textId="77777777" w:rsidR="001042DA" w:rsidRPr="006B1A5A" w:rsidRDefault="001042DA" w:rsidP="00AF2AEA">
            <w:pPr>
              <w:keepNext/>
              <w:rPr>
                <w:rFonts w:eastAsia="Calibri"/>
              </w:rPr>
            </w:pPr>
          </w:p>
          <w:p w14:paraId="4E08AB68" w14:textId="77777777" w:rsidR="001042DA" w:rsidRPr="006B1A5A" w:rsidRDefault="001042DA" w:rsidP="00AF2AEA">
            <w:pPr>
              <w:keepNext/>
              <w:rPr>
                <w:rFonts w:eastAsia="Calibri"/>
              </w:rPr>
            </w:pPr>
            <w:r w:rsidRPr="006B1A5A">
              <w:t>Tier 1</w:t>
            </w:r>
          </w:p>
        </w:tc>
        <w:tc>
          <w:tcPr>
            <w:tcW w:w="2741" w:type="dxa"/>
            <w:shd w:val="clear" w:color="auto" w:fill="auto"/>
            <w:tcMar>
              <w:top w:w="57" w:type="dxa"/>
              <w:bottom w:w="57" w:type="dxa"/>
            </w:tcMar>
          </w:tcPr>
          <w:p w14:paraId="3DA493F1" w14:textId="77777777" w:rsidR="001042DA" w:rsidRPr="006B1A5A" w:rsidRDefault="001042DA" w:rsidP="00AF2AEA">
            <w:pPr>
              <w:keepNext/>
              <w:widowControl w:val="0"/>
              <w:tabs>
                <w:tab w:val="center" w:pos="4536"/>
                <w:tab w:val="right" w:pos="9072"/>
              </w:tabs>
              <w:jc w:val="center"/>
            </w:pPr>
            <w:r w:rsidRPr="006B1A5A">
              <w:rPr>
                <w:rFonts w:eastAsia="Calibri"/>
              </w:rPr>
              <w:t>Body</w:t>
            </w:r>
          </w:p>
        </w:tc>
        <w:tc>
          <w:tcPr>
            <w:tcW w:w="3328" w:type="dxa"/>
          </w:tcPr>
          <w:p w14:paraId="6DCC5240" w14:textId="77777777" w:rsidR="001042DA" w:rsidRPr="006B1A5A" w:rsidDel="00010735" w:rsidRDefault="001042DA" w:rsidP="00AF2AEA">
            <w:pPr>
              <w:keepNext/>
              <w:widowControl w:val="0"/>
              <w:tabs>
                <w:tab w:val="center" w:pos="4536"/>
                <w:tab w:val="right" w:pos="9072"/>
              </w:tabs>
              <w:jc w:val="center"/>
              <w:rPr>
                <w:vertAlign w:val="superscript"/>
              </w:rPr>
            </w:pPr>
            <w:r w:rsidRPr="006B1A5A">
              <w:t>7.55 mg/min</w:t>
            </w:r>
            <w:r w:rsidRPr="006B1A5A">
              <w:rPr>
                <w:vertAlign w:val="superscript"/>
              </w:rPr>
              <w:t>1</w:t>
            </w:r>
          </w:p>
        </w:tc>
      </w:tr>
      <w:tr w:rsidR="001042DA" w:rsidRPr="006B1A5A" w14:paraId="542270BD" w14:textId="77777777" w:rsidTr="00AF2AEA">
        <w:trPr>
          <w:tblHeader/>
        </w:trPr>
        <w:tc>
          <w:tcPr>
            <w:tcW w:w="3137" w:type="dxa"/>
            <w:vMerge/>
            <w:tcMar>
              <w:top w:w="57" w:type="dxa"/>
              <w:bottom w:w="57" w:type="dxa"/>
            </w:tcMar>
          </w:tcPr>
          <w:p w14:paraId="05077B1B" w14:textId="77777777" w:rsidR="001042DA" w:rsidRPr="006B1A5A" w:rsidRDefault="001042DA" w:rsidP="00AF2AEA">
            <w:pPr>
              <w:keepNext/>
            </w:pPr>
          </w:p>
        </w:tc>
        <w:tc>
          <w:tcPr>
            <w:tcW w:w="2741" w:type="dxa"/>
            <w:shd w:val="clear" w:color="auto" w:fill="auto"/>
            <w:tcMar>
              <w:top w:w="57" w:type="dxa"/>
              <w:bottom w:w="57" w:type="dxa"/>
            </w:tcMar>
          </w:tcPr>
          <w:p w14:paraId="0B0A72B5" w14:textId="77777777" w:rsidR="001042DA" w:rsidRPr="006B1A5A" w:rsidRDefault="001042DA" w:rsidP="00AF2AEA">
            <w:pPr>
              <w:keepNext/>
              <w:widowControl w:val="0"/>
              <w:tabs>
                <w:tab w:val="center" w:pos="4536"/>
                <w:tab w:val="right" w:pos="9072"/>
              </w:tabs>
              <w:jc w:val="center"/>
            </w:pPr>
            <w:r w:rsidRPr="006B1A5A">
              <w:rPr>
                <w:rFonts w:eastAsia="Calibri"/>
              </w:rPr>
              <w:t>Hands</w:t>
            </w:r>
            <w:r w:rsidRPr="006B1A5A">
              <w:rPr>
                <w:iCs/>
                <w:sz w:val="18"/>
              </w:rPr>
              <w:t xml:space="preserve"> (indicative hand exposure values are actual measurements inside gloves)</w:t>
            </w:r>
          </w:p>
        </w:tc>
        <w:tc>
          <w:tcPr>
            <w:tcW w:w="3328" w:type="dxa"/>
          </w:tcPr>
          <w:p w14:paraId="2ADF5090" w14:textId="77777777" w:rsidR="001042DA" w:rsidRPr="006B1A5A" w:rsidRDefault="001042DA" w:rsidP="00AF2AEA">
            <w:pPr>
              <w:keepNext/>
              <w:widowControl w:val="0"/>
              <w:tabs>
                <w:tab w:val="center" w:pos="4536"/>
                <w:tab w:val="right" w:pos="9072"/>
              </w:tabs>
              <w:jc w:val="center"/>
              <w:rPr>
                <w:vertAlign w:val="superscript"/>
              </w:rPr>
            </w:pPr>
            <w:r w:rsidRPr="006B1A5A">
              <w:rPr>
                <w:rFonts w:eastAsia="Calibri"/>
                <w:color w:val="000000"/>
                <w:lang w:eastAsia="en-GB"/>
              </w:rPr>
              <w:t>0.21 mg/min</w:t>
            </w:r>
            <w:r w:rsidRPr="006B1A5A">
              <w:rPr>
                <w:rFonts w:eastAsia="Calibri"/>
                <w:color w:val="000000"/>
                <w:vertAlign w:val="superscript"/>
                <w:lang w:eastAsia="en-GB"/>
              </w:rPr>
              <w:t>1</w:t>
            </w:r>
          </w:p>
        </w:tc>
      </w:tr>
      <w:tr w:rsidR="001042DA" w:rsidRPr="006B1A5A" w14:paraId="0F28667E" w14:textId="77777777" w:rsidTr="00AF2AEA">
        <w:trPr>
          <w:tblHeader/>
        </w:trPr>
        <w:tc>
          <w:tcPr>
            <w:tcW w:w="3137" w:type="dxa"/>
            <w:vMerge/>
            <w:tcMar>
              <w:top w:w="57" w:type="dxa"/>
              <w:bottom w:w="57" w:type="dxa"/>
            </w:tcMar>
          </w:tcPr>
          <w:p w14:paraId="484BE6FD" w14:textId="77777777" w:rsidR="001042DA" w:rsidRPr="006B1A5A" w:rsidRDefault="001042DA" w:rsidP="00AF2AEA">
            <w:pPr>
              <w:keepNext/>
            </w:pPr>
          </w:p>
        </w:tc>
        <w:tc>
          <w:tcPr>
            <w:tcW w:w="2741" w:type="dxa"/>
            <w:shd w:val="clear" w:color="auto" w:fill="auto"/>
            <w:tcMar>
              <w:top w:w="57" w:type="dxa"/>
              <w:bottom w:w="57" w:type="dxa"/>
            </w:tcMar>
          </w:tcPr>
          <w:p w14:paraId="22E95A11" w14:textId="77777777" w:rsidR="001042DA" w:rsidRPr="006B1A5A" w:rsidRDefault="001042DA" w:rsidP="00AF2AEA">
            <w:pPr>
              <w:keepNext/>
              <w:widowControl w:val="0"/>
              <w:tabs>
                <w:tab w:val="center" w:pos="4536"/>
                <w:tab w:val="right" w:pos="9072"/>
              </w:tabs>
              <w:jc w:val="center"/>
              <w:rPr>
                <w:vertAlign w:val="superscript"/>
              </w:rPr>
            </w:pPr>
            <w:r w:rsidRPr="006B1A5A">
              <w:t>Duration</w:t>
            </w:r>
            <w:r w:rsidRPr="006B1A5A">
              <w:rPr>
                <w:vertAlign w:val="superscript"/>
              </w:rPr>
              <w:t>1</w:t>
            </w:r>
          </w:p>
        </w:tc>
        <w:tc>
          <w:tcPr>
            <w:tcW w:w="3328" w:type="dxa"/>
          </w:tcPr>
          <w:p w14:paraId="6D311610" w14:textId="77777777" w:rsidR="001042DA" w:rsidRPr="006B1A5A" w:rsidRDefault="001042DA" w:rsidP="00AF2AEA">
            <w:pPr>
              <w:keepNext/>
              <w:widowControl w:val="0"/>
              <w:tabs>
                <w:tab w:val="center" w:pos="4536"/>
                <w:tab w:val="right" w:pos="9072"/>
              </w:tabs>
              <w:jc w:val="center"/>
            </w:pPr>
            <w:r w:rsidRPr="006B1A5A">
              <w:t>300 min</w:t>
            </w:r>
          </w:p>
        </w:tc>
      </w:tr>
      <w:tr w:rsidR="001042DA" w:rsidRPr="006B1A5A" w14:paraId="7DC75536" w14:textId="77777777" w:rsidTr="00AF2AEA">
        <w:trPr>
          <w:tblHeader/>
        </w:trPr>
        <w:tc>
          <w:tcPr>
            <w:tcW w:w="3137" w:type="dxa"/>
            <w:vMerge/>
            <w:tcMar>
              <w:top w:w="57" w:type="dxa"/>
              <w:bottom w:w="57" w:type="dxa"/>
            </w:tcMar>
          </w:tcPr>
          <w:p w14:paraId="1BF09ADC" w14:textId="77777777" w:rsidR="001042DA" w:rsidRPr="006B1A5A" w:rsidRDefault="001042DA" w:rsidP="00AF2AEA">
            <w:pPr>
              <w:keepNext/>
            </w:pPr>
          </w:p>
        </w:tc>
        <w:tc>
          <w:tcPr>
            <w:tcW w:w="2741" w:type="dxa"/>
            <w:shd w:val="clear" w:color="auto" w:fill="auto"/>
            <w:tcMar>
              <w:top w:w="57" w:type="dxa"/>
              <w:bottom w:w="57" w:type="dxa"/>
            </w:tcMar>
          </w:tcPr>
          <w:p w14:paraId="7871AE67" w14:textId="77777777" w:rsidR="001042DA" w:rsidRPr="006B1A5A" w:rsidRDefault="001042DA" w:rsidP="00AF2AEA">
            <w:pPr>
              <w:keepNext/>
              <w:widowControl w:val="0"/>
              <w:tabs>
                <w:tab w:val="center" w:pos="4536"/>
                <w:tab w:val="right" w:pos="9072"/>
              </w:tabs>
              <w:jc w:val="center"/>
              <w:rPr>
                <w:vertAlign w:val="superscript"/>
              </w:rPr>
            </w:pPr>
            <w:r w:rsidRPr="006B1A5A">
              <w:t>Body weight</w:t>
            </w:r>
            <w:r w:rsidRPr="006B1A5A">
              <w:rPr>
                <w:vertAlign w:val="superscript"/>
              </w:rPr>
              <w:t>2</w:t>
            </w:r>
          </w:p>
        </w:tc>
        <w:tc>
          <w:tcPr>
            <w:tcW w:w="3328" w:type="dxa"/>
          </w:tcPr>
          <w:p w14:paraId="3C3CA65F" w14:textId="77777777" w:rsidR="001042DA" w:rsidRPr="006B1A5A" w:rsidRDefault="001042DA" w:rsidP="00AF2AEA">
            <w:pPr>
              <w:keepNext/>
              <w:widowControl w:val="0"/>
              <w:tabs>
                <w:tab w:val="center" w:pos="4536"/>
                <w:tab w:val="right" w:pos="9072"/>
              </w:tabs>
              <w:jc w:val="center"/>
            </w:pPr>
            <w:r w:rsidRPr="006B1A5A">
              <w:t>60 kg</w:t>
            </w:r>
          </w:p>
        </w:tc>
      </w:tr>
      <w:tr w:rsidR="001042DA" w:rsidRPr="00C17B26" w14:paraId="76D381A2" w14:textId="77777777" w:rsidTr="00AF2AEA">
        <w:trPr>
          <w:tblHeader/>
        </w:trPr>
        <w:tc>
          <w:tcPr>
            <w:tcW w:w="3137" w:type="dxa"/>
            <w:vMerge/>
            <w:tcMar>
              <w:top w:w="57" w:type="dxa"/>
              <w:bottom w:w="57" w:type="dxa"/>
            </w:tcMar>
          </w:tcPr>
          <w:p w14:paraId="631CFC7D" w14:textId="77777777" w:rsidR="001042DA" w:rsidRPr="006B1A5A" w:rsidRDefault="001042DA" w:rsidP="00AF2AEA">
            <w:pPr>
              <w:keepNext/>
            </w:pPr>
          </w:p>
        </w:tc>
        <w:tc>
          <w:tcPr>
            <w:tcW w:w="2741" w:type="dxa"/>
            <w:shd w:val="clear" w:color="auto" w:fill="auto"/>
            <w:tcMar>
              <w:top w:w="57" w:type="dxa"/>
              <w:bottom w:w="57" w:type="dxa"/>
            </w:tcMar>
          </w:tcPr>
          <w:p w14:paraId="6A0F3B9F" w14:textId="77777777" w:rsidR="001042DA" w:rsidRPr="00C17B26" w:rsidRDefault="001042DA" w:rsidP="00AF2AEA">
            <w:pPr>
              <w:keepNext/>
              <w:widowControl w:val="0"/>
              <w:tabs>
                <w:tab w:val="center" w:pos="4536"/>
                <w:tab w:val="right" w:pos="9072"/>
              </w:tabs>
              <w:jc w:val="center"/>
            </w:pPr>
            <w:r w:rsidRPr="00C17B26">
              <w:t>Dermal absorption</w:t>
            </w:r>
            <w:r w:rsidRPr="00C17B26">
              <w:rPr>
                <w:vertAlign w:val="superscript"/>
              </w:rPr>
              <w:t>3</w:t>
            </w:r>
          </w:p>
        </w:tc>
        <w:tc>
          <w:tcPr>
            <w:tcW w:w="3328" w:type="dxa"/>
          </w:tcPr>
          <w:p w14:paraId="656F3866" w14:textId="2344E85E" w:rsidR="001042DA" w:rsidRPr="00C17B26" w:rsidRDefault="001042DA" w:rsidP="00AF2AEA">
            <w:pPr>
              <w:keepNext/>
              <w:widowControl w:val="0"/>
              <w:tabs>
                <w:tab w:val="center" w:pos="4536"/>
                <w:tab w:val="right" w:pos="9072"/>
              </w:tabs>
              <w:jc w:val="center"/>
            </w:pPr>
            <w:r w:rsidRPr="00C17B26">
              <w:t>0.4% (</w:t>
            </w:r>
            <w:r w:rsidR="008F5C8B">
              <w:t>copper</w:t>
            </w:r>
            <w:r w:rsidRPr="00C17B26">
              <w:t>; LG and HG 360 products); 1</w:t>
            </w:r>
            <w:r w:rsidR="00A43D0C" w:rsidRPr="00C17B26">
              <w:t>.</w:t>
            </w:r>
            <w:r w:rsidR="003A5EDF" w:rsidRPr="00C17B26">
              <w:t>1</w:t>
            </w:r>
            <w:r w:rsidRPr="00C17B26">
              <w:t>% (</w:t>
            </w:r>
            <w:r w:rsidR="008F5C8B">
              <w:t>copper</w:t>
            </w:r>
            <w:r w:rsidRPr="00C17B26">
              <w:t>, RFU 360); 5% (</w:t>
            </w:r>
            <w:r w:rsidR="008F5C8B">
              <w:t>t</w:t>
            </w:r>
            <w:r w:rsidR="00C17B26">
              <w:t>hiocyanate</w:t>
            </w:r>
            <w:r w:rsidRPr="00C17B26">
              <w:t>)</w:t>
            </w:r>
          </w:p>
        </w:tc>
      </w:tr>
    </w:tbl>
    <w:p w14:paraId="2B21293A" w14:textId="77777777" w:rsidR="001042DA" w:rsidRPr="00C17B26" w:rsidRDefault="001042DA" w:rsidP="001042DA">
      <w:pPr>
        <w:autoSpaceDE w:val="0"/>
        <w:autoSpaceDN w:val="0"/>
        <w:adjustRightInd w:val="0"/>
        <w:spacing w:after="120"/>
        <w:jc w:val="both"/>
        <w:rPr>
          <w:iCs/>
          <w:sz w:val="18"/>
        </w:rPr>
      </w:pPr>
      <w:bookmarkStart w:id="1637" w:name="_Hlk11274143"/>
      <w:bookmarkEnd w:id="1636"/>
      <w:r w:rsidRPr="00C17B26">
        <w:rPr>
          <w:iCs/>
          <w:sz w:val="18"/>
          <w:vertAlign w:val="superscript"/>
        </w:rPr>
        <w:t>1)</w:t>
      </w:r>
      <w:r w:rsidRPr="00C17B26">
        <w:rPr>
          <w:iCs/>
          <w:sz w:val="18"/>
        </w:rPr>
        <w:t xml:space="preserve">Handling model 2; </w:t>
      </w:r>
      <w:bookmarkStart w:id="1638" w:name="_Hlk22765446"/>
      <w:r w:rsidRPr="00C17B26">
        <w:rPr>
          <w:iCs/>
          <w:sz w:val="18"/>
        </w:rPr>
        <w:t>Biocides Human Health Exposure Methodology</w:t>
      </w:r>
      <w:bookmarkEnd w:id="1638"/>
      <w:r w:rsidRPr="00C17B26">
        <w:rPr>
          <w:iCs/>
          <w:sz w:val="18"/>
        </w:rPr>
        <w:t xml:space="preserve">. 75 percentile values. </w:t>
      </w:r>
    </w:p>
    <w:p w14:paraId="323755D6" w14:textId="77777777" w:rsidR="001042DA" w:rsidRPr="00C17B26" w:rsidRDefault="001042DA" w:rsidP="001042DA">
      <w:pPr>
        <w:autoSpaceDE w:val="0"/>
        <w:autoSpaceDN w:val="0"/>
        <w:adjustRightInd w:val="0"/>
        <w:spacing w:after="120"/>
        <w:jc w:val="both"/>
        <w:rPr>
          <w:iCs/>
          <w:sz w:val="18"/>
        </w:rPr>
      </w:pPr>
      <w:r w:rsidRPr="00C17B26">
        <w:rPr>
          <w:iCs/>
          <w:sz w:val="18"/>
          <w:vertAlign w:val="superscript"/>
        </w:rPr>
        <w:t>2)</w:t>
      </w:r>
      <w:r w:rsidRPr="00C17B26">
        <w:rPr>
          <w:iCs/>
          <w:sz w:val="18"/>
        </w:rPr>
        <w:t>HEEG opinion 17, default human factor values for use in exposure assessment for biocidal products</w:t>
      </w:r>
    </w:p>
    <w:p w14:paraId="0FE4BC53" w14:textId="4C3458AC" w:rsidR="001042DA" w:rsidRPr="006B1A5A" w:rsidRDefault="001042DA" w:rsidP="001042DA">
      <w:pPr>
        <w:autoSpaceDE w:val="0"/>
        <w:autoSpaceDN w:val="0"/>
        <w:adjustRightInd w:val="0"/>
        <w:spacing w:after="120"/>
        <w:jc w:val="both"/>
        <w:rPr>
          <w:iCs/>
          <w:sz w:val="18"/>
        </w:rPr>
      </w:pPr>
      <w:r w:rsidRPr="00C17B26">
        <w:rPr>
          <w:iCs/>
          <w:sz w:val="18"/>
          <w:vertAlign w:val="superscript"/>
        </w:rPr>
        <w:t>3)</w:t>
      </w:r>
      <w:r w:rsidRPr="00C17B26">
        <w:rPr>
          <w:iCs/>
          <w:sz w:val="18"/>
        </w:rPr>
        <w:t xml:space="preserve">Dermal absorption of </w:t>
      </w:r>
      <w:r w:rsidR="00C17B26">
        <w:rPr>
          <w:iCs/>
          <w:sz w:val="18"/>
        </w:rPr>
        <w:t>copper</w:t>
      </w:r>
      <w:r w:rsidRPr="00C17B26">
        <w:rPr>
          <w:iCs/>
          <w:sz w:val="18"/>
        </w:rPr>
        <w:t xml:space="preserve">: Studies; Dermal absorption of </w:t>
      </w:r>
      <w:r w:rsidR="00C17B26">
        <w:rPr>
          <w:iCs/>
          <w:sz w:val="18"/>
        </w:rPr>
        <w:t>thiocyanate</w:t>
      </w:r>
      <w:r w:rsidRPr="00C17B26">
        <w:rPr>
          <w:iCs/>
          <w:sz w:val="18"/>
        </w:rPr>
        <w:t xml:space="preserve">: 5% in accordance with the AR for CuSCN (See ch. </w:t>
      </w:r>
      <w:r w:rsidR="005D2346">
        <w:rPr>
          <w:iCs/>
          <w:sz w:val="18"/>
        </w:rPr>
        <w:t>2.4.1.1.12</w:t>
      </w:r>
      <w:r w:rsidRPr="00C17B26">
        <w:rPr>
          <w:iCs/>
          <w:sz w:val="18"/>
        </w:rPr>
        <w:t>.).</w:t>
      </w:r>
    </w:p>
    <w:bookmarkEnd w:id="1633"/>
    <w:bookmarkEnd w:id="1637"/>
    <w:p w14:paraId="55197DDD" w14:textId="73B327D5" w:rsidR="00542D01" w:rsidRDefault="00542D01" w:rsidP="00BF75EC">
      <w:pPr>
        <w:autoSpaceDE w:val="0"/>
        <w:autoSpaceDN w:val="0"/>
        <w:adjustRightInd w:val="0"/>
        <w:spacing w:after="120"/>
        <w:jc w:val="center"/>
        <w:rPr>
          <w:b/>
          <w:iCs/>
        </w:rPr>
      </w:pPr>
    </w:p>
    <w:p w14:paraId="3B0C12E9" w14:textId="77777777" w:rsidR="006B45EA" w:rsidRPr="006B1A5A" w:rsidRDefault="006B45EA" w:rsidP="001042DA">
      <w:pPr>
        <w:autoSpaceDE w:val="0"/>
        <w:autoSpaceDN w:val="0"/>
        <w:adjustRightInd w:val="0"/>
        <w:spacing w:after="120"/>
        <w:jc w:val="both"/>
        <w:rPr>
          <w:b/>
          <w:iCs/>
        </w:rPr>
      </w:pPr>
    </w:p>
    <w:p w14:paraId="4DFE6C96" w14:textId="77777777" w:rsidR="001042DA" w:rsidRPr="006B1A5A" w:rsidRDefault="001042DA" w:rsidP="001042DA">
      <w:pPr>
        <w:autoSpaceDE w:val="0"/>
        <w:autoSpaceDN w:val="0"/>
        <w:adjustRightInd w:val="0"/>
        <w:spacing w:after="120"/>
        <w:jc w:val="both"/>
        <w:rPr>
          <w:b/>
          <w:iCs/>
        </w:rPr>
      </w:pPr>
      <w:r w:rsidRPr="006B1A5A">
        <w:rPr>
          <w:b/>
          <w:iCs/>
        </w:rPr>
        <w:t>General assumptions:</w:t>
      </w:r>
    </w:p>
    <w:p w14:paraId="3498A683" w14:textId="77777777" w:rsidR="001042DA" w:rsidRPr="006B1A5A" w:rsidRDefault="001042DA" w:rsidP="001042DA">
      <w:pPr>
        <w:autoSpaceDE w:val="0"/>
        <w:autoSpaceDN w:val="0"/>
        <w:adjustRightInd w:val="0"/>
        <w:jc w:val="both"/>
      </w:pPr>
    </w:p>
    <w:p w14:paraId="59D9C7B2" w14:textId="77777777" w:rsidR="00A05A5A" w:rsidRDefault="001042DA" w:rsidP="001042DA">
      <w:pPr>
        <w:autoSpaceDE w:val="0"/>
        <w:autoSpaceDN w:val="0"/>
        <w:adjustRightInd w:val="0"/>
        <w:jc w:val="both"/>
      </w:pPr>
      <w:bookmarkStart w:id="1639" w:name="_Hlk23364746"/>
      <w:r w:rsidRPr="006B1A5A">
        <w:t xml:space="preserve">The systemic exposure of each active substance via the dermal and inhalation routes were estimated using default physiological values (body weight, breathing rate, etc.) and either default or refined model input values for each scenario. After estimation of the systemic exposure, the occupational risks were estimated by comparing the level of systemic exposure with the relevant toxicological reference value for each active substance. </w:t>
      </w:r>
    </w:p>
    <w:p w14:paraId="2336D450" w14:textId="77777777" w:rsidR="00A05A5A" w:rsidRDefault="00A05A5A" w:rsidP="001042DA">
      <w:pPr>
        <w:autoSpaceDE w:val="0"/>
        <w:autoSpaceDN w:val="0"/>
        <w:adjustRightInd w:val="0"/>
        <w:jc w:val="both"/>
      </w:pPr>
    </w:p>
    <w:p w14:paraId="2A046552" w14:textId="1F331E10" w:rsidR="006613B7" w:rsidRDefault="001042DA" w:rsidP="001042DA">
      <w:pPr>
        <w:autoSpaceDE w:val="0"/>
        <w:autoSpaceDN w:val="0"/>
        <w:adjustRightInd w:val="0"/>
        <w:jc w:val="both"/>
      </w:pPr>
      <w:r w:rsidRPr="006B1A5A">
        <w:t>The long-term Acceptable Exposure Level value (AEL) of 0.041 mg</w:t>
      </w:r>
      <w:r w:rsidR="00C17B26">
        <w:t xml:space="preserve"> Cu</w:t>
      </w:r>
      <w:r w:rsidRPr="006B1A5A">
        <w:t xml:space="preserve">/kg </w:t>
      </w:r>
      <w:r w:rsidRPr="006B1A5A">
        <w:rPr>
          <w:noProof/>
        </w:rPr>
        <w:t>bw</w:t>
      </w:r>
      <w:r w:rsidRPr="006B1A5A">
        <w:t xml:space="preserve">/day and </w:t>
      </w:r>
      <w:r w:rsidR="008D3914">
        <w:t xml:space="preserve">the reference value of </w:t>
      </w:r>
      <w:r w:rsidRPr="006B1A5A">
        <w:t>0.17 mg</w:t>
      </w:r>
      <w:r w:rsidR="00C17B26">
        <w:t xml:space="preserve"> </w:t>
      </w:r>
      <w:r w:rsidR="00506F7C">
        <w:t>SCN</w:t>
      </w:r>
      <w:r w:rsidRPr="006B1A5A">
        <w:t xml:space="preserve">/kg </w:t>
      </w:r>
      <w:r w:rsidRPr="006B1A5A">
        <w:rPr>
          <w:noProof/>
        </w:rPr>
        <w:t>bw</w:t>
      </w:r>
      <w:r w:rsidRPr="006B1A5A">
        <w:t xml:space="preserve">/day, respectively were used in the assessment of net treatment </w:t>
      </w:r>
      <w:r w:rsidR="00353B60" w:rsidRPr="006B1A5A">
        <w:t>based on</w:t>
      </w:r>
      <w:r w:rsidRPr="006B1A5A">
        <w:t xml:space="preserve"> the description of the frequency of use. Personnel involved in net treatment may perform this task 2-3 days per week the whole year. </w:t>
      </w:r>
    </w:p>
    <w:p w14:paraId="5F38B845" w14:textId="688D2372" w:rsidR="001042DA" w:rsidRPr="006B1A5A" w:rsidRDefault="001042DA" w:rsidP="001042DA">
      <w:pPr>
        <w:autoSpaceDE w:val="0"/>
        <w:autoSpaceDN w:val="0"/>
        <w:adjustRightInd w:val="0"/>
        <w:jc w:val="both"/>
      </w:pPr>
      <w:r w:rsidRPr="006B1A5A">
        <w:t xml:space="preserve">In the assessment of net deployment, the medium term AEL value of 0.082 </w:t>
      </w:r>
      <w:r w:rsidR="00C17B26" w:rsidRPr="006B1A5A">
        <w:t>mg</w:t>
      </w:r>
      <w:r w:rsidR="00C17B26">
        <w:t xml:space="preserve"> Cu</w:t>
      </w:r>
      <w:r w:rsidR="00C17B26" w:rsidRPr="006B1A5A">
        <w:t xml:space="preserve">/kg </w:t>
      </w:r>
      <w:r w:rsidR="00C17B26" w:rsidRPr="006B1A5A">
        <w:rPr>
          <w:noProof/>
        </w:rPr>
        <w:t>bw</w:t>
      </w:r>
      <w:r w:rsidR="00C17B26" w:rsidRPr="006B1A5A">
        <w:t xml:space="preserve">/day </w:t>
      </w:r>
      <w:r w:rsidRPr="006B1A5A">
        <w:t xml:space="preserve">and </w:t>
      </w:r>
      <w:r w:rsidR="008D3914">
        <w:t xml:space="preserve">the reference value of </w:t>
      </w:r>
      <w:r w:rsidRPr="006B1A5A">
        <w:t>0.17 mg</w:t>
      </w:r>
      <w:r w:rsidR="008D3914">
        <w:t xml:space="preserve"> </w:t>
      </w:r>
      <w:r w:rsidR="00506F7C">
        <w:t>SCN</w:t>
      </w:r>
      <w:r w:rsidRPr="006B1A5A">
        <w:t>/kg bw/day</w:t>
      </w:r>
      <w:r w:rsidRPr="006B1A5A" w:rsidDel="008D3914">
        <w:t xml:space="preserve"> </w:t>
      </w:r>
      <w:r w:rsidRPr="006B1A5A">
        <w:t>were used as this task is performed infrequently.</w:t>
      </w:r>
      <w:r w:rsidR="006613B7">
        <w:t xml:space="preserve"> </w:t>
      </w:r>
      <w:r w:rsidRPr="006B1A5A">
        <w:t>These values are reported in the respective Assessment Reports for the approval of the use of these active substances as biocides.</w:t>
      </w:r>
    </w:p>
    <w:bookmarkEnd w:id="1639"/>
    <w:p w14:paraId="1E021040" w14:textId="77777777" w:rsidR="001042DA" w:rsidRPr="006B1A5A" w:rsidRDefault="001042DA" w:rsidP="001042DA">
      <w:pPr>
        <w:autoSpaceDE w:val="0"/>
        <w:autoSpaceDN w:val="0"/>
        <w:adjustRightInd w:val="0"/>
        <w:jc w:val="both"/>
        <w:rPr>
          <w:shd w:val="clear" w:color="auto" w:fill="FFFFFF"/>
        </w:rPr>
      </w:pPr>
    </w:p>
    <w:p w14:paraId="50363147" w14:textId="77777777" w:rsidR="001042DA" w:rsidRPr="006B1A5A" w:rsidRDefault="001042DA" w:rsidP="001042DA">
      <w:pPr>
        <w:autoSpaceDE w:val="0"/>
        <w:autoSpaceDN w:val="0"/>
        <w:adjustRightInd w:val="0"/>
        <w:jc w:val="both"/>
        <w:rPr>
          <w:iCs/>
        </w:rPr>
      </w:pPr>
      <w:bookmarkStart w:id="1640" w:name="_Hlk19709328"/>
      <w:r w:rsidRPr="006B1A5A">
        <w:rPr>
          <w:iCs/>
        </w:rPr>
        <w:t xml:space="preserve">An initial screening assessment (Tier-1) using default assumptions and only minimal clothing was conducted. Since the AquaNet products are for professional use only, this was considered the “extreme” worst-case scenario and is unlikely to be representative of the normal workplace. </w:t>
      </w:r>
      <w:r w:rsidRPr="006B1A5A">
        <w:rPr>
          <w:rFonts w:eastAsia="Calibri"/>
          <w:color w:val="000000"/>
          <w:lang w:eastAsia="en-GB"/>
        </w:rPr>
        <w:t>A Tier-2 assessment was used applying representative PPE for the estimation of a more realistic systemic exposure where necessary.</w:t>
      </w:r>
      <w:bookmarkEnd w:id="1640"/>
    </w:p>
    <w:p w14:paraId="4A0D5C51" w14:textId="77777777" w:rsidR="001042DA" w:rsidRPr="006B1A5A" w:rsidRDefault="001042DA" w:rsidP="001042DA">
      <w:pPr>
        <w:spacing w:line="260" w:lineRule="atLeast"/>
        <w:jc w:val="both"/>
        <w:rPr>
          <w:rFonts w:eastAsia="Calibri"/>
          <w:b/>
          <w:bCs/>
          <w:color w:val="000000"/>
          <w:lang w:eastAsia="en-GB"/>
        </w:rPr>
      </w:pPr>
    </w:p>
    <w:p w14:paraId="7D9B5C00" w14:textId="77777777" w:rsidR="001042DA" w:rsidRPr="006B1A5A" w:rsidRDefault="001042DA" w:rsidP="001042DA">
      <w:pPr>
        <w:spacing w:line="260" w:lineRule="atLeast"/>
        <w:jc w:val="both"/>
        <w:rPr>
          <w:sz w:val="22"/>
          <w:szCs w:val="22"/>
        </w:rPr>
      </w:pP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827"/>
        <w:gridCol w:w="2552"/>
        <w:gridCol w:w="2410"/>
        <w:gridCol w:w="1984"/>
      </w:tblGrid>
      <w:tr w:rsidR="001042DA" w:rsidRPr="006B1A5A" w14:paraId="509E30B1" w14:textId="77777777" w:rsidTr="00AF2AEA">
        <w:trPr>
          <w:tblHeader/>
          <w:jc w:val="center"/>
        </w:trPr>
        <w:tc>
          <w:tcPr>
            <w:tcW w:w="9773" w:type="dxa"/>
            <w:gridSpan w:val="4"/>
            <w:shd w:val="clear" w:color="auto" w:fill="FFFFCC"/>
            <w:tcMar>
              <w:top w:w="57" w:type="dxa"/>
              <w:bottom w:w="57" w:type="dxa"/>
            </w:tcMar>
          </w:tcPr>
          <w:p w14:paraId="4C255E44" w14:textId="77777777" w:rsidR="001042DA" w:rsidRPr="006B1A5A" w:rsidRDefault="001042DA" w:rsidP="00AF2AEA">
            <w:pPr>
              <w:keepNext/>
              <w:widowControl w:val="0"/>
              <w:tabs>
                <w:tab w:val="center" w:pos="4536"/>
                <w:tab w:val="right" w:pos="9072"/>
              </w:tabs>
              <w:jc w:val="center"/>
              <w:rPr>
                <w:rFonts w:eastAsia="Calibri"/>
                <w:b/>
                <w:bCs/>
                <w:color w:val="000000"/>
                <w:lang w:eastAsia="en-GB"/>
              </w:rPr>
            </w:pPr>
            <w:bookmarkStart w:id="1641" w:name="_Hlk19710009"/>
            <w:r w:rsidRPr="006B1A5A">
              <w:rPr>
                <w:rFonts w:eastAsia="Calibri"/>
                <w:b/>
                <w:bCs/>
                <w:color w:val="000000"/>
                <w:lang w:eastAsia="en-GB"/>
              </w:rPr>
              <w:t>Active substances present in the AquaNet 360 Product Family members</w:t>
            </w:r>
          </w:p>
        </w:tc>
      </w:tr>
      <w:tr w:rsidR="001042DA" w:rsidRPr="006B1A5A" w14:paraId="05BB7F81" w14:textId="77777777" w:rsidTr="00BF75EC">
        <w:trPr>
          <w:tblHeader/>
          <w:jc w:val="center"/>
        </w:trPr>
        <w:tc>
          <w:tcPr>
            <w:tcW w:w="2827" w:type="dxa"/>
            <w:shd w:val="clear" w:color="auto" w:fill="auto"/>
            <w:tcMar>
              <w:top w:w="57" w:type="dxa"/>
              <w:bottom w:w="57" w:type="dxa"/>
            </w:tcMar>
          </w:tcPr>
          <w:p w14:paraId="5FBED5E8" w14:textId="77777777" w:rsidR="001042DA" w:rsidRPr="006B1A5A" w:rsidRDefault="001042DA" w:rsidP="00AF2AEA">
            <w:pPr>
              <w:keepNext/>
              <w:widowControl w:val="0"/>
              <w:tabs>
                <w:tab w:val="center" w:pos="4536"/>
                <w:tab w:val="right" w:pos="9072"/>
              </w:tabs>
              <w:rPr>
                <w:rFonts w:eastAsia="Calibri"/>
                <w:bCs/>
                <w:color w:val="000000"/>
                <w:lang w:eastAsia="en-GB"/>
              </w:rPr>
            </w:pPr>
            <w:r w:rsidRPr="006B1A5A">
              <w:rPr>
                <w:rFonts w:eastAsia="Calibri"/>
                <w:bCs/>
                <w:color w:val="000000"/>
                <w:lang w:eastAsia="en-GB"/>
              </w:rPr>
              <w:t>Representative product</w:t>
            </w:r>
          </w:p>
        </w:tc>
        <w:tc>
          <w:tcPr>
            <w:tcW w:w="2552" w:type="dxa"/>
            <w:shd w:val="clear" w:color="auto" w:fill="auto"/>
            <w:tcMar>
              <w:top w:w="57" w:type="dxa"/>
              <w:bottom w:w="57" w:type="dxa"/>
            </w:tcMar>
          </w:tcPr>
          <w:p w14:paraId="37211CCB" w14:textId="77777777" w:rsidR="001042DA" w:rsidRPr="00542D01" w:rsidRDefault="001042DA" w:rsidP="00AF2AEA">
            <w:pPr>
              <w:keepNext/>
              <w:widowControl w:val="0"/>
              <w:tabs>
                <w:tab w:val="center" w:pos="4536"/>
                <w:tab w:val="right" w:pos="9072"/>
              </w:tabs>
              <w:jc w:val="center"/>
              <w:rPr>
                <w:rFonts w:eastAsia="Calibri"/>
                <w:b/>
                <w:bCs/>
                <w:color w:val="000000"/>
                <w:lang w:eastAsia="en-GB"/>
              </w:rPr>
            </w:pPr>
            <w:r w:rsidRPr="00542D01">
              <w:rPr>
                <w:rFonts w:eastAsia="Calibri"/>
                <w:b/>
                <w:bCs/>
                <w:color w:val="000000"/>
                <w:lang w:eastAsia="en-GB"/>
              </w:rPr>
              <w:t>LG360</w:t>
            </w:r>
          </w:p>
        </w:tc>
        <w:tc>
          <w:tcPr>
            <w:tcW w:w="2410" w:type="dxa"/>
            <w:shd w:val="clear" w:color="auto" w:fill="auto"/>
            <w:tcMar>
              <w:top w:w="57" w:type="dxa"/>
              <w:bottom w:w="57" w:type="dxa"/>
            </w:tcMar>
          </w:tcPr>
          <w:p w14:paraId="0C5A66B9" w14:textId="77777777" w:rsidR="001042DA" w:rsidRPr="00542D01" w:rsidRDefault="001042DA" w:rsidP="00AF2AEA">
            <w:pPr>
              <w:keepNext/>
              <w:widowControl w:val="0"/>
              <w:tabs>
                <w:tab w:val="center" w:pos="4536"/>
                <w:tab w:val="right" w:pos="9072"/>
              </w:tabs>
              <w:jc w:val="center"/>
              <w:rPr>
                <w:rFonts w:eastAsia="Calibri"/>
                <w:b/>
                <w:bCs/>
                <w:color w:val="000000"/>
                <w:lang w:eastAsia="en-GB"/>
              </w:rPr>
            </w:pPr>
            <w:r w:rsidRPr="00542D01">
              <w:rPr>
                <w:rFonts w:eastAsia="Calibri"/>
                <w:b/>
                <w:bCs/>
                <w:color w:val="000000"/>
                <w:lang w:eastAsia="en-GB"/>
              </w:rPr>
              <w:t>HG360</w:t>
            </w:r>
          </w:p>
        </w:tc>
        <w:tc>
          <w:tcPr>
            <w:tcW w:w="1984" w:type="dxa"/>
          </w:tcPr>
          <w:p w14:paraId="03238BEC" w14:textId="77777777" w:rsidR="001042DA" w:rsidRPr="00542D01" w:rsidRDefault="001042DA" w:rsidP="00AF2AEA">
            <w:pPr>
              <w:keepNext/>
              <w:widowControl w:val="0"/>
              <w:tabs>
                <w:tab w:val="center" w:pos="4536"/>
                <w:tab w:val="right" w:pos="9072"/>
              </w:tabs>
              <w:jc w:val="center"/>
              <w:rPr>
                <w:rFonts w:eastAsia="Calibri"/>
                <w:b/>
                <w:bCs/>
                <w:color w:val="000000"/>
                <w:lang w:eastAsia="en-GB"/>
              </w:rPr>
            </w:pPr>
            <w:r w:rsidRPr="00542D01">
              <w:rPr>
                <w:rFonts w:eastAsia="Calibri"/>
                <w:b/>
                <w:bCs/>
                <w:color w:val="000000"/>
                <w:lang w:eastAsia="en-GB"/>
              </w:rPr>
              <w:t>RFU360</w:t>
            </w:r>
          </w:p>
        </w:tc>
      </w:tr>
      <w:tr w:rsidR="001042DA" w:rsidRPr="006B1A5A" w14:paraId="69DBCBDD" w14:textId="77777777" w:rsidTr="00BF75EC">
        <w:trPr>
          <w:trHeight w:val="315"/>
          <w:tblHeader/>
          <w:jc w:val="center"/>
        </w:trPr>
        <w:tc>
          <w:tcPr>
            <w:tcW w:w="2827" w:type="dxa"/>
            <w:shd w:val="clear" w:color="auto" w:fill="auto"/>
            <w:tcMar>
              <w:top w:w="57" w:type="dxa"/>
              <w:bottom w:w="57" w:type="dxa"/>
            </w:tcMar>
          </w:tcPr>
          <w:p w14:paraId="05173623" w14:textId="77777777" w:rsidR="001042DA" w:rsidRPr="006B1A5A" w:rsidRDefault="001042DA" w:rsidP="00AF2AEA">
            <w:pPr>
              <w:keepNext/>
              <w:rPr>
                <w:rFonts w:eastAsia="Calibri"/>
              </w:rPr>
            </w:pPr>
            <w:r w:rsidRPr="006B1A5A">
              <w:rPr>
                <w:rFonts w:eastAsia="Calibri"/>
              </w:rPr>
              <w:t>Active substance (%, w/w)</w:t>
            </w:r>
          </w:p>
        </w:tc>
        <w:tc>
          <w:tcPr>
            <w:tcW w:w="2552" w:type="dxa"/>
            <w:shd w:val="clear" w:color="auto" w:fill="auto"/>
            <w:tcMar>
              <w:top w:w="57" w:type="dxa"/>
              <w:bottom w:w="57" w:type="dxa"/>
            </w:tcMar>
          </w:tcPr>
          <w:p w14:paraId="66847EA5" w14:textId="77777777" w:rsidR="001042DA" w:rsidRPr="006B1A5A" w:rsidRDefault="001042DA" w:rsidP="00AF2AEA">
            <w:pPr>
              <w:keepNext/>
              <w:widowControl w:val="0"/>
              <w:tabs>
                <w:tab w:val="center" w:pos="4536"/>
                <w:tab w:val="right" w:pos="9072"/>
              </w:tabs>
              <w:jc w:val="center"/>
              <w:rPr>
                <w:rFonts w:eastAsia="Calibri"/>
                <w:color w:val="000000"/>
                <w:lang w:eastAsia="en-GB"/>
              </w:rPr>
            </w:pPr>
            <w:r w:rsidRPr="006B1A5A">
              <w:rPr>
                <w:rFonts w:eastAsia="Calibri"/>
                <w:color w:val="000000"/>
                <w:lang w:eastAsia="en-GB"/>
              </w:rPr>
              <w:t>13.8% Cu</w:t>
            </w:r>
            <w:r w:rsidRPr="006B1A5A">
              <w:rPr>
                <w:rFonts w:eastAsia="Calibri"/>
                <w:color w:val="000000"/>
                <w:vertAlign w:val="subscript"/>
                <w:lang w:eastAsia="en-GB"/>
              </w:rPr>
              <w:t>2</w:t>
            </w:r>
            <w:r w:rsidRPr="006B1A5A">
              <w:rPr>
                <w:rFonts w:eastAsia="Calibri"/>
                <w:color w:val="000000"/>
                <w:lang w:eastAsia="en-GB"/>
              </w:rPr>
              <w:t>O</w:t>
            </w:r>
          </w:p>
          <w:p w14:paraId="03FB7BC1" w14:textId="77777777" w:rsidR="001042DA" w:rsidRPr="006B1A5A" w:rsidRDefault="001042DA" w:rsidP="00AF2AEA">
            <w:pPr>
              <w:keepNext/>
              <w:widowControl w:val="0"/>
              <w:tabs>
                <w:tab w:val="center" w:pos="4536"/>
                <w:tab w:val="right" w:pos="9072"/>
              </w:tabs>
              <w:jc w:val="center"/>
              <w:rPr>
                <w:rFonts w:eastAsia="Calibri"/>
                <w:color w:val="000000"/>
                <w:lang w:eastAsia="en-GB"/>
              </w:rPr>
            </w:pPr>
            <w:r w:rsidRPr="006B1A5A">
              <w:rPr>
                <w:rFonts w:eastAsia="Calibri"/>
                <w:color w:val="000000"/>
                <w:lang w:eastAsia="en-GB"/>
              </w:rPr>
              <w:t xml:space="preserve">+ 3.9% CuSCN </w:t>
            </w:r>
          </w:p>
        </w:tc>
        <w:tc>
          <w:tcPr>
            <w:tcW w:w="2410" w:type="dxa"/>
            <w:shd w:val="clear" w:color="auto" w:fill="auto"/>
            <w:tcMar>
              <w:top w:w="57" w:type="dxa"/>
              <w:bottom w:w="57" w:type="dxa"/>
            </w:tcMar>
          </w:tcPr>
          <w:p w14:paraId="61C758B4" w14:textId="77777777" w:rsidR="001042DA" w:rsidRPr="006B1A5A" w:rsidRDefault="001042DA" w:rsidP="00AF2AEA">
            <w:pPr>
              <w:keepNext/>
              <w:widowControl w:val="0"/>
              <w:tabs>
                <w:tab w:val="center" w:pos="4536"/>
                <w:tab w:val="right" w:pos="9072"/>
              </w:tabs>
              <w:jc w:val="center"/>
              <w:rPr>
                <w:rFonts w:eastAsia="Calibri"/>
                <w:color w:val="000000"/>
                <w:lang w:eastAsia="en-GB"/>
              </w:rPr>
            </w:pPr>
            <w:r w:rsidRPr="006B1A5A">
              <w:rPr>
                <w:rFonts w:eastAsia="Calibri"/>
                <w:color w:val="000000"/>
                <w:lang w:eastAsia="en-GB"/>
              </w:rPr>
              <w:t>24.5% Cu</w:t>
            </w:r>
            <w:r w:rsidRPr="006B1A5A">
              <w:rPr>
                <w:rFonts w:eastAsia="Calibri"/>
                <w:color w:val="000000"/>
                <w:vertAlign w:val="subscript"/>
                <w:lang w:eastAsia="en-GB"/>
              </w:rPr>
              <w:t>2</w:t>
            </w:r>
            <w:r w:rsidRPr="006B1A5A">
              <w:rPr>
                <w:rFonts w:eastAsia="Calibri"/>
                <w:color w:val="000000"/>
                <w:lang w:eastAsia="en-GB"/>
              </w:rPr>
              <w:t>O</w:t>
            </w:r>
          </w:p>
          <w:p w14:paraId="37A2D712" w14:textId="77777777" w:rsidR="001042DA" w:rsidRPr="006B1A5A" w:rsidRDefault="001042DA" w:rsidP="00AF2AEA">
            <w:pPr>
              <w:keepNext/>
              <w:widowControl w:val="0"/>
              <w:tabs>
                <w:tab w:val="center" w:pos="4536"/>
                <w:tab w:val="right" w:pos="9072"/>
              </w:tabs>
              <w:jc w:val="center"/>
              <w:rPr>
                <w:rFonts w:eastAsia="Calibri"/>
                <w:color w:val="000000"/>
                <w:lang w:eastAsia="en-GB"/>
              </w:rPr>
            </w:pPr>
            <w:r w:rsidRPr="006B1A5A">
              <w:rPr>
                <w:rFonts w:eastAsia="Calibri"/>
                <w:color w:val="000000"/>
                <w:lang w:eastAsia="en-GB"/>
              </w:rPr>
              <w:t>+ 8% CuSCN</w:t>
            </w:r>
          </w:p>
        </w:tc>
        <w:tc>
          <w:tcPr>
            <w:tcW w:w="1984" w:type="dxa"/>
          </w:tcPr>
          <w:p w14:paraId="7D2193AB" w14:textId="77777777" w:rsidR="001042DA" w:rsidRPr="006B1A5A" w:rsidRDefault="001042DA" w:rsidP="00AF2AEA">
            <w:pPr>
              <w:keepNext/>
              <w:widowControl w:val="0"/>
              <w:tabs>
                <w:tab w:val="center" w:pos="4536"/>
                <w:tab w:val="right" w:pos="9072"/>
              </w:tabs>
              <w:jc w:val="center"/>
              <w:rPr>
                <w:rFonts w:eastAsia="Calibri"/>
                <w:color w:val="000000"/>
                <w:lang w:eastAsia="en-GB"/>
              </w:rPr>
            </w:pPr>
            <w:r w:rsidRPr="006B1A5A">
              <w:rPr>
                <w:rFonts w:eastAsia="Calibri"/>
                <w:color w:val="000000"/>
                <w:lang w:eastAsia="en-GB"/>
              </w:rPr>
              <w:t>12.3% Cu</w:t>
            </w:r>
            <w:r w:rsidRPr="006B1A5A">
              <w:rPr>
                <w:rFonts w:eastAsia="Calibri"/>
                <w:color w:val="000000"/>
                <w:vertAlign w:val="subscript"/>
                <w:lang w:eastAsia="en-GB"/>
              </w:rPr>
              <w:t>2</w:t>
            </w:r>
            <w:r w:rsidRPr="006B1A5A">
              <w:rPr>
                <w:rFonts w:eastAsia="Calibri"/>
                <w:color w:val="000000"/>
                <w:lang w:eastAsia="en-GB"/>
              </w:rPr>
              <w:t>O</w:t>
            </w:r>
          </w:p>
          <w:p w14:paraId="0C2B07ED" w14:textId="77777777" w:rsidR="001042DA" w:rsidRPr="006B1A5A" w:rsidRDefault="001042DA" w:rsidP="00AF2AEA">
            <w:pPr>
              <w:keepNext/>
              <w:widowControl w:val="0"/>
              <w:tabs>
                <w:tab w:val="center" w:pos="4536"/>
                <w:tab w:val="right" w:pos="9072"/>
              </w:tabs>
              <w:jc w:val="center"/>
              <w:rPr>
                <w:rFonts w:eastAsia="Calibri"/>
                <w:color w:val="000000"/>
                <w:lang w:eastAsia="en-GB"/>
              </w:rPr>
            </w:pPr>
            <w:r w:rsidRPr="006B1A5A">
              <w:rPr>
                <w:rFonts w:eastAsia="Calibri"/>
                <w:color w:val="000000"/>
                <w:lang w:eastAsia="en-GB"/>
              </w:rPr>
              <w:t>+ 1.72% CuSCN</w:t>
            </w:r>
          </w:p>
        </w:tc>
      </w:tr>
      <w:tr w:rsidR="001042DA" w:rsidRPr="006B1A5A" w14:paraId="65257391" w14:textId="77777777" w:rsidTr="00BF75EC">
        <w:trPr>
          <w:tblHeader/>
          <w:jc w:val="center"/>
        </w:trPr>
        <w:tc>
          <w:tcPr>
            <w:tcW w:w="2827" w:type="dxa"/>
            <w:shd w:val="clear" w:color="auto" w:fill="auto"/>
            <w:tcMar>
              <w:top w:w="57" w:type="dxa"/>
              <w:bottom w:w="57" w:type="dxa"/>
            </w:tcMar>
          </w:tcPr>
          <w:p w14:paraId="3028C30A" w14:textId="77777777" w:rsidR="001042DA" w:rsidRPr="006B1A5A" w:rsidRDefault="001042DA" w:rsidP="00AF2AEA">
            <w:pPr>
              <w:keepNext/>
              <w:rPr>
                <w:rFonts w:eastAsia="Calibri"/>
              </w:rPr>
            </w:pPr>
            <w:r w:rsidRPr="006B1A5A">
              <w:rPr>
                <w:rFonts w:eastAsia="Calibri"/>
              </w:rPr>
              <w:t>Formulation (Ready-for-use or concentrate)</w:t>
            </w:r>
          </w:p>
        </w:tc>
        <w:tc>
          <w:tcPr>
            <w:tcW w:w="2552" w:type="dxa"/>
            <w:shd w:val="clear" w:color="auto" w:fill="auto"/>
            <w:tcMar>
              <w:top w:w="57" w:type="dxa"/>
              <w:bottom w:w="57" w:type="dxa"/>
            </w:tcMar>
          </w:tcPr>
          <w:p w14:paraId="26CF23BC" w14:textId="77777777" w:rsidR="001042DA" w:rsidRPr="006B1A5A" w:rsidRDefault="001042DA" w:rsidP="00AF2AEA">
            <w:pPr>
              <w:keepNext/>
              <w:widowControl w:val="0"/>
              <w:tabs>
                <w:tab w:val="center" w:pos="4536"/>
                <w:tab w:val="right" w:pos="9072"/>
              </w:tabs>
              <w:jc w:val="center"/>
              <w:rPr>
                <w:rFonts w:eastAsia="Calibri"/>
                <w:color w:val="000000"/>
                <w:lang w:eastAsia="en-GB"/>
              </w:rPr>
            </w:pPr>
            <w:r w:rsidRPr="006B1A5A">
              <w:rPr>
                <w:rFonts w:eastAsia="Calibri"/>
                <w:color w:val="000000"/>
                <w:lang w:eastAsia="en-GB"/>
              </w:rPr>
              <w:t>Concentrate (to be diluted 1:1 with water)</w:t>
            </w:r>
          </w:p>
        </w:tc>
        <w:tc>
          <w:tcPr>
            <w:tcW w:w="2410" w:type="dxa"/>
            <w:shd w:val="clear" w:color="auto" w:fill="auto"/>
            <w:tcMar>
              <w:top w:w="57" w:type="dxa"/>
              <w:bottom w:w="57" w:type="dxa"/>
            </w:tcMar>
          </w:tcPr>
          <w:p w14:paraId="739AB99D" w14:textId="77777777" w:rsidR="001042DA" w:rsidRPr="006B1A5A" w:rsidRDefault="001042DA" w:rsidP="00AF2AEA">
            <w:pPr>
              <w:keepNext/>
              <w:widowControl w:val="0"/>
              <w:tabs>
                <w:tab w:val="center" w:pos="4536"/>
                <w:tab w:val="right" w:pos="9072"/>
              </w:tabs>
              <w:jc w:val="center"/>
              <w:rPr>
                <w:rFonts w:eastAsia="Calibri"/>
                <w:color w:val="000000"/>
                <w:lang w:eastAsia="en-GB"/>
              </w:rPr>
            </w:pPr>
            <w:r w:rsidRPr="006B1A5A">
              <w:rPr>
                <w:rFonts w:eastAsia="Calibri"/>
                <w:color w:val="000000"/>
                <w:lang w:eastAsia="en-GB"/>
              </w:rPr>
              <w:t>Concentrate (to be diluted 1:1 with water)</w:t>
            </w:r>
          </w:p>
        </w:tc>
        <w:tc>
          <w:tcPr>
            <w:tcW w:w="1984" w:type="dxa"/>
          </w:tcPr>
          <w:p w14:paraId="11CF9F78" w14:textId="77777777" w:rsidR="001042DA" w:rsidRPr="006B1A5A" w:rsidRDefault="001042DA" w:rsidP="00AF2AEA">
            <w:pPr>
              <w:keepNext/>
              <w:widowControl w:val="0"/>
              <w:tabs>
                <w:tab w:val="center" w:pos="4536"/>
                <w:tab w:val="right" w:pos="9072"/>
              </w:tabs>
              <w:jc w:val="center"/>
              <w:rPr>
                <w:rFonts w:eastAsia="Calibri"/>
                <w:color w:val="000000"/>
                <w:lang w:eastAsia="en-GB"/>
              </w:rPr>
            </w:pPr>
            <w:r w:rsidRPr="006B1A5A">
              <w:rPr>
                <w:rFonts w:eastAsia="Calibri"/>
                <w:color w:val="000000"/>
                <w:lang w:eastAsia="en-GB"/>
              </w:rPr>
              <w:t>Ready for use</w:t>
            </w:r>
          </w:p>
        </w:tc>
      </w:tr>
      <w:tr w:rsidR="001042DA" w:rsidRPr="006B1A5A" w14:paraId="430501CC" w14:textId="77777777" w:rsidTr="00BF75EC">
        <w:trPr>
          <w:tblHeader/>
          <w:jc w:val="center"/>
        </w:trPr>
        <w:tc>
          <w:tcPr>
            <w:tcW w:w="2827" w:type="dxa"/>
            <w:shd w:val="clear" w:color="auto" w:fill="auto"/>
            <w:tcMar>
              <w:top w:w="57" w:type="dxa"/>
              <w:bottom w:w="57" w:type="dxa"/>
            </w:tcMar>
          </w:tcPr>
          <w:p w14:paraId="68CF6B9F" w14:textId="1F7C17B7" w:rsidR="001042DA" w:rsidRPr="006B1A5A" w:rsidRDefault="001042DA" w:rsidP="00AF2AEA">
            <w:pPr>
              <w:keepNext/>
              <w:rPr>
                <w:rFonts w:eastAsia="Calibri"/>
              </w:rPr>
            </w:pPr>
            <w:r w:rsidRPr="006B1A5A">
              <w:rPr>
                <w:rFonts w:eastAsia="Calibri"/>
              </w:rPr>
              <w:t>In-use concentration a.s. (%, w/w)</w:t>
            </w:r>
            <w:r w:rsidR="00C35AAF" w:rsidRPr="00C35AAF">
              <w:rPr>
                <w:rFonts w:eastAsia="Calibri"/>
                <w:vertAlign w:val="superscript"/>
              </w:rPr>
              <w:t>1</w:t>
            </w:r>
          </w:p>
        </w:tc>
        <w:tc>
          <w:tcPr>
            <w:tcW w:w="2552" w:type="dxa"/>
            <w:shd w:val="clear" w:color="auto" w:fill="auto"/>
            <w:tcMar>
              <w:top w:w="57" w:type="dxa"/>
              <w:bottom w:w="57" w:type="dxa"/>
            </w:tcMar>
          </w:tcPr>
          <w:p w14:paraId="606CAE7F" w14:textId="77777777" w:rsidR="008F5C8B" w:rsidRDefault="001042DA" w:rsidP="00AF2AEA">
            <w:pPr>
              <w:keepNext/>
              <w:widowControl w:val="0"/>
              <w:tabs>
                <w:tab w:val="center" w:pos="4536"/>
                <w:tab w:val="right" w:pos="9072"/>
              </w:tabs>
              <w:jc w:val="center"/>
              <w:rPr>
                <w:rFonts w:eastAsia="Calibri"/>
                <w:color w:val="000000"/>
                <w:lang w:eastAsia="en-GB"/>
              </w:rPr>
            </w:pPr>
            <w:r w:rsidRPr="006B1A5A">
              <w:rPr>
                <w:rFonts w:eastAsia="Calibri"/>
                <w:color w:val="000000"/>
                <w:lang w:eastAsia="en-GB"/>
              </w:rPr>
              <w:t>7.56% Cu</w:t>
            </w:r>
            <w:r w:rsidRPr="006B1A5A">
              <w:rPr>
                <w:rFonts w:eastAsia="Calibri"/>
                <w:color w:val="000000"/>
                <w:vertAlign w:val="subscript"/>
                <w:lang w:eastAsia="en-GB"/>
              </w:rPr>
              <w:t>2</w:t>
            </w:r>
            <w:r w:rsidRPr="006B1A5A">
              <w:rPr>
                <w:rFonts w:eastAsia="Calibri"/>
                <w:color w:val="000000"/>
                <w:lang w:eastAsia="en-GB"/>
              </w:rPr>
              <w:t xml:space="preserve">O + </w:t>
            </w:r>
          </w:p>
          <w:p w14:paraId="7860ACD1" w14:textId="5BB240CC" w:rsidR="001042DA" w:rsidRPr="006B1A5A" w:rsidRDefault="001042DA" w:rsidP="00AF2AEA">
            <w:pPr>
              <w:keepNext/>
              <w:widowControl w:val="0"/>
              <w:tabs>
                <w:tab w:val="center" w:pos="4536"/>
                <w:tab w:val="right" w:pos="9072"/>
              </w:tabs>
              <w:jc w:val="center"/>
              <w:rPr>
                <w:rFonts w:eastAsia="Calibri"/>
                <w:color w:val="000000"/>
                <w:lang w:eastAsia="en-GB"/>
              </w:rPr>
            </w:pPr>
            <w:r w:rsidRPr="006B1A5A">
              <w:rPr>
                <w:rFonts w:eastAsia="Calibri"/>
                <w:color w:val="000000"/>
                <w:lang w:eastAsia="en-GB"/>
              </w:rPr>
              <w:t>2.14% CuSCN</w:t>
            </w:r>
          </w:p>
        </w:tc>
        <w:tc>
          <w:tcPr>
            <w:tcW w:w="2410" w:type="dxa"/>
            <w:shd w:val="clear" w:color="auto" w:fill="auto"/>
            <w:tcMar>
              <w:top w:w="57" w:type="dxa"/>
              <w:bottom w:w="57" w:type="dxa"/>
            </w:tcMar>
          </w:tcPr>
          <w:p w14:paraId="1622BC90" w14:textId="77777777" w:rsidR="00BF75EC" w:rsidRDefault="001042DA" w:rsidP="00AF2AEA">
            <w:pPr>
              <w:keepNext/>
              <w:widowControl w:val="0"/>
              <w:tabs>
                <w:tab w:val="center" w:pos="4536"/>
                <w:tab w:val="right" w:pos="9072"/>
              </w:tabs>
              <w:jc w:val="center"/>
              <w:rPr>
                <w:rFonts w:eastAsia="Calibri"/>
                <w:color w:val="000000"/>
                <w:lang w:eastAsia="en-GB"/>
              </w:rPr>
            </w:pPr>
            <w:r w:rsidRPr="006B1A5A">
              <w:rPr>
                <w:rFonts w:eastAsia="Calibri"/>
                <w:color w:val="000000"/>
                <w:lang w:eastAsia="en-GB"/>
              </w:rPr>
              <w:t>14.22% Cu</w:t>
            </w:r>
            <w:r w:rsidRPr="006B1A5A">
              <w:rPr>
                <w:rFonts w:eastAsia="Calibri"/>
                <w:color w:val="000000"/>
                <w:vertAlign w:val="subscript"/>
                <w:lang w:eastAsia="en-GB"/>
              </w:rPr>
              <w:t>2</w:t>
            </w:r>
            <w:r w:rsidRPr="006B1A5A">
              <w:rPr>
                <w:rFonts w:eastAsia="Calibri"/>
                <w:color w:val="000000"/>
                <w:lang w:eastAsia="en-GB"/>
              </w:rPr>
              <w:t xml:space="preserve">O + </w:t>
            </w:r>
          </w:p>
          <w:p w14:paraId="2FD2CA02" w14:textId="0FE9C477" w:rsidR="001042DA" w:rsidRPr="006B1A5A" w:rsidRDefault="001042DA" w:rsidP="00AF2AEA">
            <w:pPr>
              <w:keepNext/>
              <w:widowControl w:val="0"/>
              <w:tabs>
                <w:tab w:val="center" w:pos="4536"/>
                <w:tab w:val="right" w:pos="9072"/>
              </w:tabs>
              <w:jc w:val="center"/>
              <w:rPr>
                <w:rFonts w:eastAsia="Calibri"/>
                <w:color w:val="000000"/>
                <w:lang w:eastAsia="en-GB"/>
              </w:rPr>
            </w:pPr>
            <w:r w:rsidRPr="006B1A5A">
              <w:rPr>
                <w:rFonts w:eastAsia="Calibri"/>
                <w:color w:val="000000"/>
                <w:lang w:eastAsia="en-GB"/>
              </w:rPr>
              <w:t>4.66% CuSCN</w:t>
            </w:r>
          </w:p>
        </w:tc>
        <w:tc>
          <w:tcPr>
            <w:tcW w:w="1984" w:type="dxa"/>
          </w:tcPr>
          <w:p w14:paraId="449C80C6" w14:textId="77777777" w:rsidR="001042DA" w:rsidRPr="006B1A5A" w:rsidRDefault="001042DA" w:rsidP="00AF2AEA">
            <w:pPr>
              <w:keepNext/>
              <w:widowControl w:val="0"/>
              <w:tabs>
                <w:tab w:val="center" w:pos="4536"/>
                <w:tab w:val="right" w:pos="9072"/>
              </w:tabs>
              <w:jc w:val="center"/>
              <w:rPr>
                <w:rFonts w:eastAsia="Calibri"/>
                <w:color w:val="000000"/>
                <w:lang w:eastAsia="en-GB"/>
              </w:rPr>
            </w:pPr>
            <w:r w:rsidRPr="006B1A5A">
              <w:rPr>
                <w:rFonts w:eastAsia="Calibri"/>
                <w:color w:val="000000"/>
                <w:lang w:eastAsia="en-GB"/>
              </w:rPr>
              <w:t>12.3% Cu</w:t>
            </w:r>
            <w:r w:rsidRPr="006B1A5A">
              <w:rPr>
                <w:rFonts w:eastAsia="Calibri"/>
                <w:color w:val="000000"/>
                <w:vertAlign w:val="subscript"/>
                <w:lang w:eastAsia="en-GB"/>
              </w:rPr>
              <w:t>2</w:t>
            </w:r>
            <w:r w:rsidRPr="006B1A5A">
              <w:rPr>
                <w:rFonts w:eastAsia="Calibri"/>
                <w:color w:val="000000"/>
                <w:lang w:eastAsia="en-GB"/>
              </w:rPr>
              <w:t>O + 1.72% CuSCN</w:t>
            </w:r>
          </w:p>
        </w:tc>
      </w:tr>
      <w:tr w:rsidR="001042DA" w:rsidRPr="00D42FF7" w14:paraId="28F3E168" w14:textId="77777777" w:rsidTr="00BF75EC">
        <w:trPr>
          <w:tblHeader/>
          <w:jc w:val="center"/>
        </w:trPr>
        <w:tc>
          <w:tcPr>
            <w:tcW w:w="2827" w:type="dxa"/>
            <w:shd w:val="clear" w:color="auto" w:fill="auto"/>
            <w:tcMar>
              <w:top w:w="57" w:type="dxa"/>
              <w:bottom w:w="57" w:type="dxa"/>
            </w:tcMar>
          </w:tcPr>
          <w:p w14:paraId="3222CF18" w14:textId="4A3ABFB2" w:rsidR="001042DA" w:rsidRPr="006B1A5A" w:rsidRDefault="001042DA" w:rsidP="00AF2AEA">
            <w:pPr>
              <w:keepNext/>
              <w:rPr>
                <w:rFonts w:eastAsia="Calibri"/>
              </w:rPr>
            </w:pPr>
            <w:r w:rsidRPr="006B1A5A">
              <w:rPr>
                <w:rFonts w:eastAsia="Calibri"/>
              </w:rPr>
              <w:t>Ionic equivalents (in-use conc; % w/w)</w:t>
            </w:r>
            <w:r w:rsidR="00C35AAF" w:rsidRPr="00C35AAF">
              <w:rPr>
                <w:rFonts w:eastAsia="Calibri"/>
                <w:vertAlign w:val="superscript"/>
              </w:rPr>
              <w:t>2</w:t>
            </w:r>
          </w:p>
        </w:tc>
        <w:tc>
          <w:tcPr>
            <w:tcW w:w="2552" w:type="dxa"/>
            <w:shd w:val="clear" w:color="auto" w:fill="auto"/>
            <w:tcMar>
              <w:top w:w="57" w:type="dxa"/>
              <w:bottom w:w="57" w:type="dxa"/>
            </w:tcMar>
          </w:tcPr>
          <w:p w14:paraId="7C6F9957" w14:textId="21E14F76" w:rsidR="001042DA" w:rsidRPr="00E20BB3" w:rsidRDefault="001042DA" w:rsidP="00AF2AEA">
            <w:pPr>
              <w:keepNext/>
              <w:widowControl w:val="0"/>
              <w:tabs>
                <w:tab w:val="center" w:pos="4536"/>
                <w:tab w:val="right" w:pos="9072"/>
              </w:tabs>
              <w:jc w:val="center"/>
              <w:rPr>
                <w:rFonts w:eastAsia="Calibri"/>
                <w:color w:val="000000"/>
                <w:lang w:eastAsia="en-GB"/>
              </w:rPr>
            </w:pPr>
            <w:r w:rsidRPr="00E20BB3">
              <w:rPr>
                <w:rFonts w:eastAsia="Calibri"/>
                <w:color w:val="000000"/>
                <w:lang w:eastAsia="en-GB"/>
              </w:rPr>
              <w:t>Total Cu: 7.83%</w:t>
            </w:r>
          </w:p>
          <w:p w14:paraId="605AA5B3" w14:textId="5BB23556" w:rsidR="001042DA" w:rsidRPr="00D42FF7" w:rsidRDefault="001042DA" w:rsidP="00AF2AEA">
            <w:pPr>
              <w:keepNext/>
              <w:widowControl w:val="0"/>
              <w:tabs>
                <w:tab w:val="center" w:pos="4536"/>
                <w:tab w:val="right" w:pos="9072"/>
              </w:tabs>
              <w:jc w:val="center"/>
              <w:rPr>
                <w:rFonts w:eastAsia="Calibri"/>
                <w:color w:val="000000"/>
                <w:lang w:eastAsia="en-GB"/>
              </w:rPr>
            </w:pPr>
            <w:r w:rsidRPr="00D42FF7">
              <w:rPr>
                <w:rFonts w:eastAsia="Calibri"/>
                <w:color w:val="000000"/>
                <w:lang w:eastAsia="en-GB"/>
              </w:rPr>
              <w:t>Total SCN: 1.0%</w:t>
            </w:r>
          </w:p>
        </w:tc>
        <w:tc>
          <w:tcPr>
            <w:tcW w:w="2410" w:type="dxa"/>
            <w:shd w:val="clear" w:color="auto" w:fill="auto"/>
            <w:tcMar>
              <w:top w:w="57" w:type="dxa"/>
              <w:bottom w:w="57" w:type="dxa"/>
            </w:tcMar>
          </w:tcPr>
          <w:p w14:paraId="1093B10D" w14:textId="5EB50B6B" w:rsidR="001042DA" w:rsidRPr="00D42FF7" w:rsidRDefault="001042DA" w:rsidP="00AF2AEA">
            <w:pPr>
              <w:keepNext/>
              <w:widowControl w:val="0"/>
              <w:tabs>
                <w:tab w:val="center" w:pos="4536"/>
                <w:tab w:val="right" w:pos="9072"/>
              </w:tabs>
              <w:jc w:val="center"/>
              <w:rPr>
                <w:rFonts w:eastAsia="Calibri"/>
                <w:color w:val="000000"/>
                <w:lang w:eastAsia="en-GB"/>
              </w:rPr>
            </w:pPr>
            <w:r w:rsidRPr="00D42FF7">
              <w:rPr>
                <w:rFonts w:eastAsia="Calibri"/>
                <w:color w:val="000000"/>
                <w:lang w:eastAsia="en-GB"/>
              </w:rPr>
              <w:t>Total Cu: 15.06%</w:t>
            </w:r>
          </w:p>
          <w:p w14:paraId="0CFBFE37" w14:textId="6283E647" w:rsidR="001042DA" w:rsidRPr="00D42FF7" w:rsidRDefault="001042DA" w:rsidP="00AF2AEA">
            <w:pPr>
              <w:keepNext/>
              <w:widowControl w:val="0"/>
              <w:tabs>
                <w:tab w:val="center" w:pos="4536"/>
                <w:tab w:val="right" w:pos="9072"/>
              </w:tabs>
              <w:jc w:val="center"/>
              <w:rPr>
                <w:rFonts w:eastAsia="Calibri"/>
                <w:color w:val="000000"/>
                <w:lang w:eastAsia="en-GB"/>
              </w:rPr>
            </w:pPr>
            <w:r w:rsidRPr="00D42FF7">
              <w:rPr>
                <w:rFonts w:eastAsia="Calibri"/>
                <w:color w:val="000000"/>
                <w:lang w:eastAsia="en-GB"/>
              </w:rPr>
              <w:t>Total SCN: 2.23%</w:t>
            </w:r>
          </w:p>
        </w:tc>
        <w:tc>
          <w:tcPr>
            <w:tcW w:w="1984" w:type="dxa"/>
          </w:tcPr>
          <w:p w14:paraId="3A544A30" w14:textId="79262CE6" w:rsidR="001042DA" w:rsidRPr="00D42FF7" w:rsidRDefault="001042DA" w:rsidP="00AF2AEA">
            <w:pPr>
              <w:keepNext/>
              <w:widowControl w:val="0"/>
              <w:tabs>
                <w:tab w:val="center" w:pos="4536"/>
                <w:tab w:val="right" w:pos="9072"/>
              </w:tabs>
              <w:jc w:val="center"/>
              <w:rPr>
                <w:rFonts w:eastAsia="Calibri"/>
                <w:color w:val="000000"/>
                <w:lang w:eastAsia="en-GB"/>
              </w:rPr>
            </w:pPr>
            <w:r w:rsidRPr="00D42FF7">
              <w:rPr>
                <w:rFonts w:eastAsia="Calibri"/>
                <w:color w:val="000000"/>
                <w:lang w:eastAsia="en-GB"/>
              </w:rPr>
              <w:t>Total Cu: 11.82%</w:t>
            </w:r>
          </w:p>
          <w:p w14:paraId="4EAEF4D8" w14:textId="48955E1A" w:rsidR="001042DA" w:rsidRPr="00D42FF7" w:rsidRDefault="001042DA" w:rsidP="00AF2AEA">
            <w:pPr>
              <w:keepNext/>
              <w:widowControl w:val="0"/>
              <w:tabs>
                <w:tab w:val="center" w:pos="4536"/>
                <w:tab w:val="right" w:pos="9072"/>
              </w:tabs>
              <w:jc w:val="center"/>
              <w:rPr>
                <w:rFonts w:eastAsia="Calibri"/>
                <w:color w:val="000000"/>
                <w:lang w:eastAsia="en-GB"/>
              </w:rPr>
            </w:pPr>
            <w:r w:rsidRPr="00D42FF7">
              <w:rPr>
                <w:rFonts w:eastAsia="Calibri"/>
                <w:color w:val="000000"/>
                <w:lang w:eastAsia="en-GB"/>
              </w:rPr>
              <w:t>Total SCN: 0.82%</w:t>
            </w:r>
          </w:p>
        </w:tc>
      </w:tr>
    </w:tbl>
    <w:bookmarkEnd w:id="1641"/>
    <w:p w14:paraId="2F1B0B94" w14:textId="762EFE4B" w:rsidR="001042DA" w:rsidRDefault="00C35AAF" w:rsidP="004D5421">
      <w:pPr>
        <w:spacing w:line="260" w:lineRule="atLeast"/>
        <w:jc w:val="both"/>
        <w:rPr>
          <w:sz w:val="18"/>
          <w:szCs w:val="18"/>
          <w:lang w:eastAsia="en-GB"/>
        </w:rPr>
      </w:pPr>
      <w:r w:rsidRPr="00C35AAF">
        <w:rPr>
          <w:sz w:val="18"/>
          <w:szCs w:val="18"/>
          <w:vertAlign w:val="superscript"/>
          <w:lang w:eastAsia="en-GB"/>
        </w:rPr>
        <w:t>1</w:t>
      </w:r>
      <w:r w:rsidR="00E20BB3" w:rsidRPr="00C35AAF">
        <w:rPr>
          <w:sz w:val="18"/>
          <w:szCs w:val="18"/>
          <w:vertAlign w:val="superscript"/>
          <w:lang w:eastAsia="en-GB"/>
        </w:rPr>
        <w:t xml:space="preserve"> </w:t>
      </w:r>
      <w:r w:rsidR="004D5421" w:rsidRPr="004D5421">
        <w:rPr>
          <w:sz w:val="18"/>
          <w:szCs w:val="18"/>
          <w:lang w:eastAsia="en-GB"/>
        </w:rPr>
        <w:t>Density has been taken into account when calculating the in</w:t>
      </w:r>
      <w:r>
        <w:rPr>
          <w:sz w:val="18"/>
          <w:szCs w:val="18"/>
          <w:lang w:eastAsia="en-GB"/>
        </w:rPr>
        <w:t>-</w:t>
      </w:r>
      <w:r w:rsidR="004D5421" w:rsidRPr="004D5421">
        <w:rPr>
          <w:sz w:val="18"/>
          <w:szCs w:val="18"/>
          <w:lang w:eastAsia="en-GB"/>
        </w:rPr>
        <w:t>use concentration</w:t>
      </w:r>
      <w:r w:rsidR="00932B58">
        <w:rPr>
          <w:sz w:val="18"/>
          <w:szCs w:val="18"/>
          <w:lang w:eastAsia="en-GB"/>
        </w:rPr>
        <w:t>s</w:t>
      </w:r>
    </w:p>
    <w:p w14:paraId="2C12FAF8" w14:textId="589AE2C5" w:rsidR="00924524" w:rsidRPr="00924524" w:rsidRDefault="00C35AAF" w:rsidP="00924524">
      <w:pPr>
        <w:rPr>
          <w:sz w:val="18"/>
          <w:szCs w:val="18"/>
        </w:rPr>
      </w:pPr>
      <w:r w:rsidRPr="00C35AAF">
        <w:rPr>
          <w:sz w:val="18"/>
          <w:szCs w:val="18"/>
          <w:vertAlign w:val="superscript"/>
          <w:lang w:eastAsia="en-GB"/>
        </w:rPr>
        <w:t>2</w:t>
      </w:r>
      <w:r>
        <w:rPr>
          <w:sz w:val="18"/>
          <w:szCs w:val="18"/>
          <w:lang w:eastAsia="en-GB"/>
        </w:rPr>
        <w:t xml:space="preserve"> </w:t>
      </w:r>
      <w:r w:rsidR="00E20BB3">
        <w:rPr>
          <w:sz w:val="18"/>
          <w:szCs w:val="18"/>
          <w:lang w:eastAsia="en-GB"/>
        </w:rPr>
        <w:t xml:space="preserve">Total </w:t>
      </w:r>
      <w:r w:rsidR="00E20BB3" w:rsidRPr="00AA2D3A">
        <w:rPr>
          <w:sz w:val="18"/>
          <w:szCs w:val="18"/>
          <w:lang w:eastAsia="en-GB"/>
        </w:rPr>
        <w:t>Cu</w:t>
      </w:r>
      <w:r w:rsidR="00506F7C">
        <w:rPr>
          <w:sz w:val="18"/>
          <w:szCs w:val="18"/>
          <w:lang w:eastAsia="en-GB"/>
        </w:rPr>
        <w:t xml:space="preserve"> </w:t>
      </w:r>
      <w:r w:rsidR="00E20BB3">
        <w:rPr>
          <w:sz w:val="18"/>
          <w:szCs w:val="18"/>
          <w:lang w:eastAsia="en-GB"/>
        </w:rPr>
        <w:t>include</w:t>
      </w:r>
      <w:r w:rsidR="001404D9">
        <w:rPr>
          <w:sz w:val="18"/>
          <w:szCs w:val="18"/>
          <w:lang w:eastAsia="en-GB"/>
        </w:rPr>
        <w:t>s</w:t>
      </w:r>
      <w:r w:rsidR="00E20BB3">
        <w:rPr>
          <w:sz w:val="18"/>
          <w:szCs w:val="18"/>
          <w:lang w:eastAsia="en-GB"/>
        </w:rPr>
        <w:t xml:space="preserve"> </w:t>
      </w:r>
      <w:r w:rsidR="00E20BB3" w:rsidRPr="00E62FA2">
        <w:rPr>
          <w:sz w:val="18"/>
          <w:szCs w:val="18"/>
          <w:lang w:eastAsia="en-GB"/>
        </w:rPr>
        <w:t xml:space="preserve">contribution from </w:t>
      </w:r>
      <w:r w:rsidR="00E20BB3" w:rsidRPr="00AA2D3A">
        <w:rPr>
          <w:sz w:val="18"/>
          <w:szCs w:val="18"/>
          <w:u w:val="single"/>
          <w:lang w:eastAsia="en-GB"/>
        </w:rPr>
        <w:t>both</w:t>
      </w:r>
      <w:r w:rsidR="00E20BB3" w:rsidRPr="00E62FA2">
        <w:rPr>
          <w:sz w:val="18"/>
          <w:szCs w:val="18"/>
          <w:lang w:eastAsia="en-GB"/>
        </w:rPr>
        <w:t xml:space="preserve"> </w:t>
      </w:r>
      <w:r w:rsidR="00E20BB3">
        <w:rPr>
          <w:sz w:val="18"/>
          <w:szCs w:val="18"/>
          <w:lang w:eastAsia="en-GB"/>
        </w:rPr>
        <w:t xml:space="preserve">active </w:t>
      </w:r>
      <w:r w:rsidR="00E20BB3" w:rsidRPr="00E62FA2">
        <w:rPr>
          <w:sz w:val="18"/>
          <w:szCs w:val="18"/>
          <w:lang w:eastAsia="en-GB"/>
        </w:rPr>
        <w:t>substances</w:t>
      </w:r>
      <w:r w:rsidR="00E20BB3">
        <w:rPr>
          <w:sz w:val="18"/>
          <w:szCs w:val="18"/>
          <w:lang w:eastAsia="en-GB"/>
        </w:rPr>
        <w:t xml:space="preserve">, using relevant conversion factors: </w:t>
      </w:r>
      <w:r w:rsidR="00E20BB3" w:rsidRPr="008311D0">
        <w:rPr>
          <w:sz w:val="18"/>
          <w:szCs w:val="18"/>
          <w:lang w:val="en-US" w:eastAsia="en-GB"/>
        </w:rPr>
        <w:t>([Cu</w:t>
      </w:r>
      <w:r w:rsidR="00E20BB3" w:rsidRPr="008311D0">
        <w:rPr>
          <w:sz w:val="18"/>
          <w:szCs w:val="18"/>
          <w:vertAlign w:val="subscript"/>
          <w:lang w:val="en-US" w:eastAsia="en-GB"/>
        </w:rPr>
        <w:t>2</w:t>
      </w:r>
      <w:r w:rsidR="00E20BB3" w:rsidRPr="008311D0">
        <w:rPr>
          <w:sz w:val="18"/>
          <w:szCs w:val="18"/>
          <w:lang w:val="en-US" w:eastAsia="en-GB"/>
        </w:rPr>
        <w:t>O]*0,888)+([CuSCN]*0,522)</w:t>
      </w:r>
      <w:r w:rsidR="00924524">
        <w:rPr>
          <w:sz w:val="18"/>
          <w:szCs w:val="18"/>
          <w:lang w:val="en-US" w:eastAsia="en-GB"/>
        </w:rPr>
        <w:t xml:space="preserve">. Total SCN: </w:t>
      </w:r>
      <w:r w:rsidR="00924524" w:rsidRPr="00924524">
        <w:rPr>
          <w:sz w:val="18"/>
          <w:szCs w:val="18"/>
        </w:rPr>
        <w:t>Conversion factor:</w:t>
      </w:r>
      <w:r w:rsidR="00924524">
        <w:rPr>
          <w:sz w:val="18"/>
          <w:szCs w:val="18"/>
        </w:rPr>
        <w:t xml:space="preserve"> </w:t>
      </w:r>
      <w:r w:rsidR="00924524" w:rsidRPr="00924524">
        <w:rPr>
          <w:sz w:val="18"/>
          <w:szCs w:val="18"/>
        </w:rPr>
        <w:t xml:space="preserve">[CuSCN]*0,478 </w:t>
      </w:r>
    </w:p>
    <w:p w14:paraId="510AF5B0" w14:textId="77777777" w:rsidR="00924524" w:rsidRDefault="00924524" w:rsidP="00E20BB3">
      <w:pPr>
        <w:rPr>
          <w:sz w:val="18"/>
          <w:szCs w:val="18"/>
          <w:lang w:val="en-US" w:eastAsia="en-GB"/>
        </w:rPr>
      </w:pPr>
    </w:p>
    <w:p w14:paraId="6B65333A" w14:textId="246B320E" w:rsidR="00535334" w:rsidRDefault="00535334" w:rsidP="00E20BB3">
      <w:pPr>
        <w:rPr>
          <w:sz w:val="18"/>
          <w:szCs w:val="18"/>
          <w:lang w:val="en-US" w:eastAsia="en-GB"/>
        </w:rPr>
      </w:pPr>
    </w:p>
    <w:p w14:paraId="3F6C11D6" w14:textId="77777777" w:rsidR="00535334" w:rsidRDefault="00535334" w:rsidP="00E20BB3">
      <w:pPr>
        <w:rPr>
          <w:sz w:val="18"/>
          <w:szCs w:val="18"/>
          <w:lang w:val="en-US" w:eastAsia="en-GB"/>
        </w:rPr>
      </w:pPr>
    </w:p>
    <w:p w14:paraId="1A539993" w14:textId="77777777" w:rsidR="00E20BB3" w:rsidRPr="00E20BB3" w:rsidRDefault="00E20BB3" w:rsidP="004D5421">
      <w:pPr>
        <w:spacing w:line="260" w:lineRule="atLeast"/>
        <w:jc w:val="both"/>
        <w:rPr>
          <w:lang w:val="en-US"/>
        </w:rPr>
      </w:pPr>
    </w:p>
    <w:p w14:paraId="50708EEE" w14:textId="6BF1876F" w:rsidR="001042DA" w:rsidRPr="006B1A5A" w:rsidRDefault="00375520" w:rsidP="001042DA">
      <w:pPr>
        <w:keepNext/>
        <w:pageBreakBefore/>
        <w:rPr>
          <w:rFonts w:eastAsia="Calibri"/>
          <w:b/>
          <w:i/>
          <w:sz w:val="22"/>
          <w:szCs w:val="22"/>
          <w:lang w:eastAsia="en-US"/>
        </w:rPr>
      </w:pPr>
      <w:r>
        <w:rPr>
          <w:rFonts w:eastAsia="Calibri"/>
          <w:b/>
          <w:i/>
          <w:sz w:val="22"/>
          <w:szCs w:val="22"/>
          <w:lang w:eastAsia="en-US"/>
        </w:rPr>
        <w:t>Industrial</w:t>
      </w:r>
      <w:r w:rsidRPr="006B1A5A">
        <w:rPr>
          <w:rFonts w:eastAsia="Calibri"/>
          <w:b/>
          <w:i/>
          <w:sz w:val="22"/>
          <w:szCs w:val="22"/>
          <w:lang w:eastAsia="en-US"/>
        </w:rPr>
        <w:t xml:space="preserve"> </w:t>
      </w:r>
      <w:r w:rsidR="001042DA" w:rsidRPr="006B1A5A">
        <w:rPr>
          <w:rFonts w:eastAsia="Calibri"/>
          <w:b/>
          <w:i/>
          <w:sz w:val="22"/>
          <w:szCs w:val="22"/>
          <w:lang w:eastAsia="en-US"/>
        </w:rPr>
        <w:t xml:space="preserve">exposure </w:t>
      </w:r>
    </w:p>
    <w:p w14:paraId="0928294A" w14:textId="77777777" w:rsidR="001042DA" w:rsidRPr="006B1A5A" w:rsidRDefault="001042DA" w:rsidP="001042DA">
      <w:pPr>
        <w:keepNext/>
        <w:spacing w:line="260" w:lineRule="atLeast"/>
        <w:rPr>
          <w:rFonts w:eastAsia="Calibri"/>
          <w:sz w:val="22"/>
          <w:szCs w:val="22"/>
          <w:lang w:eastAsia="en-US"/>
        </w:rPr>
      </w:pPr>
    </w:p>
    <w:p w14:paraId="64C4B3C7" w14:textId="4F71F127" w:rsidR="001042DA" w:rsidRPr="006B1A5A" w:rsidRDefault="001042DA" w:rsidP="001042DA">
      <w:pPr>
        <w:keepNext/>
        <w:rPr>
          <w:rFonts w:eastAsia="Calibri"/>
          <w:i/>
          <w:u w:val="single"/>
          <w:lang w:eastAsia="en-US"/>
        </w:rPr>
      </w:pPr>
      <w:bookmarkStart w:id="1642" w:name="_Hlk22765694"/>
      <w:r w:rsidRPr="006B1A5A">
        <w:rPr>
          <w:rFonts w:eastAsia="Calibri"/>
          <w:i/>
          <w:u w:val="single"/>
          <w:lang w:eastAsia="en-US"/>
        </w:rPr>
        <w:t xml:space="preserve">Scenario [1] </w:t>
      </w:r>
      <w:r w:rsidR="00375520">
        <w:rPr>
          <w:rFonts w:eastAsia="Calibri"/>
          <w:i/>
          <w:u w:val="single"/>
          <w:lang w:eastAsia="en-US"/>
        </w:rPr>
        <w:t>Industrial</w:t>
      </w:r>
      <w:r w:rsidR="00375520" w:rsidRPr="006B1A5A">
        <w:rPr>
          <w:rFonts w:eastAsia="Calibri"/>
          <w:i/>
          <w:u w:val="single"/>
          <w:lang w:eastAsia="en-US"/>
        </w:rPr>
        <w:t xml:space="preserve">l </w:t>
      </w:r>
      <w:r w:rsidRPr="006B1A5A">
        <w:rPr>
          <w:rFonts w:eastAsia="Calibri"/>
          <w:i/>
          <w:u w:val="single"/>
          <w:lang w:eastAsia="en-US"/>
        </w:rPr>
        <w:t>use: Net treatment</w:t>
      </w:r>
    </w:p>
    <w:p w14:paraId="6931C676" w14:textId="77777777" w:rsidR="001042DA" w:rsidRPr="006B1A5A" w:rsidRDefault="001042DA" w:rsidP="001042DA">
      <w:pPr>
        <w:keepNext/>
        <w:rPr>
          <w:rFonts w:eastAsia="Calibri"/>
          <w:i/>
          <w:u w:val="single"/>
          <w:lang w:eastAsia="en-US"/>
        </w:rPr>
      </w:pPr>
    </w:p>
    <w:p w14:paraId="35978FA9" w14:textId="77777777" w:rsidR="001042DA" w:rsidRPr="006B1A5A" w:rsidRDefault="001042DA" w:rsidP="001042DA">
      <w:pPr>
        <w:keepNext/>
        <w:ind w:right="142"/>
        <w:jc w:val="both"/>
        <w:rPr>
          <w:rFonts w:eastAsia="Calibri"/>
          <w:lang w:eastAsia="en-US"/>
        </w:rPr>
      </w:pPr>
      <w:bookmarkStart w:id="1643" w:name="_Hlk19225064"/>
      <w:r w:rsidRPr="006B1A5A">
        <w:rPr>
          <w:rFonts w:eastAsia="Calibri"/>
          <w:lang w:eastAsia="en-US"/>
        </w:rPr>
        <w:t xml:space="preserve">The </w:t>
      </w:r>
      <w:r w:rsidRPr="006B1A5A">
        <w:rPr>
          <w:rFonts w:eastAsia="Calibri"/>
          <w:noProof/>
          <w:lang w:eastAsia="en-US"/>
        </w:rPr>
        <w:t>modelling</w:t>
      </w:r>
      <w:r w:rsidRPr="006B1A5A">
        <w:rPr>
          <w:rFonts w:eastAsia="Calibri"/>
          <w:lang w:eastAsia="en-US"/>
        </w:rPr>
        <w:t xml:space="preserve"> input parameters of Dipping model 4 were used to calculate the exposure values for the AquaNet 360 BPF members.</w:t>
      </w:r>
    </w:p>
    <w:bookmarkEnd w:id="1642"/>
    <w:bookmarkEnd w:id="1643"/>
    <w:p w14:paraId="126F045D" w14:textId="77777777" w:rsidR="001042DA" w:rsidRPr="006B1A5A" w:rsidRDefault="001042DA" w:rsidP="001042DA">
      <w:pPr>
        <w:keepNext/>
        <w:jc w:val="both"/>
      </w:pPr>
    </w:p>
    <w:tbl>
      <w:tblPr>
        <w:tblStyle w:val="Tabellrutenett"/>
        <w:tblW w:w="0" w:type="auto"/>
        <w:tblLook w:val="04A0" w:firstRow="1" w:lastRow="0" w:firstColumn="1" w:lastColumn="0" w:noHBand="0" w:noVBand="1"/>
      </w:tblPr>
      <w:tblGrid>
        <w:gridCol w:w="1662"/>
        <w:gridCol w:w="2068"/>
        <w:gridCol w:w="1379"/>
        <w:gridCol w:w="1360"/>
        <w:gridCol w:w="1344"/>
        <w:gridCol w:w="1401"/>
      </w:tblGrid>
      <w:tr w:rsidR="001042DA" w:rsidRPr="006B1A5A" w14:paraId="1A173158" w14:textId="77777777" w:rsidTr="00AF2AEA">
        <w:trPr>
          <w:gridAfter w:val="4"/>
          <w:tblHeader/>
        </w:trPr>
        <w:tc>
          <w:tcPr>
            <w:tcW w:w="0" w:type="auto"/>
            <w:tcBorders>
              <w:top w:val="nil"/>
              <w:left w:val="nil"/>
              <w:bottom w:val="single" w:sz="4" w:space="0" w:color="auto"/>
              <w:right w:val="nil"/>
            </w:tcBorders>
          </w:tcPr>
          <w:p w14:paraId="48071F94" w14:textId="77777777" w:rsidR="001042DA" w:rsidRPr="006B1A5A" w:rsidRDefault="001042DA" w:rsidP="00AF2AEA">
            <w:pPr>
              <w:keepNext/>
              <w:spacing w:line="260" w:lineRule="atLeast"/>
              <w:jc w:val="both"/>
              <w:rPr>
                <w:b/>
              </w:rPr>
            </w:pPr>
            <w:bookmarkStart w:id="1644" w:name="_Hlk19225317"/>
          </w:p>
        </w:tc>
        <w:tc>
          <w:tcPr>
            <w:tcW w:w="0" w:type="auto"/>
            <w:tcBorders>
              <w:top w:val="nil"/>
              <w:left w:val="nil"/>
              <w:bottom w:val="single" w:sz="4" w:space="0" w:color="auto"/>
              <w:right w:val="nil"/>
            </w:tcBorders>
          </w:tcPr>
          <w:p w14:paraId="545348A8" w14:textId="77777777" w:rsidR="001042DA" w:rsidRPr="006B1A5A" w:rsidRDefault="001042DA" w:rsidP="00AF2AEA">
            <w:pPr>
              <w:keepNext/>
              <w:spacing w:line="260" w:lineRule="atLeast"/>
              <w:jc w:val="both"/>
              <w:rPr>
                <w:b/>
              </w:rPr>
            </w:pPr>
          </w:p>
        </w:tc>
      </w:tr>
      <w:tr w:rsidR="001042DA" w:rsidRPr="006B1A5A" w14:paraId="7A17A35A" w14:textId="77777777" w:rsidTr="00AF2AEA">
        <w:trPr>
          <w:tblHeader/>
        </w:trPr>
        <w:tc>
          <w:tcPr>
            <w:tcW w:w="0" w:type="auto"/>
            <w:gridSpan w:val="6"/>
            <w:tcBorders>
              <w:top w:val="single" w:sz="4" w:space="0" w:color="auto"/>
              <w:bottom w:val="single" w:sz="4" w:space="0" w:color="auto"/>
            </w:tcBorders>
            <w:shd w:val="clear" w:color="auto" w:fill="FFFFCC"/>
            <w:vAlign w:val="center"/>
          </w:tcPr>
          <w:p w14:paraId="06CCCE6B" w14:textId="613D3809" w:rsidR="001042DA" w:rsidRPr="006B1A5A" w:rsidRDefault="001042DA" w:rsidP="00AF2AEA">
            <w:pPr>
              <w:keepNext/>
              <w:spacing w:line="260" w:lineRule="atLeast"/>
              <w:jc w:val="center"/>
              <w:rPr>
                <w:b/>
              </w:rPr>
            </w:pPr>
            <w:r w:rsidRPr="006B1A5A">
              <w:rPr>
                <w:b/>
              </w:rPr>
              <w:t xml:space="preserve">Summary table: Estimated systemic exposure from </w:t>
            </w:r>
            <w:r w:rsidR="00375520">
              <w:rPr>
                <w:b/>
              </w:rPr>
              <w:t>industrial</w:t>
            </w:r>
            <w:r w:rsidR="00375520" w:rsidRPr="006B1A5A">
              <w:rPr>
                <w:b/>
              </w:rPr>
              <w:t xml:space="preserve"> </w:t>
            </w:r>
            <w:r w:rsidRPr="006B1A5A">
              <w:rPr>
                <w:b/>
              </w:rPr>
              <w:t>use</w:t>
            </w:r>
          </w:p>
        </w:tc>
      </w:tr>
      <w:tr w:rsidR="001042DA" w:rsidRPr="006B1A5A" w14:paraId="6F761586" w14:textId="77777777" w:rsidTr="00E12018">
        <w:tc>
          <w:tcPr>
            <w:tcW w:w="0" w:type="auto"/>
            <w:tcBorders>
              <w:top w:val="single" w:sz="4" w:space="0" w:color="auto"/>
            </w:tcBorders>
            <w:shd w:val="clear" w:color="auto" w:fill="D9D9D9" w:themeFill="background1" w:themeFillShade="D9"/>
          </w:tcPr>
          <w:p w14:paraId="77E2B4A5" w14:textId="77777777" w:rsidR="001042DA" w:rsidRPr="006B1A5A" w:rsidRDefault="001042DA" w:rsidP="00AF2AEA">
            <w:pPr>
              <w:spacing w:line="260" w:lineRule="atLeast"/>
              <w:jc w:val="center"/>
              <w:rPr>
                <w:b/>
              </w:rPr>
            </w:pPr>
            <w:r w:rsidRPr="006B1A5A">
              <w:rPr>
                <w:b/>
              </w:rPr>
              <w:t>Exposure scenario</w:t>
            </w:r>
          </w:p>
        </w:tc>
        <w:tc>
          <w:tcPr>
            <w:tcW w:w="0" w:type="auto"/>
            <w:tcBorders>
              <w:top w:val="single" w:sz="4" w:space="0" w:color="auto"/>
            </w:tcBorders>
            <w:shd w:val="clear" w:color="auto" w:fill="D9D9D9" w:themeFill="background1" w:themeFillShade="D9"/>
          </w:tcPr>
          <w:p w14:paraId="4F390F02" w14:textId="77777777" w:rsidR="001042DA" w:rsidRPr="006B1A5A" w:rsidRDefault="001042DA" w:rsidP="00AF2AEA">
            <w:pPr>
              <w:spacing w:line="260" w:lineRule="atLeast"/>
              <w:jc w:val="center"/>
            </w:pPr>
            <w:r w:rsidRPr="006B1A5A">
              <w:t>Tier/PPE</w:t>
            </w:r>
          </w:p>
        </w:tc>
        <w:tc>
          <w:tcPr>
            <w:tcW w:w="0" w:type="auto"/>
            <w:shd w:val="clear" w:color="auto" w:fill="D9D9D9" w:themeFill="background1" w:themeFillShade="D9"/>
          </w:tcPr>
          <w:p w14:paraId="5B019D50" w14:textId="77777777" w:rsidR="001042DA" w:rsidRPr="006B1A5A" w:rsidRDefault="001042DA" w:rsidP="00AF2AEA">
            <w:pPr>
              <w:spacing w:line="260" w:lineRule="atLeast"/>
              <w:jc w:val="center"/>
            </w:pPr>
            <w:r w:rsidRPr="006B1A5A">
              <w:t>Estimated inhalation uptake (mg/kg bw)</w:t>
            </w:r>
          </w:p>
        </w:tc>
        <w:tc>
          <w:tcPr>
            <w:tcW w:w="0" w:type="auto"/>
            <w:shd w:val="clear" w:color="auto" w:fill="D9D9D9" w:themeFill="background1" w:themeFillShade="D9"/>
          </w:tcPr>
          <w:p w14:paraId="67FCDAE1" w14:textId="77777777" w:rsidR="001042DA" w:rsidRPr="006B1A5A" w:rsidRDefault="001042DA" w:rsidP="00AF2AEA">
            <w:pPr>
              <w:spacing w:line="260" w:lineRule="atLeast"/>
              <w:jc w:val="center"/>
              <w:rPr>
                <w:b/>
              </w:rPr>
            </w:pPr>
            <w:r w:rsidRPr="006B1A5A">
              <w:t>Estimated dermal intake (mg/kg bw)</w:t>
            </w:r>
          </w:p>
        </w:tc>
        <w:tc>
          <w:tcPr>
            <w:tcW w:w="0" w:type="auto"/>
            <w:shd w:val="clear" w:color="auto" w:fill="D9D9D9" w:themeFill="background1" w:themeFillShade="D9"/>
          </w:tcPr>
          <w:p w14:paraId="6A65DB41" w14:textId="77777777" w:rsidR="001042DA" w:rsidRPr="006B1A5A" w:rsidRDefault="001042DA" w:rsidP="00AF2AEA">
            <w:pPr>
              <w:spacing w:line="260" w:lineRule="atLeast"/>
              <w:jc w:val="center"/>
              <w:rPr>
                <w:b/>
              </w:rPr>
            </w:pPr>
            <w:r w:rsidRPr="006B1A5A">
              <w:t>Estimated oral intake (mg/kg bw)</w:t>
            </w:r>
          </w:p>
        </w:tc>
        <w:tc>
          <w:tcPr>
            <w:tcW w:w="0" w:type="auto"/>
            <w:shd w:val="clear" w:color="auto" w:fill="D9D9D9" w:themeFill="background1" w:themeFillShade="D9"/>
          </w:tcPr>
          <w:p w14:paraId="60992D92" w14:textId="77777777" w:rsidR="001042DA" w:rsidRPr="006B1A5A" w:rsidRDefault="001042DA" w:rsidP="00AF2AEA">
            <w:pPr>
              <w:spacing w:line="260" w:lineRule="atLeast"/>
              <w:jc w:val="center"/>
              <w:rPr>
                <w:b/>
              </w:rPr>
            </w:pPr>
            <w:r w:rsidRPr="006B1A5A">
              <w:t>Estimated total systemic uptake (mg/kg bw)</w:t>
            </w:r>
          </w:p>
        </w:tc>
      </w:tr>
      <w:tr w:rsidR="001042DA" w:rsidRPr="006B1A5A" w14:paraId="3A235F21" w14:textId="77777777" w:rsidTr="00AF2AEA">
        <w:tc>
          <w:tcPr>
            <w:tcW w:w="0" w:type="auto"/>
            <w:gridSpan w:val="6"/>
            <w:tcBorders>
              <w:top w:val="single" w:sz="4" w:space="0" w:color="auto"/>
            </w:tcBorders>
            <w:vAlign w:val="center"/>
          </w:tcPr>
          <w:p w14:paraId="2024AD91" w14:textId="77777777" w:rsidR="001042DA" w:rsidRPr="006B1A5A" w:rsidRDefault="001042DA" w:rsidP="00AF2AEA">
            <w:pPr>
              <w:spacing w:line="260" w:lineRule="atLeast"/>
              <w:jc w:val="center"/>
              <w:rPr>
                <w:b/>
              </w:rPr>
            </w:pPr>
          </w:p>
        </w:tc>
      </w:tr>
      <w:tr w:rsidR="001042DA" w:rsidRPr="006B1A5A" w14:paraId="382C9282" w14:textId="77777777" w:rsidTr="00AF2AEA">
        <w:tc>
          <w:tcPr>
            <w:tcW w:w="0" w:type="auto"/>
            <w:gridSpan w:val="6"/>
            <w:tcBorders>
              <w:top w:val="single" w:sz="4" w:space="0" w:color="auto"/>
            </w:tcBorders>
            <w:vAlign w:val="center"/>
          </w:tcPr>
          <w:p w14:paraId="7A054B74" w14:textId="77777777" w:rsidR="001042DA" w:rsidRPr="006B1A5A" w:rsidRDefault="001042DA" w:rsidP="00AF2AEA">
            <w:pPr>
              <w:spacing w:line="260" w:lineRule="atLeast"/>
              <w:jc w:val="center"/>
              <w:rPr>
                <w:b/>
              </w:rPr>
            </w:pPr>
            <w:r w:rsidRPr="006B1A5A">
              <w:rPr>
                <w:b/>
              </w:rPr>
              <w:t>Scenario 1: Net dipping</w:t>
            </w:r>
          </w:p>
        </w:tc>
      </w:tr>
      <w:tr w:rsidR="001042DA" w:rsidRPr="006B1A5A" w14:paraId="32322C7D" w14:textId="77777777" w:rsidTr="00AF2AEA">
        <w:tc>
          <w:tcPr>
            <w:tcW w:w="0" w:type="auto"/>
            <w:gridSpan w:val="6"/>
            <w:tcBorders>
              <w:top w:val="single" w:sz="4" w:space="0" w:color="auto"/>
            </w:tcBorders>
            <w:vAlign w:val="center"/>
          </w:tcPr>
          <w:p w14:paraId="20FD5853" w14:textId="77777777" w:rsidR="001042DA" w:rsidRPr="006B1A5A" w:rsidRDefault="001042DA" w:rsidP="00AF2AEA">
            <w:pPr>
              <w:spacing w:line="260" w:lineRule="atLeast"/>
              <w:jc w:val="center"/>
              <w:rPr>
                <w:b/>
              </w:rPr>
            </w:pPr>
          </w:p>
        </w:tc>
      </w:tr>
      <w:tr w:rsidR="001042DA" w:rsidRPr="006B1A5A" w14:paraId="6B942CAE" w14:textId="77777777" w:rsidTr="00AF2AEA">
        <w:tc>
          <w:tcPr>
            <w:tcW w:w="0" w:type="auto"/>
            <w:gridSpan w:val="6"/>
            <w:tcBorders>
              <w:top w:val="single" w:sz="4" w:space="0" w:color="auto"/>
            </w:tcBorders>
            <w:vAlign w:val="center"/>
          </w:tcPr>
          <w:p w14:paraId="49E18410" w14:textId="77777777" w:rsidR="001042DA" w:rsidRPr="006B1A5A" w:rsidRDefault="001042DA" w:rsidP="00AF2AEA">
            <w:pPr>
              <w:spacing w:line="260" w:lineRule="atLeast"/>
              <w:jc w:val="center"/>
              <w:rPr>
                <w:b/>
              </w:rPr>
            </w:pPr>
            <w:r w:rsidRPr="006B1A5A">
              <w:rPr>
                <w:b/>
              </w:rPr>
              <w:t xml:space="preserve">AquaNet HG 360 </w:t>
            </w:r>
          </w:p>
        </w:tc>
      </w:tr>
      <w:tr w:rsidR="001042DA" w:rsidRPr="006B1A5A" w14:paraId="7457EE3C" w14:textId="77777777" w:rsidTr="00AF2AEA">
        <w:tc>
          <w:tcPr>
            <w:tcW w:w="0" w:type="auto"/>
            <w:gridSpan w:val="6"/>
            <w:tcBorders>
              <w:top w:val="single" w:sz="4" w:space="0" w:color="auto"/>
            </w:tcBorders>
            <w:vAlign w:val="center"/>
          </w:tcPr>
          <w:p w14:paraId="2E830B5E" w14:textId="77777777" w:rsidR="001042DA" w:rsidRPr="00787F7E" w:rsidRDefault="001042DA" w:rsidP="00AF2AEA">
            <w:pPr>
              <w:spacing w:line="260" w:lineRule="atLeast"/>
              <w:jc w:val="center"/>
              <w:rPr>
                <w:b/>
              </w:rPr>
            </w:pPr>
          </w:p>
        </w:tc>
      </w:tr>
      <w:tr w:rsidR="001042DA" w:rsidRPr="006B1A5A" w14:paraId="0B52D79E" w14:textId="77777777" w:rsidTr="00787F7E">
        <w:tc>
          <w:tcPr>
            <w:tcW w:w="0" w:type="auto"/>
            <w:gridSpan w:val="6"/>
            <w:tcBorders>
              <w:top w:val="single" w:sz="4" w:space="0" w:color="auto"/>
            </w:tcBorders>
            <w:shd w:val="clear" w:color="auto" w:fill="auto"/>
            <w:vAlign w:val="center"/>
          </w:tcPr>
          <w:p w14:paraId="6C5B72DF" w14:textId="2AEE75DE" w:rsidR="001042DA" w:rsidRPr="00787F7E" w:rsidRDefault="00787F7E" w:rsidP="00AF2AEA">
            <w:pPr>
              <w:spacing w:line="260" w:lineRule="atLeast"/>
              <w:jc w:val="center"/>
            </w:pPr>
            <w:r w:rsidRPr="00BF75EC">
              <w:rPr>
                <w:b/>
              </w:rPr>
              <w:t xml:space="preserve">Copper </w:t>
            </w:r>
          </w:p>
        </w:tc>
      </w:tr>
      <w:tr w:rsidR="001042DA" w:rsidRPr="006B1A5A" w14:paraId="7F1B145B" w14:textId="77777777" w:rsidTr="00AF2AEA">
        <w:tc>
          <w:tcPr>
            <w:tcW w:w="0" w:type="auto"/>
            <w:tcBorders>
              <w:top w:val="single" w:sz="4" w:space="0" w:color="auto"/>
            </w:tcBorders>
            <w:shd w:val="clear" w:color="auto" w:fill="D9D9D9" w:themeFill="background1" w:themeFillShade="D9"/>
            <w:vAlign w:val="center"/>
          </w:tcPr>
          <w:p w14:paraId="04266C98" w14:textId="77777777" w:rsidR="001042DA" w:rsidRPr="006B1A5A" w:rsidRDefault="001042DA" w:rsidP="00AF2AEA">
            <w:pPr>
              <w:spacing w:line="260" w:lineRule="atLeast"/>
            </w:pPr>
            <w:r w:rsidRPr="006B1A5A">
              <w:t>Professional dipping of aquaculture nets; Dipping model 4</w:t>
            </w:r>
          </w:p>
        </w:tc>
        <w:tc>
          <w:tcPr>
            <w:tcW w:w="0" w:type="auto"/>
            <w:tcBorders>
              <w:top w:val="single" w:sz="4" w:space="0" w:color="auto"/>
            </w:tcBorders>
          </w:tcPr>
          <w:p w14:paraId="5120AC6E" w14:textId="77777777" w:rsidR="001042DA" w:rsidRPr="006B1A5A" w:rsidRDefault="001042DA" w:rsidP="00AF2AEA">
            <w:pPr>
              <w:spacing w:line="260" w:lineRule="atLeast"/>
            </w:pPr>
            <w:r w:rsidRPr="006B1A5A">
              <w:t>Tier 1; No PPE</w:t>
            </w:r>
          </w:p>
          <w:p w14:paraId="6D83CE0D" w14:textId="77777777" w:rsidR="001042DA" w:rsidRPr="006B1A5A" w:rsidRDefault="001042DA" w:rsidP="00AF2AEA">
            <w:pPr>
              <w:spacing w:line="260" w:lineRule="atLeast"/>
            </w:pPr>
            <w:r w:rsidRPr="006B1A5A">
              <w:t>Gloves (hand exposure is actual exposure inside gloves)</w:t>
            </w:r>
          </w:p>
        </w:tc>
        <w:tc>
          <w:tcPr>
            <w:tcW w:w="0" w:type="auto"/>
            <w:vAlign w:val="center"/>
          </w:tcPr>
          <w:p w14:paraId="7484BD9C" w14:textId="2C6E7B9B" w:rsidR="001042DA" w:rsidRPr="006B1A5A" w:rsidRDefault="00905886" w:rsidP="00AF2AEA">
            <w:pPr>
              <w:spacing w:line="260" w:lineRule="atLeast"/>
              <w:jc w:val="center"/>
            </w:pPr>
            <w:r>
              <w:t>6.33e-04</w:t>
            </w:r>
          </w:p>
        </w:tc>
        <w:tc>
          <w:tcPr>
            <w:tcW w:w="0" w:type="auto"/>
            <w:vAlign w:val="center"/>
          </w:tcPr>
          <w:p w14:paraId="236AF14D" w14:textId="2387A4EF" w:rsidR="001042DA" w:rsidRPr="006B1A5A" w:rsidRDefault="00905886" w:rsidP="00AF2AEA">
            <w:pPr>
              <w:spacing w:line="260" w:lineRule="atLeast"/>
              <w:jc w:val="center"/>
            </w:pPr>
            <w:r>
              <w:t>0.143</w:t>
            </w:r>
          </w:p>
        </w:tc>
        <w:tc>
          <w:tcPr>
            <w:tcW w:w="0" w:type="auto"/>
            <w:vAlign w:val="center"/>
          </w:tcPr>
          <w:p w14:paraId="58B7D28A" w14:textId="52D59761" w:rsidR="001042DA" w:rsidRPr="006B1A5A" w:rsidRDefault="00F42771" w:rsidP="00AF2AEA">
            <w:pPr>
              <w:spacing w:line="260" w:lineRule="atLeast"/>
              <w:jc w:val="center"/>
            </w:pPr>
            <w:r>
              <w:t>-</w:t>
            </w:r>
          </w:p>
        </w:tc>
        <w:tc>
          <w:tcPr>
            <w:tcW w:w="0" w:type="auto"/>
            <w:vAlign w:val="center"/>
          </w:tcPr>
          <w:p w14:paraId="1F14E17C" w14:textId="107E9C2F" w:rsidR="001042DA" w:rsidRPr="006B1A5A" w:rsidRDefault="00905886" w:rsidP="00AF2AEA">
            <w:pPr>
              <w:spacing w:line="260" w:lineRule="atLeast"/>
              <w:jc w:val="center"/>
            </w:pPr>
            <w:r>
              <w:t>0.144</w:t>
            </w:r>
          </w:p>
        </w:tc>
      </w:tr>
      <w:tr w:rsidR="001042DA" w:rsidRPr="006B1A5A" w14:paraId="64FBBA2C" w14:textId="77777777" w:rsidTr="00AF2AEA">
        <w:tc>
          <w:tcPr>
            <w:tcW w:w="0" w:type="auto"/>
            <w:tcBorders>
              <w:top w:val="single" w:sz="4" w:space="0" w:color="auto"/>
            </w:tcBorders>
            <w:shd w:val="clear" w:color="auto" w:fill="D9D9D9" w:themeFill="background1" w:themeFillShade="D9"/>
            <w:vAlign w:val="center"/>
          </w:tcPr>
          <w:p w14:paraId="4CE8DDBF" w14:textId="4CA243EC" w:rsidR="001042DA" w:rsidRPr="006B1A5A" w:rsidRDefault="001042DA" w:rsidP="00AF2AEA">
            <w:pPr>
              <w:spacing w:line="260" w:lineRule="atLeast"/>
            </w:pPr>
          </w:p>
        </w:tc>
        <w:tc>
          <w:tcPr>
            <w:tcW w:w="0" w:type="auto"/>
            <w:tcBorders>
              <w:top w:val="single" w:sz="4" w:space="0" w:color="auto"/>
            </w:tcBorders>
          </w:tcPr>
          <w:p w14:paraId="1C8FB770" w14:textId="1B642B2E" w:rsidR="001042DA" w:rsidRPr="006B1A5A" w:rsidRDefault="001042DA" w:rsidP="00AF2AEA">
            <w:pPr>
              <w:spacing w:line="260" w:lineRule="atLeast"/>
            </w:pPr>
            <w:r w:rsidRPr="006B1A5A">
              <w:t>Tier 2</w:t>
            </w:r>
            <w:r w:rsidR="00225B0C">
              <w:t>a</w:t>
            </w:r>
            <w:r w:rsidRPr="006B1A5A">
              <w:t>; Coated coverall (10% penetration) and gloves (hand exposure is actual exposure inside gloves)</w:t>
            </w:r>
          </w:p>
        </w:tc>
        <w:tc>
          <w:tcPr>
            <w:tcW w:w="0" w:type="auto"/>
            <w:vAlign w:val="center"/>
          </w:tcPr>
          <w:p w14:paraId="507D0F5D" w14:textId="02E43ADC" w:rsidR="001042DA" w:rsidRPr="006B1A5A" w:rsidRDefault="00F42771" w:rsidP="00AF2AEA">
            <w:pPr>
              <w:spacing w:line="260" w:lineRule="atLeast"/>
              <w:jc w:val="center"/>
            </w:pPr>
            <w:r>
              <w:t>6.33e-04</w:t>
            </w:r>
          </w:p>
        </w:tc>
        <w:tc>
          <w:tcPr>
            <w:tcW w:w="0" w:type="auto"/>
            <w:vAlign w:val="center"/>
          </w:tcPr>
          <w:p w14:paraId="68C34E28" w14:textId="519BFCFF" w:rsidR="001042DA" w:rsidRPr="006B1A5A" w:rsidRDefault="00F42771" w:rsidP="00AF2AEA">
            <w:pPr>
              <w:spacing w:line="260" w:lineRule="atLeast"/>
              <w:jc w:val="center"/>
            </w:pPr>
            <w:r>
              <w:t>0.023</w:t>
            </w:r>
          </w:p>
        </w:tc>
        <w:tc>
          <w:tcPr>
            <w:tcW w:w="0" w:type="auto"/>
            <w:vAlign w:val="center"/>
          </w:tcPr>
          <w:p w14:paraId="279A3989" w14:textId="6845A4F1" w:rsidR="001042DA" w:rsidRPr="006B1A5A" w:rsidRDefault="00F42771" w:rsidP="00AF2AEA">
            <w:pPr>
              <w:spacing w:line="260" w:lineRule="atLeast"/>
              <w:jc w:val="center"/>
            </w:pPr>
            <w:r>
              <w:t>-</w:t>
            </w:r>
          </w:p>
        </w:tc>
        <w:tc>
          <w:tcPr>
            <w:tcW w:w="0" w:type="auto"/>
            <w:vAlign w:val="center"/>
          </w:tcPr>
          <w:p w14:paraId="629E10EA" w14:textId="414D41B0" w:rsidR="001042DA" w:rsidRPr="006B1A5A" w:rsidRDefault="00F42771" w:rsidP="00AF2AEA">
            <w:pPr>
              <w:spacing w:line="260" w:lineRule="atLeast"/>
              <w:jc w:val="center"/>
            </w:pPr>
            <w:r>
              <w:t>0.024</w:t>
            </w:r>
          </w:p>
        </w:tc>
      </w:tr>
      <w:tr w:rsidR="001042DA" w:rsidRPr="006B1A5A" w14:paraId="3CD9BD3D" w14:textId="77777777" w:rsidTr="00AF2AEA">
        <w:tc>
          <w:tcPr>
            <w:tcW w:w="0" w:type="auto"/>
            <w:gridSpan w:val="6"/>
          </w:tcPr>
          <w:p w14:paraId="282209AB" w14:textId="5D996AFB" w:rsidR="001042DA" w:rsidRPr="006B1A5A" w:rsidRDefault="00787F7E" w:rsidP="00AF2AEA">
            <w:pPr>
              <w:spacing w:line="260" w:lineRule="atLeast"/>
              <w:jc w:val="center"/>
              <w:rPr>
                <w:vertAlign w:val="superscript"/>
              </w:rPr>
            </w:pPr>
            <w:r>
              <w:rPr>
                <w:b/>
              </w:rPr>
              <w:t xml:space="preserve">Thiocyanate </w:t>
            </w:r>
          </w:p>
        </w:tc>
      </w:tr>
      <w:tr w:rsidR="001042DA" w:rsidRPr="006B1A5A" w14:paraId="6948C7C8" w14:textId="77777777" w:rsidTr="00AF2AEA">
        <w:tc>
          <w:tcPr>
            <w:tcW w:w="0" w:type="auto"/>
            <w:shd w:val="clear" w:color="auto" w:fill="D9D9D9" w:themeFill="background1" w:themeFillShade="D9"/>
          </w:tcPr>
          <w:p w14:paraId="083D9804" w14:textId="77777777" w:rsidR="001042DA" w:rsidRPr="006B1A5A" w:rsidRDefault="001042DA" w:rsidP="00AF2AEA">
            <w:pPr>
              <w:spacing w:line="260" w:lineRule="atLeast"/>
            </w:pPr>
            <w:r w:rsidRPr="006B1A5A">
              <w:t>Professional dipping of aquaculture nets; Dipping model 4</w:t>
            </w:r>
          </w:p>
        </w:tc>
        <w:tc>
          <w:tcPr>
            <w:tcW w:w="0" w:type="auto"/>
          </w:tcPr>
          <w:p w14:paraId="3DFD968A" w14:textId="77777777" w:rsidR="001042DA" w:rsidRPr="006B1A5A" w:rsidRDefault="001042DA" w:rsidP="00AF2AEA">
            <w:pPr>
              <w:spacing w:line="260" w:lineRule="atLeast"/>
            </w:pPr>
            <w:r w:rsidRPr="006B1A5A">
              <w:t>Tier 1; No PPE</w:t>
            </w:r>
          </w:p>
          <w:p w14:paraId="4484F1BE" w14:textId="77777777" w:rsidR="001042DA" w:rsidRPr="006B1A5A" w:rsidRDefault="001042DA" w:rsidP="00AF2AEA">
            <w:pPr>
              <w:spacing w:line="260" w:lineRule="atLeast"/>
            </w:pPr>
            <w:r w:rsidRPr="006B1A5A">
              <w:t>Gloves (hand exposure is actual exposure inside gloves)</w:t>
            </w:r>
          </w:p>
        </w:tc>
        <w:tc>
          <w:tcPr>
            <w:tcW w:w="0" w:type="auto"/>
            <w:vAlign w:val="center"/>
          </w:tcPr>
          <w:p w14:paraId="3B3AD60C" w14:textId="37EDA92B" w:rsidR="001042DA" w:rsidRPr="006B1A5A" w:rsidRDefault="00F42771" w:rsidP="00AF2AEA">
            <w:pPr>
              <w:spacing w:line="260" w:lineRule="atLeast"/>
              <w:jc w:val="center"/>
            </w:pPr>
            <w:r>
              <w:t>9.37e-05</w:t>
            </w:r>
          </w:p>
        </w:tc>
        <w:tc>
          <w:tcPr>
            <w:tcW w:w="0" w:type="auto"/>
            <w:vAlign w:val="center"/>
          </w:tcPr>
          <w:p w14:paraId="5B3263E6" w14:textId="22507E9F" w:rsidR="001042DA" w:rsidRPr="006B1A5A" w:rsidRDefault="00F42771" w:rsidP="00AF2AEA">
            <w:pPr>
              <w:spacing w:line="260" w:lineRule="atLeast"/>
              <w:jc w:val="center"/>
            </w:pPr>
            <w:r>
              <w:t>0.265</w:t>
            </w:r>
          </w:p>
        </w:tc>
        <w:tc>
          <w:tcPr>
            <w:tcW w:w="0" w:type="auto"/>
            <w:vAlign w:val="center"/>
          </w:tcPr>
          <w:p w14:paraId="372F4AB8" w14:textId="348CE1BA" w:rsidR="001042DA" w:rsidRPr="006B1A5A" w:rsidRDefault="00F42771" w:rsidP="00AF2AEA">
            <w:pPr>
              <w:spacing w:line="260" w:lineRule="atLeast"/>
              <w:jc w:val="center"/>
            </w:pPr>
            <w:r>
              <w:t>-</w:t>
            </w:r>
          </w:p>
        </w:tc>
        <w:tc>
          <w:tcPr>
            <w:tcW w:w="0" w:type="auto"/>
            <w:vAlign w:val="center"/>
          </w:tcPr>
          <w:p w14:paraId="2C52385B" w14:textId="01055258" w:rsidR="001042DA" w:rsidRPr="006B1A5A" w:rsidRDefault="00F42771" w:rsidP="00AF2AEA">
            <w:pPr>
              <w:spacing w:line="260" w:lineRule="atLeast"/>
              <w:jc w:val="center"/>
            </w:pPr>
            <w:r>
              <w:t>0.265</w:t>
            </w:r>
          </w:p>
        </w:tc>
      </w:tr>
      <w:tr w:rsidR="001042DA" w:rsidRPr="006B1A5A" w14:paraId="6FE848AC" w14:textId="77777777" w:rsidTr="00AF2AEA">
        <w:tc>
          <w:tcPr>
            <w:tcW w:w="0" w:type="auto"/>
            <w:shd w:val="clear" w:color="auto" w:fill="D9D9D9" w:themeFill="background1" w:themeFillShade="D9"/>
          </w:tcPr>
          <w:p w14:paraId="282543DC" w14:textId="26D17881" w:rsidR="001042DA" w:rsidRPr="006B1A5A" w:rsidRDefault="001042DA" w:rsidP="00AF2AEA">
            <w:pPr>
              <w:spacing w:line="260" w:lineRule="atLeast"/>
            </w:pPr>
          </w:p>
        </w:tc>
        <w:tc>
          <w:tcPr>
            <w:tcW w:w="0" w:type="auto"/>
          </w:tcPr>
          <w:p w14:paraId="38A92098" w14:textId="6CD932FD" w:rsidR="001042DA" w:rsidRPr="006B1A5A" w:rsidRDefault="001042DA" w:rsidP="00AF2AEA">
            <w:pPr>
              <w:spacing w:line="260" w:lineRule="atLeast"/>
            </w:pPr>
            <w:r w:rsidRPr="006B1A5A">
              <w:t>Tier 2</w:t>
            </w:r>
            <w:r w:rsidR="00225B0C">
              <w:t>a</w:t>
            </w:r>
            <w:r w:rsidRPr="006B1A5A">
              <w:t>; Coated coverall (10% penetration) and gloves (hand exposure is actual exposure inside gloves)</w:t>
            </w:r>
          </w:p>
        </w:tc>
        <w:tc>
          <w:tcPr>
            <w:tcW w:w="0" w:type="auto"/>
            <w:vAlign w:val="center"/>
          </w:tcPr>
          <w:p w14:paraId="4B54409C" w14:textId="168A274C" w:rsidR="001042DA" w:rsidRPr="006B1A5A" w:rsidRDefault="00F42771" w:rsidP="00AF2AEA">
            <w:pPr>
              <w:spacing w:line="260" w:lineRule="atLeast"/>
              <w:jc w:val="center"/>
            </w:pPr>
            <w:r>
              <w:t>9.37e-05</w:t>
            </w:r>
          </w:p>
        </w:tc>
        <w:tc>
          <w:tcPr>
            <w:tcW w:w="0" w:type="auto"/>
            <w:vAlign w:val="center"/>
          </w:tcPr>
          <w:p w14:paraId="7A3F6EE5" w14:textId="432CB224" w:rsidR="001042DA" w:rsidRPr="006B1A5A" w:rsidRDefault="00F42771" w:rsidP="00AF2AEA">
            <w:pPr>
              <w:spacing w:line="260" w:lineRule="atLeast"/>
              <w:jc w:val="center"/>
            </w:pPr>
            <w:r>
              <w:t>0.043</w:t>
            </w:r>
          </w:p>
        </w:tc>
        <w:tc>
          <w:tcPr>
            <w:tcW w:w="0" w:type="auto"/>
            <w:vAlign w:val="center"/>
          </w:tcPr>
          <w:p w14:paraId="6E8E394E" w14:textId="1BBC7D9B" w:rsidR="001042DA" w:rsidRPr="006B1A5A" w:rsidRDefault="00F42771" w:rsidP="00AF2AEA">
            <w:pPr>
              <w:spacing w:line="260" w:lineRule="atLeast"/>
              <w:jc w:val="center"/>
            </w:pPr>
            <w:r>
              <w:t>-</w:t>
            </w:r>
          </w:p>
        </w:tc>
        <w:tc>
          <w:tcPr>
            <w:tcW w:w="0" w:type="auto"/>
            <w:vAlign w:val="center"/>
          </w:tcPr>
          <w:p w14:paraId="613957C0" w14:textId="7B4581AE" w:rsidR="001042DA" w:rsidRPr="006B1A5A" w:rsidRDefault="00F42771" w:rsidP="00AF2AEA">
            <w:pPr>
              <w:spacing w:line="260" w:lineRule="atLeast"/>
              <w:jc w:val="center"/>
            </w:pPr>
            <w:r>
              <w:t>0.043</w:t>
            </w:r>
          </w:p>
        </w:tc>
      </w:tr>
      <w:tr w:rsidR="001042DA" w:rsidRPr="006B1A5A" w14:paraId="4BCACC07" w14:textId="77777777" w:rsidTr="00AF2AEA">
        <w:tc>
          <w:tcPr>
            <w:tcW w:w="0" w:type="auto"/>
            <w:gridSpan w:val="6"/>
            <w:vAlign w:val="center"/>
          </w:tcPr>
          <w:p w14:paraId="3D38EC37" w14:textId="77777777" w:rsidR="001042DA" w:rsidRPr="006B1A5A" w:rsidRDefault="001042DA" w:rsidP="00AF2AEA">
            <w:pPr>
              <w:spacing w:line="260" w:lineRule="atLeast"/>
              <w:jc w:val="center"/>
              <w:rPr>
                <w:b/>
              </w:rPr>
            </w:pPr>
          </w:p>
        </w:tc>
      </w:tr>
      <w:tr w:rsidR="001042DA" w:rsidRPr="006B1A5A" w14:paraId="6D89E220" w14:textId="77777777" w:rsidTr="00AF2AEA">
        <w:tc>
          <w:tcPr>
            <w:tcW w:w="0" w:type="auto"/>
            <w:gridSpan w:val="6"/>
            <w:vAlign w:val="center"/>
          </w:tcPr>
          <w:p w14:paraId="3E01FE69" w14:textId="77777777" w:rsidR="001042DA" w:rsidRPr="006B1A5A" w:rsidRDefault="001042DA" w:rsidP="00AF2AEA">
            <w:pPr>
              <w:spacing w:line="260" w:lineRule="atLeast"/>
              <w:jc w:val="center"/>
            </w:pPr>
            <w:r w:rsidRPr="006B1A5A">
              <w:rPr>
                <w:b/>
              </w:rPr>
              <w:t xml:space="preserve">AquaNet LG 360 </w:t>
            </w:r>
          </w:p>
        </w:tc>
      </w:tr>
      <w:tr w:rsidR="001042DA" w:rsidRPr="006B1A5A" w14:paraId="7E0D3CC4" w14:textId="77777777" w:rsidTr="00AF2AEA">
        <w:tc>
          <w:tcPr>
            <w:tcW w:w="0" w:type="auto"/>
            <w:gridSpan w:val="6"/>
            <w:vAlign w:val="center"/>
          </w:tcPr>
          <w:p w14:paraId="5DB4D99D" w14:textId="77777777" w:rsidR="001042DA" w:rsidRPr="006B1A5A" w:rsidRDefault="001042DA" w:rsidP="00AF2AEA">
            <w:pPr>
              <w:spacing w:line="260" w:lineRule="atLeast"/>
              <w:jc w:val="center"/>
              <w:rPr>
                <w:b/>
              </w:rPr>
            </w:pPr>
          </w:p>
        </w:tc>
      </w:tr>
      <w:tr w:rsidR="001042DA" w:rsidRPr="006B1A5A" w14:paraId="426847D7" w14:textId="77777777" w:rsidTr="00AF2AEA">
        <w:tc>
          <w:tcPr>
            <w:tcW w:w="0" w:type="auto"/>
            <w:gridSpan w:val="6"/>
            <w:vAlign w:val="center"/>
          </w:tcPr>
          <w:p w14:paraId="5CE11826" w14:textId="0A9ABAA2" w:rsidR="001042DA" w:rsidRPr="006B1A5A" w:rsidRDefault="00787F7E" w:rsidP="00AF2AEA">
            <w:pPr>
              <w:spacing w:line="260" w:lineRule="atLeast"/>
              <w:jc w:val="center"/>
            </w:pPr>
            <w:r>
              <w:rPr>
                <w:b/>
              </w:rPr>
              <w:t>Copper</w:t>
            </w:r>
          </w:p>
        </w:tc>
      </w:tr>
      <w:tr w:rsidR="001042DA" w:rsidRPr="006B1A5A" w14:paraId="5AEC9FCD" w14:textId="77777777" w:rsidTr="00AF2AEA">
        <w:tc>
          <w:tcPr>
            <w:tcW w:w="0" w:type="auto"/>
            <w:shd w:val="clear" w:color="auto" w:fill="D9D9D9" w:themeFill="background1" w:themeFillShade="D9"/>
            <w:vAlign w:val="center"/>
          </w:tcPr>
          <w:p w14:paraId="3598DB5F" w14:textId="77777777" w:rsidR="001042DA" w:rsidRPr="006B1A5A" w:rsidRDefault="001042DA" w:rsidP="00AF2AEA">
            <w:pPr>
              <w:spacing w:line="260" w:lineRule="atLeast"/>
            </w:pPr>
            <w:r w:rsidRPr="006B1A5A">
              <w:t>Professional dipping of aquaculture nets; Dipping model 4</w:t>
            </w:r>
          </w:p>
        </w:tc>
        <w:tc>
          <w:tcPr>
            <w:tcW w:w="0" w:type="auto"/>
          </w:tcPr>
          <w:p w14:paraId="4424A44D" w14:textId="77777777" w:rsidR="001042DA" w:rsidRPr="006B1A5A" w:rsidRDefault="001042DA" w:rsidP="00AF2AEA">
            <w:pPr>
              <w:spacing w:line="260" w:lineRule="atLeast"/>
            </w:pPr>
            <w:r w:rsidRPr="006B1A5A">
              <w:t>Tier 1; No PPE</w:t>
            </w:r>
          </w:p>
          <w:p w14:paraId="4CC0012D" w14:textId="77777777" w:rsidR="001042DA" w:rsidRPr="006B1A5A" w:rsidRDefault="001042DA" w:rsidP="00AF2AEA">
            <w:pPr>
              <w:spacing w:line="260" w:lineRule="atLeast"/>
            </w:pPr>
            <w:r w:rsidRPr="006B1A5A">
              <w:t>Gloves (hand exposure is actual exposure inside gloves)</w:t>
            </w:r>
          </w:p>
        </w:tc>
        <w:tc>
          <w:tcPr>
            <w:tcW w:w="0" w:type="auto"/>
            <w:vAlign w:val="center"/>
          </w:tcPr>
          <w:p w14:paraId="7CFA0811" w14:textId="445DD4D5" w:rsidR="001042DA" w:rsidRPr="006B1A5A" w:rsidRDefault="00F42771" w:rsidP="00AF2AEA">
            <w:pPr>
              <w:spacing w:line="260" w:lineRule="atLeast"/>
              <w:jc w:val="center"/>
            </w:pPr>
            <w:r>
              <w:t>3.29e-04</w:t>
            </w:r>
          </w:p>
        </w:tc>
        <w:tc>
          <w:tcPr>
            <w:tcW w:w="0" w:type="auto"/>
            <w:vAlign w:val="center"/>
          </w:tcPr>
          <w:p w14:paraId="1F146386" w14:textId="1CA81571" w:rsidR="001042DA" w:rsidRPr="006B1A5A" w:rsidRDefault="00F42771" w:rsidP="00AF2AEA">
            <w:pPr>
              <w:spacing w:line="260" w:lineRule="atLeast"/>
              <w:jc w:val="center"/>
            </w:pPr>
            <w:r>
              <w:t>0.074</w:t>
            </w:r>
          </w:p>
        </w:tc>
        <w:tc>
          <w:tcPr>
            <w:tcW w:w="0" w:type="auto"/>
            <w:vAlign w:val="center"/>
          </w:tcPr>
          <w:p w14:paraId="6C3ABC28" w14:textId="774B4C4A" w:rsidR="001042DA" w:rsidRPr="006B1A5A" w:rsidRDefault="00F42771" w:rsidP="00AF2AEA">
            <w:pPr>
              <w:spacing w:line="260" w:lineRule="atLeast"/>
              <w:jc w:val="center"/>
            </w:pPr>
            <w:r>
              <w:t>-</w:t>
            </w:r>
          </w:p>
        </w:tc>
        <w:tc>
          <w:tcPr>
            <w:tcW w:w="0" w:type="auto"/>
            <w:vAlign w:val="center"/>
          </w:tcPr>
          <w:p w14:paraId="24513861" w14:textId="4AE2B5AF" w:rsidR="001042DA" w:rsidRPr="006B1A5A" w:rsidRDefault="00F42771" w:rsidP="00AF2AEA">
            <w:pPr>
              <w:spacing w:line="260" w:lineRule="atLeast"/>
              <w:jc w:val="center"/>
            </w:pPr>
            <w:r>
              <w:t>0.075</w:t>
            </w:r>
          </w:p>
        </w:tc>
      </w:tr>
      <w:tr w:rsidR="001042DA" w:rsidRPr="006B1A5A" w14:paraId="4F161BCC" w14:textId="77777777" w:rsidTr="00AF2AEA">
        <w:tc>
          <w:tcPr>
            <w:tcW w:w="0" w:type="auto"/>
            <w:shd w:val="clear" w:color="auto" w:fill="D9D9D9" w:themeFill="background1" w:themeFillShade="D9"/>
            <w:vAlign w:val="center"/>
          </w:tcPr>
          <w:p w14:paraId="42BB6F03" w14:textId="7226542F" w:rsidR="001042DA" w:rsidRPr="006B1A5A" w:rsidRDefault="001042DA" w:rsidP="00AF2AEA">
            <w:pPr>
              <w:spacing w:line="260" w:lineRule="atLeast"/>
            </w:pPr>
          </w:p>
        </w:tc>
        <w:tc>
          <w:tcPr>
            <w:tcW w:w="0" w:type="auto"/>
          </w:tcPr>
          <w:p w14:paraId="2B9EA361" w14:textId="6386055A" w:rsidR="001042DA" w:rsidRPr="006B1A5A" w:rsidRDefault="001042DA" w:rsidP="00AF2AEA">
            <w:pPr>
              <w:spacing w:line="260" w:lineRule="atLeast"/>
            </w:pPr>
            <w:r w:rsidRPr="006B1A5A">
              <w:t>Tier 2</w:t>
            </w:r>
            <w:r w:rsidR="00225B0C">
              <w:t>a</w:t>
            </w:r>
            <w:r w:rsidRPr="006B1A5A">
              <w:t>; Coated coverall (10% penetration) and gloves (hand exposure is actual exposure inside gloves)</w:t>
            </w:r>
          </w:p>
        </w:tc>
        <w:tc>
          <w:tcPr>
            <w:tcW w:w="0" w:type="auto"/>
            <w:vAlign w:val="center"/>
          </w:tcPr>
          <w:p w14:paraId="7FEE792E" w14:textId="16277904" w:rsidR="001042DA" w:rsidRPr="006B1A5A" w:rsidRDefault="00F42771" w:rsidP="00AF2AEA">
            <w:pPr>
              <w:spacing w:line="260" w:lineRule="atLeast"/>
              <w:jc w:val="center"/>
            </w:pPr>
            <w:r>
              <w:t>3.29e-04</w:t>
            </w:r>
          </w:p>
        </w:tc>
        <w:tc>
          <w:tcPr>
            <w:tcW w:w="0" w:type="auto"/>
            <w:vAlign w:val="center"/>
          </w:tcPr>
          <w:p w14:paraId="7AABDBB5" w14:textId="7FE8ED75" w:rsidR="001042DA" w:rsidRPr="006B1A5A" w:rsidRDefault="00F42771" w:rsidP="00AF2AEA">
            <w:pPr>
              <w:spacing w:line="260" w:lineRule="atLeast"/>
              <w:jc w:val="center"/>
            </w:pPr>
            <w:r>
              <w:t>0.012</w:t>
            </w:r>
          </w:p>
        </w:tc>
        <w:tc>
          <w:tcPr>
            <w:tcW w:w="0" w:type="auto"/>
            <w:vAlign w:val="center"/>
          </w:tcPr>
          <w:p w14:paraId="2E18B4A7" w14:textId="25EAA288" w:rsidR="001042DA" w:rsidRPr="006B1A5A" w:rsidRDefault="00F42771" w:rsidP="00AF2AEA">
            <w:pPr>
              <w:spacing w:line="260" w:lineRule="atLeast"/>
              <w:jc w:val="center"/>
            </w:pPr>
            <w:r>
              <w:t>-</w:t>
            </w:r>
          </w:p>
        </w:tc>
        <w:tc>
          <w:tcPr>
            <w:tcW w:w="0" w:type="auto"/>
            <w:vAlign w:val="center"/>
          </w:tcPr>
          <w:p w14:paraId="04D734ED" w14:textId="4E012448" w:rsidR="001042DA" w:rsidRPr="006B1A5A" w:rsidRDefault="00F42771" w:rsidP="00AF2AEA">
            <w:pPr>
              <w:spacing w:line="260" w:lineRule="atLeast"/>
              <w:jc w:val="center"/>
            </w:pPr>
            <w:r>
              <w:t>0.012</w:t>
            </w:r>
          </w:p>
        </w:tc>
      </w:tr>
      <w:tr w:rsidR="001042DA" w:rsidRPr="006B1A5A" w14:paraId="7D0BF7F6" w14:textId="77777777" w:rsidTr="00AF2AEA">
        <w:tc>
          <w:tcPr>
            <w:tcW w:w="0" w:type="auto"/>
            <w:gridSpan w:val="6"/>
          </w:tcPr>
          <w:p w14:paraId="1E3547B0" w14:textId="6914D199" w:rsidR="001042DA" w:rsidRPr="006B1A5A" w:rsidRDefault="00787F7E" w:rsidP="00AF2AEA">
            <w:pPr>
              <w:spacing w:line="260" w:lineRule="atLeast"/>
              <w:jc w:val="center"/>
            </w:pPr>
            <w:r>
              <w:rPr>
                <w:b/>
              </w:rPr>
              <w:t>Thiocyanate</w:t>
            </w:r>
          </w:p>
        </w:tc>
      </w:tr>
      <w:tr w:rsidR="001042DA" w:rsidRPr="006B1A5A" w14:paraId="2DD7EE4E" w14:textId="77777777" w:rsidTr="00AF2AEA">
        <w:tc>
          <w:tcPr>
            <w:tcW w:w="0" w:type="auto"/>
            <w:shd w:val="clear" w:color="auto" w:fill="D9D9D9" w:themeFill="background1" w:themeFillShade="D9"/>
          </w:tcPr>
          <w:p w14:paraId="4F348E14" w14:textId="77777777" w:rsidR="001042DA" w:rsidRPr="006B1A5A" w:rsidRDefault="001042DA" w:rsidP="00AF2AEA">
            <w:pPr>
              <w:spacing w:line="260" w:lineRule="atLeast"/>
            </w:pPr>
            <w:r w:rsidRPr="006B1A5A">
              <w:t>Professional dipping of aquaculture nets; Dipping model 4</w:t>
            </w:r>
          </w:p>
        </w:tc>
        <w:tc>
          <w:tcPr>
            <w:tcW w:w="0" w:type="auto"/>
          </w:tcPr>
          <w:p w14:paraId="2E3B7CE5" w14:textId="77777777" w:rsidR="001042DA" w:rsidRPr="006B1A5A" w:rsidRDefault="001042DA" w:rsidP="00AF2AEA">
            <w:pPr>
              <w:spacing w:line="260" w:lineRule="atLeast"/>
            </w:pPr>
            <w:r w:rsidRPr="006B1A5A">
              <w:t>Tier 1; No PPE</w:t>
            </w:r>
          </w:p>
          <w:p w14:paraId="3B3318AF" w14:textId="77777777" w:rsidR="001042DA" w:rsidRPr="006B1A5A" w:rsidRDefault="001042DA" w:rsidP="00AF2AEA">
            <w:pPr>
              <w:spacing w:line="260" w:lineRule="atLeast"/>
            </w:pPr>
            <w:r w:rsidRPr="006B1A5A">
              <w:t>Gloves (hand exposure is actual exposure inside gloves)</w:t>
            </w:r>
          </w:p>
        </w:tc>
        <w:tc>
          <w:tcPr>
            <w:tcW w:w="0" w:type="auto"/>
            <w:vAlign w:val="center"/>
          </w:tcPr>
          <w:p w14:paraId="3246D3F5" w14:textId="2C01931D" w:rsidR="001042DA" w:rsidRPr="006B1A5A" w:rsidRDefault="00F42771" w:rsidP="00AF2AEA">
            <w:pPr>
              <w:spacing w:line="260" w:lineRule="atLeast"/>
              <w:jc w:val="center"/>
            </w:pPr>
            <w:r>
              <w:t>4.28e-05</w:t>
            </w:r>
          </w:p>
        </w:tc>
        <w:tc>
          <w:tcPr>
            <w:tcW w:w="0" w:type="auto"/>
            <w:vAlign w:val="center"/>
          </w:tcPr>
          <w:p w14:paraId="623E246F" w14:textId="5C49F81E" w:rsidR="001042DA" w:rsidRPr="006B1A5A" w:rsidRDefault="00F42771" w:rsidP="00AF2AEA">
            <w:pPr>
              <w:spacing w:line="260" w:lineRule="atLeast"/>
              <w:jc w:val="center"/>
            </w:pPr>
            <w:r>
              <w:t>0.12</w:t>
            </w:r>
          </w:p>
        </w:tc>
        <w:tc>
          <w:tcPr>
            <w:tcW w:w="0" w:type="auto"/>
            <w:vAlign w:val="center"/>
          </w:tcPr>
          <w:p w14:paraId="0508ACA4" w14:textId="1CC07383" w:rsidR="001042DA" w:rsidRPr="006B1A5A" w:rsidRDefault="00F42771" w:rsidP="00AF2AEA">
            <w:pPr>
              <w:spacing w:line="260" w:lineRule="atLeast"/>
              <w:jc w:val="center"/>
            </w:pPr>
            <w:r>
              <w:t>-</w:t>
            </w:r>
          </w:p>
        </w:tc>
        <w:tc>
          <w:tcPr>
            <w:tcW w:w="0" w:type="auto"/>
            <w:vAlign w:val="center"/>
          </w:tcPr>
          <w:p w14:paraId="38D3BBC9" w14:textId="2A2B84A7" w:rsidR="001042DA" w:rsidRPr="006B1A5A" w:rsidRDefault="00F42771" w:rsidP="00AF2AEA">
            <w:pPr>
              <w:spacing w:line="260" w:lineRule="atLeast"/>
              <w:jc w:val="center"/>
            </w:pPr>
            <w:r>
              <w:t>0.12</w:t>
            </w:r>
          </w:p>
        </w:tc>
      </w:tr>
      <w:tr w:rsidR="001042DA" w:rsidRPr="006B1A5A" w14:paraId="0CBD97BC" w14:textId="77777777" w:rsidTr="00AF2AEA">
        <w:tc>
          <w:tcPr>
            <w:tcW w:w="0" w:type="auto"/>
            <w:shd w:val="clear" w:color="auto" w:fill="D9D9D9" w:themeFill="background1" w:themeFillShade="D9"/>
          </w:tcPr>
          <w:p w14:paraId="4FDDE979" w14:textId="4692950A" w:rsidR="001042DA" w:rsidRPr="006B1A5A" w:rsidRDefault="001042DA" w:rsidP="00AF2AEA">
            <w:pPr>
              <w:spacing w:line="260" w:lineRule="atLeast"/>
            </w:pPr>
          </w:p>
        </w:tc>
        <w:tc>
          <w:tcPr>
            <w:tcW w:w="0" w:type="auto"/>
          </w:tcPr>
          <w:p w14:paraId="0F529735" w14:textId="278827D6" w:rsidR="001042DA" w:rsidRPr="006B1A5A" w:rsidRDefault="001042DA" w:rsidP="00AF2AEA">
            <w:pPr>
              <w:spacing w:line="260" w:lineRule="atLeast"/>
            </w:pPr>
            <w:r w:rsidRPr="006B1A5A">
              <w:t>Tier 2</w:t>
            </w:r>
            <w:r w:rsidR="00225B0C">
              <w:t>a</w:t>
            </w:r>
            <w:r w:rsidRPr="006B1A5A">
              <w:t>; Coated coverall (10</w:t>
            </w:r>
            <w:r w:rsidR="000D225E">
              <w:t xml:space="preserve"> </w:t>
            </w:r>
            <w:r w:rsidRPr="006B1A5A">
              <w:t>% penetration) and gloves (hand exposure is actual exposure inside gloves)</w:t>
            </w:r>
          </w:p>
        </w:tc>
        <w:tc>
          <w:tcPr>
            <w:tcW w:w="0" w:type="auto"/>
            <w:vAlign w:val="center"/>
          </w:tcPr>
          <w:p w14:paraId="6E7F9455" w14:textId="3351B8AF" w:rsidR="001042DA" w:rsidRPr="006B1A5A" w:rsidRDefault="00F42771" w:rsidP="00AF2AEA">
            <w:pPr>
              <w:spacing w:line="260" w:lineRule="atLeast"/>
              <w:jc w:val="center"/>
            </w:pPr>
            <w:r>
              <w:t>4.28e-05</w:t>
            </w:r>
          </w:p>
        </w:tc>
        <w:tc>
          <w:tcPr>
            <w:tcW w:w="0" w:type="auto"/>
            <w:vAlign w:val="center"/>
          </w:tcPr>
          <w:p w14:paraId="2F6A770B" w14:textId="7C5359CE" w:rsidR="001042DA" w:rsidRPr="006B1A5A" w:rsidRDefault="00F42771" w:rsidP="00AF2AEA">
            <w:pPr>
              <w:spacing w:line="260" w:lineRule="atLeast"/>
              <w:jc w:val="center"/>
            </w:pPr>
            <w:r>
              <w:t>0.02</w:t>
            </w:r>
          </w:p>
        </w:tc>
        <w:tc>
          <w:tcPr>
            <w:tcW w:w="0" w:type="auto"/>
            <w:vAlign w:val="center"/>
          </w:tcPr>
          <w:p w14:paraId="2265A5B5" w14:textId="24A9268E" w:rsidR="001042DA" w:rsidRPr="006B1A5A" w:rsidRDefault="00F42771" w:rsidP="00AF2AEA">
            <w:pPr>
              <w:spacing w:line="260" w:lineRule="atLeast"/>
              <w:jc w:val="center"/>
            </w:pPr>
            <w:r>
              <w:t>-</w:t>
            </w:r>
          </w:p>
        </w:tc>
        <w:tc>
          <w:tcPr>
            <w:tcW w:w="0" w:type="auto"/>
            <w:vAlign w:val="center"/>
          </w:tcPr>
          <w:p w14:paraId="3092D9E3" w14:textId="72DCB2A5" w:rsidR="001042DA" w:rsidRPr="006B1A5A" w:rsidRDefault="00F42771" w:rsidP="00AF2AEA">
            <w:pPr>
              <w:spacing w:line="260" w:lineRule="atLeast"/>
              <w:jc w:val="center"/>
            </w:pPr>
            <w:r>
              <w:t>0.02</w:t>
            </w:r>
          </w:p>
        </w:tc>
      </w:tr>
      <w:tr w:rsidR="001042DA" w:rsidRPr="006B1A5A" w14:paraId="2C20B35A" w14:textId="77777777" w:rsidTr="00AF2AEA">
        <w:tc>
          <w:tcPr>
            <w:tcW w:w="0" w:type="auto"/>
            <w:gridSpan w:val="6"/>
          </w:tcPr>
          <w:p w14:paraId="6072B899" w14:textId="77777777" w:rsidR="001042DA" w:rsidRPr="006B1A5A" w:rsidRDefault="001042DA" w:rsidP="00AF2AEA">
            <w:pPr>
              <w:spacing w:line="260" w:lineRule="atLeast"/>
              <w:jc w:val="center"/>
              <w:rPr>
                <w:b/>
              </w:rPr>
            </w:pPr>
            <w:bookmarkStart w:id="1645" w:name="_Hlk19263445"/>
          </w:p>
        </w:tc>
      </w:tr>
      <w:tr w:rsidR="001042DA" w:rsidRPr="006B1A5A" w14:paraId="33E27B97" w14:textId="77777777" w:rsidTr="00AF2AEA">
        <w:tc>
          <w:tcPr>
            <w:tcW w:w="0" w:type="auto"/>
            <w:gridSpan w:val="6"/>
          </w:tcPr>
          <w:p w14:paraId="7D8D6181" w14:textId="77777777" w:rsidR="001042DA" w:rsidRPr="006B1A5A" w:rsidRDefault="001042DA" w:rsidP="00AF2AEA">
            <w:pPr>
              <w:spacing w:line="260" w:lineRule="atLeast"/>
              <w:jc w:val="center"/>
            </w:pPr>
            <w:r w:rsidRPr="006B1A5A">
              <w:rPr>
                <w:b/>
              </w:rPr>
              <w:t>AquaNet 360 RFU</w:t>
            </w:r>
          </w:p>
        </w:tc>
      </w:tr>
      <w:tr w:rsidR="001042DA" w:rsidRPr="006B1A5A" w14:paraId="6DBD91E4" w14:textId="77777777" w:rsidTr="00AF2AEA">
        <w:tc>
          <w:tcPr>
            <w:tcW w:w="0" w:type="auto"/>
            <w:gridSpan w:val="6"/>
          </w:tcPr>
          <w:p w14:paraId="12AC0EB9" w14:textId="77777777" w:rsidR="001042DA" w:rsidRPr="006B1A5A" w:rsidRDefault="001042DA" w:rsidP="00AF2AEA">
            <w:pPr>
              <w:spacing w:line="260" w:lineRule="atLeast"/>
              <w:jc w:val="center"/>
              <w:rPr>
                <w:b/>
              </w:rPr>
            </w:pPr>
          </w:p>
        </w:tc>
      </w:tr>
      <w:tr w:rsidR="001042DA" w:rsidRPr="006B1A5A" w14:paraId="46825328" w14:textId="77777777" w:rsidTr="00AF2AEA">
        <w:tc>
          <w:tcPr>
            <w:tcW w:w="0" w:type="auto"/>
            <w:gridSpan w:val="6"/>
          </w:tcPr>
          <w:p w14:paraId="1C92CAFF" w14:textId="1D02F91F" w:rsidR="001042DA" w:rsidRPr="006B1A5A" w:rsidRDefault="00787F7E" w:rsidP="00AF2AEA">
            <w:pPr>
              <w:spacing w:line="260" w:lineRule="atLeast"/>
              <w:jc w:val="center"/>
            </w:pPr>
            <w:r>
              <w:rPr>
                <w:b/>
              </w:rPr>
              <w:t>Copper</w:t>
            </w:r>
          </w:p>
        </w:tc>
      </w:tr>
      <w:tr w:rsidR="001042DA" w:rsidRPr="006B1A5A" w14:paraId="216692AA" w14:textId="77777777" w:rsidTr="00AF2AEA">
        <w:tc>
          <w:tcPr>
            <w:tcW w:w="0" w:type="auto"/>
            <w:shd w:val="clear" w:color="auto" w:fill="D9D9D9" w:themeFill="background1" w:themeFillShade="D9"/>
            <w:vAlign w:val="center"/>
          </w:tcPr>
          <w:p w14:paraId="10BCFA0E" w14:textId="77777777" w:rsidR="001042DA" w:rsidRPr="006B1A5A" w:rsidRDefault="001042DA" w:rsidP="00AF2AEA">
            <w:pPr>
              <w:spacing w:line="260" w:lineRule="atLeast"/>
            </w:pPr>
            <w:r w:rsidRPr="006B1A5A">
              <w:t>Professional dipping of aquaculture nets; Dipping model 4</w:t>
            </w:r>
          </w:p>
        </w:tc>
        <w:tc>
          <w:tcPr>
            <w:tcW w:w="0" w:type="auto"/>
          </w:tcPr>
          <w:p w14:paraId="3CD19A5E" w14:textId="77777777" w:rsidR="001042DA" w:rsidRPr="006B1A5A" w:rsidRDefault="001042DA" w:rsidP="00AF2AEA">
            <w:pPr>
              <w:spacing w:line="260" w:lineRule="atLeast"/>
            </w:pPr>
            <w:r w:rsidRPr="006B1A5A">
              <w:t>Tier 1; No PPE</w:t>
            </w:r>
          </w:p>
          <w:p w14:paraId="501BD33A" w14:textId="77777777" w:rsidR="001042DA" w:rsidRPr="006B1A5A" w:rsidRDefault="001042DA" w:rsidP="00AF2AEA">
            <w:pPr>
              <w:spacing w:line="260" w:lineRule="atLeast"/>
            </w:pPr>
            <w:r w:rsidRPr="006B1A5A">
              <w:t>Gloves (hand exposure is actual exposure inside gloves)</w:t>
            </w:r>
          </w:p>
        </w:tc>
        <w:tc>
          <w:tcPr>
            <w:tcW w:w="0" w:type="auto"/>
            <w:vAlign w:val="center"/>
          </w:tcPr>
          <w:p w14:paraId="5683320F" w14:textId="790FA0A7" w:rsidR="001042DA" w:rsidRPr="006B1A5A" w:rsidRDefault="00F42771" w:rsidP="00AF2AEA">
            <w:pPr>
              <w:spacing w:line="260" w:lineRule="atLeast"/>
              <w:jc w:val="center"/>
            </w:pPr>
            <w:r>
              <w:t>4.96e-04</w:t>
            </w:r>
          </w:p>
        </w:tc>
        <w:tc>
          <w:tcPr>
            <w:tcW w:w="0" w:type="auto"/>
            <w:vAlign w:val="center"/>
          </w:tcPr>
          <w:p w14:paraId="02244910" w14:textId="47068DE2" w:rsidR="001042DA" w:rsidRPr="006B1A5A" w:rsidRDefault="00F42771" w:rsidP="00AF2AEA">
            <w:pPr>
              <w:spacing w:line="260" w:lineRule="atLeast"/>
              <w:jc w:val="center"/>
            </w:pPr>
            <w:r>
              <w:t>0.</w:t>
            </w:r>
            <w:r w:rsidR="000E66AC">
              <w:t>3</w:t>
            </w:r>
            <w:r w:rsidR="00EB090F">
              <w:t>1</w:t>
            </w:r>
          </w:p>
        </w:tc>
        <w:tc>
          <w:tcPr>
            <w:tcW w:w="0" w:type="auto"/>
            <w:vAlign w:val="center"/>
          </w:tcPr>
          <w:p w14:paraId="45139599" w14:textId="57063D7D" w:rsidR="001042DA" w:rsidRPr="006B1A5A" w:rsidRDefault="00F42771" w:rsidP="00AF2AEA">
            <w:pPr>
              <w:spacing w:line="260" w:lineRule="atLeast"/>
              <w:jc w:val="center"/>
            </w:pPr>
            <w:r>
              <w:t>-</w:t>
            </w:r>
          </w:p>
        </w:tc>
        <w:tc>
          <w:tcPr>
            <w:tcW w:w="0" w:type="auto"/>
            <w:vAlign w:val="center"/>
          </w:tcPr>
          <w:p w14:paraId="1B5EDD90" w14:textId="617DF00A" w:rsidR="001042DA" w:rsidRPr="006B1A5A" w:rsidRDefault="00F42771" w:rsidP="00AF2AEA">
            <w:pPr>
              <w:spacing w:line="260" w:lineRule="atLeast"/>
              <w:jc w:val="center"/>
            </w:pPr>
            <w:r>
              <w:t>0.</w:t>
            </w:r>
            <w:r w:rsidR="000E66AC">
              <w:t>3</w:t>
            </w:r>
            <w:r w:rsidR="00EB090F">
              <w:t>1</w:t>
            </w:r>
          </w:p>
        </w:tc>
      </w:tr>
      <w:tr w:rsidR="001042DA" w:rsidRPr="006B1A5A" w14:paraId="5ED1F5CA" w14:textId="77777777" w:rsidTr="00AF2AEA">
        <w:tc>
          <w:tcPr>
            <w:tcW w:w="0" w:type="auto"/>
            <w:shd w:val="clear" w:color="auto" w:fill="D9D9D9" w:themeFill="background1" w:themeFillShade="D9"/>
            <w:vAlign w:val="center"/>
          </w:tcPr>
          <w:p w14:paraId="771543D2" w14:textId="60268317" w:rsidR="001042DA" w:rsidRPr="006B1A5A" w:rsidRDefault="001042DA" w:rsidP="00AF2AEA">
            <w:pPr>
              <w:spacing w:line="260" w:lineRule="atLeast"/>
            </w:pPr>
          </w:p>
        </w:tc>
        <w:tc>
          <w:tcPr>
            <w:tcW w:w="0" w:type="auto"/>
          </w:tcPr>
          <w:p w14:paraId="05D7B4BF" w14:textId="6EA3E080" w:rsidR="001042DA" w:rsidRPr="006B1A5A" w:rsidRDefault="001042DA" w:rsidP="00AF2AEA">
            <w:pPr>
              <w:spacing w:line="260" w:lineRule="atLeast"/>
            </w:pPr>
            <w:r w:rsidRPr="006B1A5A">
              <w:t>Tier 2</w:t>
            </w:r>
            <w:r w:rsidR="000D225E">
              <w:t>a</w:t>
            </w:r>
            <w:r w:rsidRPr="006B1A5A">
              <w:t>; Coated coverall (10</w:t>
            </w:r>
            <w:r w:rsidR="000D225E">
              <w:t xml:space="preserve"> </w:t>
            </w:r>
            <w:r w:rsidRPr="006B1A5A">
              <w:t>% penetration) and gloves (hand exposure is actual exposure inside gloves)</w:t>
            </w:r>
          </w:p>
        </w:tc>
        <w:tc>
          <w:tcPr>
            <w:tcW w:w="0" w:type="auto"/>
            <w:vAlign w:val="center"/>
          </w:tcPr>
          <w:p w14:paraId="3F3DB4C4" w14:textId="58F2AC24" w:rsidR="001042DA" w:rsidRPr="006B1A5A" w:rsidRDefault="00F42771" w:rsidP="00AF2AEA">
            <w:pPr>
              <w:spacing w:line="260" w:lineRule="atLeast"/>
              <w:jc w:val="center"/>
            </w:pPr>
            <w:r>
              <w:t>4.96e-04</w:t>
            </w:r>
          </w:p>
        </w:tc>
        <w:tc>
          <w:tcPr>
            <w:tcW w:w="0" w:type="auto"/>
            <w:vAlign w:val="center"/>
          </w:tcPr>
          <w:p w14:paraId="3D4C9194" w14:textId="376EA0C6" w:rsidR="001042DA" w:rsidRPr="006B1A5A" w:rsidRDefault="00F42771" w:rsidP="00AF2AEA">
            <w:pPr>
              <w:spacing w:line="260" w:lineRule="atLeast"/>
              <w:jc w:val="center"/>
            </w:pPr>
            <w:r>
              <w:t>0.0</w:t>
            </w:r>
            <w:r w:rsidR="000E66AC">
              <w:t>5</w:t>
            </w:r>
            <w:r w:rsidR="00EB090F">
              <w:t>0</w:t>
            </w:r>
          </w:p>
        </w:tc>
        <w:tc>
          <w:tcPr>
            <w:tcW w:w="0" w:type="auto"/>
            <w:vAlign w:val="center"/>
          </w:tcPr>
          <w:p w14:paraId="3D79B475" w14:textId="2E973B24" w:rsidR="001042DA" w:rsidRPr="006B1A5A" w:rsidRDefault="00F42771" w:rsidP="00AF2AEA">
            <w:pPr>
              <w:spacing w:line="260" w:lineRule="atLeast"/>
              <w:jc w:val="center"/>
            </w:pPr>
            <w:r>
              <w:t>-</w:t>
            </w:r>
          </w:p>
        </w:tc>
        <w:tc>
          <w:tcPr>
            <w:tcW w:w="0" w:type="auto"/>
            <w:vAlign w:val="center"/>
          </w:tcPr>
          <w:p w14:paraId="010CB03E" w14:textId="2A1AB069" w:rsidR="001042DA" w:rsidRPr="006B1A5A" w:rsidRDefault="00F42771" w:rsidP="00AF2AEA">
            <w:pPr>
              <w:spacing w:line="260" w:lineRule="atLeast"/>
              <w:jc w:val="center"/>
            </w:pPr>
            <w:r>
              <w:t>0.0</w:t>
            </w:r>
            <w:r w:rsidR="000E66AC">
              <w:t>5</w:t>
            </w:r>
            <w:r w:rsidR="00EB090F">
              <w:t>1</w:t>
            </w:r>
          </w:p>
        </w:tc>
      </w:tr>
      <w:tr w:rsidR="000D225E" w:rsidRPr="006B1A5A" w14:paraId="1B08B7A1" w14:textId="77777777" w:rsidTr="00AF2AEA">
        <w:tc>
          <w:tcPr>
            <w:tcW w:w="0" w:type="auto"/>
            <w:shd w:val="clear" w:color="auto" w:fill="D9D9D9" w:themeFill="background1" w:themeFillShade="D9"/>
            <w:vAlign w:val="center"/>
          </w:tcPr>
          <w:p w14:paraId="37BF18E5" w14:textId="77777777" w:rsidR="000D225E" w:rsidRPr="006B1A5A" w:rsidRDefault="000D225E" w:rsidP="00AF2AEA">
            <w:pPr>
              <w:spacing w:line="260" w:lineRule="atLeast"/>
            </w:pPr>
          </w:p>
        </w:tc>
        <w:tc>
          <w:tcPr>
            <w:tcW w:w="0" w:type="auto"/>
          </w:tcPr>
          <w:p w14:paraId="392AE38E" w14:textId="7E2FBF3D" w:rsidR="000D225E" w:rsidRPr="006B1A5A" w:rsidRDefault="000D225E" w:rsidP="00AF2AEA">
            <w:pPr>
              <w:spacing w:line="260" w:lineRule="atLeast"/>
            </w:pPr>
            <w:r w:rsidRPr="006B1A5A">
              <w:t>Tier 2</w:t>
            </w:r>
            <w:r>
              <w:t>b</w:t>
            </w:r>
            <w:r w:rsidRPr="006B1A5A">
              <w:t xml:space="preserve">; </w:t>
            </w:r>
            <w:r>
              <w:t>Impermeable</w:t>
            </w:r>
            <w:r w:rsidRPr="006B1A5A">
              <w:t xml:space="preserve"> coverall (</w:t>
            </w:r>
            <w:r>
              <w:t xml:space="preserve">5 </w:t>
            </w:r>
            <w:r w:rsidRPr="006B1A5A">
              <w:t>% penetration) and gloves (hand exposure is actual exposure inside gloves)</w:t>
            </w:r>
          </w:p>
        </w:tc>
        <w:tc>
          <w:tcPr>
            <w:tcW w:w="0" w:type="auto"/>
            <w:vAlign w:val="center"/>
          </w:tcPr>
          <w:p w14:paraId="3D689AAC" w14:textId="6593D796" w:rsidR="000D225E" w:rsidRDefault="000D225E" w:rsidP="00AF2AEA">
            <w:pPr>
              <w:spacing w:line="260" w:lineRule="atLeast"/>
              <w:jc w:val="center"/>
            </w:pPr>
            <w:r>
              <w:t>4.96e-04</w:t>
            </w:r>
          </w:p>
        </w:tc>
        <w:tc>
          <w:tcPr>
            <w:tcW w:w="0" w:type="auto"/>
            <w:vAlign w:val="center"/>
          </w:tcPr>
          <w:p w14:paraId="71029B63" w14:textId="5CEE75DF" w:rsidR="000D225E" w:rsidRDefault="000D225E" w:rsidP="00AF2AEA">
            <w:pPr>
              <w:spacing w:line="260" w:lineRule="atLeast"/>
              <w:jc w:val="center"/>
            </w:pPr>
            <w:r>
              <w:t>0.0</w:t>
            </w:r>
            <w:r w:rsidR="000E66AC">
              <w:t>3</w:t>
            </w:r>
            <w:r w:rsidR="00EB090F">
              <w:t>6</w:t>
            </w:r>
          </w:p>
        </w:tc>
        <w:tc>
          <w:tcPr>
            <w:tcW w:w="0" w:type="auto"/>
            <w:vAlign w:val="center"/>
          </w:tcPr>
          <w:p w14:paraId="0C101C2E" w14:textId="1CDDB3BA" w:rsidR="000D225E" w:rsidRDefault="000D225E" w:rsidP="00AF2AEA">
            <w:pPr>
              <w:spacing w:line="260" w:lineRule="atLeast"/>
              <w:jc w:val="center"/>
            </w:pPr>
            <w:r>
              <w:t>-</w:t>
            </w:r>
          </w:p>
        </w:tc>
        <w:tc>
          <w:tcPr>
            <w:tcW w:w="0" w:type="auto"/>
            <w:vAlign w:val="center"/>
          </w:tcPr>
          <w:p w14:paraId="6115C3E3" w14:textId="432CE206" w:rsidR="000D225E" w:rsidRDefault="000D225E" w:rsidP="00AF2AEA">
            <w:pPr>
              <w:spacing w:line="260" w:lineRule="atLeast"/>
              <w:jc w:val="center"/>
            </w:pPr>
            <w:r>
              <w:t>0.0</w:t>
            </w:r>
            <w:r w:rsidR="00EB090F">
              <w:t>37</w:t>
            </w:r>
          </w:p>
        </w:tc>
      </w:tr>
      <w:tr w:rsidR="001042DA" w:rsidRPr="006B1A5A" w14:paraId="23F97AF8" w14:textId="77777777" w:rsidTr="00AF2AEA">
        <w:tc>
          <w:tcPr>
            <w:tcW w:w="0" w:type="auto"/>
            <w:gridSpan w:val="6"/>
            <w:vAlign w:val="center"/>
          </w:tcPr>
          <w:p w14:paraId="37CF3A39" w14:textId="441818AD" w:rsidR="001042DA" w:rsidRPr="006B1A5A" w:rsidRDefault="00787F7E" w:rsidP="00AF2AEA">
            <w:pPr>
              <w:spacing w:line="260" w:lineRule="atLeast"/>
              <w:jc w:val="center"/>
            </w:pPr>
            <w:r>
              <w:rPr>
                <w:b/>
              </w:rPr>
              <w:t>Thiocyanate</w:t>
            </w:r>
          </w:p>
        </w:tc>
      </w:tr>
      <w:tr w:rsidR="001042DA" w:rsidRPr="006B1A5A" w14:paraId="58A208F3" w14:textId="77777777" w:rsidTr="00AF2AEA">
        <w:tc>
          <w:tcPr>
            <w:tcW w:w="0" w:type="auto"/>
            <w:shd w:val="clear" w:color="auto" w:fill="D9D9D9" w:themeFill="background1" w:themeFillShade="D9"/>
          </w:tcPr>
          <w:p w14:paraId="34EF42E7" w14:textId="77777777" w:rsidR="001042DA" w:rsidRPr="006B1A5A" w:rsidRDefault="001042DA" w:rsidP="00AF2AEA">
            <w:pPr>
              <w:spacing w:line="260" w:lineRule="atLeast"/>
            </w:pPr>
            <w:r w:rsidRPr="006B1A5A">
              <w:t>Professional dipping of aquaculture nets; Dipping model 4</w:t>
            </w:r>
          </w:p>
        </w:tc>
        <w:tc>
          <w:tcPr>
            <w:tcW w:w="0" w:type="auto"/>
          </w:tcPr>
          <w:p w14:paraId="59E66458" w14:textId="77777777" w:rsidR="001042DA" w:rsidRPr="006B1A5A" w:rsidRDefault="001042DA" w:rsidP="00AF2AEA">
            <w:pPr>
              <w:spacing w:line="260" w:lineRule="atLeast"/>
            </w:pPr>
            <w:r w:rsidRPr="006B1A5A">
              <w:t>Tier 1; No PPE</w:t>
            </w:r>
          </w:p>
          <w:p w14:paraId="76A4684B" w14:textId="77777777" w:rsidR="001042DA" w:rsidRPr="006B1A5A" w:rsidRDefault="001042DA" w:rsidP="00AF2AEA">
            <w:pPr>
              <w:spacing w:line="260" w:lineRule="atLeast"/>
            </w:pPr>
            <w:r w:rsidRPr="006B1A5A">
              <w:t>Gloves (hand exposure is actual exposure inside gloves)</w:t>
            </w:r>
          </w:p>
        </w:tc>
        <w:tc>
          <w:tcPr>
            <w:tcW w:w="0" w:type="auto"/>
            <w:vAlign w:val="center"/>
          </w:tcPr>
          <w:p w14:paraId="1C420DC5" w14:textId="01214FF0" w:rsidR="001042DA" w:rsidRPr="006B1A5A" w:rsidRDefault="00F42771" w:rsidP="00AF2AEA">
            <w:pPr>
              <w:spacing w:line="260" w:lineRule="atLeast"/>
              <w:jc w:val="center"/>
            </w:pPr>
            <w:r>
              <w:t>3.44e-05</w:t>
            </w:r>
          </w:p>
        </w:tc>
        <w:tc>
          <w:tcPr>
            <w:tcW w:w="0" w:type="auto"/>
            <w:vAlign w:val="center"/>
          </w:tcPr>
          <w:p w14:paraId="2D16F03F" w14:textId="4D857571" w:rsidR="001042DA" w:rsidRPr="006B1A5A" w:rsidRDefault="00F42771" w:rsidP="00AF2AEA">
            <w:pPr>
              <w:spacing w:line="260" w:lineRule="atLeast"/>
              <w:jc w:val="center"/>
            </w:pPr>
            <w:r>
              <w:t>0.097</w:t>
            </w:r>
          </w:p>
        </w:tc>
        <w:tc>
          <w:tcPr>
            <w:tcW w:w="0" w:type="auto"/>
            <w:vAlign w:val="center"/>
          </w:tcPr>
          <w:p w14:paraId="640B64C5" w14:textId="28E78440" w:rsidR="001042DA" w:rsidRPr="006B1A5A" w:rsidRDefault="00F42771" w:rsidP="00AF2AEA">
            <w:pPr>
              <w:spacing w:line="260" w:lineRule="atLeast"/>
              <w:jc w:val="center"/>
            </w:pPr>
            <w:r>
              <w:t>-</w:t>
            </w:r>
          </w:p>
        </w:tc>
        <w:tc>
          <w:tcPr>
            <w:tcW w:w="0" w:type="auto"/>
            <w:vAlign w:val="center"/>
          </w:tcPr>
          <w:p w14:paraId="2425C923" w14:textId="0A34DBF9" w:rsidR="001042DA" w:rsidRPr="006B1A5A" w:rsidRDefault="00F42771" w:rsidP="00AF2AEA">
            <w:pPr>
              <w:spacing w:line="260" w:lineRule="atLeast"/>
              <w:jc w:val="center"/>
            </w:pPr>
            <w:r>
              <w:t>0.097</w:t>
            </w:r>
          </w:p>
        </w:tc>
      </w:tr>
      <w:tr w:rsidR="001042DA" w:rsidRPr="006B1A5A" w14:paraId="0CD0FA68" w14:textId="77777777" w:rsidTr="00AF2AEA">
        <w:tc>
          <w:tcPr>
            <w:tcW w:w="0" w:type="auto"/>
            <w:shd w:val="clear" w:color="auto" w:fill="D9D9D9" w:themeFill="background1" w:themeFillShade="D9"/>
          </w:tcPr>
          <w:p w14:paraId="5B3E25D2" w14:textId="441CCF0F" w:rsidR="001042DA" w:rsidRPr="006B1A5A" w:rsidRDefault="001042DA" w:rsidP="00AF2AEA">
            <w:pPr>
              <w:spacing w:line="260" w:lineRule="atLeast"/>
            </w:pPr>
          </w:p>
        </w:tc>
        <w:tc>
          <w:tcPr>
            <w:tcW w:w="0" w:type="auto"/>
          </w:tcPr>
          <w:p w14:paraId="7A3DD76E" w14:textId="49C0085A" w:rsidR="001042DA" w:rsidRPr="006B1A5A" w:rsidRDefault="001042DA" w:rsidP="00AF2AEA">
            <w:pPr>
              <w:spacing w:line="260" w:lineRule="atLeast"/>
            </w:pPr>
            <w:r w:rsidRPr="006B1A5A">
              <w:t>Tier 2</w:t>
            </w:r>
            <w:r w:rsidR="000D225E">
              <w:t>a</w:t>
            </w:r>
            <w:r w:rsidRPr="006B1A5A">
              <w:t>; Coated coverall (10% penetration) and gloves (hand exposure is actual exposure inside gloves)</w:t>
            </w:r>
          </w:p>
        </w:tc>
        <w:tc>
          <w:tcPr>
            <w:tcW w:w="0" w:type="auto"/>
            <w:vAlign w:val="center"/>
          </w:tcPr>
          <w:p w14:paraId="317E979D" w14:textId="19919CD3" w:rsidR="001042DA" w:rsidRPr="006B1A5A" w:rsidRDefault="00F42771" w:rsidP="00AF2AEA">
            <w:pPr>
              <w:spacing w:line="260" w:lineRule="atLeast"/>
              <w:jc w:val="center"/>
            </w:pPr>
            <w:r>
              <w:t>3.44e-05</w:t>
            </w:r>
          </w:p>
        </w:tc>
        <w:tc>
          <w:tcPr>
            <w:tcW w:w="0" w:type="auto"/>
            <w:vAlign w:val="center"/>
          </w:tcPr>
          <w:p w14:paraId="608B373A" w14:textId="6ACD469A" w:rsidR="001042DA" w:rsidRPr="006B1A5A" w:rsidRDefault="00F42771" w:rsidP="00AF2AEA">
            <w:pPr>
              <w:spacing w:line="260" w:lineRule="atLeast"/>
              <w:jc w:val="center"/>
            </w:pPr>
            <w:r>
              <w:t>0.016</w:t>
            </w:r>
          </w:p>
        </w:tc>
        <w:tc>
          <w:tcPr>
            <w:tcW w:w="0" w:type="auto"/>
            <w:vAlign w:val="center"/>
          </w:tcPr>
          <w:p w14:paraId="57D29A10" w14:textId="601A734F" w:rsidR="001042DA" w:rsidRPr="006B1A5A" w:rsidRDefault="00F42771" w:rsidP="00AF2AEA">
            <w:pPr>
              <w:spacing w:line="260" w:lineRule="atLeast"/>
              <w:jc w:val="center"/>
            </w:pPr>
            <w:r>
              <w:t>-</w:t>
            </w:r>
          </w:p>
        </w:tc>
        <w:tc>
          <w:tcPr>
            <w:tcW w:w="0" w:type="auto"/>
            <w:vAlign w:val="center"/>
          </w:tcPr>
          <w:p w14:paraId="456D4A87" w14:textId="70D77213" w:rsidR="001042DA" w:rsidRPr="006B1A5A" w:rsidRDefault="00F42771" w:rsidP="00AF2AEA">
            <w:pPr>
              <w:spacing w:line="260" w:lineRule="atLeast"/>
              <w:jc w:val="center"/>
            </w:pPr>
            <w:r>
              <w:t>0.016</w:t>
            </w:r>
          </w:p>
        </w:tc>
      </w:tr>
      <w:tr w:rsidR="000D225E" w:rsidRPr="006B1A5A" w14:paraId="29AF6B9C" w14:textId="77777777" w:rsidTr="00AF2AEA">
        <w:tc>
          <w:tcPr>
            <w:tcW w:w="0" w:type="auto"/>
            <w:shd w:val="clear" w:color="auto" w:fill="D9D9D9" w:themeFill="background1" w:themeFillShade="D9"/>
          </w:tcPr>
          <w:p w14:paraId="577C9423" w14:textId="77777777" w:rsidR="000D225E" w:rsidRPr="006B1A5A" w:rsidRDefault="000D225E" w:rsidP="00AF2AEA">
            <w:pPr>
              <w:spacing w:line="260" w:lineRule="atLeast"/>
            </w:pPr>
          </w:p>
        </w:tc>
        <w:tc>
          <w:tcPr>
            <w:tcW w:w="0" w:type="auto"/>
          </w:tcPr>
          <w:p w14:paraId="614BF6ED" w14:textId="129154BA" w:rsidR="000D225E" w:rsidRPr="006B1A5A" w:rsidRDefault="000D225E" w:rsidP="00AF2AEA">
            <w:pPr>
              <w:spacing w:line="260" w:lineRule="atLeast"/>
            </w:pPr>
            <w:r w:rsidRPr="006B1A5A">
              <w:t>Tier 2</w:t>
            </w:r>
            <w:r>
              <w:t>b</w:t>
            </w:r>
            <w:r w:rsidRPr="006B1A5A">
              <w:t xml:space="preserve">; </w:t>
            </w:r>
            <w:r>
              <w:t>Impermeable</w:t>
            </w:r>
            <w:r w:rsidRPr="006B1A5A">
              <w:t xml:space="preserve"> coverall (</w:t>
            </w:r>
            <w:r>
              <w:t xml:space="preserve">5 </w:t>
            </w:r>
            <w:r w:rsidRPr="006B1A5A">
              <w:t>% penetration) and gloves (hand exposure is actual exposure inside gloves)</w:t>
            </w:r>
          </w:p>
        </w:tc>
        <w:tc>
          <w:tcPr>
            <w:tcW w:w="0" w:type="auto"/>
            <w:vAlign w:val="center"/>
          </w:tcPr>
          <w:p w14:paraId="3A4CD7BC" w14:textId="03418AF8" w:rsidR="000D225E" w:rsidRDefault="000D225E" w:rsidP="00AF2AEA">
            <w:pPr>
              <w:spacing w:line="260" w:lineRule="atLeast"/>
              <w:jc w:val="center"/>
            </w:pPr>
            <w:r>
              <w:t>3.44e-05</w:t>
            </w:r>
          </w:p>
        </w:tc>
        <w:tc>
          <w:tcPr>
            <w:tcW w:w="0" w:type="auto"/>
            <w:vAlign w:val="center"/>
          </w:tcPr>
          <w:p w14:paraId="30FD27E1" w14:textId="14F9AADB" w:rsidR="000D225E" w:rsidRDefault="001F2921" w:rsidP="00AF2AEA">
            <w:pPr>
              <w:spacing w:line="260" w:lineRule="atLeast"/>
              <w:jc w:val="center"/>
            </w:pPr>
            <w:r>
              <w:t>0.011</w:t>
            </w:r>
          </w:p>
        </w:tc>
        <w:tc>
          <w:tcPr>
            <w:tcW w:w="0" w:type="auto"/>
            <w:vAlign w:val="center"/>
          </w:tcPr>
          <w:p w14:paraId="7AEFC1BE" w14:textId="491C5785" w:rsidR="000D225E" w:rsidRDefault="001F2921" w:rsidP="00AF2AEA">
            <w:pPr>
              <w:spacing w:line="260" w:lineRule="atLeast"/>
              <w:jc w:val="center"/>
            </w:pPr>
            <w:r>
              <w:t>-</w:t>
            </w:r>
          </w:p>
        </w:tc>
        <w:tc>
          <w:tcPr>
            <w:tcW w:w="0" w:type="auto"/>
            <w:vAlign w:val="center"/>
          </w:tcPr>
          <w:p w14:paraId="5AE8A283" w14:textId="19B3D3C2" w:rsidR="000D225E" w:rsidRDefault="001F2921" w:rsidP="00AF2AEA">
            <w:pPr>
              <w:spacing w:line="260" w:lineRule="atLeast"/>
              <w:jc w:val="center"/>
            </w:pPr>
            <w:r>
              <w:t>0.011</w:t>
            </w:r>
          </w:p>
        </w:tc>
      </w:tr>
      <w:bookmarkEnd w:id="1644"/>
      <w:bookmarkEnd w:id="1645"/>
    </w:tbl>
    <w:p w14:paraId="482327B2" w14:textId="77777777" w:rsidR="001042DA" w:rsidRPr="006B1A5A" w:rsidRDefault="001042DA" w:rsidP="001042DA">
      <w:pPr>
        <w:rPr>
          <w:rFonts w:eastAsia="Calibri"/>
          <w:i/>
          <w:sz w:val="22"/>
          <w:szCs w:val="22"/>
          <w:u w:val="single"/>
          <w:lang w:eastAsia="en-US"/>
        </w:rPr>
      </w:pPr>
    </w:p>
    <w:p w14:paraId="07B6AF2F" w14:textId="77777777" w:rsidR="001042DA" w:rsidRPr="006B1A5A" w:rsidRDefault="001042DA" w:rsidP="001042DA">
      <w:pPr>
        <w:rPr>
          <w:rFonts w:eastAsia="Calibri"/>
          <w:i/>
          <w:sz w:val="22"/>
          <w:szCs w:val="22"/>
          <w:u w:val="single"/>
          <w:lang w:eastAsia="en-US"/>
        </w:rPr>
      </w:pPr>
    </w:p>
    <w:p w14:paraId="066B578C" w14:textId="32BA6FB6" w:rsidR="001042DA" w:rsidRDefault="001042DA" w:rsidP="001042DA">
      <w:pPr>
        <w:rPr>
          <w:rFonts w:eastAsia="Calibri"/>
          <w:i/>
          <w:sz w:val="22"/>
          <w:szCs w:val="22"/>
          <w:u w:val="single"/>
          <w:lang w:eastAsia="en-US"/>
        </w:rPr>
      </w:pPr>
    </w:p>
    <w:p w14:paraId="32F2DDDF" w14:textId="5EA1E95E" w:rsidR="00375520" w:rsidRPr="006B1A5A" w:rsidRDefault="00375520" w:rsidP="00375520">
      <w:pPr>
        <w:keepNext/>
        <w:pageBreakBefore/>
        <w:rPr>
          <w:rFonts w:eastAsia="Calibri"/>
          <w:b/>
          <w:i/>
          <w:sz w:val="22"/>
          <w:szCs w:val="22"/>
          <w:lang w:eastAsia="en-US"/>
        </w:rPr>
      </w:pPr>
      <w:r>
        <w:rPr>
          <w:rFonts w:eastAsia="Calibri"/>
          <w:b/>
          <w:i/>
          <w:sz w:val="22"/>
          <w:szCs w:val="22"/>
          <w:lang w:eastAsia="en-US"/>
        </w:rPr>
        <w:t>Professional</w:t>
      </w:r>
      <w:r w:rsidRPr="006B1A5A">
        <w:rPr>
          <w:rFonts w:eastAsia="Calibri"/>
          <w:b/>
          <w:i/>
          <w:sz w:val="22"/>
          <w:szCs w:val="22"/>
          <w:lang w:eastAsia="en-US"/>
        </w:rPr>
        <w:t xml:space="preserve"> exposure </w:t>
      </w:r>
    </w:p>
    <w:p w14:paraId="355C59EE" w14:textId="77777777" w:rsidR="00375520" w:rsidRPr="006B1A5A" w:rsidRDefault="00375520" w:rsidP="001042DA">
      <w:pPr>
        <w:rPr>
          <w:rFonts w:eastAsia="Calibri"/>
          <w:i/>
          <w:sz w:val="22"/>
          <w:szCs w:val="22"/>
          <w:u w:val="single"/>
          <w:lang w:eastAsia="en-US"/>
        </w:rPr>
      </w:pPr>
    </w:p>
    <w:p w14:paraId="5F0A558C" w14:textId="77777777" w:rsidR="001042DA" w:rsidRPr="006B1A5A" w:rsidRDefault="001042DA" w:rsidP="001042DA">
      <w:pPr>
        <w:rPr>
          <w:rFonts w:eastAsia="Calibri"/>
          <w:i/>
          <w:sz w:val="22"/>
          <w:szCs w:val="22"/>
          <w:u w:val="single"/>
          <w:lang w:eastAsia="en-US"/>
        </w:rPr>
      </w:pPr>
      <w:r w:rsidRPr="006B1A5A">
        <w:rPr>
          <w:rFonts w:eastAsia="Calibri"/>
          <w:i/>
          <w:sz w:val="22"/>
          <w:szCs w:val="22"/>
          <w:u w:val="single"/>
          <w:lang w:eastAsia="en-US"/>
        </w:rPr>
        <w:t>Scenario [2] Professional use: Net deployment</w:t>
      </w:r>
    </w:p>
    <w:p w14:paraId="2A80C4D6" w14:textId="77777777" w:rsidR="001042DA" w:rsidRPr="006B1A5A" w:rsidRDefault="001042DA" w:rsidP="001042DA">
      <w:pPr>
        <w:rPr>
          <w:rFonts w:eastAsia="Calibri"/>
          <w:i/>
          <w:sz w:val="22"/>
          <w:szCs w:val="22"/>
          <w:u w:val="single"/>
          <w:lang w:eastAsia="en-US"/>
        </w:rPr>
      </w:pPr>
    </w:p>
    <w:p w14:paraId="26152E07" w14:textId="76FAAEB2" w:rsidR="004C3211" w:rsidRDefault="004C3211" w:rsidP="004C3211">
      <w:pPr>
        <w:keepNext/>
        <w:ind w:right="142"/>
        <w:jc w:val="both"/>
        <w:rPr>
          <w:rFonts w:eastAsia="Calibri"/>
          <w:lang w:eastAsia="en-US"/>
        </w:rPr>
      </w:pPr>
      <w:r>
        <w:rPr>
          <w:rFonts w:eastAsia="Calibri"/>
          <w:lang w:eastAsia="en-US"/>
        </w:rPr>
        <w:t>T</w:t>
      </w:r>
      <w:r w:rsidRPr="00E87F38">
        <w:rPr>
          <w:rFonts w:eastAsia="Calibri"/>
          <w:lang w:eastAsia="en-US"/>
        </w:rPr>
        <w:t xml:space="preserve">he </w:t>
      </w:r>
      <w:r w:rsidRPr="00AC4E72">
        <w:rPr>
          <w:rFonts w:eastAsia="Calibri"/>
          <w:noProof/>
          <w:lang w:eastAsia="en-US"/>
        </w:rPr>
        <w:t>modelling</w:t>
      </w:r>
      <w:r w:rsidRPr="00E87F38">
        <w:rPr>
          <w:rFonts w:eastAsia="Calibri"/>
          <w:lang w:eastAsia="en-US"/>
        </w:rPr>
        <w:t xml:space="preserve"> </w:t>
      </w:r>
      <w:r>
        <w:rPr>
          <w:rFonts w:eastAsia="Calibri"/>
          <w:lang w:eastAsia="en-US"/>
        </w:rPr>
        <w:t>input parameters of Handling model 2</w:t>
      </w:r>
      <w:r w:rsidRPr="00E87F38">
        <w:rPr>
          <w:rFonts w:eastAsia="Calibri"/>
          <w:lang w:eastAsia="en-US"/>
        </w:rPr>
        <w:t xml:space="preserve"> </w:t>
      </w:r>
      <w:r>
        <w:rPr>
          <w:rFonts w:eastAsia="Calibri"/>
          <w:lang w:eastAsia="en-US"/>
        </w:rPr>
        <w:t xml:space="preserve">were used to calculate the exposure </w:t>
      </w:r>
      <w:r w:rsidRPr="00E87F38">
        <w:rPr>
          <w:rFonts w:eastAsia="Calibri"/>
          <w:lang w:eastAsia="en-US"/>
        </w:rPr>
        <w:t xml:space="preserve">values for the </w:t>
      </w:r>
      <w:r>
        <w:rPr>
          <w:rFonts w:eastAsia="Calibri"/>
          <w:lang w:eastAsia="en-US"/>
        </w:rPr>
        <w:t>AquaNet 360 BPF members.</w:t>
      </w:r>
    </w:p>
    <w:p w14:paraId="4E24EB55" w14:textId="77777777" w:rsidR="001042DA" w:rsidRPr="006B1A5A" w:rsidRDefault="001042DA" w:rsidP="001042DA">
      <w:pPr>
        <w:spacing w:line="260" w:lineRule="atLeast"/>
        <w:jc w:val="both"/>
        <w:rPr>
          <w:sz w:val="22"/>
          <w:szCs w:val="22"/>
        </w:rPr>
      </w:pPr>
    </w:p>
    <w:tbl>
      <w:tblPr>
        <w:tblStyle w:val="Tabellrutenett"/>
        <w:tblW w:w="0" w:type="auto"/>
        <w:tblLook w:val="04A0" w:firstRow="1" w:lastRow="0" w:firstColumn="1" w:lastColumn="0" w:noHBand="0" w:noVBand="1"/>
      </w:tblPr>
      <w:tblGrid>
        <w:gridCol w:w="1809"/>
        <w:gridCol w:w="1658"/>
        <w:gridCol w:w="1448"/>
        <w:gridCol w:w="1422"/>
        <w:gridCol w:w="1398"/>
        <w:gridCol w:w="1479"/>
      </w:tblGrid>
      <w:tr w:rsidR="001042DA" w:rsidRPr="006B1A5A" w14:paraId="4F4E6AE5" w14:textId="77777777" w:rsidTr="00AF2AEA">
        <w:trPr>
          <w:gridAfter w:val="4"/>
          <w:tblHeader/>
        </w:trPr>
        <w:tc>
          <w:tcPr>
            <w:tcW w:w="0" w:type="auto"/>
            <w:tcBorders>
              <w:top w:val="nil"/>
              <w:left w:val="nil"/>
              <w:bottom w:val="single" w:sz="4" w:space="0" w:color="auto"/>
              <w:right w:val="nil"/>
            </w:tcBorders>
          </w:tcPr>
          <w:p w14:paraId="7964E90D" w14:textId="77777777" w:rsidR="001042DA" w:rsidRPr="006B1A5A" w:rsidRDefault="001042DA" w:rsidP="00AF2AEA">
            <w:pPr>
              <w:keepNext/>
              <w:spacing w:line="260" w:lineRule="atLeast"/>
              <w:jc w:val="both"/>
              <w:rPr>
                <w:b/>
              </w:rPr>
            </w:pPr>
            <w:bookmarkStart w:id="1646" w:name="_Hlk19713266"/>
          </w:p>
        </w:tc>
        <w:tc>
          <w:tcPr>
            <w:tcW w:w="0" w:type="auto"/>
            <w:tcBorders>
              <w:top w:val="nil"/>
              <w:left w:val="nil"/>
              <w:bottom w:val="single" w:sz="4" w:space="0" w:color="auto"/>
              <w:right w:val="nil"/>
            </w:tcBorders>
          </w:tcPr>
          <w:p w14:paraId="2F4D9B5F" w14:textId="77777777" w:rsidR="001042DA" w:rsidRPr="006B1A5A" w:rsidRDefault="001042DA" w:rsidP="00AF2AEA">
            <w:pPr>
              <w:keepNext/>
              <w:spacing w:line="260" w:lineRule="atLeast"/>
              <w:jc w:val="both"/>
              <w:rPr>
                <w:b/>
              </w:rPr>
            </w:pPr>
          </w:p>
        </w:tc>
      </w:tr>
      <w:tr w:rsidR="001042DA" w:rsidRPr="006B1A5A" w14:paraId="3BB62E73" w14:textId="77777777" w:rsidTr="004C3211">
        <w:trPr>
          <w:tblHeader/>
        </w:trPr>
        <w:tc>
          <w:tcPr>
            <w:tcW w:w="0" w:type="auto"/>
            <w:gridSpan w:val="6"/>
            <w:tcBorders>
              <w:top w:val="single" w:sz="4" w:space="0" w:color="auto"/>
              <w:bottom w:val="single" w:sz="4" w:space="0" w:color="auto"/>
            </w:tcBorders>
            <w:shd w:val="clear" w:color="auto" w:fill="FFFFCC"/>
            <w:vAlign w:val="center"/>
          </w:tcPr>
          <w:p w14:paraId="0E67B5CD" w14:textId="77777777" w:rsidR="001042DA" w:rsidRPr="006B1A5A" w:rsidRDefault="001042DA" w:rsidP="00AF2AEA">
            <w:pPr>
              <w:keepNext/>
              <w:spacing w:line="260" w:lineRule="atLeast"/>
              <w:jc w:val="center"/>
              <w:rPr>
                <w:b/>
              </w:rPr>
            </w:pPr>
            <w:r w:rsidRPr="006B1A5A">
              <w:rPr>
                <w:b/>
              </w:rPr>
              <w:t>Summary table: Estimated systemic exposure from professional use</w:t>
            </w:r>
          </w:p>
        </w:tc>
      </w:tr>
      <w:tr w:rsidR="001042DA" w:rsidRPr="006B1A5A" w14:paraId="397A5CCD" w14:textId="77777777" w:rsidTr="00E12018">
        <w:tc>
          <w:tcPr>
            <w:tcW w:w="0" w:type="auto"/>
            <w:tcBorders>
              <w:top w:val="single" w:sz="4" w:space="0" w:color="auto"/>
            </w:tcBorders>
            <w:shd w:val="clear" w:color="auto" w:fill="D9D9D9" w:themeFill="background1" w:themeFillShade="D9"/>
          </w:tcPr>
          <w:p w14:paraId="5720B55D" w14:textId="77777777" w:rsidR="001042DA" w:rsidRPr="006B1A5A" w:rsidRDefault="001042DA" w:rsidP="00AF2AEA">
            <w:pPr>
              <w:spacing w:line="260" w:lineRule="atLeast"/>
              <w:jc w:val="center"/>
              <w:rPr>
                <w:b/>
              </w:rPr>
            </w:pPr>
            <w:r w:rsidRPr="006B1A5A">
              <w:rPr>
                <w:b/>
              </w:rPr>
              <w:t>Exposure scenario</w:t>
            </w:r>
          </w:p>
        </w:tc>
        <w:tc>
          <w:tcPr>
            <w:tcW w:w="0" w:type="auto"/>
            <w:tcBorders>
              <w:top w:val="single" w:sz="4" w:space="0" w:color="auto"/>
            </w:tcBorders>
            <w:shd w:val="clear" w:color="auto" w:fill="D9D9D9" w:themeFill="background1" w:themeFillShade="D9"/>
          </w:tcPr>
          <w:p w14:paraId="1CDA847C" w14:textId="77777777" w:rsidR="001042DA" w:rsidRPr="006B1A5A" w:rsidRDefault="001042DA" w:rsidP="00AF2AEA">
            <w:pPr>
              <w:spacing w:line="260" w:lineRule="atLeast"/>
              <w:jc w:val="center"/>
            </w:pPr>
            <w:r w:rsidRPr="006B1A5A">
              <w:t>Tier/PPE</w:t>
            </w:r>
          </w:p>
        </w:tc>
        <w:tc>
          <w:tcPr>
            <w:tcW w:w="0" w:type="auto"/>
            <w:shd w:val="clear" w:color="auto" w:fill="D9D9D9" w:themeFill="background1" w:themeFillShade="D9"/>
          </w:tcPr>
          <w:p w14:paraId="06193868" w14:textId="77777777" w:rsidR="001042DA" w:rsidRPr="006B1A5A" w:rsidRDefault="001042DA" w:rsidP="00AF2AEA">
            <w:pPr>
              <w:spacing w:line="260" w:lineRule="atLeast"/>
              <w:jc w:val="center"/>
            </w:pPr>
            <w:r w:rsidRPr="006B1A5A">
              <w:t>Estimated inhalation uptake (mg/kg bw)</w:t>
            </w:r>
          </w:p>
        </w:tc>
        <w:tc>
          <w:tcPr>
            <w:tcW w:w="0" w:type="auto"/>
            <w:shd w:val="clear" w:color="auto" w:fill="D9D9D9" w:themeFill="background1" w:themeFillShade="D9"/>
          </w:tcPr>
          <w:p w14:paraId="10959978" w14:textId="77777777" w:rsidR="001042DA" w:rsidRPr="006B1A5A" w:rsidRDefault="001042DA" w:rsidP="00AF2AEA">
            <w:pPr>
              <w:spacing w:line="260" w:lineRule="atLeast"/>
              <w:jc w:val="center"/>
              <w:rPr>
                <w:b/>
              </w:rPr>
            </w:pPr>
            <w:r w:rsidRPr="006B1A5A">
              <w:t>Estimated dermal intake (mg/kg bw)</w:t>
            </w:r>
          </w:p>
        </w:tc>
        <w:tc>
          <w:tcPr>
            <w:tcW w:w="0" w:type="auto"/>
            <w:shd w:val="clear" w:color="auto" w:fill="D9D9D9" w:themeFill="background1" w:themeFillShade="D9"/>
          </w:tcPr>
          <w:p w14:paraId="562D4019" w14:textId="77777777" w:rsidR="001042DA" w:rsidRPr="006B1A5A" w:rsidRDefault="001042DA" w:rsidP="00AF2AEA">
            <w:pPr>
              <w:spacing w:line="260" w:lineRule="atLeast"/>
              <w:jc w:val="center"/>
              <w:rPr>
                <w:b/>
              </w:rPr>
            </w:pPr>
            <w:r w:rsidRPr="006B1A5A">
              <w:t>Estimated oral intake (mg/kg bw)</w:t>
            </w:r>
          </w:p>
        </w:tc>
        <w:tc>
          <w:tcPr>
            <w:tcW w:w="0" w:type="auto"/>
            <w:shd w:val="clear" w:color="auto" w:fill="D9D9D9" w:themeFill="background1" w:themeFillShade="D9"/>
          </w:tcPr>
          <w:p w14:paraId="2100DF11" w14:textId="77777777" w:rsidR="001042DA" w:rsidRPr="006B1A5A" w:rsidRDefault="001042DA" w:rsidP="00AF2AEA">
            <w:pPr>
              <w:spacing w:line="260" w:lineRule="atLeast"/>
              <w:jc w:val="center"/>
              <w:rPr>
                <w:b/>
              </w:rPr>
            </w:pPr>
            <w:r w:rsidRPr="006B1A5A">
              <w:t>Estimated total systemic uptake (mg/kg bw)</w:t>
            </w:r>
          </w:p>
        </w:tc>
      </w:tr>
      <w:tr w:rsidR="001042DA" w:rsidRPr="006B1A5A" w14:paraId="0D9F88D7" w14:textId="77777777" w:rsidTr="00AF2AEA">
        <w:tc>
          <w:tcPr>
            <w:tcW w:w="0" w:type="auto"/>
            <w:gridSpan w:val="6"/>
          </w:tcPr>
          <w:p w14:paraId="26470535" w14:textId="77777777" w:rsidR="001042DA" w:rsidRPr="006B1A5A" w:rsidRDefault="001042DA" w:rsidP="00AF2AEA">
            <w:pPr>
              <w:spacing w:line="260" w:lineRule="atLeast"/>
              <w:jc w:val="center"/>
              <w:rPr>
                <w:b/>
              </w:rPr>
            </w:pPr>
            <w:r w:rsidRPr="006B1A5A">
              <w:rPr>
                <w:b/>
              </w:rPr>
              <w:t>Scenario 2: Net deployment</w:t>
            </w:r>
          </w:p>
        </w:tc>
      </w:tr>
      <w:tr w:rsidR="001042DA" w:rsidRPr="006B1A5A" w14:paraId="179B85D2" w14:textId="77777777" w:rsidTr="00E12018">
        <w:tc>
          <w:tcPr>
            <w:tcW w:w="0" w:type="auto"/>
            <w:gridSpan w:val="6"/>
            <w:shd w:val="clear" w:color="auto" w:fill="D9D9D9" w:themeFill="background1" w:themeFillShade="D9"/>
          </w:tcPr>
          <w:p w14:paraId="3C5157A1" w14:textId="77777777" w:rsidR="001042DA" w:rsidRPr="006B1A5A" w:rsidRDefault="001042DA" w:rsidP="00AF2AEA">
            <w:pPr>
              <w:spacing w:line="260" w:lineRule="atLeast"/>
              <w:jc w:val="center"/>
              <w:rPr>
                <w:b/>
              </w:rPr>
            </w:pPr>
          </w:p>
        </w:tc>
      </w:tr>
      <w:tr w:rsidR="001042DA" w:rsidRPr="006B1A5A" w14:paraId="1EF83076" w14:textId="77777777" w:rsidTr="00AF2AEA">
        <w:tc>
          <w:tcPr>
            <w:tcW w:w="0" w:type="auto"/>
            <w:gridSpan w:val="6"/>
          </w:tcPr>
          <w:p w14:paraId="446983F5" w14:textId="77777777" w:rsidR="001042DA" w:rsidRPr="006B1A5A" w:rsidRDefault="001042DA" w:rsidP="00AF2AEA">
            <w:pPr>
              <w:spacing w:line="260" w:lineRule="atLeast"/>
              <w:jc w:val="center"/>
            </w:pPr>
            <w:r w:rsidRPr="006B1A5A">
              <w:rPr>
                <w:b/>
              </w:rPr>
              <w:t>AquaNet HG 360</w:t>
            </w:r>
          </w:p>
        </w:tc>
      </w:tr>
      <w:tr w:rsidR="001042DA" w:rsidRPr="006B1A5A" w14:paraId="57DFDEE5" w14:textId="77777777" w:rsidTr="00AF2AEA">
        <w:tc>
          <w:tcPr>
            <w:tcW w:w="0" w:type="auto"/>
            <w:gridSpan w:val="6"/>
          </w:tcPr>
          <w:p w14:paraId="3267EC45" w14:textId="77777777" w:rsidR="001042DA" w:rsidRPr="006B1A5A" w:rsidRDefault="001042DA" w:rsidP="00AF2AEA">
            <w:pPr>
              <w:spacing w:line="260" w:lineRule="atLeast"/>
              <w:jc w:val="center"/>
              <w:rPr>
                <w:b/>
              </w:rPr>
            </w:pPr>
          </w:p>
        </w:tc>
      </w:tr>
      <w:tr w:rsidR="001042DA" w:rsidRPr="006B1A5A" w14:paraId="62357D79" w14:textId="77777777" w:rsidTr="00AF2AEA">
        <w:tc>
          <w:tcPr>
            <w:tcW w:w="0" w:type="auto"/>
            <w:gridSpan w:val="6"/>
          </w:tcPr>
          <w:p w14:paraId="4276CA23" w14:textId="62F62F97" w:rsidR="001042DA" w:rsidRPr="00787F7E" w:rsidRDefault="00787F7E" w:rsidP="00AF2AEA">
            <w:pPr>
              <w:spacing w:line="260" w:lineRule="atLeast"/>
              <w:jc w:val="center"/>
            </w:pPr>
            <w:r w:rsidRPr="00E12018">
              <w:rPr>
                <w:b/>
              </w:rPr>
              <w:t xml:space="preserve">Copper </w:t>
            </w:r>
          </w:p>
        </w:tc>
      </w:tr>
      <w:tr w:rsidR="001042DA" w:rsidRPr="006B1A5A" w14:paraId="5B3D6115" w14:textId="77777777" w:rsidTr="004C3211">
        <w:tc>
          <w:tcPr>
            <w:tcW w:w="0" w:type="auto"/>
            <w:shd w:val="clear" w:color="auto" w:fill="D9D9D9" w:themeFill="background1" w:themeFillShade="D9"/>
            <w:vAlign w:val="center"/>
          </w:tcPr>
          <w:p w14:paraId="391B8637" w14:textId="77777777" w:rsidR="001042DA" w:rsidRPr="006B1A5A" w:rsidRDefault="001042DA" w:rsidP="00AF2AEA">
            <w:pPr>
              <w:spacing w:line="260" w:lineRule="atLeast"/>
            </w:pPr>
            <w:r w:rsidRPr="006B1A5A">
              <w:t>Professional deployment of aquaculture nets; Handling model 2</w:t>
            </w:r>
          </w:p>
        </w:tc>
        <w:tc>
          <w:tcPr>
            <w:tcW w:w="0" w:type="auto"/>
          </w:tcPr>
          <w:p w14:paraId="34A1C848" w14:textId="162A5014" w:rsidR="001042DA" w:rsidRPr="006B1A5A" w:rsidRDefault="001042DA" w:rsidP="00AF2AEA">
            <w:pPr>
              <w:spacing w:line="260" w:lineRule="atLeast"/>
            </w:pPr>
            <w:bookmarkStart w:id="1647" w:name="_Hlk66440963"/>
            <w:r w:rsidRPr="006B1A5A">
              <w:t xml:space="preserve">Tier 1; </w:t>
            </w:r>
            <w:r w:rsidR="002A7B47">
              <w:t xml:space="preserve">Light clothing, gloves </w:t>
            </w:r>
            <w:r w:rsidRPr="006B1A5A">
              <w:t>(Hand exposure is actual exposure inside gloves</w:t>
            </w:r>
            <w:bookmarkEnd w:id="1647"/>
            <w:r w:rsidRPr="006B1A5A">
              <w:t>)</w:t>
            </w:r>
          </w:p>
        </w:tc>
        <w:tc>
          <w:tcPr>
            <w:tcW w:w="0" w:type="auto"/>
            <w:vAlign w:val="center"/>
          </w:tcPr>
          <w:p w14:paraId="3D8D4E18" w14:textId="14404249" w:rsidR="001042DA" w:rsidRPr="006B1A5A" w:rsidRDefault="00F42771" w:rsidP="00AF2AEA">
            <w:pPr>
              <w:spacing w:line="260" w:lineRule="atLeast"/>
              <w:jc w:val="center"/>
            </w:pPr>
            <w:r>
              <w:t>-</w:t>
            </w:r>
          </w:p>
        </w:tc>
        <w:tc>
          <w:tcPr>
            <w:tcW w:w="0" w:type="auto"/>
            <w:vAlign w:val="center"/>
          </w:tcPr>
          <w:p w14:paraId="70F9C3AF" w14:textId="2B3E9430" w:rsidR="001042DA" w:rsidRPr="00787F7E" w:rsidRDefault="00F42771" w:rsidP="00AF2AEA">
            <w:pPr>
              <w:spacing w:line="260" w:lineRule="atLeast"/>
              <w:jc w:val="center"/>
            </w:pPr>
            <w:r w:rsidRPr="00787F7E">
              <w:t>0.023</w:t>
            </w:r>
          </w:p>
        </w:tc>
        <w:tc>
          <w:tcPr>
            <w:tcW w:w="0" w:type="auto"/>
            <w:vAlign w:val="center"/>
          </w:tcPr>
          <w:p w14:paraId="38D51007" w14:textId="352BF079" w:rsidR="001042DA" w:rsidRPr="00D42FF7" w:rsidRDefault="00F42771" w:rsidP="00AF2AEA">
            <w:pPr>
              <w:spacing w:line="260" w:lineRule="atLeast"/>
              <w:jc w:val="center"/>
            </w:pPr>
            <w:r w:rsidRPr="00D42FF7">
              <w:t>-</w:t>
            </w:r>
          </w:p>
        </w:tc>
        <w:tc>
          <w:tcPr>
            <w:tcW w:w="0" w:type="auto"/>
            <w:vAlign w:val="center"/>
          </w:tcPr>
          <w:p w14:paraId="60D4B555" w14:textId="258BCB64" w:rsidR="001042DA" w:rsidRPr="006B1A5A" w:rsidRDefault="00F42771" w:rsidP="00AF2AEA">
            <w:pPr>
              <w:spacing w:line="260" w:lineRule="atLeast"/>
              <w:jc w:val="center"/>
            </w:pPr>
            <w:r>
              <w:t>0.023</w:t>
            </w:r>
          </w:p>
        </w:tc>
      </w:tr>
      <w:tr w:rsidR="001042DA" w:rsidRPr="006B1A5A" w14:paraId="256AF8AD" w14:textId="77777777" w:rsidTr="00AF2AEA">
        <w:tc>
          <w:tcPr>
            <w:tcW w:w="0" w:type="auto"/>
            <w:gridSpan w:val="6"/>
            <w:vAlign w:val="center"/>
          </w:tcPr>
          <w:p w14:paraId="5CC24F59" w14:textId="4207A19C" w:rsidR="001042DA" w:rsidRPr="006B1A5A" w:rsidRDefault="00787F7E" w:rsidP="00AF2AEA">
            <w:pPr>
              <w:spacing w:line="260" w:lineRule="atLeast"/>
              <w:jc w:val="center"/>
            </w:pPr>
            <w:r>
              <w:rPr>
                <w:b/>
              </w:rPr>
              <w:t>Thiocyanate</w:t>
            </w:r>
          </w:p>
        </w:tc>
      </w:tr>
      <w:tr w:rsidR="001042DA" w:rsidRPr="006B1A5A" w14:paraId="44626313" w14:textId="77777777" w:rsidTr="00E12018">
        <w:tc>
          <w:tcPr>
            <w:tcW w:w="0" w:type="auto"/>
            <w:shd w:val="clear" w:color="auto" w:fill="D9D9D9" w:themeFill="background1" w:themeFillShade="D9"/>
          </w:tcPr>
          <w:p w14:paraId="13D2DB8B" w14:textId="77777777" w:rsidR="001042DA" w:rsidRPr="006B1A5A" w:rsidRDefault="001042DA" w:rsidP="00AF2AEA">
            <w:pPr>
              <w:spacing w:line="260" w:lineRule="atLeast"/>
            </w:pPr>
            <w:r w:rsidRPr="006B1A5A">
              <w:t xml:space="preserve">Professional deployment of </w:t>
            </w:r>
            <w:r w:rsidRPr="004C3211">
              <w:t>aquaculture nets; Handling model 2</w:t>
            </w:r>
          </w:p>
        </w:tc>
        <w:tc>
          <w:tcPr>
            <w:tcW w:w="0" w:type="auto"/>
          </w:tcPr>
          <w:p w14:paraId="128FF5A8" w14:textId="2706E615" w:rsidR="001042DA" w:rsidRPr="006B1A5A" w:rsidRDefault="001042DA" w:rsidP="00AF2AEA">
            <w:pPr>
              <w:spacing w:line="260" w:lineRule="atLeast"/>
            </w:pPr>
            <w:r w:rsidRPr="006B1A5A">
              <w:t xml:space="preserve">Tier 1; </w:t>
            </w:r>
            <w:r w:rsidR="002A7B47">
              <w:t xml:space="preserve">Light clothing, gloves </w:t>
            </w:r>
            <w:r w:rsidRPr="006B1A5A">
              <w:t>(Hand exposure is actual exposure inside gloves)</w:t>
            </w:r>
          </w:p>
        </w:tc>
        <w:tc>
          <w:tcPr>
            <w:tcW w:w="0" w:type="auto"/>
            <w:vAlign w:val="center"/>
          </w:tcPr>
          <w:p w14:paraId="37CFEC86" w14:textId="71B53250" w:rsidR="001042DA" w:rsidRPr="006B1A5A" w:rsidRDefault="00F42771" w:rsidP="00AF2AEA">
            <w:pPr>
              <w:spacing w:line="260" w:lineRule="atLeast"/>
              <w:jc w:val="center"/>
            </w:pPr>
            <w:r>
              <w:t>-</w:t>
            </w:r>
          </w:p>
        </w:tc>
        <w:tc>
          <w:tcPr>
            <w:tcW w:w="0" w:type="auto"/>
            <w:vAlign w:val="center"/>
          </w:tcPr>
          <w:p w14:paraId="3EB196E3" w14:textId="2F751E43" w:rsidR="001042DA" w:rsidRPr="006B1A5A" w:rsidRDefault="00F42771" w:rsidP="00AF2AEA">
            <w:pPr>
              <w:spacing w:line="260" w:lineRule="atLeast"/>
              <w:jc w:val="center"/>
            </w:pPr>
            <w:r>
              <w:t>0.043</w:t>
            </w:r>
          </w:p>
        </w:tc>
        <w:tc>
          <w:tcPr>
            <w:tcW w:w="0" w:type="auto"/>
            <w:vAlign w:val="center"/>
          </w:tcPr>
          <w:p w14:paraId="3DF663DF" w14:textId="4F581787" w:rsidR="001042DA" w:rsidRPr="006B1A5A" w:rsidRDefault="00F42771" w:rsidP="00AF2AEA">
            <w:pPr>
              <w:spacing w:line="260" w:lineRule="atLeast"/>
              <w:jc w:val="center"/>
            </w:pPr>
            <w:r>
              <w:t>-</w:t>
            </w:r>
          </w:p>
        </w:tc>
        <w:tc>
          <w:tcPr>
            <w:tcW w:w="0" w:type="auto"/>
            <w:vAlign w:val="center"/>
          </w:tcPr>
          <w:p w14:paraId="306240F2" w14:textId="2CC8FA02" w:rsidR="001042DA" w:rsidRPr="006B1A5A" w:rsidRDefault="00F42771" w:rsidP="00AF2AEA">
            <w:pPr>
              <w:spacing w:line="260" w:lineRule="atLeast"/>
              <w:jc w:val="center"/>
            </w:pPr>
            <w:r>
              <w:t>0.043</w:t>
            </w:r>
          </w:p>
        </w:tc>
      </w:tr>
      <w:tr w:rsidR="001042DA" w:rsidRPr="006B1A5A" w14:paraId="73CE04A5" w14:textId="77777777" w:rsidTr="00AF2AEA">
        <w:tc>
          <w:tcPr>
            <w:tcW w:w="0" w:type="auto"/>
            <w:gridSpan w:val="6"/>
          </w:tcPr>
          <w:p w14:paraId="0D7F9D9B" w14:textId="28C103E7" w:rsidR="001042DA" w:rsidRPr="006B1A5A" w:rsidRDefault="00E12018" w:rsidP="00E12018">
            <w:pPr>
              <w:tabs>
                <w:tab w:val="left" w:pos="1320"/>
              </w:tabs>
              <w:spacing w:line="260" w:lineRule="atLeast"/>
              <w:rPr>
                <w:b/>
              </w:rPr>
            </w:pPr>
            <w:r>
              <w:rPr>
                <w:b/>
              </w:rPr>
              <w:tab/>
            </w:r>
          </w:p>
        </w:tc>
      </w:tr>
      <w:tr w:rsidR="001042DA" w:rsidRPr="006B1A5A" w14:paraId="0F973B8B" w14:textId="77777777" w:rsidTr="00AF2AEA">
        <w:tc>
          <w:tcPr>
            <w:tcW w:w="0" w:type="auto"/>
            <w:gridSpan w:val="6"/>
          </w:tcPr>
          <w:p w14:paraId="419516C4" w14:textId="77777777" w:rsidR="001042DA" w:rsidRPr="006B1A5A" w:rsidRDefault="001042DA" w:rsidP="00AF2AEA">
            <w:pPr>
              <w:spacing w:line="260" w:lineRule="atLeast"/>
              <w:jc w:val="center"/>
              <w:rPr>
                <w:b/>
              </w:rPr>
            </w:pPr>
            <w:r w:rsidRPr="006B1A5A">
              <w:rPr>
                <w:b/>
              </w:rPr>
              <w:t>AquaNet LG 360</w:t>
            </w:r>
          </w:p>
        </w:tc>
      </w:tr>
      <w:tr w:rsidR="001042DA" w:rsidRPr="006B1A5A" w14:paraId="57E7B4F3" w14:textId="77777777" w:rsidTr="00AF2AEA">
        <w:tc>
          <w:tcPr>
            <w:tcW w:w="0" w:type="auto"/>
            <w:gridSpan w:val="6"/>
          </w:tcPr>
          <w:p w14:paraId="37D3EAE9" w14:textId="77777777" w:rsidR="001042DA" w:rsidRPr="006B1A5A" w:rsidRDefault="001042DA" w:rsidP="00AF2AEA">
            <w:pPr>
              <w:spacing w:line="260" w:lineRule="atLeast"/>
              <w:jc w:val="center"/>
              <w:rPr>
                <w:b/>
              </w:rPr>
            </w:pPr>
          </w:p>
        </w:tc>
      </w:tr>
      <w:tr w:rsidR="001042DA" w:rsidRPr="006B1A5A" w14:paraId="2E8025D2" w14:textId="77777777" w:rsidTr="00AF2AEA">
        <w:tc>
          <w:tcPr>
            <w:tcW w:w="0" w:type="auto"/>
            <w:gridSpan w:val="6"/>
          </w:tcPr>
          <w:p w14:paraId="6F15B2FA" w14:textId="42C05B0E" w:rsidR="001042DA" w:rsidRPr="006B1A5A" w:rsidRDefault="00787F7E" w:rsidP="00AF2AEA">
            <w:pPr>
              <w:spacing w:line="260" w:lineRule="atLeast"/>
              <w:jc w:val="center"/>
            </w:pPr>
            <w:r>
              <w:rPr>
                <w:b/>
              </w:rPr>
              <w:t>Copper</w:t>
            </w:r>
          </w:p>
        </w:tc>
      </w:tr>
      <w:tr w:rsidR="001042DA" w:rsidRPr="006B1A5A" w14:paraId="5FDBB92E" w14:textId="77777777" w:rsidTr="004C3211">
        <w:tc>
          <w:tcPr>
            <w:tcW w:w="0" w:type="auto"/>
            <w:shd w:val="clear" w:color="auto" w:fill="D9D9D9" w:themeFill="background1" w:themeFillShade="D9"/>
            <w:vAlign w:val="center"/>
          </w:tcPr>
          <w:p w14:paraId="0537ACA7" w14:textId="77777777" w:rsidR="001042DA" w:rsidRPr="006B1A5A" w:rsidRDefault="001042DA" w:rsidP="00AF2AEA">
            <w:pPr>
              <w:spacing w:line="260" w:lineRule="atLeast"/>
            </w:pPr>
            <w:r w:rsidRPr="006B1A5A">
              <w:t>Professional deployment of aquaculture nets; Handling model 2</w:t>
            </w:r>
          </w:p>
        </w:tc>
        <w:tc>
          <w:tcPr>
            <w:tcW w:w="0" w:type="auto"/>
          </w:tcPr>
          <w:p w14:paraId="19C70796" w14:textId="740B34C4" w:rsidR="001042DA" w:rsidRPr="006B1A5A" w:rsidRDefault="004C3211" w:rsidP="00AF2AEA">
            <w:pPr>
              <w:spacing w:line="260" w:lineRule="atLeast"/>
            </w:pPr>
            <w:r>
              <w:t>Tier 1; Light clothing, gloves (Hand exposure is actual exposure inside gloves)</w:t>
            </w:r>
          </w:p>
        </w:tc>
        <w:tc>
          <w:tcPr>
            <w:tcW w:w="0" w:type="auto"/>
            <w:vAlign w:val="center"/>
          </w:tcPr>
          <w:p w14:paraId="037AD66B" w14:textId="018B889D" w:rsidR="001042DA" w:rsidRPr="006B1A5A" w:rsidRDefault="00F42771" w:rsidP="00AF2AEA">
            <w:pPr>
              <w:spacing w:line="260" w:lineRule="atLeast"/>
              <w:jc w:val="center"/>
            </w:pPr>
            <w:r>
              <w:t>-</w:t>
            </w:r>
          </w:p>
        </w:tc>
        <w:tc>
          <w:tcPr>
            <w:tcW w:w="0" w:type="auto"/>
            <w:vAlign w:val="center"/>
          </w:tcPr>
          <w:p w14:paraId="1A8080F1" w14:textId="771E374F" w:rsidR="001042DA" w:rsidRPr="006B1A5A" w:rsidRDefault="00F42771" w:rsidP="00AF2AEA">
            <w:pPr>
              <w:spacing w:line="260" w:lineRule="atLeast"/>
              <w:jc w:val="center"/>
            </w:pPr>
            <w:r>
              <w:t>0.012</w:t>
            </w:r>
          </w:p>
        </w:tc>
        <w:tc>
          <w:tcPr>
            <w:tcW w:w="0" w:type="auto"/>
            <w:vAlign w:val="center"/>
          </w:tcPr>
          <w:p w14:paraId="4EDF6E9F" w14:textId="61049818" w:rsidR="001042DA" w:rsidRPr="006B1A5A" w:rsidRDefault="00F42771" w:rsidP="00AF2AEA">
            <w:pPr>
              <w:spacing w:line="260" w:lineRule="atLeast"/>
              <w:jc w:val="center"/>
            </w:pPr>
            <w:r>
              <w:t>-</w:t>
            </w:r>
          </w:p>
        </w:tc>
        <w:tc>
          <w:tcPr>
            <w:tcW w:w="0" w:type="auto"/>
            <w:vAlign w:val="center"/>
          </w:tcPr>
          <w:p w14:paraId="6CA3B821" w14:textId="0267E7EA" w:rsidR="001042DA" w:rsidRPr="006B1A5A" w:rsidRDefault="00F42771" w:rsidP="00AF2AEA">
            <w:pPr>
              <w:spacing w:line="260" w:lineRule="atLeast"/>
              <w:jc w:val="center"/>
            </w:pPr>
            <w:r>
              <w:t>0.012</w:t>
            </w:r>
          </w:p>
        </w:tc>
      </w:tr>
      <w:tr w:rsidR="001042DA" w:rsidRPr="006B1A5A" w14:paraId="64CB952A" w14:textId="77777777" w:rsidTr="00AF2AEA">
        <w:tc>
          <w:tcPr>
            <w:tcW w:w="0" w:type="auto"/>
            <w:gridSpan w:val="6"/>
            <w:vAlign w:val="center"/>
          </w:tcPr>
          <w:p w14:paraId="0B5C08D5" w14:textId="774263F7" w:rsidR="001042DA" w:rsidRPr="006B1A5A" w:rsidRDefault="00787F7E" w:rsidP="00AF2AEA">
            <w:pPr>
              <w:spacing w:line="260" w:lineRule="atLeast"/>
              <w:jc w:val="center"/>
            </w:pPr>
            <w:r>
              <w:rPr>
                <w:b/>
              </w:rPr>
              <w:t>Thiocyanate</w:t>
            </w:r>
          </w:p>
        </w:tc>
      </w:tr>
      <w:tr w:rsidR="001042DA" w:rsidRPr="006B1A5A" w14:paraId="2045CF8B" w14:textId="77777777" w:rsidTr="004C3211">
        <w:tc>
          <w:tcPr>
            <w:tcW w:w="0" w:type="auto"/>
            <w:shd w:val="clear" w:color="auto" w:fill="D9D9D9" w:themeFill="background1" w:themeFillShade="D9"/>
          </w:tcPr>
          <w:p w14:paraId="71265887" w14:textId="77777777" w:rsidR="001042DA" w:rsidRPr="006B1A5A" w:rsidRDefault="001042DA" w:rsidP="00AF2AEA">
            <w:pPr>
              <w:spacing w:line="260" w:lineRule="atLeast"/>
            </w:pPr>
            <w:r w:rsidRPr="006B1A5A">
              <w:t>Professional deployment of aquaculture nets; Handling model 2</w:t>
            </w:r>
          </w:p>
        </w:tc>
        <w:tc>
          <w:tcPr>
            <w:tcW w:w="0" w:type="auto"/>
          </w:tcPr>
          <w:p w14:paraId="2FF2CC9B" w14:textId="1F09992D" w:rsidR="001042DA" w:rsidRPr="006B1A5A" w:rsidRDefault="004C3211" w:rsidP="00AF2AEA">
            <w:pPr>
              <w:spacing w:line="260" w:lineRule="atLeast"/>
            </w:pPr>
            <w:r>
              <w:t>Tier 1; Light clothing, gloves (Hand exposure is actual exposure inside gloves)</w:t>
            </w:r>
          </w:p>
        </w:tc>
        <w:tc>
          <w:tcPr>
            <w:tcW w:w="0" w:type="auto"/>
            <w:vAlign w:val="center"/>
          </w:tcPr>
          <w:p w14:paraId="10A033F9" w14:textId="0572AF89" w:rsidR="001042DA" w:rsidRPr="006B1A5A" w:rsidRDefault="00F42771" w:rsidP="00AF2AEA">
            <w:pPr>
              <w:spacing w:line="260" w:lineRule="atLeast"/>
              <w:jc w:val="center"/>
            </w:pPr>
            <w:r>
              <w:t>-</w:t>
            </w:r>
          </w:p>
        </w:tc>
        <w:tc>
          <w:tcPr>
            <w:tcW w:w="0" w:type="auto"/>
            <w:vAlign w:val="center"/>
          </w:tcPr>
          <w:p w14:paraId="6CF68CE1" w14:textId="290D33D6" w:rsidR="001042DA" w:rsidRPr="006B1A5A" w:rsidRDefault="00F42771" w:rsidP="00AF2AEA">
            <w:pPr>
              <w:spacing w:line="260" w:lineRule="atLeast"/>
              <w:jc w:val="center"/>
            </w:pPr>
            <w:r>
              <w:t>0.02</w:t>
            </w:r>
          </w:p>
        </w:tc>
        <w:tc>
          <w:tcPr>
            <w:tcW w:w="0" w:type="auto"/>
            <w:vAlign w:val="center"/>
          </w:tcPr>
          <w:p w14:paraId="49878122" w14:textId="1BC4CD59" w:rsidR="001042DA" w:rsidRPr="006B1A5A" w:rsidRDefault="00F42771" w:rsidP="00AF2AEA">
            <w:pPr>
              <w:spacing w:line="260" w:lineRule="atLeast"/>
              <w:jc w:val="center"/>
            </w:pPr>
            <w:r>
              <w:t>-</w:t>
            </w:r>
          </w:p>
        </w:tc>
        <w:tc>
          <w:tcPr>
            <w:tcW w:w="0" w:type="auto"/>
            <w:vAlign w:val="center"/>
          </w:tcPr>
          <w:p w14:paraId="6E71D6AE" w14:textId="436499F2" w:rsidR="001042DA" w:rsidRPr="006B1A5A" w:rsidRDefault="00F42771" w:rsidP="00AF2AEA">
            <w:pPr>
              <w:spacing w:line="260" w:lineRule="atLeast"/>
              <w:jc w:val="center"/>
            </w:pPr>
            <w:r>
              <w:t>0.02</w:t>
            </w:r>
          </w:p>
        </w:tc>
      </w:tr>
      <w:tr w:rsidR="001042DA" w:rsidRPr="006B1A5A" w14:paraId="437CA393" w14:textId="77777777" w:rsidTr="00AF2AEA">
        <w:tc>
          <w:tcPr>
            <w:tcW w:w="0" w:type="auto"/>
            <w:gridSpan w:val="6"/>
          </w:tcPr>
          <w:p w14:paraId="3137C490" w14:textId="77777777" w:rsidR="001042DA" w:rsidRPr="006B1A5A" w:rsidRDefault="001042DA" w:rsidP="00AF2AEA">
            <w:pPr>
              <w:spacing w:line="260" w:lineRule="atLeast"/>
              <w:jc w:val="center"/>
              <w:rPr>
                <w:b/>
              </w:rPr>
            </w:pPr>
          </w:p>
        </w:tc>
      </w:tr>
      <w:tr w:rsidR="001042DA" w:rsidRPr="006B1A5A" w14:paraId="43B9846B" w14:textId="77777777" w:rsidTr="00AF2AEA">
        <w:tc>
          <w:tcPr>
            <w:tcW w:w="0" w:type="auto"/>
            <w:gridSpan w:val="6"/>
          </w:tcPr>
          <w:p w14:paraId="1F9C2163" w14:textId="77777777" w:rsidR="001042DA" w:rsidRPr="006B1A5A" w:rsidRDefault="001042DA" w:rsidP="00AF2AEA">
            <w:pPr>
              <w:spacing w:line="260" w:lineRule="atLeast"/>
              <w:jc w:val="center"/>
            </w:pPr>
            <w:r w:rsidRPr="006B1A5A">
              <w:rPr>
                <w:b/>
              </w:rPr>
              <w:t>AquaNet RFU 360</w:t>
            </w:r>
          </w:p>
        </w:tc>
      </w:tr>
      <w:tr w:rsidR="001042DA" w:rsidRPr="006B1A5A" w14:paraId="5CA25D8C" w14:textId="77777777" w:rsidTr="00AF2AEA">
        <w:tc>
          <w:tcPr>
            <w:tcW w:w="0" w:type="auto"/>
            <w:gridSpan w:val="6"/>
          </w:tcPr>
          <w:p w14:paraId="3F19D237" w14:textId="77777777" w:rsidR="001042DA" w:rsidRPr="006B1A5A" w:rsidRDefault="001042DA" w:rsidP="00AF2AEA">
            <w:pPr>
              <w:spacing w:line="260" w:lineRule="atLeast"/>
              <w:jc w:val="center"/>
            </w:pPr>
          </w:p>
        </w:tc>
      </w:tr>
      <w:tr w:rsidR="001042DA" w:rsidRPr="006B1A5A" w14:paraId="7B8BD0FC" w14:textId="77777777" w:rsidTr="00AF2AEA">
        <w:tc>
          <w:tcPr>
            <w:tcW w:w="0" w:type="auto"/>
            <w:gridSpan w:val="6"/>
          </w:tcPr>
          <w:p w14:paraId="5BEBAE55" w14:textId="6D99C242" w:rsidR="001042DA" w:rsidRPr="006B1A5A" w:rsidRDefault="00787F7E" w:rsidP="00AF2AEA">
            <w:pPr>
              <w:spacing w:line="260" w:lineRule="atLeast"/>
              <w:jc w:val="center"/>
            </w:pPr>
            <w:r>
              <w:rPr>
                <w:b/>
              </w:rPr>
              <w:t>Copper</w:t>
            </w:r>
          </w:p>
        </w:tc>
      </w:tr>
      <w:tr w:rsidR="001042DA" w:rsidRPr="006B1A5A" w14:paraId="7EAF5D82" w14:textId="77777777" w:rsidTr="00905886">
        <w:tc>
          <w:tcPr>
            <w:tcW w:w="0" w:type="auto"/>
            <w:shd w:val="clear" w:color="auto" w:fill="D9D9D9" w:themeFill="background1" w:themeFillShade="D9"/>
            <w:vAlign w:val="center"/>
          </w:tcPr>
          <w:p w14:paraId="3DDD5925" w14:textId="77777777" w:rsidR="001042DA" w:rsidRPr="006B1A5A" w:rsidRDefault="001042DA" w:rsidP="00AF2AEA">
            <w:pPr>
              <w:spacing w:line="260" w:lineRule="atLeast"/>
              <w:rPr>
                <w:b/>
              </w:rPr>
            </w:pPr>
            <w:r w:rsidRPr="006B1A5A">
              <w:t>Professional deployment of aquaculture nets; Handling model 2</w:t>
            </w:r>
          </w:p>
        </w:tc>
        <w:tc>
          <w:tcPr>
            <w:tcW w:w="0" w:type="auto"/>
          </w:tcPr>
          <w:p w14:paraId="0F80B6A0" w14:textId="24B10548" w:rsidR="001042DA" w:rsidRPr="006B1A5A" w:rsidRDefault="004C3211" w:rsidP="00AF2AEA">
            <w:pPr>
              <w:spacing w:line="260" w:lineRule="atLeast"/>
            </w:pPr>
            <w:r>
              <w:t>Tier 1; Light clothing, gloves (Hand exposure is actual exposure inside gloves)</w:t>
            </w:r>
          </w:p>
        </w:tc>
        <w:tc>
          <w:tcPr>
            <w:tcW w:w="0" w:type="auto"/>
            <w:vAlign w:val="center"/>
          </w:tcPr>
          <w:p w14:paraId="57EAD6FD" w14:textId="68069A1C" w:rsidR="001042DA" w:rsidRPr="006B1A5A" w:rsidDel="00346FF1" w:rsidRDefault="00F42771" w:rsidP="00AF2AEA">
            <w:pPr>
              <w:spacing w:line="260" w:lineRule="atLeast"/>
              <w:jc w:val="center"/>
            </w:pPr>
            <w:r>
              <w:t>-</w:t>
            </w:r>
          </w:p>
        </w:tc>
        <w:tc>
          <w:tcPr>
            <w:tcW w:w="0" w:type="auto"/>
            <w:vAlign w:val="center"/>
          </w:tcPr>
          <w:p w14:paraId="674690F5" w14:textId="4FF8DE6B" w:rsidR="001042DA" w:rsidRPr="006B1A5A" w:rsidRDefault="00F42771" w:rsidP="00AF2AEA">
            <w:pPr>
              <w:spacing w:line="260" w:lineRule="atLeast"/>
              <w:jc w:val="center"/>
            </w:pPr>
            <w:r>
              <w:t>0.0</w:t>
            </w:r>
            <w:r w:rsidR="000E66AC">
              <w:t>5</w:t>
            </w:r>
            <w:r w:rsidR="00EB090F">
              <w:t>0</w:t>
            </w:r>
          </w:p>
        </w:tc>
        <w:tc>
          <w:tcPr>
            <w:tcW w:w="0" w:type="auto"/>
            <w:vAlign w:val="center"/>
          </w:tcPr>
          <w:p w14:paraId="1933FA2C" w14:textId="6C7FB865" w:rsidR="001042DA" w:rsidRPr="006B1A5A" w:rsidDel="00346FF1" w:rsidRDefault="00F42771" w:rsidP="00AF2AEA">
            <w:pPr>
              <w:spacing w:line="260" w:lineRule="atLeast"/>
              <w:jc w:val="center"/>
            </w:pPr>
            <w:r>
              <w:t>-</w:t>
            </w:r>
          </w:p>
        </w:tc>
        <w:tc>
          <w:tcPr>
            <w:tcW w:w="0" w:type="auto"/>
            <w:vAlign w:val="center"/>
          </w:tcPr>
          <w:p w14:paraId="7A11246D" w14:textId="19797CA6" w:rsidR="001042DA" w:rsidRPr="006B1A5A" w:rsidRDefault="00F42771" w:rsidP="00AF2AEA">
            <w:pPr>
              <w:spacing w:line="260" w:lineRule="atLeast"/>
              <w:jc w:val="center"/>
            </w:pPr>
            <w:r>
              <w:t>0.0</w:t>
            </w:r>
            <w:r w:rsidR="000E66AC">
              <w:t>5</w:t>
            </w:r>
            <w:r w:rsidR="00EB090F">
              <w:t>0</w:t>
            </w:r>
          </w:p>
        </w:tc>
      </w:tr>
      <w:tr w:rsidR="001042DA" w:rsidRPr="006B1A5A" w14:paraId="1A8501B6" w14:textId="77777777" w:rsidTr="00AF2AEA">
        <w:tc>
          <w:tcPr>
            <w:tcW w:w="0" w:type="auto"/>
            <w:gridSpan w:val="6"/>
            <w:vAlign w:val="center"/>
          </w:tcPr>
          <w:p w14:paraId="28A3446E" w14:textId="27470703" w:rsidR="001042DA" w:rsidRPr="006B1A5A" w:rsidRDefault="00787F7E" w:rsidP="00AF2AEA">
            <w:pPr>
              <w:spacing w:line="260" w:lineRule="atLeast"/>
              <w:jc w:val="center"/>
            </w:pPr>
            <w:r>
              <w:rPr>
                <w:b/>
              </w:rPr>
              <w:t>Thiocyanate</w:t>
            </w:r>
          </w:p>
        </w:tc>
      </w:tr>
      <w:tr w:rsidR="001042DA" w:rsidRPr="006B1A5A" w14:paraId="18753718" w14:textId="77777777" w:rsidTr="00905886">
        <w:tc>
          <w:tcPr>
            <w:tcW w:w="0" w:type="auto"/>
            <w:shd w:val="clear" w:color="auto" w:fill="D9D9D9" w:themeFill="background1" w:themeFillShade="D9"/>
          </w:tcPr>
          <w:p w14:paraId="7B9F5D1C" w14:textId="77777777" w:rsidR="001042DA" w:rsidRPr="006B1A5A" w:rsidRDefault="001042DA" w:rsidP="00AF2AEA">
            <w:pPr>
              <w:spacing w:line="260" w:lineRule="atLeast"/>
              <w:rPr>
                <w:b/>
              </w:rPr>
            </w:pPr>
            <w:r w:rsidRPr="006B1A5A">
              <w:t>Professional deployment of aquaculture nets; Handling model 2</w:t>
            </w:r>
          </w:p>
        </w:tc>
        <w:tc>
          <w:tcPr>
            <w:tcW w:w="0" w:type="auto"/>
          </w:tcPr>
          <w:p w14:paraId="1633BEC8" w14:textId="42C5D91A" w:rsidR="001042DA" w:rsidRPr="006B1A5A" w:rsidRDefault="004C3211" w:rsidP="00AF2AEA">
            <w:pPr>
              <w:spacing w:line="260" w:lineRule="atLeast"/>
            </w:pPr>
            <w:r>
              <w:t>Tier 1; Light clothing, gloves (Hand exposure is actual exposure inside gloves)</w:t>
            </w:r>
          </w:p>
        </w:tc>
        <w:tc>
          <w:tcPr>
            <w:tcW w:w="0" w:type="auto"/>
            <w:vAlign w:val="center"/>
          </w:tcPr>
          <w:p w14:paraId="5A2ACE14" w14:textId="605308A6" w:rsidR="001042DA" w:rsidRPr="006B1A5A" w:rsidDel="00346FF1" w:rsidRDefault="00F42771" w:rsidP="00AF2AEA">
            <w:pPr>
              <w:spacing w:line="260" w:lineRule="atLeast"/>
              <w:jc w:val="center"/>
            </w:pPr>
            <w:r>
              <w:t>-</w:t>
            </w:r>
          </w:p>
        </w:tc>
        <w:tc>
          <w:tcPr>
            <w:tcW w:w="0" w:type="auto"/>
            <w:vAlign w:val="center"/>
          </w:tcPr>
          <w:p w14:paraId="3730C3C9" w14:textId="6A3A3E1B" w:rsidR="001042DA" w:rsidRPr="006B1A5A" w:rsidRDefault="00F42771" w:rsidP="00AF2AEA">
            <w:pPr>
              <w:spacing w:line="260" w:lineRule="atLeast"/>
              <w:jc w:val="center"/>
            </w:pPr>
            <w:r>
              <w:t>0.016</w:t>
            </w:r>
          </w:p>
        </w:tc>
        <w:tc>
          <w:tcPr>
            <w:tcW w:w="0" w:type="auto"/>
            <w:vAlign w:val="center"/>
          </w:tcPr>
          <w:p w14:paraId="64D3CCC9" w14:textId="7AD1F0B3" w:rsidR="001042DA" w:rsidRPr="006B1A5A" w:rsidDel="00346FF1" w:rsidRDefault="00F42771" w:rsidP="00AF2AEA">
            <w:pPr>
              <w:spacing w:line="260" w:lineRule="atLeast"/>
              <w:jc w:val="center"/>
            </w:pPr>
            <w:r>
              <w:t>-</w:t>
            </w:r>
          </w:p>
        </w:tc>
        <w:tc>
          <w:tcPr>
            <w:tcW w:w="0" w:type="auto"/>
            <w:vAlign w:val="center"/>
          </w:tcPr>
          <w:p w14:paraId="2C6421E6" w14:textId="5B0D6257" w:rsidR="001042DA" w:rsidRPr="006B1A5A" w:rsidRDefault="00F42771" w:rsidP="00AF2AEA">
            <w:pPr>
              <w:spacing w:line="260" w:lineRule="atLeast"/>
              <w:jc w:val="center"/>
            </w:pPr>
            <w:r>
              <w:t>0.016</w:t>
            </w:r>
          </w:p>
        </w:tc>
      </w:tr>
      <w:bookmarkEnd w:id="1646"/>
    </w:tbl>
    <w:p w14:paraId="63CF5295" w14:textId="77777777" w:rsidR="001042DA" w:rsidRPr="006B1A5A" w:rsidRDefault="001042DA" w:rsidP="001042DA">
      <w:pPr>
        <w:spacing w:line="260" w:lineRule="atLeast"/>
        <w:jc w:val="both"/>
        <w:rPr>
          <w:sz w:val="22"/>
          <w:szCs w:val="22"/>
        </w:rPr>
      </w:pPr>
    </w:p>
    <w:p w14:paraId="23A0072E" w14:textId="77777777" w:rsidR="001042DA" w:rsidRPr="006B1A5A" w:rsidRDefault="001042DA" w:rsidP="001042DA">
      <w:pPr>
        <w:spacing w:line="260" w:lineRule="atLeast"/>
        <w:jc w:val="both"/>
        <w:rPr>
          <w:sz w:val="22"/>
          <w:szCs w:val="22"/>
        </w:rPr>
      </w:pPr>
    </w:p>
    <w:p w14:paraId="4D403C83" w14:textId="77777777" w:rsidR="001042DA" w:rsidRPr="006B1A5A" w:rsidRDefault="001042DA" w:rsidP="001042DA">
      <w:pPr>
        <w:spacing w:line="260" w:lineRule="atLeast"/>
        <w:jc w:val="both"/>
        <w:rPr>
          <w:rFonts w:cs="Arial"/>
        </w:rPr>
      </w:pPr>
    </w:p>
    <w:p w14:paraId="345E4E66" w14:textId="77777777" w:rsidR="001042DA" w:rsidRPr="006B1A5A" w:rsidRDefault="001042DA" w:rsidP="001042DA">
      <w:pPr>
        <w:rPr>
          <w:rFonts w:eastAsia="Calibri"/>
          <w:b/>
          <w:szCs w:val="24"/>
          <w:lang w:eastAsia="en-US"/>
        </w:rPr>
      </w:pPr>
      <w:bookmarkStart w:id="1648" w:name="_Toc389729088"/>
      <w:bookmarkStart w:id="1649" w:name="_Toc403566577"/>
      <w:bookmarkStart w:id="1650" w:name="_Ref443462316"/>
      <w:r w:rsidRPr="006B1A5A">
        <w:br w:type="page"/>
      </w:r>
    </w:p>
    <w:p w14:paraId="20F26C9C" w14:textId="77777777" w:rsidR="001042DA" w:rsidRPr="006B1A5A" w:rsidRDefault="001042DA" w:rsidP="00916E44">
      <w:pPr>
        <w:pStyle w:val="Overskrift4"/>
      </w:pPr>
      <w:bookmarkStart w:id="1651" w:name="_Toc66448834"/>
      <w:r w:rsidRPr="006B1A5A">
        <w:t xml:space="preserve">Risk </w:t>
      </w:r>
      <w:r w:rsidRPr="006B1A5A">
        <w:rPr>
          <w:noProof/>
        </w:rPr>
        <w:t>characterisation</w:t>
      </w:r>
      <w:r w:rsidRPr="006B1A5A">
        <w:t xml:space="preserve"> for human health</w:t>
      </w:r>
      <w:bookmarkEnd w:id="1648"/>
      <w:bookmarkEnd w:id="1649"/>
      <w:bookmarkEnd w:id="1650"/>
      <w:bookmarkEnd w:id="1651"/>
    </w:p>
    <w:p w14:paraId="0F3D5013" w14:textId="77777777" w:rsidR="001042DA" w:rsidRPr="006B1A5A" w:rsidRDefault="001042DA" w:rsidP="001042DA">
      <w:pPr>
        <w:rPr>
          <w:rFonts w:eastAsia="Calibri"/>
          <w:b/>
          <w:i/>
          <w:sz w:val="22"/>
          <w:szCs w:val="22"/>
          <w:lang w:eastAsia="en-US"/>
        </w:rPr>
      </w:pPr>
    </w:p>
    <w:p w14:paraId="3E35B39B" w14:textId="77777777" w:rsidR="001042DA" w:rsidRPr="006B1A5A" w:rsidRDefault="001042DA" w:rsidP="001042DA">
      <w:pPr>
        <w:rPr>
          <w:rFonts w:eastAsia="Calibri"/>
          <w:b/>
          <w:i/>
          <w:sz w:val="22"/>
          <w:szCs w:val="22"/>
          <w:lang w:eastAsia="en-US"/>
        </w:rPr>
      </w:pPr>
    </w:p>
    <w:p w14:paraId="2D381ED2" w14:textId="77777777" w:rsidR="001042DA" w:rsidRPr="006B1A5A" w:rsidRDefault="001042DA" w:rsidP="001042DA">
      <w:pPr>
        <w:spacing w:line="260" w:lineRule="atLeast"/>
        <w:rPr>
          <w:rFonts w:eastAsia="Calibri"/>
          <w:b/>
          <w:bCs/>
          <w:lang w:eastAsia="en-US"/>
        </w:rPr>
      </w:pPr>
      <w:r w:rsidRPr="006B1A5A">
        <w:rPr>
          <w:rFonts w:eastAsia="Calibri"/>
          <w:b/>
          <w:bCs/>
          <w:lang w:eastAsia="en-US"/>
        </w:rPr>
        <w:t xml:space="preserve">Reference values to be used in the Risk Characterisation </w:t>
      </w:r>
    </w:p>
    <w:p w14:paraId="5D032C23" w14:textId="77777777" w:rsidR="001042DA" w:rsidRPr="006B1A5A" w:rsidRDefault="001042DA" w:rsidP="001042DA">
      <w:pPr>
        <w:spacing w:line="260" w:lineRule="atLeast"/>
        <w:rPr>
          <w:rFonts w:eastAsia="Calibri"/>
          <w:b/>
          <w:bCs/>
          <w:sz w:val="16"/>
          <w:szCs w:val="16"/>
          <w:lang w:eastAsia="en-US"/>
        </w:rPr>
      </w:pPr>
      <w:r w:rsidRPr="006B1A5A">
        <w:rPr>
          <w:rFonts w:eastAsia="Calibri"/>
          <w:b/>
          <w:bCs/>
          <w:sz w:val="16"/>
          <w:szCs w:val="16"/>
          <w:lang w:eastAsia="en-US"/>
        </w:rPr>
        <w:t>(ref: Assessment report for dicopper oxide and copper thiocyanate)</w:t>
      </w:r>
    </w:p>
    <w:p w14:paraId="5DC1305A" w14:textId="77777777" w:rsidR="001042DA" w:rsidRPr="006B1A5A" w:rsidRDefault="001042DA" w:rsidP="001042DA">
      <w:pPr>
        <w:spacing w:line="260" w:lineRule="atLeast"/>
        <w:rPr>
          <w:rFonts w:eastAsia="Calibri"/>
          <w:b/>
          <w:bCs/>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1113"/>
        <w:gridCol w:w="2157"/>
        <w:gridCol w:w="722"/>
        <w:gridCol w:w="1886"/>
        <w:gridCol w:w="1953"/>
      </w:tblGrid>
      <w:tr w:rsidR="001042DA" w:rsidRPr="006B1A5A" w14:paraId="6CD64986" w14:textId="77777777" w:rsidTr="00AF2AEA">
        <w:tc>
          <w:tcPr>
            <w:tcW w:w="1373" w:type="dxa"/>
            <w:shd w:val="clear" w:color="auto" w:fill="FFFFCC"/>
            <w:vAlign w:val="center"/>
          </w:tcPr>
          <w:p w14:paraId="5768CD47" w14:textId="77777777" w:rsidR="001042DA" w:rsidRPr="006B1A5A" w:rsidRDefault="001042DA" w:rsidP="00AF2AEA">
            <w:pPr>
              <w:spacing w:line="260" w:lineRule="atLeast"/>
              <w:rPr>
                <w:rFonts w:eastAsia="Calibri"/>
                <w:b/>
                <w:sz w:val="18"/>
                <w:szCs w:val="18"/>
                <w:lang w:eastAsia="en-US"/>
              </w:rPr>
            </w:pPr>
            <w:r w:rsidRPr="006B1A5A">
              <w:rPr>
                <w:rFonts w:eastAsia="Calibri"/>
                <w:b/>
                <w:sz w:val="18"/>
                <w:szCs w:val="18"/>
                <w:lang w:eastAsia="en-US"/>
              </w:rPr>
              <w:t xml:space="preserve">Reference </w:t>
            </w:r>
          </w:p>
        </w:tc>
        <w:tc>
          <w:tcPr>
            <w:tcW w:w="1113" w:type="dxa"/>
            <w:shd w:val="clear" w:color="auto" w:fill="FFFFCC"/>
            <w:vAlign w:val="center"/>
          </w:tcPr>
          <w:p w14:paraId="6A97FBCD" w14:textId="77777777" w:rsidR="001042DA" w:rsidRPr="006B1A5A" w:rsidRDefault="001042DA" w:rsidP="00AF2AEA">
            <w:pPr>
              <w:spacing w:line="260" w:lineRule="atLeast"/>
              <w:jc w:val="center"/>
              <w:rPr>
                <w:rFonts w:eastAsia="Calibri"/>
                <w:b/>
                <w:sz w:val="18"/>
                <w:szCs w:val="18"/>
                <w:lang w:eastAsia="en-US"/>
              </w:rPr>
            </w:pPr>
            <w:r w:rsidRPr="006B1A5A">
              <w:rPr>
                <w:rFonts w:eastAsia="Calibri"/>
                <w:b/>
                <w:sz w:val="18"/>
                <w:szCs w:val="18"/>
                <w:lang w:eastAsia="en-US"/>
              </w:rPr>
              <w:t>Study</w:t>
            </w:r>
          </w:p>
        </w:tc>
        <w:tc>
          <w:tcPr>
            <w:tcW w:w="2157" w:type="dxa"/>
            <w:shd w:val="clear" w:color="auto" w:fill="FFFFCC"/>
            <w:vAlign w:val="center"/>
          </w:tcPr>
          <w:p w14:paraId="63A3CD99" w14:textId="77777777" w:rsidR="001042DA" w:rsidRPr="006B1A5A" w:rsidRDefault="001042DA" w:rsidP="00AF2AEA">
            <w:pPr>
              <w:spacing w:line="260" w:lineRule="atLeast"/>
              <w:jc w:val="center"/>
              <w:rPr>
                <w:rFonts w:eastAsia="Calibri"/>
                <w:b/>
                <w:sz w:val="18"/>
                <w:szCs w:val="18"/>
                <w:lang w:eastAsia="en-US"/>
              </w:rPr>
            </w:pPr>
            <w:r w:rsidRPr="006B1A5A">
              <w:rPr>
                <w:rFonts w:eastAsia="Calibri"/>
                <w:b/>
                <w:sz w:val="18"/>
                <w:szCs w:val="18"/>
                <w:lang w:eastAsia="en-US"/>
              </w:rPr>
              <w:t>NOAEL (LOAEL)</w:t>
            </w:r>
          </w:p>
        </w:tc>
        <w:tc>
          <w:tcPr>
            <w:tcW w:w="722" w:type="dxa"/>
            <w:shd w:val="clear" w:color="auto" w:fill="FFFFCC"/>
            <w:vAlign w:val="center"/>
          </w:tcPr>
          <w:p w14:paraId="1E135687" w14:textId="77777777" w:rsidR="001042DA" w:rsidRPr="006B1A5A" w:rsidRDefault="001042DA" w:rsidP="00AF2AEA">
            <w:pPr>
              <w:spacing w:line="260" w:lineRule="atLeast"/>
              <w:jc w:val="center"/>
              <w:rPr>
                <w:rFonts w:eastAsia="Calibri"/>
                <w:b/>
                <w:sz w:val="18"/>
                <w:szCs w:val="18"/>
                <w:vertAlign w:val="superscript"/>
                <w:lang w:eastAsia="en-US"/>
              </w:rPr>
            </w:pPr>
            <w:r w:rsidRPr="006B1A5A">
              <w:rPr>
                <w:rFonts w:eastAsia="Calibri"/>
                <w:b/>
                <w:sz w:val="18"/>
                <w:szCs w:val="18"/>
                <w:lang w:eastAsia="en-US"/>
              </w:rPr>
              <w:t>AF</w:t>
            </w:r>
          </w:p>
        </w:tc>
        <w:tc>
          <w:tcPr>
            <w:tcW w:w="1886" w:type="dxa"/>
            <w:shd w:val="clear" w:color="auto" w:fill="FFFFCC"/>
            <w:vAlign w:val="center"/>
          </w:tcPr>
          <w:p w14:paraId="66EB3AC1" w14:textId="77777777" w:rsidR="001042DA" w:rsidRPr="006B1A5A" w:rsidRDefault="001042DA" w:rsidP="00AF2AEA">
            <w:pPr>
              <w:spacing w:line="260" w:lineRule="atLeast"/>
              <w:jc w:val="center"/>
              <w:rPr>
                <w:rFonts w:eastAsia="Calibri"/>
                <w:b/>
                <w:sz w:val="18"/>
                <w:szCs w:val="18"/>
                <w:lang w:eastAsia="en-US"/>
              </w:rPr>
            </w:pPr>
            <w:r w:rsidRPr="006B1A5A">
              <w:rPr>
                <w:rFonts w:eastAsia="Calibri"/>
                <w:b/>
                <w:sz w:val="18"/>
                <w:szCs w:val="18"/>
                <w:lang w:eastAsia="en-US"/>
              </w:rPr>
              <w:t>Correction for oral absorption</w:t>
            </w:r>
          </w:p>
        </w:tc>
        <w:tc>
          <w:tcPr>
            <w:tcW w:w="1953" w:type="dxa"/>
            <w:shd w:val="clear" w:color="auto" w:fill="FFFFCC"/>
            <w:vAlign w:val="center"/>
          </w:tcPr>
          <w:p w14:paraId="6939E36A" w14:textId="77777777" w:rsidR="001042DA" w:rsidRPr="006B1A5A" w:rsidRDefault="001042DA" w:rsidP="00AF2AEA">
            <w:pPr>
              <w:spacing w:line="260" w:lineRule="atLeast"/>
              <w:jc w:val="center"/>
              <w:rPr>
                <w:rFonts w:eastAsia="Calibri"/>
                <w:b/>
                <w:sz w:val="18"/>
                <w:szCs w:val="18"/>
                <w:lang w:eastAsia="en-US"/>
              </w:rPr>
            </w:pPr>
            <w:r w:rsidRPr="006B1A5A">
              <w:rPr>
                <w:rFonts w:eastAsia="Calibri"/>
                <w:b/>
                <w:sz w:val="18"/>
                <w:szCs w:val="18"/>
                <w:lang w:eastAsia="en-US"/>
              </w:rPr>
              <w:t>Value</w:t>
            </w:r>
          </w:p>
        </w:tc>
      </w:tr>
      <w:tr w:rsidR="001042DA" w:rsidRPr="006B1A5A" w14:paraId="7BBD0289" w14:textId="77777777" w:rsidTr="00AF2AEA">
        <w:tc>
          <w:tcPr>
            <w:tcW w:w="9204" w:type="dxa"/>
            <w:gridSpan w:val="6"/>
            <w:shd w:val="clear" w:color="auto" w:fill="FFFFCC"/>
            <w:vAlign w:val="center"/>
          </w:tcPr>
          <w:p w14:paraId="73CF88B8" w14:textId="77777777" w:rsidR="001042DA" w:rsidRPr="006B1A5A" w:rsidRDefault="001042DA" w:rsidP="00AF2AEA">
            <w:pPr>
              <w:spacing w:line="260" w:lineRule="atLeast"/>
              <w:rPr>
                <w:rFonts w:eastAsia="Calibri"/>
                <w:b/>
                <w:sz w:val="18"/>
                <w:szCs w:val="18"/>
                <w:lang w:eastAsia="en-US"/>
              </w:rPr>
            </w:pPr>
            <w:r w:rsidRPr="006B1A5A">
              <w:rPr>
                <w:rFonts w:eastAsia="Calibri"/>
                <w:b/>
                <w:sz w:val="18"/>
                <w:szCs w:val="18"/>
                <w:lang w:eastAsia="en-US"/>
              </w:rPr>
              <w:t>Reference values for copper (from dicopper oxide and copper thiocyanate)</w:t>
            </w:r>
          </w:p>
        </w:tc>
      </w:tr>
      <w:tr w:rsidR="001042DA" w:rsidRPr="006B1A5A" w14:paraId="598408C3" w14:textId="77777777" w:rsidTr="00AF2AEA">
        <w:tc>
          <w:tcPr>
            <w:tcW w:w="1373" w:type="dxa"/>
            <w:shd w:val="clear" w:color="auto" w:fill="auto"/>
            <w:vAlign w:val="center"/>
          </w:tcPr>
          <w:p w14:paraId="1D17402D" w14:textId="77777777" w:rsidR="001042DA" w:rsidRPr="006B1A5A" w:rsidRDefault="001042DA" w:rsidP="00AF2AEA">
            <w:pPr>
              <w:spacing w:line="260" w:lineRule="atLeast"/>
              <w:rPr>
                <w:rFonts w:eastAsia="Calibri"/>
                <w:sz w:val="18"/>
                <w:szCs w:val="18"/>
                <w:lang w:eastAsia="en-US"/>
              </w:rPr>
            </w:pPr>
            <w:r w:rsidRPr="006B1A5A">
              <w:rPr>
                <w:rFonts w:eastAsia="Calibri"/>
                <w:sz w:val="18"/>
                <w:szCs w:val="18"/>
                <w:lang w:eastAsia="en-US"/>
              </w:rPr>
              <w:t>AEL</w:t>
            </w:r>
            <w:r w:rsidRPr="006B1A5A">
              <w:rPr>
                <w:rFonts w:eastAsia="Calibri"/>
                <w:sz w:val="18"/>
                <w:szCs w:val="18"/>
                <w:vertAlign w:val="subscript"/>
                <w:lang w:eastAsia="en-US"/>
              </w:rPr>
              <w:t>short-term</w:t>
            </w:r>
          </w:p>
        </w:tc>
        <w:tc>
          <w:tcPr>
            <w:tcW w:w="1113" w:type="dxa"/>
            <w:vAlign w:val="center"/>
          </w:tcPr>
          <w:p w14:paraId="2005C24F" w14:textId="77777777" w:rsidR="001042DA" w:rsidRPr="006B1A5A" w:rsidRDefault="001042DA" w:rsidP="00AF2AEA">
            <w:pPr>
              <w:spacing w:line="260" w:lineRule="atLeast"/>
              <w:jc w:val="center"/>
              <w:rPr>
                <w:rFonts w:eastAsia="Calibri"/>
                <w:sz w:val="18"/>
                <w:szCs w:val="18"/>
                <w:lang w:eastAsia="en-US"/>
              </w:rPr>
            </w:pPr>
            <w:r w:rsidRPr="006B1A5A">
              <w:rPr>
                <w:rFonts w:eastAsia="Calibri"/>
                <w:sz w:val="18"/>
                <w:szCs w:val="18"/>
                <w:lang w:eastAsia="en-US"/>
              </w:rPr>
              <w:t>90-day rat study</w:t>
            </w:r>
          </w:p>
        </w:tc>
        <w:tc>
          <w:tcPr>
            <w:tcW w:w="2157" w:type="dxa"/>
            <w:vAlign w:val="center"/>
          </w:tcPr>
          <w:p w14:paraId="17FC20E0" w14:textId="77777777" w:rsidR="001042DA" w:rsidRPr="006B1A5A" w:rsidRDefault="001042DA" w:rsidP="00AF2AEA">
            <w:pPr>
              <w:spacing w:line="260" w:lineRule="atLeast"/>
              <w:jc w:val="center"/>
              <w:rPr>
                <w:rFonts w:eastAsia="Calibri"/>
                <w:sz w:val="18"/>
                <w:szCs w:val="18"/>
                <w:lang w:eastAsia="en-US"/>
              </w:rPr>
            </w:pPr>
            <w:r w:rsidRPr="006B1A5A">
              <w:rPr>
                <w:rFonts w:cs="Verdana"/>
                <w:sz w:val="18"/>
                <w:szCs w:val="18"/>
                <w:lang w:eastAsia="en-GB"/>
              </w:rPr>
              <w:t>16.3 mg Cu/kg bw/day</w:t>
            </w:r>
          </w:p>
        </w:tc>
        <w:tc>
          <w:tcPr>
            <w:tcW w:w="722" w:type="dxa"/>
            <w:vAlign w:val="center"/>
          </w:tcPr>
          <w:p w14:paraId="3E85F27D" w14:textId="77777777" w:rsidR="001042DA" w:rsidRPr="006B1A5A" w:rsidRDefault="001042DA" w:rsidP="00AF2AEA">
            <w:pPr>
              <w:spacing w:line="260" w:lineRule="atLeast"/>
              <w:jc w:val="center"/>
              <w:rPr>
                <w:rFonts w:eastAsia="Calibri"/>
                <w:sz w:val="18"/>
                <w:szCs w:val="18"/>
                <w:lang w:eastAsia="en-US"/>
              </w:rPr>
            </w:pPr>
            <w:r w:rsidRPr="006B1A5A">
              <w:rPr>
                <w:rFonts w:eastAsia="Calibri"/>
                <w:sz w:val="18"/>
                <w:szCs w:val="18"/>
                <w:lang w:eastAsia="en-US"/>
              </w:rPr>
              <w:t>50</w:t>
            </w:r>
          </w:p>
        </w:tc>
        <w:tc>
          <w:tcPr>
            <w:tcW w:w="1886" w:type="dxa"/>
            <w:vAlign w:val="center"/>
          </w:tcPr>
          <w:p w14:paraId="33B47955" w14:textId="77777777" w:rsidR="001042DA" w:rsidRPr="006B1A5A" w:rsidRDefault="001042DA" w:rsidP="00AF2AEA">
            <w:pPr>
              <w:spacing w:line="260" w:lineRule="atLeast"/>
              <w:jc w:val="center"/>
              <w:rPr>
                <w:rFonts w:eastAsia="Calibri"/>
                <w:sz w:val="18"/>
                <w:szCs w:val="18"/>
                <w:lang w:eastAsia="en-US"/>
              </w:rPr>
            </w:pPr>
            <w:r w:rsidRPr="006B1A5A">
              <w:rPr>
                <w:rFonts w:eastAsia="Calibri"/>
                <w:sz w:val="18"/>
                <w:szCs w:val="18"/>
                <w:lang w:eastAsia="en-US"/>
              </w:rPr>
              <w:t>25%</w:t>
            </w:r>
          </w:p>
        </w:tc>
        <w:tc>
          <w:tcPr>
            <w:tcW w:w="1953" w:type="dxa"/>
            <w:shd w:val="clear" w:color="auto" w:fill="auto"/>
            <w:vAlign w:val="center"/>
          </w:tcPr>
          <w:p w14:paraId="2D9F7624" w14:textId="77777777" w:rsidR="001042DA" w:rsidRPr="006B1A5A" w:rsidRDefault="001042DA" w:rsidP="00AF2AEA">
            <w:pPr>
              <w:spacing w:line="260" w:lineRule="atLeast"/>
              <w:jc w:val="center"/>
              <w:rPr>
                <w:rFonts w:eastAsia="Calibri"/>
                <w:sz w:val="18"/>
                <w:szCs w:val="18"/>
                <w:lang w:eastAsia="en-US"/>
              </w:rPr>
            </w:pPr>
            <w:r w:rsidRPr="006B1A5A">
              <w:rPr>
                <w:rFonts w:eastAsia="Calibri"/>
                <w:sz w:val="18"/>
                <w:szCs w:val="18"/>
                <w:lang w:eastAsia="en-US"/>
              </w:rPr>
              <w:t>0.082 mg/kg bw/day</w:t>
            </w:r>
          </w:p>
        </w:tc>
      </w:tr>
      <w:tr w:rsidR="001042DA" w:rsidRPr="006B1A5A" w14:paraId="3306B912" w14:textId="77777777" w:rsidTr="00AF2AEA">
        <w:tc>
          <w:tcPr>
            <w:tcW w:w="1373" w:type="dxa"/>
            <w:shd w:val="clear" w:color="auto" w:fill="auto"/>
            <w:vAlign w:val="center"/>
          </w:tcPr>
          <w:p w14:paraId="3950F7D5" w14:textId="77777777" w:rsidR="001042DA" w:rsidRPr="006B1A5A" w:rsidRDefault="001042DA" w:rsidP="00AF2AEA">
            <w:pPr>
              <w:spacing w:line="260" w:lineRule="atLeast"/>
              <w:rPr>
                <w:rFonts w:eastAsia="Calibri"/>
                <w:sz w:val="18"/>
                <w:szCs w:val="18"/>
                <w:lang w:eastAsia="en-US"/>
              </w:rPr>
            </w:pPr>
            <w:r w:rsidRPr="006B1A5A">
              <w:rPr>
                <w:rFonts w:eastAsia="Calibri"/>
                <w:sz w:val="18"/>
                <w:szCs w:val="18"/>
                <w:lang w:eastAsia="en-US"/>
              </w:rPr>
              <w:t>AEL</w:t>
            </w:r>
            <w:r w:rsidRPr="006B1A5A">
              <w:rPr>
                <w:rFonts w:eastAsia="Calibri"/>
                <w:sz w:val="18"/>
                <w:szCs w:val="18"/>
                <w:vertAlign w:val="subscript"/>
                <w:lang w:eastAsia="en-US"/>
              </w:rPr>
              <w:t>medium-term</w:t>
            </w:r>
          </w:p>
        </w:tc>
        <w:tc>
          <w:tcPr>
            <w:tcW w:w="1113" w:type="dxa"/>
            <w:vAlign w:val="center"/>
          </w:tcPr>
          <w:p w14:paraId="72407BCB" w14:textId="77777777" w:rsidR="001042DA" w:rsidRPr="006B1A5A" w:rsidRDefault="001042DA" w:rsidP="00AF2AEA">
            <w:pPr>
              <w:spacing w:line="260" w:lineRule="atLeast"/>
              <w:jc w:val="center"/>
              <w:rPr>
                <w:rFonts w:eastAsia="Calibri"/>
                <w:sz w:val="18"/>
                <w:szCs w:val="18"/>
                <w:lang w:eastAsia="en-US"/>
              </w:rPr>
            </w:pPr>
            <w:r w:rsidRPr="006B1A5A">
              <w:rPr>
                <w:rFonts w:eastAsia="Calibri"/>
                <w:sz w:val="18"/>
                <w:szCs w:val="18"/>
                <w:lang w:eastAsia="en-US"/>
              </w:rPr>
              <w:t>90-day rat study</w:t>
            </w:r>
          </w:p>
        </w:tc>
        <w:tc>
          <w:tcPr>
            <w:tcW w:w="2157" w:type="dxa"/>
            <w:vAlign w:val="center"/>
          </w:tcPr>
          <w:p w14:paraId="2EDA1DA6" w14:textId="77777777" w:rsidR="001042DA" w:rsidRPr="006B1A5A" w:rsidRDefault="001042DA" w:rsidP="00AF2AEA">
            <w:pPr>
              <w:spacing w:line="260" w:lineRule="atLeast"/>
              <w:jc w:val="center"/>
              <w:rPr>
                <w:rFonts w:eastAsia="Calibri"/>
                <w:sz w:val="18"/>
                <w:szCs w:val="18"/>
                <w:lang w:eastAsia="en-US"/>
              </w:rPr>
            </w:pPr>
            <w:r w:rsidRPr="006B1A5A">
              <w:rPr>
                <w:rFonts w:cs="Verdana"/>
                <w:sz w:val="18"/>
                <w:szCs w:val="18"/>
                <w:lang w:eastAsia="en-GB"/>
              </w:rPr>
              <w:t>16.3 mg Cu/kg bw/day</w:t>
            </w:r>
          </w:p>
        </w:tc>
        <w:tc>
          <w:tcPr>
            <w:tcW w:w="722" w:type="dxa"/>
            <w:vAlign w:val="center"/>
          </w:tcPr>
          <w:p w14:paraId="00B0295F" w14:textId="77777777" w:rsidR="001042DA" w:rsidRPr="006B1A5A" w:rsidRDefault="001042DA" w:rsidP="00AF2AEA">
            <w:pPr>
              <w:spacing w:line="260" w:lineRule="atLeast"/>
              <w:jc w:val="center"/>
              <w:rPr>
                <w:rFonts w:eastAsia="Calibri"/>
                <w:sz w:val="18"/>
                <w:szCs w:val="18"/>
                <w:lang w:eastAsia="en-US"/>
              </w:rPr>
            </w:pPr>
            <w:r w:rsidRPr="006B1A5A">
              <w:rPr>
                <w:rFonts w:eastAsia="Calibri"/>
                <w:sz w:val="18"/>
                <w:szCs w:val="18"/>
                <w:lang w:eastAsia="en-US"/>
              </w:rPr>
              <w:t>50</w:t>
            </w:r>
          </w:p>
        </w:tc>
        <w:tc>
          <w:tcPr>
            <w:tcW w:w="1886" w:type="dxa"/>
            <w:vAlign w:val="center"/>
          </w:tcPr>
          <w:p w14:paraId="012FE09B" w14:textId="77777777" w:rsidR="001042DA" w:rsidRPr="006B1A5A" w:rsidRDefault="001042DA" w:rsidP="00AF2AEA">
            <w:pPr>
              <w:spacing w:line="260" w:lineRule="atLeast"/>
              <w:jc w:val="center"/>
              <w:rPr>
                <w:rFonts w:eastAsia="Calibri"/>
                <w:sz w:val="18"/>
                <w:szCs w:val="18"/>
                <w:lang w:eastAsia="en-US"/>
              </w:rPr>
            </w:pPr>
            <w:r w:rsidRPr="006B1A5A">
              <w:rPr>
                <w:rFonts w:eastAsia="Calibri"/>
                <w:sz w:val="18"/>
                <w:szCs w:val="18"/>
                <w:lang w:eastAsia="en-US"/>
              </w:rPr>
              <w:t>25%</w:t>
            </w:r>
          </w:p>
        </w:tc>
        <w:tc>
          <w:tcPr>
            <w:tcW w:w="1953" w:type="dxa"/>
            <w:shd w:val="clear" w:color="auto" w:fill="auto"/>
            <w:vAlign w:val="center"/>
          </w:tcPr>
          <w:p w14:paraId="24C84B8A" w14:textId="77777777" w:rsidR="001042DA" w:rsidRPr="006B1A5A" w:rsidRDefault="001042DA" w:rsidP="00AF2AEA">
            <w:pPr>
              <w:spacing w:line="260" w:lineRule="atLeast"/>
              <w:jc w:val="center"/>
              <w:rPr>
                <w:rFonts w:eastAsia="Calibri"/>
                <w:sz w:val="18"/>
                <w:szCs w:val="18"/>
                <w:lang w:eastAsia="en-US"/>
              </w:rPr>
            </w:pPr>
            <w:r w:rsidRPr="006B1A5A">
              <w:rPr>
                <w:rFonts w:eastAsia="Calibri"/>
                <w:sz w:val="18"/>
                <w:szCs w:val="18"/>
                <w:lang w:eastAsia="en-US"/>
              </w:rPr>
              <w:t>0.082 mg/kg bw/day</w:t>
            </w:r>
          </w:p>
        </w:tc>
      </w:tr>
      <w:tr w:rsidR="001042DA" w:rsidRPr="006B1A5A" w14:paraId="7F03D1F2" w14:textId="77777777" w:rsidTr="00AF2AEA">
        <w:tc>
          <w:tcPr>
            <w:tcW w:w="1373" w:type="dxa"/>
            <w:shd w:val="clear" w:color="auto" w:fill="auto"/>
            <w:vAlign w:val="center"/>
          </w:tcPr>
          <w:p w14:paraId="23F6C11E" w14:textId="77777777" w:rsidR="001042DA" w:rsidRPr="006B1A5A" w:rsidRDefault="001042DA" w:rsidP="00AF2AEA">
            <w:pPr>
              <w:spacing w:line="260" w:lineRule="atLeast"/>
              <w:rPr>
                <w:rFonts w:eastAsia="Calibri"/>
                <w:sz w:val="18"/>
                <w:szCs w:val="18"/>
                <w:lang w:eastAsia="en-US"/>
              </w:rPr>
            </w:pPr>
            <w:r w:rsidRPr="006B1A5A">
              <w:rPr>
                <w:rFonts w:eastAsia="Calibri"/>
                <w:sz w:val="18"/>
                <w:szCs w:val="18"/>
                <w:lang w:eastAsia="en-US"/>
              </w:rPr>
              <w:t>AEL</w:t>
            </w:r>
            <w:r w:rsidRPr="006B1A5A">
              <w:rPr>
                <w:rFonts w:eastAsia="Calibri"/>
                <w:sz w:val="18"/>
                <w:szCs w:val="18"/>
                <w:vertAlign w:val="subscript"/>
                <w:lang w:eastAsia="en-US"/>
              </w:rPr>
              <w:t>long-term</w:t>
            </w:r>
          </w:p>
        </w:tc>
        <w:tc>
          <w:tcPr>
            <w:tcW w:w="1113" w:type="dxa"/>
            <w:vAlign w:val="center"/>
          </w:tcPr>
          <w:p w14:paraId="4C5B685D" w14:textId="77777777" w:rsidR="001042DA" w:rsidRPr="006B1A5A" w:rsidRDefault="001042DA" w:rsidP="00AF2AEA">
            <w:pPr>
              <w:spacing w:line="260" w:lineRule="atLeast"/>
              <w:jc w:val="center"/>
              <w:rPr>
                <w:rFonts w:eastAsia="Calibri"/>
                <w:sz w:val="18"/>
                <w:szCs w:val="18"/>
                <w:lang w:eastAsia="en-US"/>
              </w:rPr>
            </w:pPr>
            <w:r w:rsidRPr="006B1A5A">
              <w:rPr>
                <w:rFonts w:eastAsia="Calibri"/>
                <w:sz w:val="18"/>
                <w:szCs w:val="18"/>
                <w:lang w:eastAsia="en-US"/>
              </w:rPr>
              <w:t>90-day rat study</w:t>
            </w:r>
          </w:p>
        </w:tc>
        <w:tc>
          <w:tcPr>
            <w:tcW w:w="2157" w:type="dxa"/>
            <w:vAlign w:val="center"/>
          </w:tcPr>
          <w:p w14:paraId="69BF8C6A" w14:textId="77777777" w:rsidR="001042DA" w:rsidRPr="006B1A5A" w:rsidRDefault="001042DA" w:rsidP="00AF2AEA">
            <w:pPr>
              <w:spacing w:line="260" w:lineRule="atLeast"/>
              <w:jc w:val="center"/>
              <w:rPr>
                <w:rFonts w:eastAsia="Calibri"/>
                <w:sz w:val="18"/>
                <w:szCs w:val="18"/>
                <w:lang w:eastAsia="en-US"/>
              </w:rPr>
            </w:pPr>
            <w:r w:rsidRPr="006B1A5A">
              <w:rPr>
                <w:rFonts w:cs="Verdana"/>
                <w:sz w:val="18"/>
                <w:szCs w:val="18"/>
                <w:lang w:eastAsia="en-GB"/>
              </w:rPr>
              <w:t>16.3 mg Cu/kg bw/day</w:t>
            </w:r>
          </w:p>
        </w:tc>
        <w:tc>
          <w:tcPr>
            <w:tcW w:w="722" w:type="dxa"/>
            <w:vAlign w:val="center"/>
          </w:tcPr>
          <w:p w14:paraId="747AB1BF" w14:textId="77777777" w:rsidR="001042DA" w:rsidRPr="006B1A5A" w:rsidRDefault="001042DA" w:rsidP="00AF2AEA">
            <w:pPr>
              <w:spacing w:line="260" w:lineRule="atLeast"/>
              <w:jc w:val="center"/>
              <w:rPr>
                <w:rFonts w:eastAsia="Calibri"/>
                <w:sz w:val="18"/>
                <w:szCs w:val="18"/>
                <w:lang w:eastAsia="en-US"/>
              </w:rPr>
            </w:pPr>
            <w:r w:rsidRPr="006B1A5A">
              <w:rPr>
                <w:rFonts w:eastAsia="Calibri"/>
                <w:sz w:val="18"/>
                <w:szCs w:val="18"/>
                <w:lang w:eastAsia="en-US"/>
              </w:rPr>
              <w:t>100</w:t>
            </w:r>
          </w:p>
        </w:tc>
        <w:tc>
          <w:tcPr>
            <w:tcW w:w="1886" w:type="dxa"/>
            <w:vAlign w:val="center"/>
          </w:tcPr>
          <w:p w14:paraId="2201D42A" w14:textId="77777777" w:rsidR="001042DA" w:rsidRPr="006B1A5A" w:rsidRDefault="001042DA" w:rsidP="00AF2AEA">
            <w:pPr>
              <w:spacing w:line="260" w:lineRule="atLeast"/>
              <w:jc w:val="center"/>
              <w:rPr>
                <w:rFonts w:eastAsia="Calibri"/>
                <w:sz w:val="18"/>
                <w:szCs w:val="18"/>
                <w:lang w:eastAsia="en-US"/>
              </w:rPr>
            </w:pPr>
            <w:r w:rsidRPr="006B1A5A">
              <w:rPr>
                <w:rFonts w:eastAsia="Calibri"/>
                <w:sz w:val="18"/>
                <w:szCs w:val="18"/>
                <w:lang w:eastAsia="en-US"/>
              </w:rPr>
              <w:t>25%</w:t>
            </w:r>
          </w:p>
        </w:tc>
        <w:tc>
          <w:tcPr>
            <w:tcW w:w="1953" w:type="dxa"/>
            <w:shd w:val="clear" w:color="auto" w:fill="auto"/>
            <w:vAlign w:val="center"/>
          </w:tcPr>
          <w:p w14:paraId="3B3518C3" w14:textId="77777777" w:rsidR="001042DA" w:rsidRPr="006B1A5A" w:rsidRDefault="001042DA" w:rsidP="00AF2AEA">
            <w:pPr>
              <w:spacing w:line="260" w:lineRule="atLeast"/>
              <w:jc w:val="center"/>
              <w:rPr>
                <w:rFonts w:eastAsia="Calibri"/>
                <w:sz w:val="18"/>
                <w:szCs w:val="18"/>
                <w:lang w:eastAsia="en-US"/>
              </w:rPr>
            </w:pPr>
            <w:r w:rsidRPr="006B1A5A">
              <w:rPr>
                <w:rFonts w:eastAsia="Calibri"/>
                <w:sz w:val="18"/>
                <w:szCs w:val="18"/>
                <w:lang w:eastAsia="en-US"/>
              </w:rPr>
              <w:t>0.041 mg/kg bw/day</w:t>
            </w:r>
          </w:p>
        </w:tc>
      </w:tr>
      <w:tr w:rsidR="001042DA" w:rsidRPr="006B1A5A" w14:paraId="3CEF648A" w14:textId="77777777" w:rsidTr="00AF2AEA">
        <w:tc>
          <w:tcPr>
            <w:tcW w:w="1373" w:type="dxa"/>
            <w:shd w:val="clear" w:color="auto" w:fill="auto"/>
            <w:vAlign w:val="center"/>
          </w:tcPr>
          <w:p w14:paraId="509A1A56" w14:textId="77777777" w:rsidR="001042DA" w:rsidRPr="006B1A5A" w:rsidRDefault="001042DA" w:rsidP="00AF2AEA">
            <w:pPr>
              <w:spacing w:line="260" w:lineRule="atLeast"/>
              <w:rPr>
                <w:rFonts w:eastAsia="Calibri"/>
                <w:sz w:val="18"/>
                <w:szCs w:val="18"/>
                <w:lang w:eastAsia="en-US"/>
              </w:rPr>
            </w:pPr>
            <w:r w:rsidRPr="006B1A5A">
              <w:rPr>
                <w:rFonts w:eastAsia="Calibri"/>
                <w:sz w:val="18"/>
                <w:szCs w:val="18"/>
                <w:lang w:eastAsia="en-US"/>
              </w:rPr>
              <w:t>ARfD</w:t>
            </w:r>
          </w:p>
        </w:tc>
        <w:tc>
          <w:tcPr>
            <w:tcW w:w="7831" w:type="dxa"/>
            <w:gridSpan w:val="5"/>
            <w:vAlign w:val="center"/>
          </w:tcPr>
          <w:p w14:paraId="42F144F6" w14:textId="77777777" w:rsidR="001042DA" w:rsidRPr="006B1A5A" w:rsidRDefault="001042DA" w:rsidP="00AF2AEA">
            <w:pPr>
              <w:spacing w:line="260" w:lineRule="atLeast"/>
              <w:jc w:val="center"/>
              <w:rPr>
                <w:rFonts w:eastAsia="Calibri"/>
                <w:sz w:val="18"/>
                <w:szCs w:val="18"/>
                <w:lang w:eastAsia="en-US"/>
              </w:rPr>
            </w:pPr>
            <w:r w:rsidRPr="006B1A5A">
              <w:rPr>
                <w:rFonts w:eastAsia="Calibri"/>
                <w:sz w:val="18"/>
                <w:szCs w:val="18"/>
                <w:lang w:eastAsia="en-US"/>
              </w:rPr>
              <w:t>n.a.</w:t>
            </w:r>
          </w:p>
        </w:tc>
      </w:tr>
      <w:tr w:rsidR="001042DA" w:rsidRPr="006B1A5A" w14:paraId="4135DE66" w14:textId="77777777" w:rsidTr="00AF2AEA">
        <w:tc>
          <w:tcPr>
            <w:tcW w:w="1373" w:type="dxa"/>
            <w:shd w:val="clear" w:color="auto" w:fill="auto"/>
            <w:vAlign w:val="center"/>
          </w:tcPr>
          <w:p w14:paraId="46F0CD70" w14:textId="77777777" w:rsidR="001042DA" w:rsidRPr="006B1A5A" w:rsidRDefault="001042DA" w:rsidP="00AF2AEA">
            <w:pPr>
              <w:spacing w:line="260" w:lineRule="atLeast"/>
              <w:rPr>
                <w:rFonts w:eastAsia="Calibri"/>
                <w:sz w:val="18"/>
                <w:szCs w:val="18"/>
                <w:lang w:eastAsia="en-US"/>
              </w:rPr>
            </w:pPr>
            <w:r w:rsidRPr="006B1A5A">
              <w:rPr>
                <w:rFonts w:eastAsia="Calibri"/>
                <w:sz w:val="18"/>
                <w:szCs w:val="18"/>
                <w:lang w:eastAsia="en-US"/>
              </w:rPr>
              <w:t>ADI</w:t>
            </w:r>
          </w:p>
        </w:tc>
        <w:tc>
          <w:tcPr>
            <w:tcW w:w="1113" w:type="dxa"/>
            <w:vAlign w:val="center"/>
          </w:tcPr>
          <w:p w14:paraId="1F060A38" w14:textId="77777777" w:rsidR="001042DA" w:rsidRPr="006B1A5A" w:rsidRDefault="001042DA" w:rsidP="00AF2AEA">
            <w:pPr>
              <w:spacing w:line="260" w:lineRule="atLeast"/>
              <w:jc w:val="center"/>
              <w:rPr>
                <w:rFonts w:eastAsia="Calibri"/>
                <w:sz w:val="18"/>
                <w:szCs w:val="18"/>
                <w:lang w:eastAsia="en-US"/>
              </w:rPr>
            </w:pPr>
            <w:r w:rsidRPr="006B1A5A">
              <w:rPr>
                <w:rFonts w:cs="Verdana"/>
                <w:sz w:val="18"/>
                <w:szCs w:val="18"/>
                <w:lang w:eastAsia="en-GB"/>
              </w:rPr>
              <w:t>EFSA (2008)</w:t>
            </w:r>
          </w:p>
        </w:tc>
        <w:tc>
          <w:tcPr>
            <w:tcW w:w="4765" w:type="dxa"/>
            <w:gridSpan w:val="3"/>
            <w:vAlign w:val="center"/>
          </w:tcPr>
          <w:p w14:paraId="45C2D997" w14:textId="77777777" w:rsidR="001042DA" w:rsidRPr="006B1A5A" w:rsidRDefault="001042DA" w:rsidP="00AF2AEA">
            <w:pPr>
              <w:spacing w:line="260" w:lineRule="atLeast"/>
              <w:jc w:val="center"/>
              <w:rPr>
                <w:rFonts w:eastAsia="Calibri"/>
                <w:sz w:val="18"/>
                <w:szCs w:val="18"/>
                <w:lang w:eastAsia="en-US"/>
              </w:rPr>
            </w:pPr>
            <w:r w:rsidRPr="006B1A5A">
              <w:rPr>
                <w:rFonts w:eastAsia="Calibri"/>
                <w:sz w:val="18"/>
                <w:szCs w:val="18"/>
                <w:lang w:eastAsia="en-US"/>
              </w:rPr>
              <w:t>-</w:t>
            </w:r>
          </w:p>
        </w:tc>
        <w:tc>
          <w:tcPr>
            <w:tcW w:w="1953" w:type="dxa"/>
            <w:shd w:val="clear" w:color="auto" w:fill="auto"/>
            <w:vAlign w:val="center"/>
          </w:tcPr>
          <w:p w14:paraId="5F224820" w14:textId="77777777" w:rsidR="001042DA" w:rsidRPr="006B1A5A" w:rsidRDefault="001042DA" w:rsidP="00AF2AEA">
            <w:pPr>
              <w:spacing w:line="260" w:lineRule="atLeast"/>
              <w:jc w:val="center"/>
              <w:rPr>
                <w:rFonts w:eastAsia="Calibri"/>
                <w:sz w:val="18"/>
                <w:szCs w:val="18"/>
                <w:lang w:eastAsia="en-US"/>
              </w:rPr>
            </w:pPr>
            <w:r w:rsidRPr="006B1A5A">
              <w:rPr>
                <w:rFonts w:eastAsia="Calibri"/>
                <w:sz w:val="18"/>
                <w:szCs w:val="18"/>
                <w:lang w:eastAsia="en-US"/>
              </w:rPr>
              <w:t>0.15 mg Cu/kg bw/day</w:t>
            </w:r>
          </w:p>
        </w:tc>
      </w:tr>
      <w:tr w:rsidR="008F5C8B" w:rsidRPr="006B1A5A" w14:paraId="7687CADD" w14:textId="77777777" w:rsidTr="0041307D">
        <w:tc>
          <w:tcPr>
            <w:tcW w:w="9204" w:type="dxa"/>
            <w:gridSpan w:val="6"/>
            <w:shd w:val="clear" w:color="auto" w:fill="FFFFCC"/>
            <w:vAlign w:val="center"/>
          </w:tcPr>
          <w:p w14:paraId="0A29895F" w14:textId="77777777" w:rsidR="008F5C8B" w:rsidRPr="006B1A5A" w:rsidRDefault="008F5C8B" w:rsidP="0041307D">
            <w:pPr>
              <w:spacing w:line="260" w:lineRule="atLeast"/>
              <w:rPr>
                <w:rFonts w:eastAsia="Calibri"/>
                <w:b/>
                <w:sz w:val="18"/>
                <w:szCs w:val="18"/>
                <w:lang w:eastAsia="en-US"/>
              </w:rPr>
            </w:pPr>
            <w:r w:rsidRPr="006B1A5A">
              <w:rPr>
                <w:rFonts w:eastAsia="Calibri"/>
                <w:b/>
                <w:sz w:val="18"/>
                <w:szCs w:val="18"/>
                <w:lang w:eastAsia="en-US"/>
              </w:rPr>
              <w:t xml:space="preserve">Reference value for thiocyanate </w:t>
            </w:r>
          </w:p>
        </w:tc>
      </w:tr>
      <w:tr w:rsidR="001042DA" w:rsidRPr="006B1A5A" w14:paraId="7C2C4BB7" w14:textId="77777777" w:rsidTr="00AF2AEA">
        <w:tc>
          <w:tcPr>
            <w:tcW w:w="9204" w:type="dxa"/>
            <w:gridSpan w:val="6"/>
            <w:shd w:val="clear" w:color="auto" w:fill="auto"/>
            <w:vAlign w:val="center"/>
          </w:tcPr>
          <w:p w14:paraId="7B3304BF" w14:textId="77777777" w:rsidR="001042DA" w:rsidRPr="006B1A5A" w:rsidRDefault="001042DA" w:rsidP="00AF2AEA">
            <w:pPr>
              <w:autoSpaceDE w:val="0"/>
              <w:autoSpaceDN w:val="0"/>
              <w:adjustRightInd w:val="0"/>
              <w:rPr>
                <w:rFonts w:cs="Verdana"/>
                <w:sz w:val="18"/>
                <w:szCs w:val="18"/>
                <w:lang w:eastAsia="en-US"/>
              </w:rPr>
            </w:pPr>
            <w:r w:rsidRPr="006B1A5A">
              <w:rPr>
                <w:rFonts w:cs="Verdana"/>
                <w:sz w:val="18"/>
                <w:szCs w:val="18"/>
                <w:lang w:eastAsia="en-US"/>
              </w:rPr>
              <w:t>Minimal daily exposure via diet: 10 mg/d, corresponding to 0.17mg/kg/d considering an oral</w:t>
            </w:r>
          </w:p>
          <w:p w14:paraId="6F4A0F3E" w14:textId="77777777" w:rsidR="001042DA" w:rsidRPr="006B1A5A" w:rsidRDefault="001042DA" w:rsidP="00AF2AEA">
            <w:pPr>
              <w:pStyle w:val="Merknadstekst"/>
              <w:rPr>
                <w:rFonts w:cs="Verdana"/>
                <w:sz w:val="18"/>
                <w:szCs w:val="18"/>
                <w:lang w:eastAsia="en-US"/>
              </w:rPr>
            </w:pPr>
            <w:r w:rsidRPr="006B1A5A">
              <w:rPr>
                <w:rFonts w:cs="Verdana"/>
                <w:sz w:val="18"/>
                <w:szCs w:val="18"/>
                <w:lang w:eastAsia="en-US"/>
              </w:rPr>
              <w:t>absorption of 100% and a body weight of 60 kg</w:t>
            </w:r>
          </w:p>
          <w:p w14:paraId="0737A11B" w14:textId="77777777" w:rsidR="001042DA" w:rsidRPr="006B1A5A" w:rsidRDefault="001042DA" w:rsidP="00AF2AEA">
            <w:pPr>
              <w:spacing w:line="260" w:lineRule="atLeast"/>
              <w:jc w:val="center"/>
              <w:rPr>
                <w:rFonts w:eastAsia="Calibri"/>
                <w:sz w:val="18"/>
                <w:szCs w:val="18"/>
                <w:lang w:eastAsia="en-US"/>
              </w:rPr>
            </w:pPr>
          </w:p>
        </w:tc>
      </w:tr>
    </w:tbl>
    <w:p w14:paraId="4A61B38D" w14:textId="0482949E" w:rsidR="001042DA" w:rsidRDefault="001042DA" w:rsidP="001042DA">
      <w:pPr>
        <w:rPr>
          <w:rFonts w:eastAsia="Calibri"/>
          <w:b/>
          <w:i/>
          <w:sz w:val="22"/>
          <w:szCs w:val="22"/>
          <w:lang w:eastAsia="en-US"/>
        </w:rPr>
      </w:pPr>
    </w:p>
    <w:p w14:paraId="208C203B" w14:textId="77777777" w:rsidR="00375520" w:rsidRPr="006B1A5A" w:rsidRDefault="00375520" w:rsidP="001042DA">
      <w:pPr>
        <w:rPr>
          <w:rFonts w:eastAsia="Calibri"/>
          <w:b/>
          <w:i/>
          <w:sz w:val="22"/>
          <w:szCs w:val="22"/>
          <w:lang w:eastAsia="en-US"/>
        </w:rPr>
      </w:pPr>
    </w:p>
    <w:p w14:paraId="2131FCAB" w14:textId="29881034" w:rsidR="001042DA" w:rsidRPr="006B1A5A" w:rsidRDefault="00375520" w:rsidP="001042DA">
      <w:pPr>
        <w:rPr>
          <w:rFonts w:eastAsia="Calibri"/>
          <w:b/>
          <w:i/>
          <w:sz w:val="22"/>
          <w:szCs w:val="22"/>
          <w:lang w:eastAsia="en-US"/>
        </w:rPr>
      </w:pPr>
      <w:r>
        <w:rPr>
          <w:rFonts w:eastAsia="Calibri"/>
          <w:b/>
          <w:i/>
          <w:sz w:val="22"/>
          <w:szCs w:val="22"/>
          <w:lang w:eastAsia="en-US"/>
        </w:rPr>
        <w:t>Industrial</w:t>
      </w:r>
      <w:r w:rsidRPr="006B1A5A">
        <w:rPr>
          <w:rFonts w:eastAsia="Calibri"/>
          <w:b/>
          <w:i/>
          <w:sz w:val="22"/>
          <w:szCs w:val="22"/>
          <w:lang w:eastAsia="en-US"/>
        </w:rPr>
        <w:t xml:space="preserve"> </w:t>
      </w:r>
      <w:r w:rsidR="001042DA" w:rsidRPr="006B1A5A">
        <w:rPr>
          <w:rFonts w:eastAsia="Calibri"/>
          <w:b/>
          <w:i/>
          <w:sz w:val="22"/>
          <w:szCs w:val="22"/>
          <w:lang w:eastAsia="en-US"/>
        </w:rPr>
        <w:t xml:space="preserve">use </w:t>
      </w:r>
    </w:p>
    <w:p w14:paraId="15B6FACC" w14:textId="77777777" w:rsidR="001042DA" w:rsidRPr="006B1A5A" w:rsidRDefault="001042DA" w:rsidP="001042DA">
      <w:pPr>
        <w:rPr>
          <w:rFonts w:eastAsia="Calibri"/>
          <w:b/>
          <w:i/>
          <w:sz w:val="22"/>
          <w:szCs w:val="22"/>
          <w:lang w:eastAsia="en-US"/>
        </w:rPr>
      </w:pPr>
    </w:p>
    <w:p w14:paraId="27C0334F" w14:textId="48E429FF" w:rsidR="001042DA" w:rsidRPr="006B1A5A" w:rsidRDefault="001042DA" w:rsidP="001042DA">
      <w:pPr>
        <w:keepNext/>
        <w:rPr>
          <w:rFonts w:eastAsia="Calibri"/>
          <w:i/>
          <w:u w:val="single"/>
          <w:lang w:eastAsia="en-US"/>
        </w:rPr>
      </w:pPr>
      <w:r w:rsidRPr="006B1A5A">
        <w:rPr>
          <w:rFonts w:eastAsia="Calibri"/>
          <w:i/>
          <w:u w:val="single"/>
          <w:lang w:eastAsia="en-US"/>
        </w:rPr>
        <w:t xml:space="preserve">Scenario [1] </w:t>
      </w:r>
      <w:r w:rsidR="00375520">
        <w:rPr>
          <w:rFonts w:eastAsia="Calibri"/>
          <w:i/>
          <w:u w:val="single"/>
          <w:lang w:eastAsia="en-US"/>
        </w:rPr>
        <w:t>Industrial</w:t>
      </w:r>
      <w:r w:rsidR="00375520" w:rsidRPr="006B1A5A">
        <w:rPr>
          <w:rFonts w:eastAsia="Calibri"/>
          <w:i/>
          <w:u w:val="single"/>
          <w:lang w:eastAsia="en-US"/>
        </w:rPr>
        <w:t xml:space="preserve"> </w:t>
      </w:r>
      <w:r w:rsidRPr="006B1A5A">
        <w:rPr>
          <w:rFonts w:eastAsia="Calibri"/>
          <w:i/>
          <w:u w:val="single"/>
          <w:lang w:eastAsia="en-US"/>
        </w:rPr>
        <w:t>use: Net dipping</w:t>
      </w:r>
    </w:p>
    <w:p w14:paraId="137D3751" w14:textId="77777777" w:rsidR="001042DA" w:rsidRPr="006B1A5A" w:rsidRDefault="001042DA" w:rsidP="001042DA">
      <w:pPr>
        <w:rPr>
          <w:rFonts w:eastAsia="Calibri"/>
          <w:b/>
          <w:i/>
          <w:sz w:val="22"/>
          <w:szCs w:val="22"/>
          <w:lang w:eastAsia="en-US"/>
        </w:rPr>
      </w:pPr>
    </w:p>
    <w:p w14:paraId="45BFDB31" w14:textId="77777777" w:rsidR="001042DA" w:rsidRPr="006B1A5A" w:rsidRDefault="001042DA" w:rsidP="001042DA">
      <w:pPr>
        <w:keepNext/>
        <w:jc w:val="both"/>
      </w:pPr>
      <w:r w:rsidRPr="006B1A5A">
        <w:t xml:space="preserve">The predicted levels of systemic exposure of operators to copper and thiocyanate when undertaking net dipping activities are summarised and compared with the relevant AEL-values below. </w:t>
      </w:r>
    </w:p>
    <w:p w14:paraId="6C48CC8D" w14:textId="77777777" w:rsidR="001042DA" w:rsidRPr="006B1A5A" w:rsidRDefault="001042DA" w:rsidP="001042DA">
      <w:pPr>
        <w:keepNext/>
        <w:jc w:val="both"/>
      </w:pPr>
    </w:p>
    <w:tbl>
      <w:tblPr>
        <w:tblStyle w:val="Tabellrutenett"/>
        <w:tblW w:w="0" w:type="auto"/>
        <w:tblLook w:val="04A0" w:firstRow="1" w:lastRow="0" w:firstColumn="1" w:lastColumn="0" w:noHBand="0" w:noVBand="1"/>
      </w:tblPr>
      <w:tblGrid>
        <w:gridCol w:w="1923"/>
        <w:gridCol w:w="2618"/>
        <w:gridCol w:w="1598"/>
        <w:gridCol w:w="1260"/>
        <w:gridCol w:w="1815"/>
      </w:tblGrid>
      <w:tr w:rsidR="001042DA" w:rsidRPr="006B1A5A" w14:paraId="4DADCEEA" w14:textId="77777777" w:rsidTr="00AF2AEA">
        <w:trPr>
          <w:gridAfter w:val="3"/>
          <w:tblHeader/>
        </w:trPr>
        <w:tc>
          <w:tcPr>
            <w:tcW w:w="0" w:type="auto"/>
            <w:tcBorders>
              <w:top w:val="nil"/>
              <w:left w:val="nil"/>
              <w:bottom w:val="single" w:sz="4" w:space="0" w:color="auto"/>
              <w:right w:val="nil"/>
            </w:tcBorders>
          </w:tcPr>
          <w:p w14:paraId="3FDC30B0" w14:textId="77777777" w:rsidR="001042DA" w:rsidRPr="006B1A5A" w:rsidRDefault="001042DA" w:rsidP="00AF2AEA">
            <w:pPr>
              <w:keepNext/>
              <w:spacing w:line="260" w:lineRule="atLeast"/>
              <w:jc w:val="both"/>
              <w:rPr>
                <w:b/>
              </w:rPr>
            </w:pPr>
          </w:p>
        </w:tc>
        <w:tc>
          <w:tcPr>
            <w:tcW w:w="0" w:type="auto"/>
            <w:tcBorders>
              <w:top w:val="nil"/>
              <w:left w:val="nil"/>
              <w:bottom w:val="single" w:sz="4" w:space="0" w:color="auto"/>
              <w:right w:val="nil"/>
            </w:tcBorders>
          </w:tcPr>
          <w:p w14:paraId="7D44A654" w14:textId="77777777" w:rsidR="001042DA" w:rsidRPr="006B1A5A" w:rsidRDefault="001042DA" w:rsidP="00AF2AEA">
            <w:pPr>
              <w:keepNext/>
              <w:spacing w:line="260" w:lineRule="atLeast"/>
              <w:jc w:val="both"/>
              <w:rPr>
                <w:b/>
              </w:rPr>
            </w:pPr>
          </w:p>
        </w:tc>
      </w:tr>
      <w:tr w:rsidR="001042DA" w:rsidRPr="006B1A5A" w14:paraId="18769B2A" w14:textId="77777777" w:rsidTr="00AF2AEA">
        <w:trPr>
          <w:tblHeader/>
        </w:trPr>
        <w:tc>
          <w:tcPr>
            <w:tcW w:w="0" w:type="auto"/>
            <w:gridSpan w:val="5"/>
            <w:tcBorders>
              <w:top w:val="single" w:sz="4" w:space="0" w:color="auto"/>
              <w:bottom w:val="single" w:sz="4" w:space="0" w:color="auto"/>
            </w:tcBorders>
            <w:shd w:val="clear" w:color="auto" w:fill="FFFFCC"/>
            <w:vAlign w:val="center"/>
          </w:tcPr>
          <w:p w14:paraId="1FE7BE27" w14:textId="66F894E6" w:rsidR="001042DA" w:rsidRPr="006B1A5A" w:rsidRDefault="001042DA" w:rsidP="00AF2AEA">
            <w:pPr>
              <w:keepNext/>
              <w:spacing w:line="260" w:lineRule="atLeast"/>
              <w:jc w:val="center"/>
              <w:rPr>
                <w:b/>
              </w:rPr>
            </w:pPr>
            <w:r w:rsidRPr="006B1A5A">
              <w:rPr>
                <w:b/>
              </w:rPr>
              <w:t xml:space="preserve"> Risk characterisation of </w:t>
            </w:r>
            <w:r w:rsidR="00375520">
              <w:rPr>
                <w:b/>
              </w:rPr>
              <w:t>industrial</w:t>
            </w:r>
            <w:r w:rsidR="00375520" w:rsidRPr="006B1A5A">
              <w:rPr>
                <w:b/>
              </w:rPr>
              <w:t xml:space="preserve"> </w:t>
            </w:r>
            <w:r w:rsidRPr="006B1A5A">
              <w:rPr>
                <w:b/>
              </w:rPr>
              <w:t>use</w:t>
            </w:r>
          </w:p>
        </w:tc>
      </w:tr>
      <w:tr w:rsidR="001042DA" w:rsidRPr="006B1A5A" w14:paraId="1BC1A4FA" w14:textId="77777777" w:rsidTr="00AF2AEA">
        <w:tc>
          <w:tcPr>
            <w:tcW w:w="0" w:type="auto"/>
            <w:tcBorders>
              <w:top w:val="single" w:sz="4" w:space="0" w:color="auto"/>
            </w:tcBorders>
            <w:shd w:val="clear" w:color="auto" w:fill="D9D9D9" w:themeFill="background1" w:themeFillShade="D9"/>
          </w:tcPr>
          <w:p w14:paraId="192B4831" w14:textId="77777777" w:rsidR="001042DA" w:rsidRPr="006B1A5A" w:rsidRDefault="001042DA" w:rsidP="00AF2AEA">
            <w:pPr>
              <w:spacing w:line="260" w:lineRule="atLeast"/>
              <w:jc w:val="center"/>
              <w:rPr>
                <w:b/>
              </w:rPr>
            </w:pPr>
            <w:r w:rsidRPr="006B1A5A">
              <w:rPr>
                <w:b/>
              </w:rPr>
              <w:t>Exposure scenario</w:t>
            </w:r>
          </w:p>
        </w:tc>
        <w:tc>
          <w:tcPr>
            <w:tcW w:w="0" w:type="auto"/>
            <w:tcBorders>
              <w:top w:val="single" w:sz="4" w:space="0" w:color="auto"/>
            </w:tcBorders>
            <w:shd w:val="clear" w:color="auto" w:fill="D9D9D9" w:themeFill="background1" w:themeFillShade="D9"/>
          </w:tcPr>
          <w:p w14:paraId="2C7D408A" w14:textId="77777777" w:rsidR="001042DA" w:rsidRPr="006B1A5A" w:rsidRDefault="001042DA" w:rsidP="00AF2AEA">
            <w:pPr>
              <w:spacing w:line="260" w:lineRule="atLeast"/>
              <w:jc w:val="center"/>
            </w:pPr>
            <w:r w:rsidRPr="006B1A5A">
              <w:t>Tier/PPE</w:t>
            </w:r>
          </w:p>
        </w:tc>
        <w:tc>
          <w:tcPr>
            <w:tcW w:w="0" w:type="auto"/>
            <w:shd w:val="clear" w:color="auto" w:fill="D9D9D9" w:themeFill="background1" w:themeFillShade="D9"/>
            <w:vAlign w:val="center"/>
          </w:tcPr>
          <w:p w14:paraId="5C21C593" w14:textId="77777777" w:rsidR="001042DA" w:rsidRPr="006B1A5A" w:rsidRDefault="001042DA" w:rsidP="00AF2AEA">
            <w:pPr>
              <w:spacing w:line="260" w:lineRule="atLeast"/>
              <w:jc w:val="center"/>
            </w:pPr>
            <w:r w:rsidRPr="006B1A5A">
              <w:t>Estimated total systemic uptake (mg/kg bw)</w:t>
            </w:r>
          </w:p>
        </w:tc>
        <w:tc>
          <w:tcPr>
            <w:tcW w:w="0" w:type="auto"/>
            <w:shd w:val="clear" w:color="auto" w:fill="D9D9D9" w:themeFill="background1" w:themeFillShade="D9"/>
          </w:tcPr>
          <w:p w14:paraId="16A57145" w14:textId="152E5781" w:rsidR="001042DA" w:rsidRPr="006B1A5A" w:rsidRDefault="00DC01E1" w:rsidP="00AF2AEA">
            <w:pPr>
              <w:spacing w:line="260" w:lineRule="atLeast"/>
              <w:jc w:val="center"/>
              <w:rPr>
                <w:b/>
              </w:rPr>
            </w:pPr>
            <w:r w:rsidRPr="006B1A5A">
              <w:t>AEL</w:t>
            </w:r>
            <w:r>
              <w:rPr>
                <w:vertAlign w:val="subscript"/>
              </w:rPr>
              <w:t>Long</w:t>
            </w:r>
            <w:r w:rsidRPr="006B1A5A">
              <w:rPr>
                <w:vertAlign w:val="subscript"/>
              </w:rPr>
              <w:t xml:space="preserve"> </w:t>
            </w:r>
            <w:r w:rsidR="001042DA" w:rsidRPr="006B1A5A">
              <w:rPr>
                <w:vertAlign w:val="subscript"/>
              </w:rPr>
              <w:t>term</w:t>
            </w:r>
            <w:r w:rsidR="001042DA" w:rsidRPr="006B1A5A">
              <w:t xml:space="preserve"> (mg/kg bw/day)</w:t>
            </w:r>
          </w:p>
        </w:tc>
        <w:tc>
          <w:tcPr>
            <w:tcW w:w="0" w:type="auto"/>
            <w:shd w:val="clear" w:color="auto" w:fill="D9D9D9" w:themeFill="background1" w:themeFillShade="D9"/>
          </w:tcPr>
          <w:p w14:paraId="63F727E0" w14:textId="77777777" w:rsidR="001042DA" w:rsidRPr="006B1A5A" w:rsidRDefault="001042DA" w:rsidP="00AF2AEA">
            <w:pPr>
              <w:spacing w:line="260" w:lineRule="atLeast"/>
              <w:jc w:val="center"/>
              <w:rPr>
                <w:b/>
              </w:rPr>
            </w:pPr>
            <w:r w:rsidRPr="006B1A5A">
              <w:rPr>
                <w:b/>
              </w:rPr>
              <w:t>Exposure/AEL</w:t>
            </w:r>
          </w:p>
        </w:tc>
      </w:tr>
      <w:tr w:rsidR="001042DA" w:rsidRPr="006B1A5A" w14:paraId="0EF29585" w14:textId="77777777" w:rsidTr="00AF2AEA">
        <w:tc>
          <w:tcPr>
            <w:tcW w:w="0" w:type="auto"/>
            <w:gridSpan w:val="5"/>
            <w:tcBorders>
              <w:top w:val="single" w:sz="4" w:space="0" w:color="auto"/>
            </w:tcBorders>
            <w:vAlign w:val="center"/>
          </w:tcPr>
          <w:p w14:paraId="6EE2D42C" w14:textId="77777777" w:rsidR="001042DA" w:rsidRPr="006B1A5A" w:rsidRDefault="001042DA" w:rsidP="00AF2AEA">
            <w:pPr>
              <w:spacing w:line="260" w:lineRule="atLeast"/>
              <w:jc w:val="center"/>
              <w:rPr>
                <w:b/>
              </w:rPr>
            </w:pPr>
          </w:p>
        </w:tc>
      </w:tr>
      <w:tr w:rsidR="001042DA" w:rsidRPr="006B1A5A" w14:paraId="50FB8E08" w14:textId="77777777" w:rsidTr="00AF2AEA">
        <w:tc>
          <w:tcPr>
            <w:tcW w:w="0" w:type="auto"/>
            <w:gridSpan w:val="5"/>
            <w:tcBorders>
              <w:top w:val="single" w:sz="4" w:space="0" w:color="auto"/>
            </w:tcBorders>
            <w:vAlign w:val="center"/>
          </w:tcPr>
          <w:p w14:paraId="0B5EDAC6" w14:textId="77777777" w:rsidR="001042DA" w:rsidRPr="006B1A5A" w:rsidRDefault="001042DA" w:rsidP="00AF2AEA">
            <w:pPr>
              <w:spacing w:line="260" w:lineRule="atLeast"/>
              <w:jc w:val="center"/>
              <w:rPr>
                <w:b/>
              </w:rPr>
            </w:pPr>
            <w:r w:rsidRPr="006B1A5A">
              <w:rPr>
                <w:b/>
              </w:rPr>
              <w:t>AquaNet HG 360</w:t>
            </w:r>
          </w:p>
        </w:tc>
      </w:tr>
      <w:tr w:rsidR="001042DA" w:rsidRPr="006B1A5A" w14:paraId="47EAE273" w14:textId="77777777" w:rsidTr="00AF2AEA">
        <w:tc>
          <w:tcPr>
            <w:tcW w:w="0" w:type="auto"/>
            <w:gridSpan w:val="5"/>
            <w:tcBorders>
              <w:top w:val="single" w:sz="4" w:space="0" w:color="auto"/>
            </w:tcBorders>
            <w:vAlign w:val="center"/>
          </w:tcPr>
          <w:p w14:paraId="5D84BA45" w14:textId="77777777" w:rsidR="001042DA" w:rsidRPr="006B1A5A" w:rsidRDefault="001042DA" w:rsidP="00AF2AEA">
            <w:pPr>
              <w:spacing w:line="260" w:lineRule="atLeast"/>
              <w:jc w:val="center"/>
              <w:rPr>
                <w:b/>
              </w:rPr>
            </w:pPr>
          </w:p>
        </w:tc>
      </w:tr>
      <w:tr w:rsidR="001042DA" w:rsidRPr="006B1A5A" w14:paraId="6BF100FF" w14:textId="77777777" w:rsidTr="00AF2AEA">
        <w:tc>
          <w:tcPr>
            <w:tcW w:w="0" w:type="auto"/>
            <w:gridSpan w:val="5"/>
            <w:tcBorders>
              <w:top w:val="single" w:sz="4" w:space="0" w:color="auto"/>
            </w:tcBorders>
            <w:vAlign w:val="center"/>
          </w:tcPr>
          <w:p w14:paraId="18FE3982" w14:textId="697ED562" w:rsidR="001042DA" w:rsidRPr="00787F7E" w:rsidRDefault="00787F7E" w:rsidP="00AF2AEA">
            <w:pPr>
              <w:spacing w:line="260" w:lineRule="atLeast"/>
              <w:jc w:val="center"/>
            </w:pPr>
            <w:r>
              <w:rPr>
                <w:b/>
              </w:rPr>
              <w:t>Copper</w:t>
            </w:r>
          </w:p>
        </w:tc>
      </w:tr>
      <w:tr w:rsidR="001042DA" w:rsidRPr="006B1A5A" w14:paraId="264EC703" w14:textId="77777777" w:rsidTr="00AF2AEA">
        <w:tc>
          <w:tcPr>
            <w:tcW w:w="0" w:type="auto"/>
            <w:tcBorders>
              <w:top w:val="single" w:sz="4" w:space="0" w:color="auto"/>
            </w:tcBorders>
            <w:shd w:val="clear" w:color="auto" w:fill="D9D9D9" w:themeFill="background1" w:themeFillShade="D9"/>
            <w:vAlign w:val="center"/>
          </w:tcPr>
          <w:p w14:paraId="17C02F80" w14:textId="77777777" w:rsidR="001042DA" w:rsidRPr="006B1A5A" w:rsidRDefault="001042DA" w:rsidP="00AF2AEA">
            <w:pPr>
              <w:spacing w:line="260" w:lineRule="atLeast"/>
            </w:pPr>
            <w:r w:rsidRPr="006B1A5A">
              <w:t>Professional dipping of aquaculture nets; Dipping model 4</w:t>
            </w:r>
          </w:p>
        </w:tc>
        <w:tc>
          <w:tcPr>
            <w:tcW w:w="0" w:type="auto"/>
            <w:tcBorders>
              <w:top w:val="single" w:sz="4" w:space="0" w:color="auto"/>
            </w:tcBorders>
          </w:tcPr>
          <w:p w14:paraId="42EAF487" w14:textId="77777777" w:rsidR="001042DA" w:rsidRPr="006B1A5A" w:rsidRDefault="001042DA" w:rsidP="00AF2AEA">
            <w:pPr>
              <w:spacing w:line="260" w:lineRule="atLeast"/>
            </w:pPr>
            <w:r w:rsidRPr="006B1A5A">
              <w:t>Tier 1; No PPE</w:t>
            </w:r>
          </w:p>
          <w:p w14:paraId="4AB3AD45" w14:textId="77777777" w:rsidR="001042DA" w:rsidRPr="006B1A5A" w:rsidRDefault="001042DA" w:rsidP="00AF2AEA">
            <w:pPr>
              <w:spacing w:line="260" w:lineRule="atLeast"/>
            </w:pPr>
            <w:r w:rsidRPr="006B1A5A">
              <w:t>Gloves (hand exposure is actual exposure inside gloves)</w:t>
            </w:r>
          </w:p>
        </w:tc>
        <w:tc>
          <w:tcPr>
            <w:tcW w:w="0" w:type="auto"/>
            <w:vAlign w:val="center"/>
          </w:tcPr>
          <w:p w14:paraId="6A0AFBD1" w14:textId="6F9249F0" w:rsidR="001042DA" w:rsidRPr="00787F7E" w:rsidRDefault="000D225E" w:rsidP="00AF2AEA">
            <w:pPr>
              <w:spacing w:line="260" w:lineRule="atLeast"/>
              <w:jc w:val="center"/>
            </w:pPr>
            <w:r w:rsidRPr="00787F7E">
              <w:t>0.144</w:t>
            </w:r>
          </w:p>
        </w:tc>
        <w:tc>
          <w:tcPr>
            <w:tcW w:w="0" w:type="auto"/>
            <w:vAlign w:val="center"/>
          </w:tcPr>
          <w:p w14:paraId="426B7344" w14:textId="78BDA470" w:rsidR="001042DA" w:rsidRPr="006B1A5A" w:rsidRDefault="001042DA" w:rsidP="00AF2AEA">
            <w:pPr>
              <w:spacing w:line="260" w:lineRule="atLeast"/>
              <w:jc w:val="center"/>
            </w:pPr>
            <w:r w:rsidRPr="006B1A5A">
              <w:t>0.</w:t>
            </w:r>
            <w:r w:rsidR="00DC01E1" w:rsidRPr="006B1A5A">
              <w:t>0</w:t>
            </w:r>
            <w:r w:rsidR="00DC01E1">
              <w:t>41</w:t>
            </w:r>
          </w:p>
        </w:tc>
        <w:tc>
          <w:tcPr>
            <w:tcW w:w="0" w:type="auto"/>
            <w:vAlign w:val="center"/>
          </w:tcPr>
          <w:p w14:paraId="2F31D896" w14:textId="7A219396" w:rsidR="001042DA" w:rsidRPr="006B1A5A" w:rsidRDefault="000D225E" w:rsidP="00AF2AEA">
            <w:pPr>
              <w:spacing w:line="260" w:lineRule="atLeast"/>
              <w:jc w:val="center"/>
              <w:rPr>
                <w:b/>
              </w:rPr>
            </w:pPr>
            <w:r>
              <w:rPr>
                <w:b/>
              </w:rPr>
              <w:t>3.51</w:t>
            </w:r>
          </w:p>
        </w:tc>
      </w:tr>
      <w:tr w:rsidR="001042DA" w:rsidRPr="006B1A5A" w14:paraId="30F1C1A8" w14:textId="77777777" w:rsidTr="00AF2AEA">
        <w:tc>
          <w:tcPr>
            <w:tcW w:w="0" w:type="auto"/>
            <w:tcBorders>
              <w:top w:val="single" w:sz="4" w:space="0" w:color="auto"/>
            </w:tcBorders>
            <w:shd w:val="clear" w:color="auto" w:fill="D9D9D9" w:themeFill="background1" w:themeFillShade="D9"/>
            <w:vAlign w:val="center"/>
          </w:tcPr>
          <w:p w14:paraId="373593BC" w14:textId="77777777" w:rsidR="001042DA" w:rsidRPr="006B1A5A" w:rsidRDefault="001042DA" w:rsidP="00AF2AEA">
            <w:pPr>
              <w:spacing w:line="260" w:lineRule="atLeast"/>
            </w:pPr>
          </w:p>
        </w:tc>
        <w:tc>
          <w:tcPr>
            <w:tcW w:w="0" w:type="auto"/>
            <w:tcBorders>
              <w:top w:val="single" w:sz="4" w:space="0" w:color="auto"/>
            </w:tcBorders>
          </w:tcPr>
          <w:p w14:paraId="1D715E61" w14:textId="2D6D03ED" w:rsidR="001042DA" w:rsidRPr="006B1A5A" w:rsidRDefault="001042DA" w:rsidP="00AF2AEA">
            <w:pPr>
              <w:spacing w:line="260" w:lineRule="atLeast"/>
            </w:pPr>
            <w:r w:rsidRPr="006B1A5A">
              <w:t>Tier 2</w:t>
            </w:r>
            <w:r w:rsidR="00225B0C">
              <w:t>a</w:t>
            </w:r>
            <w:r w:rsidRPr="006B1A5A">
              <w:t>; Coated coverall (10% penetration) and gloves (hand exposure is actual exposure inside gloves)</w:t>
            </w:r>
          </w:p>
        </w:tc>
        <w:tc>
          <w:tcPr>
            <w:tcW w:w="0" w:type="auto"/>
            <w:vAlign w:val="center"/>
          </w:tcPr>
          <w:p w14:paraId="213E62DE" w14:textId="7FADA85D" w:rsidR="001042DA" w:rsidRPr="006B1A5A" w:rsidRDefault="000D225E" w:rsidP="00AF2AEA">
            <w:pPr>
              <w:spacing w:line="260" w:lineRule="atLeast"/>
              <w:jc w:val="center"/>
            </w:pPr>
            <w:r>
              <w:t>0.024</w:t>
            </w:r>
          </w:p>
        </w:tc>
        <w:tc>
          <w:tcPr>
            <w:tcW w:w="0" w:type="auto"/>
            <w:vAlign w:val="center"/>
          </w:tcPr>
          <w:p w14:paraId="716397E4" w14:textId="123AAE36" w:rsidR="001042DA" w:rsidRPr="006B1A5A" w:rsidRDefault="001042DA" w:rsidP="00AF2AEA">
            <w:pPr>
              <w:spacing w:line="260" w:lineRule="atLeast"/>
              <w:jc w:val="center"/>
            </w:pPr>
            <w:r w:rsidRPr="006B1A5A">
              <w:t>0.</w:t>
            </w:r>
            <w:r w:rsidR="00DC01E1" w:rsidRPr="006B1A5A">
              <w:t>0</w:t>
            </w:r>
            <w:r w:rsidR="00DC01E1">
              <w:t>41</w:t>
            </w:r>
          </w:p>
        </w:tc>
        <w:tc>
          <w:tcPr>
            <w:tcW w:w="0" w:type="auto"/>
            <w:vAlign w:val="center"/>
          </w:tcPr>
          <w:p w14:paraId="14C6FD57" w14:textId="4E5FC6F4" w:rsidR="001042DA" w:rsidRPr="006B1A5A" w:rsidRDefault="000D225E" w:rsidP="00AF2AEA">
            <w:pPr>
              <w:spacing w:line="260" w:lineRule="atLeast"/>
              <w:jc w:val="center"/>
            </w:pPr>
            <w:r>
              <w:t>0.59</w:t>
            </w:r>
          </w:p>
        </w:tc>
      </w:tr>
      <w:tr w:rsidR="001042DA" w:rsidRPr="006B1A5A" w14:paraId="0310AC21" w14:textId="77777777" w:rsidTr="00AF2AEA">
        <w:tc>
          <w:tcPr>
            <w:tcW w:w="0" w:type="auto"/>
            <w:gridSpan w:val="5"/>
          </w:tcPr>
          <w:p w14:paraId="459F15B5" w14:textId="6F89A8DB" w:rsidR="001042DA" w:rsidRPr="006B1A5A" w:rsidRDefault="00787F7E" w:rsidP="00AF2AEA">
            <w:pPr>
              <w:spacing w:line="260" w:lineRule="atLeast"/>
              <w:jc w:val="center"/>
              <w:rPr>
                <w:vertAlign w:val="superscript"/>
              </w:rPr>
            </w:pPr>
            <w:r>
              <w:rPr>
                <w:b/>
              </w:rPr>
              <w:t>Thiocyanate</w:t>
            </w:r>
          </w:p>
        </w:tc>
      </w:tr>
      <w:tr w:rsidR="001042DA" w:rsidRPr="006B1A5A" w14:paraId="6D381A4F" w14:textId="77777777" w:rsidTr="00AF2AEA">
        <w:tc>
          <w:tcPr>
            <w:tcW w:w="0" w:type="auto"/>
            <w:shd w:val="clear" w:color="auto" w:fill="D9D9D9" w:themeFill="background1" w:themeFillShade="D9"/>
          </w:tcPr>
          <w:p w14:paraId="31A82CA1" w14:textId="77777777" w:rsidR="001042DA" w:rsidRPr="006B1A5A" w:rsidRDefault="001042DA" w:rsidP="00AF2AEA">
            <w:pPr>
              <w:spacing w:line="260" w:lineRule="atLeast"/>
            </w:pPr>
            <w:r w:rsidRPr="006B1A5A">
              <w:t>Professional dipping of aquaculture nets; Dipping model 4</w:t>
            </w:r>
          </w:p>
        </w:tc>
        <w:tc>
          <w:tcPr>
            <w:tcW w:w="0" w:type="auto"/>
          </w:tcPr>
          <w:p w14:paraId="1BC4F0A3" w14:textId="77777777" w:rsidR="001042DA" w:rsidRPr="006B1A5A" w:rsidRDefault="001042DA" w:rsidP="00AF2AEA">
            <w:pPr>
              <w:spacing w:line="260" w:lineRule="atLeast"/>
            </w:pPr>
            <w:r w:rsidRPr="006B1A5A">
              <w:t>Tier 1; No PPE</w:t>
            </w:r>
          </w:p>
          <w:p w14:paraId="6D506704" w14:textId="77777777" w:rsidR="001042DA" w:rsidRPr="006B1A5A" w:rsidRDefault="001042DA" w:rsidP="00AF2AEA">
            <w:pPr>
              <w:spacing w:line="260" w:lineRule="atLeast"/>
            </w:pPr>
            <w:r w:rsidRPr="006B1A5A">
              <w:t>Gloves (hand exposure is actual exposure inside gloves)</w:t>
            </w:r>
          </w:p>
        </w:tc>
        <w:tc>
          <w:tcPr>
            <w:tcW w:w="0" w:type="auto"/>
            <w:vAlign w:val="center"/>
          </w:tcPr>
          <w:p w14:paraId="408D016F" w14:textId="26A04870" w:rsidR="001042DA" w:rsidRPr="006B1A5A" w:rsidRDefault="000D225E" w:rsidP="00AF2AEA">
            <w:pPr>
              <w:spacing w:line="260" w:lineRule="atLeast"/>
              <w:jc w:val="center"/>
            </w:pPr>
            <w:r>
              <w:t>0.265</w:t>
            </w:r>
          </w:p>
        </w:tc>
        <w:tc>
          <w:tcPr>
            <w:tcW w:w="0" w:type="auto"/>
            <w:vAlign w:val="center"/>
          </w:tcPr>
          <w:p w14:paraId="7C7CD843" w14:textId="77777777" w:rsidR="001042DA" w:rsidRPr="006B1A5A" w:rsidRDefault="001042DA" w:rsidP="00AF2AEA">
            <w:pPr>
              <w:spacing w:line="260" w:lineRule="atLeast"/>
              <w:jc w:val="center"/>
            </w:pPr>
            <w:r w:rsidRPr="006B1A5A">
              <w:t>0.17</w:t>
            </w:r>
          </w:p>
        </w:tc>
        <w:tc>
          <w:tcPr>
            <w:tcW w:w="0" w:type="auto"/>
            <w:vAlign w:val="center"/>
          </w:tcPr>
          <w:p w14:paraId="5C81737B" w14:textId="46F13C1A" w:rsidR="001042DA" w:rsidRPr="000D225E" w:rsidRDefault="000D225E" w:rsidP="00AF2AEA">
            <w:pPr>
              <w:spacing w:line="260" w:lineRule="atLeast"/>
              <w:jc w:val="center"/>
              <w:rPr>
                <w:b/>
              </w:rPr>
            </w:pPr>
            <w:r w:rsidRPr="000D225E">
              <w:rPr>
                <w:b/>
              </w:rPr>
              <w:t>1.56</w:t>
            </w:r>
          </w:p>
        </w:tc>
      </w:tr>
      <w:tr w:rsidR="001042DA" w:rsidRPr="006B1A5A" w14:paraId="04753151" w14:textId="77777777" w:rsidTr="00AF2AEA">
        <w:tc>
          <w:tcPr>
            <w:tcW w:w="0" w:type="auto"/>
            <w:shd w:val="clear" w:color="auto" w:fill="D9D9D9" w:themeFill="background1" w:themeFillShade="D9"/>
          </w:tcPr>
          <w:p w14:paraId="1C5646BB" w14:textId="77777777" w:rsidR="001042DA" w:rsidRPr="006B1A5A" w:rsidRDefault="001042DA" w:rsidP="00AF2AEA">
            <w:pPr>
              <w:spacing w:line="260" w:lineRule="atLeast"/>
            </w:pPr>
          </w:p>
        </w:tc>
        <w:tc>
          <w:tcPr>
            <w:tcW w:w="0" w:type="auto"/>
          </w:tcPr>
          <w:p w14:paraId="34E43B7E" w14:textId="4A3C6401" w:rsidR="001042DA" w:rsidRPr="006B1A5A" w:rsidRDefault="001042DA" w:rsidP="00AF2AEA">
            <w:pPr>
              <w:spacing w:line="260" w:lineRule="atLeast"/>
            </w:pPr>
            <w:r w:rsidRPr="006B1A5A">
              <w:t>Tier 2</w:t>
            </w:r>
            <w:r w:rsidR="00225B0C">
              <w:t>a</w:t>
            </w:r>
            <w:r w:rsidRPr="006B1A5A">
              <w:t>; Coated coverall (10% penetration) and gloves (hand exposure is actual exposure inside gloves)</w:t>
            </w:r>
          </w:p>
        </w:tc>
        <w:tc>
          <w:tcPr>
            <w:tcW w:w="0" w:type="auto"/>
            <w:vAlign w:val="center"/>
          </w:tcPr>
          <w:p w14:paraId="32CB1628" w14:textId="55083BA1" w:rsidR="001042DA" w:rsidRPr="006B1A5A" w:rsidRDefault="000D225E" w:rsidP="00AF2AEA">
            <w:pPr>
              <w:spacing w:line="260" w:lineRule="atLeast"/>
              <w:jc w:val="center"/>
            </w:pPr>
            <w:r>
              <w:t>0.043</w:t>
            </w:r>
          </w:p>
        </w:tc>
        <w:tc>
          <w:tcPr>
            <w:tcW w:w="0" w:type="auto"/>
            <w:vAlign w:val="center"/>
          </w:tcPr>
          <w:p w14:paraId="341DDE04" w14:textId="77777777" w:rsidR="001042DA" w:rsidRPr="006B1A5A" w:rsidRDefault="001042DA" w:rsidP="00AF2AEA">
            <w:pPr>
              <w:spacing w:line="260" w:lineRule="atLeast"/>
              <w:jc w:val="center"/>
            </w:pPr>
            <w:r w:rsidRPr="006B1A5A">
              <w:t>0.17</w:t>
            </w:r>
          </w:p>
        </w:tc>
        <w:tc>
          <w:tcPr>
            <w:tcW w:w="0" w:type="auto"/>
            <w:vAlign w:val="center"/>
          </w:tcPr>
          <w:p w14:paraId="78DAFEFD" w14:textId="01678B75" w:rsidR="001042DA" w:rsidRPr="006B1A5A" w:rsidRDefault="000D225E" w:rsidP="00AF2AEA">
            <w:pPr>
              <w:spacing w:line="260" w:lineRule="atLeast"/>
              <w:jc w:val="center"/>
            </w:pPr>
            <w:r>
              <w:t>0.26</w:t>
            </w:r>
          </w:p>
        </w:tc>
      </w:tr>
      <w:tr w:rsidR="001042DA" w:rsidRPr="006B1A5A" w14:paraId="35693AC4" w14:textId="77777777" w:rsidTr="00AF2AEA">
        <w:tc>
          <w:tcPr>
            <w:tcW w:w="0" w:type="auto"/>
            <w:gridSpan w:val="5"/>
          </w:tcPr>
          <w:p w14:paraId="1EF19837" w14:textId="77777777" w:rsidR="001042DA" w:rsidRPr="006B1A5A" w:rsidRDefault="001042DA" w:rsidP="00AF2AEA">
            <w:pPr>
              <w:spacing w:line="260" w:lineRule="atLeast"/>
              <w:jc w:val="center"/>
              <w:rPr>
                <w:b/>
              </w:rPr>
            </w:pPr>
          </w:p>
        </w:tc>
      </w:tr>
      <w:tr w:rsidR="001042DA" w:rsidRPr="006B1A5A" w14:paraId="21D6077C" w14:textId="77777777" w:rsidTr="00AF2AEA">
        <w:tc>
          <w:tcPr>
            <w:tcW w:w="0" w:type="auto"/>
            <w:gridSpan w:val="5"/>
          </w:tcPr>
          <w:p w14:paraId="2100414E" w14:textId="77777777" w:rsidR="001042DA" w:rsidRPr="006B1A5A" w:rsidRDefault="001042DA" w:rsidP="00AF2AEA">
            <w:pPr>
              <w:spacing w:line="260" w:lineRule="atLeast"/>
              <w:jc w:val="center"/>
            </w:pPr>
            <w:r w:rsidRPr="006B1A5A">
              <w:rPr>
                <w:b/>
              </w:rPr>
              <w:t xml:space="preserve">AquaNet LG 360 </w:t>
            </w:r>
          </w:p>
        </w:tc>
      </w:tr>
      <w:tr w:rsidR="001042DA" w:rsidRPr="006B1A5A" w14:paraId="671F9074" w14:textId="77777777" w:rsidTr="00AF2AEA">
        <w:tc>
          <w:tcPr>
            <w:tcW w:w="0" w:type="auto"/>
            <w:gridSpan w:val="5"/>
          </w:tcPr>
          <w:p w14:paraId="2AE9D1BA" w14:textId="77777777" w:rsidR="001042DA" w:rsidRPr="006B1A5A" w:rsidRDefault="001042DA" w:rsidP="00AF2AEA">
            <w:pPr>
              <w:spacing w:line="260" w:lineRule="atLeast"/>
              <w:jc w:val="center"/>
              <w:rPr>
                <w:b/>
              </w:rPr>
            </w:pPr>
          </w:p>
        </w:tc>
      </w:tr>
      <w:tr w:rsidR="001042DA" w:rsidRPr="006B1A5A" w14:paraId="2A49885A" w14:textId="77777777" w:rsidTr="00AE4197">
        <w:trPr>
          <w:trHeight w:val="261"/>
        </w:trPr>
        <w:tc>
          <w:tcPr>
            <w:tcW w:w="0" w:type="auto"/>
            <w:gridSpan w:val="5"/>
          </w:tcPr>
          <w:p w14:paraId="40F5A1B6" w14:textId="28A6D915" w:rsidR="001042DA" w:rsidRPr="006B1A5A" w:rsidRDefault="00787F7E" w:rsidP="00AF2AEA">
            <w:pPr>
              <w:spacing w:line="260" w:lineRule="atLeast"/>
              <w:jc w:val="center"/>
            </w:pPr>
            <w:r>
              <w:rPr>
                <w:b/>
              </w:rPr>
              <w:t>Copper</w:t>
            </w:r>
          </w:p>
        </w:tc>
      </w:tr>
      <w:tr w:rsidR="001042DA" w:rsidRPr="006B1A5A" w14:paraId="1F12E6A7" w14:textId="77777777" w:rsidTr="00AF2AEA">
        <w:tc>
          <w:tcPr>
            <w:tcW w:w="0" w:type="auto"/>
            <w:shd w:val="clear" w:color="auto" w:fill="D9D9D9" w:themeFill="background1" w:themeFillShade="D9"/>
            <w:vAlign w:val="center"/>
          </w:tcPr>
          <w:p w14:paraId="6200B83D" w14:textId="77777777" w:rsidR="001042DA" w:rsidRPr="006B1A5A" w:rsidRDefault="001042DA" w:rsidP="00AF2AEA">
            <w:pPr>
              <w:spacing w:line="260" w:lineRule="atLeast"/>
            </w:pPr>
            <w:r w:rsidRPr="006B1A5A">
              <w:t>Professional dipping of aquaculture nets; Dipping model 4</w:t>
            </w:r>
          </w:p>
        </w:tc>
        <w:tc>
          <w:tcPr>
            <w:tcW w:w="0" w:type="auto"/>
          </w:tcPr>
          <w:p w14:paraId="50A8EA4E" w14:textId="77777777" w:rsidR="001042DA" w:rsidRPr="006B1A5A" w:rsidRDefault="001042DA" w:rsidP="00AF2AEA">
            <w:pPr>
              <w:spacing w:line="260" w:lineRule="atLeast"/>
            </w:pPr>
            <w:r w:rsidRPr="006B1A5A">
              <w:t>Tier 1; No PPE</w:t>
            </w:r>
          </w:p>
          <w:p w14:paraId="7B318C9F" w14:textId="77777777" w:rsidR="001042DA" w:rsidRPr="006B1A5A" w:rsidRDefault="001042DA" w:rsidP="00AF2AEA">
            <w:pPr>
              <w:spacing w:line="260" w:lineRule="atLeast"/>
            </w:pPr>
            <w:r w:rsidRPr="006B1A5A">
              <w:t>Gloves (hand exposure is actual exposure inside gloves)</w:t>
            </w:r>
          </w:p>
        </w:tc>
        <w:tc>
          <w:tcPr>
            <w:tcW w:w="0" w:type="auto"/>
            <w:vAlign w:val="center"/>
          </w:tcPr>
          <w:p w14:paraId="36ECAB3F" w14:textId="64A5350C" w:rsidR="001042DA" w:rsidRPr="006B1A5A" w:rsidRDefault="000D225E" w:rsidP="00AF2AEA">
            <w:pPr>
              <w:spacing w:line="260" w:lineRule="atLeast"/>
              <w:jc w:val="center"/>
            </w:pPr>
            <w:r>
              <w:t>0.075</w:t>
            </w:r>
          </w:p>
        </w:tc>
        <w:tc>
          <w:tcPr>
            <w:tcW w:w="0" w:type="auto"/>
            <w:vAlign w:val="center"/>
          </w:tcPr>
          <w:p w14:paraId="3072508D" w14:textId="737A6F0F" w:rsidR="001042DA" w:rsidRPr="006B1A5A" w:rsidRDefault="001042DA" w:rsidP="00AF2AEA">
            <w:pPr>
              <w:spacing w:line="260" w:lineRule="atLeast"/>
              <w:jc w:val="center"/>
            </w:pPr>
            <w:r w:rsidRPr="006B1A5A">
              <w:t>0.</w:t>
            </w:r>
            <w:r w:rsidR="00DC01E1" w:rsidRPr="006B1A5A">
              <w:t>0</w:t>
            </w:r>
            <w:r w:rsidR="00DC01E1">
              <w:t>41</w:t>
            </w:r>
          </w:p>
        </w:tc>
        <w:tc>
          <w:tcPr>
            <w:tcW w:w="0" w:type="auto"/>
            <w:vAlign w:val="center"/>
          </w:tcPr>
          <w:p w14:paraId="2C8901B2" w14:textId="52B45505" w:rsidR="001042DA" w:rsidRPr="00FB65A4" w:rsidRDefault="000D225E" w:rsidP="00AF2AEA">
            <w:pPr>
              <w:spacing w:line="260" w:lineRule="atLeast"/>
              <w:jc w:val="center"/>
              <w:rPr>
                <w:b/>
              </w:rPr>
            </w:pPr>
            <w:r w:rsidRPr="00FB65A4">
              <w:rPr>
                <w:b/>
              </w:rPr>
              <w:t>1.82</w:t>
            </w:r>
          </w:p>
        </w:tc>
      </w:tr>
      <w:tr w:rsidR="001042DA" w:rsidRPr="006B1A5A" w14:paraId="3CF09655" w14:textId="77777777" w:rsidTr="00AF2AEA">
        <w:tc>
          <w:tcPr>
            <w:tcW w:w="0" w:type="auto"/>
            <w:shd w:val="clear" w:color="auto" w:fill="D9D9D9" w:themeFill="background1" w:themeFillShade="D9"/>
            <w:vAlign w:val="center"/>
          </w:tcPr>
          <w:p w14:paraId="3327581B" w14:textId="77777777" w:rsidR="001042DA" w:rsidRPr="006B1A5A" w:rsidRDefault="001042DA" w:rsidP="00AF2AEA">
            <w:pPr>
              <w:spacing w:line="260" w:lineRule="atLeast"/>
            </w:pPr>
          </w:p>
        </w:tc>
        <w:tc>
          <w:tcPr>
            <w:tcW w:w="0" w:type="auto"/>
          </w:tcPr>
          <w:p w14:paraId="076BC992" w14:textId="09D54A17" w:rsidR="001042DA" w:rsidRPr="006B1A5A" w:rsidRDefault="001042DA" w:rsidP="00AF2AEA">
            <w:pPr>
              <w:spacing w:line="260" w:lineRule="atLeast"/>
            </w:pPr>
            <w:r w:rsidRPr="006B1A5A">
              <w:t>Tier 2</w:t>
            </w:r>
            <w:r w:rsidR="00225B0C">
              <w:t>a</w:t>
            </w:r>
            <w:r w:rsidRPr="006B1A5A">
              <w:t>; Coated coverall (10% penetration) and gloves (hand exposure is actual exposure inside gloves)</w:t>
            </w:r>
          </w:p>
        </w:tc>
        <w:tc>
          <w:tcPr>
            <w:tcW w:w="0" w:type="auto"/>
            <w:vAlign w:val="center"/>
          </w:tcPr>
          <w:p w14:paraId="4D209DA3" w14:textId="2828B2BA" w:rsidR="001042DA" w:rsidRPr="006B1A5A" w:rsidRDefault="000D225E" w:rsidP="00AF2AEA">
            <w:pPr>
              <w:spacing w:line="260" w:lineRule="atLeast"/>
              <w:jc w:val="center"/>
            </w:pPr>
            <w:r>
              <w:t>0.012</w:t>
            </w:r>
          </w:p>
        </w:tc>
        <w:tc>
          <w:tcPr>
            <w:tcW w:w="0" w:type="auto"/>
            <w:vAlign w:val="center"/>
          </w:tcPr>
          <w:p w14:paraId="774C4782" w14:textId="4F71FF17" w:rsidR="001042DA" w:rsidRPr="006B1A5A" w:rsidRDefault="001042DA" w:rsidP="00AF2AEA">
            <w:pPr>
              <w:spacing w:line="260" w:lineRule="atLeast"/>
              <w:jc w:val="center"/>
            </w:pPr>
            <w:r w:rsidRPr="006B1A5A">
              <w:t>0.</w:t>
            </w:r>
            <w:r w:rsidR="00DC01E1" w:rsidRPr="006B1A5A">
              <w:t>0</w:t>
            </w:r>
            <w:r w:rsidR="00DC01E1">
              <w:t>41</w:t>
            </w:r>
          </w:p>
        </w:tc>
        <w:tc>
          <w:tcPr>
            <w:tcW w:w="0" w:type="auto"/>
            <w:vAlign w:val="center"/>
          </w:tcPr>
          <w:p w14:paraId="44604980" w14:textId="429EF58E" w:rsidR="001042DA" w:rsidRPr="006B1A5A" w:rsidRDefault="000D225E" w:rsidP="00AF2AEA">
            <w:pPr>
              <w:spacing w:line="260" w:lineRule="atLeast"/>
              <w:jc w:val="center"/>
            </w:pPr>
            <w:r>
              <w:t>0.3</w:t>
            </w:r>
          </w:p>
        </w:tc>
      </w:tr>
      <w:tr w:rsidR="001042DA" w:rsidRPr="006B1A5A" w14:paraId="1EF76410" w14:textId="77777777" w:rsidTr="00AF2AEA">
        <w:tc>
          <w:tcPr>
            <w:tcW w:w="0" w:type="auto"/>
            <w:gridSpan w:val="5"/>
            <w:vAlign w:val="center"/>
          </w:tcPr>
          <w:p w14:paraId="74C404C1" w14:textId="4BE1C099" w:rsidR="001042DA" w:rsidRPr="006B1A5A" w:rsidRDefault="00787F7E" w:rsidP="00AF2AEA">
            <w:pPr>
              <w:spacing w:line="260" w:lineRule="atLeast"/>
              <w:jc w:val="center"/>
            </w:pPr>
            <w:r>
              <w:rPr>
                <w:b/>
              </w:rPr>
              <w:t>Thiocyanate</w:t>
            </w:r>
          </w:p>
        </w:tc>
      </w:tr>
      <w:tr w:rsidR="001042DA" w:rsidRPr="006B1A5A" w14:paraId="5D256D24" w14:textId="77777777" w:rsidTr="00AF2AEA">
        <w:tc>
          <w:tcPr>
            <w:tcW w:w="0" w:type="auto"/>
            <w:shd w:val="clear" w:color="auto" w:fill="D9D9D9" w:themeFill="background1" w:themeFillShade="D9"/>
          </w:tcPr>
          <w:p w14:paraId="13C68EB6" w14:textId="77777777" w:rsidR="001042DA" w:rsidRPr="006B1A5A" w:rsidRDefault="001042DA" w:rsidP="00AF2AEA">
            <w:pPr>
              <w:spacing w:line="260" w:lineRule="atLeast"/>
            </w:pPr>
            <w:r w:rsidRPr="006B1A5A">
              <w:t>Professional dipping of aquaculture nets; Dipping model 4</w:t>
            </w:r>
          </w:p>
        </w:tc>
        <w:tc>
          <w:tcPr>
            <w:tcW w:w="0" w:type="auto"/>
          </w:tcPr>
          <w:p w14:paraId="435D87E0" w14:textId="77777777" w:rsidR="001042DA" w:rsidRPr="006B1A5A" w:rsidRDefault="001042DA" w:rsidP="00AF2AEA">
            <w:pPr>
              <w:spacing w:line="260" w:lineRule="atLeast"/>
            </w:pPr>
            <w:r w:rsidRPr="006B1A5A">
              <w:t>Tier 1; No PPE</w:t>
            </w:r>
          </w:p>
          <w:p w14:paraId="76327935" w14:textId="77777777" w:rsidR="001042DA" w:rsidRPr="006B1A5A" w:rsidRDefault="001042DA" w:rsidP="00AF2AEA">
            <w:pPr>
              <w:spacing w:line="260" w:lineRule="atLeast"/>
            </w:pPr>
            <w:r w:rsidRPr="006B1A5A">
              <w:t>Gloves (hand exposure is actual exposure inside gloves)</w:t>
            </w:r>
          </w:p>
        </w:tc>
        <w:tc>
          <w:tcPr>
            <w:tcW w:w="0" w:type="auto"/>
            <w:vAlign w:val="center"/>
          </w:tcPr>
          <w:p w14:paraId="0960E87C" w14:textId="06E97DF7" w:rsidR="001042DA" w:rsidRPr="006B1A5A" w:rsidRDefault="000D225E" w:rsidP="00AF2AEA">
            <w:pPr>
              <w:spacing w:line="260" w:lineRule="atLeast"/>
              <w:jc w:val="center"/>
            </w:pPr>
            <w:r>
              <w:t>0.12</w:t>
            </w:r>
          </w:p>
        </w:tc>
        <w:tc>
          <w:tcPr>
            <w:tcW w:w="0" w:type="auto"/>
            <w:vAlign w:val="center"/>
          </w:tcPr>
          <w:p w14:paraId="65C384D5" w14:textId="77777777" w:rsidR="001042DA" w:rsidRPr="006B1A5A" w:rsidRDefault="001042DA" w:rsidP="00AF2AEA">
            <w:pPr>
              <w:spacing w:line="260" w:lineRule="atLeast"/>
              <w:jc w:val="center"/>
            </w:pPr>
            <w:r w:rsidRPr="006B1A5A">
              <w:t>0.17</w:t>
            </w:r>
          </w:p>
        </w:tc>
        <w:tc>
          <w:tcPr>
            <w:tcW w:w="0" w:type="auto"/>
            <w:vAlign w:val="center"/>
          </w:tcPr>
          <w:p w14:paraId="18CBCA87" w14:textId="07FBDA7B" w:rsidR="001042DA" w:rsidRPr="006B1A5A" w:rsidRDefault="000D225E" w:rsidP="00AF2AEA">
            <w:pPr>
              <w:spacing w:line="260" w:lineRule="atLeast"/>
              <w:jc w:val="center"/>
            </w:pPr>
            <w:r>
              <w:t>0.71</w:t>
            </w:r>
          </w:p>
        </w:tc>
      </w:tr>
      <w:tr w:rsidR="001042DA" w:rsidRPr="006B1A5A" w14:paraId="13400071" w14:textId="77777777" w:rsidTr="00AF2AEA">
        <w:tc>
          <w:tcPr>
            <w:tcW w:w="0" w:type="auto"/>
            <w:shd w:val="clear" w:color="auto" w:fill="D9D9D9" w:themeFill="background1" w:themeFillShade="D9"/>
          </w:tcPr>
          <w:p w14:paraId="7FD8DE95" w14:textId="77777777" w:rsidR="001042DA" w:rsidRPr="006B1A5A" w:rsidRDefault="001042DA" w:rsidP="00AF2AEA">
            <w:pPr>
              <w:spacing w:line="260" w:lineRule="atLeast"/>
            </w:pPr>
          </w:p>
        </w:tc>
        <w:tc>
          <w:tcPr>
            <w:tcW w:w="0" w:type="auto"/>
          </w:tcPr>
          <w:p w14:paraId="3DDFF889" w14:textId="56881205" w:rsidR="001042DA" w:rsidRPr="006B1A5A" w:rsidRDefault="001042DA" w:rsidP="00AF2AEA">
            <w:pPr>
              <w:spacing w:line="260" w:lineRule="atLeast"/>
            </w:pPr>
            <w:r w:rsidRPr="006B1A5A">
              <w:t>Tier 2</w:t>
            </w:r>
            <w:r w:rsidR="00225B0C">
              <w:t>a</w:t>
            </w:r>
            <w:r w:rsidRPr="006B1A5A">
              <w:t>; Coated coverall (10% penetration) and gloves (hand exposure is actual exposure inside gloves)</w:t>
            </w:r>
          </w:p>
        </w:tc>
        <w:tc>
          <w:tcPr>
            <w:tcW w:w="0" w:type="auto"/>
            <w:vAlign w:val="center"/>
          </w:tcPr>
          <w:p w14:paraId="544E63BB" w14:textId="35C759C3" w:rsidR="001042DA" w:rsidRPr="006B1A5A" w:rsidRDefault="000D225E" w:rsidP="00AF2AEA">
            <w:pPr>
              <w:spacing w:line="260" w:lineRule="atLeast"/>
              <w:jc w:val="center"/>
            </w:pPr>
            <w:r>
              <w:t>0.02</w:t>
            </w:r>
          </w:p>
        </w:tc>
        <w:tc>
          <w:tcPr>
            <w:tcW w:w="0" w:type="auto"/>
            <w:vAlign w:val="center"/>
          </w:tcPr>
          <w:p w14:paraId="5E54CD1B" w14:textId="77777777" w:rsidR="001042DA" w:rsidRPr="006B1A5A" w:rsidRDefault="001042DA" w:rsidP="00AF2AEA">
            <w:pPr>
              <w:spacing w:line="260" w:lineRule="atLeast"/>
              <w:jc w:val="center"/>
            </w:pPr>
            <w:r w:rsidRPr="006B1A5A">
              <w:t>0.17</w:t>
            </w:r>
          </w:p>
        </w:tc>
        <w:tc>
          <w:tcPr>
            <w:tcW w:w="0" w:type="auto"/>
            <w:vAlign w:val="center"/>
          </w:tcPr>
          <w:p w14:paraId="764D6C48" w14:textId="388405AD" w:rsidR="001042DA" w:rsidRPr="006B1A5A" w:rsidRDefault="000D225E" w:rsidP="00AF2AEA">
            <w:pPr>
              <w:spacing w:line="260" w:lineRule="atLeast"/>
              <w:jc w:val="center"/>
            </w:pPr>
            <w:r>
              <w:t>0.12</w:t>
            </w:r>
          </w:p>
        </w:tc>
      </w:tr>
      <w:tr w:rsidR="001042DA" w:rsidRPr="006B1A5A" w14:paraId="3AB4C9BF" w14:textId="77777777" w:rsidTr="00AF2AEA">
        <w:tc>
          <w:tcPr>
            <w:tcW w:w="0" w:type="auto"/>
            <w:gridSpan w:val="5"/>
          </w:tcPr>
          <w:p w14:paraId="195DB350" w14:textId="77777777" w:rsidR="001042DA" w:rsidRPr="006B1A5A" w:rsidRDefault="001042DA" w:rsidP="00AF2AEA">
            <w:pPr>
              <w:spacing w:line="260" w:lineRule="atLeast"/>
              <w:jc w:val="center"/>
            </w:pPr>
          </w:p>
        </w:tc>
      </w:tr>
      <w:tr w:rsidR="001042DA" w:rsidRPr="006B1A5A" w14:paraId="28060DA9" w14:textId="77777777" w:rsidTr="00AF2AEA">
        <w:tc>
          <w:tcPr>
            <w:tcW w:w="0" w:type="auto"/>
            <w:gridSpan w:val="5"/>
          </w:tcPr>
          <w:p w14:paraId="44AC7B61" w14:textId="77777777" w:rsidR="001042DA" w:rsidRPr="006B1A5A" w:rsidRDefault="001042DA" w:rsidP="00AF2AEA">
            <w:pPr>
              <w:spacing w:line="260" w:lineRule="atLeast"/>
              <w:jc w:val="center"/>
            </w:pPr>
            <w:r w:rsidRPr="006B1A5A">
              <w:rPr>
                <w:b/>
              </w:rPr>
              <w:t>AquaNet 360 RFU</w:t>
            </w:r>
          </w:p>
        </w:tc>
      </w:tr>
      <w:tr w:rsidR="001042DA" w:rsidRPr="006B1A5A" w14:paraId="34A31B07" w14:textId="77777777" w:rsidTr="00AF2AEA">
        <w:tc>
          <w:tcPr>
            <w:tcW w:w="0" w:type="auto"/>
            <w:gridSpan w:val="5"/>
          </w:tcPr>
          <w:p w14:paraId="0B46C292" w14:textId="77777777" w:rsidR="001042DA" w:rsidRPr="006B1A5A" w:rsidRDefault="001042DA" w:rsidP="00AF2AEA">
            <w:pPr>
              <w:spacing w:line="260" w:lineRule="atLeast"/>
              <w:jc w:val="center"/>
              <w:rPr>
                <w:b/>
              </w:rPr>
            </w:pPr>
          </w:p>
        </w:tc>
      </w:tr>
      <w:tr w:rsidR="001042DA" w:rsidRPr="006B1A5A" w14:paraId="63FD7A41" w14:textId="77777777" w:rsidTr="00AF2AEA">
        <w:tc>
          <w:tcPr>
            <w:tcW w:w="0" w:type="auto"/>
            <w:gridSpan w:val="5"/>
          </w:tcPr>
          <w:p w14:paraId="7050BA06" w14:textId="476677BB" w:rsidR="001042DA" w:rsidRPr="006B1A5A" w:rsidRDefault="00787F7E" w:rsidP="00AF2AEA">
            <w:pPr>
              <w:spacing w:line="260" w:lineRule="atLeast"/>
              <w:jc w:val="center"/>
            </w:pPr>
            <w:r>
              <w:rPr>
                <w:b/>
              </w:rPr>
              <w:t>Copper</w:t>
            </w:r>
          </w:p>
        </w:tc>
      </w:tr>
      <w:tr w:rsidR="001042DA" w:rsidRPr="006B1A5A" w14:paraId="6EFBE89D" w14:textId="77777777" w:rsidTr="00AF2AEA">
        <w:tc>
          <w:tcPr>
            <w:tcW w:w="0" w:type="auto"/>
            <w:shd w:val="clear" w:color="auto" w:fill="D9D9D9" w:themeFill="background1" w:themeFillShade="D9"/>
          </w:tcPr>
          <w:p w14:paraId="0E47F60B" w14:textId="77777777" w:rsidR="001042DA" w:rsidRPr="006B1A5A" w:rsidRDefault="001042DA" w:rsidP="00AF2AEA">
            <w:pPr>
              <w:spacing w:line="260" w:lineRule="atLeast"/>
            </w:pPr>
            <w:r w:rsidRPr="006B1A5A">
              <w:t>Professional dipping of aquaculture nets; Dipping model 4</w:t>
            </w:r>
          </w:p>
        </w:tc>
        <w:tc>
          <w:tcPr>
            <w:tcW w:w="0" w:type="auto"/>
          </w:tcPr>
          <w:p w14:paraId="79B6C315" w14:textId="77777777" w:rsidR="001042DA" w:rsidRPr="006B1A5A" w:rsidRDefault="001042DA" w:rsidP="00AF2AEA">
            <w:pPr>
              <w:spacing w:line="260" w:lineRule="atLeast"/>
            </w:pPr>
            <w:r w:rsidRPr="006B1A5A">
              <w:t>Tier 1; No PPE</w:t>
            </w:r>
          </w:p>
          <w:p w14:paraId="7366FA95" w14:textId="77777777" w:rsidR="001042DA" w:rsidRPr="006B1A5A" w:rsidRDefault="001042DA" w:rsidP="00AF2AEA">
            <w:pPr>
              <w:spacing w:line="260" w:lineRule="atLeast"/>
            </w:pPr>
            <w:r w:rsidRPr="006B1A5A">
              <w:t>Gloves (hand exposure is actual exposure inside gloves)</w:t>
            </w:r>
          </w:p>
        </w:tc>
        <w:tc>
          <w:tcPr>
            <w:tcW w:w="0" w:type="auto"/>
            <w:vAlign w:val="center"/>
          </w:tcPr>
          <w:p w14:paraId="50A80D01" w14:textId="703E1AC3" w:rsidR="001042DA" w:rsidRPr="006B1A5A" w:rsidRDefault="000D225E" w:rsidP="00AF2AEA">
            <w:pPr>
              <w:spacing w:line="260" w:lineRule="atLeast"/>
              <w:jc w:val="center"/>
            </w:pPr>
            <w:r>
              <w:t>0.</w:t>
            </w:r>
            <w:r w:rsidR="00EE5A4E">
              <w:t>3</w:t>
            </w:r>
            <w:r w:rsidR="00EB090F">
              <w:t>1</w:t>
            </w:r>
          </w:p>
        </w:tc>
        <w:tc>
          <w:tcPr>
            <w:tcW w:w="0" w:type="auto"/>
            <w:vAlign w:val="center"/>
          </w:tcPr>
          <w:p w14:paraId="5A07C856" w14:textId="5B92D9F6" w:rsidR="001042DA" w:rsidRPr="006B1A5A" w:rsidRDefault="000D225E" w:rsidP="00AF2AEA">
            <w:pPr>
              <w:spacing w:line="260" w:lineRule="atLeast"/>
              <w:jc w:val="center"/>
            </w:pPr>
            <w:r>
              <w:t>0.041</w:t>
            </w:r>
          </w:p>
        </w:tc>
        <w:tc>
          <w:tcPr>
            <w:tcW w:w="0" w:type="auto"/>
            <w:vAlign w:val="center"/>
          </w:tcPr>
          <w:p w14:paraId="779D7770" w14:textId="1995A5F3" w:rsidR="001042DA" w:rsidRPr="00250871" w:rsidRDefault="00EB090F" w:rsidP="00AF2AEA">
            <w:pPr>
              <w:spacing w:line="260" w:lineRule="atLeast"/>
              <w:jc w:val="center"/>
              <w:rPr>
                <w:b/>
              </w:rPr>
            </w:pPr>
            <w:r>
              <w:rPr>
                <w:b/>
              </w:rPr>
              <w:t>7.55</w:t>
            </w:r>
          </w:p>
        </w:tc>
      </w:tr>
      <w:tr w:rsidR="001042DA" w:rsidRPr="006B1A5A" w14:paraId="48928B90" w14:textId="77777777" w:rsidTr="00AF2AEA">
        <w:tc>
          <w:tcPr>
            <w:tcW w:w="0" w:type="auto"/>
            <w:shd w:val="clear" w:color="auto" w:fill="D9D9D9" w:themeFill="background1" w:themeFillShade="D9"/>
          </w:tcPr>
          <w:p w14:paraId="5117C2A6" w14:textId="77777777" w:rsidR="001042DA" w:rsidRPr="006B1A5A" w:rsidRDefault="001042DA" w:rsidP="00AF2AEA">
            <w:pPr>
              <w:spacing w:line="260" w:lineRule="atLeast"/>
            </w:pPr>
          </w:p>
        </w:tc>
        <w:tc>
          <w:tcPr>
            <w:tcW w:w="0" w:type="auto"/>
          </w:tcPr>
          <w:p w14:paraId="17933EA3" w14:textId="781CD99A" w:rsidR="001042DA" w:rsidRPr="006B1A5A" w:rsidRDefault="001042DA" w:rsidP="00AF2AEA">
            <w:pPr>
              <w:spacing w:line="260" w:lineRule="atLeast"/>
            </w:pPr>
            <w:r w:rsidRPr="006B1A5A">
              <w:t>Tier 2</w:t>
            </w:r>
            <w:r w:rsidR="000D225E">
              <w:t>a</w:t>
            </w:r>
            <w:r w:rsidRPr="006B1A5A">
              <w:t>; Coated coverall (10% penetration) and gloves (hand exposure is actual exposure inside gloves)</w:t>
            </w:r>
          </w:p>
        </w:tc>
        <w:tc>
          <w:tcPr>
            <w:tcW w:w="0" w:type="auto"/>
            <w:vAlign w:val="center"/>
          </w:tcPr>
          <w:p w14:paraId="06D6AF03" w14:textId="1D0C1F8A" w:rsidR="001042DA" w:rsidRPr="006B1A5A" w:rsidRDefault="000D225E" w:rsidP="00AF2AEA">
            <w:pPr>
              <w:spacing w:line="260" w:lineRule="atLeast"/>
              <w:jc w:val="center"/>
            </w:pPr>
            <w:r>
              <w:t>0.0</w:t>
            </w:r>
            <w:r w:rsidR="00EE5A4E">
              <w:t>5</w:t>
            </w:r>
            <w:r w:rsidR="00EB090F">
              <w:t>1</w:t>
            </w:r>
          </w:p>
        </w:tc>
        <w:tc>
          <w:tcPr>
            <w:tcW w:w="0" w:type="auto"/>
            <w:vAlign w:val="center"/>
          </w:tcPr>
          <w:p w14:paraId="7504B79D" w14:textId="525BE839" w:rsidR="001042DA" w:rsidRPr="006B1A5A" w:rsidRDefault="000D225E" w:rsidP="00AF2AEA">
            <w:pPr>
              <w:spacing w:line="260" w:lineRule="atLeast"/>
              <w:jc w:val="center"/>
            </w:pPr>
            <w:r>
              <w:t>0.041</w:t>
            </w:r>
          </w:p>
        </w:tc>
        <w:tc>
          <w:tcPr>
            <w:tcW w:w="0" w:type="auto"/>
            <w:vAlign w:val="center"/>
          </w:tcPr>
          <w:p w14:paraId="510504B6" w14:textId="4FCC46EB" w:rsidR="001042DA" w:rsidRPr="00FB65A4" w:rsidRDefault="00EB090F" w:rsidP="00AF2AEA">
            <w:pPr>
              <w:spacing w:line="260" w:lineRule="atLeast"/>
              <w:jc w:val="center"/>
              <w:rPr>
                <w:b/>
              </w:rPr>
            </w:pPr>
            <w:r>
              <w:rPr>
                <w:b/>
              </w:rPr>
              <w:t>1.24</w:t>
            </w:r>
          </w:p>
        </w:tc>
      </w:tr>
      <w:tr w:rsidR="000D225E" w:rsidRPr="006B1A5A" w14:paraId="0541A796" w14:textId="77777777" w:rsidTr="00AF2AEA">
        <w:tc>
          <w:tcPr>
            <w:tcW w:w="0" w:type="auto"/>
            <w:shd w:val="clear" w:color="auto" w:fill="D9D9D9" w:themeFill="background1" w:themeFillShade="D9"/>
          </w:tcPr>
          <w:p w14:paraId="6434C952" w14:textId="77777777" w:rsidR="000D225E" w:rsidRPr="006B1A5A" w:rsidRDefault="000D225E" w:rsidP="00AF2AEA">
            <w:pPr>
              <w:spacing w:line="260" w:lineRule="atLeast"/>
            </w:pPr>
          </w:p>
        </w:tc>
        <w:tc>
          <w:tcPr>
            <w:tcW w:w="0" w:type="auto"/>
          </w:tcPr>
          <w:p w14:paraId="581C38F6" w14:textId="4031D2F9" w:rsidR="000D225E" w:rsidRPr="006B1A5A" w:rsidRDefault="000D225E" w:rsidP="00AF2AEA">
            <w:pPr>
              <w:spacing w:line="260" w:lineRule="atLeast"/>
            </w:pPr>
            <w:r w:rsidRPr="006B1A5A">
              <w:t>Tier 2</w:t>
            </w:r>
            <w:r>
              <w:t>b</w:t>
            </w:r>
            <w:r w:rsidRPr="006B1A5A">
              <w:t xml:space="preserve">; </w:t>
            </w:r>
            <w:r>
              <w:t>Impermeable</w:t>
            </w:r>
            <w:r w:rsidRPr="006B1A5A">
              <w:t xml:space="preserve"> coverall (</w:t>
            </w:r>
            <w:r>
              <w:t xml:space="preserve">5 </w:t>
            </w:r>
            <w:r w:rsidRPr="006B1A5A">
              <w:t>% penetration) and gloves (hand exposure is actual exposure inside gloves)</w:t>
            </w:r>
          </w:p>
        </w:tc>
        <w:tc>
          <w:tcPr>
            <w:tcW w:w="0" w:type="auto"/>
            <w:vAlign w:val="center"/>
          </w:tcPr>
          <w:p w14:paraId="4DC21DF7" w14:textId="6AC97ADD" w:rsidR="000D225E" w:rsidRDefault="000D225E" w:rsidP="00AF2AEA">
            <w:pPr>
              <w:spacing w:line="260" w:lineRule="atLeast"/>
              <w:jc w:val="center"/>
            </w:pPr>
            <w:r>
              <w:t>0.0</w:t>
            </w:r>
            <w:r w:rsidR="00EB090F">
              <w:t>37</w:t>
            </w:r>
          </w:p>
        </w:tc>
        <w:tc>
          <w:tcPr>
            <w:tcW w:w="0" w:type="auto"/>
            <w:vAlign w:val="center"/>
          </w:tcPr>
          <w:p w14:paraId="2B047C73" w14:textId="39D80B79" w:rsidR="000D225E" w:rsidRDefault="000D225E" w:rsidP="00AF2AEA">
            <w:pPr>
              <w:spacing w:line="260" w:lineRule="atLeast"/>
              <w:jc w:val="center"/>
            </w:pPr>
            <w:r>
              <w:t>0.041</w:t>
            </w:r>
          </w:p>
        </w:tc>
        <w:tc>
          <w:tcPr>
            <w:tcW w:w="0" w:type="auto"/>
            <w:vAlign w:val="center"/>
          </w:tcPr>
          <w:p w14:paraId="66271AF2" w14:textId="4E7B53CA" w:rsidR="000D225E" w:rsidRDefault="000D225E" w:rsidP="00AF2AEA">
            <w:pPr>
              <w:spacing w:line="260" w:lineRule="atLeast"/>
              <w:jc w:val="center"/>
            </w:pPr>
            <w:r>
              <w:t>0.</w:t>
            </w:r>
            <w:r w:rsidR="00EB090F">
              <w:t>89</w:t>
            </w:r>
          </w:p>
        </w:tc>
      </w:tr>
      <w:tr w:rsidR="001042DA" w:rsidRPr="006B1A5A" w14:paraId="7623457B" w14:textId="77777777" w:rsidTr="00AF2AEA">
        <w:tc>
          <w:tcPr>
            <w:tcW w:w="0" w:type="auto"/>
            <w:gridSpan w:val="5"/>
          </w:tcPr>
          <w:p w14:paraId="3900FE29" w14:textId="09BF2058" w:rsidR="001042DA" w:rsidRPr="006B1A5A" w:rsidRDefault="00787F7E" w:rsidP="00AF2AEA">
            <w:pPr>
              <w:spacing w:line="260" w:lineRule="atLeast"/>
              <w:jc w:val="center"/>
            </w:pPr>
            <w:r>
              <w:rPr>
                <w:b/>
              </w:rPr>
              <w:t>Thiocyanate</w:t>
            </w:r>
          </w:p>
        </w:tc>
      </w:tr>
      <w:tr w:rsidR="001042DA" w:rsidRPr="006B1A5A" w14:paraId="55A7960F" w14:textId="77777777" w:rsidTr="00AF2AEA">
        <w:tc>
          <w:tcPr>
            <w:tcW w:w="0" w:type="auto"/>
            <w:shd w:val="clear" w:color="auto" w:fill="D9D9D9" w:themeFill="background1" w:themeFillShade="D9"/>
          </w:tcPr>
          <w:p w14:paraId="422D70AD" w14:textId="77777777" w:rsidR="001042DA" w:rsidRPr="006B1A5A" w:rsidRDefault="001042DA" w:rsidP="00AF2AEA">
            <w:pPr>
              <w:spacing w:line="260" w:lineRule="atLeast"/>
            </w:pPr>
            <w:r w:rsidRPr="006B1A5A">
              <w:t>Professional dipping of aquaculture nets; Dipping model 4</w:t>
            </w:r>
          </w:p>
        </w:tc>
        <w:tc>
          <w:tcPr>
            <w:tcW w:w="0" w:type="auto"/>
          </w:tcPr>
          <w:p w14:paraId="64487363" w14:textId="77777777" w:rsidR="001042DA" w:rsidRPr="006B1A5A" w:rsidRDefault="001042DA" w:rsidP="00AF2AEA">
            <w:pPr>
              <w:spacing w:line="260" w:lineRule="atLeast"/>
            </w:pPr>
            <w:r w:rsidRPr="006B1A5A">
              <w:t>Tier 1; No PPE</w:t>
            </w:r>
          </w:p>
          <w:p w14:paraId="4A7F954D" w14:textId="77777777" w:rsidR="001042DA" w:rsidRPr="006B1A5A" w:rsidRDefault="001042DA" w:rsidP="00AF2AEA">
            <w:pPr>
              <w:spacing w:line="260" w:lineRule="atLeast"/>
            </w:pPr>
            <w:r w:rsidRPr="006B1A5A">
              <w:t>Gloves (hand exposure is actual exposure inside gloves)</w:t>
            </w:r>
          </w:p>
        </w:tc>
        <w:tc>
          <w:tcPr>
            <w:tcW w:w="0" w:type="auto"/>
            <w:vAlign w:val="center"/>
          </w:tcPr>
          <w:p w14:paraId="1B8F79E0" w14:textId="09260E79" w:rsidR="001042DA" w:rsidRPr="006B1A5A" w:rsidRDefault="000D225E" w:rsidP="00AF2AEA">
            <w:pPr>
              <w:spacing w:line="260" w:lineRule="atLeast"/>
              <w:jc w:val="center"/>
            </w:pPr>
            <w:r>
              <w:t>0.097</w:t>
            </w:r>
          </w:p>
        </w:tc>
        <w:tc>
          <w:tcPr>
            <w:tcW w:w="0" w:type="auto"/>
            <w:vAlign w:val="center"/>
          </w:tcPr>
          <w:p w14:paraId="6A43441D" w14:textId="1BFFCC2B" w:rsidR="001042DA" w:rsidRPr="006B1A5A" w:rsidRDefault="000D225E" w:rsidP="00AF2AEA">
            <w:pPr>
              <w:spacing w:line="260" w:lineRule="atLeast"/>
              <w:jc w:val="center"/>
            </w:pPr>
            <w:r>
              <w:t>0.17</w:t>
            </w:r>
          </w:p>
        </w:tc>
        <w:tc>
          <w:tcPr>
            <w:tcW w:w="0" w:type="auto"/>
            <w:vAlign w:val="center"/>
          </w:tcPr>
          <w:p w14:paraId="31990027" w14:textId="6523EAE2" w:rsidR="001042DA" w:rsidRPr="006B1A5A" w:rsidRDefault="000D225E" w:rsidP="00AF2AEA">
            <w:pPr>
              <w:spacing w:line="260" w:lineRule="atLeast"/>
              <w:jc w:val="center"/>
            </w:pPr>
            <w:r>
              <w:t>0.57</w:t>
            </w:r>
          </w:p>
        </w:tc>
      </w:tr>
      <w:tr w:rsidR="001042DA" w:rsidRPr="006B1A5A" w14:paraId="07A310D5" w14:textId="77777777" w:rsidTr="00AF2AEA">
        <w:tc>
          <w:tcPr>
            <w:tcW w:w="0" w:type="auto"/>
            <w:shd w:val="clear" w:color="auto" w:fill="D9D9D9" w:themeFill="background1" w:themeFillShade="D9"/>
          </w:tcPr>
          <w:p w14:paraId="193498A4" w14:textId="77777777" w:rsidR="001042DA" w:rsidRPr="006B1A5A" w:rsidRDefault="001042DA" w:rsidP="00AF2AEA">
            <w:pPr>
              <w:spacing w:line="260" w:lineRule="atLeast"/>
            </w:pPr>
          </w:p>
        </w:tc>
        <w:tc>
          <w:tcPr>
            <w:tcW w:w="0" w:type="auto"/>
          </w:tcPr>
          <w:p w14:paraId="11D0813B" w14:textId="7E6FBC6E" w:rsidR="001042DA" w:rsidRPr="006B1A5A" w:rsidRDefault="001042DA" w:rsidP="00AF2AEA">
            <w:pPr>
              <w:spacing w:line="260" w:lineRule="atLeast"/>
            </w:pPr>
            <w:r w:rsidRPr="006B1A5A">
              <w:t>Tier 2</w:t>
            </w:r>
            <w:r w:rsidR="001F2921">
              <w:t>a</w:t>
            </w:r>
            <w:r w:rsidRPr="006B1A5A">
              <w:t>; Coated coverall (10% penetration) and gloves (hand exposure is actual exposure inside gloves)</w:t>
            </w:r>
          </w:p>
        </w:tc>
        <w:tc>
          <w:tcPr>
            <w:tcW w:w="0" w:type="auto"/>
            <w:vAlign w:val="center"/>
          </w:tcPr>
          <w:p w14:paraId="06FA6A03" w14:textId="1E2B7F14" w:rsidR="001042DA" w:rsidRPr="006B1A5A" w:rsidRDefault="000D225E" w:rsidP="00AF2AEA">
            <w:pPr>
              <w:spacing w:line="260" w:lineRule="atLeast"/>
              <w:jc w:val="center"/>
            </w:pPr>
            <w:r>
              <w:t>0.016</w:t>
            </w:r>
          </w:p>
        </w:tc>
        <w:tc>
          <w:tcPr>
            <w:tcW w:w="0" w:type="auto"/>
            <w:vAlign w:val="center"/>
          </w:tcPr>
          <w:p w14:paraId="4FC1A3B2" w14:textId="5E988ABC" w:rsidR="001042DA" w:rsidRPr="006B1A5A" w:rsidRDefault="000D225E" w:rsidP="00AF2AEA">
            <w:pPr>
              <w:spacing w:line="260" w:lineRule="atLeast"/>
              <w:jc w:val="center"/>
            </w:pPr>
            <w:r>
              <w:t>0.17</w:t>
            </w:r>
          </w:p>
        </w:tc>
        <w:tc>
          <w:tcPr>
            <w:tcW w:w="0" w:type="auto"/>
            <w:vAlign w:val="center"/>
          </w:tcPr>
          <w:p w14:paraId="52B1BCC1" w14:textId="3279E7D1" w:rsidR="001042DA" w:rsidRPr="006B1A5A" w:rsidRDefault="000D225E" w:rsidP="00AF2AEA">
            <w:pPr>
              <w:spacing w:line="260" w:lineRule="atLeast"/>
              <w:jc w:val="center"/>
            </w:pPr>
            <w:r>
              <w:t>0.09</w:t>
            </w:r>
          </w:p>
        </w:tc>
      </w:tr>
      <w:tr w:rsidR="001F2921" w:rsidRPr="006B1A5A" w14:paraId="56CE8FBA" w14:textId="77777777" w:rsidTr="00AF2AEA">
        <w:tc>
          <w:tcPr>
            <w:tcW w:w="0" w:type="auto"/>
            <w:shd w:val="clear" w:color="auto" w:fill="D9D9D9" w:themeFill="background1" w:themeFillShade="D9"/>
          </w:tcPr>
          <w:p w14:paraId="2E16D431" w14:textId="77777777" w:rsidR="001F2921" w:rsidRPr="006B1A5A" w:rsidRDefault="001F2921" w:rsidP="00AF2AEA">
            <w:pPr>
              <w:spacing w:line="260" w:lineRule="atLeast"/>
            </w:pPr>
          </w:p>
        </w:tc>
        <w:tc>
          <w:tcPr>
            <w:tcW w:w="0" w:type="auto"/>
          </w:tcPr>
          <w:p w14:paraId="3CD73A23" w14:textId="6ED1B73E" w:rsidR="001F2921" w:rsidRPr="006B1A5A" w:rsidRDefault="001F2921" w:rsidP="00AF2AEA">
            <w:pPr>
              <w:spacing w:line="260" w:lineRule="atLeast"/>
            </w:pPr>
            <w:r w:rsidRPr="006B1A5A">
              <w:t>Tier 2</w:t>
            </w:r>
            <w:r>
              <w:t>b</w:t>
            </w:r>
            <w:r w:rsidRPr="006B1A5A">
              <w:t xml:space="preserve">; </w:t>
            </w:r>
            <w:r>
              <w:t>Impermeable</w:t>
            </w:r>
            <w:r w:rsidRPr="006B1A5A">
              <w:t xml:space="preserve"> coverall (</w:t>
            </w:r>
            <w:r>
              <w:t xml:space="preserve">5 </w:t>
            </w:r>
            <w:r w:rsidRPr="006B1A5A">
              <w:t>% penetration) and gloves (hand exposure is actual exposure inside gloves)</w:t>
            </w:r>
          </w:p>
        </w:tc>
        <w:tc>
          <w:tcPr>
            <w:tcW w:w="0" w:type="auto"/>
            <w:vAlign w:val="center"/>
          </w:tcPr>
          <w:p w14:paraId="27DE1E7E" w14:textId="16DB5960" w:rsidR="001F2921" w:rsidRDefault="001F2921" w:rsidP="00AF2AEA">
            <w:pPr>
              <w:spacing w:line="260" w:lineRule="atLeast"/>
              <w:jc w:val="center"/>
            </w:pPr>
            <w:r>
              <w:t>0.011</w:t>
            </w:r>
          </w:p>
        </w:tc>
        <w:tc>
          <w:tcPr>
            <w:tcW w:w="0" w:type="auto"/>
            <w:vAlign w:val="center"/>
          </w:tcPr>
          <w:p w14:paraId="0F449015" w14:textId="01919803" w:rsidR="001F2921" w:rsidRDefault="001F2921" w:rsidP="00AF2AEA">
            <w:pPr>
              <w:spacing w:line="260" w:lineRule="atLeast"/>
              <w:jc w:val="center"/>
            </w:pPr>
            <w:r>
              <w:t>0.17</w:t>
            </w:r>
          </w:p>
        </w:tc>
        <w:tc>
          <w:tcPr>
            <w:tcW w:w="0" w:type="auto"/>
            <w:vAlign w:val="center"/>
          </w:tcPr>
          <w:p w14:paraId="545833F8" w14:textId="12E3A08A" w:rsidR="001F2921" w:rsidRDefault="001F2921" w:rsidP="00AF2AEA">
            <w:pPr>
              <w:spacing w:line="260" w:lineRule="atLeast"/>
              <w:jc w:val="center"/>
            </w:pPr>
            <w:r>
              <w:t>0.07</w:t>
            </w:r>
          </w:p>
        </w:tc>
      </w:tr>
    </w:tbl>
    <w:p w14:paraId="15C97141" w14:textId="515B822A" w:rsidR="001042DA" w:rsidRPr="006B1A5A" w:rsidRDefault="0005709B" w:rsidP="001042DA">
      <w:pPr>
        <w:keepNext/>
        <w:jc w:val="both"/>
      </w:pPr>
      <w:r>
        <w:t>Values in bold represents exposure/AEL values &gt;1</w:t>
      </w:r>
    </w:p>
    <w:p w14:paraId="74F73FB3" w14:textId="77777777" w:rsidR="0005709B" w:rsidRDefault="0005709B" w:rsidP="001042DA">
      <w:pPr>
        <w:spacing w:line="260" w:lineRule="atLeast"/>
        <w:jc w:val="both"/>
      </w:pPr>
    </w:p>
    <w:p w14:paraId="3FA8A808" w14:textId="77777777" w:rsidR="0005709B" w:rsidRDefault="0005709B" w:rsidP="001042DA">
      <w:pPr>
        <w:spacing w:line="260" w:lineRule="atLeast"/>
        <w:jc w:val="both"/>
      </w:pPr>
    </w:p>
    <w:p w14:paraId="3658536C" w14:textId="5460FF57" w:rsidR="00D6636B" w:rsidRDefault="001042DA" w:rsidP="001042DA">
      <w:pPr>
        <w:spacing w:line="260" w:lineRule="atLeast"/>
        <w:jc w:val="both"/>
      </w:pPr>
      <w:r w:rsidRPr="006B1A5A">
        <w:t xml:space="preserve">Conclusion: </w:t>
      </w:r>
      <w:bookmarkStart w:id="1652" w:name="_Hlk23801088"/>
      <w:bookmarkStart w:id="1653" w:name="_Hlk23800724"/>
      <w:r w:rsidRPr="006B1A5A">
        <w:t xml:space="preserve">The risk from systemic exposure to </w:t>
      </w:r>
      <w:r w:rsidR="00257B42">
        <w:t xml:space="preserve">copper </w:t>
      </w:r>
      <w:r w:rsidR="00257B42" w:rsidRPr="006B1A5A">
        <w:t xml:space="preserve">to </w:t>
      </w:r>
      <w:r w:rsidR="00154C82">
        <w:t>industrial workers</w:t>
      </w:r>
      <w:r w:rsidR="00257B42" w:rsidRPr="006B1A5A">
        <w:t xml:space="preserve"> performing net </w:t>
      </w:r>
      <w:r w:rsidR="00257B42">
        <w:t>treatment</w:t>
      </w:r>
      <w:r w:rsidR="00257B42" w:rsidRPr="006B1A5A">
        <w:t xml:space="preserve"> activities </w:t>
      </w:r>
      <w:r w:rsidR="00257B42">
        <w:t xml:space="preserve">using </w:t>
      </w:r>
      <w:r w:rsidRPr="006B1A5A">
        <w:t>AquaNet</w:t>
      </w:r>
      <w:r w:rsidR="00D6636B">
        <w:t xml:space="preserve"> LG</w:t>
      </w:r>
      <w:r w:rsidRPr="006B1A5A">
        <w:t xml:space="preserve"> 360</w:t>
      </w:r>
      <w:r w:rsidR="00D6636B">
        <w:t xml:space="preserve"> and </w:t>
      </w:r>
      <w:r w:rsidR="00D6636B" w:rsidRPr="006B1A5A">
        <w:t>AquaNet</w:t>
      </w:r>
      <w:r w:rsidR="00D6636B">
        <w:t xml:space="preserve"> HG</w:t>
      </w:r>
      <w:r w:rsidR="00D6636B" w:rsidRPr="006B1A5A">
        <w:t xml:space="preserve"> 360</w:t>
      </w:r>
      <w:r w:rsidRPr="006B1A5A">
        <w:t xml:space="preserve"> </w:t>
      </w:r>
      <w:bookmarkEnd w:id="1652"/>
      <w:r w:rsidRPr="006B1A5A">
        <w:t>is acceptable in Tier 2</w:t>
      </w:r>
      <w:r w:rsidR="00D6636B">
        <w:t>a</w:t>
      </w:r>
      <w:bookmarkEnd w:id="1653"/>
      <w:r w:rsidR="00D6636B">
        <w:t>.</w:t>
      </w:r>
      <w:r w:rsidRPr="006B1A5A">
        <w:t xml:space="preserve"> </w:t>
      </w:r>
      <w:r w:rsidR="00D6636B">
        <w:t xml:space="preserve">Safe use requires the use of coated coveralls and gloves. </w:t>
      </w:r>
    </w:p>
    <w:p w14:paraId="7F24ED2F" w14:textId="77777777" w:rsidR="00131F78" w:rsidRDefault="00131F78" w:rsidP="001042DA">
      <w:pPr>
        <w:spacing w:line="260" w:lineRule="atLeast"/>
        <w:jc w:val="both"/>
      </w:pPr>
    </w:p>
    <w:p w14:paraId="6C0A9517" w14:textId="2499146A" w:rsidR="001042DA" w:rsidRPr="006B1A5A" w:rsidRDefault="00D6636B" w:rsidP="001042DA">
      <w:pPr>
        <w:spacing w:line="260" w:lineRule="atLeast"/>
        <w:jc w:val="both"/>
      </w:pPr>
      <w:r w:rsidRPr="006B1A5A">
        <w:t>The risk from the systemic exposure to</w:t>
      </w:r>
      <w:r w:rsidR="00257B42">
        <w:t xml:space="preserve"> copper</w:t>
      </w:r>
      <w:r w:rsidR="00257B42" w:rsidRPr="00257B42">
        <w:t xml:space="preserve"> </w:t>
      </w:r>
      <w:r w:rsidR="00257B42" w:rsidRPr="006B1A5A">
        <w:t xml:space="preserve">to </w:t>
      </w:r>
      <w:r w:rsidR="00154C82">
        <w:t xml:space="preserve">industrial workers </w:t>
      </w:r>
      <w:r w:rsidR="00257B42" w:rsidRPr="006B1A5A">
        <w:t xml:space="preserve">performing net </w:t>
      </w:r>
      <w:r w:rsidR="00257B42">
        <w:t>treatment</w:t>
      </w:r>
      <w:r w:rsidR="00257B42" w:rsidRPr="006B1A5A">
        <w:t xml:space="preserve"> activities</w:t>
      </w:r>
      <w:r w:rsidR="00257B42">
        <w:t xml:space="preserve"> using</w:t>
      </w:r>
      <w:r w:rsidRPr="006B1A5A">
        <w:t xml:space="preserve"> </w:t>
      </w:r>
      <w:r w:rsidR="001F2921">
        <w:t xml:space="preserve">AquaNet 360 RFU </w:t>
      </w:r>
      <w:r w:rsidRPr="006B1A5A">
        <w:t>is acceptable in Tier 2</w:t>
      </w:r>
      <w:r>
        <w:t xml:space="preserve">b. Safe use </w:t>
      </w:r>
      <w:r w:rsidR="00432F9B">
        <w:t>requires the use of impermeable coveralls and gloves.</w:t>
      </w:r>
    </w:p>
    <w:p w14:paraId="6D068252" w14:textId="77777777" w:rsidR="001042DA" w:rsidRPr="006B1A5A" w:rsidRDefault="001042DA" w:rsidP="001042DA">
      <w:pPr>
        <w:spacing w:line="260" w:lineRule="atLeast"/>
        <w:jc w:val="both"/>
        <w:rPr>
          <w:sz w:val="22"/>
          <w:szCs w:val="22"/>
        </w:rPr>
      </w:pPr>
    </w:p>
    <w:p w14:paraId="093818AC" w14:textId="2C8F69B5" w:rsidR="001042DA" w:rsidRPr="006B1A5A" w:rsidRDefault="006B45EA" w:rsidP="006B45EA">
      <w:pPr>
        <w:spacing w:after="160" w:line="259" w:lineRule="auto"/>
        <w:rPr>
          <w:sz w:val="22"/>
          <w:szCs w:val="22"/>
        </w:rPr>
      </w:pPr>
      <w:r>
        <w:rPr>
          <w:sz w:val="22"/>
          <w:szCs w:val="22"/>
        </w:rPr>
        <w:br w:type="page"/>
      </w:r>
    </w:p>
    <w:p w14:paraId="12BEB8EF" w14:textId="71BC1E6B" w:rsidR="00375520" w:rsidRPr="006B1A5A" w:rsidRDefault="00375520" w:rsidP="00375520">
      <w:pPr>
        <w:rPr>
          <w:rFonts w:eastAsia="Calibri"/>
          <w:b/>
          <w:i/>
          <w:sz w:val="22"/>
          <w:szCs w:val="22"/>
          <w:lang w:eastAsia="en-US"/>
        </w:rPr>
      </w:pPr>
      <w:r>
        <w:rPr>
          <w:rFonts w:eastAsia="Calibri"/>
          <w:b/>
          <w:i/>
          <w:sz w:val="22"/>
          <w:szCs w:val="22"/>
          <w:lang w:eastAsia="en-US"/>
        </w:rPr>
        <w:t>Professional</w:t>
      </w:r>
      <w:r w:rsidRPr="006B1A5A">
        <w:rPr>
          <w:rFonts w:eastAsia="Calibri"/>
          <w:b/>
          <w:i/>
          <w:sz w:val="22"/>
          <w:szCs w:val="22"/>
          <w:lang w:eastAsia="en-US"/>
        </w:rPr>
        <w:t xml:space="preserve"> use </w:t>
      </w:r>
    </w:p>
    <w:p w14:paraId="695C3DE0" w14:textId="77777777" w:rsidR="00375520" w:rsidRDefault="00375520" w:rsidP="001042DA">
      <w:pPr>
        <w:spacing w:line="260" w:lineRule="atLeast"/>
        <w:jc w:val="both"/>
        <w:rPr>
          <w:sz w:val="22"/>
          <w:szCs w:val="22"/>
        </w:rPr>
      </w:pPr>
    </w:p>
    <w:p w14:paraId="1A5FB83F" w14:textId="76384FD9" w:rsidR="001042DA" w:rsidRPr="006B1A5A" w:rsidRDefault="001042DA" w:rsidP="001042DA">
      <w:pPr>
        <w:spacing w:line="260" w:lineRule="atLeast"/>
        <w:jc w:val="both"/>
        <w:rPr>
          <w:sz w:val="22"/>
          <w:szCs w:val="22"/>
        </w:rPr>
      </w:pPr>
      <w:r w:rsidRPr="006B1A5A">
        <w:rPr>
          <w:sz w:val="22"/>
          <w:szCs w:val="22"/>
        </w:rPr>
        <w:t>Scenario 2: Net deployment</w:t>
      </w:r>
    </w:p>
    <w:p w14:paraId="652C1084" w14:textId="77777777" w:rsidR="001042DA" w:rsidRPr="006B1A5A" w:rsidRDefault="001042DA" w:rsidP="001042DA">
      <w:pPr>
        <w:spacing w:line="260" w:lineRule="atLeast"/>
        <w:jc w:val="both"/>
        <w:rPr>
          <w:sz w:val="22"/>
          <w:szCs w:val="22"/>
        </w:rPr>
      </w:pPr>
    </w:p>
    <w:p w14:paraId="66828AAB" w14:textId="77777777" w:rsidR="001042DA" w:rsidRPr="006B1A5A" w:rsidRDefault="001042DA" w:rsidP="001042DA">
      <w:pPr>
        <w:keepNext/>
        <w:jc w:val="both"/>
      </w:pPr>
      <w:bookmarkStart w:id="1654" w:name="_Hlk19741288"/>
      <w:r w:rsidRPr="006B1A5A">
        <w:t xml:space="preserve">The predicted levels of systemic exposure of operators to copper and thiocyanate when performing net deployment activities are summarised and compared with the relevant AEL-values below. </w:t>
      </w:r>
    </w:p>
    <w:bookmarkEnd w:id="1654"/>
    <w:p w14:paraId="390E9F7C" w14:textId="77777777" w:rsidR="001042DA" w:rsidRPr="006B1A5A" w:rsidRDefault="001042DA" w:rsidP="001042DA">
      <w:pPr>
        <w:keepNext/>
        <w:jc w:val="both"/>
        <w:rPr>
          <w:sz w:val="22"/>
          <w:szCs w:val="22"/>
        </w:rPr>
      </w:pPr>
    </w:p>
    <w:tbl>
      <w:tblPr>
        <w:tblStyle w:val="Tabellrutenett"/>
        <w:tblW w:w="9214" w:type="dxa"/>
        <w:tblLook w:val="04A0" w:firstRow="1" w:lastRow="0" w:firstColumn="1" w:lastColumn="0" w:noHBand="0" w:noVBand="1"/>
      </w:tblPr>
      <w:tblGrid>
        <w:gridCol w:w="1774"/>
        <w:gridCol w:w="1902"/>
        <w:gridCol w:w="240"/>
        <w:gridCol w:w="1613"/>
        <w:gridCol w:w="1842"/>
        <w:gridCol w:w="1843"/>
      </w:tblGrid>
      <w:tr w:rsidR="001042DA" w:rsidRPr="006B1A5A" w14:paraId="0C1330F1" w14:textId="77777777" w:rsidTr="00AF2AEA">
        <w:trPr>
          <w:gridAfter w:val="4"/>
          <w:wAfter w:w="5538" w:type="dxa"/>
          <w:tblHeader/>
        </w:trPr>
        <w:tc>
          <w:tcPr>
            <w:tcW w:w="1774" w:type="dxa"/>
            <w:tcBorders>
              <w:top w:val="nil"/>
              <w:left w:val="nil"/>
              <w:bottom w:val="single" w:sz="4" w:space="0" w:color="auto"/>
              <w:right w:val="nil"/>
            </w:tcBorders>
          </w:tcPr>
          <w:p w14:paraId="010917F7" w14:textId="77777777" w:rsidR="001042DA" w:rsidRPr="006B1A5A" w:rsidRDefault="001042DA" w:rsidP="00AF2AEA">
            <w:pPr>
              <w:keepNext/>
              <w:spacing w:line="260" w:lineRule="atLeast"/>
              <w:jc w:val="both"/>
              <w:rPr>
                <w:b/>
              </w:rPr>
            </w:pPr>
          </w:p>
        </w:tc>
        <w:tc>
          <w:tcPr>
            <w:tcW w:w="1902" w:type="dxa"/>
            <w:tcBorders>
              <w:top w:val="nil"/>
              <w:left w:val="nil"/>
              <w:bottom w:val="single" w:sz="4" w:space="0" w:color="auto"/>
              <w:right w:val="nil"/>
            </w:tcBorders>
          </w:tcPr>
          <w:p w14:paraId="54E90FE2" w14:textId="77777777" w:rsidR="001042DA" w:rsidRPr="006B1A5A" w:rsidRDefault="001042DA" w:rsidP="00AF2AEA">
            <w:pPr>
              <w:keepNext/>
              <w:spacing w:line="260" w:lineRule="atLeast"/>
              <w:jc w:val="both"/>
              <w:rPr>
                <w:b/>
              </w:rPr>
            </w:pPr>
          </w:p>
        </w:tc>
      </w:tr>
      <w:tr w:rsidR="001042DA" w:rsidRPr="006B1A5A" w14:paraId="2E1D1490" w14:textId="77777777" w:rsidTr="00AF2AEA">
        <w:trPr>
          <w:tblHeader/>
        </w:trPr>
        <w:tc>
          <w:tcPr>
            <w:tcW w:w="9214" w:type="dxa"/>
            <w:gridSpan w:val="6"/>
            <w:tcBorders>
              <w:top w:val="single" w:sz="4" w:space="0" w:color="auto"/>
              <w:bottom w:val="single" w:sz="4" w:space="0" w:color="auto"/>
            </w:tcBorders>
            <w:shd w:val="clear" w:color="auto" w:fill="FFFFCC"/>
            <w:vAlign w:val="center"/>
          </w:tcPr>
          <w:p w14:paraId="57493257" w14:textId="77777777" w:rsidR="001042DA" w:rsidRPr="006B1A5A" w:rsidRDefault="001042DA" w:rsidP="00AF2AEA">
            <w:pPr>
              <w:keepNext/>
              <w:spacing w:line="260" w:lineRule="atLeast"/>
              <w:jc w:val="center"/>
              <w:rPr>
                <w:b/>
              </w:rPr>
            </w:pPr>
            <w:r w:rsidRPr="006B1A5A">
              <w:rPr>
                <w:b/>
              </w:rPr>
              <w:t xml:space="preserve"> Risk characterisation of professional use</w:t>
            </w:r>
          </w:p>
        </w:tc>
      </w:tr>
      <w:tr w:rsidR="001042DA" w:rsidRPr="006B1A5A" w14:paraId="4883470D" w14:textId="77777777" w:rsidTr="00AF2AEA">
        <w:tc>
          <w:tcPr>
            <w:tcW w:w="1774" w:type="dxa"/>
            <w:tcBorders>
              <w:top w:val="single" w:sz="4" w:space="0" w:color="auto"/>
            </w:tcBorders>
            <w:shd w:val="clear" w:color="auto" w:fill="D9D9D9" w:themeFill="background1" w:themeFillShade="D9"/>
          </w:tcPr>
          <w:p w14:paraId="2CAAB3CD" w14:textId="77777777" w:rsidR="001042DA" w:rsidRPr="006B1A5A" w:rsidRDefault="001042DA" w:rsidP="00AF2AEA">
            <w:pPr>
              <w:spacing w:line="260" w:lineRule="atLeast"/>
              <w:jc w:val="center"/>
              <w:rPr>
                <w:b/>
              </w:rPr>
            </w:pPr>
            <w:r w:rsidRPr="006B1A5A">
              <w:rPr>
                <w:b/>
              </w:rPr>
              <w:t>Exposure scenario</w:t>
            </w:r>
          </w:p>
        </w:tc>
        <w:tc>
          <w:tcPr>
            <w:tcW w:w="2142" w:type="dxa"/>
            <w:gridSpan w:val="2"/>
            <w:tcBorders>
              <w:top w:val="single" w:sz="4" w:space="0" w:color="auto"/>
            </w:tcBorders>
            <w:shd w:val="clear" w:color="auto" w:fill="D9D9D9" w:themeFill="background1" w:themeFillShade="D9"/>
          </w:tcPr>
          <w:p w14:paraId="2BC090FF" w14:textId="77777777" w:rsidR="001042DA" w:rsidRPr="006B1A5A" w:rsidRDefault="001042DA" w:rsidP="00AF2AEA">
            <w:pPr>
              <w:spacing w:line="260" w:lineRule="atLeast"/>
              <w:jc w:val="center"/>
            </w:pPr>
            <w:r w:rsidRPr="006B1A5A">
              <w:t>Tier/PPE</w:t>
            </w:r>
          </w:p>
        </w:tc>
        <w:tc>
          <w:tcPr>
            <w:tcW w:w="1613" w:type="dxa"/>
            <w:shd w:val="clear" w:color="auto" w:fill="D9D9D9" w:themeFill="background1" w:themeFillShade="D9"/>
            <w:vAlign w:val="center"/>
          </w:tcPr>
          <w:p w14:paraId="15875218" w14:textId="77777777" w:rsidR="001042DA" w:rsidRPr="006B1A5A" w:rsidRDefault="001042DA" w:rsidP="00AF2AEA">
            <w:pPr>
              <w:spacing w:line="260" w:lineRule="atLeast"/>
              <w:jc w:val="center"/>
            </w:pPr>
            <w:r w:rsidRPr="006B1A5A">
              <w:t>Estimated total systemic uptake (mg/kg bw)</w:t>
            </w:r>
          </w:p>
        </w:tc>
        <w:tc>
          <w:tcPr>
            <w:tcW w:w="1842" w:type="dxa"/>
            <w:shd w:val="clear" w:color="auto" w:fill="D9D9D9" w:themeFill="background1" w:themeFillShade="D9"/>
          </w:tcPr>
          <w:p w14:paraId="036512D4" w14:textId="77777777" w:rsidR="001042DA" w:rsidRPr="006B1A5A" w:rsidRDefault="001042DA" w:rsidP="00AF2AEA">
            <w:pPr>
              <w:spacing w:line="260" w:lineRule="atLeast"/>
              <w:jc w:val="center"/>
              <w:rPr>
                <w:b/>
              </w:rPr>
            </w:pPr>
            <w:r w:rsidRPr="006B1A5A">
              <w:t>AEL</w:t>
            </w:r>
            <w:r w:rsidRPr="006B1A5A">
              <w:rPr>
                <w:vertAlign w:val="subscript"/>
              </w:rPr>
              <w:t>Medium term</w:t>
            </w:r>
            <w:r w:rsidRPr="006B1A5A">
              <w:t xml:space="preserve"> (mg/kg bw/day)</w:t>
            </w:r>
          </w:p>
        </w:tc>
        <w:tc>
          <w:tcPr>
            <w:tcW w:w="1843" w:type="dxa"/>
            <w:shd w:val="clear" w:color="auto" w:fill="D9D9D9" w:themeFill="background1" w:themeFillShade="D9"/>
          </w:tcPr>
          <w:p w14:paraId="578FF3A8" w14:textId="77777777" w:rsidR="001042DA" w:rsidRPr="006B1A5A" w:rsidRDefault="001042DA" w:rsidP="00AF2AEA">
            <w:pPr>
              <w:spacing w:line="260" w:lineRule="atLeast"/>
              <w:jc w:val="center"/>
              <w:rPr>
                <w:b/>
              </w:rPr>
            </w:pPr>
            <w:r w:rsidRPr="006B1A5A">
              <w:rPr>
                <w:b/>
              </w:rPr>
              <w:t>Exposure/AEL</w:t>
            </w:r>
          </w:p>
        </w:tc>
      </w:tr>
      <w:tr w:rsidR="001042DA" w:rsidRPr="006B1A5A" w14:paraId="76C3AFE9" w14:textId="77777777" w:rsidTr="00AF2AEA">
        <w:tc>
          <w:tcPr>
            <w:tcW w:w="9214" w:type="dxa"/>
            <w:gridSpan w:val="6"/>
            <w:tcBorders>
              <w:top w:val="single" w:sz="4" w:space="0" w:color="auto"/>
            </w:tcBorders>
            <w:vAlign w:val="center"/>
          </w:tcPr>
          <w:p w14:paraId="6F49A173" w14:textId="77777777" w:rsidR="001042DA" w:rsidRPr="006B1A5A" w:rsidRDefault="001042DA" w:rsidP="00AF2AEA">
            <w:pPr>
              <w:spacing w:line="260" w:lineRule="atLeast"/>
              <w:jc w:val="center"/>
              <w:rPr>
                <w:b/>
              </w:rPr>
            </w:pPr>
          </w:p>
        </w:tc>
      </w:tr>
      <w:tr w:rsidR="001042DA" w:rsidRPr="006B1A5A" w14:paraId="6014CBFE" w14:textId="77777777" w:rsidTr="00AF2AEA">
        <w:tc>
          <w:tcPr>
            <w:tcW w:w="9214" w:type="dxa"/>
            <w:gridSpan w:val="6"/>
            <w:tcBorders>
              <w:top w:val="single" w:sz="4" w:space="0" w:color="auto"/>
            </w:tcBorders>
            <w:vAlign w:val="center"/>
          </w:tcPr>
          <w:p w14:paraId="4C4076A7" w14:textId="77777777" w:rsidR="001042DA" w:rsidRPr="006B1A5A" w:rsidRDefault="001042DA" w:rsidP="00AF2AEA">
            <w:pPr>
              <w:spacing w:line="260" w:lineRule="atLeast"/>
              <w:jc w:val="center"/>
              <w:rPr>
                <w:b/>
              </w:rPr>
            </w:pPr>
            <w:r w:rsidRPr="006B1A5A">
              <w:rPr>
                <w:b/>
              </w:rPr>
              <w:t>AquaNet HG 360</w:t>
            </w:r>
          </w:p>
        </w:tc>
      </w:tr>
      <w:tr w:rsidR="001042DA" w:rsidRPr="006B1A5A" w14:paraId="4D448F43" w14:textId="77777777" w:rsidTr="00AF2AEA">
        <w:tc>
          <w:tcPr>
            <w:tcW w:w="9214" w:type="dxa"/>
            <w:gridSpan w:val="6"/>
          </w:tcPr>
          <w:p w14:paraId="18E2BB9F" w14:textId="77777777" w:rsidR="001042DA" w:rsidRPr="006B1A5A" w:rsidRDefault="001042DA" w:rsidP="00AF2AEA">
            <w:pPr>
              <w:spacing w:line="260" w:lineRule="atLeast"/>
              <w:jc w:val="center"/>
            </w:pPr>
          </w:p>
        </w:tc>
      </w:tr>
      <w:tr w:rsidR="001042DA" w:rsidRPr="006B1A5A" w14:paraId="54419340" w14:textId="77777777" w:rsidTr="00AF2AEA">
        <w:tc>
          <w:tcPr>
            <w:tcW w:w="9214" w:type="dxa"/>
            <w:gridSpan w:val="6"/>
          </w:tcPr>
          <w:p w14:paraId="5A38E8A3" w14:textId="6801DF11" w:rsidR="001042DA" w:rsidRPr="006B1A5A" w:rsidRDefault="00787F7E" w:rsidP="00AF2AEA">
            <w:pPr>
              <w:spacing w:line="260" w:lineRule="atLeast"/>
              <w:jc w:val="center"/>
            </w:pPr>
            <w:r>
              <w:rPr>
                <w:b/>
              </w:rPr>
              <w:t>Copper</w:t>
            </w:r>
          </w:p>
        </w:tc>
      </w:tr>
      <w:tr w:rsidR="001042DA" w:rsidRPr="006B1A5A" w14:paraId="1491B98B" w14:textId="77777777" w:rsidTr="00AF2AEA">
        <w:tc>
          <w:tcPr>
            <w:tcW w:w="1774" w:type="dxa"/>
            <w:shd w:val="clear" w:color="auto" w:fill="D9D9D9" w:themeFill="background1" w:themeFillShade="D9"/>
          </w:tcPr>
          <w:p w14:paraId="72BAD683" w14:textId="77777777" w:rsidR="001042DA" w:rsidRPr="006B1A5A" w:rsidRDefault="001042DA" w:rsidP="00AF2AEA">
            <w:pPr>
              <w:spacing w:line="260" w:lineRule="atLeast"/>
            </w:pPr>
            <w:r w:rsidRPr="006B1A5A">
              <w:t>Professional deployment of nets</w:t>
            </w:r>
          </w:p>
        </w:tc>
        <w:tc>
          <w:tcPr>
            <w:tcW w:w="2142" w:type="dxa"/>
            <w:gridSpan w:val="2"/>
          </w:tcPr>
          <w:p w14:paraId="04C45EBF" w14:textId="77777777" w:rsidR="001042DA" w:rsidRPr="006B1A5A" w:rsidRDefault="001042DA" w:rsidP="00AF2AEA">
            <w:pPr>
              <w:spacing w:line="260" w:lineRule="atLeast"/>
            </w:pPr>
            <w:r w:rsidRPr="006B1A5A">
              <w:t>Tier 1; No PPE (100% penetration) gloves (indicative values are actual inside gloves)</w:t>
            </w:r>
          </w:p>
        </w:tc>
        <w:tc>
          <w:tcPr>
            <w:tcW w:w="1613" w:type="dxa"/>
            <w:vAlign w:val="center"/>
          </w:tcPr>
          <w:p w14:paraId="7C73824D" w14:textId="343FAED0" w:rsidR="001042DA" w:rsidRPr="006B1A5A" w:rsidRDefault="001F2921" w:rsidP="00AF2AEA">
            <w:pPr>
              <w:spacing w:line="260" w:lineRule="atLeast"/>
              <w:jc w:val="center"/>
            </w:pPr>
            <w:r>
              <w:t>0.023</w:t>
            </w:r>
          </w:p>
        </w:tc>
        <w:tc>
          <w:tcPr>
            <w:tcW w:w="1842" w:type="dxa"/>
            <w:vAlign w:val="center"/>
          </w:tcPr>
          <w:p w14:paraId="765AB7A9" w14:textId="1CFCB89D" w:rsidR="001042DA" w:rsidRPr="006B1A5A" w:rsidRDefault="001042DA" w:rsidP="00AF2AEA">
            <w:pPr>
              <w:spacing w:line="260" w:lineRule="atLeast"/>
              <w:jc w:val="center"/>
            </w:pPr>
            <w:r w:rsidRPr="006B1A5A">
              <w:t>0.082</w:t>
            </w:r>
          </w:p>
        </w:tc>
        <w:tc>
          <w:tcPr>
            <w:tcW w:w="1843" w:type="dxa"/>
            <w:vAlign w:val="center"/>
          </w:tcPr>
          <w:p w14:paraId="1144B99F" w14:textId="0A223A82" w:rsidR="001042DA" w:rsidRPr="006B1A5A" w:rsidRDefault="001F2921" w:rsidP="00AF2AEA">
            <w:pPr>
              <w:spacing w:line="260" w:lineRule="atLeast"/>
              <w:jc w:val="center"/>
            </w:pPr>
            <w:r>
              <w:t>0.29</w:t>
            </w:r>
          </w:p>
        </w:tc>
      </w:tr>
      <w:tr w:rsidR="001042DA" w:rsidRPr="006B1A5A" w14:paraId="34D67DB5" w14:textId="77777777" w:rsidTr="00AF2AEA">
        <w:tc>
          <w:tcPr>
            <w:tcW w:w="9214" w:type="dxa"/>
            <w:gridSpan w:val="6"/>
          </w:tcPr>
          <w:p w14:paraId="3587C67D" w14:textId="25298D06" w:rsidR="001042DA" w:rsidRPr="006B1A5A" w:rsidRDefault="00787F7E" w:rsidP="00AF2AEA">
            <w:pPr>
              <w:spacing w:line="260" w:lineRule="atLeast"/>
              <w:jc w:val="center"/>
            </w:pPr>
            <w:r>
              <w:rPr>
                <w:b/>
              </w:rPr>
              <w:t>Thiocyanate</w:t>
            </w:r>
          </w:p>
        </w:tc>
      </w:tr>
      <w:tr w:rsidR="001042DA" w:rsidRPr="006B1A5A" w14:paraId="183721DA" w14:textId="77777777" w:rsidTr="00AF2AEA">
        <w:tc>
          <w:tcPr>
            <w:tcW w:w="1774" w:type="dxa"/>
            <w:shd w:val="clear" w:color="auto" w:fill="D9D9D9" w:themeFill="background1" w:themeFillShade="D9"/>
          </w:tcPr>
          <w:p w14:paraId="23A1497E" w14:textId="77777777" w:rsidR="001042DA" w:rsidRPr="006B1A5A" w:rsidRDefault="001042DA" w:rsidP="00AF2AEA">
            <w:pPr>
              <w:spacing w:line="260" w:lineRule="atLeast"/>
            </w:pPr>
            <w:r w:rsidRPr="006B1A5A">
              <w:t>Professional deployment of nets</w:t>
            </w:r>
          </w:p>
        </w:tc>
        <w:tc>
          <w:tcPr>
            <w:tcW w:w="2142" w:type="dxa"/>
            <w:gridSpan w:val="2"/>
          </w:tcPr>
          <w:p w14:paraId="7D8D3E36" w14:textId="77777777" w:rsidR="001042DA" w:rsidRPr="006B1A5A" w:rsidRDefault="001042DA" w:rsidP="00AF2AEA">
            <w:pPr>
              <w:spacing w:line="260" w:lineRule="atLeast"/>
            </w:pPr>
            <w:r w:rsidRPr="006B1A5A">
              <w:t>Tier 1; No PPE (100% penetration) gloves (indicative values are actual inside gloves)</w:t>
            </w:r>
          </w:p>
        </w:tc>
        <w:tc>
          <w:tcPr>
            <w:tcW w:w="1613" w:type="dxa"/>
            <w:vAlign w:val="center"/>
          </w:tcPr>
          <w:p w14:paraId="2E989CD9" w14:textId="5E2B31A4" w:rsidR="001042DA" w:rsidRPr="006B1A5A" w:rsidRDefault="001F2921" w:rsidP="00AF2AEA">
            <w:pPr>
              <w:spacing w:line="260" w:lineRule="atLeast"/>
              <w:jc w:val="center"/>
            </w:pPr>
            <w:r>
              <w:t>0.043</w:t>
            </w:r>
          </w:p>
        </w:tc>
        <w:tc>
          <w:tcPr>
            <w:tcW w:w="1842" w:type="dxa"/>
            <w:vAlign w:val="center"/>
          </w:tcPr>
          <w:p w14:paraId="2FC5F4CB" w14:textId="77777777" w:rsidR="001042DA" w:rsidRPr="006B1A5A" w:rsidRDefault="001042DA" w:rsidP="00AF2AEA">
            <w:pPr>
              <w:spacing w:line="260" w:lineRule="atLeast"/>
              <w:jc w:val="center"/>
            </w:pPr>
            <w:r w:rsidRPr="006B1A5A">
              <w:t>0.17</w:t>
            </w:r>
          </w:p>
        </w:tc>
        <w:tc>
          <w:tcPr>
            <w:tcW w:w="1843" w:type="dxa"/>
            <w:vAlign w:val="center"/>
          </w:tcPr>
          <w:p w14:paraId="584CDFEB" w14:textId="3A1C450F" w:rsidR="001042DA" w:rsidRPr="006B1A5A" w:rsidRDefault="001F2921" w:rsidP="00AF2AEA">
            <w:pPr>
              <w:spacing w:line="260" w:lineRule="atLeast"/>
              <w:jc w:val="center"/>
            </w:pPr>
            <w:r>
              <w:t>0.25</w:t>
            </w:r>
          </w:p>
        </w:tc>
      </w:tr>
      <w:tr w:rsidR="001042DA" w:rsidRPr="006B1A5A" w14:paraId="0B589160" w14:textId="77777777" w:rsidTr="00AF2AEA">
        <w:tc>
          <w:tcPr>
            <w:tcW w:w="9214" w:type="dxa"/>
            <w:gridSpan w:val="6"/>
          </w:tcPr>
          <w:p w14:paraId="161A55C1" w14:textId="77777777" w:rsidR="001042DA" w:rsidRPr="006B1A5A" w:rsidRDefault="001042DA" w:rsidP="00AF2AEA">
            <w:pPr>
              <w:spacing w:line="260" w:lineRule="atLeast"/>
              <w:jc w:val="center"/>
            </w:pPr>
          </w:p>
        </w:tc>
      </w:tr>
      <w:tr w:rsidR="001042DA" w:rsidRPr="006B1A5A" w14:paraId="7686A5F0" w14:textId="77777777" w:rsidTr="00AF2AEA">
        <w:tc>
          <w:tcPr>
            <w:tcW w:w="9214" w:type="dxa"/>
            <w:gridSpan w:val="6"/>
          </w:tcPr>
          <w:p w14:paraId="5FCDD58F" w14:textId="77777777" w:rsidR="001042DA" w:rsidRPr="006B1A5A" w:rsidRDefault="001042DA" w:rsidP="00AF2AEA">
            <w:pPr>
              <w:spacing w:line="260" w:lineRule="atLeast"/>
              <w:jc w:val="center"/>
            </w:pPr>
            <w:r w:rsidRPr="006B1A5A">
              <w:rPr>
                <w:b/>
              </w:rPr>
              <w:t>AquaNet LG 360</w:t>
            </w:r>
          </w:p>
        </w:tc>
      </w:tr>
      <w:tr w:rsidR="001042DA" w:rsidRPr="006B1A5A" w14:paraId="526E7DA1" w14:textId="77777777" w:rsidTr="00AF2AEA">
        <w:tc>
          <w:tcPr>
            <w:tcW w:w="9214" w:type="dxa"/>
            <w:gridSpan w:val="6"/>
          </w:tcPr>
          <w:p w14:paraId="2698E3F9" w14:textId="77777777" w:rsidR="001042DA" w:rsidRPr="006B1A5A" w:rsidRDefault="001042DA" w:rsidP="00AF2AEA">
            <w:pPr>
              <w:spacing w:line="260" w:lineRule="atLeast"/>
              <w:jc w:val="center"/>
            </w:pPr>
          </w:p>
        </w:tc>
      </w:tr>
      <w:tr w:rsidR="001042DA" w:rsidRPr="006B1A5A" w14:paraId="048D6998" w14:textId="77777777" w:rsidTr="00AF2AEA">
        <w:tc>
          <w:tcPr>
            <w:tcW w:w="9214" w:type="dxa"/>
            <w:gridSpan w:val="6"/>
          </w:tcPr>
          <w:p w14:paraId="73D66FD6" w14:textId="03E0ED8C" w:rsidR="001042DA" w:rsidRPr="006B1A5A" w:rsidRDefault="00787F7E" w:rsidP="00AF2AEA">
            <w:pPr>
              <w:spacing w:line="260" w:lineRule="atLeast"/>
              <w:jc w:val="center"/>
            </w:pPr>
            <w:r>
              <w:rPr>
                <w:b/>
              </w:rPr>
              <w:t>Copper</w:t>
            </w:r>
          </w:p>
        </w:tc>
      </w:tr>
      <w:tr w:rsidR="001042DA" w:rsidRPr="006B1A5A" w14:paraId="60CD505C" w14:textId="77777777" w:rsidTr="00AF2AEA">
        <w:tc>
          <w:tcPr>
            <w:tcW w:w="1774" w:type="dxa"/>
            <w:shd w:val="clear" w:color="auto" w:fill="D9D9D9" w:themeFill="background1" w:themeFillShade="D9"/>
          </w:tcPr>
          <w:p w14:paraId="4018A1A5" w14:textId="77777777" w:rsidR="001042DA" w:rsidRPr="006B1A5A" w:rsidRDefault="001042DA" w:rsidP="00AF2AEA">
            <w:pPr>
              <w:spacing w:line="260" w:lineRule="atLeast"/>
            </w:pPr>
            <w:r w:rsidRPr="006B1A5A">
              <w:t>Professional deployment of nets</w:t>
            </w:r>
          </w:p>
        </w:tc>
        <w:tc>
          <w:tcPr>
            <w:tcW w:w="2142" w:type="dxa"/>
            <w:gridSpan w:val="2"/>
          </w:tcPr>
          <w:p w14:paraId="0BFDFDFA" w14:textId="77777777" w:rsidR="001042DA" w:rsidRPr="006B1A5A" w:rsidRDefault="001042DA" w:rsidP="00AF2AEA">
            <w:pPr>
              <w:spacing w:line="260" w:lineRule="atLeast"/>
            </w:pPr>
            <w:r w:rsidRPr="006B1A5A">
              <w:t>Tier 1; No PPE (100% penetration) gloves (indicative values are actual inside gloves)</w:t>
            </w:r>
          </w:p>
        </w:tc>
        <w:tc>
          <w:tcPr>
            <w:tcW w:w="1613" w:type="dxa"/>
            <w:vAlign w:val="center"/>
          </w:tcPr>
          <w:p w14:paraId="2A051ACA" w14:textId="2503265D" w:rsidR="001042DA" w:rsidRPr="006B1A5A" w:rsidRDefault="001F2921" w:rsidP="00AF2AEA">
            <w:pPr>
              <w:spacing w:line="260" w:lineRule="atLeast"/>
              <w:jc w:val="center"/>
            </w:pPr>
            <w:r>
              <w:t>0.012</w:t>
            </w:r>
          </w:p>
        </w:tc>
        <w:tc>
          <w:tcPr>
            <w:tcW w:w="1842" w:type="dxa"/>
            <w:vAlign w:val="center"/>
          </w:tcPr>
          <w:p w14:paraId="20E18F5A" w14:textId="2EED0143" w:rsidR="001042DA" w:rsidRPr="006B1A5A" w:rsidRDefault="001042DA" w:rsidP="00AF2AEA">
            <w:pPr>
              <w:spacing w:line="260" w:lineRule="atLeast"/>
              <w:jc w:val="center"/>
            </w:pPr>
            <w:r w:rsidRPr="006B1A5A">
              <w:t>0.082</w:t>
            </w:r>
          </w:p>
        </w:tc>
        <w:tc>
          <w:tcPr>
            <w:tcW w:w="1843" w:type="dxa"/>
            <w:vAlign w:val="center"/>
          </w:tcPr>
          <w:p w14:paraId="08452C9E" w14:textId="04E3747D" w:rsidR="001042DA" w:rsidRPr="006B1A5A" w:rsidRDefault="001F2921" w:rsidP="00AF2AEA">
            <w:pPr>
              <w:spacing w:line="260" w:lineRule="atLeast"/>
              <w:jc w:val="center"/>
            </w:pPr>
            <w:r>
              <w:t>0.15</w:t>
            </w:r>
          </w:p>
        </w:tc>
      </w:tr>
      <w:tr w:rsidR="001042DA" w:rsidRPr="006B1A5A" w14:paraId="2FD4C502" w14:textId="77777777" w:rsidTr="00AF2AEA">
        <w:tc>
          <w:tcPr>
            <w:tcW w:w="9214" w:type="dxa"/>
            <w:gridSpan w:val="6"/>
          </w:tcPr>
          <w:p w14:paraId="3F90C4A5" w14:textId="66356376" w:rsidR="001042DA" w:rsidRPr="006B1A5A" w:rsidRDefault="00787F7E" w:rsidP="00AF2AEA">
            <w:pPr>
              <w:spacing w:line="260" w:lineRule="atLeast"/>
              <w:jc w:val="center"/>
            </w:pPr>
            <w:r>
              <w:rPr>
                <w:b/>
              </w:rPr>
              <w:t>Thiocyanate</w:t>
            </w:r>
          </w:p>
        </w:tc>
      </w:tr>
      <w:tr w:rsidR="001042DA" w:rsidRPr="006B1A5A" w14:paraId="1C8E8153" w14:textId="77777777" w:rsidTr="00AF2AEA">
        <w:tc>
          <w:tcPr>
            <w:tcW w:w="1774" w:type="dxa"/>
            <w:shd w:val="clear" w:color="auto" w:fill="D9D9D9" w:themeFill="background1" w:themeFillShade="D9"/>
          </w:tcPr>
          <w:p w14:paraId="1096BA1E" w14:textId="77777777" w:rsidR="001042DA" w:rsidRPr="006B1A5A" w:rsidRDefault="001042DA" w:rsidP="00AF2AEA">
            <w:pPr>
              <w:spacing w:line="260" w:lineRule="atLeast"/>
            </w:pPr>
            <w:r w:rsidRPr="006B1A5A">
              <w:t>Professional deployment of nets</w:t>
            </w:r>
          </w:p>
        </w:tc>
        <w:tc>
          <w:tcPr>
            <w:tcW w:w="2142" w:type="dxa"/>
            <w:gridSpan w:val="2"/>
          </w:tcPr>
          <w:p w14:paraId="016EC2F4" w14:textId="77777777" w:rsidR="001042DA" w:rsidRPr="006B1A5A" w:rsidRDefault="001042DA" w:rsidP="00AF2AEA">
            <w:pPr>
              <w:spacing w:line="260" w:lineRule="atLeast"/>
            </w:pPr>
            <w:r w:rsidRPr="006B1A5A">
              <w:t>Tier 1; No PPE (100% penetration) gloves (indicative values are actual inside gloves)</w:t>
            </w:r>
          </w:p>
        </w:tc>
        <w:tc>
          <w:tcPr>
            <w:tcW w:w="1613" w:type="dxa"/>
            <w:vAlign w:val="center"/>
          </w:tcPr>
          <w:p w14:paraId="1139CB02" w14:textId="24F88374" w:rsidR="001042DA" w:rsidRPr="006B1A5A" w:rsidRDefault="001F2921" w:rsidP="00AF2AEA">
            <w:pPr>
              <w:spacing w:line="260" w:lineRule="atLeast"/>
              <w:jc w:val="center"/>
            </w:pPr>
            <w:r>
              <w:t>0.02</w:t>
            </w:r>
          </w:p>
        </w:tc>
        <w:tc>
          <w:tcPr>
            <w:tcW w:w="1842" w:type="dxa"/>
            <w:vAlign w:val="center"/>
          </w:tcPr>
          <w:p w14:paraId="712DC053" w14:textId="77777777" w:rsidR="001042DA" w:rsidRPr="006B1A5A" w:rsidRDefault="001042DA" w:rsidP="00AF2AEA">
            <w:pPr>
              <w:spacing w:line="260" w:lineRule="atLeast"/>
              <w:jc w:val="center"/>
            </w:pPr>
            <w:r w:rsidRPr="006B1A5A">
              <w:t>0.17</w:t>
            </w:r>
          </w:p>
        </w:tc>
        <w:tc>
          <w:tcPr>
            <w:tcW w:w="1843" w:type="dxa"/>
            <w:vAlign w:val="center"/>
          </w:tcPr>
          <w:p w14:paraId="03382921" w14:textId="6CD7BAC7" w:rsidR="001042DA" w:rsidRPr="006B1A5A" w:rsidRDefault="001F2921" w:rsidP="00AF2AEA">
            <w:pPr>
              <w:spacing w:line="260" w:lineRule="atLeast"/>
              <w:jc w:val="center"/>
            </w:pPr>
            <w:r>
              <w:t>0.12</w:t>
            </w:r>
          </w:p>
        </w:tc>
      </w:tr>
      <w:tr w:rsidR="001042DA" w:rsidRPr="006B1A5A" w14:paraId="1233BFA7" w14:textId="77777777" w:rsidTr="00AF2AEA">
        <w:tc>
          <w:tcPr>
            <w:tcW w:w="9214" w:type="dxa"/>
            <w:gridSpan w:val="6"/>
          </w:tcPr>
          <w:p w14:paraId="220418AF" w14:textId="77777777" w:rsidR="001042DA" w:rsidRPr="006B1A5A" w:rsidRDefault="001042DA" w:rsidP="00AF2AEA">
            <w:pPr>
              <w:spacing w:line="260" w:lineRule="atLeast"/>
              <w:jc w:val="center"/>
            </w:pPr>
          </w:p>
        </w:tc>
      </w:tr>
      <w:tr w:rsidR="001042DA" w:rsidRPr="006B1A5A" w14:paraId="12939445" w14:textId="77777777" w:rsidTr="00AF2AEA">
        <w:tc>
          <w:tcPr>
            <w:tcW w:w="9214" w:type="dxa"/>
            <w:gridSpan w:val="6"/>
          </w:tcPr>
          <w:p w14:paraId="664C277B" w14:textId="77777777" w:rsidR="001042DA" w:rsidRPr="006B1A5A" w:rsidRDefault="001042DA" w:rsidP="00AF2AEA">
            <w:pPr>
              <w:spacing w:line="260" w:lineRule="atLeast"/>
              <w:jc w:val="center"/>
            </w:pPr>
            <w:r w:rsidRPr="006B1A5A">
              <w:rPr>
                <w:b/>
              </w:rPr>
              <w:t>AquaNet 360 RFU</w:t>
            </w:r>
          </w:p>
        </w:tc>
      </w:tr>
      <w:tr w:rsidR="001042DA" w:rsidRPr="006B1A5A" w14:paraId="5510F14E" w14:textId="77777777" w:rsidTr="00AF2AEA">
        <w:tc>
          <w:tcPr>
            <w:tcW w:w="9214" w:type="dxa"/>
            <w:gridSpan w:val="6"/>
          </w:tcPr>
          <w:p w14:paraId="42ABD4D6" w14:textId="77777777" w:rsidR="001042DA" w:rsidRPr="006B1A5A" w:rsidRDefault="001042DA" w:rsidP="00AF2AEA">
            <w:pPr>
              <w:spacing w:line="260" w:lineRule="atLeast"/>
              <w:jc w:val="center"/>
            </w:pPr>
          </w:p>
        </w:tc>
      </w:tr>
      <w:tr w:rsidR="001042DA" w:rsidRPr="006B1A5A" w14:paraId="32802D59" w14:textId="77777777" w:rsidTr="00AF2AEA">
        <w:tc>
          <w:tcPr>
            <w:tcW w:w="9214" w:type="dxa"/>
            <w:gridSpan w:val="6"/>
          </w:tcPr>
          <w:p w14:paraId="060615D5" w14:textId="067C3CE4" w:rsidR="001042DA" w:rsidRPr="00787F7E" w:rsidRDefault="00787F7E" w:rsidP="00AF2AEA">
            <w:pPr>
              <w:spacing w:line="260" w:lineRule="atLeast"/>
              <w:jc w:val="center"/>
            </w:pPr>
            <w:r>
              <w:rPr>
                <w:b/>
              </w:rPr>
              <w:t>Copper</w:t>
            </w:r>
          </w:p>
        </w:tc>
      </w:tr>
      <w:tr w:rsidR="001042DA" w:rsidRPr="006B1A5A" w14:paraId="44956EE3" w14:textId="77777777" w:rsidTr="00AF2AEA">
        <w:tc>
          <w:tcPr>
            <w:tcW w:w="1774" w:type="dxa"/>
            <w:shd w:val="clear" w:color="auto" w:fill="D9D9D9" w:themeFill="background1" w:themeFillShade="D9"/>
          </w:tcPr>
          <w:p w14:paraId="7A58862C" w14:textId="77777777" w:rsidR="001042DA" w:rsidRPr="006B1A5A" w:rsidRDefault="001042DA" w:rsidP="00AF2AEA">
            <w:pPr>
              <w:spacing w:line="260" w:lineRule="atLeast"/>
            </w:pPr>
            <w:r w:rsidRPr="006B1A5A">
              <w:t>Professional deployment of nets</w:t>
            </w:r>
          </w:p>
        </w:tc>
        <w:tc>
          <w:tcPr>
            <w:tcW w:w="2142" w:type="dxa"/>
            <w:gridSpan w:val="2"/>
          </w:tcPr>
          <w:p w14:paraId="312033D5" w14:textId="77777777" w:rsidR="001042DA" w:rsidRPr="006B1A5A" w:rsidRDefault="001042DA" w:rsidP="00AF2AEA">
            <w:pPr>
              <w:spacing w:line="260" w:lineRule="atLeast"/>
            </w:pPr>
            <w:r w:rsidRPr="006B1A5A">
              <w:t>Tier 1; No PPE (100% penetration) gloves (indicative values are actual inside gloves)</w:t>
            </w:r>
          </w:p>
        </w:tc>
        <w:tc>
          <w:tcPr>
            <w:tcW w:w="1613" w:type="dxa"/>
            <w:vAlign w:val="center"/>
          </w:tcPr>
          <w:p w14:paraId="3B7130F2" w14:textId="72531887" w:rsidR="001042DA" w:rsidRPr="006B1A5A" w:rsidRDefault="001F2921" w:rsidP="00AF2AEA">
            <w:pPr>
              <w:spacing w:line="260" w:lineRule="atLeast"/>
              <w:jc w:val="center"/>
            </w:pPr>
            <w:r>
              <w:t>0.0</w:t>
            </w:r>
            <w:r w:rsidR="00EE5A4E">
              <w:t>5</w:t>
            </w:r>
            <w:r w:rsidR="00161E9F">
              <w:t>0</w:t>
            </w:r>
          </w:p>
        </w:tc>
        <w:tc>
          <w:tcPr>
            <w:tcW w:w="1842" w:type="dxa"/>
            <w:vAlign w:val="center"/>
          </w:tcPr>
          <w:p w14:paraId="006F8118" w14:textId="17C75AA8" w:rsidR="001042DA" w:rsidRPr="00787F7E" w:rsidRDefault="001042DA" w:rsidP="00AF2AEA">
            <w:pPr>
              <w:spacing w:line="260" w:lineRule="atLeast"/>
              <w:jc w:val="center"/>
            </w:pPr>
            <w:r w:rsidRPr="00787F7E">
              <w:t>0.082</w:t>
            </w:r>
          </w:p>
        </w:tc>
        <w:tc>
          <w:tcPr>
            <w:tcW w:w="1843" w:type="dxa"/>
            <w:vAlign w:val="center"/>
          </w:tcPr>
          <w:p w14:paraId="50B82CA4" w14:textId="78E0F93D" w:rsidR="001042DA" w:rsidRPr="006B1A5A" w:rsidRDefault="001F2921" w:rsidP="00AF2AEA">
            <w:pPr>
              <w:spacing w:line="260" w:lineRule="atLeast"/>
              <w:jc w:val="center"/>
            </w:pPr>
            <w:r>
              <w:t>0.</w:t>
            </w:r>
            <w:r w:rsidR="00161E9F">
              <w:t>62</w:t>
            </w:r>
          </w:p>
        </w:tc>
      </w:tr>
      <w:tr w:rsidR="001042DA" w:rsidRPr="006B1A5A" w14:paraId="2F994F1E" w14:textId="77777777" w:rsidTr="00AF2AEA">
        <w:tc>
          <w:tcPr>
            <w:tcW w:w="9214" w:type="dxa"/>
            <w:gridSpan w:val="6"/>
          </w:tcPr>
          <w:p w14:paraId="33CBE191" w14:textId="066E270B" w:rsidR="001042DA" w:rsidRPr="006B1A5A" w:rsidRDefault="00787F7E" w:rsidP="00AF2AEA">
            <w:pPr>
              <w:spacing w:line="260" w:lineRule="atLeast"/>
              <w:jc w:val="center"/>
            </w:pPr>
            <w:r>
              <w:rPr>
                <w:b/>
              </w:rPr>
              <w:t>Thiocyanate</w:t>
            </w:r>
          </w:p>
        </w:tc>
      </w:tr>
      <w:tr w:rsidR="001042DA" w:rsidRPr="006B1A5A" w14:paraId="0E75837D" w14:textId="77777777" w:rsidTr="00AF2AEA">
        <w:tc>
          <w:tcPr>
            <w:tcW w:w="1774" w:type="dxa"/>
            <w:shd w:val="clear" w:color="auto" w:fill="D9D9D9" w:themeFill="background1" w:themeFillShade="D9"/>
          </w:tcPr>
          <w:p w14:paraId="277D0AC4" w14:textId="77777777" w:rsidR="001042DA" w:rsidRPr="006B1A5A" w:rsidRDefault="001042DA" w:rsidP="00AF2AEA">
            <w:pPr>
              <w:spacing w:line="260" w:lineRule="atLeast"/>
            </w:pPr>
            <w:r w:rsidRPr="006B1A5A">
              <w:t>Professional deployment of nets</w:t>
            </w:r>
          </w:p>
        </w:tc>
        <w:tc>
          <w:tcPr>
            <w:tcW w:w="2142" w:type="dxa"/>
            <w:gridSpan w:val="2"/>
          </w:tcPr>
          <w:p w14:paraId="0312C504" w14:textId="77777777" w:rsidR="001042DA" w:rsidRPr="006B1A5A" w:rsidRDefault="001042DA" w:rsidP="00AF2AEA">
            <w:pPr>
              <w:spacing w:line="260" w:lineRule="atLeast"/>
            </w:pPr>
            <w:r w:rsidRPr="006B1A5A">
              <w:t>Tier 1; No PPE (100% penetration) gloves (indicative values are actual inside gloves)</w:t>
            </w:r>
          </w:p>
        </w:tc>
        <w:tc>
          <w:tcPr>
            <w:tcW w:w="1613" w:type="dxa"/>
            <w:vAlign w:val="center"/>
          </w:tcPr>
          <w:p w14:paraId="021CECB2" w14:textId="12D320E2" w:rsidR="001042DA" w:rsidRPr="006B1A5A" w:rsidRDefault="001F2921" w:rsidP="00AF2AEA">
            <w:pPr>
              <w:spacing w:line="260" w:lineRule="atLeast"/>
              <w:jc w:val="center"/>
            </w:pPr>
            <w:r>
              <w:t>0.016</w:t>
            </w:r>
          </w:p>
        </w:tc>
        <w:tc>
          <w:tcPr>
            <w:tcW w:w="1842" w:type="dxa"/>
            <w:vAlign w:val="center"/>
          </w:tcPr>
          <w:p w14:paraId="2AB10BA9" w14:textId="77777777" w:rsidR="001042DA" w:rsidRPr="006B1A5A" w:rsidRDefault="001042DA" w:rsidP="00AF2AEA">
            <w:pPr>
              <w:spacing w:line="260" w:lineRule="atLeast"/>
              <w:jc w:val="center"/>
            </w:pPr>
            <w:r w:rsidRPr="006B1A5A">
              <w:t>0.17</w:t>
            </w:r>
          </w:p>
        </w:tc>
        <w:tc>
          <w:tcPr>
            <w:tcW w:w="1843" w:type="dxa"/>
            <w:vAlign w:val="center"/>
          </w:tcPr>
          <w:p w14:paraId="65191633" w14:textId="48A13852" w:rsidR="001042DA" w:rsidRPr="006B1A5A" w:rsidRDefault="001F2921" w:rsidP="00AF2AEA">
            <w:pPr>
              <w:spacing w:line="260" w:lineRule="atLeast"/>
              <w:jc w:val="center"/>
            </w:pPr>
            <w:r>
              <w:t>0.09</w:t>
            </w:r>
          </w:p>
        </w:tc>
      </w:tr>
    </w:tbl>
    <w:p w14:paraId="4D420789" w14:textId="77777777" w:rsidR="001042DA" w:rsidRPr="006B1A5A" w:rsidRDefault="001042DA" w:rsidP="001042DA">
      <w:pPr>
        <w:keepNext/>
        <w:jc w:val="both"/>
        <w:rPr>
          <w:sz w:val="22"/>
          <w:szCs w:val="22"/>
        </w:rPr>
      </w:pPr>
    </w:p>
    <w:p w14:paraId="7927E44A" w14:textId="77777777" w:rsidR="001042DA" w:rsidRPr="006B1A5A" w:rsidRDefault="001042DA" w:rsidP="001042DA">
      <w:pPr>
        <w:spacing w:line="260" w:lineRule="atLeast"/>
        <w:jc w:val="both"/>
      </w:pPr>
      <w:r w:rsidRPr="006B1A5A">
        <w:t>Conclusion: The risk from the systemic exposure to the AquaNet 360 biocidal product family members to professionals performing net deployment activities is acceptable in the Tier 1 assessment for all family members.</w:t>
      </w:r>
    </w:p>
    <w:p w14:paraId="0A6DDCB4" w14:textId="77777777" w:rsidR="001042DA" w:rsidRPr="006B1A5A" w:rsidRDefault="001042DA" w:rsidP="001042DA">
      <w:pPr>
        <w:rPr>
          <w:sz w:val="22"/>
          <w:szCs w:val="22"/>
          <w:highlight w:val="yellow"/>
        </w:rPr>
      </w:pPr>
    </w:p>
    <w:p w14:paraId="33B89592" w14:textId="77777777" w:rsidR="001042DA" w:rsidRPr="006B1A5A" w:rsidRDefault="001042DA" w:rsidP="001042DA">
      <w:pPr>
        <w:spacing w:line="260" w:lineRule="atLeast"/>
        <w:rPr>
          <w:rFonts w:eastAsia="Calibri"/>
          <w:highlight w:val="yellow"/>
          <w:lang w:eastAsia="en-US"/>
        </w:rPr>
      </w:pPr>
    </w:p>
    <w:p w14:paraId="5A59726E" w14:textId="77777777" w:rsidR="001F4F3A" w:rsidRPr="006B1A5A" w:rsidRDefault="001F4F3A" w:rsidP="001042DA">
      <w:pPr>
        <w:rPr>
          <w:highlight w:val="yellow"/>
        </w:rPr>
      </w:pPr>
    </w:p>
    <w:p w14:paraId="0D54B8F1" w14:textId="77777777" w:rsidR="001042DA" w:rsidRPr="00227B2E" w:rsidRDefault="001042DA" w:rsidP="001042DA">
      <w:pPr>
        <w:spacing w:line="260" w:lineRule="atLeast"/>
        <w:rPr>
          <w:rFonts w:eastAsia="Calibri"/>
          <w:b/>
          <w:i/>
          <w:sz w:val="22"/>
          <w:szCs w:val="22"/>
        </w:rPr>
      </w:pPr>
      <w:r w:rsidRPr="00227B2E">
        <w:rPr>
          <w:rFonts w:eastAsia="Calibri"/>
          <w:b/>
          <w:i/>
          <w:sz w:val="22"/>
          <w:szCs w:val="22"/>
        </w:rPr>
        <w:t>Combined scenarios</w:t>
      </w:r>
    </w:p>
    <w:p w14:paraId="0647A429" w14:textId="77777777" w:rsidR="001042DA" w:rsidRPr="006B1A5A" w:rsidRDefault="001042DA" w:rsidP="001042DA">
      <w:pPr>
        <w:spacing w:line="260" w:lineRule="atLeast"/>
        <w:rPr>
          <w:rFonts w:eastAsia="Calibri"/>
          <w:b/>
          <w:bCs/>
          <w:highlight w:val="yellow"/>
          <w:lang w:eastAsia="en-US"/>
        </w:rPr>
      </w:pPr>
    </w:p>
    <w:p w14:paraId="05716BA0" w14:textId="77777777" w:rsidR="001042DA" w:rsidRPr="006B1A5A" w:rsidRDefault="001042DA" w:rsidP="001042DA">
      <w:pPr>
        <w:spacing w:line="260" w:lineRule="atLeast"/>
        <w:rPr>
          <w:rFonts w:eastAsia="Calibri"/>
          <w:highlight w:val="yellow"/>
          <w:lang w:eastAsia="en-US"/>
        </w:rPr>
      </w:pPr>
      <w:r w:rsidRPr="006B1A5A">
        <w:rPr>
          <w:rFonts w:eastAsia="Calibri"/>
          <w:bCs/>
          <w:lang w:eastAsia="en-US"/>
        </w:rPr>
        <w:t>Not applicable</w:t>
      </w:r>
    </w:p>
    <w:p w14:paraId="6B3A8B79" w14:textId="3BFD8AA3" w:rsidR="001042DA" w:rsidRDefault="001042DA" w:rsidP="001042DA">
      <w:pPr>
        <w:spacing w:line="260" w:lineRule="atLeast"/>
        <w:rPr>
          <w:rFonts w:eastAsia="Calibri"/>
          <w:highlight w:val="yellow"/>
          <w:lang w:eastAsia="en-US"/>
        </w:rPr>
      </w:pPr>
    </w:p>
    <w:p w14:paraId="08BC7545" w14:textId="77777777" w:rsidR="00375520" w:rsidRPr="006B1A5A" w:rsidRDefault="00375520" w:rsidP="001042DA">
      <w:pPr>
        <w:spacing w:line="260" w:lineRule="atLeast"/>
        <w:rPr>
          <w:rFonts w:eastAsia="Calibri"/>
          <w:highlight w:val="yellow"/>
          <w:lang w:eastAsia="en-US"/>
        </w:rPr>
      </w:pPr>
    </w:p>
    <w:p w14:paraId="4005A38F" w14:textId="77777777" w:rsidR="001042DA" w:rsidRPr="00227B2E" w:rsidRDefault="001042DA" w:rsidP="001042DA">
      <w:pPr>
        <w:spacing w:line="260" w:lineRule="atLeast"/>
        <w:rPr>
          <w:rFonts w:eastAsia="Calibri"/>
          <w:b/>
          <w:i/>
          <w:sz w:val="22"/>
          <w:szCs w:val="22"/>
        </w:rPr>
      </w:pPr>
      <w:r w:rsidRPr="00227B2E">
        <w:rPr>
          <w:rFonts w:eastAsia="Calibri"/>
          <w:b/>
          <w:i/>
          <w:sz w:val="22"/>
          <w:szCs w:val="22"/>
        </w:rPr>
        <w:t xml:space="preserve">Local effects </w:t>
      </w:r>
    </w:p>
    <w:p w14:paraId="33606F81" w14:textId="77777777" w:rsidR="001042DA" w:rsidRPr="006B1A5A" w:rsidRDefault="001042DA" w:rsidP="001042DA">
      <w:pPr>
        <w:spacing w:line="260" w:lineRule="atLeast"/>
        <w:rPr>
          <w:rFonts w:eastAsia="Calibri"/>
          <w:bCs/>
          <w:lang w:eastAsia="en-US"/>
        </w:rPr>
      </w:pPr>
    </w:p>
    <w:p w14:paraId="15A27771" w14:textId="675E39E8" w:rsidR="001042DA" w:rsidRPr="006B1A5A" w:rsidRDefault="001042DA" w:rsidP="001042DA">
      <w:pPr>
        <w:spacing w:line="260" w:lineRule="atLeast"/>
        <w:rPr>
          <w:rFonts w:eastAsia="Calibri"/>
          <w:bCs/>
          <w:lang w:eastAsia="en-US"/>
        </w:rPr>
      </w:pPr>
      <w:bookmarkStart w:id="1655" w:name="_Hlk948117"/>
      <w:bookmarkStart w:id="1656" w:name="_Hlk23594276"/>
      <w:r w:rsidRPr="006B1A5A">
        <w:rPr>
          <w:rFonts w:eastAsia="Calibri"/>
          <w:bCs/>
          <w:lang w:eastAsia="en-US"/>
        </w:rPr>
        <w:t xml:space="preserve">A classification for Eye damage 1 (H318) is proposed for all products in the AquaNet 360 family; therefore, consideration of a local risk assessment is required.  No relevant quantitative information is available in order to conduct a risk assessment and so in this case a qualitative risk assessment is considered appropriate in accordance with the </w:t>
      </w:r>
      <w:r w:rsidRPr="00F47D7E">
        <w:rPr>
          <w:rFonts w:eastAsia="Calibri"/>
          <w:bCs/>
          <w:lang w:eastAsia="en-US"/>
        </w:rPr>
        <w:t xml:space="preserve">BPR Guidance (Chapter 4.3, </w:t>
      </w:r>
      <w:r w:rsidR="00154C82">
        <w:rPr>
          <w:rFonts w:eastAsia="Calibri"/>
          <w:bCs/>
          <w:lang w:eastAsia="en-US"/>
        </w:rPr>
        <w:t xml:space="preserve">ECHA, </w:t>
      </w:r>
      <w:r w:rsidRPr="00F47D7E">
        <w:rPr>
          <w:rFonts w:eastAsia="Calibri"/>
          <w:bCs/>
          <w:lang w:eastAsia="en-US"/>
        </w:rPr>
        <w:t>2017).</w:t>
      </w:r>
    </w:p>
    <w:p w14:paraId="14CCD9C8" w14:textId="77777777" w:rsidR="001042DA" w:rsidRPr="006B1A5A" w:rsidRDefault="001042DA" w:rsidP="001042DA">
      <w:pPr>
        <w:spacing w:line="260" w:lineRule="atLeast"/>
        <w:rPr>
          <w:rFonts w:eastAsia="Calibri"/>
          <w:bCs/>
          <w:highlight w:val="yellow"/>
          <w:lang w:eastAsia="en-US"/>
        </w:rPr>
      </w:pPr>
    </w:p>
    <w:p w14:paraId="11CB9C2F" w14:textId="77777777" w:rsidR="001042DA" w:rsidRPr="006B1A5A" w:rsidRDefault="001042DA" w:rsidP="001042DA">
      <w:pPr>
        <w:spacing w:line="260" w:lineRule="atLeast"/>
        <w:rPr>
          <w:rFonts w:eastAsia="Calibri"/>
          <w:bCs/>
          <w:lang w:eastAsia="en-US"/>
        </w:rPr>
      </w:pPr>
      <w:r w:rsidRPr="006B1A5A">
        <w:rPr>
          <w:rFonts w:eastAsia="Calibri"/>
          <w:bCs/>
          <w:lang w:eastAsia="en-US"/>
        </w:rPr>
        <w:t xml:space="preserve">Most of the net treatment process is remotely operated and does not involve physical contact with the dipping vat/vacuum impregnation bag or the treated net. The tasks where the workers may be at risk to be exposed to splashes or dripping of product that may come into their eyes, thus constitute a limited part of the whole treatment process. By requiring that protective goggles or similar eye protection is used during the performance of these tasks, the risk of serous eye damage will be minimal. </w:t>
      </w:r>
    </w:p>
    <w:p w14:paraId="4B337856" w14:textId="77777777" w:rsidR="001042DA" w:rsidRPr="006B1A5A" w:rsidRDefault="001042DA" w:rsidP="001042DA">
      <w:pPr>
        <w:spacing w:line="260" w:lineRule="atLeast"/>
        <w:rPr>
          <w:rFonts w:eastAsia="Calibri"/>
          <w:bCs/>
          <w:lang w:eastAsia="en-US"/>
        </w:rPr>
      </w:pPr>
    </w:p>
    <w:p w14:paraId="109C5D1A" w14:textId="14D20EF6" w:rsidR="001042DA" w:rsidRPr="006B1A5A" w:rsidRDefault="001042DA" w:rsidP="001042DA">
      <w:pPr>
        <w:spacing w:line="260" w:lineRule="atLeast"/>
        <w:rPr>
          <w:rFonts w:eastAsia="Calibri"/>
          <w:bCs/>
          <w:highlight w:val="yellow"/>
          <w:lang w:eastAsia="en-US"/>
        </w:rPr>
        <w:sectPr w:rsidR="001042DA" w:rsidRPr="006B1A5A" w:rsidSect="00AF2AEA">
          <w:headerReference w:type="default" r:id="rId27"/>
          <w:footerReference w:type="default" r:id="rId28"/>
          <w:footnotePr>
            <w:pos w:val="beneathText"/>
            <w:numRestart w:val="eachSect"/>
          </w:footnotePr>
          <w:endnotePr>
            <w:numFmt w:val="decimal"/>
          </w:endnotePr>
          <w:type w:val="continuous"/>
          <w:pgSz w:w="11907" w:h="16840" w:code="9"/>
          <w:pgMar w:top="1474" w:right="1247" w:bottom="2013" w:left="1446" w:header="850" w:footer="850" w:gutter="0"/>
          <w:cols w:space="720"/>
          <w:docGrid w:linePitch="272"/>
        </w:sectPr>
      </w:pPr>
    </w:p>
    <w:tbl>
      <w:tblPr>
        <w:tblStyle w:val="Tabellrutenett"/>
        <w:tblW w:w="13349" w:type="dxa"/>
        <w:tblLayout w:type="fixed"/>
        <w:tblLook w:val="04A0" w:firstRow="1" w:lastRow="0" w:firstColumn="1" w:lastColumn="0" w:noHBand="0" w:noVBand="1"/>
      </w:tblPr>
      <w:tblGrid>
        <w:gridCol w:w="1001"/>
        <w:gridCol w:w="823"/>
        <w:gridCol w:w="965"/>
        <w:gridCol w:w="1034"/>
        <w:gridCol w:w="1236"/>
        <w:gridCol w:w="2542"/>
        <w:gridCol w:w="1043"/>
        <w:gridCol w:w="3062"/>
        <w:gridCol w:w="1637"/>
        <w:gridCol w:w="6"/>
      </w:tblGrid>
      <w:tr w:rsidR="001042DA" w:rsidRPr="006B1A5A" w14:paraId="78961C6F" w14:textId="77777777" w:rsidTr="00E71072">
        <w:tc>
          <w:tcPr>
            <w:tcW w:w="1824" w:type="dxa"/>
            <w:gridSpan w:val="2"/>
            <w:shd w:val="clear" w:color="auto" w:fill="D9D9D9" w:themeFill="background1" w:themeFillShade="D9"/>
          </w:tcPr>
          <w:bookmarkEnd w:id="1655"/>
          <w:p w14:paraId="59AC6A76" w14:textId="77777777" w:rsidR="001042DA" w:rsidRPr="006B1A5A" w:rsidRDefault="001042DA" w:rsidP="00AF2AEA">
            <w:pPr>
              <w:rPr>
                <w:rFonts w:eastAsia="Calibri"/>
                <w:iCs/>
                <w:sz w:val="18"/>
                <w:szCs w:val="18"/>
                <w:lang w:eastAsia="en-US"/>
              </w:rPr>
            </w:pPr>
            <w:r w:rsidRPr="006B1A5A">
              <w:rPr>
                <w:rFonts w:eastAsia="Verdana" w:cs="Verdana"/>
                <w:b/>
                <w:bCs/>
                <w:position w:val="-1"/>
                <w:sz w:val="18"/>
                <w:szCs w:val="18"/>
              </w:rPr>
              <w:t>Ha</w:t>
            </w:r>
            <w:r w:rsidRPr="006B1A5A">
              <w:rPr>
                <w:rFonts w:eastAsia="Verdana" w:cs="Verdana"/>
                <w:b/>
                <w:bCs/>
                <w:spacing w:val="1"/>
                <w:position w:val="-1"/>
                <w:sz w:val="18"/>
                <w:szCs w:val="18"/>
              </w:rPr>
              <w:t>z</w:t>
            </w:r>
            <w:r w:rsidRPr="006B1A5A">
              <w:rPr>
                <w:rFonts w:eastAsia="Verdana" w:cs="Verdana"/>
                <w:b/>
                <w:bCs/>
                <w:position w:val="-1"/>
                <w:sz w:val="18"/>
                <w:szCs w:val="18"/>
              </w:rPr>
              <w:t>a</w:t>
            </w:r>
            <w:r w:rsidRPr="006B1A5A">
              <w:rPr>
                <w:rFonts w:eastAsia="Verdana" w:cs="Verdana"/>
                <w:b/>
                <w:bCs/>
                <w:spacing w:val="-1"/>
                <w:position w:val="-1"/>
                <w:sz w:val="18"/>
                <w:szCs w:val="18"/>
              </w:rPr>
              <w:t>r</w:t>
            </w:r>
            <w:r w:rsidRPr="006B1A5A">
              <w:rPr>
                <w:rFonts w:eastAsia="Verdana" w:cs="Verdana"/>
                <w:b/>
                <w:bCs/>
                <w:position w:val="-1"/>
                <w:sz w:val="18"/>
                <w:szCs w:val="18"/>
              </w:rPr>
              <w:t>d</w:t>
            </w:r>
          </w:p>
        </w:tc>
        <w:tc>
          <w:tcPr>
            <w:tcW w:w="6820" w:type="dxa"/>
            <w:gridSpan w:val="5"/>
            <w:shd w:val="clear" w:color="auto" w:fill="D9D9D9" w:themeFill="background1" w:themeFillShade="D9"/>
          </w:tcPr>
          <w:p w14:paraId="467D1DAA" w14:textId="77777777" w:rsidR="001042DA" w:rsidRPr="006B1A5A" w:rsidRDefault="001042DA" w:rsidP="00AF2AEA">
            <w:pPr>
              <w:rPr>
                <w:rFonts w:eastAsia="Calibri"/>
                <w:iCs/>
                <w:sz w:val="18"/>
                <w:szCs w:val="18"/>
                <w:lang w:eastAsia="en-US"/>
              </w:rPr>
            </w:pPr>
            <w:r w:rsidRPr="006B1A5A">
              <w:rPr>
                <w:rFonts w:eastAsia="Verdana" w:cs="Verdana"/>
                <w:b/>
                <w:bCs/>
                <w:spacing w:val="-1"/>
                <w:position w:val="-1"/>
                <w:sz w:val="18"/>
                <w:szCs w:val="18"/>
              </w:rPr>
              <w:t>E</w:t>
            </w:r>
            <w:r w:rsidRPr="006B1A5A">
              <w:rPr>
                <w:rFonts w:eastAsia="Verdana" w:cs="Verdana"/>
                <w:b/>
                <w:bCs/>
                <w:position w:val="-1"/>
                <w:sz w:val="18"/>
                <w:szCs w:val="18"/>
              </w:rPr>
              <w:t>x</w:t>
            </w:r>
            <w:r w:rsidRPr="006B1A5A">
              <w:rPr>
                <w:rFonts w:eastAsia="Verdana" w:cs="Verdana"/>
                <w:b/>
                <w:bCs/>
                <w:spacing w:val="-1"/>
                <w:position w:val="-1"/>
                <w:sz w:val="18"/>
                <w:szCs w:val="18"/>
              </w:rPr>
              <w:t>po</w:t>
            </w:r>
            <w:r w:rsidRPr="006B1A5A">
              <w:rPr>
                <w:rFonts w:eastAsia="Verdana" w:cs="Verdana"/>
                <w:b/>
                <w:bCs/>
                <w:spacing w:val="1"/>
                <w:position w:val="-1"/>
                <w:sz w:val="18"/>
                <w:szCs w:val="18"/>
              </w:rPr>
              <w:t>su</w:t>
            </w:r>
            <w:r w:rsidRPr="006B1A5A">
              <w:rPr>
                <w:rFonts w:eastAsia="Verdana" w:cs="Verdana"/>
                <w:b/>
                <w:bCs/>
                <w:spacing w:val="-1"/>
                <w:position w:val="-1"/>
                <w:sz w:val="18"/>
                <w:szCs w:val="18"/>
              </w:rPr>
              <w:t>r</w:t>
            </w:r>
            <w:r w:rsidRPr="006B1A5A">
              <w:rPr>
                <w:rFonts w:eastAsia="Verdana" w:cs="Verdana"/>
                <w:b/>
                <w:bCs/>
                <w:position w:val="-1"/>
                <w:sz w:val="18"/>
                <w:szCs w:val="18"/>
              </w:rPr>
              <w:t>e</w:t>
            </w:r>
          </w:p>
        </w:tc>
        <w:tc>
          <w:tcPr>
            <w:tcW w:w="3062" w:type="dxa"/>
            <w:shd w:val="clear" w:color="auto" w:fill="D9D9D9" w:themeFill="background1" w:themeFillShade="D9"/>
          </w:tcPr>
          <w:p w14:paraId="48E7D2B5" w14:textId="77777777" w:rsidR="001042DA" w:rsidRPr="006B1A5A" w:rsidRDefault="001042DA" w:rsidP="00AF2AEA">
            <w:pPr>
              <w:rPr>
                <w:rFonts w:eastAsia="Calibri"/>
                <w:iCs/>
                <w:sz w:val="18"/>
                <w:szCs w:val="18"/>
                <w:lang w:eastAsia="en-US"/>
              </w:rPr>
            </w:pPr>
          </w:p>
        </w:tc>
        <w:tc>
          <w:tcPr>
            <w:tcW w:w="1643" w:type="dxa"/>
            <w:gridSpan w:val="2"/>
            <w:tcBorders>
              <w:bottom w:val="single" w:sz="4" w:space="0" w:color="auto"/>
            </w:tcBorders>
            <w:shd w:val="clear" w:color="auto" w:fill="D9D9D9" w:themeFill="background1" w:themeFillShade="D9"/>
          </w:tcPr>
          <w:p w14:paraId="008B3C54" w14:textId="3FA63DB8" w:rsidR="001042DA" w:rsidRPr="006B1A5A" w:rsidRDefault="001042DA" w:rsidP="00AF2AEA">
            <w:pPr>
              <w:pStyle w:val="Default"/>
              <w:rPr>
                <w:rFonts w:ascii="Verdana" w:hAnsi="Verdana"/>
                <w:sz w:val="18"/>
                <w:szCs w:val="18"/>
              </w:rPr>
            </w:pPr>
            <w:r w:rsidRPr="006B1A5A">
              <w:rPr>
                <w:rFonts w:eastAsia="Verdana" w:cs="Verdana"/>
                <w:b/>
                <w:bCs/>
                <w:position w:val="-1"/>
                <w:sz w:val="18"/>
                <w:szCs w:val="18"/>
              </w:rPr>
              <w:t>Risk</w:t>
            </w:r>
          </w:p>
        </w:tc>
      </w:tr>
      <w:tr w:rsidR="00E71072" w:rsidRPr="006B1A5A" w14:paraId="523DE338" w14:textId="77777777" w:rsidTr="00E71072">
        <w:trPr>
          <w:gridAfter w:val="1"/>
          <w:wAfter w:w="6" w:type="dxa"/>
        </w:trPr>
        <w:tc>
          <w:tcPr>
            <w:tcW w:w="1001" w:type="dxa"/>
            <w:shd w:val="clear" w:color="auto" w:fill="D9D9D9" w:themeFill="background1" w:themeFillShade="D9"/>
          </w:tcPr>
          <w:p w14:paraId="31CDB7D3" w14:textId="77777777" w:rsidR="00E71072" w:rsidRPr="006B1A5A" w:rsidRDefault="00E71072" w:rsidP="00AF2AEA">
            <w:pPr>
              <w:rPr>
                <w:rFonts w:eastAsia="Calibri"/>
                <w:iCs/>
                <w:sz w:val="18"/>
                <w:szCs w:val="18"/>
                <w:lang w:eastAsia="en-US"/>
              </w:rPr>
            </w:pPr>
            <w:r w:rsidRPr="006B1A5A">
              <w:rPr>
                <w:rFonts w:eastAsia="Calibri"/>
                <w:iCs/>
                <w:sz w:val="18"/>
                <w:szCs w:val="18"/>
                <w:lang w:eastAsia="en-US"/>
              </w:rPr>
              <w:t>Hazard category</w:t>
            </w:r>
          </w:p>
        </w:tc>
        <w:tc>
          <w:tcPr>
            <w:tcW w:w="823" w:type="dxa"/>
            <w:shd w:val="clear" w:color="auto" w:fill="D9D9D9" w:themeFill="background1" w:themeFillShade="D9"/>
          </w:tcPr>
          <w:p w14:paraId="3C11F571" w14:textId="77777777" w:rsidR="00E71072" w:rsidRPr="006B1A5A" w:rsidRDefault="00E71072" w:rsidP="00AF2AEA">
            <w:pPr>
              <w:rPr>
                <w:rFonts w:eastAsia="Calibri"/>
                <w:iCs/>
                <w:sz w:val="18"/>
                <w:szCs w:val="18"/>
                <w:lang w:eastAsia="en-US"/>
              </w:rPr>
            </w:pPr>
            <w:r w:rsidRPr="006B1A5A">
              <w:rPr>
                <w:rFonts w:eastAsia="Calibri"/>
                <w:iCs/>
                <w:sz w:val="18"/>
                <w:szCs w:val="18"/>
                <w:lang w:eastAsia="en-US"/>
              </w:rPr>
              <w:t>Effects in terms of c&amp;L</w:t>
            </w:r>
          </w:p>
        </w:tc>
        <w:tc>
          <w:tcPr>
            <w:tcW w:w="965" w:type="dxa"/>
            <w:shd w:val="clear" w:color="auto" w:fill="D9D9D9" w:themeFill="background1" w:themeFillShade="D9"/>
          </w:tcPr>
          <w:p w14:paraId="1801B716" w14:textId="77777777" w:rsidR="00E71072" w:rsidRPr="006B1A5A" w:rsidRDefault="00E71072" w:rsidP="00AF2AEA">
            <w:pPr>
              <w:rPr>
                <w:rFonts w:eastAsia="Calibri"/>
                <w:iCs/>
                <w:sz w:val="18"/>
                <w:szCs w:val="18"/>
                <w:lang w:eastAsia="en-US"/>
              </w:rPr>
            </w:pPr>
            <w:r w:rsidRPr="006B1A5A">
              <w:rPr>
                <w:rFonts w:eastAsia="Calibri"/>
                <w:iCs/>
                <w:sz w:val="18"/>
                <w:szCs w:val="18"/>
                <w:lang w:eastAsia="en-US"/>
              </w:rPr>
              <w:t>Who is exposed</w:t>
            </w:r>
          </w:p>
        </w:tc>
        <w:tc>
          <w:tcPr>
            <w:tcW w:w="1034" w:type="dxa"/>
            <w:shd w:val="clear" w:color="auto" w:fill="D9D9D9" w:themeFill="background1" w:themeFillShade="D9"/>
          </w:tcPr>
          <w:p w14:paraId="14D981F7" w14:textId="77777777" w:rsidR="00E71072" w:rsidRPr="006B1A5A" w:rsidRDefault="00E71072" w:rsidP="00AF2AEA">
            <w:pPr>
              <w:rPr>
                <w:rFonts w:eastAsia="Calibri"/>
                <w:iCs/>
                <w:sz w:val="18"/>
                <w:szCs w:val="18"/>
                <w:lang w:eastAsia="en-US"/>
              </w:rPr>
            </w:pPr>
            <w:r w:rsidRPr="006B1A5A">
              <w:rPr>
                <w:rFonts w:eastAsia="Calibri"/>
                <w:iCs/>
                <w:sz w:val="18"/>
                <w:szCs w:val="18"/>
                <w:lang w:eastAsia="en-US"/>
              </w:rPr>
              <w:t>Tasks, uses, processes</w:t>
            </w:r>
          </w:p>
        </w:tc>
        <w:tc>
          <w:tcPr>
            <w:tcW w:w="1236" w:type="dxa"/>
            <w:shd w:val="clear" w:color="auto" w:fill="D9D9D9" w:themeFill="background1" w:themeFillShade="D9"/>
          </w:tcPr>
          <w:p w14:paraId="775B9254" w14:textId="77777777" w:rsidR="00E71072" w:rsidRPr="006B1A5A" w:rsidRDefault="00E71072" w:rsidP="00AF2AEA">
            <w:pPr>
              <w:rPr>
                <w:rFonts w:eastAsia="Calibri"/>
                <w:iCs/>
                <w:sz w:val="18"/>
                <w:szCs w:val="18"/>
                <w:lang w:eastAsia="en-US"/>
              </w:rPr>
            </w:pPr>
            <w:r w:rsidRPr="006B1A5A">
              <w:rPr>
                <w:rFonts w:eastAsia="Calibri"/>
                <w:iCs/>
                <w:sz w:val="18"/>
                <w:szCs w:val="18"/>
                <w:lang w:eastAsia="en-US"/>
              </w:rPr>
              <w:t>Potential exposure route</w:t>
            </w:r>
          </w:p>
        </w:tc>
        <w:tc>
          <w:tcPr>
            <w:tcW w:w="2542" w:type="dxa"/>
            <w:shd w:val="clear" w:color="auto" w:fill="D9D9D9" w:themeFill="background1" w:themeFillShade="D9"/>
          </w:tcPr>
          <w:p w14:paraId="0F09AA2A" w14:textId="77777777" w:rsidR="00E71072" w:rsidRPr="006B1A5A" w:rsidRDefault="00E71072" w:rsidP="00AF2AEA">
            <w:pPr>
              <w:pStyle w:val="Default"/>
              <w:rPr>
                <w:rFonts w:ascii="Verdana" w:hAnsi="Verdana"/>
                <w:sz w:val="18"/>
                <w:szCs w:val="18"/>
              </w:rPr>
            </w:pPr>
            <w:r w:rsidRPr="006B1A5A">
              <w:rPr>
                <w:rFonts w:ascii="Verdana" w:hAnsi="Verdana"/>
                <w:sz w:val="18"/>
                <w:szCs w:val="18"/>
              </w:rPr>
              <w:t xml:space="preserve">Frequency and duration of potential exposure </w:t>
            </w:r>
          </w:p>
          <w:p w14:paraId="00D1B44D" w14:textId="77777777" w:rsidR="00E71072" w:rsidRPr="006B1A5A" w:rsidRDefault="00E71072" w:rsidP="00AF2AEA">
            <w:pPr>
              <w:rPr>
                <w:rFonts w:eastAsia="Calibri"/>
                <w:iCs/>
                <w:sz w:val="18"/>
                <w:szCs w:val="18"/>
                <w:lang w:eastAsia="en-US"/>
              </w:rPr>
            </w:pPr>
          </w:p>
        </w:tc>
        <w:tc>
          <w:tcPr>
            <w:tcW w:w="1043" w:type="dxa"/>
            <w:shd w:val="clear" w:color="auto" w:fill="D9D9D9" w:themeFill="background1" w:themeFillShade="D9"/>
          </w:tcPr>
          <w:p w14:paraId="07FE9371" w14:textId="77777777" w:rsidR="00E71072" w:rsidRPr="006B1A5A" w:rsidRDefault="00E71072" w:rsidP="00AF2AEA">
            <w:pPr>
              <w:rPr>
                <w:rFonts w:eastAsia="Calibri"/>
                <w:iCs/>
                <w:sz w:val="18"/>
                <w:szCs w:val="18"/>
                <w:lang w:eastAsia="en-US"/>
              </w:rPr>
            </w:pPr>
            <w:r w:rsidRPr="006B1A5A">
              <w:rPr>
                <w:rFonts w:eastAsia="Calibri"/>
                <w:iCs/>
                <w:sz w:val="18"/>
                <w:szCs w:val="18"/>
                <w:lang w:eastAsia="en-US"/>
              </w:rPr>
              <w:t>Potential degree of exposure</w:t>
            </w:r>
          </w:p>
        </w:tc>
        <w:tc>
          <w:tcPr>
            <w:tcW w:w="3062" w:type="dxa"/>
            <w:shd w:val="clear" w:color="auto" w:fill="D9D9D9" w:themeFill="background1" w:themeFillShade="D9"/>
          </w:tcPr>
          <w:p w14:paraId="4C6B02A2" w14:textId="77777777" w:rsidR="00E71072" w:rsidRPr="006B1A5A" w:rsidRDefault="00E71072" w:rsidP="00AF2AEA">
            <w:pPr>
              <w:rPr>
                <w:rFonts w:eastAsia="Calibri"/>
                <w:iCs/>
                <w:sz w:val="18"/>
                <w:szCs w:val="18"/>
                <w:lang w:eastAsia="en-US"/>
              </w:rPr>
            </w:pPr>
            <w:r w:rsidRPr="006B1A5A">
              <w:rPr>
                <w:rFonts w:eastAsia="Calibri"/>
                <w:iCs/>
                <w:sz w:val="18"/>
                <w:szCs w:val="18"/>
                <w:lang w:eastAsia="en-US"/>
              </w:rPr>
              <w:t>Relevant RMM and PPE</w:t>
            </w:r>
          </w:p>
        </w:tc>
        <w:tc>
          <w:tcPr>
            <w:tcW w:w="1637" w:type="dxa"/>
            <w:tcBorders>
              <w:bottom w:val="single" w:sz="4" w:space="0" w:color="auto"/>
            </w:tcBorders>
            <w:shd w:val="clear" w:color="auto" w:fill="D9D9D9" w:themeFill="background1" w:themeFillShade="D9"/>
          </w:tcPr>
          <w:p w14:paraId="4050E91D" w14:textId="77777777" w:rsidR="00E71072" w:rsidRPr="006B1A5A" w:rsidRDefault="00E71072" w:rsidP="00AF2AEA">
            <w:pPr>
              <w:pStyle w:val="Default"/>
              <w:rPr>
                <w:rFonts w:ascii="Verdana" w:hAnsi="Verdana"/>
                <w:sz w:val="18"/>
                <w:szCs w:val="18"/>
              </w:rPr>
            </w:pPr>
            <w:r w:rsidRPr="006B1A5A">
              <w:rPr>
                <w:rFonts w:ascii="Verdana" w:hAnsi="Verdana"/>
                <w:sz w:val="18"/>
                <w:szCs w:val="18"/>
              </w:rPr>
              <w:t xml:space="preserve">Conclusion on risk </w:t>
            </w:r>
          </w:p>
          <w:p w14:paraId="7B0BE109" w14:textId="77777777" w:rsidR="00E71072" w:rsidRPr="006B1A5A" w:rsidRDefault="00E71072" w:rsidP="00AF2AEA">
            <w:pPr>
              <w:rPr>
                <w:rFonts w:eastAsia="Calibri"/>
                <w:iCs/>
                <w:sz w:val="18"/>
                <w:szCs w:val="18"/>
                <w:lang w:eastAsia="en-US"/>
              </w:rPr>
            </w:pPr>
          </w:p>
        </w:tc>
      </w:tr>
      <w:tr w:rsidR="00E71072" w:rsidRPr="006B1A5A" w14:paraId="2A5DF91F" w14:textId="77777777" w:rsidTr="00E71072">
        <w:trPr>
          <w:gridAfter w:val="1"/>
          <w:wAfter w:w="6" w:type="dxa"/>
          <w:trHeight w:val="4692"/>
        </w:trPr>
        <w:tc>
          <w:tcPr>
            <w:tcW w:w="1001" w:type="dxa"/>
            <w:vMerge w:val="restart"/>
          </w:tcPr>
          <w:p w14:paraId="2B42BA81" w14:textId="77777777" w:rsidR="00E71072" w:rsidRPr="006B1A5A" w:rsidRDefault="00E71072" w:rsidP="00AF2AEA">
            <w:pPr>
              <w:rPr>
                <w:rFonts w:eastAsia="Calibri"/>
                <w:iCs/>
                <w:sz w:val="18"/>
                <w:szCs w:val="18"/>
                <w:lang w:eastAsia="en-US"/>
              </w:rPr>
            </w:pPr>
            <w:r w:rsidRPr="006B1A5A">
              <w:rPr>
                <w:rFonts w:eastAsia="Calibri"/>
                <w:iCs/>
                <w:sz w:val="18"/>
                <w:szCs w:val="18"/>
                <w:lang w:eastAsia="en-US"/>
              </w:rPr>
              <w:t>High</w:t>
            </w:r>
          </w:p>
          <w:p w14:paraId="39F9B491" w14:textId="77777777" w:rsidR="00E71072" w:rsidRPr="006B1A5A" w:rsidRDefault="00E71072" w:rsidP="00AF2AEA">
            <w:pPr>
              <w:rPr>
                <w:rFonts w:eastAsia="Calibri"/>
                <w:iCs/>
                <w:sz w:val="18"/>
                <w:szCs w:val="18"/>
                <w:lang w:eastAsia="en-US"/>
              </w:rPr>
            </w:pPr>
          </w:p>
          <w:p w14:paraId="3B90E004" w14:textId="77777777" w:rsidR="00E71072" w:rsidRPr="006B1A5A" w:rsidRDefault="00E71072" w:rsidP="00AF2AEA">
            <w:pPr>
              <w:rPr>
                <w:rFonts w:eastAsia="Calibri"/>
                <w:iCs/>
                <w:sz w:val="18"/>
                <w:szCs w:val="18"/>
                <w:lang w:eastAsia="en-US"/>
              </w:rPr>
            </w:pPr>
          </w:p>
          <w:p w14:paraId="3FEEBBEA" w14:textId="77777777" w:rsidR="00E71072" w:rsidRPr="006B1A5A" w:rsidRDefault="00E71072" w:rsidP="00AF2AEA">
            <w:pPr>
              <w:rPr>
                <w:rFonts w:eastAsia="Calibri"/>
                <w:iCs/>
                <w:sz w:val="18"/>
                <w:szCs w:val="18"/>
                <w:lang w:eastAsia="en-US"/>
              </w:rPr>
            </w:pPr>
          </w:p>
        </w:tc>
        <w:tc>
          <w:tcPr>
            <w:tcW w:w="823" w:type="dxa"/>
            <w:vMerge w:val="restart"/>
          </w:tcPr>
          <w:p w14:paraId="44ABDE45" w14:textId="2AF0B382" w:rsidR="00E71072" w:rsidRPr="006B1A5A" w:rsidRDefault="00E71072" w:rsidP="00AF2AEA">
            <w:pPr>
              <w:pStyle w:val="Default"/>
              <w:rPr>
                <w:rFonts w:ascii="Verdana" w:hAnsi="Verdana"/>
                <w:sz w:val="18"/>
                <w:szCs w:val="18"/>
              </w:rPr>
            </w:pPr>
            <w:r w:rsidRPr="006B1A5A">
              <w:rPr>
                <w:rFonts w:ascii="Verdana" w:hAnsi="Verdana"/>
                <w:sz w:val="18"/>
                <w:szCs w:val="18"/>
              </w:rPr>
              <w:t xml:space="preserve">Eye </w:t>
            </w:r>
            <w:r w:rsidR="00A969E7">
              <w:rPr>
                <w:rFonts w:ascii="Verdana" w:hAnsi="Verdana"/>
                <w:sz w:val="18"/>
                <w:szCs w:val="18"/>
              </w:rPr>
              <w:t>D</w:t>
            </w:r>
            <w:r w:rsidRPr="006B1A5A">
              <w:rPr>
                <w:rFonts w:ascii="Verdana" w:hAnsi="Verdana"/>
                <w:sz w:val="18"/>
                <w:szCs w:val="18"/>
              </w:rPr>
              <w:t xml:space="preserve">am. Cat 1, H318 </w:t>
            </w:r>
          </w:p>
          <w:p w14:paraId="107AC3E0" w14:textId="77777777" w:rsidR="00E71072" w:rsidRPr="006B1A5A" w:rsidRDefault="00E71072" w:rsidP="00AF2AEA">
            <w:pPr>
              <w:rPr>
                <w:rFonts w:eastAsia="Calibri"/>
                <w:iCs/>
                <w:sz w:val="18"/>
                <w:szCs w:val="18"/>
                <w:lang w:eastAsia="en-US"/>
              </w:rPr>
            </w:pPr>
          </w:p>
        </w:tc>
        <w:tc>
          <w:tcPr>
            <w:tcW w:w="965" w:type="dxa"/>
          </w:tcPr>
          <w:p w14:paraId="50B934CD" w14:textId="77777777" w:rsidR="00E71072" w:rsidRPr="006B1A5A" w:rsidRDefault="00E71072" w:rsidP="00AF2AEA">
            <w:pPr>
              <w:rPr>
                <w:rFonts w:eastAsia="Calibri"/>
                <w:iCs/>
                <w:sz w:val="18"/>
                <w:szCs w:val="18"/>
                <w:lang w:eastAsia="en-US"/>
              </w:rPr>
            </w:pPr>
            <w:r w:rsidRPr="006B1A5A">
              <w:rPr>
                <w:rFonts w:eastAsia="Calibri"/>
                <w:iCs/>
                <w:sz w:val="18"/>
                <w:szCs w:val="18"/>
                <w:lang w:eastAsia="en-US"/>
              </w:rPr>
              <w:t>Industrial workers</w:t>
            </w:r>
          </w:p>
          <w:p w14:paraId="6C2B80CD" w14:textId="77777777" w:rsidR="00E71072" w:rsidRPr="006B1A5A" w:rsidRDefault="00E71072" w:rsidP="00AF2AEA">
            <w:pPr>
              <w:rPr>
                <w:rFonts w:eastAsia="Calibri"/>
                <w:iCs/>
                <w:sz w:val="18"/>
                <w:szCs w:val="18"/>
                <w:lang w:eastAsia="en-US"/>
              </w:rPr>
            </w:pPr>
          </w:p>
        </w:tc>
        <w:tc>
          <w:tcPr>
            <w:tcW w:w="1034" w:type="dxa"/>
          </w:tcPr>
          <w:p w14:paraId="5BF91AA1" w14:textId="68759294" w:rsidR="00E71072" w:rsidRPr="006B1A5A" w:rsidRDefault="00E71072" w:rsidP="00AF2AEA">
            <w:pPr>
              <w:rPr>
                <w:rFonts w:eastAsia="Calibri"/>
                <w:iCs/>
                <w:sz w:val="18"/>
                <w:szCs w:val="18"/>
                <w:lang w:eastAsia="en-US"/>
              </w:rPr>
            </w:pPr>
            <w:r w:rsidRPr="006B1A5A">
              <w:rPr>
                <w:rFonts w:eastAsia="Calibri"/>
                <w:iCs/>
                <w:sz w:val="18"/>
                <w:szCs w:val="18"/>
                <w:lang w:eastAsia="en-US"/>
              </w:rPr>
              <w:t xml:space="preserve">Net </w:t>
            </w:r>
            <w:r>
              <w:rPr>
                <w:rFonts w:eastAsia="Calibri"/>
                <w:iCs/>
                <w:sz w:val="18"/>
                <w:szCs w:val="18"/>
                <w:lang w:eastAsia="en-US"/>
              </w:rPr>
              <w:t>treatment</w:t>
            </w:r>
          </w:p>
        </w:tc>
        <w:tc>
          <w:tcPr>
            <w:tcW w:w="1236" w:type="dxa"/>
          </w:tcPr>
          <w:p w14:paraId="7E7F6A87" w14:textId="77777777" w:rsidR="00E71072" w:rsidRPr="006B1A5A" w:rsidRDefault="00E71072" w:rsidP="00AF2AEA">
            <w:pPr>
              <w:pStyle w:val="Default"/>
              <w:rPr>
                <w:rFonts w:ascii="Verdana" w:hAnsi="Verdana"/>
                <w:sz w:val="18"/>
                <w:szCs w:val="18"/>
              </w:rPr>
            </w:pPr>
            <w:r w:rsidRPr="006B1A5A">
              <w:rPr>
                <w:rFonts w:ascii="Verdana" w:hAnsi="Verdana"/>
                <w:sz w:val="18"/>
                <w:szCs w:val="18"/>
              </w:rPr>
              <w:t xml:space="preserve">skin </w:t>
            </w:r>
          </w:p>
          <w:p w14:paraId="7926A74A" w14:textId="77777777" w:rsidR="00E71072" w:rsidRPr="006B1A5A" w:rsidRDefault="00E71072" w:rsidP="00AF2AEA">
            <w:pPr>
              <w:rPr>
                <w:sz w:val="18"/>
                <w:szCs w:val="18"/>
              </w:rPr>
            </w:pPr>
          </w:p>
          <w:p w14:paraId="5AECB199" w14:textId="77777777" w:rsidR="00E71072" w:rsidRPr="006B1A5A" w:rsidRDefault="00E71072" w:rsidP="00AF2AEA">
            <w:pPr>
              <w:rPr>
                <w:rFonts w:eastAsia="Calibri"/>
                <w:iCs/>
                <w:sz w:val="18"/>
                <w:szCs w:val="18"/>
                <w:lang w:eastAsia="en-US"/>
              </w:rPr>
            </w:pPr>
            <w:r w:rsidRPr="006B1A5A">
              <w:rPr>
                <w:sz w:val="18"/>
                <w:szCs w:val="18"/>
              </w:rPr>
              <w:t xml:space="preserve">Eye (splashes, hand to eye transfer) </w:t>
            </w:r>
          </w:p>
        </w:tc>
        <w:tc>
          <w:tcPr>
            <w:tcW w:w="2542" w:type="dxa"/>
          </w:tcPr>
          <w:p w14:paraId="45663431" w14:textId="77777777" w:rsidR="00E71072" w:rsidRPr="006B1A5A" w:rsidRDefault="00E71072" w:rsidP="00AF2AEA">
            <w:pPr>
              <w:pStyle w:val="Default"/>
              <w:rPr>
                <w:rFonts w:ascii="Verdana" w:hAnsi="Verdana"/>
                <w:sz w:val="18"/>
                <w:szCs w:val="18"/>
              </w:rPr>
            </w:pPr>
            <w:r w:rsidRPr="006B1A5A">
              <w:rPr>
                <w:rFonts w:ascii="Verdana" w:hAnsi="Verdana"/>
                <w:sz w:val="18"/>
                <w:szCs w:val="18"/>
              </w:rPr>
              <w:t xml:space="preserve">2-3 days per weeks </w:t>
            </w:r>
          </w:p>
          <w:p w14:paraId="7CED0E12" w14:textId="77777777" w:rsidR="00E71072" w:rsidRPr="006B1A5A" w:rsidRDefault="00E71072" w:rsidP="00AF2AEA">
            <w:pPr>
              <w:rPr>
                <w:rFonts w:eastAsia="Calibri"/>
                <w:iCs/>
                <w:sz w:val="18"/>
                <w:szCs w:val="18"/>
                <w:lang w:eastAsia="en-US"/>
              </w:rPr>
            </w:pPr>
          </w:p>
          <w:p w14:paraId="2D41B350" w14:textId="77777777" w:rsidR="00E71072" w:rsidRPr="006B1A5A" w:rsidRDefault="00E71072" w:rsidP="00AF2AEA">
            <w:pPr>
              <w:rPr>
                <w:rFonts w:eastAsia="Calibri"/>
                <w:iCs/>
                <w:sz w:val="18"/>
                <w:szCs w:val="18"/>
                <w:lang w:eastAsia="en-US"/>
              </w:rPr>
            </w:pPr>
            <w:r w:rsidRPr="006B1A5A">
              <w:rPr>
                <w:rFonts w:eastAsia="Calibri"/>
                <w:iCs/>
                <w:sz w:val="18"/>
                <w:szCs w:val="18"/>
                <w:lang w:eastAsia="en-US"/>
              </w:rPr>
              <w:t xml:space="preserve">Only a few minutes potential exposure due to automated processes; </w:t>
            </w:r>
          </w:p>
          <w:p w14:paraId="4C88D7C2" w14:textId="0EA5F736" w:rsidR="00E71072" w:rsidRPr="006B1A5A" w:rsidRDefault="00E71072" w:rsidP="00AF2AEA">
            <w:pPr>
              <w:rPr>
                <w:rFonts w:eastAsia="Calibri"/>
                <w:iCs/>
                <w:sz w:val="18"/>
                <w:szCs w:val="18"/>
                <w:lang w:eastAsia="en-US"/>
              </w:rPr>
            </w:pPr>
            <w:r w:rsidRPr="006B1A5A">
              <w:rPr>
                <w:rFonts w:eastAsia="Calibri"/>
                <w:iCs/>
                <w:sz w:val="18"/>
                <w:szCs w:val="18"/>
                <w:lang w:eastAsia="en-US"/>
              </w:rPr>
              <w:t>intermitte</w:t>
            </w:r>
            <w:r>
              <w:rPr>
                <w:rFonts w:eastAsia="Calibri"/>
                <w:iCs/>
                <w:sz w:val="18"/>
                <w:szCs w:val="18"/>
                <w:lang w:eastAsia="en-US"/>
              </w:rPr>
              <w:t>n</w:t>
            </w:r>
            <w:r w:rsidRPr="006B1A5A">
              <w:rPr>
                <w:rFonts w:eastAsia="Calibri"/>
                <w:iCs/>
                <w:sz w:val="18"/>
                <w:szCs w:val="18"/>
                <w:lang w:eastAsia="en-US"/>
              </w:rPr>
              <w:t xml:space="preserve">t handling of treated nets at various stages of dryness, </w:t>
            </w:r>
          </w:p>
          <w:p w14:paraId="38CA0332" w14:textId="180BB2D5" w:rsidR="00E71072" w:rsidRPr="006B1A5A" w:rsidRDefault="00E71072" w:rsidP="00AF2AEA">
            <w:pPr>
              <w:rPr>
                <w:rFonts w:eastAsia="Calibri"/>
                <w:iCs/>
                <w:sz w:val="18"/>
                <w:szCs w:val="18"/>
                <w:lang w:eastAsia="en-US"/>
              </w:rPr>
            </w:pPr>
            <w:r w:rsidRPr="006B1A5A">
              <w:rPr>
                <w:rFonts w:eastAsia="Calibri"/>
                <w:iCs/>
                <w:sz w:val="18"/>
                <w:szCs w:val="18"/>
                <w:lang w:eastAsia="en-US"/>
              </w:rPr>
              <w:t>(mainly due to connecting/ disconnecting of treated nets to hoist/drums), incidental contact with contaminated surfaces</w:t>
            </w:r>
          </w:p>
          <w:p w14:paraId="38E96736" w14:textId="77777777" w:rsidR="00E71072" w:rsidRPr="006B1A5A" w:rsidRDefault="00E71072" w:rsidP="00AF2AEA">
            <w:pPr>
              <w:rPr>
                <w:rFonts w:eastAsia="Calibri"/>
                <w:iCs/>
                <w:sz w:val="18"/>
                <w:szCs w:val="18"/>
                <w:lang w:eastAsia="en-US"/>
              </w:rPr>
            </w:pPr>
          </w:p>
          <w:p w14:paraId="6D29587C" w14:textId="77777777" w:rsidR="00E71072" w:rsidRPr="006B1A5A" w:rsidRDefault="00E71072" w:rsidP="00AF2AEA">
            <w:pPr>
              <w:rPr>
                <w:rFonts w:eastAsia="Calibri"/>
                <w:iCs/>
                <w:sz w:val="18"/>
                <w:szCs w:val="18"/>
                <w:lang w:eastAsia="en-US"/>
              </w:rPr>
            </w:pPr>
            <w:r w:rsidRPr="006B1A5A">
              <w:rPr>
                <w:rFonts w:eastAsia="Calibri"/>
                <w:iCs/>
                <w:sz w:val="18"/>
                <w:szCs w:val="18"/>
                <w:lang w:eastAsia="en-US"/>
              </w:rPr>
              <w:t xml:space="preserve"> </w:t>
            </w:r>
          </w:p>
          <w:p w14:paraId="66346D07" w14:textId="77777777" w:rsidR="00E71072" w:rsidRPr="006B1A5A" w:rsidRDefault="00E71072" w:rsidP="00AF2AEA">
            <w:pPr>
              <w:rPr>
                <w:rFonts w:eastAsia="Calibri"/>
                <w:iCs/>
                <w:sz w:val="18"/>
                <w:szCs w:val="18"/>
                <w:lang w:eastAsia="en-US"/>
              </w:rPr>
            </w:pPr>
          </w:p>
          <w:p w14:paraId="0447999C" w14:textId="77777777" w:rsidR="00E71072" w:rsidRPr="006B1A5A" w:rsidRDefault="00E71072" w:rsidP="00AF2AEA">
            <w:pPr>
              <w:rPr>
                <w:rFonts w:eastAsia="Calibri"/>
                <w:iCs/>
                <w:sz w:val="18"/>
                <w:szCs w:val="18"/>
                <w:lang w:eastAsia="en-US"/>
              </w:rPr>
            </w:pPr>
          </w:p>
          <w:p w14:paraId="49DCB702" w14:textId="77777777" w:rsidR="00E71072" w:rsidRPr="006B1A5A" w:rsidRDefault="00E71072" w:rsidP="00AF2AEA">
            <w:pPr>
              <w:rPr>
                <w:rFonts w:eastAsia="Calibri"/>
                <w:iCs/>
                <w:sz w:val="18"/>
                <w:szCs w:val="18"/>
                <w:lang w:eastAsia="en-US"/>
              </w:rPr>
            </w:pPr>
          </w:p>
          <w:p w14:paraId="3365B08D" w14:textId="77777777" w:rsidR="00E71072" w:rsidRPr="006B1A5A" w:rsidRDefault="00E71072" w:rsidP="00AF2AEA">
            <w:pPr>
              <w:rPr>
                <w:rFonts w:eastAsia="Calibri"/>
                <w:iCs/>
                <w:sz w:val="18"/>
                <w:szCs w:val="18"/>
                <w:lang w:eastAsia="en-US"/>
              </w:rPr>
            </w:pPr>
          </w:p>
          <w:p w14:paraId="5F32EF7B" w14:textId="77777777" w:rsidR="00E71072" w:rsidRPr="006B1A5A" w:rsidRDefault="00E71072" w:rsidP="00AF2AEA">
            <w:pPr>
              <w:rPr>
                <w:rFonts w:eastAsia="Calibri"/>
                <w:iCs/>
                <w:sz w:val="18"/>
                <w:szCs w:val="18"/>
                <w:lang w:eastAsia="en-US"/>
              </w:rPr>
            </w:pPr>
          </w:p>
        </w:tc>
        <w:tc>
          <w:tcPr>
            <w:tcW w:w="1043" w:type="dxa"/>
          </w:tcPr>
          <w:p w14:paraId="401A2EDB" w14:textId="77777777" w:rsidR="00E71072" w:rsidRPr="006B1A5A" w:rsidRDefault="00E71072" w:rsidP="00AF2AEA">
            <w:pPr>
              <w:rPr>
                <w:rFonts w:eastAsia="Calibri"/>
                <w:iCs/>
                <w:sz w:val="18"/>
                <w:szCs w:val="18"/>
                <w:lang w:eastAsia="en-US"/>
              </w:rPr>
            </w:pPr>
            <w:r w:rsidRPr="00E71072">
              <w:rPr>
                <w:rFonts w:eastAsia="Calibri"/>
                <w:iCs/>
                <w:sz w:val="18"/>
                <w:szCs w:val="18"/>
                <w:lang w:eastAsia="en-US"/>
              </w:rPr>
              <w:t>n.r.</w:t>
            </w:r>
          </w:p>
        </w:tc>
        <w:tc>
          <w:tcPr>
            <w:tcW w:w="3062" w:type="dxa"/>
          </w:tcPr>
          <w:p w14:paraId="478453FC" w14:textId="77777777" w:rsidR="00E71072" w:rsidRPr="006B1A5A" w:rsidRDefault="00E71072" w:rsidP="00FD0ADE">
            <w:pPr>
              <w:pStyle w:val="Merknadstekst"/>
              <w:numPr>
                <w:ilvl w:val="0"/>
                <w:numId w:val="14"/>
              </w:numPr>
              <w:ind w:left="172" w:hanging="172"/>
              <w:rPr>
                <w:rFonts w:cs="Verdana"/>
                <w:color w:val="000000"/>
                <w:sz w:val="18"/>
                <w:szCs w:val="18"/>
                <w:lang w:eastAsia="en-US"/>
              </w:rPr>
            </w:pPr>
            <w:r w:rsidRPr="006B1A5A">
              <w:rPr>
                <w:rFonts w:cs="Verdana"/>
                <w:color w:val="000000"/>
                <w:sz w:val="18"/>
                <w:szCs w:val="18"/>
                <w:lang w:eastAsia="en-US"/>
              </w:rPr>
              <w:t>Minimisation of manual phases (automatization; crane assisted lifting of nets)</w:t>
            </w:r>
          </w:p>
          <w:p w14:paraId="3A96CEE0" w14:textId="77777777" w:rsidR="00E71072" w:rsidRPr="006B1A5A" w:rsidRDefault="00E71072" w:rsidP="00AF2AEA">
            <w:pPr>
              <w:autoSpaceDE w:val="0"/>
              <w:autoSpaceDN w:val="0"/>
              <w:adjustRightInd w:val="0"/>
              <w:rPr>
                <w:rFonts w:cs="Verdana"/>
                <w:color w:val="000000"/>
                <w:sz w:val="18"/>
                <w:szCs w:val="18"/>
                <w:lang w:eastAsia="en-US"/>
              </w:rPr>
            </w:pPr>
          </w:p>
          <w:p w14:paraId="468B4988" w14:textId="77777777" w:rsidR="00E71072" w:rsidRPr="006B1A5A" w:rsidRDefault="00E71072" w:rsidP="00FD0ADE">
            <w:pPr>
              <w:pStyle w:val="Merknadstekst"/>
              <w:numPr>
                <w:ilvl w:val="0"/>
                <w:numId w:val="14"/>
              </w:numPr>
              <w:ind w:left="172" w:hanging="172"/>
              <w:rPr>
                <w:rFonts w:cs="Verdana"/>
                <w:color w:val="000000"/>
                <w:sz w:val="18"/>
                <w:szCs w:val="18"/>
                <w:lang w:eastAsia="en-US"/>
              </w:rPr>
            </w:pPr>
            <w:r w:rsidRPr="006B1A5A">
              <w:rPr>
                <w:rFonts w:cs="Verdana"/>
                <w:color w:val="000000"/>
                <w:sz w:val="18"/>
                <w:szCs w:val="18"/>
                <w:lang w:eastAsia="en-US"/>
              </w:rPr>
              <w:t xml:space="preserve">Avoidance of contact with contaminated tools and objects </w:t>
            </w:r>
          </w:p>
          <w:p w14:paraId="6890BE4C" w14:textId="77777777" w:rsidR="00E71072" w:rsidRPr="006B1A5A" w:rsidRDefault="00E71072" w:rsidP="00AF2AEA">
            <w:pPr>
              <w:autoSpaceDE w:val="0"/>
              <w:autoSpaceDN w:val="0"/>
              <w:adjustRightInd w:val="0"/>
              <w:rPr>
                <w:rFonts w:cs="Verdana"/>
                <w:strike/>
                <w:color w:val="000000"/>
                <w:sz w:val="18"/>
                <w:szCs w:val="18"/>
                <w:lang w:eastAsia="en-US"/>
              </w:rPr>
            </w:pPr>
          </w:p>
          <w:p w14:paraId="13E145ED" w14:textId="77777777" w:rsidR="00E71072" w:rsidRPr="006B1A5A" w:rsidRDefault="00E71072" w:rsidP="00FD0ADE">
            <w:pPr>
              <w:pStyle w:val="Merknadstekst"/>
              <w:numPr>
                <w:ilvl w:val="0"/>
                <w:numId w:val="14"/>
              </w:numPr>
              <w:ind w:left="172" w:hanging="172"/>
              <w:rPr>
                <w:rFonts w:cs="Verdana"/>
                <w:color w:val="000000"/>
                <w:sz w:val="18"/>
                <w:szCs w:val="18"/>
                <w:lang w:eastAsia="en-US"/>
              </w:rPr>
            </w:pPr>
            <w:r w:rsidRPr="006B1A5A">
              <w:rPr>
                <w:rFonts w:cs="Verdana"/>
                <w:color w:val="000000"/>
                <w:sz w:val="18"/>
                <w:szCs w:val="18"/>
                <w:lang w:eastAsia="en-US"/>
              </w:rPr>
              <w:t>Training for staff on good practice; instructions for use</w:t>
            </w:r>
          </w:p>
          <w:p w14:paraId="4444402E" w14:textId="77777777" w:rsidR="00E71072" w:rsidRPr="006B1A5A" w:rsidRDefault="00E71072" w:rsidP="00AF2AEA">
            <w:pPr>
              <w:pStyle w:val="Listeavsnitt"/>
              <w:rPr>
                <w:rFonts w:cs="Verdana"/>
                <w:color w:val="000000"/>
                <w:sz w:val="18"/>
                <w:szCs w:val="18"/>
                <w:lang w:eastAsia="en-US"/>
              </w:rPr>
            </w:pPr>
          </w:p>
          <w:p w14:paraId="095F0F90" w14:textId="77777777" w:rsidR="00E71072" w:rsidRPr="006B1A5A" w:rsidRDefault="00E71072" w:rsidP="00FD0ADE">
            <w:pPr>
              <w:pStyle w:val="Merknadstekst"/>
              <w:numPr>
                <w:ilvl w:val="0"/>
                <w:numId w:val="14"/>
              </w:numPr>
              <w:ind w:left="172" w:hanging="172"/>
              <w:rPr>
                <w:rFonts w:eastAsia="Verdana" w:cs="Verdana"/>
                <w:sz w:val="18"/>
                <w:szCs w:val="18"/>
              </w:rPr>
            </w:pPr>
            <w:r w:rsidRPr="006B1A5A">
              <w:rPr>
                <w:rFonts w:cs="Verdana"/>
                <w:color w:val="000000"/>
                <w:sz w:val="18"/>
                <w:szCs w:val="18"/>
                <w:lang w:eastAsia="en-US"/>
              </w:rPr>
              <w:t>Regular cleaning of equipment</w:t>
            </w:r>
            <w:r w:rsidRPr="006B1A5A">
              <w:rPr>
                <w:rFonts w:eastAsia="Verdana" w:cs="Verdana"/>
                <w:spacing w:val="-6"/>
                <w:sz w:val="18"/>
                <w:szCs w:val="18"/>
              </w:rPr>
              <w:t xml:space="preserve"> </w:t>
            </w:r>
            <w:r w:rsidRPr="006B1A5A">
              <w:rPr>
                <w:rFonts w:eastAsia="Verdana" w:cs="Verdana"/>
                <w:sz w:val="18"/>
                <w:szCs w:val="18"/>
              </w:rPr>
              <w:t>a</w:t>
            </w:r>
            <w:r w:rsidRPr="006B1A5A">
              <w:rPr>
                <w:rFonts w:eastAsia="Verdana" w:cs="Verdana"/>
                <w:spacing w:val="-1"/>
                <w:sz w:val="18"/>
                <w:szCs w:val="18"/>
              </w:rPr>
              <w:t>n</w:t>
            </w:r>
            <w:r w:rsidRPr="006B1A5A">
              <w:rPr>
                <w:rFonts w:eastAsia="Verdana" w:cs="Verdana"/>
                <w:sz w:val="18"/>
                <w:szCs w:val="18"/>
              </w:rPr>
              <w:t>d</w:t>
            </w:r>
            <w:r w:rsidRPr="006B1A5A">
              <w:rPr>
                <w:rFonts w:eastAsia="Verdana" w:cs="Verdana"/>
                <w:spacing w:val="-2"/>
                <w:sz w:val="18"/>
                <w:szCs w:val="18"/>
              </w:rPr>
              <w:t xml:space="preserve"> </w:t>
            </w:r>
            <w:r w:rsidRPr="006B1A5A">
              <w:rPr>
                <w:rFonts w:eastAsia="Verdana" w:cs="Verdana"/>
                <w:spacing w:val="-1"/>
                <w:sz w:val="18"/>
                <w:szCs w:val="18"/>
              </w:rPr>
              <w:t>w</w:t>
            </w:r>
            <w:r w:rsidRPr="006B1A5A">
              <w:rPr>
                <w:rFonts w:eastAsia="Verdana" w:cs="Verdana"/>
                <w:spacing w:val="1"/>
                <w:sz w:val="18"/>
                <w:szCs w:val="18"/>
              </w:rPr>
              <w:t>o</w:t>
            </w:r>
            <w:r w:rsidRPr="006B1A5A">
              <w:rPr>
                <w:rFonts w:eastAsia="Verdana" w:cs="Verdana"/>
                <w:sz w:val="18"/>
                <w:szCs w:val="18"/>
              </w:rPr>
              <w:t>rk area</w:t>
            </w:r>
          </w:p>
          <w:p w14:paraId="1EE4BB8A" w14:textId="77777777" w:rsidR="00E71072" w:rsidRPr="006B1A5A" w:rsidRDefault="00E71072" w:rsidP="00AF2AEA">
            <w:pPr>
              <w:pStyle w:val="Listeavsnitt"/>
              <w:rPr>
                <w:rFonts w:eastAsia="Verdana" w:cs="Verdana"/>
                <w:sz w:val="18"/>
                <w:szCs w:val="18"/>
              </w:rPr>
            </w:pPr>
          </w:p>
          <w:p w14:paraId="47FB67C3" w14:textId="77777777" w:rsidR="00E71072" w:rsidRPr="006B1A5A" w:rsidRDefault="00E71072" w:rsidP="00FD0ADE">
            <w:pPr>
              <w:pStyle w:val="Merknadstekst"/>
              <w:numPr>
                <w:ilvl w:val="0"/>
                <w:numId w:val="14"/>
              </w:numPr>
              <w:ind w:left="172" w:hanging="172"/>
              <w:rPr>
                <w:rFonts w:cs="Verdana"/>
                <w:color w:val="000000"/>
                <w:sz w:val="18"/>
                <w:szCs w:val="18"/>
                <w:lang w:eastAsia="en-US"/>
              </w:rPr>
            </w:pPr>
            <w:r w:rsidRPr="006B1A5A">
              <w:rPr>
                <w:rFonts w:cs="Verdana"/>
                <w:color w:val="000000"/>
                <w:sz w:val="18"/>
                <w:szCs w:val="18"/>
                <w:lang w:eastAsia="en-US"/>
              </w:rPr>
              <w:t xml:space="preserve">Good standard of personal hygiene  </w:t>
            </w:r>
          </w:p>
          <w:p w14:paraId="12C87A63" w14:textId="77777777" w:rsidR="00E71072" w:rsidRPr="006B1A5A" w:rsidRDefault="00E71072" w:rsidP="00AF2AEA">
            <w:pPr>
              <w:pStyle w:val="Merknadstekst"/>
              <w:rPr>
                <w:rFonts w:cs="Verdana"/>
                <w:color w:val="000000"/>
                <w:sz w:val="18"/>
                <w:szCs w:val="18"/>
                <w:lang w:eastAsia="en-US"/>
              </w:rPr>
            </w:pPr>
          </w:p>
          <w:p w14:paraId="300BD393" w14:textId="66B21570" w:rsidR="00E71072" w:rsidRPr="006B1A5A" w:rsidRDefault="00E71072" w:rsidP="00FD0ADE">
            <w:pPr>
              <w:pStyle w:val="Merknadstekst"/>
              <w:numPr>
                <w:ilvl w:val="0"/>
                <w:numId w:val="14"/>
              </w:numPr>
              <w:ind w:left="172" w:hanging="172"/>
              <w:rPr>
                <w:rFonts w:cs="Verdana"/>
                <w:color w:val="000000"/>
                <w:sz w:val="18"/>
                <w:szCs w:val="18"/>
                <w:lang w:eastAsia="en-US"/>
              </w:rPr>
            </w:pPr>
            <w:r w:rsidRPr="006B1A5A">
              <w:rPr>
                <w:rFonts w:cs="Verdana"/>
                <w:color w:val="000000"/>
                <w:sz w:val="18"/>
                <w:szCs w:val="18"/>
                <w:lang w:eastAsia="en-US"/>
              </w:rPr>
              <w:t>Coveralls, gloves, eye protection (go</w:t>
            </w:r>
            <w:r>
              <w:rPr>
                <w:rFonts w:cs="Verdana"/>
                <w:color w:val="000000"/>
                <w:sz w:val="18"/>
                <w:szCs w:val="18"/>
                <w:lang w:eastAsia="en-US"/>
              </w:rPr>
              <w:t>g</w:t>
            </w:r>
            <w:r w:rsidRPr="006B1A5A">
              <w:rPr>
                <w:rFonts w:cs="Verdana"/>
                <w:color w:val="000000"/>
                <w:sz w:val="18"/>
                <w:szCs w:val="18"/>
                <w:lang w:eastAsia="en-US"/>
              </w:rPr>
              <w:t>gles)</w:t>
            </w:r>
          </w:p>
          <w:p w14:paraId="50C07D4D" w14:textId="77777777" w:rsidR="00E71072" w:rsidRPr="006B1A5A" w:rsidRDefault="00E71072" w:rsidP="00AF2AEA">
            <w:pPr>
              <w:pStyle w:val="Merknadstekst"/>
              <w:ind w:left="172"/>
              <w:rPr>
                <w:rFonts w:cs="Verdana"/>
                <w:color w:val="000000"/>
                <w:sz w:val="18"/>
                <w:szCs w:val="18"/>
                <w:lang w:eastAsia="en-US"/>
              </w:rPr>
            </w:pPr>
          </w:p>
          <w:p w14:paraId="0393D715" w14:textId="77777777" w:rsidR="00E71072" w:rsidRPr="006B1A5A" w:rsidRDefault="00E71072" w:rsidP="00FD0ADE">
            <w:pPr>
              <w:pStyle w:val="Merknadstekst"/>
              <w:numPr>
                <w:ilvl w:val="0"/>
                <w:numId w:val="14"/>
              </w:numPr>
              <w:ind w:left="172" w:hanging="172"/>
              <w:rPr>
                <w:rFonts w:cs="Verdana"/>
                <w:color w:val="000000"/>
                <w:sz w:val="18"/>
                <w:szCs w:val="18"/>
                <w:lang w:eastAsia="en-US"/>
              </w:rPr>
            </w:pPr>
            <w:r w:rsidRPr="006B1A5A">
              <w:rPr>
                <w:rFonts w:cs="Verdana"/>
                <w:color w:val="000000"/>
                <w:sz w:val="18"/>
                <w:szCs w:val="18"/>
                <w:lang w:eastAsia="en-US"/>
              </w:rPr>
              <w:t>Labelling as H318</w:t>
            </w:r>
          </w:p>
          <w:p w14:paraId="59AEE784" w14:textId="77777777" w:rsidR="00E71072" w:rsidRPr="006B1A5A" w:rsidRDefault="00E71072" w:rsidP="00AF2AEA">
            <w:pPr>
              <w:pStyle w:val="Merknadstekst"/>
              <w:rPr>
                <w:rFonts w:eastAsia="Calibri"/>
                <w:iCs/>
                <w:sz w:val="18"/>
                <w:szCs w:val="18"/>
                <w:lang w:eastAsia="en-US"/>
              </w:rPr>
            </w:pPr>
          </w:p>
        </w:tc>
        <w:tc>
          <w:tcPr>
            <w:tcW w:w="1637" w:type="dxa"/>
            <w:shd w:val="clear" w:color="auto" w:fill="FFFF99"/>
          </w:tcPr>
          <w:p w14:paraId="25F49736" w14:textId="77777777" w:rsidR="00E71072" w:rsidRPr="006B1A5A" w:rsidRDefault="00E71072" w:rsidP="00AF2AEA">
            <w:pPr>
              <w:rPr>
                <w:rFonts w:cs="Verdana"/>
                <w:color w:val="000000"/>
                <w:sz w:val="18"/>
                <w:szCs w:val="18"/>
                <w:lang w:eastAsia="en-US"/>
              </w:rPr>
            </w:pPr>
            <w:r w:rsidRPr="006B1A5A">
              <w:rPr>
                <w:rFonts w:cs="Verdana"/>
                <w:color w:val="000000"/>
                <w:sz w:val="18"/>
                <w:szCs w:val="18"/>
                <w:lang w:eastAsia="en-US"/>
              </w:rPr>
              <w:t>Acceptable</w:t>
            </w:r>
          </w:p>
          <w:p w14:paraId="3359A771" w14:textId="77777777" w:rsidR="00E71072" w:rsidRPr="006B1A5A" w:rsidRDefault="00E71072" w:rsidP="00AF2AEA">
            <w:pPr>
              <w:rPr>
                <w:rFonts w:cs="Verdana"/>
                <w:color w:val="000000"/>
                <w:sz w:val="18"/>
                <w:szCs w:val="18"/>
                <w:lang w:eastAsia="en-US"/>
              </w:rPr>
            </w:pPr>
          </w:p>
          <w:p w14:paraId="11797611" w14:textId="77777777" w:rsidR="00E71072" w:rsidRPr="006B1A5A" w:rsidRDefault="00E71072" w:rsidP="00AF2AEA">
            <w:pPr>
              <w:rPr>
                <w:rFonts w:cs="Verdana"/>
                <w:color w:val="000000"/>
                <w:sz w:val="18"/>
                <w:szCs w:val="18"/>
                <w:lang w:eastAsia="en-US"/>
              </w:rPr>
            </w:pPr>
            <w:r w:rsidRPr="006B1A5A">
              <w:rPr>
                <w:rFonts w:cs="Verdana"/>
                <w:color w:val="000000"/>
                <w:sz w:val="18"/>
                <w:szCs w:val="18"/>
                <w:lang w:eastAsia="en-US"/>
              </w:rPr>
              <w:t xml:space="preserve">+Automated processes; </w:t>
            </w:r>
          </w:p>
          <w:p w14:paraId="7BB31FBF" w14:textId="77777777" w:rsidR="00E71072" w:rsidRPr="006B1A5A" w:rsidRDefault="00E71072" w:rsidP="00AF2AEA">
            <w:pPr>
              <w:rPr>
                <w:rFonts w:cs="Verdana"/>
                <w:color w:val="000000"/>
                <w:sz w:val="18"/>
                <w:szCs w:val="18"/>
                <w:lang w:eastAsia="en-US"/>
              </w:rPr>
            </w:pPr>
            <w:r w:rsidRPr="006B1A5A">
              <w:rPr>
                <w:rFonts w:cs="Verdana"/>
                <w:color w:val="000000"/>
                <w:sz w:val="18"/>
                <w:szCs w:val="18"/>
                <w:lang w:eastAsia="en-US"/>
              </w:rPr>
              <w:t>Minimal potential for exposure</w:t>
            </w:r>
          </w:p>
          <w:p w14:paraId="21D5DDB9" w14:textId="77777777" w:rsidR="00E71072" w:rsidRPr="006B1A5A" w:rsidRDefault="00E71072" w:rsidP="00AF2AEA">
            <w:pPr>
              <w:rPr>
                <w:rFonts w:cs="Verdana"/>
                <w:color w:val="000000"/>
                <w:sz w:val="18"/>
                <w:szCs w:val="18"/>
                <w:lang w:eastAsia="en-US"/>
              </w:rPr>
            </w:pPr>
            <w:r w:rsidRPr="006B1A5A">
              <w:rPr>
                <w:rFonts w:cs="Verdana"/>
                <w:color w:val="000000"/>
                <w:sz w:val="18"/>
                <w:szCs w:val="18"/>
                <w:lang w:eastAsia="en-US"/>
              </w:rPr>
              <w:t>+No aerosol formation</w:t>
            </w:r>
          </w:p>
          <w:p w14:paraId="24A7B516" w14:textId="77777777" w:rsidR="00E71072" w:rsidRPr="006B1A5A" w:rsidRDefault="00E71072" w:rsidP="00AF2AEA">
            <w:pPr>
              <w:rPr>
                <w:rFonts w:cs="Verdana"/>
                <w:color w:val="000000"/>
                <w:sz w:val="18"/>
                <w:szCs w:val="18"/>
                <w:lang w:eastAsia="en-US"/>
              </w:rPr>
            </w:pPr>
          </w:p>
          <w:p w14:paraId="50DACD48" w14:textId="77777777" w:rsidR="00E71072" w:rsidRPr="006B1A5A" w:rsidRDefault="00E71072" w:rsidP="00AF2AEA">
            <w:pPr>
              <w:rPr>
                <w:rFonts w:cs="Verdana"/>
                <w:color w:val="000000"/>
                <w:sz w:val="18"/>
                <w:szCs w:val="18"/>
                <w:lang w:eastAsia="en-US"/>
              </w:rPr>
            </w:pPr>
          </w:p>
          <w:p w14:paraId="75021726" w14:textId="77777777" w:rsidR="00E71072" w:rsidRPr="006B1A5A" w:rsidRDefault="00E71072" w:rsidP="00AF2AEA">
            <w:pPr>
              <w:pStyle w:val="Default"/>
              <w:rPr>
                <w:rFonts w:ascii="Verdana" w:hAnsi="Verdana"/>
                <w:sz w:val="18"/>
                <w:szCs w:val="18"/>
              </w:rPr>
            </w:pPr>
            <w:r w:rsidRPr="006B1A5A">
              <w:rPr>
                <w:rFonts w:ascii="Verdana" w:hAnsi="Verdana"/>
                <w:sz w:val="18"/>
                <w:szCs w:val="18"/>
              </w:rPr>
              <w:t xml:space="preserve">+trained workers </w:t>
            </w:r>
          </w:p>
          <w:p w14:paraId="6C3EFE65" w14:textId="77777777" w:rsidR="00E71072" w:rsidRPr="006B1A5A" w:rsidRDefault="00E71072" w:rsidP="00AF2AEA">
            <w:pPr>
              <w:rPr>
                <w:sz w:val="18"/>
                <w:szCs w:val="18"/>
              </w:rPr>
            </w:pPr>
          </w:p>
          <w:p w14:paraId="47B2509E" w14:textId="77777777" w:rsidR="00E71072" w:rsidRPr="006B1A5A" w:rsidRDefault="00E71072" w:rsidP="00AF2AEA">
            <w:pPr>
              <w:rPr>
                <w:rFonts w:cs="Verdana"/>
                <w:color w:val="000000"/>
                <w:sz w:val="18"/>
                <w:szCs w:val="18"/>
                <w:lang w:eastAsia="en-US"/>
              </w:rPr>
            </w:pPr>
            <w:r w:rsidRPr="006B1A5A">
              <w:rPr>
                <w:sz w:val="18"/>
                <w:szCs w:val="18"/>
              </w:rPr>
              <w:t xml:space="preserve">+use of appropriate PPE </w:t>
            </w:r>
          </w:p>
          <w:p w14:paraId="1ECB94D8" w14:textId="77777777" w:rsidR="00E71072" w:rsidRPr="006B1A5A" w:rsidRDefault="00E71072" w:rsidP="00AF2AEA">
            <w:pPr>
              <w:rPr>
                <w:rFonts w:cs="Verdana"/>
                <w:color w:val="000000"/>
                <w:sz w:val="18"/>
                <w:szCs w:val="18"/>
                <w:lang w:eastAsia="en-US"/>
              </w:rPr>
            </w:pPr>
          </w:p>
          <w:p w14:paraId="0319D4F9" w14:textId="77777777" w:rsidR="00E71072" w:rsidRPr="006B1A5A" w:rsidRDefault="00E71072" w:rsidP="00AF2AEA">
            <w:pPr>
              <w:rPr>
                <w:rFonts w:cs="Verdana"/>
                <w:color w:val="000000"/>
                <w:sz w:val="18"/>
                <w:szCs w:val="18"/>
                <w:lang w:eastAsia="en-US"/>
              </w:rPr>
            </w:pPr>
          </w:p>
          <w:p w14:paraId="110C1845" w14:textId="77777777" w:rsidR="00E71072" w:rsidRPr="006B1A5A" w:rsidRDefault="00E71072" w:rsidP="00AF2AEA">
            <w:pPr>
              <w:rPr>
                <w:sz w:val="18"/>
                <w:szCs w:val="18"/>
              </w:rPr>
            </w:pPr>
          </w:p>
          <w:p w14:paraId="180BD14F" w14:textId="77777777" w:rsidR="00E71072" w:rsidRPr="006B1A5A" w:rsidRDefault="00E71072" w:rsidP="00AF2AEA">
            <w:pPr>
              <w:rPr>
                <w:rFonts w:eastAsia="Calibri"/>
                <w:iCs/>
                <w:sz w:val="18"/>
                <w:szCs w:val="18"/>
                <w:lang w:eastAsia="en-US"/>
              </w:rPr>
            </w:pPr>
          </w:p>
        </w:tc>
      </w:tr>
      <w:tr w:rsidR="00E71072" w:rsidRPr="006B1A5A" w14:paraId="18DCBB2B" w14:textId="77777777" w:rsidTr="00E71072">
        <w:trPr>
          <w:gridAfter w:val="1"/>
          <w:wAfter w:w="6" w:type="dxa"/>
        </w:trPr>
        <w:tc>
          <w:tcPr>
            <w:tcW w:w="1001" w:type="dxa"/>
            <w:vMerge/>
          </w:tcPr>
          <w:p w14:paraId="722AE689" w14:textId="77777777" w:rsidR="00E71072" w:rsidRPr="006B1A5A" w:rsidRDefault="00E71072" w:rsidP="00AF2AEA">
            <w:pPr>
              <w:rPr>
                <w:rFonts w:eastAsia="Calibri"/>
                <w:iCs/>
                <w:sz w:val="18"/>
                <w:szCs w:val="18"/>
                <w:lang w:eastAsia="en-US"/>
              </w:rPr>
            </w:pPr>
          </w:p>
        </w:tc>
        <w:tc>
          <w:tcPr>
            <w:tcW w:w="823" w:type="dxa"/>
            <w:vMerge/>
          </w:tcPr>
          <w:p w14:paraId="72DB1286" w14:textId="77777777" w:rsidR="00E71072" w:rsidRPr="006B1A5A" w:rsidRDefault="00E71072" w:rsidP="00AF2AEA">
            <w:pPr>
              <w:pStyle w:val="Default"/>
              <w:rPr>
                <w:rFonts w:ascii="Verdana" w:hAnsi="Verdana"/>
                <w:sz w:val="18"/>
                <w:szCs w:val="18"/>
              </w:rPr>
            </w:pPr>
          </w:p>
        </w:tc>
        <w:tc>
          <w:tcPr>
            <w:tcW w:w="965" w:type="dxa"/>
          </w:tcPr>
          <w:p w14:paraId="59628927" w14:textId="77777777" w:rsidR="00E71072" w:rsidRPr="006B1A5A" w:rsidRDefault="00E71072" w:rsidP="00AF2AEA">
            <w:pPr>
              <w:rPr>
                <w:rFonts w:eastAsia="Calibri"/>
                <w:iCs/>
                <w:sz w:val="18"/>
                <w:szCs w:val="18"/>
                <w:lang w:eastAsia="en-US"/>
              </w:rPr>
            </w:pPr>
            <w:r w:rsidRPr="006B1A5A">
              <w:rPr>
                <w:rFonts w:eastAsia="Calibri"/>
                <w:iCs/>
                <w:sz w:val="18"/>
                <w:szCs w:val="18"/>
                <w:lang w:eastAsia="en-US"/>
              </w:rPr>
              <w:t>Professionals</w:t>
            </w:r>
          </w:p>
        </w:tc>
        <w:tc>
          <w:tcPr>
            <w:tcW w:w="1034" w:type="dxa"/>
          </w:tcPr>
          <w:p w14:paraId="34347B5B" w14:textId="77777777" w:rsidR="00E71072" w:rsidRPr="006B1A5A" w:rsidRDefault="00E71072" w:rsidP="00AF2AEA">
            <w:pPr>
              <w:rPr>
                <w:rFonts w:eastAsia="Calibri"/>
                <w:iCs/>
                <w:sz w:val="18"/>
                <w:szCs w:val="18"/>
                <w:lang w:eastAsia="en-US"/>
              </w:rPr>
            </w:pPr>
            <w:r w:rsidRPr="006B1A5A">
              <w:rPr>
                <w:rFonts w:eastAsia="Calibri"/>
                <w:iCs/>
                <w:sz w:val="18"/>
                <w:szCs w:val="18"/>
                <w:lang w:eastAsia="en-US"/>
              </w:rPr>
              <w:t xml:space="preserve">Net deployment </w:t>
            </w:r>
          </w:p>
        </w:tc>
        <w:tc>
          <w:tcPr>
            <w:tcW w:w="1236" w:type="dxa"/>
          </w:tcPr>
          <w:p w14:paraId="5C6D11E5" w14:textId="77777777" w:rsidR="00E71072" w:rsidRPr="006B1A5A" w:rsidRDefault="00E71072" w:rsidP="00AF2AEA">
            <w:pPr>
              <w:pStyle w:val="Default"/>
              <w:rPr>
                <w:rFonts w:ascii="Verdana" w:hAnsi="Verdana"/>
                <w:sz w:val="18"/>
                <w:szCs w:val="18"/>
              </w:rPr>
            </w:pPr>
            <w:r w:rsidRPr="006B1A5A">
              <w:rPr>
                <w:rFonts w:ascii="Verdana" w:hAnsi="Verdana"/>
                <w:sz w:val="18"/>
                <w:szCs w:val="18"/>
              </w:rPr>
              <w:t>Skin</w:t>
            </w:r>
          </w:p>
          <w:p w14:paraId="5F54751A" w14:textId="77777777" w:rsidR="00E71072" w:rsidRPr="006B1A5A" w:rsidRDefault="00E71072" w:rsidP="00AF2AEA">
            <w:pPr>
              <w:pStyle w:val="Default"/>
              <w:rPr>
                <w:rFonts w:ascii="Verdana" w:hAnsi="Verdana"/>
                <w:sz w:val="18"/>
                <w:szCs w:val="18"/>
              </w:rPr>
            </w:pPr>
          </w:p>
          <w:p w14:paraId="461D4A66" w14:textId="77777777" w:rsidR="00E71072" w:rsidRPr="006B1A5A" w:rsidRDefault="00E71072" w:rsidP="00AF2AEA">
            <w:pPr>
              <w:pStyle w:val="Default"/>
              <w:rPr>
                <w:rFonts w:ascii="Verdana" w:hAnsi="Verdana"/>
                <w:sz w:val="18"/>
                <w:szCs w:val="18"/>
              </w:rPr>
            </w:pPr>
            <w:r w:rsidRPr="00E71072">
              <w:rPr>
                <w:rFonts w:ascii="Verdana" w:hAnsi="Verdana"/>
                <w:sz w:val="18"/>
                <w:szCs w:val="18"/>
              </w:rPr>
              <w:t>Eye (dust, hand to eye transfer)</w:t>
            </w:r>
          </w:p>
        </w:tc>
        <w:tc>
          <w:tcPr>
            <w:tcW w:w="2542" w:type="dxa"/>
          </w:tcPr>
          <w:p w14:paraId="6CBC10BB" w14:textId="0BDA0B10" w:rsidR="00E71072" w:rsidRPr="006B1A5A" w:rsidRDefault="004D7069" w:rsidP="00AF2AEA">
            <w:pPr>
              <w:pStyle w:val="Default"/>
              <w:rPr>
                <w:rFonts w:ascii="Verdana" w:hAnsi="Verdana"/>
                <w:sz w:val="18"/>
                <w:szCs w:val="18"/>
              </w:rPr>
            </w:pPr>
            <w:r>
              <w:rPr>
                <w:rFonts w:ascii="Verdana" w:hAnsi="Verdana"/>
                <w:sz w:val="18"/>
                <w:szCs w:val="18"/>
              </w:rPr>
              <w:t>I</w:t>
            </w:r>
            <w:r w:rsidR="00E71072" w:rsidRPr="006B1A5A">
              <w:rPr>
                <w:rFonts w:ascii="Verdana" w:hAnsi="Verdana"/>
                <w:sz w:val="18"/>
                <w:szCs w:val="18"/>
              </w:rPr>
              <w:t xml:space="preserve">nfrequent </w:t>
            </w:r>
            <w:r>
              <w:rPr>
                <w:rFonts w:ascii="Verdana" w:hAnsi="Verdana"/>
                <w:sz w:val="18"/>
                <w:szCs w:val="18"/>
              </w:rPr>
              <w:t>task</w:t>
            </w:r>
          </w:p>
          <w:p w14:paraId="05DAC26F" w14:textId="77777777" w:rsidR="00E71072" w:rsidRPr="006B1A5A" w:rsidRDefault="00E71072" w:rsidP="00AF2AEA">
            <w:pPr>
              <w:pStyle w:val="Default"/>
              <w:rPr>
                <w:rFonts w:ascii="Verdana" w:hAnsi="Verdana"/>
                <w:sz w:val="18"/>
                <w:szCs w:val="18"/>
              </w:rPr>
            </w:pPr>
          </w:p>
          <w:p w14:paraId="3461D067" w14:textId="77777777" w:rsidR="00E71072" w:rsidRPr="006B1A5A" w:rsidRDefault="00E71072" w:rsidP="00AF2AEA">
            <w:pPr>
              <w:pStyle w:val="Default"/>
              <w:rPr>
                <w:rFonts w:ascii="Verdana" w:hAnsi="Verdana"/>
                <w:sz w:val="18"/>
                <w:szCs w:val="18"/>
              </w:rPr>
            </w:pPr>
            <w:r w:rsidRPr="006B1A5A">
              <w:rPr>
                <w:rFonts w:ascii="Verdana" w:hAnsi="Verdana"/>
                <w:sz w:val="18"/>
                <w:szCs w:val="18"/>
              </w:rPr>
              <w:t xml:space="preserve">Dermal contact with dry treated nets. </w:t>
            </w:r>
          </w:p>
          <w:p w14:paraId="2784BC1D" w14:textId="77777777" w:rsidR="00E71072" w:rsidRPr="006B1A5A" w:rsidRDefault="00E71072" w:rsidP="00AF2AEA">
            <w:pPr>
              <w:pStyle w:val="Default"/>
              <w:rPr>
                <w:rFonts w:ascii="Verdana" w:hAnsi="Verdana"/>
                <w:sz w:val="18"/>
                <w:szCs w:val="18"/>
              </w:rPr>
            </w:pPr>
          </w:p>
          <w:p w14:paraId="3E0BF90B" w14:textId="562AD0EC" w:rsidR="00E71072" w:rsidRPr="006B1A5A" w:rsidRDefault="00E71072" w:rsidP="00AF2AEA">
            <w:pPr>
              <w:pStyle w:val="Default"/>
              <w:rPr>
                <w:rFonts w:ascii="Verdana" w:hAnsi="Verdana"/>
                <w:sz w:val="18"/>
                <w:szCs w:val="18"/>
              </w:rPr>
            </w:pPr>
            <w:r w:rsidRPr="00E751B1">
              <w:rPr>
                <w:rFonts w:ascii="Verdana" w:eastAsia="Verdana" w:hAnsi="Verdana" w:cs="Verdana"/>
                <w:sz w:val="18"/>
                <w:szCs w:val="18"/>
              </w:rPr>
              <w:t>Prac</w:t>
            </w:r>
            <w:r w:rsidRPr="00E751B1">
              <w:rPr>
                <w:rFonts w:ascii="Verdana" w:eastAsia="Verdana" w:hAnsi="Verdana" w:cs="Verdana"/>
                <w:spacing w:val="1"/>
                <w:sz w:val="18"/>
                <w:szCs w:val="18"/>
              </w:rPr>
              <w:t>ti</w:t>
            </w:r>
            <w:r w:rsidRPr="00E751B1">
              <w:rPr>
                <w:rFonts w:ascii="Verdana" w:eastAsia="Verdana" w:hAnsi="Verdana" w:cs="Verdana"/>
                <w:sz w:val="18"/>
                <w:szCs w:val="18"/>
              </w:rPr>
              <w:t>ca</w:t>
            </w:r>
            <w:r w:rsidRPr="00E751B1">
              <w:rPr>
                <w:rFonts w:ascii="Verdana" w:eastAsia="Verdana" w:hAnsi="Verdana" w:cs="Verdana"/>
                <w:spacing w:val="-2"/>
                <w:sz w:val="18"/>
                <w:szCs w:val="18"/>
              </w:rPr>
              <w:t>l</w:t>
            </w:r>
            <w:r w:rsidRPr="00E751B1">
              <w:rPr>
                <w:rFonts w:ascii="Verdana" w:eastAsia="Verdana" w:hAnsi="Verdana" w:cs="Verdana"/>
                <w:spacing w:val="1"/>
                <w:sz w:val="18"/>
                <w:szCs w:val="18"/>
              </w:rPr>
              <w:t>l</w:t>
            </w:r>
            <w:r w:rsidRPr="00E751B1">
              <w:rPr>
                <w:rFonts w:ascii="Verdana" w:eastAsia="Verdana" w:hAnsi="Verdana" w:cs="Verdana"/>
                <w:sz w:val="18"/>
                <w:szCs w:val="18"/>
              </w:rPr>
              <w:t>y</w:t>
            </w:r>
            <w:r w:rsidRPr="00E751B1">
              <w:rPr>
                <w:rFonts w:ascii="Verdana" w:eastAsia="Verdana" w:hAnsi="Verdana" w:cs="Verdana"/>
                <w:spacing w:val="-9"/>
                <w:sz w:val="18"/>
                <w:szCs w:val="18"/>
              </w:rPr>
              <w:t xml:space="preserve"> </w:t>
            </w:r>
            <w:r w:rsidRPr="00E751B1">
              <w:rPr>
                <w:rFonts w:ascii="Verdana" w:eastAsia="Verdana" w:hAnsi="Verdana" w:cs="Verdana"/>
                <w:spacing w:val="-1"/>
                <w:sz w:val="18"/>
                <w:szCs w:val="18"/>
              </w:rPr>
              <w:t>n</w:t>
            </w:r>
            <w:r w:rsidRPr="00E751B1">
              <w:rPr>
                <w:rFonts w:ascii="Verdana" w:eastAsia="Verdana" w:hAnsi="Verdana" w:cs="Verdana"/>
                <w:sz w:val="18"/>
                <w:szCs w:val="18"/>
              </w:rPr>
              <w:t>o</w:t>
            </w:r>
            <w:r w:rsidRPr="00E751B1">
              <w:rPr>
                <w:rFonts w:ascii="Verdana" w:eastAsia="Verdana" w:hAnsi="Verdana" w:cs="Verdana"/>
                <w:spacing w:val="-2"/>
                <w:sz w:val="18"/>
                <w:szCs w:val="18"/>
              </w:rPr>
              <w:t xml:space="preserve"> </w:t>
            </w:r>
            <w:r w:rsidRPr="00E751B1">
              <w:rPr>
                <w:rFonts w:ascii="Verdana" w:eastAsia="Verdana" w:hAnsi="Verdana" w:cs="Verdana"/>
                <w:spacing w:val="1"/>
                <w:sz w:val="18"/>
                <w:szCs w:val="18"/>
              </w:rPr>
              <w:t>e</w:t>
            </w:r>
            <w:r w:rsidRPr="00E751B1">
              <w:rPr>
                <w:rFonts w:ascii="Verdana" w:eastAsia="Verdana" w:hAnsi="Verdana" w:cs="Verdana"/>
                <w:spacing w:val="-1"/>
                <w:sz w:val="18"/>
                <w:szCs w:val="18"/>
              </w:rPr>
              <w:t>x</w:t>
            </w:r>
            <w:r w:rsidRPr="00E751B1">
              <w:rPr>
                <w:rFonts w:ascii="Verdana" w:eastAsia="Verdana" w:hAnsi="Verdana" w:cs="Verdana"/>
                <w:spacing w:val="1"/>
                <w:sz w:val="18"/>
                <w:szCs w:val="18"/>
              </w:rPr>
              <w:t>po</w:t>
            </w:r>
            <w:r w:rsidRPr="00E751B1">
              <w:rPr>
                <w:rFonts w:ascii="Verdana" w:eastAsia="Verdana" w:hAnsi="Verdana" w:cs="Verdana"/>
                <w:sz w:val="18"/>
                <w:szCs w:val="18"/>
              </w:rPr>
              <w:t>s</w:t>
            </w:r>
            <w:r w:rsidRPr="00E751B1">
              <w:rPr>
                <w:rFonts w:ascii="Verdana" w:eastAsia="Verdana" w:hAnsi="Verdana" w:cs="Verdana"/>
                <w:spacing w:val="-1"/>
                <w:sz w:val="18"/>
                <w:szCs w:val="18"/>
              </w:rPr>
              <w:t>u</w:t>
            </w:r>
            <w:r w:rsidRPr="00E751B1">
              <w:rPr>
                <w:rFonts w:ascii="Verdana" w:eastAsia="Verdana" w:hAnsi="Verdana" w:cs="Verdana"/>
                <w:sz w:val="18"/>
                <w:szCs w:val="18"/>
              </w:rPr>
              <w:t>r</w:t>
            </w:r>
            <w:r w:rsidRPr="00E751B1">
              <w:rPr>
                <w:rFonts w:ascii="Verdana" w:eastAsia="Verdana" w:hAnsi="Verdana" w:cs="Verdana"/>
                <w:spacing w:val="1"/>
                <w:sz w:val="18"/>
                <w:szCs w:val="18"/>
              </w:rPr>
              <w:t>e to eyes</w:t>
            </w:r>
            <w:r w:rsidR="008157B0" w:rsidRPr="00E751B1">
              <w:rPr>
                <w:rFonts w:ascii="Verdana" w:eastAsia="Verdana" w:hAnsi="Verdana" w:cs="Verdana"/>
                <w:spacing w:val="1"/>
                <w:sz w:val="18"/>
                <w:szCs w:val="18"/>
              </w:rPr>
              <w:t>.</w:t>
            </w:r>
            <w:r w:rsidRPr="00E751B1">
              <w:rPr>
                <w:rFonts w:ascii="Verdana" w:eastAsia="Verdana" w:hAnsi="Verdana" w:cs="Verdana"/>
                <w:spacing w:val="1"/>
                <w:sz w:val="18"/>
                <w:szCs w:val="18"/>
              </w:rPr>
              <w:t xml:space="preserve"> </w:t>
            </w:r>
            <w:r w:rsidR="00F16737" w:rsidRPr="00E751B1">
              <w:rPr>
                <w:rFonts w:ascii="Verdana" w:eastAsia="Verdana" w:hAnsi="Verdana" w:cs="Verdana"/>
                <w:spacing w:val="1"/>
                <w:sz w:val="18"/>
                <w:szCs w:val="18"/>
              </w:rPr>
              <w:t xml:space="preserve">due to use of goggles during deployment </w:t>
            </w:r>
          </w:p>
        </w:tc>
        <w:tc>
          <w:tcPr>
            <w:tcW w:w="1043" w:type="dxa"/>
          </w:tcPr>
          <w:p w14:paraId="6C5DE480" w14:textId="77777777" w:rsidR="00E71072" w:rsidRPr="006B1A5A" w:rsidRDefault="00E71072" w:rsidP="00AF2AEA">
            <w:pPr>
              <w:rPr>
                <w:rFonts w:eastAsia="Calibri"/>
                <w:iCs/>
                <w:sz w:val="18"/>
                <w:szCs w:val="18"/>
                <w:lang w:eastAsia="en-US"/>
              </w:rPr>
            </w:pPr>
            <w:r w:rsidRPr="00E71072">
              <w:rPr>
                <w:rFonts w:eastAsia="Calibri"/>
                <w:iCs/>
                <w:sz w:val="18"/>
                <w:szCs w:val="18"/>
                <w:lang w:eastAsia="en-US"/>
              </w:rPr>
              <w:t>n.r.</w:t>
            </w:r>
          </w:p>
        </w:tc>
        <w:tc>
          <w:tcPr>
            <w:tcW w:w="3062" w:type="dxa"/>
          </w:tcPr>
          <w:p w14:paraId="6913E39B" w14:textId="77777777" w:rsidR="00E71072" w:rsidRPr="006B1A5A" w:rsidRDefault="00E71072" w:rsidP="00AF2AEA">
            <w:pPr>
              <w:rPr>
                <w:rFonts w:eastAsia="Calibri"/>
                <w:iCs/>
                <w:sz w:val="18"/>
                <w:szCs w:val="18"/>
                <w:lang w:eastAsia="en-US"/>
              </w:rPr>
            </w:pPr>
          </w:p>
          <w:p w14:paraId="3B0F9ABC" w14:textId="77777777" w:rsidR="00E71072" w:rsidRPr="006B1A5A" w:rsidRDefault="00E71072" w:rsidP="00FD0ADE">
            <w:pPr>
              <w:pStyle w:val="Merknadstekst"/>
              <w:numPr>
                <w:ilvl w:val="0"/>
                <w:numId w:val="14"/>
              </w:numPr>
              <w:ind w:left="172" w:hanging="172"/>
              <w:rPr>
                <w:rFonts w:cs="Verdana"/>
                <w:color w:val="000000"/>
                <w:sz w:val="18"/>
                <w:szCs w:val="18"/>
                <w:lang w:eastAsia="en-US"/>
              </w:rPr>
            </w:pPr>
            <w:r w:rsidRPr="006B1A5A">
              <w:rPr>
                <w:rFonts w:cs="Verdana"/>
                <w:color w:val="000000"/>
                <w:sz w:val="18"/>
                <w:szCs w:val="18"/>
                <w:lang w:eastAsia="en-US"/>
              </w:rPr>
              <w:t>Training for staff on good practice; instructions for use</w:t>
            </w:r>
          </w:p>
          <w:p w14:paraId="60AFE793" w14:textId="77777777" w:rsidR="00E71072" w:rsidRPr="006B1A5A" w:rsidRDefault="00E71072" w:rsidP="00AF2AEA">
            <w:pPr>
              <w:pStyle w:val="Merknadstekst"/>
              <w:rPr>
                <w:rFonts w:cs="Verdana"/>
                <w:color w:val="000000"/>
                <w:sz w:val="18"/>
                <w:szCs w:val="18"/>
                <w:lang w:eastAsia="en-US"/>
              </w:rPr>
            </w:pPr>
          </w:p>
          <w:p w14:paraId="5753E4F7" w14:textId="77777777" w:rsidR="00E71072" w:rsidRPr="006B1A5A" w:rsidRDefault="00E71072" w:rsidP="00FD0ADE">
            <w:pPr>
              <w:pStyle w:val="Merknadstekst"/>
              <w:numPr>
                <w:ilvl w:val="0"/>
                <w:numId w:val="14"/>
              </w:numPr>
              <w:ind w:left="172" w:hanging="172"/>
              <w:rPr>
                <w:rFonts w:cs="Verdana"/>
                <w:color w:val="000000"/>
                <w:sz w:val="18"/>
                <w:szCs w:val="18"/>
                <w:lang w:eastAsia="en-US"/>
              </w:rPr>
            </w:pPr>
            <w:r w:rsidRPr="006B1A5A">
              <w:rPr>
                <w:rFonts w:cs="Verdana"/>
                <w:color w:val="000000"/>
                <w:sz w:val="18"/>
                <w:szCs w:val="18"/>
                <w:lang w:eastAsia="en-US"/>
              </w:rPr>
              <w:t xml:space="preserve">Good standard of personal hygiene </w:t>
            </w:r>
          </w:p>
          <w:p w14:paraId="4883CD84" w14:textId="77777777" w:rsidR="00E71072" w:rsidRPr="006B1A5A" w:rsidRDefault="00E71072" w:rsidP="00AF2AEA">
            <w:pPr>
              <w:pStyle w:val="Merknadstekst"/>
              <w:rPr>
                <w:rFonts w:cs="Verdana"/>
                <w:color w:val="000000"/>
                <w:sz w:val="18"/>
                <w:szCs w:val="18"/>
                <w:lang w:eastAsia="en-US"/>
              </w:rPr>
            </w:pPr>
          </w:p>
          <w:p w14:paraId="1718C92B" w14:textId="40FEC8DC" w:rsidR="00F16737" w:rsidRPr="006B1A5A" w:rsidRDefault="00E71072" w:rsidP="00F16737">
            <w:pPr>
              <w:pStyle w:val="Merknadstekst"/>
              <w:numPr>
                <w:ilvl w:val="0"/>
                <w:numId w:val="14"/>
              </w:numPr>
              <w:ind w:left="172" w:hanging="172"/>
              <w:rPr>
                <w:rFonts w:cs="Verdana"/>
                <w:color w:val="000000"/>
                <w:sz w:val="18"/>
                <w:szCs w:val="18"/>
                <w:lang w:eastAsia="en-US"/>
              </w:rPr>
            </w:pPr>
            <w:r w:rsidRPr="006B1A5A">
              <w:rPr>
                <w:rFonts w:cs="Verdana"/>
                <w:color w:val="000000"/>
                <w:sz w:val="18"/>
                <w:szCs w:val="18"/>
                <w:lang w:eastAsia="en-US"/>
              </w:rPr>
              <w:t>Coveralls, gloves</w:t>
            </w:r>
            <w:r w:rsidR="00F16737">
              <w:rPr>
                <w:rFonts w:cs="Verdana"/>
                <w:color w:val="000000"/>
                <w:sz w:val="18"/>
                <w:szCs w:val="18"/>
                <w:lang w:eastAsia="en-US"/>
              </w:rPr>
              <w:t>, eye protection (goggles)</w:t>
            </w:r>
          </w:p>
          <w:p w14:paraId="03702F7A" w14:textId="2CEA4107" w:rsidR="00E71072" w:rsidRPr="006B1A5A" w:rsidRDefault="00E71072" w:rsidP="003B732F">
            <w:pPr>
              <w:pStyle w:val="Merknadstekst"/>
              <w:ind w:left="172"/>
              <w:rPr>
                <w:rFonts w:cs="Verdana"/>
                <w:color w:val="000000"/>
                <w:sz w:val="18"/>
                <w:szCs w:val="18"/>
                <w:lang w:eastAsia="en-US"/>
              </w:rPr>
            </w:pPr>
          </w:p>
          <w:p w14:paraId="01DA0BBA" w14:textId="77777777" w:rsidR="00E71072" w:rsidRPr="004D7069" w:rsidRDefault="00E71072" w:rsidP="004D7069">
            <w:pPr>
              <w:pStyle w:val="Merknadstekst"/>
              <w:ind w:left="172"/>
              <w:rPr>
                <w:rFonts w:cs="Verdana"/>
                <w:color w:val="000000"/>
                <w:sz w:val="18"/>
                <w:szCs w:val="18"/>
                <w:lang w:eastAsia="en-US"/>
              </w:rPr>
            </w:pPr>
          </w:p>
          <w:p w14:paraId="23E3D188" w14:textId="77777777" w:rsidR="00E71072" w:rsidRPr="006B1A5A" w:rsidRDefault="00E71072" w:rsidP="004D7069">
            <w:pPr>
              <w:pStyle w:val="Merknadstekst"/>
              <w:rPr>
                <w:rFonts w:eastAsia="Calibri"/>
                <w:iCs/>
                <w:sz w:val="18"/>
                <w:szCs w:val="18"/>
                <w:lang w:eastAsia="en-US"/>
              </w:rPr>
            </w:pPr>
          </w:p>
        </w:tc>
        <w:tc>
          <w:tcPr>
            <w:tcW w:w="1637" w:type="dxa"/>
            <w:shd w:val="clear" w:color="auto" w:fill="FFFF99"/>
          </w:tcPr>
          <w:p w14:paraId="75EA2445" w14:textId="77777777" w:rsidR="00E71072" w:rsidRPr="006B1A5A" w:rsidRDefault="00E71072" w:rsidP="00AF2AEA">
            <w:pPr>
              <w:rPr>
                <w:rFonts w:eastAsia="Calibri"/>
                <w:iCs/>
                <w:sz w:val="18"/>
                <w:szCs w:val="18"/>
                <w:lang w:eastAsia="en-US"/>
              </w:rPr>
            </w:pPr>
            <w:r w:rsidRPr="006B1A5A">
              <w:rPr>
                <w:rFonts w:eastAsia="Calibri"/>
                <w:iCs/>
                <w:sz w:val="18"/>
                <w:szCs w:val="18"/>
                <w:lang w:eastAsia="en-US"/>
              </w:rPr>
              <w:t>Acceptable</w:t>
            </w:r>
          </w:p>
          <w:p w14:paraId="327E716A" w14:textId="77777777" w:rsidR="00E71072" w:rsidRPr="006B1A5A" w:rsidRDefault="00E71072" w:rsidP="00AF2AEA">
            <w:pPr>
              <w:rPr>
                <w:rFonts w:eastAsia="Calibri"/>
                <w:iCs/>
                <w:sz w:val="18"/>
                <w:szCs w:val="18"/>
                <w:lang w:eastAsia="en-US"/>
              </w:rPr>
            </w:pPr>
          </w:p>
          <w:p w14:paraId="37D1BD36" w14:textId="77777777" w:rsidR="00E71072" w:rsidRPr="006B1A5A" w:rsidRDefault="00E71072" w:rsidP="00AF2AEA">
            <w:pPr>
              <w:rPr>
                <w:rFonts w:eastAsia="Calibri"/>
                <w:iCs/>
                <w:sz w:val="18"/>
                <w:szCs w:val="18"/>
                <w:lang w:eastAsia="en-US"/>
              </w:rPr>
            </w:pPr>
            <w:r w:rsidRPr="006B1A5A">
              <w:rPr>
                <w:rFonts w:eastAsia="Calibri"/>
                <w:iCs/>
                <w:sz w:val="18"/>
                <w:szCs w:val="18"/>
                <w:lang w:eastAsia="en-US"/>
              </w:rPr>
              <w:t xml:space="preserve">+Exposure to dry nets </w:t>
            </w:r>
          </w:p>
          <w:p w14:paraId="045481F5" w14:textId="77777777" w:rsidR="00E71072" w:rsidRPr="006B1A5A" w:rsidRDefault="00E71072" w:rsidP="00AF2AEA">
            <w:pPr>
              <w:rPr>
                <w:rFonts w:eastAsia="Calibri"/>
                <w:iCs/>
                <w:sz w:val="18"/>
                <w:szCs w:val="18"/>
                <w:lang w:eastAsia="en-US"/>
              </w:rPr>
            </w:pPr>
          </w:p>
          <w:p w14:paraId="5CA3F17D" w14:textId="77777777" w:rsidR="00E71072" w:rsidRPr="006B1A5A" w:rsidRDefault="00E71072" w:rsidP="00AF2AEA">
            <w:pPr>
              <w:pStyle w:val="Default"/>
              <w:rPr>
                <w:rFonts w:ascii="Verdana" w:hAnsi="Verdana"/>
                <w:sz w:val="18"/>
                <w:szCs w:val="18"/>
              </w:rPr>
            </w:pPr>
            <w:r w:rsidRPr="006B1A5A">
              <w:rPr>
                <w:rFonts w:ascii="Verdana" w:hAnsi="Verdana"/>
                <w:sz w:val="18"/>
                <w:szCs w:val="18"/>
              </w:rPr>
              <w:t xml:space="preserve">+trained workers </w:t>
            </w:r>
          </w:p>
          <w:p w14:paraId="18743595" w14:textId="77777777" w:rsidR="00E71072" w:rsidRPr="006B1A5A" w:rsidRDefault="00E71072" w:rsidP="00AF2AEA">
            <w:pPr>
              <w:rPr>
                <w:sz w:val="18"/>
                <w:szCs w:val="18"/>
              </w:rPr>
            </w:pPr>
          </w:p>
          <w:p w14:paraId="3D38618E" w14:textId="77777777" w:rsidR="00E71072" w:rsidRPr="006B1A5A" w:rsidRDefault="00E71072" w:rsidP="00AF2AEA">
            <w:pPr>
              <w:rPr>
                <w:rFonts w:eastAsia="Calibri"/>
                <w:iCs/>
                <w:sz w:val="18"/>
                <w:szCs w:val="18"/>
                <w:lang w:eastAsia="en-US"/>
              </w:rPr>
            </w:pPr>
            <w:r w:rsidRPr="006B1A5A">
              <w:rPr>
                <w:sz w:val="18"/>
                <w:szCs w:val="18"/>
              </w:rPr>
              <w:t xml:space="preserve">+use of appropriate PPE </w:t>
            </w:r>
          </w:p>
        </w:tc>
      </w:tr>
    </w:tbl>
    <w:p w14:paraId="67051226" w14:textId="77777777" w:rsidR="001042DA" w:rsidRPr="006B1A5A" w:rsidRDefault="001042DA" w:rsidP="001042DA">
      <w:pPr>
        <w:rPr>
          <w:rFonts w:ascii="Times New Roman" w:eastAsia="Calibri" w:hAnsi="Times New Roman"/>
          <w:i/>
          <w:iCs/>
          <w:highlight w:val="yellow"/>
          <w:lang w:eastAsia="en-US"/>
        </w:rPr>
        <w:sectPr w:rsidR="001042DA" w:rsidRPr="006B1A5A" w:rsidSect="00AF2AEA">
          <w:footnotePr>
            <w:pos w:val="beneathText"/>
            <w:numRestart w:val="eachSect"/>
          </w:footnotePr>
          <w:endnotePr>
            <w:numFmt w:val="decimal"/>
          </w:endnotePr>
          <w:pgSz w:w="16840" w:h="11907" w:orient="landscape" w:code="9"/>
          <w:pgMar w:top="1446" w:right="1474" w:bottom="1247" w:left="2013" w:header="850" w:footer="850" w:gutter="0"/>
          <w:cols w:space="720"/>
          <w:docGrid w:linePitch="272"/>
        </w:sectPr>
      </w:pPr>
    </w:p>
    <w:bookmarkEnd w:id="1656"/>
    <w:p w14:paraId="4896181E" w14:textId="77777777" w:rsidR="001042DA" w:rsidRPr="006B1A5A" w:rsidRDefault="001042DA" w:rsidP="001042DA">
      <w:pPr>
        <w:rPr>
          <w:rFonts w:ascii="Times New Roman" w:eastAsia="Calibri" w:hAnsi="Times New Roman"/>
          <w:i/>
          <w:iCs/>
          <w:highlight w:val="yellow"/>
          <w:lang w:eastAsia="en-US"/>
        </w:rPr>
      </w:pPr>
    </w:p>
    <w:p w14:paraId="41280859" w14:textId="77777777" w:rsidR="001042DA" w:rsidRPr="006B1A5A" w:rsidRDefault="001042DA" w:rsidP="001042DA">
      <w:pPr>
        <w:spacing w:line="260" w:lineRule="atLeast"/>
        <w:rPr>
          <w:rFonts w:eastAsia="Calibri"/>
          <w:b/>
          <w:bCs/>
          <w:sz w:val="22"/>
          <w:szCs w:val="22"/>
          <w:lang w:eastAsia="en-US"/>
        </w:rPr>
      </w:pPr>
      <w:r w:rsidRPr="006B1A5A">
        <w:rPr>
          <w:rFonts w:eastAsia="Calibri"/>
          <w:b/>
          <w:bCs/>
          <w:sz w:val="22"/>
          <w:szCs w:val="22"/>
          <w:lang w:eastAsia="en-US"/>
        </w:rPr>
        <w:t>Conclusion</w:t>
      </w:r>
    </w:p>
    <w:p w14:paraId="37D502D1" w14:textId="77777777" w:rsidR="001042DA" w:rsidRPr="006B1A5A" w:rsidRDefault="001042DA" w:rsidP="001042DA">
      <w:pPr>
        <w:spacing w:line="260" w:lineRule="atLeast"/>
        <w:rPr>
          <w:rFonts w:eastAsia="Calibri"/>
          <w:highlight w:val="yellow"/>
          <w:lang w:eastAsia="en-US"/>
        </w:rPr>
      </w:pPr>
    </w:p>
    <w:p w14:paraId="01D9E685" w14:textId="4D4818C0" w:rsidR="001042DA" w:rsidRPr="006B1A5A" w:rsidRDefault="00375520" w:rsidP="001042DA">
      <w:pPr>
        <w:rPr>
          <w:rFonts w:eastAsia="Calibri"/>
          <w:b/>
          <w:i/>
          <w:sz w:val="22"/>
          <w:szCs w:val="22"/>
          <w:lang w:eastAsia="en-US"/>
        </w:rPr>
      </w:pPr>
      <w:bookmarkStart w:id="1657" w:name="_Hlk23676259"/>
      <w:r>
        <w:rPr>
          <w:rFonts w:eastAsia="Calibri"/>
          <w:b/>
          <w:i/>
          <w:sz w:val="22"/>
          <w:szCs w:val="22"/>
          <w:lang w:eastAsia="en-US"/>
        </w:rPr>
        <w:t>Industrial</w:t>
      </w:r>
      <w:r w:rsidRPr="006B1A5A">
        <w:rPr>
          <w:rFonts w:eastAsia="Calibri"/>
          <w:b/>
          <w:i/>
          <w:sz w:val="22"/>
          <w:szCs w:val="22"/>
          <w:lang w:eastAsia="en-US"/>
        </w:rPr>
        <w:t xml:space="preserve"> </w:t>
      </w:r>
      <w:r w:rsidR="001042DA" w:rsidRPr="006B1A5A">
        <w:rPr>
          <w:rFonts w:eastAsia="Calibri"/>
          <w:b/>
          <w:i/>
          <w:sz w:val="22"/>
          <w:szCs w:val="22"/>
          <w:lang w:eastAsia="en-US"/>
        </w:rPr>
        <w:t xml:space="preserve">exposure </w:t>
      </w:r>
    </w:p>
    <w:p w14:paraId="1F6D2096" w14:textId="77777777" w:rsidR="001042DA" w:rsidRPr="006B1A5A" w:rsidRDefault="001042DA" w:rsidP="001042DA">
      <w:pPr>
        <w:spacing w:line="260" w:lineRule="atLeast"/>
        <w:rPr>
          <w:rFonts w:eastAsia="Calibri"/>
          <w:sz w:val="22"/>
          <w:szCs w:val="22"/>
          <w:lang w:eastAsia="en-US"/>
        </w:rPr>
      </w:pPr>
    </w:p>
    <w:p w14:paraId="3887CAAD" w14:textId="5ACDFB06" w:rsidR="001042DA" w:rsidRPr="006B1A5A" w:rsidRDefault="001042DA" w:rsidP="001042DA">
      <w:pPr>
        <w:rPr>
          <w:rFonts w:eastAsia="Calibri"/>
          <w:i/>
          <w:u w:val="single"/>
          <w:lang w:eastAsia="en-US"/>
        </w:rPr>
      </w:pPr>
      <w:r w:rsidRPr="006B1A5A">
        <w:rPr>
          <w:rFonts w:eastAsia="Calibri"/>
          <w:i/>
          <w:u w:val="single"/>
          <w:lang w:eastAsia="en-US"/>
        </w:rPr>
        <w:t xml:space="preserve">Net </w:t>
      </w:r>
      <w:r w:rsidR="001F4F3A">
        <w:rPr>
          <w:rFonts w:eastAsia="Calibri"/>
          <w:i/>
          <w:u w:val="single"/>
          <w:lang w:eastAsia="en-US"/>
        </w:rPr>
        <w:t>treatment</w:t>
      </w:r>
      <w:r w:rsidR="001F4F3A" w:rsidRPr="006B1A5A">
        <w:rPr>
          <w:rFonts w:eastAsia="Calibri"/>
          <w:i/>
          <w:u w:val="single"/>
          <w:lang w:eastAsia="en-US"/>
        </w:rPr>
        <w:t xml:space="preserve"> </w:t>
      </w:r>
      <w:r w:rsidRPr="006B1A5A">
        <w:rPr>
          <w:rFonts w:eastAsia="Calibri"/>
          <w:i/>
          <w:u w:val="single"/>
          <w:lang w:eastAsia="en-US"/>
        </w:rPr>
        <w:t>activities:</w:t>
      </w:r>
    </w:p>
    <w:bookmarkEnd w:id="1657"/>
    <w:p w14:paraId="4C771175" w14:textId="77777777" w:rsidR="001042DA" w:rsidRPr="006B1A5A" w:rsidRDefault="001042DA" w:rsidP="001042DA">
      <w:pPr>
        <w:rPr>
          <w:rFonts w:eastAsia="Calibri"/>
          <w:i/>
          <w:u w:val="single"/>
          <w:lang w:eastAsia="en-US"/>
        </w:rPr>
      </w:pPr>
    </w:p>
    <w:p w14:paraId="0EE5A1B4" w14:textId="1E27D263" w:rsidR="001042DA" w:rsidRPr="006B1A5A" w:rsidRDefault="001042DA" w:rsidP="001042DA">
      <w:pPr>
        <w:rPr>
          <w:rFonts w:eastAsia="Calibri"/>
          <w:lang w:eastAsia="en-US"/>
        </w:rPr>
      </w:pPr>
      <w:bookmarkStart w:id="1658" w:name="_Hlk23676407"/>
      <w:r w:rsidRPr="006B1A5A">
        <w:rPr>
          <w:rFonts w:eastAsia="Calibri"/>
          <w:lang w:eastAsia="en-US"/>
        </w:rPr>
        <w:t xml:space="preserve">The risk to industrial workers involved in net </w:t>
      </w:r>
      <w:r w:rsidR="00E71072">
        <w:rPr>
          <w:rFonts w:eastAsia="Calibri"/>
          <w:lang w:eastAsia="en-US"/>
        </w:rPr>
        <w:t>impregnation</w:t>
      </w:r>
      <w:r w:rsidR="00E71072" w:rsidRPr="006B1A5A">
        <w:rPr>
          <w:rFonts w:eastAsia="Calibri"/>
          <w:lang w:eastAsia="en-US"/>
        </w:rPr>
        <w:t xml:space="preserve"> </w:t>
      </w:r>
      <w:r w:rsidRPr="006B1A5A">
        <w:rPr>
          <w:rFonts w:eastAsia="Calibri"/>
          <w:lang w:eastAsia="en-US"/>
        </w:rPr>
        <w:t xml:space="preserve">activities was assessed using the Dipping model 4 in </w:t>
      </w:r>
      <w:r w:rsidRPr="006B1A5A">
        <w:rPr>
          <w:rFonts w:eastAsia="Calibri"/>
          <w:iCs/>
          <w:lang w:eastAsia="en-US"/>
        </w:rPr>
        <w:t>the Biocides Human Health Exposure Methodology</w:t>
      </w:r>
      <w:r w:rsidRPr="006B1A5A">
        <w:rPr>
          <w:rFonts w:eastAsia="Calibri"/>
          <w:lang w:eastAsia="en-US"/>
        </w:rPr>
        <w:t xml:space="preserve">, based on surveys of personnel performing aquaculture net dipping tasks. </w:t>
      </w:r>
    </w:p>
    <w:bookmarkEnd w:id="1658"/>
    <w:p w14:paraId="1A7934F5" w14:textId="77777777" w:rsidR="001042DA" w:rsidRPr="006B1A5A" w:rsidRDefault="001042DA" w:rsidP="001042DA">
      <w:pPr>
        <w:rPr>
          <w:rFonts w:eastAsia="Calibri"/>
          <w:lang w:eastAsia="en-US"/>
        </w:rPr>
      </w:pPr>
    </w:p>
    <w:p w14:paraId="36F1682E" w14:textId="1EA2526A" w:rsidR="001042DA" w:rsidRPr="006B1A5A" w:rsidRDefault="001042DA" w:rsidP="001042DA">
      <w:pPr>
        <w:rPr>
          <w:rFonts w:eastAsia="Calibri"/>
          <w:lang w:eastAsia="en-US"/>
        </w:rPr>
      </w:pPr>
      <w:r w:rsidRPr="001F4F3A">
        <w:rPr>
          <w:rFonts w:eastAsia="Calibri"/>
          <w:lang w:eastAsia="en-US"/>
        </w:rPr>
        <w:t>The risk was demonstrated to be acceptable in the Tier 2</w:t>
      </w:r>
      <w:r w:rsidR="00375520">
        <w:rPr>
          <w:rFonts w:eastAsia="Calibri"/>
          <w:lang w:eastAsia="en-US"/>
        </w:rPr>
        <w:t>a</w:t>
      </w:r>
      <w:r w:rsidRPr="001F4F3A">
        <w:rPr>
          <w:rFonts w:eastAsia="Calibri"/>
          <w:lang w:eastAsia="en-US"/>
        </w:rPr>
        <w:t xml:space="preserve"> assessment for </w:t>
      </w:r>
      <w:r w:rsidR="00432F9B">
        <w:rPr>
          <w:rFonts w:eastAsia="Calibri"/>
          <w:lang w:eastAsia="en-US"/>
        </w:rPr>
        <w:t xml:space="preserve">AquaNet LG 360 and AquaNet HG 360, provided that the workers wear coated coveralls and gloves. </w:t>
      </w:r>
      <w:r w:rsidR="00432F9B" w:rsidRPr="001F4F3A">
        <w:rPr>
          <w:rFonts w:eastAsia="Calibri"/>
          <w:lang w:eastAsia="en-US"/>
        </w:rPr>
        <w:t>The risk was demonstrated to be acceptable in the Tier 2</w:t>
      </w:r>
      <w:r w:rsidR="00432F9B">
        <w:rPr>
          <w:rFonts w:eastAsia="Calibri"/>
          <w:lang w:eastAsia="en-US"/>
        </w:rPr>
        <w:t>b</w:t>
      </w:r>
      <w:r w:rsidR="00432F9B" w:rsidRPr="001F4F3A">
        <w:rPr>
          <w:rFonts w:eastAsia="Calibri"/>
          <w:lang w:eastAsia="en-US"/>
        </w:rPr>
        <w:t xml:space="preserve"> assessment for </w:t>
      </w:r>
      <w:r w:rsidR="00432F9B">
        <w:rPr>
          <w:rFonts w:eastAsia="Calibri"/>
          <w:lang w:eastAsia="en-US"/>
        </w:rPr>
        <w:t>AquaNet 360 RFU, provided that the workers wear impermeable coveralls and gloves.</w:t>
      </w:r>
    </w:p>
    <w:p w14:paraId="54407796" w14:textId="4838A67C" w:rsidR="003B732F" w:rsidRDefault="003B732F" w:rsidP="001042DA">
      <w:pPr>
        <w:rPr>
          <w:rFonts w:eastAsia="Calibri"/>
          <w:lang w:eastAsia="en-US"/>
        </w:rPr>
      </w:pPr>
    </w:p>
    <w:p w14:paraId="37C9E3C9" w14:textId="57AA8DD0" w:rsidR="003B732F" w:rsidRPr="006B1A5A" w:rsidRDefault="003B732F" w:rsidP="003B732F">
      <w:pPr>
        <w:spacing w:line="260" w:lineRule="atLeast"/>
        <w:rPr>
          <w:rFonts w:eastAsia="Calibri"/>
          <w:bCs/>
          <w:lang w:eastAsia="en-US"/>
        </w:rPr>
      </w:pPr>
      <w:r>
        <w:rPr>
          <w:rFonts w:eastAsia="Calibri"/>
          <w:bCs/>
          <w:lang w:eastAsia="en-US"/>
        </w:rPr>
        <w:t xml:space="preserve">Due to the classification of the products </w:t>
      </w:r>
      <w:r w:rsidRPr="006B1A5A">
        <w:rPr>
          <w:rFonts w:eastAsia="Calibri"/>
          <w:bCs/>
          <w:lang w:eastAsia="en-US"/>
        </w:rPr>
        <w:t>for Eye damage 1 (H318)</w:t>
      </w:r>
      <w:r w:rsidR="00792505">
        <w:rPr>
          <w:rFonts w:eastAsia="Calibri"/>
          <w:bCs/>
          <w:lang w:eastAsia="en-US"/>
        </w:rPr>
        <w:t>,</w:t>
      </w:r>
      <w:r w:rsidRPr="006B1A5A">
        <w:rPr>
          <w:rFonts w:eastAsia="Calibri"/>
          <w:bCs/>
          <w:lang w:eastAsia="en-US"/>
        </w:rPr>
        <w:t xml:space="preserve"> protective goggles or similar eye protection</w:t>
      </w:r>
      <w:r>
        <w:rPr>
          <w:rFonts w:eastAsia="Calibri"/>
          <w:bCs/>
          <w:lang w:eastAsia="en-US"/>
        </w:rPr>
        <w:t xml:space="preserve"> should be used for the </w:t>
      </w:r>
      <w:r w:rsidRPr="006B1A5A">
        <w:rPr>
          <w:rFonts w:eastAsia="Calibri"/>
          <w:bCs/>
          <w:lang w:eastAsia="en-US"/>
        </w:rPr>
        <w:t xml:space="preserve">tasks where the workers may be at risk to be exposed to </w:t>
      </w:r>
      <w:r w:rsidR="00E751B1">
        <w:rPr>
          <w:rFonts w:eastAsia="Calibri"/>
          <w:bCs/>
          <w:lang w:eastAsia="en-US"/>
        </w:rPr>
        <w:t>the product</w:t>
      </w:r>
      <w:r>
        <w:rPr>
          <w:rFonts w:eastAsia="Calibri"/>
          <w:bCs/>
          <w:lang w:eastAsia="en-US"/>
        </w:rPr>
        <w:t>.</w:t>
      </w:r>
    </w:p>
    <w:p w14:paraId="2C509A0A" w14:textId="77777777" w:rsidR="003B732F" w:rsidRPr="006B1A5A" w:rsidRDefault="003B732F" w:rsidP="001042DA">
      <w:pPr>
        <w:rPr>
          <w:rFonts w:eastAsia="Calibri"/>
          <w:lang w:eastAsia="en-US"/>
        </w:rPr>
      </w:pPr>
    </w:p>
    <w:p w14:paraId="663689FF" w14:textId="602D5E50" w:rsidR="001042DA" w:rsidRDefault="001042DA" w:rsidP="001042DA">
      <w:pPr>
        <w:rPr>
          <w:rFonts w:eastAsia="Calibri"/>
          <w:lang w:eastAsia="en-US"/>
        </w:rPr>
      </w:pPr>
    </w:p>
    <w:p w14:paraId="47880E96" w14:textId="2F035E9D" w:rsidR="00DA4C07" w:rsidRDefault="00DA4C07" w:rsidP="001042DA">
      <w:pPr>
        <w:rPr>
          <w:rFonts w:eastAsia="Calibri"/>
          <w:b/>
          <w:i/>
          <w:sz w:val="22"/>
          <w:szCs w:val="22"/>
          <w:lang w:eastAsia="en-US"/>
        </w:rPr>
      </w:pPr>
      <w:bookmarkStart w:id="1659" w:name="_Hlk23676279"/>
      <w:r>
        <w:rPr>
          <w:rFonts w:eastAsia="Calibri"/>
          <w:b/>
          <w:i/>
          <w:sz w:val="22"/>
          <w:szCs w:val="22"/>
          <w:lang w:eastAsia="en-US"/>
        </w:rPr>
        <w:t>Profesional</w:t>
      </w:r>
      <w:r w:rsidRPr="006B1A5A">
        <w:rPr>
          <w:rFonts w:eastAsia="Calibri"/>
          <w:b/>
          <w:i/>
          <w:sz w:val="22"/>
          <w:szCs w:val="22"/>
          <w:lang w:eastAsia="en-US"/>
        </w:rPr>
        <w:t xml:space="preserve"> exposure</w:t>
      </w:r>
    </w:p>
    <w:p w14:paraId="4A2893F7" w14:textId="77777777" w:rsidR="00DA4C07" w:rsidRPr="006B1A5A" w:rsidRDefault="00DA4C07" w:rsidP="001042DA">
      <w:pPr>
        <w:rPr>
          <w:rFonts w:eastAsia="Calibri"/>
          <w:lang w:eastAsia="en-US"/>
        </w:rPr>
      </w:pPr>
    </w:p>
    <w:p w14:paraId="5558DAF2" w14:textId="2F517797" w:rsidR="001042DA" w:rsidRDefault="001042DA" w:rsidP="001042DA">
      <w:pPr>
        <w:rPr>
          <w:rFonts w:eastAsia="Calibri"/>
          <w:i/>
          <w:u w:val="single"/>
          <w:lang w:eastAsia="en-US"/>
        </w:rPr>
      </w:pPr>
      <w:r w:rsidRPr="006B1A5A">
        <w:rPr>
          <w:rFonts w:eastAsia="Calibri"/>
          <w:i/>
          <w:u w:val="single"/>
          <w:lang w:eastAsia="en-US"/>
        </w:rPr>
        <w:t>Net deployment activities:</w:t>
      </w:r>
    </w:p>
    <w:bookmarkEnd w:id="1659"/>
    <w:p w14:paraId="6365AB6D" w14:textId="77777777" w:rsidR="00DA4C07" w:rsidRPr="006B1A5A" w:rsidRDefault="00DA4C07" w:rsidP="001042DA">
      <w:pPr>
        <w:rPr>
          <w:rFonts w:eastAsia="Calibri"/>
          <w:i/>
          <w:u w:val="single"/>
          <w:lang w:eastAsia="en-US"/>
        </w:rPr>
      </w:pPr>
    </w:p>
    <w:p w14:paraId="4CD4518D" w14:textId="4FE3CE37" w:rsidR="001042DA" w:rsidRPr="006B1A5A" w:rsidRDefault="001042DA" w:rsidP="001042DA">
      <w:pPr>
        <w:rPr>
          <w:rFonts w:eastAsia="Calibri"/>
          <w:lang w:eastAsia="en-US"/>
        </w:rPr>
      </w:pPr>
      <w:bookmarkStart w:id="1660" w:name="_Hlk23680683"/>
      <w:r w:rsidRPr="006B1A5A">
        <w:rPr>
          <w:rFonts w:eastAsia="Calibri"/>
          <w:lang w:eastAsia="en-US"/>
        </w:rPr>
        <w:t xml:space="preserve">The risk to professional workers involved in net deployment activities was assessed using the Handling model 2 in </w:t>
      </w:r>
      <w:r w:rsidRPr="006B1A5A">
        <w:rPr>
          <w:rFonts w:eastAsia="Calibri"/>
          <w:iCs/>
          <w:lang w:eastAsia="en-US"/>
        </w:rPr>
        <w:t>the Biocides Human Health Exposure Methodology</w:t>
      </w:r>
      <w:r w:rsidRPr="006B1A5A">
        <w:rPr>
          <w:rFonts w:eastAsia="Calibri"/>
          <w:lang w:eastAsia="en-US"/>
        </w:rPr>
        <w:t>, based on surveys of personnel performing aquaculture net deployment activities.</w:t>
      </w:r>
    </w:p>
    <w:p w14:paraId="08496DAF" w14:textId="77777777" w:rsidR="001042DA" w:rsidRPr="006B1A5A" w:rsidRDefault="001042DA" w:rsidP="001042DA">
      <w:pPr>
        <w:rPr>
          <w:rFonts w:eastAsia="Calibri"/>
          <w:lang w:eastAsia="en-US"/>
        </w:rPr>
      </w:pPr>
    </w:p>
    <w:p w14:paraId="040195CA" w14:textId="43428DD4" w:rsidR="001042DA" w:rsidRPr="006B1A5A" w:rsidRDefault="001042DA" w:rsidP="001042DA">
      <w:pPr>
        <w:rPr>
          <w:rFonts w:eastAsia="Calibri"/>
          <w:lang w:eastAsia="en-US"/>
        </w:rPr>
      </w:pPr>
      <w:r w:rsidRPr="006B1A5A">
        <w:rPr>
          <w:rFonts w:eastAsia="Calibri"/>
          <w:lang w:eastAsia="en-US"/>
        </w:rPr>
        <w:t>The risk was demonstrated to be acceptable in the Tier 1 assessment for all family members. The indicative hand exposure values in the exposure model is actual measured values inside gloves. Gloves are always worn when performing this task, due to mechanical strain, and in the Atlantic region usually also due to low temperatures. The use of gloves when performing this task should be required.</w:t>
      </w:r>
    </w:p>
    <w:bookmarkEnd w:id="1660"/>
    <w:p w14:paraId="4BDC173C" w14:textId="77777777" w:rsidR="001042DA" w:rsidRPr="006B1A5A" w:rsidRDefault="001042DA" w:rsidP="001042DA">
      <w:pPr>
        <w:rPr>
          <w:rFonts w:eastAsia="Calibri"/>
          <w:lang w:eastAsia="en-US"/>
        </w:rPr>
      </w:pPr>
    </w:p>
    <w:p w14:paraId="5574431E" w14:textId="77777777" w:rsidR="001042DA" w:rsidRPr="006B1A5A" w:rsidRDefault="001042DA" w:rsidP="001042DA">
      <w:pPr>
        <w:spacing w:after="120"/>
        <w:jc w:val="both"/>
        <w:rPr>
          <w:rFonts w:eastAsia="Calibri"/>
          <w:iCs/>
          <w:sz w:val="22"/>
          <w:szCs w:val="22"/>
          <w:lang w:eastAsia="en-US"/>
        </w:rPr>
      </w:pPr>
    </w:p>
    <w:p w14:paraId="683FCC6F" w14:textId="77777777" w:rsidR="001042DA" w:rsidRPr="006B1A5A" w:rsidRDefault="001042DA" w:rsidP="001042DA">
      <w:pPr>
        <w:keepNext/>
        <w:rPr>
          <w:rFonts w:eastAsia="Calibri"/>
          <w:b/>
          <w:i/>
          <w:sz w:val="22"/>
          <w:szCs w:val="22"/>
          <w:lang w:eastAsia="en-US"/>
        </w:rPr>
      </w:pPr>
      <w:bookmarkStart w:id="1661" w:name="_Toc389729091"/>
      <w:bookmarkStart w:id="1662" w:name="_Toc403472777"/>
      <w:r w:rsidRPr="006B1A5A">
        <w:rPr>
          <w:rFonts w:eastAsia="Calibri"/>
          <w:b/>
          <w:i/>
          <w:sz w:val="22"/>
          <w:szCs w:val="22"/>
          <w:lang w:eastAsia="en-US"/>
        </w:rPr>
        <w:t>Risk for non-professional users</w:t>
      </w:r>
      <w:bookmarkEnd w:id="1661"/>
      <w:bookmarkEnd w:id="1662"/>
      <w:r w:rsidRPr="006B1A5A">
        <w:rPr>
          <w:rFonts w:eastAsia="Calibri"/>
          <w:b/>
          <w:i/>
          <w:sz w:val="22"/>
          <w:szCs w:val="22"/>
          <w:lang w:eastAsia="en-US"/>
        </w:rPr>
        <w:t xml:space="preserve"> </w:t>
      </w:r>
    </w:p>
    <w:p w14:paraId="7292A5CC" w14:textId="77777777" w:rsidR="001042DA" w:rsidRPr="006B1A5A" w:rsidRDefault="001042DA" w:rsidP="001042DA">
      <w:pPr>
        <w:keepNext/>
        <w:rPr>
          <w:rFonts w:eastAsia="Calibri"/>
          <w:b/>
          <w:i/>
          <w:sz w:val="22"/>
          <w:szCs w:val="22"/>
          <w:lang w:eastAsia="en-US"/>
        </w:rPr>
      </w:pPr>
    </w:p>
    <w:p w14:paraId="7EEF7D64" w14:textId="77777777" w:rsidR="001042DA" w:rsidRPr="006B1A5A" w:rsidRDefault="001042DA" w:rsidP="001042DA">
      <w:r w:rsidRPr="006B1A5A">
        <w:t xml:space="preserve">The products are not used by non-professionals. </w:t>
      </w:r>
    </w:p>
    <w:p w14:paraId="44AA4FF3" w14:textId="77777777" w:rsidR="001042DA" w:rsidRPr="006B1A5A" w:rsidRDefault="001042DA" w:rsidP="001042DA">
      <w:pPr>
        <w:rPr>
          <w:sz w:val="22"/>
          <w:szCs w:val="22"/>
          <w:highlight w:val="yellow"/>
        </w:rPr>
      </w:pPr>
    </w:p>
    <w:p w14:paraId="54CA0966" w14:textId="77777777" w:rsidR="001042DA" w:rsidRPr="006B1A5A" w:rsidRDefault="001042DA" w:rsidP="001042DA">
      <w:pPr>
        <w:rPr>
          <w:rFonts w:eastAsia="Calibri"/>
          <w:b/>
          <w:i/>
          <w:sz w:val="22"/>
          <w:szCs w:val="22"/>
          <w:lang w:eastAsia="en-US"/>
        </w:rPr>
      </w:pPr>
    </w:p>
    <w:p w14:paraId="65D76C03" w14:textId="77777777" w:rsidR="001042DA" w:rsidRPr="006B1A5A" w:rsidRDefault="001042DA" w:rsidP="001042DA">
      <w:pPr>
        <w:rPr>
          <w:rFonts w:eastAsia="Calibri"/>
          <w:b/>
          <w:i/>
          <w:sz w:val="22"/>
          <w:szCs w:val="22"/>
          <w:lang w:eastAsia="en-US"/>
        </w:rPr>
      </w:pPr>
      <w:bookmarkStart w:id="1663" w:name="_Toc389729092"/>
      <w:bookmarkStart w:id="1664" w:name="_Toc403472778"/>
      <w:r w:rsidRPr="006B1A5A">
        <w:rPr>
          <w:rFonts w:eastAsia="Calibri"/>
          <w:b/>
          <w:i/>
          <w:sz w:val="22"/>
          <w:szCs w:val="22"/>
          <w:lang w:eastAsia="en-US"/>
        </w:rPr>
        <w:t>Risk for the general public</w:t>
      </w:r>
      <w:bookmarkEnd w:id="1663"/>
      <w:bookmarkEnd w:id="1664"/>
      <w:r w:rsidRPr="006B1A5A">
        <w:rPr>
          <w:rFonts w:eastAsia="Calibri"/>
          <w:b/>
          <w:i/>
          <w:sz w:val="22"/>
          <w:szCs w:val="22"/>
          <w:lang w:eastAsia="en-US"/>
        </w:rPr>
        <w:t xml:space="preserve"> </w:t>
      </w:r>
    </w:p>
    <w:p w14:paraId="1457A6C1" w14:textId="77777777" w:rsidR="001042DA" w:rsidRPr="006B1A5A" w:rsidRDefault="001042DA" w:rsidP="001042DA">
      <w:pPr>
        <w:spacing w:line="260" w:lineRule="atLeast"/>
        <w:rPr>
          <w:rFonts w:eastAsia="Calibri"/>
          <w:lang w:eastAsia="en-US"/>
        </w:rPr>
      </w:pPr>
    </w:p>
    <w:p w14:paraId="01A4F0AA" w14:textId="77777777" w:rsidR="001042DA" w:rsidRPr="006B1A5A" w:rsidRDefault="001042DA" w:rsidP="001042DA">
      <w:pPr>
        <w:jc w:val="both"/>
      </w:pPr>
      <w:bookmarkStart w:id="1665" w:name="_Hlk23680627"/>
      <w:r w:rsidRPr="006B1A5A">
        <w:t xml:space="preserve">The products are only for professional use, and no exposure to the general public is possible. </w:t>
      </w:r>
    </w:p>
    <w:bookmarkEnd w:id="1665"/>
    <w:p w14:paraId="2FB1663A" w14:textId="77777777" w:rsidR="001042DA" w:rsidRPr="006B1A5A" w:rsidRDefault="001042DA" w:rsidP="001042DA">
      <w:pPr>
        <w:rPr>
          <w:sz w:val="22"/>
          <w:szCs w:val="22"/>
          <w:highlight w:val="yellow"/>
        </w:rPr>
      </w:pPr>
    </w:p>
    <w:p w14:paraId="43AB88F3" w14:textId="77777777" w:rsidR="001042DA" w:rsidRPr="006B1A5A" w:rsidRDefault="001042DA" w:rsidP="001042DA">
      <w:pPr>
        <w:spacing w:line="260" w:lineRule="atLeast"/>
        <w:rPr>
          <w:rFonts w:eastAsia="Calibri"/>
          <w:highlight w:val="yellow"/>
          <w:lang w:eastAsia="en-US"/>
        </w:rPr>
      </w:pPr>
    </w:p>
    <w:p w14:paraId="26B1BB5E" w14:textId="77777777" w:rsidR="001042DA" w:rsidRPr="006B1A5A" w:rsidRDefault="001042DA" w:rsidP="001042DA">
      <w:pPr>
        <w:rPr>
          <w:rFonts w:eastAsia="Calibri"/>
          <w:b/>
          <w:i/>
          <w:sz w:val="22"/>
          <w:szCs w:val="22"/>
          <w:lang w:eastAsia="en-US"/>
        </w:rPr>
      </w:pPr>
      <w:bookmarkStart w:id="1666" w:name="_Toc389729093"/>
      <w:bookmarkStart w:id="1667" w:name="_Toc403472779"/>
      <w:r w:rsidRPr="006B1A5A">
        <w:rPr>
          <w:rFonts w:eastAsia="Calibri"/>
          <w:b/>
          <w:i/>
          <w:sz w:val="22"/>
          <w:szCs w:val="22"/>
          <w:lang w:eastAsia="en-US"/>
        </w:rPr>
        <w:t>Risk for consumers via residues in food</w:t>
      </w:r>
      <w:bookmarkEnd w:id="1666"/>
      <w:bookmarkEnd w:id="1667"/>
    </w:p>
    <w:p w14:paraId="0B6DC24B" w14:textId="77777777" w:rsidR="001042DA" w:rsidRPr="006B1A5A" w:rsidRDefault="001042DA" w:rsidP="001042DA">
      <w:pPr>
        <w:rPr>
          <w:rFonts w:eastAsia="Calibri"/>
          <w:b/>
          <w:i/>
          <w:highlight w:val="yellow"/>
          <w:lang w:eastAsia="en-US"/>
        </w:rPr>
      </w:pPr>
    </w:p>
    <w:p w14:paraId="0CC3731E" w14:textId="7FCB64AE" w:rsidR="001042DA" w:rsidRDefault="001042DA" w:rsidP="001042DA">
      <w:pPr>
        <w:spacing w:line="260" w:lineRule="atLeast"/>
        <w:jc w:val="both"/>
      </w:pPr>
      <w:r w:rsidRPr="006B1A5A">
        <w:t xml:space="preserve">Copper is naturally present in the environment and is an essential nutrient for plants and animals, in which levels are under homeostatic control. Copper is authorised as a feed additive (EU reg. 479/2006) in the nutrition of livestock, including fish and shellfish and is routinely added to fish feed in order to prevent copper deficiency. It is also included in many food supplements for human consumption according to Directive 2002/46/EC. As a result, acceptable risks have been identified for potential exposure of copper via food contamination (see Dicopper oxide CAR PT 21 2016 for further information). </w:t>
      </w:r>
    </w:p>
    <w:p w14:paraId="38E254FB" w14:textId="5DE2FF11" w:rsidR="00551787" w:rsidRDefault="00551787" w:rsidP="001042DA">
      <w:pPr>
        <w:spacing w:line="260" w:lineRule="atLeast"/>
        <w:jc w:val="both"/>
      </w:pPr>
    </w:p>
    <w:p w14:paraId="68601FDE" w14:textId="6BFDFF3D" w:rsidR="00551787" w:rsidRPr="006B1A5A" w:rsidRDefault="00551787" w:rsidP="001042DA">
      <w:pPr>
        <w:spacing w:line="260" w:lineRule="atLeast"/>
        <w:jc w:val="both"/>
      </w:pPr>
      <w:r>
        <w:t>There is curre</w:t>
      </w:r>
      <w:r w:rsidR="00C30D0E">
        <w:t>n</w:t>
      </w:r>
      <w:r>
        <w:t>tly no harmonised methodology to assess the level in foodstuff</w:t>
      </w:r>
      <w:r w:rsidR="00C30D0E">
        <w:t xml:space="preserve"> </w:t>
      </w:r>
      <w:r>
        <w:t xml:space="preserve">of a </w:t>
      </w:r>
      <w:r w:rsidR="00C30D0E">
        <w:t xml:space="preserve">PT21 active </w:t>
      </w:r>
      <w:r>
        <w:t>substance. The most relevant methodology currently available to estimate level in fish and shellfish is based on a rough calculation with the highest Predicted Environmental Concentration (PEC) calculated from the marine environment</w:t>
      </w:r>
      <w:r w:rsidR="00C30D0E">
        <w:t xml:space="preserve"> and the Bio Concentration Factor (BCF). Based on the particular case of copper (ionic form), and its properties (high solubility/dilution in sea water, complexation, low bio-accumulation, natural occurrence and physiological needs), this approach is not deemed relevant in this case.</w:t>
      </w:r>
    </w:p>
    <w:p w14:paraId="4123FE65" w14:textId="77777777" w:rsidR="001042DA" w:rsidRPr="006B1A5A" w:rsidRDefault="001042DA" w:rsidP="001042DA">
      <w:pPr>
        <w:spacing w:line="260" w:lineRule="atLeast"/>
        <w:jc w:val="both"/>
      </w:pPr>
    </w:p>
    <w:p w14:paraId="1CE340E2" w14:textId="3D6758E1" w:rsidR="001042DA" w:rsidRPr="006B1A5A" w:rsidRDefault="001042DA" w:rsidP="001042DA">
      <w:pPr>
        <w:spacing w:line="260" w:lineRule="atLeast"/>
        <w:jc w:val="both"/>
      </w:pPr>
      <w:r w:rsidRPr="006B1A5A">
        <w:t xml:space="preserve">In a study by Lundebye </w:t>
      </w:r>
      <w:r w:rsidRPr="006B1A5A">
        <w:rPr>
          <w:i/>
        </w:rPr>
        <w:t>et al</w:t>
      </w:r>
      <w:r w:rsidRPr="006B1A5A">
        <w:t xml:space="preserve">. (2017), the levels </w:t>
      </w:r>
      <w:r w:rsidRPr="001404D9">
        <w:t xml:space="preserve">of </w:t>
      </w:r>
      <w:r w:rsidR="001404D9">
        <w:t>copper (</w:t>
      </w:r>
      <w:r w:rsidRPr="001404D9">
        <w:t>Cu</w:t>
      </w:r>
      <w:r w:rsidR="001404D9">
        <w:t>)</w:t>
      </w:r>
      <w:r w:rsidRPr="001404D9">
        <w:t>,</w:t>
      </w:r>
      <w:r w:rsidRPr="006B1A5A">
        <w:t xml:space="preserve"> as well as other metals and environmental pollutants, was analysed in a standardised muscle sample from both farmed (n=100) and wild (n=87) atlantic salmon, caught or produced in Norway in 2012. The results show that filet from farmed salmon contain less </w:t>
      </w:r>
      <w:r w:rsidR="001404D9">
        <w:t>c</w:t>
      </w:r>
      <w:r w:rsidRPr="006B1A5A">
        <w:t xml:space="preserve">opper than wild salmon </w:t>
      </w:r>
      <w:r w:rsidR="00D97CAC">
        <w:t>(</w:t>
      </w:r>
      <w:r w:rsidRPr="006B1A5A">
        <w:t>0.38 versus 0.57 mg/kg wet weight</w:t>
      </w:r>
      <w:r w:rsidR="00D97CAC">
        <w:t>).</w:t>
      </w:r>
      <w:r w:rsidRPr="006B1A5A">
        <w:t xml:space="preserve"> Also filet from </w:t>
      </w:r>
      <w:r w:rsidR="00D97CAC">
        <w:t xml:space="preserve">recaptured </w:t>
      </w:r>
      <w:r w:rsidRPr="006B1A5A">
        <w:t xml:space="preserve">escaped farmed salmon was analysed, showing intermediate </w:t>
      </w:r>
      <w:r w:rsidR="00D97CAC">
        <w:t>c</w:t>
      </w:r>
      <w:r w:rsidRPr="006B1A5A">
        <w:t xml:space="preserve">opper levels (0.55 mg/kg wet weight). The biocide use in the farms is not specified in the study. It is reported that samples were taken from different farms, exerting approx. 10% of the farms in the area. </w:t>
      </w:r>
      <w:r w:rsidR="00660CAC" w:rsidRPr="006B1A5A">
        <w:t>Considering</w:t>
      </w:r>
      <w:r w:rsidRPr="006B1A5A">
        <w:t xml:space="preserve"> that the use of copper containing antifoulants is commonly used</w:t>
      </w:r>
      <w:r w:rsidR="00551787">
        <w:t>,</w:t>
      </w:r>
      <w:r w:rsidRPr="006B1A5A">
        <w:t xml:space="preserve"> it is</w:t>
      </w:r>
      <w:r w:rsidR="00551787">
        <w:t xml:space="preserve"> </w:t>
      </w:r>
      <w:r w:rsidRPr="006B1A5A">
        <w:t>reasonable to believe that this was indeed the case in a number of the selected farms.</w:t>
      </w:r>
    </w:p>
    <w:p w14:paraId="553CEFEC" w14:textId="194466A6" w:rsidR="001042DA" w:rsidRPr="006B1A5A" w:rsidRDefault="00C30D0E" w:rsidP="001042DA">
      <w:pPr>
        <w:spacing w:line="260" w:lineRule="atLeast"/>
        <w:jc w:val="both"/>
      </w:pPr>
      <w:r>
        <w:t>T</w:t>
      </w:r>
      <w:r w:rsidR="00551787">
        <w:t>he findings</w:t>
      </w:r>
      <w:r w:rsidR="001042DA" w:rsidRPr="006B1A5A">
        <w:t xml:space="preserve"> in Lundeby </w:t>
      </w:r>
      <w:r w:rsidR="001042DA" w:rsidRPr="006B1A5A">
        <w:rPr>
          <w:i/>
        </w:rPr>
        <w:t>et al.</w:t>
      </w:r>
      <w:r w:rsidR="00660CAC">
        <w:rPr>
          <w:i/>
        </w:rPr>
        <w:t xml:space="preserve"> </w:t>
      </w:r>
      <w:r w:rsidR="00551787">
        <w:rPr>
          <w:i/>
        </w:rPr>
        <w:t>(2017)</w:t>
      </w:r>
      <w:r w:rsidR="001042DA" w:rsidRPr="006B1A5A">
        <w:t xml:space="preserve"> gives no indication of elevated copper levels in farmed fish compared to wild caught fish, neither from feed consumption </w:t>
      </w:r>
      <w:r w:rsidR="001404D9">
        <w:t>n</w:t>
      </w:r>
      <w:r w:rsidR="001042DA" w:rsidRPr="006B1A5A">
        <w:t>or from treated nets.</w:t>
      </w:r>
    </w:p>
    <w:p w14:paraId="1B4CD05E" w14:textId="73952BE6" w:rsidR="00A34B2F" w:rsidRPr="00A34B2F" w:rsidRDefault="00A34B2F" w:rsidP="001042DA">
      <w:pPr>
        <w:spacing w:before="120" w:line="260" w:lineRule="atLeast"/>
        <w:jc w:val="both"/>
      </w:pPr>
      <w:r>
        <w:t>In order to exceed the ADI of 0.15 mg</w:t>
      </w:r>
      <w:r w:rsidR="00FF7FDE">
        <w:t xml:space="preserve"> Cu</w:t>
      </w:r>
      <w:r>
        <w:t xml:space="preserve">/kg bw/day, a </w:t>
      </w:r>
      <w:r w:rsidR="00660CAC">
        <w:t>15-kilo</w:t>
      </w:r>
      <w:r w:rsidR="00C30D0E">
        <w:t xml:space="preserve"> </w:t>
      </w:r>
      <w:r w:rsidR="00660CAC">
        <w:t xml:space="preserve">child </w:t>
      </w:r>
      <w:r>
        <w:t>w</w:t>
      </w:r>
      <w:r w:rsidR="00C30D0E">
        <w:t>ould</w:t>
      </w:r>
      <w:r w:rsidR="00660CAC">
        <w:t xml:space="preserve">, based on these data, </w:t>
      </w:r>
      <w:r>
        <w:t xml:space="preserve">have to consume </w:t>
      </w:r>
      <w:r w:rsidR="00660CAC">
        <w:t>approx. 6 kilos</w:t>
      </w:r>
      <w:r>
        <w:t xml:space="preserve"> of salmon</w:t>
      </w:r>
      <w:r w:rsidR="00660CAC">
        <w:t>. The corresponding amount for an adult of 60 kg is 24 kilo salmon.</w:t>
      </w:r>
    </w:p>
    <w:p w14:paraId="6020E3CB" w14:textId="18982DA8" w:rsidR="001042DA" w:rsidRDefault="001042DA" w:rsidP="001042DA">
      <w:bookmarkStart w:id="1668" w:name="_Toc389729094"/>
      <w:bookmarkStart w:id="1669" w:name="_Toc403472780"/>
    </w:p>
    <w:p w14:paraId="211C4679" w14:textId="77BB70A8" w:rsidR="00660CAC" w:rsidRPr="006B1A5A" w:rsidRDefault="00660CAC" w:rsidP="001042DA">
      <w:pPr>
        <w:rPr>
          <w:rFonts w:eastAsia="Calibri"/>
          <w:b/>
          <w:i/>
          <w:sz w:val="22"/>
          <w:szCs w:val="22"/>
          <w:highlight w:val="yellow"/>
          <w:lang w:eastAsia="en-US"/>
        </w:rPr>
      </w:pPr>
      <w:r>
        <w:t>No further assessment of risk from dietary exposure to copper is considered necessary.</w:t>
      </w:r>
    </w:p>
    <w:bookmarkEnd w:id="1668"/>
    <w:bookmarkEnd w:id="1669"/>
    <w:p w14:paraId="68CFD59C" w14:textId="77777777" w:rsidR="001042DA" w:rsidRPr="006B1A5A" w:rsidRDefault="001042DA" w:rsidP="001042DA">
      <w:pPr>
        <w:spacing w:line="260" w:lineRule="atLeast"/>
        <w:rPr>
          <w:rFonts w:ascii="Times New Roman" w:eastAsia="Calibri" w:hAnsi="Times New Roman"/>
          <w:i/>
          <w:iCs/>
          <w:lang w:eastAsia="en-US"/>
        </w:rPr>
      </w:pPr>
    </w:p>
    <w:p w14:paraId="0842ACF9" w14:textId="77777777" w:rsidR="001042DA" w:rsidRPr="006B1A5A" w:rsidRDefault="001042DA" w:rsidP="001042DA">
      <w:pPr>
        <w:pStyle w:val="Overskrift3"/>
        <w:rPr>
          <w:lang w:val="en-GB"/>
        </w:rPr>
      </w:pPr>
      <w:bookmarkStart w:id="1670" w:name="_Toc388285322"/>
      <w:bookmarkStart w:id="1671" w:name="_Toc389726249"/>
      <w:bookmarkStart w:id="1672" w:name="_Toc389727301"/>
      <w:bookmarkStart w:id="1673" w:name="_Toc389727659"/>
      <w:bookmarkStart w:id="1674" w:name="_Toc389728018"/>
      <w:bookmarkStart w:id="1675" w:name="_Toc389728377"/>
      <w:bookmarkStart w:id="1676" w:name="_Toc389728737"/>
      <w:bookmarkStart w:id="1677" w:name="_Toc389729095"/>
      <w:bookmarkStart w:id="1678" w:name="_Toc389729096"/>
      <w:bookmarkStart w:id="1679" w:name="_Toc403472781"/>
      <w:bookmarkStart w:id="1680" w:name="_Toc403566578"/>
      <w:bookmarkStart w:id="1681" w:name="_Toc66448835"/>
      <w:bookmarkEnd w:id="1670"/>
      <w:bookmarkEnd w:id="1671"/>
      <w:bookmarkEnd w:id="1672"/>
      <w:bookmarkEnd w:id="1673"/>
      <w:bookmarkEnd w:id="1674"/>
      <w:bookmarkEnd w:id="1675"/>
      <w:bookmarkEnd w:id="1676"/>
      <w:bookmarkEnd w:id="1677"/>
      <w:r w:rsidRPr="006B1A5A">
        <w:rPr>
          <w:lang w:val="en-GB"/>
        </w:rPr>
        <w:t>Risk assessment for animal health</w:t>
      </w:r>
      <w:bookmarkEnd w:id="1678"/>
      <w:bookmarkEnd w:id="1679"/>
      <w:bookmarkEnd w:id="1680"/>
      <w:bookmarkEnd w:id="1681"/>
    </w:p>
    <w:p w14:paraId="00F28422" w14:textId="77777777" w:rsidR="001042DA" w:rsidRPr="006B1A5A" w:rsidRDefault="001042DA" w:rsidP="001042DA">
      <w:pPr>
        <w:spacing w:line="260" w:lineRule="atLeast"/>
        <w:jc w:val="both"/>
        <w:rPr>
          <w:rFonts w:ascii="Times New Roman" w:eastAsia="Calibri" w:hAnsi="Times New Roman"/>
          <w:i/>
          <w:iCs/>
          <w:lang w:eastAsia="en-US"/>
        </w:rPr>
      </w:pPr>
      <w:r w:rsidRPr="006B1A5A">
        <w:rPr>
          <w:rFonts w:eastAsia="Calibri"/>
          <w:iCs/>
          <w:lang w:eastAsia="en-US"/>
        </w:rPr>
        <w:t>Not relevant for these products.</w:t>
      </w:r>
    </w:p>
    <w:p w14:paraId="72C3BE40" w14:textId="77777777" w:rsidR="001042DA" w:rsidRPr="006B1A5A" w:rsidRDefault="001042DA" w:rsidP="001042DA">
      <w:pPr>
        <w:spacing w:line="260" w:lineRule="atLeast"/>
        <w:ind w:left="360"/>
        <w:contextualSpacing/>
        <w:rPr>
          <w:rFonts w:ascii="Times New Roman" w:eastAsia="Calibri" w:hAnsi="Times New Roman"/>
          <w:i/>
          <w:iCs/>
          <w:lang w:eastAsia="en-US"/>
        </w:rPr>
      </w:pPr>
    </w:p>
    <w:p w14:paraId="5A669C67" w14:textId="77777777" w:rsidR="001042DA" w:rsidRPr="006B1A5A" w:rsidRDefault="001042DA" w:rsidP="001042DA">
      <w:pPr>
        <w:spacing w:line="260" w:lineRule="atLeast"/>
        <w:rPr>
          <w:rFonts w:ascii="Times New Roman" w:eastAsia="Calibri" w:hAnsi="Times New Roman"/>
          <w:i/>
          <w:iCs/>
          <w:lang w:eastAsia="en-US"/>
        </w:rPr>
      </w:pPr>
    </w:p>
    <w:p w14:paraId="2D8B0A3D" w14:textId="77777777" w:rsidR="001042DA" w:rsidRPr="006B1A5A" w:rsidRDefault="001042DA" w:rsidP="001042DA">
      <w:pPr>
        <w:pStyle w:val="Overskrift3"/>
        <w:rPr>
          <w:lang w:val="en-GB"/>
        </w:rPr>
      </w:pPr>
      <w:bookmarkStart w:id="1682" w:name="_Toc389729097"/>
      <w:bookmarkStart w:id="1683" w:name="_Toc403472782"/>
      <w:bookmarkStart w:id="1684" w:name="_Toc403566579"/>
      <w:r w:rsidRPr="006B1A5A">
        <w:rPr>
          <w:lang w:val="en-GB"/>
        </w:rPr>
        <w:br w:type="page"/>
      </w:r>
      <w:bookmarkStart w:id="1685" w:name="_Toc66448836"/>
      <w:r w:rsidRPr="006B1A5A">
        <w:rPr>
          <w:lang w:val="en-GB"/>
        </w:rPr>
        <w:t>Risk assessment for the environment</w:t>
      </w:r>
      <w:bookmarkEnd w:id="1682"/>
      <w:bookmarkEnd w:id="1683"/>
      <w:bookmarkEnd w:id="1684"/>
      <w:bookmarkEnd w:id="1685"/>
    </w:p>
    <w:p w14:paraId="4A149270" w14:textId="77777777" w:rsidR="001042DA" w:rsidRPr="006B1A5A" w:rsidRDefault="001042DA" w:rsidP="001042DA">
      <w:pPr>
        <w:spacing w:line="260" w:lineRule="atLeast"/>
        <w:rPr>
          <w:rFonts w:eastAsia="Calibri"/>
          <w:lang w:eastAsia="en-US"/>
        </w:rPr>
      </w:pPr>
      <w:bookmarkStart w:id="1686" w:name="_Hlk4762407"/>
      <w:r w:rsidRPr="006B1A5A">
        <w:rPr>
          <w:rFonts w:eastAsia="Calibri"/>
          <w:lang w:eastAsia="en-US"/>
        </w:rPr>
        <w:t xml:space="preserve">The environmental risk assessment covers the two active substances </w:t>
      </w:r>
      <w:r w:rsidRPr="006B1A5A">
        <w:rPr>
          <w:rFonts w:cs="Verdana"/>
          <w:color w:val="000000"/>
          <w:lang w:eastAsia="en-US"/>
        </w:rPr>
        <w:t>dicopper oxide (Cu</w:t>
      </w:r>
      <w:r w:rsidRPr="006B1A5A">
        <w:rPr>
          <w:rFonts w:cs="Verdana"/>
          <w:color w:val="000000"/>
          <w:vertAlign w:val="subscript"/>
          <w:lang w:eastAsia="en-US"/>
        </w:rPr>
        <w:t>2</w:t>
      </w:r>
      <w:r w:rsidRPr="006B1A5A">
        <w:rPr>
          <w:rFonts w:cs="Verdana"/>
          <w:color w:val="000000"/>
          <w:lang w:eastAsia="en-US"/>
        </w:rPr>
        <w:t>O) and copper thiocyanate (CuSCN). The AquaNet 360 BPF does not contain</w:t>
      </w:r>
      <w:r w:rsidRPr="006B1A5A">
        <w:rPr>
          <w:rFonts w:eastAsia="Calibri"/>
          <w:lang w:eastAsia="en-US"/>
        </w:rPr>
        <w:t xml:space="preserve"> any substances of concern (SoC) for the environment. </w:t>
      </w:r>
    </w:p>
    <w:bookmarkEnd w:id="1686"/>
    <w:p w14:paraId="1242A915" w14:textId="77777777" w:rsidR="001042DA" w:rsidRPr="006B1A5A" w:rsidRDefault="001042DA" w:rsidP="001042DA">
      <w:pPr>
        <w:spacing w:line="260" w:lineRule="atLeast"/>
        <w:rPr>
          <w:rFonts w:eastAsia="Calibri"/>
          <w:lang w:eastAsia="en-US"/>
        </w:rPr>
      </w:pPr>
    </w:p>
    <w:p w14:paraId="225D4EAA" w14:textId="77777777" w:rsidR="001042DA" w:rsidRPr="006B1A5A" w:rsidRDefault="001042DA" w:rsidP="001042DA">
      <w:pPr>
        <w:spacing w:line="260" w:lineRule="atLeast"/>
        <w:rPr>
          <w:rFonts w:eastAsia="Calibri"/>
          <w:lang w:eastAsia="en-US"/>
        </w:rPr>
      </w:pPr>
      <w:r w:rsidRPr="006B1A5A">
        <w:rPr>
          <w:rFonts w:eastAsia="Calibri"/>
          <w:lang w:eastAsia="en-US"/>
        </w:rPr>
        <w:t xml:space="preserve">Regarding the exposure to the environment from the use of the AquaNet 360 BPF, the harmonised scenario document for the calculation of environmental exposure from antifouling active substances from nets used in fish farms (NO, 2015), hereafter referred to as the EU fish farm scenario, has been used for a first tier assessment at the EU level. In addition, an exposure assessment for Norwegian fish farms has been carried out, following the Norwegian environmental emission scenario for nets used in fish farms (NO, 2019), hereafter referred to as the Norwegian fish farm scenario. The latter represents an adjustment of the EU scenario to better reflect Norwegian fish farm conditions.    </w:t>
      </w:r>
    </w:p>
    <w:p w14:paraId="709FA6E6" w14:textId="77777777" w:rsidR="001042DA" w:rsidRPr="006B1A5A" w:rsidRDefault="001042DA" w:rsidP="00916E44">
      <w:pPr>
        <w:pStyle w:val="Overskrift4"/>
      </w:pPr>
      <w:bookmarkStart w:id="1687" w:name="_Toc377651043"/>
      <w:bookmarkStart w:id="1688" w:name="_Toc389729098"/>
      <w:bookmarkStart w:id="1689" w:name="_Toc403472783"/>
      <w:bookmarkStart w:id="1690" w:name="_Toc403566580"/>
      <w:bookmarkStart w:id="1691" w:name="_Toc441571132"/>
      <w:bookmarkStart w:id="1692" w:name="_Toc66448837"/>
      <w:bookmarkStart w:id="1693" w:name="_Hlk65572399"/>
      <w:r w:rsidRPr="006B1A5A">
        <w:t>Effects assessment</w:t>
      </w:r>
      <w:bookmarkEnd w:id="1687"/>
      <w:r w:rsidRPr="006B1A5A">
        <w:t xml:space="preserve"> on the environment</w:t>
      </w:r>
      <w:bookmarkEnd w:id="1688"/>
      <w:bookmarkEnd w:id="1689"/>
      <w:bookmarkEnd w:id="1690"/>
      <w:bookmarkEnd w:id="1691"/>
      <w:bookmarkEnd w:id="1692"/>
    </w:p>
    <w:p w14:paraId="37D2A8E9" w14:textId="77777777" w:rsidR="001042DA" w:rsidRPr="006B1A5A" w:rsidRDefault="001042DA" w:rsidP="001042DA">
      <w:pPr>
        <w:jc w:val="both"/>
      </w:pPr>
      <w:r w:rsidRPr="006B1A5A">
        <w:t>According to the copper thiocyanate PT21 Competent Authority Report (CAR), copper thiocyanate exists in solution as copper and thiocyanate ions, and not as ‘molecular’ copper thiocyanate. Hence, the aquatic environment will not be exposed to copper thiocyanate (</w:t>
      </w:r>
      <w:bookmarkStart w:id="1694" w:name="_Hlk4670776"/>
      <w:r w:rsidRPr="006B1A5A">
        <w:t xml:space="preserve">CuSCN) </w:t>
      </w:r>
      <w:bookmarkEnd w:id="1694"/>
      <w:r w:rsidRPr="006B1A5A">
        <w:t>as such, but to the ions, Cu</w:t>
      </w:r>
      <w:r w:rsidRPr="0006373E">
        <w:rPr>
          <w:vertAlign w:val="superscript"/>
        </w:rPr>
        <w:t>2+</w:t>
      </w:r>
      <w:r w:rsidRPr="006B1A5A">
        <w:t xml:space="preserve"> and SCN</w:t>
      </w:r>
      <w:r w:rsidRPr="0006373E">
        <w:rPr>
          <w:vertAlign w:val="superscript"/>
        </w:rPr>
        <w:t>-</w:t>
      </w:r>
      <w:r w:rsidRPr="006B1A5A">
        <w:t>.</w:t>
      </w:r>
    </w:p>
    <w:p w14:paraId="27A6C717" w14:textId="77777777" w:rsidR="001042DA" w:rsidRPr="006B1A5A" w:rsidRDefault="001042DA" w:rsidP="001042DA">
      <w:pPr>
        <w:rPr>
          <w:u w:val="single"/>
        </w:rPr>
      </w:pPr>
      <w:bookmarkStart w:id="1695" w:name="_Hlk501444754"/>
      <w:bookmarkEnd w:id="1693"/>
    </w:p>
    <w:p w14:paraId="44308C08" w14:textId="77777777" w:rsidR="001042DA" w:rsidRPr="006B1A5A" w:rsidRDefault="001042DA" w:rsidP="001042DA">
      <w:pPr>
        <w:rPr>
          <w:u w:val="single"/>
        </w:rPr>
      </w:pPr>
      <w:r w:rsidRPr="006B1A5A">
        <w:rPr>
          <w:u w:val="single"/>
        </w:rPr>
        <w:t>Dicopper oxide</w:t>
      </w:r>
    </w:p>
    <w:p w14:paraId="1578DE1C" w14:textId="77777777" w:rsidR="001042DA" w:rsidRPr="006B1A5A" w:rsidRDefault="001042DA" w:rsidP="001042DA">
      <w:pPr>
        <w:spacing w:before="240" w:line="276" w:lineRule="auto"/>
      </w:pPr>
      <w:r w:rsidRPr="006B1A5A">
        <w:rPr>
          <w:rFonts w:cs="Arial"/>
        </w:rPr>
        <w:t xml:space="preserve">An evaluation of the effect data for the active substance with relevance to the aquatic compartment can be found in the </w:t>
      </w:r>
      <w:r w:rsidRPr="006B1A5A">
        <w:t>CAR for dicopper oxide (PT21, France, 2016).</w:t>
      </w:r>
    </w:p>
    <w:p w14:paraId="58ED8B6C" w14:textId="77777777" w:rsidR="001042DA" w:rsidRPr="006B1A5A" w:rsidRDefault="001042DA" w:rsidP="001042DA">
      <w:pPr>
        <w:spacing w:after="240" w:line="276" w:lineRule="auto"/>
        <w:rPr>
          <w:rFonts w:cs="Arial"/>
        </w:rPr>
      </w:pPr>
      <w:r w:rsidRPr="006B1A5A">
        <w:rPr>
          <w:rFonts w:cs="Arial"/>
        </w:rPr>
        <w:t>The relevant ecotoxicological data and the calculated PNECs are summarized below:</w:t>
      </w:r>
    </w:p>
    <w:p w14:paraId="2C0A915E" w14:textId="77777777" w:rsidR="001042DA" w:rsidRPr="006B1A5A" w:rsidRDefault="001042DA" w:rsidP="001042DA">
      <w:pPr>
        <w:rPr>
          <w:b/>
        </w:rPr>
      </w:pPr>
      <w:bookmarkStart w:id="1696" w:name="_Hlk20222107"/>
      <w:r w:rsidRPr="006B1A5A">
        <w:rPr>
          <w:b/>
        </w:rPr>
        <w:t xml:space="preserve">Predicted no effect concentrations for dicopper oxide used for the risk </w:t>
      </w:r>
      <w:r w:rsidRPr="006B1A5A">
        <w:rPr>
          <w:b/>
          <w:noProof/>
        </w:rPr>
        <w:t>characterisation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1911"/>
        <w:gridCol w:w="5285"/>
      </w:tblGrid>
      <w:tr w:rsidR="001042DA" w:rsidRPr="006B1A5A" w14:paraId="5B755CF7" w14:textId="77777777" w:rsidTr="00AF2AEA">
        <w:tc>
          <w:tcPr>
            <w:tcW w:w="2008" w:type="dxa"/>
            <w:shd w:val="clear" w:color="auto" w:fill="auto"/>
          </w:tcPr>
          <w:p w14:paraId="2C77828A" w14:textId="77777777" w:rsidR="001042DA" w:rsidRPr="006B1A5A" w:rsidRDefault="001042DA" w:rsidP="00AF2AEA">
            <w:pPr>
              <w:rPr>
                <w:b/>
              </w:rPr>
            </w:pPr>
            <w:r w:rsidRPr="006B1A5A">
              <w:rPr>
                <w:b/>
              </w:rPr>
              <w:t>PNEC</w:t>
            </w:r>
          </w:p>
        </w:tc>
        <w:tc>
          <w:tcPr>
            <w:tcW w:w="1911" w:type="dxa"/>
            <w:shd w:val="clear" w:color="auto" w:fill="auto"/>
          </w:tcPr>
          <w:p w14:paraId="7FD7B53B" w14:textId="77777777" w:rsidR="001042DA" w:rsidRPr="006B1A5A" w:rsidRDefault="001042DA" w:rsidP="00AF2AEA">
            <w:pPr>
              <w:jc w:val="center"/>
              <w:rPr>
                <w:b/>
              </w:rPr>
            </w:pPr>
            <w:r w:rsidRPr="006B1A5A">
              <w:rPr>
                <w:b/>
              </w:rPr>
              <w:t>Result</w:t>
            </w:r>
          </w:p>
        </w:tc>
        <w:tc>
          <w:tcPr>
            <w:tcW w:w="5285" w:type="dxa"/>
            <w:shd w:val="clear" w:color="auto" w:fill="auto"/>
          </w:tcPr>
          <w:p w14:paraId="1150951E" w14:textId="77777777" w:rsidR="001042DA" w:rsidRPr="006B1A5A" w:rsidRDefault="001042DA" w:rsidP="00AF2AEA">
            <w:pPr>
              <w:rPr>
                <w:b/>
              </w:rPr>
            </w:pPr>
            <w:r w:rsidRPr="006B1A5A">
              <w:rPr>
                <w:b/>
              </w:rPr>
              <w:t>Reference</w:t>
            </w:r>
          </w:p>
        </w:tc>
      </w:tr>
      <w:tr w:rsidR="001042DA" w:rsidRPr="006B1A5A" w14:paraId="6C14AF4D" w14:textId="77777777" w:rsidTr="00AF2AEA">
        <w:tc>
          <w:tcPr>
            <w:tcW w:w="2008" w:type="dxa"/>
            <w:shd w:val="clear" w:color="auto" w:fill="auto"/>
          </w:tcPr>
          <w:p w14:paraId="407C4AFE" w14:textId="77777777" w:rsidR="001042DA" w:rsidRPr="006B1A5A" w:rsidRDefault="001042DA" w:rsidP="00AF2AEA">
            <w:r w:rsidRPr="006B1A5A">
              <w:t>PNEC</w:t>
            </w:r>
            <w:r w:rsidRPr="006B1A5A">
              <w:rPr>
                <w:vertAlign w:val="subscript"/>
              </w:rPr>
              <w:t>marina</w:t>
            </w:r>
          </w:p>
        </w:tc>
        <w:tc>
          <w:tcPr>
            <w:tcW w:w="1911" w:type="dxa"/>
            <w:shd w:val="clear" w:color="auto" w:fill="auto"/>
          </w:tcPr>
          <w:p w14:paraId="7B55D540" w14:textId="77777777" w:rsidR="001042DA" w:rsidRPr="006B1A5A" w:rsidRDefault="001042DA" w:rsidP="00AF2AEA">
            <w:pPr>
              <w:jc w:val="center"/>
            </w:pPr>
            <w:r w:rsidRPr="006B1A5A">
              <w:t>2.6 µg Cu/L</w:t>
            </w:r>
          </w:p>
        </w:tc>
        <w:tc>
          <w:tcPr>
            <w:tcW w:w="5285" w:type="dxa"/>
            <w:shd w:val="clear" w:color="auto" w:fill="auto"/>
          </w:tcPr>
          <w:p w14:paraId="26E2F66E" w14:textId="77777777" w:rsidR="001042DA" w:rsidRPr="006B1A5A" w:rsidRDefault="001042DA" w:rsidP="00AF2AEA">
            <w:pPr>
              <w:tabs>
                <w:tab w:val="left" w:pos="490"/>
              </w:tabs>
            </w:pPr>
            <w:r w:rsidRPr="006B1A5A">
              <w:t>CAR dicopper oxide PT21, 2016</w:t>
            </w:r>
          </w:p>
        </w:tc>
      </w:tr>
      <w:tr w:rsidR="001042DA" w:rsidRPr="006B1A5A" w14:paraId="188FCD93" w14:textId="77777777" w:rsidTr="00AF2AEA">
        <w:tc>
          <w:tcPr>
            <w:tcW w:w="2008" w:type="dxa"/>
            <w:shd w:val="clear" w:color="auto" w:fill="auto"/>
          </w:tcPr>
          <w:p w14:paraId="709618E7" w14:textId="77777777" w:rsidR="001042DA" w:rsidRPr="006B1A5A" w:rsidRDefault="001042DA" w:rsidP="00AF2AEA">
            <w:r w:rsidRPr="006B1A5A">
              <w:t>PNEC</w:t>
            </w:r>
            <w:r w:rsidRPr="006B1A5A">
              <w:rPr>
                <w:vertAlign w:val="subscript"/>
              </w:rPr>
              <w:t>surrounding waters</w:t>
            </w:r>
          </w:p>
        </w:tc>
        <w:tc>
          <w:tcPr>
            <w:tcW w:w="1911" w:type="dxa"/>
            <w:shd w:val="clear" w:color="auto" w:fill="auto"/>
          </w:tcPr>
          <w:p w14:paraId="4946408A" w14:textId="77777777" w:rsidR="001042DA" w:rsidRPr="006B1A5A" w:rsidRDefault="001042DA" w:rsidP="00AF2AEA">
            <w:pPr>
              <w:jc w:val="center"/>
              <w:rPr>
                <w:b/>
              </w:rPr>
            </w:pPr>
            <w:r w:rsidRPr="006B1A5A">
              <w:rPr>
                <w:b/>
              </w:rPr>
              <w:t>1.15 µg Cu/L</w:t>
            </w:r>
          </w:p>
        </w:tc>
        <w:tc>
          <w:tcPr>
            <w:tcW w:w="5285" w:type="dxa"/>
            <w:shd w:val="clear" w:color="auto" w:fill="auto"/>
          </w:tcPr>
          <w:p w14:paraId="2726DA42" w14:textId="77777777" w:rsidR="001042DA" w:rsidRPr="006B1A5A" w:rsidRDefault="001042DA" w:rsidP="00AF2AEA">
            <w:pPr>
              <w:tabs>
                <w:tab w:val="left" w:pos="490"/>
              </w:tabs>
            </w:pPr>
            <w:r w:rsidRPr="006B1A5A">
              <w:t>CAR dicopper oxide PT21, 2016</w:t>
            </w:r>
          </w:p>
        </w:tc>
      </w:tr>
      <w:tr w:rsidR="001042DA" w:rsidRPr="006B1A5A" w14:paraId="3CD3B7B2" w14:textId="77777777" w:rsidTr="00AF2AEA">
        <w:tc>
          <w:tcPr>
            <w:tcW w:w="2008" w:type="dxa"/>
            <w:shd w:val="clear" w:color="auto" w:fill="auto"/>
          </w:tcPr>
          <w:p w14:paraId="5FCE51B3" w14:textId="77777777" w:rsidR="001042DA" w:rsidRPr="006B1A5A" w:rsidRDefault="001042DA" w:rsidP="00AF2AEA">
            <w:r w:rsidRPr="006B1A5A">
              <w:t>PNEC</w:t>
            </w:r>
            <w:r w:rsidRPr="006B1A5A">
              <w:rPr>
                <w:vertAlign w:val="subscript"/>
              </w:rPr>
              <w:t>sea</w:t>
            </w:r>
          </w:p>
        </w:tc>
        <w:tc>
          <w:tcPr>
            <w:tcW w:w="1911" w:type="dxa"/>
            <w:shd w:val="clear" w:color="auto" w:fill="auto"/>
          </w:tcPr>
          <w:p w14:paraId="09211CF1" w14:textId="77777777" w:rsidR="001042DA" w:rsidRPr="006B1A5A" w:rsidRDefault="001042DA" w:rsidP="00AF2AEA">
            <w:pPr>
              <w:jc w:val="center"/>
            </w:pPr>
            <w:r w:rsidRPr="006B1A5A">
              <w:t>0.65 µg Cu/L</w:t>
            </w:r>
          </w:p>
        </w:tc>
        <w:tc>
          <w:tcPr>
            <w:tcW w:w="5285" w:type="dxa"/>
            <w:shd w:val="clear" w:color="auto" w:fill="auto"/>
          </w:tcPr>
          <w:p w14:paraId="56600604" w14:textId="77777777" w:rsidR="001042DA" w:rsidRPr="006B1A5A" w:rsidRDefault="001042DA" w:rsidP="00AF2AEA">
            <w:r w:rsidRPr="006B1A5A">
              <w:t>CAR dicopper oxide PT21, 2016</w:t>
            </w:r>
          </w:p>
        </w:tc>
      </w:tr>
      <w:tr w:rsidR="001042DA" w:rsidRPr="006B1A5A" w14:paraId="03BBB556" w14:textId="77777777" w:rsidTr="00AF2AEA">
        <w:tc>
          <w:tcPr>
            <w:tcW w:w="2008" w:type="dxa"/>
            <w:shd w:val="clear" w:color="auto" w:fill="auto"/>
          </w:tcPr>
          <w:p w14:paraId="213B0540" w14:textId="77777777" w:rsidR="001042DA" w:rsidRPr="006B1A5A" w:rsidRDefault="001042DA" w:rsidP="00AF2AEA">
            <w:r w:rsidRPr="006B1A5A">
              <w:t>PNEC</w:t>
            </w:r>
            <w:r w:rsidRPr="006B1A5A">
              <w:rPr>
                <w:vertAlign w:val="subscript"/>
              </w:rPr>
              <w:t>sediment</w:t>
            </w:r>
          </w:p>
        </w:tc>
        <w:tc>
          <w:tcPr>
            <w:tcW w:w="1911" w:type="dxa"/>
            <w:shd w:val="clear" w:color="auto" w:fill="auto"/>
          </w:tcPr>
          <w:p w14:paraId="70453D11" w14:textId="77777777" w:rsidR="001042DA" w:rsidRPr="006B1A5A" w:rsidRDefault="001042DA" w:rsidP="00AF2AEA">
            <w:pPr>
              <w:jc w:val="center"/>
            </w:pPr>
            <w:r w:rsidRPr="006B1A5A">
              <w:t>98.8 mg Cu/kg sediment (dry weight)</w:t>
            </w:r>
          </w:p>
        </w:tc>
        <w:tc>
          <w:tcPr>
            <w:tcW w:w="5285" w:type="dxa"/>
            <w:shd w:val="clear" w:color="auto" w:fill="auto"/>
          </w:tcPr>
          <w:p w14:paraId="2B44A6B2" w14:textId="77777777" w:rsidR="001042DA" w:rsidRPr="006B1A5A" w:rsidRDefault="001042DA" w:rsidP="00AF2AEA">
            <w:r w:rsidRPr="006B1A5A">
              <w:t>CAR dicopper oxide PT21, 2016.</w:t>
            </w:r>
          </w:p>
        </w:tc>
      </w:tr>
      <w:bookmarkEnd w:id="1695"/>
    </w:tbl>
    <w:p w14:paraId="53286055" w14:textId="77777777" w:rsidR="001042DA" w:rsidRPr="006B1A5A" w:rsidRDefault="001042DA" w:rsidP="001042DA">
      <w:pPr>
        <w:rPr>
          <w:color w:val="FF0000"/>
          <w:highlight w:val="yellow"/>
        </w:rPr>
      </w:pPr>
    </w:p>
    <w:p w14:paraId="4F0490A4" w14:textId="77777777" w:rsidR="001042DA" w:rsidRPr="006B1A5A" w:rsidRDefault="001042DA" w:rsidP="001042DA">
      <w:pPr>
        <w:autoSpaceDE w:val="0"/>
        <w:autoSpaceDN w:val="0"/>
        <w:adjustRightInd w:val="0"/>
        <w:jc w:val="both"/>
      </w:pPr>
      <w:bookmarkStart w:id="1697" w:name="_Hlk20222289"/>
      <w:bookmarkStart w:id="1698" w:name="_Hlk501444918"/>
      <w:bookmarkEnd w:id="1696"/>
      <w:r w:rsidRPr="006B1A5A">
        <w:t>For the marine compartment, 56</w:t>
      </w:r>
      <w:r w:rsidRPr="006B1A5A" w:rsidDel="004B7CCA">
        <w:t xml:space="preserve"> </w:t>
      </w:r>
      <w:r w:rsidRPr="006B1A5A">
        <w:t>chronic NOEC/EC</w:t>
      </w:r>
      <w:r w:rsidRPr="006B1A5A">
        <w:rPr>
          <w:vertAlign w:val="subscript"/>
        </w:rPr>
        <w:t>10</w:t>
      </w:r>
      <w:r w:rsidRPr="006B1A5A">
        <w:t xml:space="preserve"> values, resulting in 24 different species-specific NOEC values covering different trophic levels (fish, invertebrates, algae), were retained for the PNEC derivation. NOEC values were related to the organic carbon (DOC) concentrations of the marine test media and species-specific NOECs were calculated after DOC normalizing of the NOECs. These species-specific NOECs were used for the derivation of species sensitivity distributions (SSD) and HC</w:t>
      </w:r>
      <w:r w:rsidRPr="006B1A5A">
        <w:rPr>
          <w:vertAlign w:val="subscript"/>
        </w:rPr>
        <w:t xml:space="preserve">5-50 </w:t>
      </w:r>
      <w:r w:rsidRPr="006B1A5A">
        <w:t>values, using statistical extrapolation methods.</w:t>
      </w:r>
      <w:r w:rsidRPr="006B1A5A" w:rsidDel="004B7CCA">
        <w:t xml:space="preserve"> </w:t>
      </w:r>
      <w:r w:rsidRPr="006B1A5A">
        <w:t>PNECs were derived for three different areas with differing DOC concentrations using an assessment factor of 2: harbours/marinas with a typical DOC concentration of 2 mg/L, surrounding waters with a typical DOC concentration of 0.5 mg/L and open sea with a typical DOC concentration of 0.2 mg/L. The emission scenario for fish nets (NO, 2015) assumes that the fish farm is located in coastal waters with low water flow velocities. Further, the EU emission scenario assumes water characteristics typical of more open waters. Therefore, for the purpose of the risk assessment, a PNEC</w:t>
      </w:r>
      <w:r w:rsidRPr="006B1A5A">
        <w:rPr>
          <w:vertAlign w:val="subscript"/>
        </w:rPr>
        <w:t xml:space="preserve">surrounding water </w:t>
      </w:r>
      <w:r w:rsidRPr="006B1A5A">
        <w:t xml:space="preserve">of 1.15 µg Cu/L is considered the most relevant for the fish farm scenario. </w:t>
      </w:r>
    </w:p>
    <w:bookmarkEnd w:id="1697"/>
    <w:p w14:paraId="7D2DD5C4" w14:textId="77777777" w:rsidR="001042DA" w:rsidRPr="006B1A5A" w:rsidRDefault="001042DA" w:rsidP="001042DA">
      <w:pPr>
        <w:autoSpaceDE w:val="0"/>
        <w:autoSpaceDN w:val="0"/>
        <w:adjustRightInd w:val="0"/>
      </w:pPr>
    </w:p>
    <w:p w14:paraId="626EB983" w14:textId="77777777" w:rsidR="001042DA" w:rsidRPr="006B1A5A" w:rsidRDefault="001042DA" w:rsidP="001042DA">
      <w:pPr>
        <w:autoSpaceDE w:val="0"/>
        <w:autoSpaceDN w:val="0"/>
        <w:adjustRightInd w:val="0"/>
        <w:jc w:val="both"/>
        <w:rPr>
          <w:rFonts w:cs="Verdana"/>
          <w:lang w:eastAsia="en-US"/>
        </w:rPr>
      </w:pPr>
      <w:r w:rsidRPr="006B1A5A">
        <w:t>For the marine PNEC</w:t>
      </w:r>
      <w:r w:rsidRPr="006B1A5A">
        <w:rPr>
          <w:vertAlign w:val="subscript"/>
        </w:rPr>
        <w:t xml:space="preserve">sediment </w:t>
      </w:r>
      <w:r w:rsidRPr="006B1A5A">
        <w:t>derivation,</w:t>
      </w:r>
      <w:r w:rsidRPr="006B1A5A">
        <w:rPr>
          <w:rFonts w:cs="Verdana"/>
          <w:lang w:eastAsia="en-US"/>
        </w:rPr>
        <w:t xml:space="preserve"> as no reliable toxicity data are available for the marine sediment compartment, the PNEC</w:t>
      </w:r>
      <w:r w:rsidRPr="006B1A5A">
        <w:rPr>
          <w:rFonts w:cs="Verdana"/>
          <w:sz w:val="13"/>
          <w:szCs w:val="13"/>
          <w:lang w:eastAsia="en-US"/>
        </w:rPr>
        <w:t xml:space="preserve">marine sediment </w:t>
      </w:r>
      <w:r w:rsidRPr="006B1A5A">
        <w:rPr>
          <w:rFonts w:cs="Verdana"/>
          <w:lang w:eastAsia="en-US"/>
        </w:rPr>
        <w:t>was calculated according to the equilibrium-partitioning concept based on a PNEC</w:t>
      </w:r>
      <w:r w:rsidRPr="006B1A5A">
        <w:rPr>
          <w:rFonts w:cs="Verdana"/>
          <w:sz w:val="13"/>
          <w:szCs w:val="13"/>
          <w:lang w:eastAsia="en-US"/>
        </w:rPr>
        <w:t xml:space="preserve">water </w:t>
      </w:r>
      <w:r w:rsidRPr="006B1A5A">
        <w:rPr>
          <w:rFonts w:cs="Verdana"/>
          <w:lang w:eastAsia="en-US"/>
        </w:rPr>
        <w:t>using the 10</w:t>
      </w:r>
      <w:r w:rsidRPr="006B1A5A">
        <w:rPr>
          <w:rFonts w:cs="Verdana"/>
          <w:sz w:val="13"/>
          <w:szCs w:val="13"/>
          <w:lang w:eastAsia="en-US"/>
        </w:rPr>
        <w:t xml:space="preserve">th </w:t>
      </w:r>
      <w:r w:rsidRPr="006B1A5A">
        <w:rPr>
          <w:rFonts w:cs="Verdana"/>
          <w:lang w:eastAsia="en-US"/>
        </w:rPr>
        <w:t>percentile of the Kd value for marine sediment according to the Guidance for environmental risk assessment for metals and metal compounds. The marine PNEC</w:t>
      </w:r>
      <w:r w:rsidRPr="006B1A5A">
        <w:rPr>
          <w:rFonts w:cs="Verdana"/>
          <w:vertAlign w:val="subscript"/>
          <w:lang w:eastAsia="en-US"/>
        </w:rPr>
        <w:t>sediment</w:t>
      </w:r>
      <w:r w:rsidRPr="006B1A5A">
        <w:rPr>
          <w:rFonts w:cs="Verdana"/>
          <w:lang w:eastAsia="en-US"/>
        </w:rPr>
        <w:t xml:space="preserve"> was determined to be 98.8 mg Cu/kg </w:t>
      </w:r>
      <w:r w:rsidRPr="006B1A5A">
        <w:rPr>
          <w:rFonts w:cs="Verdana"/>
          <w:noProof/>
          <w:lang w:eastAsia="en-US"/>
        </w:rPr>
        <w:t>dw</w:t>
      </w:r>
      <w:r w:rsidRPr="006B1A5A">
        <w:rPr>
          <w:rFonts w:cs="Verdana"/>
          <w:lang w:eastAsia="en-US"/>
        </w:rPr>
        <w:t xml:space="preserve"> sediment (corresponding to 21.48 mg Cu/kg </w:t>
      </w:r>
      <w:r w:rsidRPr="006B1A5A">
        <w:rPr>
          <w:rFonts w:cs="Verdana"/>
          <w:noProof/>
          <w:lang w:eastAsia="en-US"/>
        </w:rPr>
        <w:t>ww</w:t>
      </w:r>
      <w:r w:rsidRPr="006B1A5A">
        <w:rPr>
          <w:rFonts w:cs="Verdana"/>
          <w:lang w:eastAsia="en-US"/>
        </w:rPr>
        <w:t xml:space="preserve"> sediment).</w:t>
      </w:r>
    </w:p>
    <w:p w14:paraId="4CCFB36D" w14:textId="77777777" w:rsidR="001042DA" w:rsidRPr="006B1A5A" w:rsidRDefault="001042DA" w:rsidP="001042DA">
      <w:pPr>
        <w:autoSpaceDE w:val="0"/>
        <w:autoSpaceDN w:val="0"/>
        <w:adjustRightInd w:val="0"/>
        <w:jc w:val="both"/>
      </w:pPr>
    </w:p>
    <w:p w14:paraId="57233875" w14:textId="77777777" w:rsidR="001042DA" w:rsidRPr="006B1A5A" w:rsidRDefault="001042DA" w:rsidP="001042DA">
      <w:pPr>
        <w:spacing w:after="240" w:line="276" w:lineRule="auto"/>
        <w:rPr>
          <w:rFonts w:cs="Arial"/>
          <w:u w:val="single"/>
        </w:rPr>
      </w:pPr>
      <w:r w:rsidRPr="006B1A5A">
        <w:rPr>
          <w:rFonts w:cs="Arial"/>
          <w:u w:val="single"/>
        </w:rPr>
        <w:t>Copper thiocyanate compound (</w:t>
      </w:r>
      <w:r w:rsidRPr="006B1A5A">
        <w:rPr>
          <w:u w:val="single"/>
        </w:rPr>
        <w:t>CuSCN)</w:t>
      </w:r>
    </w:p>
    <w:p w14:paraId="7D39D4DD" w14:textId="77777777" w:rsidR="001042DA" w:rsidRPr="006B1A5A" w:rsidRDefault="001042DA" w:rsidP="001042DA">
      <w:pPr>
        <w:spacing w:after="240" w:line="276" w:lineRule="auto"/>
        <w:rPr>
          <w:rFonts w:cs="Arial"/>
        </w:rPr>
      </w:pPr>
      <w:r w:rsidRPr="006B1A5A">
        <w:rPr>
          <w:rFonts w:cs="Arial"/>
        </w:rPr>
        <w:t>According to Document IIA, Copper thiocyanate PT21, acute toxicity studies are available for only two trophic levels (fish and invertebrates) and no chronic studies are available.  The results are based on calculated concentrations from measured concentrations and shows toxic effects on CuSCN. A comparison of the endpoints was made between fresh and saltwater species, and the difference in sensitivity are within a factor of 10 for fish but not for invertebrate. The lowest LC50 value for marine water is for fish.</w:t>
      </w:r>
    </w:p>
    <w:bookmarkEnd w:id="1698"/>
    <w:p w14:paraId="2EA825DC" w14:textId="77777777" w:rsidR="001042DA" w:rsidRPr="006B1A5A" w:rsidRDefault="001042DA" w:rsidP="001042DA">
      <w:pPr>
        <w:spacing w:line="260" w:lineRule="atLeast"/>
        <w:jc w:val="both"/>
        <w:rPr>
          <w:rFonts w:eastAsia="Calibri"/>
          <w:iCs/>
          <w:u w:val="single"/>
          <w:lang w:eastAsia="en-US"/>
        </w:rPr>
      </w:pPr>
      <w:r w:rsidRPr="006B1A5A">
        <w:rPr>
          <w:u w:val="single"/>
        </w:rPr>
        <w:t>Thiocyanate</w:t>
      </w:r>
    </w:p>
    <w:p w14:paraId="03C14144" w14:textId="77777777" w:rsidR="001042DA" w:rsidRPr="006B1A5A" w:rsidRDefault="001042DA" w:rsidP="001042DA">
      <w:pPr>
        <w:pStyle w:val="Absatz"/>
      </w:pPr>
    </w:p>
    <w:p w14:paraId="27F1871A" w14:textId="77777777" w:rsidR="001042DA" w:rsidRPr="006B1A5A" w:rsidRDefault="001042DA" w:rsidP="001042DA">
      <w:pPr>
        <w:keepNext/>
        <w:rPr>
          <w:highlight w:val="yellow"/>
        </w:rPr>
      </w:pPr>
      <w:r w:rsidRPr="006B1A5A">
        <w:t xml:space="preserve">The effect data for </w:t>
      </w:r>
      <w:r w:rsidRPr="006B1A5A">
        <w:rPr>
          <w:noProof/>
        </w:rPr>
        <w:t xml:space="preserve">thiocyanate </w:t>
      </w:r>
      <w:r w:rsidRPr="006B1A5A">
        <w:t xml:space="preserve">are taken from the Competent Authority Report for copper </w:t>
      </w:r>
      <w:r w:rsidRPr="006B1A5A">
        <w:rPr>
          <w:noProof/>
        </w:rPr>
        <w:t>thiocyanate</w:t>
      </w:r>
      <w:r w:rsidRPr="006B1A5A">
        <w:t xml:space="preserve"> (PT 21, 2016).</w:t>
      </w:r>
    </w:p>
    <w:p w14:paraId="77D8A92A" w14:textId="77777777" w:rsidR="001042DA" w:rsidRPr="006B1A5A" w:rsidRDefault="001042DA" w:rsidP="001042DA">
      <w:pPr>
        <w:keepNext/>
      </w:pPr>
    </w:p>
    <w:p w14:paraId="4DDE9D5A" w14:textId="77777777" w:rsidR="001042DA" w:rsidRPr="006B1A5A" w:rsidRDefault="001042DA" w:rsidP="001042DA">
      <w:pPr>
        <w:rPr>
          <w:b/>
        </w:rPr>
      </w:pPr>
    </w:p>
    <w:p w14:paraId="70477184" w14:textId="77777777" w:rsidR="001042DA" w:rsidRPr="006B1A5A" w:rsidRDefault="001042DA" w:rsidP="001042DA">
      <w:pPr>
        <w:rPr>
          <w:b/>
        </w:rPr>
      </w:pPr>
      <w:r w:rsidRPr="006B1A5A">
        <w:rPr>
          <w:b/>
        </w:rPr>
        <w:t xml:space="preserve">Predicted no effect concentrations for </w:t>
      </w:r>
      <w:r w:rsidRPr="006B1A5A">
        <w:rPr>
          <w:b/>
          <w:noProof/>
        </w:rPr>
        <w:t>thiocyanate</w:t>
      </w:r>
      <w:r w:rsidRPr="006B1A5A">
        <w:rPr>
          <w:b/>
        </w:rPr>
        <w:t xml:space="preserve"> used for the risk </w:t>
      </w:r>
      <w:r w:rsidRPr="006B1A5A">
        <w:rPr>
          <w:b/>
          <w:noProof/>
        </w:rPr>
        <w:t>characterisation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3"/>
        <w:gridCol w:w="4956"/>
      </w:tblGrid>
      <w:tr w:rsidR="001042DA" w:rsidRPr="006B1A5A" w14:paraId="230308C2" w14:textId="77777777" w:rsidTr="00AF2AEA">
        <w:tc>
          <w:tcPr>
            <w:tcW w:w="2405" w:type="dxa"/>
            <w:shd w:val="clear" w:color="auto" w:fill="auto"/>
          </w:tcPr>
          <w:p w14:paraId="7FDABD66" w14:textId="77777777" w:rsidR="001042DA" w:rsidRPr="006B1A5A" w:rsidRDefault="001042DA" w:rsidP="00AF2AEA">
            <w:pPr>
              <w:keepNext/>
              <w:rPr>
                <w:b/>
              </w:rPr>
            </w:pPr>
            <w:r w:rsidRPr="006B1A5A">
              <w:rPr>
                <w:b/>
              </w:rPr>
              <w:t>PNEC</w:t>
            </w:r>
          </w:p>
        </w:tc>
        <w:tc>
          <w:tcPr>
            <w:tcW w:w="1843" w:type="dxa"/>
            <w:shd w:val="clear" w:color="auto" w:fill="auto"/>
          </w:tcPr>
          <w:p w14:paraId="05A0FA5A" w14:textId="77777777" w:rsidR="001042DA" w:rsidRPr="006B1A5A" w:rsidRDefault="001042DA" w:rsidP="00AF2AEA">
            <w:pPr>
              <w:keepNext/>
              <w:jc w:val="center"/>
              <w:rPr>
                <w:b/>
              </w:rPr>
            </w:pPr>
            <w:r w:rsidRPr="006B1A5A">
              <w:rPr>
                <w:b/>
              </w:rPr>
              <w:t>Result</w:t>
            </w:r>
          </w:p>
        </w:tc>
        <w:tc>
          <w:tcPr>
            <w:tcW w:w="4956" w:type="dxa"/>
            <w:shd w:val="clear" w:color="auto" w:fill="auto"/>
          </w:tcPr>
          <w:p w14:paraId="0BB111C2" w14:textId="77777777" w:rsidR="001042DA" w:rsidRPr="006B1A5A" w:rsidRDefault="001042DA" w:rsidP="00AF2AEA">
            <w:pPr>
              <w:keepNext/>
              <w:rPr>
                <w:b/>
                <w:highlight w:val="yellow"/>
              </w:rPr>
            </w:pPr>
            <w:r w:rsidRPr="006B1A5A">
              <w:rPr>
                <w:b/>
              </w:rPr>
              <w:t>Reference</w:t>
            </w:r>
          </w:p>
        </w:tc>
      </w:tr>
      <w:tr w:rsidR="001042DA" w:rsidRPr="006B1A5A" w14:paraId="0DDD6F06" w14:textId="77777777" w:rsidTr="00AF2AEA">
        <w:tc>
          <w:tcPr>
            <w:tcW w:w="2405" w:type="dxa"/>
            <w:shd w:val="clear" w:color="auto" w:fill="auto"/>
          </w:tcPr>
          <w:p w14:paraId="4673C6AE" w14:textId="77777777" w:rsidR="001042DA" w:rsidRPr="006B1A5A" w:rsidRDefault="001042DA" w:rsidP="00AF2AEA">
            <w:pPr>
              <w:keepNext/>
            </w:pPr>
            <w:r w:rsidRPr="006B1A5A">
              <w:t>PNEC</w:t>
            </w:r>
            <w:r w:rsidRPr="006B1A5A">
              <w:rPr>
                <w:vertAlign w:val="subscript"/>
              </w:rPr>
              <w:t>sea</w:t>
            </w:r>
          </w:p>
        </w:tc>
        <w:tc>
          <w:tcPr>
            <w:tcW w:w="1843" w:type="dxa"/>
            <w:shd w:val="clear" w:color="auto" w:fill="auto"/>
          </w:tcPr>
          <w:p w14:paraId="6299D0A2" w14:textId="77777777" w:rsidR="001042DA" w:rsidRPr="006B1A5A" w:rsidRDefault="001042DA" w:rsidP="00AF2AEA">
            <w:pPr>
              <w:keepNext/>
              <w:jc w:val="center"/>
            </w:pPr>
            <w:r w:rsidRPr="006B1A5A">
              <w:rPr>
                <w:lang w:eastAsia="en-US"/>
              </w:rPr>
              <w:t>0.011 mg SCN</w:t>
            </w:r>
            <w:r w:rsidRPr="006B1A5A">
              <w:rPr>
                <w:vertAlign w:val="superscript"/>
                <w:lang w:eastAsia="en-US"/>
              </w:rPr>
              <w:t>-</w:t>
            </w:r>
            <w:r w:rsidRPr="006B1A5A">
              <w:rPr>
                <w:lang w:eastAsia="en-US"/>
              </w:rPr>
              <w:t>/L.</w:t>
            </w:r>
          </w:p>
        </w:tc>
        <w:tc>
          <w:tcPr>
            <w:tcW w:w="4956" w:type="dxa"/>
            <w:shd w:val="clear" w:color="auto" w:fill="auto"/>
          </w:tcPr>
          <w:p w14:paraId="41E5C55F" w14:textId="77777777" w:rsidR="001042DA" w:rsidRPr="006B1A5A" w:rsidRDefault="001042DA" w:rsidP="00AF2AEA">
            <w:pPr>
              <w:keepNext/>
            </w:pPr>
            <w:r w:rsidRPr="006B1A5A">
              <w:rPr>
                <w:iCs/>
              </w:rPr>
              <w:t>Fish</w:t>
            </w:r>
            <w:r w:rsidRPr="006B1A5A">
              <w:t>: NOEC = </w:t>
            </w:r>
            <w:r w:rsidRPr="006B1A5A">
              <w:rPr>
                <w:lang w:eastAsia="en-US"/>
              </w:rPr>
              <w:t>1.1 mg SCN</w:t>
            </w:r>
            <w:r w:rsidRPr="006B1A5A">
              <w:rPr>
                <w:vertAlign w:val="superscript"/>
                <w:lang w:eastAsia="en-US"/>
              </w:rPr>
              <w:t>-</w:t>
            </w:r>
            <w:r w:rsidRPr="006B1A5A">
              <w:rPr>
                <w:lang w:eastAsia="en-US"/>
              </w:rPr>
              <w:t>/L</w:t>
            </w:r>
          </w:p>
          <w:p w14:paraId="26D1A448" w14:textId="77777777" w:rsidR="001042DA" w:rsidRPr="006B1A5A" w:rsidRDefault="001042DA" w:rsidP="00AF2AEA">
            <w:pPr>
              <w:keepNext/>
            </w:pPr>
            <w:r w:rsidRPr="006B1A5A">
              <w:t>AF = 100</w:t>
            </w:r>
          </w:p>
          <w:p w14:paraId="53981EAB" w14:textId="77777777" w:rsidR="001042DA" w:rsidRPr="006B1A5A" w:rsidRDefault="001042DA" w:rsidP="00AF2AEA">
            <w:pPr>
              <w:keepNext/>
              <w:rPr>
                <w:highlight w:val="yellow"/>
              </w:rPr>
            </w:pPr>
            <w:r w:rsidRPr="006B1A5A">
              <w:t>(CAR PT21, 2016).</w:t>
            </w:r>
          </w:p>
        </w:tc>
      </w:tr>
      <w:tr w:rsidR="001042DA" w:rsidRPr="006B1A5A" w14:paraId="50B7743D" w14:textId="77777777" w:rsidTr="00AF2AEA">
        <w:tc>
          <w:tcPr>
            <w:tcW w:w="2405" w:type="dxa"/>
            <w:shd w:val="clear" w:color="auto" w:fill="auto"/>
          </w:tcPr>
          <w:p w14:paraId="02F8F80C" w14:textId="77777777" w:rsidR="001042DA" w:rsidRPr="006B1A5A" w:rsidRDefault="001042DA" w:rsidP="00AF2AEA">
            <w:pPr>
              <w:keepNext/>
            </w:pPr>
            <w:r w:rsidRPr="006B1A5A">
              <w:t>PNEC</w:t>
            </w:r>
            <w:r w:rsidRPr="006B1A5A">
              <w:rPr>
                <w:vertAlign w:val="subscript"/>
              </w:rPr>
              <w:t>sediment</w:t>
            </w:r>
          </w:p>
        </w:tc>
        <w:tc>
          <w:tcPr>
            <w:tcW w:w="1843" w:type="dxa"/>
            <w:shd w:val="clear" w:color="auto" w:fill="auto"/>
          </w:tcPr>
          <w:p w14:paraId="2450A70C" w14:textId="77777777" w:rsidR="001042DA" w:rsidRPr="006B1A5A" w:rsidRDefault="001042DA" w:rsidP="00AF2AEA">
            <w:pPr>
              <w:keepNext/>
              <w:jc w:val="center"/>
            </w:pPr>
            <w:r w:rsidRPr="006B1A5A">
              <w:t xml:space="preserve">0.045 </w:t>
            </w:r>
            <w:r w:rsidRPr="006B1A5A">
              <w:rPr>
                <w:lang w:eastAsia="en-US"/>
              </w:rPr>
              <w:t>mg SCN</w:t>
            </w:r>
            <w:r w:rsidRPr="006B1A5A">
              <w:rPr>
                <w:vertAlign w:val="superscript"/>
                <w:lang w:eastAsia="en-US"/>
              </w:rPr>
              <w:t>-</w:t>
            </w:r>
            <w:r w:rsidRPr="006B1A5A">
              <w:t>/kg sediment (dry weight)</w:t>
            </w:r>
          </w:p>
        </w:tc>
        <w:tc>
          <w:tcPr>
            <w:tcW w:w="4956" w:type="dxa"/>
            <w:shd w:val="clear" w:color="auto" w:fill="auto"/>
          </w:tcPr>
          <w:p w14:paraId="4525442A" w14:textId="77777777" w:rsidR="001042DA" w:rsidRPr="006B1A5A" w:rsidRDefault="001042DA" w:rsidP="00AF2AEA">
            <w:pPr>
              <w:autoSpaceDE w:val="0"/>
              <w:autoSpaceDN w:val="0"/>
              <w:adjustRightInd w:val="0"/>
              <w:rPr>
                <w:rFonts w:cs="Verdana"/>
                <w:lang w:eastAsia="en-US"/>
              </w:rPr>
            </w:pPr>
            <w:r w:rsidRPr="006B1A5A">
              <w:rPr>
                <w:rFonts w:cs="Verdana"/>
                <w:lang w:eastAsia="en-US"/>
              </w:rPr>
              <w:t>No reliable toxicity data. PNEC calculated on the basis of the Equilibrium Partition</w:t>
            </w:r>
          </w:p>
          <w:p w14:paraId="41B4D0B5" w14:textId="77777777" w:rsidR="001042DA" w:rsidRPr="006B1A5A" w:rsidRDefault="001042DA" w:rsidP="00AF2AEA">
            <w:pPr>
              <w:keepNext/>
              <w:rPr>
                <w:highlight w:val="yellow"/>
              </w:rPr>
            </w:pPr>
            <w:r w:rsidRPr="006B1A5A">
              <w:rPr>
                <w:rFonts w:cs="Verdana"/>
                <w:lang w:eastAsia="en-US"/>
              </w:rPr>
              <w:t>Method (EPM)</w:t>
            </w:r>
            <w:r w:rsidRPr="006B1A5A">
              <w:t xml:space="preserve"> (CAR PT21, 2016).</w:t>
            </w:r>
          </w:p>
        </w:tc>
      </w:tr>
    </w:tbl>
    <w:p w14:paraId="28F322C0" w14:textId="77777777" w:rsidR="001042DA" w:rsidRPr="006B1A5A" w:rsidRDefault="001042DA" w:rsidP="001042DA">
      <w:pPr>
        <w:jc w:val="both"/>
        <w:rPr>
          <w:u w:val="single"/>
          <w:lang w:eastAsia="en-US"/>
        </w:rPr>
      </w:pPr>
    </w:p>
    <w:p w14:paraId="1288EA62" w14:textId="77777777" w:rsidR="001042DA" w:rsidRPr="006B1A5A" w:rsidRDefault="001042DA" w:rsidP="001042DA">
      <w:pPr>
        <w:jc w:val="both"/>
        <w:rPr>
          <w:lang w:eastAsia="en-US"/>
        </w:rPr>
      </w:pPr>
      <w:r w:rsidRPr="006B1A5A">
        <w:rPr>
          <w:lang w:eastAsia="en-US"/>
        </w:rPr>
        <w:t>The PNECs derived for the thiocyanate ion SCN</w:t>
      </w:r>
      <w:r w:rsidRPr="006B1A5A">
        <w:rPr>
          <w:vertAlign w:val="superscript"/>
          <w:lang w:eastAsia="en-US"/>
        </w:rPr>
        <w:t>-</w:t>
      </w:r>
      <w:r w:rsidRPr="006B1A5A">
        <w:rPr>
          <w:lang w:eastAsia="en-US"/>
        </w:rPr>
        <w:t xml:space="preserve"> are based on laboratory acute and chronic studies using the thiocyanate salts KSCN and NH</w:t>
      </w:r>
      <w:r w:rsidRPr="006B1A5A">
        <w:rPr>
          <w:vertAlign w:val="subscript"/>
          <w:lang w:eastAsia="en-US"/>
        </w:rPr>
        <w:t>4</w:t>
      </w:r>
      <w:r w:rsidRPr="006B1A5A">
        <w:rPr>
          <w:lang w:eastAsia="en-US"/>
        </w:rPr>
        <w:t>SCN. The base set (fish, invertebrate, algae) is complete for both acute and long-term toxicity and the lowest long-term NOEC is 1.1 mg SCN</w:t>
      </w:r>
      <w:r w:rsidRPr="006B1A5A">
        <w:rPr>
          <w:vertAlign w:val="superscript"/>
          <w:lang w:eastAsia="en-US"/>
        </w:rPr>
        <w:t>-</w:t>
      </w:r>
      <w:r w:rsidRPr="006B1A5A">
        <w:rPr>
          <w:lang w:eastAsia="en-US"/>
        </w:rPr>
        <w:t>/L for fish (</w:t>
      </w:r>
      <w:r w:rsidRPr="006B1A5A">
        <w:rPr>
          <w:i/>
          <w:iCs/>
          <w:lang w:eastAsia="en-US"/>
        </w:rPr>
        <w:t>Pimephales promelas)</w:t>
      </w:r>
      <w:r w:rsidRPr="006B1A5A">
        <w:rPr>
          <w:lang w:eastAsia="en-US"/>
        </w:rPr>
        <w:t xml:space="preserve">. </w:t>
      </w:r>
    </w:p>
    <w:p w14:paraId="299461C8" w14:textId="77777777" w:rsidR="001042DA" w:rsidRPr="006B1A5A" w:rsidRDefault="001042DA" w:rsidP="001042DA">
      <w:pPr>
        <w:jc w:val="both"/>
        <w:rPr>
          <w:lang w:eastAsia="en-US"/>
        </w:rPr>
      </w:pPr>
      <w:r w:rsidRPr="006B1A5A">
        <w:rPr>
          <w:lang w:eastAsia="en-US"/>
        </w:rPr>
        <w:t xml:space="preserve">Since no data are available on the toxicity of the thiocyanate ion on marine organisms, the PNEC for the marine compartment is derived from the lowest long-term NOECs of the freshwater dataset divided by an assessment factor of 100 as stated in the EU-TGD (2003). Therefore, </w:t>
      </w:r>
      <w:r w:rsidRPr="006B1A5A">
        <w:t>PNEC</w:t>
      </w:r>
      <w:r w:rsidRPr="006B1A5A">
        <w:rPr>
          <w:vertAlign w:val="subscript"/>
        </w:rPr>
        <w:t>sea</w:t>
      </w:r>
      <w:r w:rsidRPr="006B1A5A">
        <w:rPr>
          <w:lang w:eastAsia="en-US"/>
        </w:rPr>
        <w:t xml:space="preserve"> = 1.1/100 = 0.011 mg SCN</w:t>
      </w:r>
      <w:r w:rsidRPr="006B1A5A">
        <w:rPr>
          <w:vertAlign w:val="superscript"/>
          <w:lang w:eastAsia="en-US"/>
        </w:rPr>
        <w:t>-</w:t>
      </w:r>
      <w:r w:rsidRPr="006B1A5A">
        <w:rPr>
          <w:lang w:eastAsia="en-US"/>
        </w:rPr>
        <w:t>/L.</w:t>
      </w:r>
    </w:p>
    <w:p w14:paraId="3C7807A1" w14:textId="77777777" w:rsidR="001042DA" w:rsidRPr="006B1A5A" w:rsidRDefault="001042DA" w:rsidP="001042DA">
      <w:pPr>
        <w:jc w:val="both"/>
        <w:rPr>
          <w:lang w:eastAsia="en-US"/>
        </w:rPr>
      </w:pPr>
    </w:p>
    <w:p w14:paraId="63C97A63" w14:textId="77777777" w:rsidR="001042DA" w:rsidRPr="006B1A5A" w:rsidRDefault="001042DA" w:rsidP="001042DA">
      <w:pPr>
        <w:jc w:val="both"/>
        <w:rPr>
          <w:lang w:eastAsia="en-US"/>
        </w:rPr>
      </w:pPr>
      <w:r w:rsidRPr="006B1A5A">
        <w:rPr>
          <w:lang w:eastAsia="en-US"/>
        </w:rPr>
        <w:t>No data are available on the toxicity of the thiocyanate ion on marine sediment dwelling organisms. Subsequently PNEC assessment is performed on the basis of the Equilibrium Partition Method (EPM) according to the EU-TGD (2003). Hence, PNECsediment for saltwater = 0.0097 mg SCN-/kg ww sediment equivalent to 0.045 mg SCN</w:t>
      </w:r>
      <w:r w:rsidRPr="0006373E">
        <w:rPr>
          <w:vertAlign w:val="superscript"/>
          <w:lang w:eastAsia="en-US"/>
        </w:rPr>
        <w:t>-</w:t>
      </w:r>
      <w:r w:rsidRPr="006B1A5A">
        <w:rPr>
          <w:lang w:eastAsia="en-US"/>
        </w:rPr>
        <w:t>/kg sediment (dry weight).</w:t>
      </w:r>
    </w:p>
    <w:p w14:paraId="43690C12" w14:textId="77777777" w:rsidR="001042DA" w:rsidRPr="006B1A5A" w:rsidRDefault="001042DA" w:rsidP="001042DA">
      <w:pPr>
        <w:jc w:val="both"/>
        <w:rPr>
          <w:u w:val="single"/>
          <w:lang w:eastAsia="en-US"/>
        </w:rPr>
      </w:pPr>
    </w:p>
    <w:p w14:paraId="3000DBCB" w14:textId="77777777" w:rsidR="001042DA" w:rsidRPr="006B1A5A" w:rsidRDefault="001042DA" w:rsidP="001042DA">
      <w:pPr>
        <w:jc w:val="both"/>
        <w:rPr>
          <w:u w:val="single"/>
          <w:lang w:eastAsia="en-US"/>
        </w:rPr>
      </w:pPr>
      <w:r w:rsidRPr="006B1A5A">
        <w:rPr>
          <w:u w:val="single"/>
          <w:lang w:eastAsia="en-US"/>
        </w:rPr>
        <w:t>Co-formulants</w:t>
      </w:r>
    </w:p>
    <w:p w14:paraId="2BFCB8A3" w14:textId="77777777" w:rsidR="001042DA" w:rsidRPr="006B1A5A" w:rsidRDefault="001042DA" w:rsidP="001042DA">
      <w:pPr>
        <w:jc w:val="both"/>
        <w:rPr>
          <w:u w:val="single"/>
          <w:lang w:eastAsia="en-US"/>
        </w:rPr>
      </w:pPr>
    </w:p>
    <w:p w14:paraId="19442068" w14:textId="77777777" w:rsidR="001042DA" w:rsidRPr="006B1A5A" w:rsidRDefault="001042DA" w:rsidP="001042DA">
      <w:pPr>
        <w:jc w:val="both"/>
        <w:rPr>
          <w:highlight w:val="yellow"/>
          <w:lang w:eastAsia="en-US"/>
        </w:rPr>
      </w:pPr>
      <w:r w:rsidRPr="006B1A5A">
        <w:rPr>
          <w:lang w:eastAsia="en-US"/>
        </w:rPr>
        <w:t xml:space="preserve">Available effect data for the co-formulants are documented in the separate file “Environmental hazards of </w:t>
      </w:r>
      <w:r w:rsidRPr="006B1A5A">
        <w:rPr>
          <w:noProof/>
          <w:lang w:eastAsia="en-US"/>
        </w:rPr>
        <w:t>co-formulants</w:t>
      </w:r>
      <w:r w:rsidRPr="006B1A5A">
        <w:rPr>
          <w:lang w:eastAsia="en-US"/>
        </w:rPr>
        <w:t xml:space="preserve"> in 360 BPF 2017”. The available data allow </w:t>
      </w:r>
      <w:r w:rsidRPr="006B1A5A">
        <w:rPr>
          <w:noProof/>
          <w:lang w:eastAsia="en-US"/>
        </w:rPr>
        <w:t>the</w:t>
      </w:r>
      <w:r w:rsidRPr="006B1A5A">
        <w:rPr>
          <w:lang w:eastAsia="en-US"/>
        </w:rPr>
        <w:t xml:space="preserve"> first evaluation of co-formulants and a classification of the biocidal product family. </w:t>
      </w:r>
    </w:p>
    <w:p w14:paraId="659BEB6E" w14:textId="77777777" w:rsidR="001042DA" w:rsidRPr="006B1A5A" w:rsidRDefault="001042DA" w:rsidP="001042DA">
      <w:pPr>
        <w:jc w:val="both"/>
        <w:rPr>
          <w:u w:val="single"/>
          <w:lang w:eastAsia="en-US"/>
        </w:rPr>
      </w:pPr>
    </w:p>
    <w:p w14:paraId="29A3B6E6" w14:textId="77777777" w:rsidR="001042DA" w:rsidRPr="006B1A5A" w:rsidRDefault="001042DA" w:rsidP="001042DA">
      <w:pPr>
        <w:jc w:val="both"/>
        <w:rPr>
          <w:lang w:eastAsia="en-US"/>
        </w:rPr>
      </w:pPr>
      <w:r w:rsidRPr="006B1A5A">
        <w:rPr>
          <w:lang w:eastAsia="en-US"/>
        </w:rPr>
        <w:t>None of the co-formulants are regarded as substances of concern (SoC)</w:t>
      </w:r>
      <w:r w:rsidRPr="006B1A5A">
        <w:rPr>
          <w:noProof/>
          <w:lang w:eastAsia="en-US"/>
        </w:rPr>
        <w:t>,</w:t>
      </w:r>
      <w:r w:rsidRPr="006B1A5A">
        <w:rPr>
          <w:lang w:eastAsia="en-US"/>
        </w:rPr>
        <w:t xml:space="preserve"> since they do not affect the overall classification of 360 BPF products. Thus, no specific risk assessment of co-formulants has been carried out.</w:t>
      </w:r>
    </w:p>
    <w:p w14:paraId="08AC6A87" w14:textId="77777777" w:rsidR="001042DA" w:rsidRPr="006B1A5A" w:rsidRDefault="001042DA" w:rsidP="001042DA">
      <w:pPr>
        <w:jc w:val="both"/>
        <w:rPr>
          <w:u w:val="single"/>
          <w:lang w:eastAsia="en-US"/>
        </w:rPr>
      </w:pPr>
    </w:p>
    <w:p w14:paraId="597F6FC5" w14:textId="77777777" w:rsidR="001042DA" w:rsidRPr="006B1A5A" w:rsidRDefault="001042DA" w:rsidP="001042DA">
      <w:pPr>
        <w:keepNext/>
        <w:rPr>
          <w:rFonts w:eastAsia="Calibri"/>
          <w:b/>
          <w:i/>
          <w:lang w:eastAsia="en-US"/>
        </w:rPr>
      </w:pPr>
      <w:r w:rsidRPr="006B1A5A">
        <w:rPr>
          <w:rFonts w:eastAsia="Calibri"/>
          <w:b/>
          <w:i/>
          <w:lang w:eastAsia="en-US"/>
        </w:rPr>
        <w:t>Further Ecotoxicological studies</w:t>
      </w:r>
    </w:p>
    <w:p w14:paraId="08EFB149" w14:textId="77777777" w:rsidR="001042DA" w:rsidRPr="006B1A5A" w:rsidRDefault="001042DA" w:rsidP="001042DA">
      <w:pPr>
        <w:pStyle w:val="Absatz"/>
        <w:rPr>
          <w:highlight w:val="yellow"/>
        </w:rPr>
      </w:pPr>
    </w:p>
    <w:p w14:paraId="6E70F364" w14:textId="77777777" w:rsidR="001042DA" w:rsidRPr="006B1A5A" w:rsidRDefault="001042DA" w:rsidP="001042DA">
      <w:pPr>
        <w:spacing w:line="260" w:lineRule="atLeast"/>
        <w:jc w:val="both"/>
      </w:pPr>
      <w:r w:rsidRPr="006B1A5A">
        <w:t>No further ecotoxicological studies on 360</w:t>
      </w:r>
      <w:r w:rsidRPr="006B1A5A">
        <w:rPr>
          <w:vertAlign w:val="superscript"/>
        </w:rPr>
        <w:t xml:space="preserve"> </w:t>
      </w:r>
      <w:r w:rsidRPr="006B1A5A">
        <w:t xml:space="preserve">products are available. </w:t>
      </w:r>
    </w:p>
    <w:p w14:paraId="7E36342B" w14:textId="77777777" w:rsidR="001042DA" w:rsidRPr="006B1A5A" w:rsidRDefault="001042DA" w:rsidP="001042DA">
      <w:pPr>
        <w:spacing w:line="260" w:lineRule="atLeast"/>
        <w:jc w:val="both"/>
      </w:pPr>
    </w:p>
    <w:p w14:paraId="007C44BE" w14:textId="77777777" w:rsidR="001042DA" w:rsidRPr="006B1A5A" w:rsidRDefault="001042DA" w:rsidP="001042DA">
      <w:pPr>
        <w:spacing w:line="260" w:lineRule="atLeast"/>
        <w:jc w:val="both"/>
      </w:pPr>
      <w:r w:rsidRPr="006B1A5A">
        <w:t xml:space="preserve">According to Annex III, point 8.5(1), Column 3 of the BPR, as sufficient information is available for the active substance and the co-formulants (see separate report “Section 13 of the IUCLID file: “Environmental hazards of co-formulants in 360 BPF 2017.pdf”), further ecotoxicology studies on 360 products are not considered necessary. </w:t>
      </w:r>
    </w:p>
    <w:p w14:paraId="3A65EEE3" w14:textId="77777777" w:rsidR="001042DA" w:rsidRPr="006B1A5A" w:rsidRDefault="001042DA" w:rsidP="001042DA">
      <w:pPr>
        <w:pStyle w:val="Absatz"/>
        <w:rPr>
          <w:highlight w:val="yellow"/>
        </w:rPr>
      </w:pPr>
    </w:p>
    <w:p w14:paraId="738A4757" w14:textId="77777777" w:rsidR="001042DA" w:rsidRPr="00C8310A" w:rsidRDefault="001042DA" w:rsidP="001042DA">
      <w:pPr>
        <w:rPr>
          <w:rFonts w:eastAsia="Calibri"/>
          <w:b/>
          <w:i/>
          <w:szCs w:val="22"/>
          <w:lang w:eastAsia="en-US"/>
        </w:rPr>
      </w:pPr>
      <w:bookmarkStart w:id="1699" w:name="_Toc389729101"/>
      <w:bookmarkStart w:id="1700" w:name="_Toc403472786"/>
      <w:r w:rsidRPr="00C8310A">
        <w:rPr>
          <w:rFonts w:eastAsia="Calibri"/>
          <w:b/>
          <w:i/>
          <w:szCs w:val="22"/>
          <w:lang w:eastAsia="en-US"/>
        </w:rPr>
        <w:t>Effects on any other specific, non-target organisms (flora and fauna) believed to be at risk (ADS)</w:t>
      </w:r>
      <w:bookmarkEnd w:id="1699"/>
      <w:bookmarkEnd w:id="1700"/>
    </w:p>
    <w:p w14:paraId="1ADFC7D9" w14:textId="77777777" w:rsidR="001042DA" w:rsidRPr="006B1A5A" w:rsidRDefault="001042DA" w:rsidP="001042DA">
      <w:pPr>
        <w:spacing w:line="260" w:lineRule="atLeast"/>
        <w:rPr>
          <w:rFonts w:ascii="Times New Roman" w:eastAsia="Calibri" w:hAnsi="Times New Roman"/>
          <w:i/>
          <w:iCs/>
          <w:highlight w:val="yellow"/>
          <w:lang w:eastAsia="en-US"/>
        </w:rPr>
      </w:pPr>
    </w:p>
    <w:p w14:paraId="16029166" w14:textId="77777777" w:rsidR="001042DA" w:rsidRPr="006B1A5A" w:rsidRDefault="001042DA" w:rsidP="001042DA">
      <w:pPr>
        <w:jc w:val="both"/>
      </w:pPr>
      <w:bookmarkStart w:id="1701" w:name="_Hlk501445459"/>
      <w:bookmarkStart w:id="1702" w:name="_Toc389729102"/>
      <w:bookmarkStart w:id="1703" w:name="_Toc403472787"/>
      <w:r w:rsidRPr="006B1A5A">
        <w:t xml:space="preserve">There are no indications of specific environmental risk due to specific properties of the biocidal product or information on non-target organisms believed to be at risk, which would justify further testing. </w:t>
      </w:r>
    </w:p>
    <w:bookmarkEnd w:id="1701"/>
    <w:p w14:paraId="7B90A70E" w14:textId="77777777" w:rsidR="001042DA" w:rsidRPr="006B1A5A" w:rsidRDefault="001042DA" w:rsidP="001042DA">
      <w:pPr>
        <w:jc w:val="both"/>
        <w:rPr>
          <w:rFonts w:eastAsia="Calibri"/>
          <w:b/>
          <w:i/>
          <w:sz w:val="22"/>
          <w:szCs w:val="22"/>
          <w:highlight w:val="yellow"/>
          <w:lang w:eastAsia="en-US"/>
        </w:rPr>
      </w:pPr>
    </w:p>
    <w:p w14:paraId="7765BC58" w14:textId="77777777" w:rsidR="001042DA" w:rsidRPr="00C8310A" w:rsidRDefault="001042DA" w:rsidP="001042DA">
      <w:pPr>
        <w:jc w:val="both"/>
        <w:rPr>
          <w:rFonts w:eastAsia="Calibri"/>
          <w:b/>
          <w:i/>
          <w:szCs w:val="22"/>
          <w:lang w:eastAsia="en-US"/>
        </w:rPr>
      </w:pPr>
      <w:r w:rsidRPr="00C8310A">
        <w:rPr>
          <w:rFonts w:eastAsia="Calibri"/>
          <w:b/>
          <w:i/>
          <w:szCs w:val="22"/>
          <w:lang w:eastAsia="en-US"/>
        </w:rPr>
        <w:t>Supervised trials to assess risks to non-target organisms under field conditions</w:t>
      </w:r>
      <w:bookmarkEnd w:id="1702"/>
      <w:bookmarkEnd w:id="1703"/>
    </w:p>
    <w:p w14:paraId="14F76A57" w14:textId="77777777" w:rsidR="001042DA" w:rsidRPr="006B1A5A" w:rsidRDefault="001042DA" w:rsidP="001042DA">
      <w:pPr>
        <w:jc w:val="both"/>
        <w:rPr>
          <w:rFonts w:eastAsia="Calibri"/>
          <w:b/>
          <w:i/>
          <w:sz w:val="22"/>
          <w:szCs w:val="22"/>
          <w:lang w:eastAsia="en-US"/>
        </w:rPr>
      </w:pPr>
    </w:p>
    <w:p w14:paraId="72B75482" w14:textId="77777777" w:rsidR="001042DA" w:rsidRPr="006B1A5A" w:rsidRDefault="001042DA" w:rsidP="001042DA">
      <w:pPr>
        <w:spacing w:line="260" w:lineRule="atLeast"/>
        <w:jc w:val="both"/>
      </w:pPr>
      <w:r w:rsidRPr="006B1A5A">
        <w:t>No supervised field trials to assess the risks to non-target organisms have been conducted.</w:t>
      </w:r>
    </w:p>
    <w:p w14:paraId="7E31F54F" w14:textId="77777777" w:rsidR="001042DA" w:rsidRPr="006B1A5A" w:rsidRDefault="001042DA" w:rsidP="001042DA">
      <w:pPr>
        <w:spacing w:line="260" w:lineRule="atLeast"/>
        <w:rPr>
          <w:rFonts w:ascii="Times New Roman" w:eastAsia="Calibri" w:hAnsi="Times New Roman"/>
          <w:i/>
          <w:iCs/>
          <w:lang w:eastAsia="en-US"/>
        </w:rPr>
      </w:pPr>
    </w:p>
    <w:p w14:paraId="5D9CE217" w14:textId="77777777" w:rsidR="001042DA" w:rsidRPr="00C8310A" w:rsidRDefault="001042DA" w:rsidP="001042DA">
      <w:pPr>
        <w:jc w:val="both"/>
        <w:rPr>
          <w:rFonts w:eastAsia="Calibri"/>
          <w:b/>
          <w:i/>
          <w:szCs w:val="22"/>
          <w:lang w:eastAsia="en-US"/>
        </w:rPr>
      </w:pPr>
      <w:bookmarkStart w:id="1704" w:name="_Toc389729103"/>
      <w:bookmarkStart w:id="1705" w:name="_Toc403472788"/>
      <w:r w:rsidRPr="00C8310A">
        <w:rPr>
          <w:rFonts w:eastAsia="Calibri"/>
          <w:b/>
          <w:i/>
          <w:szCs w:val="22"/>
          <w:lang w:eastAsia="en-US"/>
        </w:rPr>
        <w:t>Studies on acceptance by ingestion of the biocidal product by any non-target organisms thought to be at risk</w:t>
      </w:r>
      <w:bookmarkEnd w:id="1704"/>
      <w:bookmarkEnd w:id="1705"/>
    </w:p>
    <w:p w14:paraId="669A7913" w14:textId="77777777" w:rsidR="001042DA" w:rsidRPr="006B1A5A" w:rsidRDefault="001042DA" w:rsidP="001042DA">
      <w:pPr>
        <w:jc w:val="both"/>
        <w:rPr>
          <w:rFonts w:eastAsia="Calibri"/>
          <w:b/>
          <w:i/>
          <w:highlight w:val="yellow"/>
          <w:lang w:eastAsia="en-US"/>
        </w:rPr>
      </w:pPr>
    </w:p>
    <w:p w14:paraId="4F23BD3F" w14:textId="77777777" w:rsidR="001042DA" w:rsidRPr="006B1A5A" w:rsidRDefault="001042DA" w:rsidP="001042DA">
      <w:pPr>
        <w:spacing w:line="260" w:lineRule="atLeast"/>
        <w:jc w:val="both"/>
      </w:pPr>
      <w:r w:rsidRPr="006B1A5A">
        <w:t>No studies to assess the avoidance or palatability of the biocidal products have been conducted.</w:t>
      </w:r>
    </w:p>
    <w:p w14:paraId="291FF095" w14:textId="77777777" w:rsidR="001042DA" w:rsidRPr="006B1A5A" w:rsidRDefault="001042DA" w:rsidP="001042DA">
      <w:pPr>
        <w:spacing w:line="260" w:lineRule="atLeast"/>
        <w:rPr>
          <w:rFonts w:ascii="Times New Roman" w:eastAsia="Calibri" w:hAnsi="Times New Roman"/>
          <w:i/>
          <w:iCs/>
          <w:highlight w:val="yellow"/>
          <w:lang w:eastAsia="en-US"/>
        </w:rPr>
      </w:pPr>
    </w:p>
    <w:p w14:paraId="29FF25B8" w14:textId="77777777" w:rsidR="001042DA" w:rsidRPr="00C8310A" w:rsidRDefault="001042DA" w:rsidP="001042DA">
      <w:pPr>
        <w:jc w:val="both"/>
        <w:rPr>
          <w:rFonts w:eastAsia="Calibri"/>
          <w:b/>
          <w:i/>
          <w:szCs w:val="22"/>
          <w:lang w:eastAsia="en-US"/>
        </w:rPr>
      </w:pPr>
      <w:bookmarkStart w:id="1706" w:name="_Toc389729105"/>
      <w:bookmarkStart w:id="1707" w:name="_Toc403472790"/>
      <w:r w:rsidRPr="00C8310A">
        <w:rPr>
          <w:rFonts w:eastAsia="Calibri"/>
          <w:b/>
          <w:i/>
          <w:szCs w:val="22"/>
          <w:lang w:eastAsia="en-US"/>
        </w:rPr>
        <w:t>Foreseeable routes of entry into the environment on the basis of the use envisaged</w:t>
      </w:r>
      <w:bookmarkEnd w:id="1706"/>
      <w:bookmarkEnd w:id="1707"/>
    </w:p>
    <w:p w14:paraId="3C56CA0D" w14:textId="77777777" w:rsidR="001042DA" w:rsidRPr="006B1A5A" w:rsidRDefault="001042DA" w:rsidP="001042DA">
      <w:pPr>
        <w:spacing w:line="260" w:lineRule="atLeast"/>
        <w:rPr>
          <w:rFonts w:ascii="Times New Roman" w:eastAsia="Calibri" w:hAnsi="Times New Roman"/>
          <w:i/>
          <w:iCs/>
          <w:highlight w:val="yellow"/>
          <w:lang w:eastAsia="en-US"/>
        </w:rPr>
      </w:pPr>
    </w:p>
    <w:p w14:paraId="68923621" w14:textId="77777777" w:rsidR="001042DA" w:rsidRPr="006B1A5A" w:rsidRDefault="001042DA" w:rsidP="001042DA">
      <w:pPr>
        <w:jc w:val="both"/>
        <w:rPr>
          <w:highlight w:val="yellow"/>
        </w:rPr>
      </w:pPr>
      <w:bookmarkStart w:id="1708" w:name="_Hlk501445489"/>
      <w:r w:rsidRPr="006B1A5A">
        <w:t xml:space="preserve">Biocides from antifouling paints applied on aquaculture nets enter the marine environment because of direct leaching from the paint while a treated </w:t>
      </w:r>
      <w:r w:rsidRPr="006B1A5A">
        <w:rPr>
          <w:noProof/>
        </w:rPr>
        <w:t>net</w:t>
      </w:r>
      <w:r w:rsidRPr="006B1A5A">
        <w:t xml:space="preserve"> is in service </w:t>
      </w:r>
      <w:r w:rsidRPr="006B1A5A">
        <w:rPr>
          <w:noProof/>
        </w:rPr>
        <w:t>on</w:t>
      </w:r>
      <w:r w:rsidRPr="006B1A5A">
        <w:t xml:space="preserve"> a fish farm. The Emission Scenario Document presents a default scenario for the calculation of environmental exposure from antifouling active substances from nets used in farms using the MAMPEC model.</w:t>
      </w:r>
    </w:p>
    <w:bookmarkEnd w:id="1708"/>
    <w:p w14:paraId="4C336EEC" w14:textId="77777777" w:rsidR="001042DA" w:rsidRPr="006B1A5A" w:rsidRDefault="001042DA" w:rsidP="001042DA">
      <w:pPr>
        <w:jc w:val="both"/>
        <w:rPr>
          <w:sz w:val="22"/>
          <w:szCs w:val="22"/>
          <w:highlight w:val="yellow"/>
        </w:rPr>
      </w:pPr>
    </w:p>
    <w:p w14:paraId="6C3332E4" w14:textId="77777777" w:rsidR="001042DA" w:rsidRPr="00C8310A" w:rsidRDefault="001042DA" w:rsidP="001042DA">
      <w:pPr>
        <w:rPr>
          <w:rFonts w:eastAsia="Calibri"/>
          <w:b/>
          <w:i/>
          <w:szCs w:val="22"/>
          <w:lang w:eastAsia="en-US"/>
        </w:rPr>
      </w:pPr>
      <w:bookmarkStart w:id="1709" w:name="_Toc389729106"/>
      <w:bookmarkStart w:id="1710" w:name="_Toc403472791"/>
      <w:r w:rsidRPr="00C8310A">
        <w:rPr>
          <w:rFonts w:eastAsia="Calibri"/>
          <w:b/>
          <w:i/>
          <w:szCs w:val="22"/>
          <w:lang w:eastAsia="en-US"/>
        </w:rPr>
        <w:t>Further studies on fate and behaviour in the environment (ADS)</w:t>
      </w:r>
      <w:bookmarkEnd w:id="1709"/>
      <w:bookmarkEnd w:id="1710"/>
    </w:p>
    <w:p w14:paraId="033448E5" w14:textId="77777777" w:rsidR="001042DA" w:rsidRPr="006B1A5A" w:rsidRDefault="001042DA" w:rsidP="001042DA">
      <w:pPr>
        <w:rPr>
          <w:sz w:val="22"/>
          <w:szCs w:val="22"/>
          <w:highlight w:val="yellow"/>
        </w:rPr>
      </w:pPr>
    </w:p>
    <w:p w14:paraId="07DD3A9C" w14:textId="77777777" w:rsidR="001042DA" w:rsidRPr="006B1A5A" w:rsidRDefault="001042DA" w:rsidP="001042DA">
      <w:pPr>
        <w:jc w:val="both"/>
        <w:rPr>
          <w:u w:val="single"/>
        </w:rPr>
      </w:pPr>
      <w:bookmarkStart w:id="1711" w:name="_Toc427504460"/>
      <w:bookmarkStart w:id="1712" w:name="_Hlk5359288"/>
      <w:r w:rsidRPr="006B1A5A">
        <w:rPr>
          <w:u w:val="single"/>
        </w:rPr>
        <w:t xml:space="preserve">Fate and </w:t>
      </w:r>
      <w:r w:rsidRPr="006B1A5A">
        <w:rPr>
          <w:noProof/>
          <w:u w:val="single"/>
        </w:rPr>
        <w:t>behaviour</w:t>
      </w:r>
      <w:r w:rsidRPr="006B1A5A">
        <w:rPr>
          <w:u w:val="single"/>
        </w:rPr>
        <w:t xml:space="preserve"> of dicopper oxide</w:t>
      </w:r>
    </w:p>
    <w:p w14:paraId="4D1E15BD" w14:textId="77777777" w:rsidR="001042DA" w:rsidRPr="006B1A5A" w:rsidRDefault="001042DA" w:rsidP="001042DA">
      <w:pPr>
        <w:jc w:val="both"/>
        <w:rPr>
          <w:u w:val="single"/>
        </w:rPr>
      </w:pPr>
    </w:p>
    <w:p w14:paraId="1634E4CC" w14:textId="77777777" w:rsidR="001042DA" w:rsidRPr="006B1A5A" w:rsidRDefault="001042DA" w:rsidP="001042DA">
      <w:pPr>
        <w:jc w:val="both"/>
        <w:rPr>
          <w:rFonts w:cs="Arial"/>
          <w:szCs w:val="22"/>
        </w:rPr>
      </w:pPr>
      <w:r w:rsidRPr="006B1A5A">
        <w:t xml:space="preserve">The CAR for the active substance dicopper oxide (PT21, 2016) states that, because of the unique fate of copper in water, soil, sediment, </w:t>
      </w:r>
      <w:r w:rsidRPr="006B1A5A">
        <w:rPr>
          <w:noProof/>
        </w:rPr>
        <w:t>and</w:t>
      </w:r>
      <w:r w:rsidRPr="006B1A5A">
        <w:t xml:space="preserve"> sludge, many of the data requirements listed in Section A7 of the Technical notes for Guidance are not applicable for inorganic compounds and metals; in particular e.g. hydrolysis, photodegradation and biodegradation. It is not applicable to discuss copper in terms of degradation half-lives or possible routes of degradation. Subsequently, dicopper oxide, which is an inorganic salt, cannot be transformed into related degradation products other than copper ions (Cu</w:t>
      </w:r>
      <w:r w:rsidRPr="006B1A5A">
        <w:rPr>
          <w:vertAlign w:val="superscript"/>
        </w:rPr>
        <w:t>2+</w:t>
      </w:r>
      <w:r w:rsidRPr="006B1A5A">
        <w:t xml:space="preserve">) and water in solution. As with all metals, copper becomes complexed to organic and inorganic matter in waters, soil, </w:t>
      </w:r>
      <w:r w:rsidRPr="006B1A5A">
        <w:rPr>
          <w:noProof/>
        </w:rPr>
        <w:t>and</w:t>
      </w:r>
      <w:r w:rsidRPr="006B1A5A">
        <w:t xml:space="preserve"> sediments and this affects copper speciation, bioavailability and thus toxicity, which mainly depends </w:t>
      </w:r>
      <w:r w:rsidRPr="006B1A5A">
        <w:rPr>
          <w:noProof/>
        </w:rPr>
        <w:t>on</w:t>
      </w:r>
      <w:r w:rsidRPr="006B1A5A">
        <w:t xml:space="preserve"> the abundance of the copper ion. An important parameter determining the distribution of copper in the aquatic and soil environment is the adsorption onto solid materials and therefore partitioning coefficients. </w:t>
      </w:r>
      <w:bookmarkStart w:id="1713" w:name="_Hlk4759404"/>
      <w:r w:rsidRPr="006B1A5A">
        <w:rPr>
          <w:rFonts w:cs="Arial"/>
          <w:szCs w:val="22"/>
        </w:rPr>
        <w:t>The concepts of octanol-water partitioning coefficient (Kow) and organic carbon partitioning coefficient (Koc) are not applicable to metals. Instead, the distribution of metals between the aqueous phase and soil/sediment/suspended matter could be described in terms of measured soil/water, sediment/water and suspended matter/water equilibrium distribution coefficients.</w:t>
      </w:r>
      <w:bookmarkEnd w:id="1713"/>
    </w:p>
    <w:p w14:paraId="063A14F2" w14:textId="77777777" w:rsidR="001042DA" w:rsidRPr="006B1A5A" w:rsidRDefault="001042DA" w:rsidP="001042DA">
      <w:pPr>
        <w:jc w:val="both"/>
        <w:rPr>
          <w:b/>
          <w:sz w:val="22"/>
          <w:szCs w:val="22"/>
          <w:highlight w:val="yellow"/>
        </w:rPr>
      </w:pPr>
    </w:p>
    <w:bookmarkEnd w:id="1711"/>
    <w:p w14:paraId="7D42292E" w14:textId="77777777" w:rsidR="001042DA" w:rsidRPr="006B1A5A" w:rsidRDefault="001042DA" w:rsidP="001042DA">
      <w:pPr>
        <w:rPr>
          <w:u w:val="single"/>
        </w:rPr>
      </w:pPr>
      <w:r w:rsidRPr="006B1A5A">
        <w:rPr>
          <w:u w:val="single"/>
        </w:rPr>
        <w:t xml:space="preserve">Fate and </w:t>
      </w:r>
      <w:r w:rsidRPr="006B1A5A">
        <w:rPr>
          <w:noProof/>
          <w:u w:val="single"/>
        </w:rPr>
        <w:t>behaviour</w:t>
      </w:r>
      <w:r w:rsidRPr="006B1A5A">
        <w:rPr>
          <w:u w:val="single"/>
        </w:rPr>
        <w:t xml:space="preserve"> of copper </w:t>
      </w:r>
      <w:bookmarkEnd w:id="1712"/>
      <w:r w:rsidRPr="006B1A5A">
        <w:rPr>
          <w:u w:val="single"/>
        </w:rPr>
        <w:t>thiocyanate</w:t>
      </w:r>
    </w:p>
    <w:p w14:paraId="6E32BC6C" w14:textId="77777777" w:rsidR="001042DA" w:rsidRPr="006B1A5A" w:rsidRDefault="001042DA" w:rsidP="001042DA">
      <w:pPr>
        <w:rPr>
          <w:sz w:val="22"/>
          <w:szCs w:val="22"/>
        </w:rPr>
      </w:pPr>
    </w:p>
    <w:p w14:paraId="2B737F09" w14:textId="77777777" w:rsidR="001042DA" w:rsidRPr="006B1A5A" w:rsidRDefault="001042DA" w:rsidP="001042DA">
      <w:pPr>
        <w:jc w:val="both"/>
      </w:pPr>
      <w:r w:rsidRPr="006B1A5A">
        <w:t>The CAR for the active substance copper thiocyanate (PT21, 2016) states that copper compounds such as copper thiocyanate are often used as a biocide in antifouling paints. They are crystalline solids that have only marginal solubility in water and organic solvents. As strong electrolytes, they dissolve in aqueous media as dissociated ions, and not as ‘molecular’ copper thiocyanate. In pure water, copper thiocyanate dissolves by simple dissociation of the ionic crystal lattice to release Cu</w:t>
      </w:r>
      <w:r w:rsidRPr="0006373E">
        <w:rPr>
          <w:vertAlign w:val="superscript"/>
        </w:rPr>
        <w:t>+</w:t>
      </w:r>
      <w:r w:rsidRPr="006B1A5A">
        <w:t xml:space="preserve"> and SCN</w:t>
      </w:r>
      <w:r w:rsidRPr="0006373E">
        <w:rPr>
          <w:vertAlign w:val="superscript"/>
        </w:rPr>
        <w:t>-</w:t>
      </w:r>
      <w:r w:rsidRPr="006B1A5A">
        <w:t xml:space="preserve"> ions. In natural saltwater that contain chloride ions, such as seawater and brackish waters, the products of dissolution are the cuprochloride ion, CuCl2</w:t>
      </w:r>
      <w:r w:rsidRPr="0006373E">
        <w:rPr>
          <w:vertAlign w:val="superscript"/>
        </w:rPr>
        <w:t>-</w:t>
      </w:r>
      <w:r w:rsidRPr="006B1A5A">
        <w:t>, and SCN</w:t>
      </w:r>
      <w:r w:rsidRPr="0006373E">
        <w:rPr>
          <w:vertAlign w:val="superscript"/>
        </w:rPr>
        <w:t>-</w:t>
      </w:r>
      <w:r w:rsidRPr="006B1A5A">
        <w:t>. Once released from an antifouling paint film, these copper species can undergo oxidation and participate in equilibrium processes with a range of inorganic and organic ligand donors in solution.</w:t>
      </w:r>
    </w:p>
    <w:p w14:paraId="08DD433B" w14:textId="77777777" w:rsidR="001042DA" w:rsidRPr="006B1A5A" w:rsidRDefault="001042DA" w:rsidP="001042DA">
      <w:pPr>
        <w:jc w:val="both"/>
      </w:pPr>
      <w:r w:rsidRPr="006B1A5A">
        <w:t>These processes are independent of the nature of the parent copper-containing material. Therefore, when particles of paint containing CuSCN enter aqueous media such as fresh and marine waters: CuSCN mainly dissociates into the ions, Cu</w:t>
      </w:r>
      <w:r w:rsidRPr="006B1A5A">
        <w:rPr>
          <w:vertAlign w:val="superscript"/>
        </w:rPr>
        <w:t>2+</w:t>
      </w:r>
      <w:r w:rsidRPr="006B1A5A">
        <w:t xml:space="preserve"> and SCN</w:t>
      </w:r>
      <w:r w:rsidRPr="006B1A5A">
        <w:rPr>
          <w:vertAlign w:val="superscript"/>
        </w:rPr>
        <w:t>-</w:t>
      </w:r>
      <w:r w:rsidRPr="006B1A5A">
        <w:t xml:space="preserve"> and to a lesser extent as copper thiocyanate is sparingly soluble, some undissociated CuSCN may also be present but this phenomenon is likely to be limited. The sediment compartment is mainly exposed to the ions Cu</w:t>
      </w:r>
      <w:r w:rsidRPr="006B1A5A">
        <w:rPr>
          <w:vertAlign w:val="superscript"/>
        </w:rPr>
        <w:t>2+</w:t>
      </w:r>
      <w:r w:rsidRPr="006B1A5A">
        <w:t xml:space="preserve"> and SCN</w:t>
      </w:r>
      <w:r w:rsidRPr="006B1A5A">
        <w:rPr>
          <w:vertAlign w:val="superscript"/>
        </w:rPr>
        <w:t>-</w:t>
      </w:r>
      <w:r w:rsidRPr="006B1A5A">
        <w:t xml:space="preserve"> after dissociation of CuSCN in the aqueous media/water phase.</w:t>
      </w:r>
    </w:p>
    <w:p w14:paraId="2B68E26F" w14:textId="77777777" w:rsidR="001042DA" w:rsidRPr="006B1A5A" w:rsidRDefault="001042DA" w:rsidP="001042DA">
      <w:pPr>
        <w:jc w:val="both"/>
      </w:pPr>
      <w:r w:rsidRPr="006B1A5A">
        <w:t>When particles of CuSCN enter solid media such as the soil, CuSCN mainly remain undissociated in the solid phase of the soil. In aqueous terrestrial media pore water and groundwater, CuSCN mainly dissociates into the ions Cu</w:t>
      </w:r>
      <w:r w:rsidRPr="006B1A5A">
        <w:rPr>
          <w:vertAlign w:val="superscript"/>
        </w:rPr>
        <w:t>2+</w:t>
      </w:r>
      <w:r w:rsidRPr="006B1A5A">
        <w:t xml:space="preserve"> and SCN</w:t>
      </w:r>
      <w:r w:rsidRPr="006B1A5A">
        <w:rPr>
          <w:vertAlign w:val="superscript"/>
        </w:rPr>
        <w:t>-</w:t>
      </w:r>
      <w:r w:rsidRPr="006B1A5A">
        <w:t xml:space="preserve"> and some undissociated CuSCN may also be present due to its low solubility but this phenomenon is likely to be limited.</w:t>
      </w:r>
    </w:p>
    <w:p w14:paraId="71C39869" w14:textId="77777777" w:rsidR="001042DA" w:rsidRPr="006B1A5A" w:rsidRDefault="001042DA" w:rsidP="001042DA">
      <w:pPr>
        <w:jc w:val="both"/>
        <w:rPr>
          <w:sz w:val="22"/>
          <w:szCs w:val="22"/>
          <w:highlight w:val="yellow"/>
        </w:rPr>
      </w:pPr>
      <w:r w:rsidRPr="006B1A5A">
        <w:t>Subsequently, the 3 compounds: Cu</w:t>
      </w:r>
      <w:r w:rsidRPr="006B1A5A">
        <w:rPr>
          <w:vertAlign w:val="superscript"/>
        </w:rPr>
        <w:t>2+</w:t>
      </w:r>
      <w:r w:rsidRPr="006B1A5A">
        <w:t>, SCN</w:t>
      </w:r>
      <w:r w:rsidRPr="006B1A5A">
        <w:rPr>
          <w:vertAlign w:val="superscript"/>
        </w:rPr>
        <w:t>-</w:t>
      </w:r>
      <w:r w:rsidRPr="006B1A5A">
        <w:t xml:space="preserve"> and CuSCN - but only to a lesser extent and mainly in the terrestrial environment - can be found in the environment from the use of copper thiocyanate (CuSCN) in antifouling paints and have to be taken into account for risk assessment.</w:t>
      </w:r>
    </w:p>
    <w:p w14:paraId="77BAD70C" w14:textId="77777777" w:rsidR="001042DA" w:rsidRPr="006B1A5A" w:rsidRDefault="001042DA" w:rsidP="001042DA">
      <w:pPr>
        <w:rPr>
          <w:sz w:val="22"/>
          <w:szCs w:val="22"/>
          <w:highlight w:val="yellow"/>
        </w:rPr>
      </w:pPr>
    </w:p>
    <w:p w14:paraId="55D8DE92" w14:textId="77777777" w:rsidR="001042DA" w:rsidRPr="006B1A5A" w:rsidRDefault="001042DA" w:rsidP="001042DA">
      <w:pPr>
        <w:jc w:val="both"/>
        <w:rPr>
          <w:u w:val="single"/>
        </w:rPr>
      </w:pPr>
      <w:bookmarkStart w:id="1714" w:name="_Toc427504461"/>
      <w:r w:rsidRPr="006B1A5A">
        <w:rPr>
          <w:u w:val="single"/>
        </w:rPr>
        <w:t xml:space="preserve">Fate and </w:t>
      </w:r>
      <w:r w:rsidRPr="006B1A5A">
        <w:rPr>
          <w:noProof/>
          <w:u w:val="single"/>
        </w:rPr>
        <w:t>behaviour</w:t>
      </w:r>
      <w:r w:rsidRPr="006B1A5A">
        <w:rPr>
          <w:u w:val="single"/>
        </w:rPr>
        <w:t xml:space="preserve"> of co-formulants</w:t>
      </w:r>
      <w:bookmarkEnd w:id="1714"/>
    </w:p>
    <w:p w14:paraId="7BDF6093" w14:textId="77777777" w:rsidR="001042DA" w:rsidRPr="006B1A5A" w:rsidRDefault="001042DA" w:rsidP="001042DA">
      <w:pPr>
        <w:jc w:val="both"/>
        <w:rPr>
          <w:u w:val="single"/>
        </w:rPr>
      </w:pPr>
    </w:p>
    <w:p w14:paraId="4388E9ED" w14:textId="77777777" w:rsidR="001042DA" w:rsidRPr="006B1A5A" w:rsidRDefault="001042DA" w:rsidP="001042DA">
      <w:pPr>
        <w:spacing w:line="260" w:lineRule="atLeast"/>
        <w:jc w:val="both"/>
        <w:rPr>
          <w:rFonts w:eastAsia="Calibri"/>
          <w:i/>
          <w:iCs/>
          <w:lang w:eastAsia="en-US"/>
        </w:rPr>
      </w:pPr>
      <w:r w:rsidRPr="006B1A5A">
        <w:t xml:space="preserve">Biodegradability data of the co-formulants are documented in the environmental background documentation for co-formulants attached to section 13 of the IUCLID file. </w:t>
      </w:r>
    </w:p>
    <w:p w14:paraId="7683131E" w14:textId="77777777" w:rsidR="001042DA" w:rsidRPr="006B1A5A" w:rsidRDefault="001042DA" w:rsidP="001042DA">
      <w:pPr>
        <w:rPr>
          <w:sz w:val="22"/>
          <w:szCs w:val="22"/>
          <w:highlight w:val="yellow"/>
        </w:rPr>
      </w:pPr>
    </w:p>
    <w:p w14:paraId="61BAD01E" w14:textId="77777777" w:rsidR="001042DA" w:rsidRPr="006B1A5A" w:rsidRDefault="001042DA" w:rsidP="001042DA">
      <w:pPr>
        <w:rPr>
          <w:rFonts w:ascii="Times New Roman" w:eastAsia="Calibri" w:hAnsi="Times New Roman"/>
          <w:i/>
          <w:highlight w:val="yellow"/>
          <w:lang w:eastAsia="en-US"/>
        </w:rPr>
      </w:pPr>
      <w:bookmarkStart w:id="1715" w:name="_Toc388285334"/>
      <w:bookmarkStart w:id="1716" w:name="_Toc388374383"/>
      <w:bookmarkStart w:id="1717" w:name="_Toc388285335"/>
      <w:bookmarkStart w:id="1718" w:name="_Toc388374384"/>
      <w:bookmarkEnd w:id="1715"/>
      <w:bookmarkEnd w:id="1716"/>
      <w:bookmarkEnd w:id="1717"/>
      <w:bookmarkEnd w:id="1718"/>
    </w:p>
    <w:p w14:paraId="56CF0176" w14:textId="77777777" w:rsidR="001042DA" w:rsidRPr="00C8310A" w:rsidRDefault="001042DA" w:rsidP="001042DA">
      <w:pPr>
        <w:rPr>
          <w:rFonts w:eastAsia="Calibri"/>
          <w:b/>
          <w:i/>
          <w:lang w:eastAsia="en-US"/>
        </w:rPr>
      </w:pPr>
      <w:bookmarkStart w:id="1719" w:name="_Toc389729108"/>
      <w:bookmarkStart w:id="1720" w:name="_Toc403472793"/>
      <w:r w:rsidRPr="00C8310A">
        <w:rPr>
          <w:rFonts w:eastAsia="Calibri"/>
          <w:b/>
          <w:i/>
          <w:lang w:eastAsia="en-US"/>
        </w:rPr>
        <w:t>Testing for distribution and dissipation in soil (ADS)</w:t>
      </w:r>
      <w:bookmarkEnd w:id="1719"/>
      <w:bookmarkEnd w:id="1720"/>
    </w:p>
    <w:p w14:paraId="5E7801A7" w14:textId="77777777" w:rsidR="001042DA" w:rsidRPr="006B1A5A" w:rsidRDefault="001042DA" w:rsidP="001042DA"/>
    <w:p w14:paraId="3CE45230" w14:textId="77777777" w:rsidR="001042DA" w:rsidRPr="00C8310A" w:rsidRDefault="001042DA" w:rsidP="001042DA">
      <w:pPr>
        <w:spacing w:line="260" w:lineRule="atLeast"/>
      </w:pPr>
      <w:r w:rsidRPr="00C8310A">
        <w:t xml:space="preserve">No data available. </w:t>
      </w:r>
    </w:p>
    <w:p w14:paraId="1E31D235" w14:textId="77777777" w:rsidR="001042DA" w:rsidRPr="00C8310A" w:rsidRDefault="001042DA" w:rsidP="001042DA">
      <w:pPr>
        <w:rPr>
          <w:rFonts w:eastAsia="Calibri"/>
          <w:b/>
          <w:i/>
          <w:highlight w:val="yellow"/>
          <w:lang w:eastAsia="en-US"/>
        </w:rPr>
      </w:pPr>
      <w:bookmarkStart w:id="1721" w:name="_Toc389729109"/>
      <w:bookmarkStart w:id="1722" w:name="_Toc403472794"/>
    </w:p>
    <w:p w14:paraId="7859FBC4" w14:textId="77777777" w:rsidR="001042DA" w:rsidRPr="00C8310A" w:rsidRDefault="001042DA" w:rsidP="001042DA">
      <w:pPr>
        <w:rPr>
          <w:rFonts w:eastAsia="Calibri"/>
          <w:b/>
          <w:i/>
          <w:lang w:eastAsia="en-US"/>
        </w:rPr>
      </w:pPr>
      <w:r w:rsidRPr="00C8310A">
        <w:rPr>
          <w:rFonts w:eastAsia="Calibri"/>
          <w:b/>
          <w:i/>
          <w:lang w:eastAsia="en-US"/>
        </w:rPr>
        <w:t>Testing for distribution and dissipation in water and sediment (ADS)</w:t>
      </w:r>
      <w:bookmarkEnd w:id="1721"/>
      <w:bookmarkEnd w:id="1722"/>
    </w:p>
    <w:p w14:paraId="2F1C771B" w14:textId="77777777" w:rsidR="001042DA" w:rsidRPr="006B1A5A" w:rsidRDefault="001042DA" w:rsidP="001042DA">
      <w:pPr>
        <w:spacing w:line="260" w:lineRule="atLeast"/>
        <w:ind w:left="360"/>
        <w:contextualSpacing/>
        <w:rPr>
          <w:rFonts w:eastAsia="Calibri"/>
          <w:lang w:eastAsia="en-US"/>
        </w:rPr>
      </w:pPr>
    </w:p>
    <w:p w14:paraId="721205AC" w14:textId="77777777" w:rsidR="001042DA" w:rsidRPr="00C8310A" w:rsidRDefault="001042DA" w:rsidP="001042DA">
      <w:pPr>
        <w:spacing w:line="260" w:lineRule="atLeast"/>
      </w:pPr>
      <w:r w:rsidRPr="00C8310A">
        <w:t xml:space="preserve">No data available. </w:t>
      </w:r>
    </w:p>
    <w:p w14:paraId="38708089" w14:textId="77777777" w:rsidR="001042DA" w:rsidRPr="00C8310A" w:rsidRDefault="001042DA" w:rsidP="001042DA">
      <w:pPr>
        <w:rPr>
          <w:rFonts w:eastAsia="Calibri"/>
          <w:b/>
          <w:i/>
          <w:highlight w:val="yellow"/>
          <w:lang w:eastAsia="en-US"/>
        </w:rPr>
      </w:pPr>
      <w:bookmarkStart w:id="1723" w:name="_Toc389729110"/>
      <w:bookmarkStart w:id="1724" w:name="_Toc403472795"/>
    </w:p>
    <w:p w14:paraId="4EFFD4B8" w14:textId="77777777" w:rsidR="001042DA" w:rsidRPr="00C8310A" w:rsidRDefault="001042DA" w:rsidP="001042DA">
      <w:pPr>
        <w:rPr>
          <w:rFonts w:eastAsia="Calibri"/>
          <w:b/>
          <w:i/>
          <w:lang w:eastAsia="en-US"/>
        </w:rPr>
      </w:pPr>
      <w:r w:rsidRPr="00C8310A">
        <w:rPr>
          <w:rFonts w:eastAsia="Calibri"/>
          <w:b/>
          <w:i/>
          <w:lang w:eastAsia="en-US"/>
        </w:rPr>
        <w:t>Testing for distribution and dissipation in air (ADS)</w:t>
      </w:r>
      <w:bookmarkEnd w:id="1723"/>
      <w:bookmarkEnd w:id="1724"/>
    </w:p>
    <w:p w14:paraId="47908596" w14:textId="77777777" w:rsidR="001042DA" w:rsidRPr="006B1A5A" w:rsidRDefault="001042DA" w:rsidP="001042DA">
      <w:pPr>
        <w:rPr>
          <w:rFonts w:eastAsia="Calibri"/>
          <w:b/>
          <w:i/>
          <w:sz w:val="22"/>
          <w:szCs w:val="22"/>
          <w:highlight w:val="yellow"/>
          <w:lang w:eastAsia="en-US"/>
        </w:rPr>
      </w:pPr>
    </w:p>
    <w:p w14:paraId="0E61B72B" w14:textId="77777777" w:rsidR="001042DA" w:rsidRPr="006B1A5A" w:rsidRDefault="001042DA" w:rsidP="001042DA">
      <w:pPr>
        <w:spacing w:line="260" w:lineRule="atLeast"/>
        <w:rPr>
          <w:szCs w:val="22"/>
        </w:rPr>
      </w:pPr>
      <w:r w:rsidRPr="006B1A5A">
        <w:rPr>
          <w:szCs w:val="22"/>
        </w:rPr>
        <w:t xml:space="preserve">No data available. </w:t>
      </w:r>
      <w:r w:rsidRPr="006B1A5A">
        <w:t>Copper is an inorganic compound and as such has negligible volatility. Hence, the amount emitted to air is expected to be very low and no risk assessment is carried out for the atmosphere compartment.</w:t>
      </w:r>
    </w:p>
    <w:p w14:paraId="55BCA0C5" w14:textId="77777777" w:rsidR="001042DA" w:rsidRPr="006B1A5A" w:rsidRDefault="001042DA" w:rsidP="001042DA">
      <w:pPr>
        <w:spacing w:line="276" w:lineRule="auto"/>
        <w:jc w:val="both"/>
      </w:pPr>
    </w:p>
    <w:p w14:paraId="40708F97" w14:textId="77777777" w:rsidR="001042DA" w:rsidRPr="006B1A5A" w:rsidRDefault="001042DA" w:rsidP="001042DA">
      <w:pPr>
        <w:spacing w:line="276" w:lineRule="auto"/>
        <w:jc w:val="both"/>
        <w:rPr>
          <w:rFonts w:eastAsia="Calibri"/>
          <w:b/>
          <w:lang w:eastAsia="en-US"/>
        </w:rPr>
      </w:pPr>
      <w:r w:rsidRPr="006B1A5A">
        <w:rPr>
          <w:rFonts w:eastAsia="Calibri"/>
          <w:b/>
          <w:lang w:eastAsia="en-US"/>
        </w:rPr>
        <w:t>Aquatic bioconcentration</w:t>
      </w:r>
    </w:p>
    <w:p w14:paraId="39416E85" w14:textId="77777777" w:rsidR="001042DA" w:rsidRPr="006B1A5A" w:rsidRDefault="001042DA" w:rsidP="001042DA">
      <w:pPr>
        <w:tabs>
          <w:tab w:val="left" w:pos="5590"/>
        </w:tabs>
        <w:spacing w:line="276" w:lineRule="auto"/>
        <w:jc w:val="both"/>
        <w:rPr>
          <w:rFonts w:eastAsia="Calibri"/>
          <w:u w:val="single"/>
          <w:lang w:eastAsia="en-US"/>
        </w:rPr>
      </w:pPr>
    </w:p>
    <w:p w14:paraId="1E39B5EA" w14:textId="77777777" w:rsidR="001042DA" w:rsidRPr="006B1A5A" w:rsidRDefault="001042DA" w:rsidP="001042DA">
      <w:pPr>
        <w:tabs>
          <w:tab w:val="left" w:pos="5590"/>
        </w:tabs>
        <w:spacing w:line="276" w:lineRule="auto"/>
        <w:jc w:val="both"/>
        <w:rPr>
          <w:rFonts w:eastAsia="Calibri"/>
          <w:u w:val="single"/>
          <w:lang w:eastAsia="en-US"/>
        </w:rPr>
      </w:pPr>
      <w:r w:rsidRPr="006B1A5A">
        <w:rPr>
          <w:rFonts w:eastAsia="Calibri"/>
          <w:u w:val="single"/>
          <w:lang w:eastAsia="en-US"/>
        </w:rPr>
        <w:t>Dicopper oxide</w:t>
      </w:r>
    </w:p>
    <w:p w14:paraId="2704A46E" w14:textId="77777777" w:rsidR="001042DA" w:rsidRPr="006B1A5A" w:rsidRDefault="001042DA" w:rsidP="001042DA">
      <w:pPr>
        <w:jc w:val="both"/>
        <w:rPr>
          <w:rFonts w:eastAsia="Calibri"/>
          <w:u w:val="single"/>
          <w:lang w:eastAsia="en-US"/>
        </w:rPr>
      </w:pPr>
    </w:p>
    <w:p w14:paraId="7824E24E" w14:textId="77777777" w:rsidR="001042DA" w:rsidRPr="006B1A5A" w:rsidRDefault="001042DA" w:rsidP="001042DA">
      <w:pPr>
        <w:jc w:val="both"/>
      </w:pPr>
      <w:r w:rsidRPr="006B1A5A">
        <w:t>The CAR of the active substance dicopper oxide (PT21, 2016) states that because of the homeostasis of metals, BCF values are not indicative of the potential bioaccumulation. There is therefore limited evidence of accumulation and secondary poisoning of inorganic forms of metals, and biomagnification in food webs.</w:t>
      </w:r>
    </w:p>
    <w:p w14:paraId="3A0ABC14" w14:textId="77777777" w:rsidR="001042DA" w:rsidRPr="006B1A5A" w:rsidRDefault="001042DA" w:rsidP="001042DA">
      <w:pPr>
        <w:spacing w:line="276" w:lineRule="auto"/>
        <w:rPr>
          <w:rFonts w:eastAsia="Calibri"/>
          <w:lang w:eastAsia="en-US"/>
        </w:rPr>
      </w:pPr>
    </w:p>
    <w:p w14:paraId="48DE1AEA" w14:textId="77777777" w:rsidR="001042DA" w:rsidRPr="006B1A5A" w:rsidRDefault="001042DA" w:rsidP="001042DA">
      <w:pPr>
        <w:spacing w:line="276" w:lineRule="auto"/>
        <w:rPr>
          <w:rFonts w:eastAsia="Calibri"/>
          <w:u w:val="single"/>
          <w:lang w:eastAsia="en-US"/>
        </w:rPr>
      </w:pPr>
      <w:r w:rsidRPr="006B1A5A">
        <w:rPr>
          <w:rFonts w:eastAsia="Calibri"/>
          <w:u w:val="single"/>
          <w:lang w:eastAsia="en-US"/>
        </w:rPr>
        <w:t>Copper thiocyanate</w:t>
      </w:r>
    </w:p>
    <w:p w14:paraId="0BBB6013" w14:textId="77777777" w:rsidR="001042DA" w:rsidRPr="006B1A5A" w:rsidRDefault="001042DA" w:rsidP="001042DA">
      <w:pPr>
        <w:spacing w:line="276" w:lineRule="auto"/>
        <w:rPr>
          <w:rFonts w:eastAsia="Calibri"/>
          <w:u w:val="single"/>
          <w:lang w:eastAsia="en-US"/>
        </w:rPr>
      </w:pPr>
    </w:p>
    <w:p w14:paraId="2E615CF2" w14:textId="77777777" w:rsidR="001042DA" w:rsidRPr="006B1A5A" w:rsidRDefault="001042DA" w:rsidP="001042DA">
      <w:pPr>
        <w:autoSpaceDE w:val="0"/>
        <w:autoSpaceDN w:val="0"/>
        <w:adjustRightInd w:val="0"/>
        <w:jc w:val="both"/>
        <w:rPr>
          <w:rFonts w:cs="Verdana"/>
          <w:lang w:eastAsia="en-US"/>
        </w:rPr>
      </w:pPr>
      <w:r w:rsidRPr="006B1A5A">
        <w:t>The CAR of the active substance copper thiocyanate (PT21, 2016) states that</w:t>
      </w:r>
      <w:r w:rsidRPr="006B1A5A">
        <w:rPr>
          <w:rFonts w:cs="Verdana"/>
          <w:lang w:eastAsia="en-US"/>
        </w:rPr>
        <w:t xml:space="preserve"> predicted Koc value estimated with EPIWIN software gave an</w:t>
      </w:r>
      <w:r w:rsidRPr="006B1A5A">
        <w:rPr>
          <w:rFonts w:ascii="TimesNewRoman" w:hAnsi="TimesNewRoman" w:cs="TimesNewRoman"/>
          <w:lang w:eastAsia="en-US"/>
        </w:rPr>
        <w:t xml:space="preserve"> </w:t>
      </w:r>
      <w:r w:rsidRPr="006B1A5A">
        <w:rPr>
          <w:rFonts w:cs="Verdana"/>
          <w:lang w:eastAsia="en-US"/>
        </w:rPr>
        <w:t>estimated Koc = 4.5 L/kg (LogKoc = 0.65) (PCKocWIN Program v1.66). As the applicant also provided information on the training set of EPIWIN model that includes substances with a similar structure to thiocyanate, the model can be considered valid for thiocyanate KOC values. Concerning the bioaccumulation potential, as the ammonium thiocyanate is readily biodegradable, and as the thiocyanate presents an estimated log Kow &lt; 3 (0.58), it can be stated that accumulation potential of the thiocyanate ion is low.</w:t>
      </w:r>
    </w:p>
    <w:p w14:paraId="6837718D" w14:textId="77777777" w:rsidR="001042DA" w:rsidRPr="006B1A5A" w:rsidRDefault="001042DA" w:rsidP="001042DA">
      <w:pPr>
        <w:spacing w:line="276" w:lineRule="auto"/>
        <w:rPr>
          <w:rFonts w:eastAsia="Calibri"/>
          <w:highlight w:val="yellow"/>
          <w:lang w:eastAsia="en-US"/>
        </w:rPr>
      </w:pPr>
    </w:p>
    <w:p w14:paraId="320C0C8F" w14:textId="77777777" w:rsidR="001042DA" w:rsidRPr="006B1A5A" w:rsidRDefault="001042DA" w:rsidP="001042DA">
      <w:pPr>
        <w:jc w:val="both"/>
        <w:rPr>
          <w:rFonts w:eastAsia="Calibri"/>
          <w:b/>
          <w:i/>
          <w:lang w:eastAsia="en-US"/>
        </w:rPr>
      </w:pPr>
      <w:r w:rsidRPr="006B1A5A">
        <w:rPr>
          <w:rFonts w:eastAsia="Calibri"/>
          <w:b/>
          <w:i/>
          <w:lang w:eastAsia="en-US"/>
        </w:rPr>
        <w:t xml:space="preserve">If the biocidal product is to be sprayed outside or if potential for large-scale formation of dust is given then data on overspray </w:t>
      </w:r>
      <w:r w:rsidRPr="006B1A5A">
        <w:rPr>
          <w:rFonts w:eastAsia="Calibri"/>
          <w:b/>
          <w:i/>
          <w:noProof/>
          <w:lang w:eastAsia="en-US"/>
        </w:rPr>
        <w:t>behaviour</w:t>
      </w:r>
      <w:r w:rsidRPr="006B1A5A">
        <w:rPr>
          <w:rFonts w:eastAsia="Calibri"/>
          <w:b/>
          <w:i/>
          <w:lang w:eastAsia="en-US"/>
        </w:rPr>
        <w:t xml:space="preserve"> may be required to assess risks to bees and non-target arthropods under field conditions (ADS)</w:t>
      </w:r>
    </w:p>
    <w:p w14:paraId="134A97BA" w14:textId="77777777" w:rsidR="001042DA" w:rsidRPr="006B1A5A" w:rsidRDefault="001042DA" w:rsidP="001042DA">
      <w:pPr>
        <w:jc w:val="both"/>
        <w:rPr>
          <w:rFonts w:eastAsia="Calibri"/>
          <w:b/>
          <w:i/>
          <w:lang w:eastAsia="en-US"/>
        </w:rPr>
      </w:pPr>
    </w:p>
    <w:p w14:paraId="2FAB82E1" w14:textId="77777777" w:rsidR="001042DA" w:rsidRPr="006B1A5A" w:rsidRDefault="001042DA" w:rsidP="001042DA">
      <w:pPr>
        <w:spacing w:line="260" w:lineRule="atLeast"/>
        <w:jc w:val="both"/>
        <w:rPr>
          <w:rFonts w:eastAsia="Calibri"/>
          <w:i/>
          <w:lang w:eastAsia="en-US"/>
        </w:rPr>
      </w:pPr>
      <w:r w:rsidRPr="006B1A5A">
        <w:rPr>
          <w:rFonts w:eastAsia="Calibri"/>
          <w:lang w:eastAsia="en-US"/>
        </w:rPr>
        <w:t>The biocidal product is not sprayed outside, and no large-scale formation of dust is expected.</w:t>
      </w:r>
      <w:r w:rsidRPr="006B1A5A">
        <w:rPr>
          <w:rFonts w:eastAsia="Calibri"/>
          <w:i/>
          <w:lang w:eastAsia="en-US"/>
        </w:rPr>
        <w:t xml:space="preserve"> </w:t>
      </w:r>
    </w:p>
    <w:p w14:paraId="61C8B014" w14:textId="77777777" w:rsidR="001042DA" w:rsidRPr="006B1A5A" w:rsidRDefault="001042DA" w:rsidP="001042DA">
      <w:pPr>
        <w:rPr>
          <w:rFonts w:eastAsia="Calibri"/>
          <w:lang w:eastAsia="en-US"/>
        </w:rPr>
      </w:pPr>
      <w:r w:rsidRPr="006B1A5A">
        <w:rPr>
          <w:rFonts w:eastAsia="Calibri"/>
          <w:lang w:eastAsia="en-US"/>
        </w:rPr>
        <w:br w:type="page"/>
      </w:r>
    </w:p>
    <w:p w14:paraId="6B17CDE6" w14:textId="77777777" w:rsidR="001042DA" w:rsidRPr="006B1A5A" w:rsidRDefault="001042DA" w:rsidP="00916E44">
      <w:pPr>
        <w:pStyle w:val="Overskrift4"/>
      </w:pPr>
      <w:bookmarkStart w:id="1725" w:name="_Toc377651044"/>
      <w:bookmarkStart w:id="1726" w:name="_Toc389729113"/>
      <w:bookmarkStart w:id="1727" w:name="_Toc403472798"/>
      <w:bookmarkStart w:id="1728" w:name="_Toc403566581"/>
      <w:bookmarkStart w:id="1729" w:name="_Toc441571133"/>
      <w:bookmarkStart w:id="1730" w:name="_Toc66448838"/>
      <w:bookmarkStart w:id="1731" w:name="_Toc377651045"/>
      <w:r w:rsidRPr="006B1A5A">
        <w:t>Environmental exposure assessment</w:t>
      </w:r>
      <w:bookmarkEnd w:id="1725"/>
      <w:bookmarkEnd w:id="1726"/>
      <w:bookmarkEnd w:id="1727"/>
      <w:bookmarkEnd w:id="1728"/>
      <w:bookmarkEnd w:id="1729"/>
      <w:r w:rsidRPr="006B1A5A">
        <w:t xml:space="preserve"> and risk characterisation</w:t>
      </w:r>
      <w:bookmarkEnd w:id="1730"/>
    </w:p>
    <w:p w14:paraId="0B42DA35" w14:textId="77777777" w:rsidR="001042DA" w:rsidRPr="006B1A5A" w:rsidRDefault="001042DA" w:rsidP="001042DA"/>
    <w:p w14:paraId="1EB9DB3A" w14:textId="77777777" w:rsidR="001042DA" w:rsidRPr="006B1A5A" w:rsidRDefault="001042DA" w:rsidP="001042DA">
      <w:pPr>
        <w:rPr>
          <w:rFonts w:eastAsia="Calibri"/>
          <w:lang w:eastAsia="en-US"/>
        </w:rPr>
      </w:pPr>
      <w:r w:rsidRPr="006B1A5A">
        <w:rPr>
          <w:rFonts w:eastAsia="Calibri"/>
          <w:lang w:eastAsia="en-US"/>
        </w:rPr>
        <w:t>Exposure to the environment from the use of the AquaNet 360 BPF has been assessed in two tiers:</w:t>
      </w:r>
    </w:p>
    <w:p w14:paraId="5B1C0DD8" w14:textId="77777777" w:rsidR="001042DA" w:rsidRPr="006B1A5A" w:rsidRDefault="001042DA" w:rsidP="001042DA">
      <w:pPr>
        <w:rPr>
          <w:rFonts w:eastAsia="Calibri"/>
          <w:lang w:eastAsia="en-US"/>
        </w:rPr>
      </w:pPr>
    </w:p>
    <w:p w14:paraId="5E4C0623" w14:textId="77777777" w:rsidR="001042DA" w:rsidRPr="006B1A5A" w:rsidRDefault="001042DA" w:rsidP="00FA3222">
      <w:pPr>
        <w:pStyle w:val="Listeavsnitt"/>
        <w:numPr>
          <w:ilvl w:val="0"/>
          <w:numId w:val="12"/>
        </w:numPr>
        <w:ind w:left="360"/>
        <w:rPr>
          <w:rFonts w:asciiTheme="minorHAnsi" w:hAnsiTheme="minorHAnsi"/>
          <w:lang w:eastAsia="en-US"/>
        </w:rPr>
      </w:pPr>
      <w:r w:rsidRPr="006B1A5A">
        <w:rPr>
          <w:rFonts w:eastAsia="Calibri"/>
          <w:lang w:eastAsia="en-US"/>
        </w:rPr>
        <w:t xml:space="preserve">The first tier assessment is based on the EU fish farm scenario document agreed at EU level. </w:t>
      </w:r>
    </w:p>
    <w:p w14:paraId="2594516C" w14:textId="77777777" w:rsidR="001042DA" w:rsidRPr="006B1A5A" w:rsidRDefault="001042DA" w:rsidP="001042DA">
      <w:pPr>
        <w:pStyle w:val="Listeavsnitt"/>
        <w:ind w:left="360"/>
        <w:rPr>
          <w:rFonts w:asciiTheme="minorHAnsi" w:hAnsiTheme="minorHAnsi"/>
          <w:lang w:eastAsia="en-US"/>
        </w:rPr>
      </w:pPr>
    </w:p>
    <w:p w14:paraId="46045481" w14:textId="77777777" w:rsidR="001042DA" w:rsidRPr="006B1A5A" w:rsidRDefault="001042DA" w:rsidP="00FA3222">
      <w:pPr>
        <w:pStyle w:val="Listeavsnitt"/>
        <w:numPr>
          <w:ilvl w:val="0"/>
          <w:numId w:val="12"/>
        </w:numPr>
        <w:spacing w:line="260" w:lineRule="atLeast"/>
        <w:ind w:left="360"/>
      </w:pPr>
      <w:r w:rsidRPr="006B1A5A">
        <w:rPr>
          <w:rFonts w:eastAsia="Calibri"/>
          <w:lang w:eastAsia="en-US"/>
        </w:rPr>
        <w:t xml:space="preserve">A second tier assessment with special regard to Norwegian fish farms has been conducted based on the Norwegian fish farm scenario document (available as an annex under section 3.7). This represents an adjustment of the EU scenario to reflect a </w:t>
      </w:r>
      <w:r w:rsidRPr="006B1A5A">
        <w:t>realistic worst case fish farm in Norway. The most notable adjustments made in the Norwegian fish scenario as compared to the EU fish farm scenario, are that the net size (area) and sea depth is increased, the flow velocity is very slightly increased, and the parameters related to (suspended) organic matter have been adjusted. All the adjustments have been done following an investigation of information for 232 fish farm facilities which were considered relevant, i.e. they are marine salmon, trout and rainbow trout farms, and they have a moderate to high production capacity (in order to capture the trend towards larger fish farms). Please see the scenario document for details on the data gathering and selection of final values.</w:t>
      </w:r>
    </w:p>
    <w:p w14:paraId="2F2AC283" w14:textId="77777777" w:rsidR="001042DA" w:rsidRPr="006B1A5A" w:rsidRDefault="001042DA" w:rsidP="001042DA">
      <w:pPr>
        <w:pStyle w:val="Listeavsnitt"/>
        <w:spacing w:line="260" w:lineRule="atLeast"/>
      </w:pPr>
    </w:p>
    <w:p w14:paraId="1674F9C7" w14:textId="77777777" w:rsidR="001042DA" w:rsidRPr="006B1A5A" w:rsidRDefault="001042DA" w:rsidP="001042DA">
      <w:pPr>
        <w:spacing w:line="260" w:lineRule="atLeast"/>
      </w:pPr>
      <w:r w:rsidRPr="006B1A5A">
        <w:rPr>
          <w:rFonts w:eastAsia="Calibri"/>
          <w:lang w:eastAsia="en-US"/>
        </w:rPr>
        <w:t>General information on the exposure assessment is given in the table below.</w:t>
      </w:r>
    </w:p>
    <w:p w14:paraId="209F0722" w14:textId="77777777" w:rsidR="001042DA" w:rsidRPr="006B1A5A" w:rsidRDefault="001042DA" w:rsidP="001042DA">
      <w:pPr>
        <w:keepNext/>
        <w:spacing w:line="276" w:lineRule="auto"/>
        <w:rPr>
          <w:rFonts w:eastAsia="Calibri"/>
          <w:b/>
          <w:lang w:eastAsia="en-US"/>
        </w:rPr>
      </w:pPr>
    </w:p>
    <w:p w14:paraId="0FE173E7" w14:textId="77777777" w:rsidR="001042DA" w:rsidRPr="006B1A5A" w:rsidRDefault="001042DA" w:rsidP="001042DA">
      <w:pPr>
        <w:keepNext/>
        <w:spacing w:line="276" w:lineRule="auto"/>
        <w:rPr>
          <w:rFonts w:eastAsia="Calibri"/>
          <w:b/>
          <w:lang w:eastAsia="en-US"/>
        </w:rPr>
      </w:pPr>
    </w:p>
    <w:p w14:paraId="57282282" w14:textId="77777777" w:rsidR="001042DA" w:rsidRPr="006B1A5A" w:rsidRDefault="001042DA" w:rsidP="001042DA">
      <w:pPr>
        <w:keepNext/>
        <w:spacing w:line="276" w:lineRule="auto"/>
        <w:rPr>
          <w:rFonts w:eastAsia="Calibri"/>
          <w:b/>
          <w:lang w:eastAsia="en-US"/>
        </w:rPr>
      </w:pPr>
      <w:r w:rsidRPr="006B1A5A">
        <w:rPr>
          <w:rFonts w:eastAsia="Calibri"/>
          <w:b/>
          <w:lang w:eastAsia="en-US"/>
        </w:rPr>
        <w:t>General information</w:t>
      </w:r>
    </w:p>
    <w:p w14:paraId="39C0BAE8" w14:textId="77777777" w:rsidR="001042DA" w:rsidRPr="006B1A5A" w:rsidRDefault="001042DA" w:rsidP="001042DA">
      <w:pPr>
        <w:keepNext/>
        <w:spacing w:line="276" w:lineRule="auto"/>
        <w:rPr>
          <w:rFonts w:eastAsia="Calibri"/>
          <w:b/>
          <w:lang w:eastAsia="en-US"/>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413"/>
      </w:tblGrid>
      <w:tr w:rsidR="001042DA" w:rsidRPr="006B1A5A" w14:paraId="1FD26EF9" w14:textId="77777777" w:rsidTr="00AF2AEA">
        <w:tc>
          <w:tcPr>
            <w:tcW w:w="2722" w:type="dxa"/>
            <w:shd w:val="clear" w:color="auto" w:fill="FFFFCC"/>
            <w:vAlign w:val="center"/>
          </w:tcPr>
          <w:p w14:paraId="31CF1C6A" w14:textId="77777777" w:rsidR="001042DA" w:rsidRPr="006B1A5A" w:rsidRDefault="001042DA" w:rsidP="00AF2AEA">
            <w:pPr>
              <w:spacing w:line="276" w:lineRule="auto"/>
              <w:rPr>
                <w:rFonts w:eastAsia="Calibri"/>
                <w:szCs w:val="18"/>
                <w:lang w:eastAsia="en-US"/>
              </w:rPr>
            </w:pPr>
            <w:bookmarkStart w:id="1732" w:name="_Toc389729114"/>
            <w:bookmarkStart w:id="1733" w:name="_Toc403472799"/>
            <w:r w:rsidRPr="006B1A5A">
              <w:rPr>
                <w:rFonts w:eastAsia="Calibri"/>
                <w:szCs w:val="18"/>
                <w:lang w:eastAsia="en-US"/>
              </w:rPr>
              <w:t>Assessed PT</w:t>
            </w:r>
          </w:p>
        </w:tc>
        <w:tc>
          <w:tcPr>
            <w:tcW w:w="6413" w:type="dxa"/>
            <w:shd w:val="clear" w:color="auto" w:fill="auto"/>
            <w:vAlign w:val="center"/>
          </w:tcPr>
          <w:p w14:paraId="7181E8F2" w14:textId="77777777" w:rsidR="001042DA" w:rsidRPr="006B1A5A" w:rsidRDefault="001042DA" w:rsidP="00AF2AEA">
            <w:pPr>
              <w:spacing w:line="276" w:lineRule="auto"/>
              <w:rPr>
                <w:szCs w:val="18"/>
              </w:rPr>
            </w:pPr>
            <w:r w:rsidRPr="006B1A5A">
              <w:rPr>
                <w:szCs w:val="18"/>
              </w:rPr>
              <w:t>PT 21</w:t>
            </w:r>
          </w:p>
        </w:tc>
      </w:tr>
      <w:tr w:rsidR="001042DA" w:rsidRPr="006B1A5A" w14:paraId="288A230F" w14:textId="77777777" w:rsidTr="00AF2AEA">
        <w:tc>
          <w:tcPr>
            <w:tcW w:w="2722" w:type="dxa"/>
            <w:shd w:val="clear" w:color="auto" w:fill="FFFFCC"/>
            <w:vAlign w:val="center"/>
          </w:tcPr>
          <w:p w14:paraId="66F7FF07" w14:textId="77777777" w:rsidR="001042DA" w:rsidRPr="006B1A5A" w:rsidRDefault="001042DA" w:rsidP="00AF2AEA">
            <w:pPr>
              <w:spacing w:line="276" w:lineRule="auto"/>
              <w:rPr>
                <w:rFonts w:eastAsia="Calibri"/>
                <w:szCs w:val="18"/>
                <w:lang w:eastAsia="en-US"/>
              </w:rPr>
            </w:pPr>
            <w:r w:rsidRPr="006B1A5A">
              <w:rPr>
                <w:rFonts w:eastAsia="Calibri"/>
                <w:szCs w:val="18"/>
                <w:lang w:eastAsia="en-US"/>
              </w:rPr>
              <w:t>Assessed scenarios</w:t>
            </w:r>
          </w:p>
        </w:tc>
        <w:tc>
          <w:tcPr>
            <w:tcW w:w="6413" w:type="dxa"/>
            <w:shd w:val="clear" w:color="auto" w:fill="auto"/>
            <w:vAlign w:val="center"/>
          </w:tcPr>
          <w:p w14:paraId="52FF8EB3" w14:textId="77777777" w:rsidR="001042DA" w:rsidRPr="006B1A5A" w:rsidRDefault="001042DA" w:rsidP="00AF2AEA">
            <w:pPr>
              <w:rPr>
                <w:szCs w:val="18"/>
              </w:rPr>
            </w:pPr>
            <w:r w:rsidRPr="006B1A5A">
              <w:rPr>
                <w:szCs w:val="18"/>
              </w:rPr>
              <w:t xml:space="preserve">Environmental emissions from nets used in fish farms, during the deployment time of the nets in the sea. </w:t>
            </w:r>
          </w:p>
          <w:p w14:paraId="31125D18" w14:textId="77777777" w:rsidR="001042DA" w:rsidRPr="006B1A5A" w:rsidRDefault="001042DA" w:rsidP="00AF2AEA">
            <w:pPr>
              <w:rPr>
                <w:szCs w:val="18"/>
              </w:rPr>
            </w:pPr>
            <w:r w:rsidRPr="006B1A5A">
              <w:rPr>
                <w:szCs w:val="18"/>
              </w:rPr>
              <w:t xml:space="preserve">Only professional uses of the 360 products are envisaged and have been assessed. </w:t>
            </w:r>
          </w:p>
        </w:tc>
      </w:tr>
      <w:tr w:rsidR="001042DA" w:rsidRPr="006B1A5A" w14:paraId="38B26B50" w14:textId="77777777" w:rsidTr="00AF2AEA">
        <w:tc>
          <w:tcPr>
            <w:tcW w:w="2722" w:type="dxa"/>
            <w:shd w:val="clear" w:color="auto" w:fill="FFFFCC"/>
            <w:vAlign w:val="center"/>
          </w:tcPr>
          <w:p w14:paraId="566FB8E9" w14:textId="77777777" w:rsidR="001042DA" w:rsidRPr="006B1A5A" w:rsidRDefault="001042DA" w:rsidP="00AF2AEA">
            <w:pPr>
              <w:spacing w:line="276" w:lineRule="auto"/>
              <w:rPr>
                <w:rFonts w:eastAsia="Calibri"/>
                <w:szCs w:val="18"/>
                <w:lang w:eastAsia="en-US"/>
              </w:rPr>
            </w:pPr>
            <w:r w:rsidRPr="006B1A5A">
              <w:rPr>
                <w:rFonts w:eastAsia="Calibri"/>
                <w:szCs w:val="18"/>
                <w:lang w:eastAsia="en-US"/>
              </w:rPr>
              <w:t>Emission Scenario Document</w:t>
            </w:r>
          </w:p>
        </w:tc>
        <w:tc>
          <w:tcPr>
            <w:tcW w:w="6413" w:type="dxa"/>
            <w:shd w:val="clear" w:color="auto" w:fill="auto"/>
            <w:vAlign w:val="center"/>
          </w:tcPr>
          <w:p w14:paraId="1715A0E8" w14:textId="77777777" w:rsidR="001042DA" w:rsidRPr="006B1A5A" w:rsidRDefault="001042DA" w:rsidP="00AF2AEA">
            <w:pPr>
              <w:spacing w:line="276" w:lineRule="auto"/>
              <w:rPr>
                <w:szCs w:val="18"/>
              </w:rPr>
            </w:pPr>
            <w:r w:rsidRPr="006B1A5A">
              <w:rPr>
                <w:szCs w:val="18"/>
              </w:rPr>
              <w:t>For the assessment covering use in the EU, the EU fish farm scenario was used, as a tier 1 assessment:</w:t>
            </w:r>
          </w:p>
          <w:p w14:paraId="33CAAB17" w14:textId="77777777" w:rsidR="001042DA" w:rsidRPr="006B1A5A" w:rsidRDefault="001042DA" w:rsidP="00AF2AEA">
            <w:pPr>
              <w:spacing w:line="276" w:lineRule="auto"/>
              <w:rPr>
                <w:szCs w:val="18"/>
              </w:rPr>
            </w:pPr>
          </w:p>
          <w:p w14:paraId="01125DC9" w14:textId="77777777" w:rsidR="001042DA" w:rsidRPr="006B1A5A" w:rsidRDefault="001042DA" w:rsidP="00AF2AEA">
            <w:pPr>
              <w:spacing w:line="276" w:lineRule="auto"/>
              <w:rPr>
                <w:i/>
                <w:szCs w:val="18"/>
              </w:rPr>
            </w:pPr>
            <w:r w:rsidRPr="006B1A5A">
              <w:rPr>
                <w:i/>
                <w:szCs w:val="18"/>
              </w:rPr>
              <w:t>Scenario document for the calculation of environmental exposure from antifouling active substances from nets used in fish farms. Norwegian Environmental Agency, 2015.</w:t>
            </w:r>
          </w:p>
          <w:p w14:paraId="38A4A5FC" w14:textId="77777777" w:rsidR="001042DA" w:rsidRPr="006B1A5A" w:rsidRDefault="001042DA" w:rsidP="00AF2AEA">
            <w:pPr>
              <w:spacing w:line="276" w:lineRule="auto"/>
              <w:rPr>
                <w:szCs w:val="18"/>
              </w:rPr>
            </w:pPr>
          </w:p>
          <w:p w14:paraId="1F8096B5" w14:textId="77777777" w:rsidR="001042DA" w:rsidRPr="006B1A5A" w:rsidRDefault="001042DA" w:rsidP="00AF2AEA">
            <w:pPr>
              <w:spacing w:line="276" w:lineRule="auto"/>
              <w:rPr>
                <w:szCs w:val="18"/>
              </w:rPr>
            </w:pPr>
            <w:r w:rsidRPr="006B1A5A">
              <w:rPr>
                <w:szCs w:val="18"/>
              </w:rPr>
              <w:t>For the assessment representative for Norway (i.e. a tier 2 assessment for the use in Norway), the Norwegian fish farm scenario was used:</w:t>
            </w:r>
          </w:p>
          <w:p w14:paraId="23225ABF" w14:textId="77777777" w:rsidR="001042DA" w:rsidRPr="006B1A5A" w:rsidRDefault="001042DA" w:rsidP="00AF2AEA">
            <w:pPr>
              <w:spacing w:line="276" w:lineRule="auto"/>
              <w:rPr>
                <w:szCs w:val="18"/>
              </w:rPr>
            </w:pPr>
          </w:p>
          <w:p w14:paraId="780025AE" w14:textId="77777777" w:rsidR="001042DA" w:rsidRPr="006B1A5A" w:rsidRDefault="001042DA" w:rsidP="00AF2AEA">
            <w:pPr>
              <w:spacing w:line="276" w:lineRule="auto"/>
              <w:rPr>
                <w:i/>
                <w:szCs w:val="18"/>
              </w:rPr>
            </w:pPr>
            <w:r w:rsidRPr="006B1A5A">
              <w:rPr>
                <w:i/>
                <w:szCs w:val="18"/>
              </w:rPr>
              <w:t xml:space="preserve">A Norwegian environmental emission scenario for fish farms  - Adjustment of the EU scenario (2015) to better represent national conditions. Norwegian Environmental Agency, 2018. </w:t>
            </w:r>
          </w:p>
        </w:tc>
      </w:tr>
      <w:tr w:rsidR="001042DA" w:rsidRPr="006B1A5A" w14:paraId="431F3AA0" w14:textId="77777777" w:rsidTr="00AF2AEA">
        <w:tc>
          <w:tcPr>
            <w:tcW w:w="2722" w:type="dxa"/>
            <w:shd w:val="clear" w:color="auto" w:fill="FFFFCC"/>
            <w:vAlign w:val="center"/>
          </w:tcPr>
          <w:p w14:paraId="2FCBB381" w14:textId="77777777" w:rsidR="001042DA" w:rsidRPr="006B1A5A" w:rsidRDefault="001042DA" w:rsidP="00AF2AEA">
            <w:pPr>
              <w:spacing w:line="276" w:lineRule="auto"/>
              <w:rPr>
                <w:rFonts w:eastAsia="Calibri"/>
                <w:szCs w:val="18"/>
                <w:highlight w:val="yellow"/>
                <w:lang w:eastAsia="en-US"/>
              </w:rPr>
            </w:pPr>
            <w:r w:rsidRPr="006B1A5A">
              <w:rPr>
                <w:rFonts w:eastAsia="Calibri"/>
                <w:szCs w:val="18"/>
                <w:lang w:eastAsia="en-US"/>
              </w:rPr>
              <w:t>Approach</w:t>
            </w:r>
          </w:p>
        </w:tc>
        <w:tc>
          <w:tcPr>
            <w:tcW w:w="6413" w:type="dxa"/>
            <w:shd w:val="clear" w:color="auto" w:fill="auto"/>
            <w:vAlign w:val="center"/>
          </w:tcPr>
          <w:p w14:paraId="34B234BB" w14:textId="77777777" w:rsidR="001042DA" w:rsidRPr="006B1A5A" w:rsidRDefault="001042DA" w:rsidP="00AF2AEA">
            <w:pPr>
              <w:spacing w:line="276" w:lineRule="auto"/>
              <w:rPr>
                <w:szCs w:val="18"/>
              </w:rPr>
            </w:pPr>
            <w:r w:rsidRPr="006B1A5A">
              <w:rPr>
                <w:szCs w:val="18"/>
              </w:rPr>
              <w:t>MAMPEC v.3.1 was used for the modelling.</w:t>
            </w:r>
          </w:p>
          <w:p w14:paraId="339DADBF" w14:textId="77777777" w:rsidR="001042DA" w:rsidRPr="006B1A5A" w:rsidRDefault="001042DA" w:rsidP="00AF2AEA">
            <w:pPr>
              <w:spacing w:line="276" w:lineRule="auto"/>
              <w:rPr>
                <w:szCs w:val="18"/>
              </w:rPr>
            </w:pPr>
            <w:r w:rsidRPr="006B1A5A">
              <w:rPr>
                <w:szCs w:val="18"/>
              </w:rPr>
              <w:t>For the active substances, agreed values from the CARs were used as input. For other environmental parameters, efault values for the environmental parameters given in the above-mentioned scenario documents were used, in addition to product-specific values where applicable.</w:t>
            </w:r>
          </w:p>
        </w:tc>
      </w:tr>
      <w:tr w:rsidR="001042DA" w:rsidRPr="006B1A5A" w14:paraId="0CEE76DD" w14:textId="77777777" w:rsidTr="00AF2AEA">
        <w:tc>
          <w:tcPr>
            <w:tcW w:w="2722" w:type="dxa"/>
            <w:shd w:val="clear" w:color="auto" w:fill="FFFFCC"/>
            <w:vAlign w:val="center"/>
          </w:tcPr>
          <w:p w14:paraId="2018D57B" w14:textId="77777777" w:rsidR="001042DA" w:rsidRPr="006B1A5A" w:rsidRDefault="001042DA" w:rsidP="00AF2AEA">
            <w:pPr>
              <w:spacing w:line="276" w:lineRule="auto"/>
              <w:rPr>
                <w:rFonts w:eastAsia="Calibri"/>
                <w:szCs w:val="18"/>
                <w:lang w:eastAsia="en-US"/>
              </w:rPr>
            </w:pPr>
            <w:r w:rsidRPr="006B1A5A">
              <w:rPr>
                <w:rFonts w:eastAsia="Calibri"/>
                <w:szCs w:val="18"/>
                <w:lang w:eastAsia="en-US"/>
              </w:rPr>
              <w:t>Distribution in the environment</w:t>
            </w:r>
          </w:p>
        </w:tc>
        <w:tc>
          <w:tcPr>
            <w:tcW w:w="6413" w:type="dxa"/>
            <w:shd w:val="clear" w:color="auto" w:fill="auto"/>
            <w:vAlign w:val="center"/>
          </w:tcPr>
          <w:p w14:paraId="73C2A2DA" w14:textId="77777777" w:rsidR="001042DA" w:rsidRPr="006B1A5A" w:rsidRDefault="001042DA" w:rsidP="00AF2AEA">
            <w:pPr>
              <w:spacing w:line="276" w:lineRule="auto"/>
              <w:rPr>
                <w:rFonts w:eastAsia="Calibri"/>
                <w:szCs w:val="18"/>
                <w:lang w:eastAsia="en-US"/>
              </w:rPr>
            </w:pPr>
            <w:r w:rsidRPr="006B1A5A">
              <w:rPr>
                <w:szCs w:val="18"/>
              </w:rPr>
              <w:t xml:space="preserve">The PEC values in water and sediment were calculated with MAMPEC v.3.1 based on the input described above. </w:t>
            </w:r>
          </w:p>
        </w:tc>
      </w:tr>
      <w:tr w:rsidR="001042DA" w:rsidRPr="006B1A5A" w14:paraId="542B9426" w14:textId="77777777" w:rsidTr="00AF2AEA">
        <w:tc>
          <w:tcPr>
            <w:tcW w:w="2722" w:type="dxa"/>
            <w:shd w:val="clear" w:color="auto" w:fill="FFFFCC"/>
            <w:vAlign w:val="center"/>
          </w:tcPr>
          <w:p w14:paraId="3352C4E4" w14:textId="77777777" w:rsidR="001042DA" w:rsidRPr="006B1A5A" w:rsidRDefault="001042DA" w:rsidP="00AF2AEA">
            <w:pPr>
              <w:spacing w:line="276" w:lineRule="auto"/>
              <w:rPr>
                <w:rFonts w:eastAsia="Calibri"/>
                <w:szCs w:val="18"/>
                <w:lang w:eastAsia="en-US"/>
              </w:rPr>
            </w:pPr>
            <w:r w:rsidRPr="006B1A5A">
              <w:rPr>
                <w:rFonts w:eastAsia="Calibri"/>
                <w:szCs w:val="18"/>
                <w:lang w:eastAsia="en-US"/>
              </w:rPr>
              <w:t>Life cycle steps assessed</w:t>
            </w:r>
          </w:p>
        </w:tc>
        <w:tc>
          <w:tcPr>
            <w:tcW w:w="6413" w:type="dxa"/>
            <w:shd w:val="clear" w:color="auto" w:fill="auto"/>
            <w:vAlign w:val="center"/>
          </w:tcPr>
          <w:p w14:paraId="0958390C" w14:textId="77777777" w:rsidR="001042DA" w:rsidRPr="006B1A5A" w:rsidRDefault="001042DA" w:rsidP="00AF2AEA">
            <w:pPr>
              <w:rPr>
                <w:rFonts w:eastAsia="Calibri"/>
                <w:lang w:eastAsia="en-US"/>
              </w:rPr>
            </w:pPr>
            <w:r w:rsidRPr="006B1A5A">
              <w:rPr>
                <w:rFonts w:eastAsia="Calibri"/>
                <w:lang w:eastAsia="en-US"/>
              </w:rPr>
              <w:t>Production: No information</w:t>
            </w:r>
          </w:p>
          <w:p w14:paraId="18912926" w14:textId="77777777" w:rsidR="001042DA" w:rsidRPr="006B1A5A" w:rsidRDefault="001042DA" w:rsidP="00AF2AEA">
            <w:pPr>
              <w:rPr>
                <w:rFonts w:eastAsia="Calibri"/>
                <w:lang w:eastAsia="en-US"/>
              </w:rPr>
            </w:pPr>
            <w:r w:rsidRPr="006B1A5A">
              <w:rPr>
                <w:rFonts w:eastAsia="Calibri"/>
                <w:lang w:eastAsia="en-US"/>
              </w:rPr>
              <w:t xml:space="preserve">Formulation: No information </w:t>
            </w:r>
          </w:p>
          <w:p w14:paraId="13E45B98" w14:textId="77777777" w:rsidR="001042DA" w:rsidRPr="006B1A5A" w:rsidRDefault="001042DA" w:rsidP="00AF2AEA">
            <w:pPr>
              <w:rPr>
                <w:rFonts w:eastAsia="Calibri"/>
                <w:lang w:eastAsia="en-US"/>
              </w:rPr>
            </w:pPr>
            <w:r w:rsidRPr="006B1A5A">
              <w:rPr>
                <w:rFonts w:eastAsia="Calibri"/>
                <w:lang w:eastAsia="en-US"/>
              </w:rPr>
              <w:t xml:space="preserve">Use: </w:t>
            </w:r>
          </w:p>
          <w:p w14:paraId="3A9A7FF4" w14:textId="77777777" w:rsidR="001042DA" w:rsidRPr="006B1A5A" w:rsidRDefault="001042DA" w:rsidP="00AF2AEA">
            <w:pPr>
              <w:spacing w:line="276" w:lineRule="auto"/>
              <w:rPr>
                <w:rFonts w:eastAsia="Calibri"/>
                <w:i/>
                <w:szCs w:val="18"/>
                <w:lang w:eastAsia="en-US"/>
              </w:rPr>
            </w:pPr>
            <w:r w:rsidRPr="006B1A5A">
              <w:rPr>
                <w:rFonts w:eastAsia="Calibri"/>
                <w:lang w:eastAsia="en-US"/>
              </w:rPr>
              <w:t>Service life:</w:t>
            </w:r>
          </w:p>
        </w:tc>
      </w:tr>
    </w:tbl>
    <w:p w14:paraId="26DF4DD9" w14:textId="77777777" w:rsidR="001042DA" w:rsidRPr="006B1A5A" w:rsidRDefault="001042DA" w:rsidP="001042DA">
      <w:pPr>
        <w:rPr>
          <w:rFonts w:eastAsia="Calibri"/>
          <w:b/>
          <w:i/>
          <w:sz w:val="22"/>
          <w:szCs w:val="22"/>
          <w:lang w:eastAsia="en-US"/>
        </w:rPr>
      </w:pPr>
    </w:p>
    <w:p w14:paraId="5FBA41B7" w14:textId="77777777" w:rsidR="001042DA" w:rsidRPr="006B1A5A" w:rsidRDefault="001042DA" w:rsidP="001042DA">
      <w:pPr>
        <w:rPr>
          <w:rFonts w:eastAsia="Calibri"/>
          <w:b/>
          <w:i/>
          <w:sz w:val="22"/>
          <w:szCs w:val="22"/>
          <w:lang w:eastAsia="en-US"/>
        </w:rPr>
      </w:pPr>
    </w:p>
    <w:p w14:paraId="0777F90D" w14:textId="78ED1373" w:rsidR="001042DA" w:rsidRPr="006B1A5A" w:rsidRDefault="001042DA" w:rsidP="001042DA">
      <w:pPr>
        <w:rPr>
          <w:rFonts w:eastAsia="Calibri"/>
          <w:b/>
          <w:i/>
          <w:sz w:val="22"/>
          <w:szCs w:val="22"/>
          <w:lang w:eastAsia="en-US"/>
        </w:rPr>
      </w:pPr>
      <w:r w:rsidRPr="006B1A5A">
        <w:rPr>
          <w:rFonts w:eastAsia="Calibri"/>
          <w:b/>
          <w:i/>
          <w:sz w:val="22"/>
          <w:szCs w:val="22"/>
          <w:lang w:eastAsia="en-US"/>
        </w:rPr>
        <w:t>Emission estimation</w:t>
      </w:r>
      <w:bookmarkEnd w:id="1731"/>
      <w:bookmarkEnd w:id="1732"/>
      <w:bookmarkEnd w:id="1733"/>
    </w:p>
    <w:p w14:paraId="209A2CF5" w14:textId="77777777" w:rsidR="001042DA" w:rsidRPr="006B1A5A" w:rsidRDefault="001042DA" w:rsidP="001042DA">
      <w:pPr>
        <w:spacing w:line="260" w:lineRule="atLeast"/>
        <w:rPr>
          <w:rFonts w:eastAsia="Calibri"/>
          <w:b/>
          <w:bCs/>
          <w:highlight w:val="yellow"/>
          <w:lang w:eastAsia="en-US"/>
        </w:rPr>
      </w:pPr>
      <w:bookmarkStart w:id="1734" w:name="_Toc367976959"/>
      <w:bookmarkStart w:id="1735" w:name="_Toc367977136"/>
    </w:p>
    <w:p w14:paraId="55BB868C" w14:textId="77777777" w:rsidR="001042DA" w:rsidRPr="006B1A5A" w:rsidRDefault="001042DA" w:rsidP="001042DA">
      <w:pPr>
        <w:spacing w:line="260" w:lineRule="atLeast"/>
        <w:rPr>
          <w:szCs w:val="22"/>
        </w:rPr>
      </w:pPr>
      <w:r w:rsidRPr="006B1A5A">
        <w:rPr>
          <w:szCs w:val="22"/>
        </w:rPr>
        <w:t>In the following tables, some of the input parameters used for the calculations of daily local emissions (E</w:t>
      </w:r>
      <w:r w:rsidRPr="006B1A5A">
        <w:rPr>
          <w:szCs w:val="22"/>
          <w:vertAlign w:val="subscript"/>
        </w:rPr>
        <w:t>local</w:t>
      </w:r>
      <w:r w:rsidRPr="006B1A5A">
        <w:rPr>
          <w:szCs w:val="22"/>
        </w:rPr>
        <w:t>) and predicted environmental concentrations (PECs) are given. E</w:t>
      </w:r>
      <w:r w:rsidRPr="006B1A5A">
        <w:rPr>
          <w:szCs w:val="22"/>
          <w:vertAlign w:val="subscript"/>
        </w:rPr>
        <w:t xml:space="preserve">local </w:t>
      </w:r>
      <w:r w:rsidRPr="006B1A5A">
        <w:rPr>
          <w:szCs w:val="22"/>
        </w:rPr>
        <w:t>was calculated as follows, in accordance with the scenario documents:</w:t>
      </w:r>
    </w:p>
    <w:p w14:paraId="16259702" w14:textId="77777777" w:rsidR="001042DA" w:rsidRPr="006B1A5A" w:rsidRDefault="001042DA" w:rsidP="001042DA">
      <w:pPr>
        <w:spacing w:line="260" w:lineRule="atLeast"/>
        <w:rPr>
          <w:szCs w:val="22"/>
        </w:rPr>
      </w:pPr>
    </w:p>
    <w:p w14:paraId="3B1EDBA7" w14:textId="77777777" w:rsidR="001042DA" w:rsidRPr="006B1A5A" w:rsidRDefault="001042DA" w:rsidP="001042DA">
      <w:pPr>
        <w:spacing w:line="260" w:lineRule="atLeast"/>
        <w:rPr>
          <w:szCs w:val="22"/>
        </w:rPr>
      </w:pPr>
      <w:r w:rsidRPr="006B1A5A">
        <w:rPr>
          <w:szCs w:val="22"/>
        </w:rPr>
        <w:tab/>
        <w:t>E</w:t>
      </w:r>
      <w:r w:rsidRPr="006B1A5A">
        <w:rPr>
          <w:szCs w:val="22"/>
          <w:vertAlign w:val="subscript"/>
        </w:rPr>
        <w:t>local</w:t>
      </w:r>
      <w:r w:rsidRPr="006B1A5A">
        <w:rPr>
          <w:szCs w:val="22"/>
        </w:rPr>
        <w:t xml:space="preserve"> (g/d) = (N</w:t>
      </w:r>
      <w:r w:rsidRPr="006B1A5A">
        <w:rPr>
          <w:szCs w:val="22"/>
          <w:vertAlign w:val="subscript"/>
        </w:rPr>
        <w:t>net</w:t>
      </w:r>
      <w:r w:rsidRPr="006B1A5A">
        <w:rPr>
          <w:szCs w:val="22"/>
        </w:rPr>
        <w:t xml:space="preserve"> ∙ AREA</w:t>
      </w:r>
      <w:r w:rsidRPr="006B1A5A">
        <w:rPr>
          <w:szCs w:val="22"/>
          <w:vertAlign w:val="subscript"/>
        </w:rPr>
        <w:t>net</w:t>
      </w:r>
      <w:r w:rsidRPr="006B1A5A">
        <w:rPr>
          <w:szCs w:val="22"/>
        </w:rPr>
        <w:t xml:space="preserve"> ∙ W</w:t>
      </w:r>
      <w:r w:rsidRPr="006B1A5A">
        <w:rPr>
          <w:szCs w:val="22"/>
          <w:vertAlign w:val="subscript"/>
        </w:rPr>
        <w:t>net</w:t>
      </w:r>
      <w:r w:rsidRPr="006B1A5A">
        <w:rPr>
          <w:szCs w:val="22"/>
        </w:rPr>
        <w:t xml:space="preserve"> ∙ COVERAGE ∙ C</w:t>
      </w:r>
      <w:r w:rsidRPr="006B1A5A">
        <w:rPr>
          <w:szCs w:val="22"/>
          <w:vertAlign w:val="subscript"/>
        </w:rPr>
        <w:t>a.i.</w:t>
      </w:r>
      <w:r w:rsidRPr="006B1A5A">
        <w:rPr>
          <w:szCs w:val="22"/>
        </w:rPr>
        <w:t xml:space="preserve"> ∙ F</w:t>
      </w:r>
      <w:r w:rsidRPr="006B1A5A">
        <w:rPr>
          <w:szCs w:val="22"/>
          <w:vertAlign w:val="subscript"/>
        </w:rPr>
        <w:t>a.i.</w:t>
      </w:r>
      <w:r w:rsidRPr="006B1A5A">
        <w:rPr>
          <w:szCs w:val="22"/>
        </w:rPr>
        <w:t>) / T</w:t>
      </w:r>
      <w:r w:rsidRPr="006B1A5A">
        <w:rPr>
          <w:szCs w:val="22"/>
          <w:vertAlign w:val="subscript"/>
        </w:rPr>
        <w:t>deployment</w:t>
      </w:r>
      <w:r w:rsidRPr="006B1A5A">
        <w:rPr>
          <w:szCs w:val="22"/>
        </w:rPr>
        <w:t xml:space="preserve"> </w:t>
      </w:r>
    </w:p>
    <w:p w14:paraId="29DD6ACA" w14:textId="77777777" w:rsidR="001042DA" w:rsidRPr="006B1A5A" w:rsidRDefault="001042DA" w:rsidP="001042DA">
      <w:pPr>
        <w:spacing w:line="260" w:lineRule="atLeast"/>
        <w:rPr>
          <w:szCs w:val="22"/>
        </w:rPr>
      </w:pPr>
    </w:p>
    <w:p w14:paraId="2E56880C" w14:textId="77777777" w:rsidR="001042DA" w:rsidRPr="006B1A5A" w:rsidRDefault="001042DA" w:rsidP="001042DA">
      <w:pPr>
        <w:spacing w:line="260" w:lineRule="atLeast"/>
        <w:rPr>
          <w:szCs w:val="22"/>
        </w:rPr>
      </w:pPr>
      <w:r w:rsidRPr="006B1A5A">
        <w:rPr>
          <w:szCs w:val="22"/>
        </w:rPr>
        <w:t>Subsequently, the E</w:t>
      </w:r>
      <w:r w:rsidRPr="006B1A5A">
        <w:rPr>
          <w:szCs w:val="22"/>
          <w:vertAlign w:val="subscript"/>
        </w:rPr>
        <w:t>local</w:t>
      </w:r>
      <w:r w:rsidRPr="006B1A5A">
        <w:rPr>
          <w:szCs w:val="22"/>
        </w:rPr>
        <w:t xml:space="preserve"> values were entered into MAMPEC for the modelling of PECs. In the first table, E</w:t>
      </w:r>
      <w:r w:rsidRPr="006B1A5A">
        <w:rPr>
          <w:szCs w:val="22"/>
          <w:vertAlign w:val="subscript"/>
        </w:rPr>
        <w:t>local</w:t>
      </w:r>
      <w:r w:rsidRPr="006B1A5A">
        <w:rPr>
          <w:szCs w:val="22"/>
        </w:rPr>
        <w:t xml:space="preserve"> input parameters and some input parameters for the PEC modelling are given, for both the EU fish farm scenario and the Norwegian fish farm scenario (for a full list of all input parameters and reasoning behind them, see the respective scenario documents). The second table lists the active substance input parameters, and the third table gives the concentrations of active substances used for the E</w:t>
      </w:r>
      <w:r w:rsidRPr="006B1A5A">
        <w:rPr>
          <w:szCs w:val="22"/>
          <w:vertAlign w:val="subscript"/>
        </w:rPr>
        <w:t>local</w:t>
      </w:r>
      <w:r w:rsidRPr="006B1A5A">
        <w:rPr>
          <w:szCs w:val="22"/>
        </w:rPr>
        <w:t xml:space="preserve"> calculation of the different products.</w:t>
      </w:r>
    </w:p>
    <w:p w14:paraId="48AE04D5" w14:textId="77777777" w:rsidR="001042DA" w:rsidRPr="006B1A5A" w:rsidRDefault="001042DA" w:rsidP="001042DA">
      <w:pPr>
        <w:spacing w:line="260" w:lineRule="atLeast"/>
        <w:rPr>
          <w:szCs w:val="22"/>
        </w:rPr>
      </w:pPr>
    </w:p>
    <w:p w14:paraId="56FC3C5D" w14:textId="77777777" w:rsidR="001042DA" w:rsidRPr="006B1A5A" w:rsidRDefault="001042DA" w:rsidP="001042DA">
      <w:pPr>
        <w:spacing w:line="260" w:lineRule="atLeast"/>
        <w:rPr>
          <w:rFonts w:eastAsia="Calibri"/>
          <w:b/>
          <w:bCs/>
          <w:highlight w:val="yellow"/>
          <w:lang w:eastAsia="en-US"/>
        </w:rPr>
      </w:pPr>
      <w:r w:rsidRPr="006B1A5A">
        <w:rPr>
          <w:szCs w:val="22"/>
        </w:rPr>
        <w:t>All calculations of E</w:t>
      </w:r>
      <w:r w:rsidRPr="006B1A5A">
        <w:rPr>
          <w:szCs w:val="22"/>
          <w:vertAlign w:val="subscript"/>
        </w:rPr>
        <w:t>local</w:t>
      </w:r>
      <w:r w:rsidRPr="006B1A5A">
        <w:rPr>
          <w:szCs w:val="22"/>
        </w:rPr>
        <w:t xml:space="preserve">, and details on the MAMPEC modelling, can be found </w:t>
      </w:r>
      <w:bookmarkStart w:id="1736" w:name="_Hlk22216374"/>
      <w:r w:rsidRPr="006B1A5A">
        <w:rPr>
          <w:szCs w:val="22"/>
        </w:rPr>
        <w:t>as annexes under section 3.2.1</w:t>
      </w:r>
      <w:bookmarkEnd w:id="1736"/>
      <w:r w:rsidRPr="006B1A5A">
        <w:rPr>
          <w:szCs w:val="22"/>
        </w:rPr>
        <w:t xml:space="preserve">.   </w:t>
      </w:r>
    </w:p>
    <w:p w14:paraId="25A4A596" w14:textId="77777777" w:rsidR="001042DA" w:rsidRPr="006B1A5A" w:rsidRDefault="001042DA" w:rsidP="001042DA">
      <w:pPr>
        <w:spacing w:line="260" w:lineRule="atLeast"/>
        <w:rPr>
          <w:rFonts w:eastAsia="Calibri"/>
          <w:b/>
          <w:bCs/>
          <w:highlight w:val="yellow"/>
          <w:lang w:eastAsia="en-US"/>
        </w:rPr>
      </w:pPr>
    </w:p>
    <w:p w14:paraId="38713140" w14:textId="77777777" w:rsidR="001042DA" w:rsidRPr="006B1A5A" w:rsidRDefault="001042DA" w:rsidP="001042DA">
      <w:pPr>
        <w:keepNext/>
        <w:spacing w:line="260" w:lineRule="atLeast"/>
        <w:rPr>
          <w:rFonts w:eastAsia="Calibri"/>
          <w:b/>
          <w:lang w:eastAsia="en-US"/>
        </w:rPr>
      </w:pPr>
      <w:bookmarkStart w:id="1737" w:name="_Hlk20223257"/>
      <w:r w:rsidRPr="006B1A5A">
        <w:rPr>
          <w:rFonts w:eastAsia="Calibri"/>
          <w:b/>
          <w:lang w:eastAsia="en-US"/>
        </w:rPr>
        <w:t>Parameters for emission (E</w:t>
      </w:r>
      <w:r w:rsidRPr="006B1A5A">
        <w:rPr>
          <w:rFonts w:eastAsia="Calibri"/>
          <w:b/>
          <w:vertAlign w:val="subscript"/>
          <w:lang w:eastAsia="en-US"/>
        </w:rPr>
        <w:t>local</w:t>
      </w:r>
      <w:r w:rsidRPr="006B1A5A">
        <w:rPr>
          <w:rFonts w:eastAsia="Calibri"/>
          <w:b/>
          <w:lang w:eastAsia="en-US"/>
        </w:rPr>
        <w:t>) and PEC calculations</w:t>
      </w:r>
    </w:p>
    <w:p w14:paraId="697B4235" w14:textId="77777777" w:rsidR="001042DA" w:rsidRPr="006B1A5A" w:rsidRDefault="001042DA" w:rsidP="001042DA">
      <w:pPr>
        <w:keepNext/>
        <w:spacing w:line="260" w:lineRule="atLeast"/>
        <w:rPr>
          <w:rFonts w:eastAsia="Calibri"/>
          <w:b/>
          <w:lang w:eastAsia="en-US"/>
        </w:rPr>
      </w:pPr>
    </w:p>
    <w:tbl>
      <w:tblPr>
        <w:tblStyle w:val="Tabellrutenett"/>
        <w:tblW w:w="4889" w:type="pct"/>
        <w:tblLook w:val="04A0" w:firstRow="1" w:lastRow="0" w:firstColumn="1" w:lastColumn="0" w:noHBand="0" w:noVBand="1"/>
      </w:tblPr>
      <w:tblGrid>
        <w:gridCol w:w="4672"/>
        <w:gridCol w:w="1984"/>
        <w:gridCol w:w="2344"/>
      </w:tblGrid>
      <w:tr w:rsidR="001042DA" w:rsidRPr="006B1A5A" w14:paraId="36DB85C5" w14:textId="77777777" w:rsidTr="00AF2AEA">
        <w:tc>
          <w:tcPr>
            <w:tcW w:w="2596" w:type="pct"/>
          </w:tcPr>
          <w:p w14:paraId="38A7E2EA" w14:textId="77777777" w:rsidR="001042DA" w:rsidRPr="006B1A5A" w:rsidRDefault="001042DA" w:rsidP="00AF2AEA">
            <w:pPr>
              <w:pStyle w:val="Ingenmellomrom"/>
              <w:keepNext/>
              <w:spacing w:line="276" w:lineRule="auto"/>
              <w:rPr>
                <w:rFonts w:ascii="Verdana" w:hAnsi="Verdana"/>
                <w:b/>
                <w:sz w:val="18"/>
                <w:lang w:val="en-GB"/>
              </w:rPr>
            </w:pPr>
            <w:r w:rsidRPr="006B1A5A">
              <w:rPr>
                <w:rFonts w:ascii="Verdana" w:hAnsi="Verdana"/>
                <w:b/>
                <w:sz w:val="18"/>
                <w:lang w:val="en-GB"/>
              </w:rPr>
              <w:t>Parameter</w:t>
            </w:r>
          </w:p>
        </w:tc>
        <w:tc>
          <w:tcPr>
            <w:tcW w:w="1102" w:type="pct"/>
          </w:tcPr>
          <w:p w14:paraId="1BB907EC" w14:textId="77777777" w:rsidR="001042DA" w:rsidRPr="00CC2CC7" w:rsidRDefault="001042DA" w:rsidP="00AF2AEA">
            <w:pPr>
              <w:pStyle w:val="Ingenmellomrom"/>
              <w:keepNext/>
              <w:spacing w:line="276" w:lineRule="auto"/>
              <w:jc w:val="center"/>
              <w:rPr>
                <w:rFonts w:ascii="Verdana" w:hAnsi="Verdana"/>
                <w:b/>
                <w:sz w:val="18"/>
                <w:lang w:val="sv-SE"/>
              </w:rPr>
            </w:pPr>
            <w:r w:rsidRPr="00CC2CC7">
              <w:rPr>
                <w:rFonts w:ascii="Verdana" w:hAnsi="Verdana"/>
                <w:b/>
                <w:sz w:val="18"/>
                <w:lang w:val="sv-SE"/>
              </w:rPr>
              <w:t>EU fish farm scenario</w:t>
            </w:r>
            <w:r w:rsidRPr="00CC2CC7">
              <w:rPr>
                <w:rFonts w:ascii="Verdana" w:hAnsi="Verdana"/>
                <w:b/>
                <w:sz w:val="18"/>
                <w:vertAlign w:val="superscript"/>
                <w:lang w:val="sv-SE"/>
              </w:rPr>
              <w:t>1</w:t>
            </w:r>
            <w:r w:rsidRPr="00CC2CC7">
              <w:rPr>
                <w:rFonts w:ascii="Verdana" w:hAnsi="Verdana"/>
                <w:b/>
                <w:sz w:val="18"/>
                <w:lang w:val="sv-SE"/>
              </w:rPr>
              <w:t xml:space="preserve"> (tier 1)</w:t>
            </w:r>
          </w:p>
        </w:tc>
        <w:tc>
          <w:tcPr>
            <w:tcW w:w="1302" w:type="pct"/>
          </w:tcPr>
          <w:p w14:paraId="2471A534" w14:textId="77777777" w:rsidR="001042DA" w:rsidRPr="006B1A5A" w:rsidRDefault="001042DA" w:rsidP="00AF2AEA">
            <w:pPr>
              <w:pStyle w:val="Ingenmellomrom"/>
              <w:keepNext/>
              <w:spacing w:line="276" w:lineRule="auto"/>
              <w:jc w:val="center"/>
              <w:rPr>
                <w:rFonts w:ascii="Verdana" w:hAnsi="Verdana"/>
                <w:b/>
                <w:sz w:val="18"/>
                <w:lang w:val="en-GB"/>
              </w:rPr>
            </w:pPr>
            <w:r w:rsidRPr="006B1A5A">
              <w:rPr>
                <w:rFonts w:ascii="Verdana" w:hAnsi="Verdana"/>
                <w:b/>
                <w:sz w:val="18"/>
                <w:lang w:val="en-GB"/>
              </w:rPr>
              <w:t>Norwegian fish farm scenario</w:t>
            </w:r>
            <w:r w:rsidRPr="006B1A5A">
              <w:rPr>
                <w:rFonts w:ascii="Verdana" w:hAnsi="Verdana"/>
                <w:b/>
                <w:sz w:val="18"/>
                <w:vertAlign w:val="superscript"/>
                <w:lang w:val="en-GB"/>
              </w:rPr>
              <w:t>2</w:t>
            </w:r>
            <w:r w:rsidRPr="006B1A5A">
              <w:rPr>
                <w:rFonts w:ascii="Verdana" w:hAnsi="Verdana"/>
                <w:b/>
                <w:sz w:val="18"/>
                <w:lang w:val="en-GB"/>
              </w:rPr>
              <w:t xml:space="preserve"> (tier 2)</w:t>
            </w:r>
          </w:p>
        </w:tc>
      </w:tr>
      <w:tr w:rsidR="001042DA" w:rsidRPr="006B1A5A" w14:paraId="5BE497C5" w14:textId="77777777" w:rsidTr="00AF2AEA">
        <w:tc>
          <w:tcPr>
            <w:tcW w:w="2596" w:type="pct"/>
          </w:tcPr>
          <w:p w14:paraId="1EA7B427" w14:textId="77777777" w:rsidR="001042DA" w:rsidRPr="006B1A5A" w:rsidRDefault="001042DA" w:rsidP="00AF2AEA">
            <w:pPr>
              <w:pStyle w:val="Ingenmellomrom"/>
              <w:keepNext/>
              <w:spacing w:line="276" w:lineRule="auto"/>
              <w:rPr>
                <w:rFonts w:ascii="Verdana" w:hAnsi="Verdana"/>
                <w:sz w:val="18"/>
                <w:lang w:val="en-GB"/>
              </w:rPr>
            </w:pPr>
            <w:r w:rsidRPr="006B1A5A">
              <w:rPr>
                <w:rFonts w:ascii="Verdana" w:hAnsi="Verdana"/>
                <w:sz w:val="18"/>
                <w:lang w:val="en-GB"/>
              </w:rPr>
              <w:t>Concentration of a.i. in product, C</w:t>
            </w:r>
            <w:r w:rsidRPr="006B1A5A">
              <w:rPr>
                <w:rFonts w:ascii="Verdana" w:hAnsi="Verdana"/>
                <w:sz w:val="18"/>
                <w:vertAlign w:val="subscript"/>
                <w:lang w:val="en-GB"/>
              </w:rPr>
              <w:t>a.i.</w:t>
            </w:r>
          </w:p>
        </w:tc>
        <w:tc>
          <w:tcPr>
            <w:tcW w:w="1102" w:type="pct"/>
          </w:tcPr>
          <w:p w14:paraId="22B710FD" w14:textId="77777777" w:rsidR="001042DA" w:rsidRPr="006B1A5A" w:rsidDel="008D63B6" w:rsidRDefault="001042DA" w:rsidP="00AF2AEA">
            <w:pPr>
              <w:pStyle w:val="Ingenmellomrom"/>
              <w:keepNext/>
              <w:spacing w:line="276" w:lineRule="auto"/>
              <w:jc w:val="center"/>
              <w:rPr>
                <w:rFonts w:ascii="Verdana" w:hAnsi="Verdana"/>
                <w:i/>
                <w:sz w:val="18"/>
                <w:lang w:val="en-GB"/>
              </w:rPr>
            </w:pPr>
            <w:r w:rsidRPr="006B1A5A">
              <w:rPr>
                <w:rFonts w:ascii="Verdana" w:hAnsi="Verdana"/>
                <w:i/>
                <w:sz w:val="18"/>
                <w:lang w:val="en-GB"/>
              </w:rPr>
              <w:t>See table below</w:t>
            </w:r>
          </w:p>
        </w:tc>
        <w:tc>
          <w:tcPr>
            <w:tcW w:w="1302" w:type="pct"/>
          </w:tcPr>
          <w:p w14:paraId="64138510" w14:textId="77777777" w:rsidR="001042DA" w:rsidRPr="006B1A5A" w:rsidRDefault="001042DA" w:rsidP="00AF2AEA">
            <w:pPr>
              <w:pStyle w:val="Ingenmellomrom"/>
              <w:keepNext/>
              <w:spacing w:line="276" w:lineRule="auto"/>
              <w:jc w:val="center"/>
              <w:rPr>
                <w:rFonts w:ascii="Verdana" w:hAnsi="Verdana"/>
                <w:b/>
                <w:sz w:val="18"/>
                <w:lang w:val="en-GB"/>
              </w:rPr>
            </w:pPr>
            <w:r w:rsidRPr="006B1A5A">
              <w:rPr>
                <w:rFonts w:ascii="Verdana" w:hAnsi="Verdana"/>
                <w:i/>
                <w:sz w:val="18"/>
                <w:lang w:val="en-GB"/>
              </w:rPr>
              <w:t>See table below</w:t>
            </w:r>
          </w:p>
        </w:tc>
      </w:tr>
      <w:tr w:rsidR="001042DA" w:rsidRPr="006B1A5A" w14:paraId="22318418" w14:textId="77777777" w:rsidTr="00AF2AEA">
        <w:tc>
          <w:tcPr>
            <w:tcW w:w="2596" w:type="pct"/>
            <w:vAlign w:val="center"/>
          </w:tcPr>
          <w:p w14:paraId="6B9F3C0D" w14:textId="77777777" w:rsidR="001042DA" w:rsidRPr="006B1A5A" w:rsidRDefault="001042DA" w:rsidP="00AF2AEA">
            <w:pPr>
              <w:pStyle w:val="Ingenmellomrom"/>
              <w:keepNext/>
              <w:spacing w:line="276" w:lineRule="auto"/>
              <w:rPr>
                <w:rFonts w:ascii="Verdana" w:hAnsi="Verdana"/>
                <w:sz w:val="18"/>
                <w:lang w:val="en-GB"/>
              </w:rPr>
            </w:pPr>
            <w:r w:rsidRPr="006B1A5A">
              <w:rPr>
                <w:rFonts w:ascii="Verdana" w:hAnsi="Verdana"/>
                <w:sz w:val="18"/>
                <w:lang w:val="en-GB"/>
              </w:rPr>
              <w:t>Number of nets per fish farm area, N</w:t>
            </w:r>
            <w:r w:rsidRPr="006B1A5A">
              <w:rPr>
                <w:rFonts w:ascii="Verdana" w:hAnsi="Verdana"/>
                <w:sz w:val="18"/>
                <w:vertAlign w:val="subscript"/>
                <w:lang w:val="en-GB"/>
              </w:rPr>
              <w:t>net</w:t>
            </w:r>
          </w:p>
        </w:tc>
        <w:tc>
          <w:tcPr>
            <w:tcW w:w="1102" w:type="pct"/>
            <w:vAlign w:val="center"/>
          </w:tcPr>
          <w:p w14:paraId="56CFB69B" w14:textId="77777777" w:rsidR="001042DA" w:rsidRPr="006B1A5A" w:rsidRDefault="001042DA" w:rsidP="00AF2AEA">
            <w:pPr>
              <w:pStyle w:val="Ingenmellomrom"/>
              <w:keepNext/>
              <w:spacing w:line="276" w:lineRule="auto"/>
              <w:jc w:val="center"/>
              <w:rPr>
                <w:rFonts w:ascii="Verdana" w:hAnsi="Verdana"/>
                <w:sz w:val="18"/>
                <w:lang w:val="en-GB"/>
              </w:rPr>
            </w:pPr>
            <w:r w:rsidRPr="006B1A5A">
              <w:rPr>
                <w:rFonts w:ascii="Verdana" w:hAnsi="Verdana"/>
                <w:sz w:val="18"/>
                <w:lang w:val="en-GB"/>
              </w:rPr>
              <w:t>10</w:t>
            </w:r>
          </w:p>
        </w:tc>
        <w:tc>
          <w:tcPr>
            <w:tcW w:w="1302" w:type="pct"/>
          </w:tcPr>
          <w:p w14:paraId="799D4A1F" w14:textId="77777777" w:rsidR="001042DA" w:rsidRPr="006B1A5A" w:rsidRDefault="001042DA" w:rsidP="00AF2AEA">
            <w:pPr>
              <w:pStyle w:val="Ingenmellomrom"/>
              <w:keepNext/>
              <w:spacing w:line="276" w:lineRule="auto"/>
              <w:jc w:val="center"/>
              <w:rPr>
                <w:rFonts w:ascii="Verdana" w:hAnsi="Verdana"/>
                <w:sz w:val="18"/>
                <w:lang w:val="en-GB"/>
              </w:rPr>
            </w:pPr>
            <w:r w:rsidRPr="006B1A5A">
              <w:rPr>
                <w:rFonts w:ascii="Verdana" w:hAnsi="Verdana"/>
                <w:sz w:val="18"/>
                <w:lang w:val="en-GB"/>
              </w:rPr>
              <w:t>10</w:t>
            </w:r>
          </w:p>
        </w:tc>
      </w:tr>
      <w:tr w:rsidR="001042DA" w:rsidRPr="006B1A5A" w14:paraId="26F78CA7" w14:textId="77777777" w:rsidTr="00AF2AEA">
        <w:tc>
          <w:tcPr>
            <w:tcW w:w="2596" w:type="pct"/>
            <w:vAlign w:val="center"/>
          </w:tcPr>
          <w:p w14:paraId="60A557DF" w14:textId="77777777" w:rsidR="001042DA" w:rsidRPr="006B1A5A" w:rsidRDefault="001042DA" w:rsidP="00AF2AEA">
            <w:pPr>
              <w:pStyle w:val="Ingenmellomrom"/>
              <w:keepNext/>
              <w:spacing w:line="276" w:lineRule="auto"/>
              <w:rPr>
                <w:rFonts w:ascii="Verdana" w:hAnsi="Verdana"/>
                <w:sz w:val="18"/>
                <w:lang w:val="en-GB"/>
              </w:rPr>
            </w:pPr>
            <w:r w:rsidRPr="006B1A5A">
              <w:rPr>
                <w:rFonts w:ascii="Verdana" w:hAnsi="Verdana"/>
                <w:sz w:val="18"/>
                <w:lang w:val="en-GB"/>
              </w:rPr>
              <w:t>Area of each net, Area</w:t>
            </w:r>
            <w:r w:rsidRPr="006B1A5A">
              <w:rPr>
                <w:rFonts w:ascii="Verdana" w:hAnsi="Verdana"/>
                <w:sz w:val="18"/>
                <w:vertAlign w:val="subscript"/>
                <w:lang w:val="en-GB"/>
              </w:rPr>
              <w:t>net</w:t>
            </w:r>
          </w:p>
        </w:tc>
        <w:tc>
          <w:tcPr>
            <w:tcW w:w="1102" w:type="pct"/>
            <w:vAlign w:val="center"/>
          </w:tcPr>
          <w:p w14:paraId="4228E6F8" w14:textId="77777777" w:rsidR="001042DA" w:rsidRPr="006B1A5A" w:rsidRDefault="001042DA" w:rsidP="00AF2AEA">
            <w:pPr>
              <w:pStyle w:val="Ingenmellomrom"/>
              <w:keepNext/>
              <w:spacing w:line="276" w:lineRule="auto"/>
              <w:jc w:val="center"/>
              <w:rPr>
                <w:rFonts w:ascii="Verdana" w:hAnsi="Verdana"/>
                <w:sz w:val="18"/>
                <w:lang w:val="en-GB"/>
              </w:rPr>
            </w:pPr>
            <w:r w:rsidRPr="006B1A5A">
              <w:rPr>
                <w:rFonts w:ascii="Verdana" w:hAnsi="Verdana"/>
                <w:sz w:val="18"/>
                <w:lang w:val="en-GB"/>
              </w:rPr>
              <w:t>5103 m</w:t>
            </w:r>
            <w:r w:rsidRPr="006B1A5A">
              <w:rPr>
                <w:rFonts w:ascii="Verdana" w:hAnsi="Verdana"/>
                <w:sz w:val="18"/>
                <w:vertAlign w:val="superscript"/>
                <w:lang w:val="en-GB"/>
              </w:rPr>
              <w:t>2</w:t>
            </w:r>
          </w:p>
        </w:tc>
        <w:tc>
          <w:tcPr>
            <w:tcW w:w="1302" w:type="pct"/>
          </w:tcPr>
          <w:p w14:paraId="36319395" w14:textId="77777777" w:rsidR="001042DA" w:rsidRPr="006B1A5A" w:rsidRDefault="001042DA" w:rsidP="00AF2AEA">
            <w:pPr>
              <w:pStyle w:val="Ingenmellomrom"/>
              <w:keepNext/>
              <w:spacing w:line="276" w:lineRule="auto"/>
              <w:jc w:val="center"/>
              <w:rPr>
                <w:rFonts w:ascii="Verdana" w:hAnsi="Verdana"/>
                <w:sz w:val="18"/>
                <w:lang w:val="en-GB"/>
              </w:rPr>
            </w:pPr>
            <w:r w:rsidRPr="006B1A5A">
              <w:rPr>
                <w:rFonts w:ascii="Verdana" w:hAnsi="Verdana"/>
                <w:sz w:val="18"/>
                <w:lang w:val="en-GB"/>
              </w:rPr>
              <w:t>7770 m</w:t>
            </w:r>
            <w:r w:rsidRPr="006B1A5A">
              <w:rPr>
                <w:rFonts w:ascii="Verdana" w:hAnsi="Verdana"/>
                <w:sz w:val="18"/>
                <w:vertAlign w:val="superscript"/>
                <w:lang w:val="en-GB"/>
              </w:rPr>
              <w:t>2</w:t>
            </w:r>
            <w:r w:rsidRPr="006B1A5A">
              <w:rPr>
                <w:rFonts w:ascii="Verdana" w:hAnsi="Verdana"/>
                <w:sz w:val="18"/>
                <w:lang w:val="en-GB"/>
              </w:rPr>
              <w:t xml:space="preserve"> </w:t>
            </w:r>
          </w:p>
        </w:tc>
      </w:tr>
      <w:tr w:rsidR="001042DA" w:rsidRPr="006B1A5A" w14:paraId="08A76A37" w14:textId="77777777" w:rsidTr="00AF2AEA">
        <w:tc>
          <w:tcPr>
            <w:tcW w:w="2596" w:type="pct"/>
            <w:vAlign w:val="center"/>
          </w:tcPr>
          <w:p w14:paraId="01DBAE20" w14:textId="77777777" w:rsidR="001042DA" w:rsidRPr="006B1A5A" w:rsidRDefault="001042DA" w:rsidP="00AF2AEA">
            <w:pPr>
              <w:pStyle w:val="Ingenmellomrom"/>
              <w:keepNext/>
              <w:spacing w:line="276" w:lineRule="auto"/>
              <w:rPr>
                <w:rFonts w:ascii="Verdana" w:hAnsi="Verdana"/>
                <w:sz w:val="18"/>
                <w:lang w:val="en-GB"/>
              </w:rPr>
            </w:pPr>
            <w:r w:rsidRPr="006B1A5A">
              <w:rPr>
                <w:rFonts w:ascii="Verdana" w:hAnsi="Verdana"/>
                <w:sz w:val="18"/>
                <w:lang w:val="en-GB"/>
              </w:rPr>
              <w:t>Weight per m</w:t>
            </w:r>
            <w:r w:rsidRPr="006B1A5A">
              <w:rPr>
                <w:rFonts w:ascii="Verdana" w:hAnsi="Verdana"/>
                <w:sz w:val="18"/>
                <w:vertAlign w:val="superscript"/>
                <w:lang w:val="en-GB"/>
              </w:rPr>
              <w:t xml:space="preserve">2 </w:t>
            </w:r>
            <w:r w:rsidRPr="006B1A5A">
              <w:rPr>
                <w:rFonts w:ascii="Verdana" w:hAnsi="Verdana"/>
                <w:sz w:val="18"/>
                <w:lang w:val="en-GB"/>
              </w:rPr>
              <w:t>of net, W</w:t>
            </w:r>
            <w:r w:rsidRPr="006B1A5A">
              <w:rPr>
                <w:rFonts w:ascii="Verdana" w:hAnsi="Verdana"/>
                <w:sz w:val="18"/>
                <w:vertAlign w:val="subscript"/>
                <w:lang w:val="en-GB"/>
              </w:rPr>
              <w:t>net</w:t>
            </w:r>
          </w:p>
        </w:tc>
        <w:tc>
          <w:tcPr>
            <w:tcW w:w="1102" w:type="pct"/>
            <w:vAlign w:val="center"/>
          </w:tcPr>
          <w:p w14:paraId="63B3B1BA" w14:textId="77777777" w:rsidR="001042DA" w:rsidRPr="006B1A5A" w:rsidRDefault="001042DA" w:rsidP="00AF2AEA">
            <w:pPr>
              <w:pStyle w:val="Ingenmellomrom"/>
              <w:keepNext/>
              <w:spacing w:line="276" w:lineRule="auto"/>
              <w:jc w:val="center"/>
              <w:rPr>
                <w:rFonts w:ascii="Verdana" w:hAnsi="Verdana"/>
                <w:sz w:val="18"/>
                <w:lang w:val="en-GB"/>
              </w:rPr>
            </w:pPr>
            <w:r w:rsidRPr="006B1A5A">
              <w:rPr>
                <w:rFonts w:ascii="Verdana" w:hAnsi="Verdana"/>
                <w:sz w:val="18"/>
                <w:lang w:val="en-GB"/>
              </w:rPr>
              <w:t>0.36 kg/m</w:t>
            </w:r>
            <w:r w:rsidRPr="006B1A5A">
              <w:rPr>
                <w:rFonts w:ascii="Verdana" w:hAnsi="Verdana"/>
                <w:sz w:val="18"/>
                <w:vertAlign w:val="superscript"/>
                <w:lang w:val="en-GB"/>
              </w:rPr>
              <w:t>2</w:t>
            </w:r>
          </w:p>
        </w:tc>
        <w:tc>
          <w:tcPr>
            <w:tcW w:w="1302" w:type="pct"/>
            <w:vAlign w:val="center"/>
          </w:tcPr>
          <w:p w14:paraId="7FB61DF0" w14:textId="77777777" w:rsidR="001042DA" w:rsidRPr="006B1A5A" w:rsidRDefault="001042DA" w:rsidP="00AF2AEA">
            <w:pPr>
              <w:pStyle w:val="Ingenmellomrom"/>
              <w:keepNext/>
              <w:spacing w:line="276" w:lineRule="auto"/>
              <w:jc w:val="center"/>
              <w:rPr>
                <w:rFonts w:ascii="Verdana" w:hAnsi="Verdana"/>
                <w:sz w:val="18"/>
                <w:lang w:val="en-GB"/>
              </w:rPr>
            </w:pPr>
            <w:r w:rsidRPr="006B1A5A">
              <w:rPr>
                <w:rFonts w:ascii="Verdana" w:hAnsi="Verdana"/>
                <w:sz w:val="18"/>
                <w:lang w:val="en-GB"/>
              </w:rPr>
              <w:t>0.36 kg/m</w:t>
            </w:r>
            <w:r w:rsidRPr="006B1A5A">
              <w:rPr>
                <w:rFonts w:ascii="Verdana" w:hAnsi="Verdana"/>
                <w:sz w:val="18"/>
                <w:vertAlign w:val="superscript"/>
                <w:lang w:val="en-GB"/>
              </w:rPr>
              <w:t>2</w:t>
            </w:r>
          </w:p>
        </w:tc>
      </w:tr>
      <w:tr w:rsidR="001042DA" w:rsidRPr="006B1A5A" w14:paraId="0D8FA752" w14:textId="77777777" w:rsidTr="00AF2AEA">
        <w:tc>
          <w:tcPr>
            <w:tcW w:w="2596" w:type="pct"/>
            <w:vAlign w:val="center"/>
          </w:tcPr>
          <w:p w14:paraId="19A2745C" w14:textId="77777777" w:rsidR="001042DA" w:rsidRPr="006B1A5A" w:rsidRDefault="001042DA" w:rsidP="00AF2AEA">
            <w:pPr>
              <w:pStyle w:val="Ingenmellomrom"/>
              <w:keepNext/>
              <w:spacing w:line="276" w:lineRule="auto"/>
              <w:rPr>
                <w:rFonts w:ascii="Verdana" w:hAnsi="Verdana"/>
                <w:sz w:val="18"/>
                <w:lang w:val="en-GB"/>
              </w:rPr>
            </w:pPr>
            <w:r w:rsidRPr="006B1A5A">
              <w:rPr>
                <w:rFonts w:ascii="Verdana" w:hAnsi="Verdana"/>
                <w:sz w:val="18"/>
                <w:lang w:val="en-GB"/>
              </w:rPr>
              <w:t>Coverage of product (amount of product used per kg net)</w:t>
            </w:r>
          </w:p>
        </w:tc>
        <w:tc>
          <w:tcPr>
            <w:tcW w:w="1102" w:type="pct"/>
            <w:vAlign w:val="center"/>
          </w:tcPr>
          <w:p w14:paraId="08569FA1" w14:textId="77777777" w:rsidR="001042DA" w:rsidRPr="006B1A5A" w:rsidRDefault="001042DA" w:rsidP="00AF2AEA">
            <w:pPr>
              <w:pStyle w:val="Ingenmellomrom"/>
              <w:keepNext/>
              <w:spacing w:line="276" w:lineRule="auto"/>
              <w:jc w:val="center"/>
              <w:rPr>
                <w:rFonts w:ascii="Verdana" w:hAnsi="Verdana"/>
                <w:sz w:val="18"/>
                <w:lang w:val="en-GB"/>
              </w:rPr>
            </w:pPr>
            <w:r w:rsidRPr="006B1A5A">
              <w:rPr>
                <w:rFonts w:ascii="Verdana" w:hAnsi="Verdana"/>
                <w:sz w:val="18"/>
                <w:lang w:val="en-GB"/>
              </w:rPr>
              <w:t>1 L/kg</w:t>
            </w:r>
          </w:p>
        </w:tc>
        <w:tc>
          <w:tcPr>
            <w:tcW w:w="1302" w:type="pct"/>
            <w:vAlign w:val="center"/>
          </w:tcPr>
          <w:p w14:paraId="7E368B6C" w14:textId="77777777" w:rsidR="001042DA" w:rsidRPr="006B1A5A" w:rsidRDefault="001042DA" w:rsidP="00AF2AEA">
            <w:pPr>
              <w:pStyle w:val="Ingenmellomrom"/>
              <w:keepNext/>
              <w:spacing w:line="276" w:lineRule="auto"/>
              <w:jc w:val="center"/>
              <w:rPr>
                <w:rFonts w:ascii="Verdana" w:hAnsi="Verdana"/>
                <w:sz w:val="18"/>
                <w:lang w:val="en-GB"/>
              </w:rPr>
            </w:pPr>
            <w:r w:rsidRPr="006B1A5A">
              <w:rPr>
                <w:rFonts w:ascii="Verdana" w:hAnsi="Verdana"/>
                <w:sz w:val="18"/>
                <w:lang w:val="en-GB"/>
              </w:rPr>
              <w:t>1 L/kg</w:t>
            </w:r>
          </w:p>
        </w:tc>
      </w:tr>
      <w:tr w:rsidR="001042DA" w:rsidRPr="006B1A5A" w14:paraId="1220DC29" w14:textId="77777777" w:rsidTr="00AF2AEA">
        <w:tc>
          <w:tcPr>
            <w:tcW w:w="2596" w:type="pct"/>
            <w:vAlign w:val="center"/>
          </w:tcPr>
          <w:p w14:paraId="5B12BCA5" w14:textId="77777777" w:rsidR="001042DA" w:rsidRPr="006B1A5A" w:rsidRDefault="001042DA" w:rsidP="00AF2AEA">
            <w:pPr>
              <w:pStyle w:val="Ingenmellomrom"/>
              <w:keepNext/>
              <w:spacing w:line="276" w:lineRule="auto"/>
              <w:rPr>
                <w:rFonts w:ascii="Verdana" w:hAnsi="Verdana"/>
                <w:sz w:val="18"/>
                <w:lang w:val="en-GB"/>
              </w:rPr>
            </w:pPr>
            <w:r w:rsidRPr="006B1A5A">
              <w:rPr>
                <w:rFonts w:ascii="Verdana" w:hAnsi="Verdana"/>
                <w:sz w:val="18"/>
                <w:lang w:val="en-GB"/>
              </w:rPr>
              <w:t>Fraction of released a.i. per deployment time of nets, F</w:t>
            </w:r>
            <w:r w:rsidRPr="006B1A5A">
              <w:rPr>
                <w:rFonts w:ascii="Verdana" w:hAnsi="Verdana"/>
                <w:sz w:val="18"/>
                <w:vertAlign w:val="subscript"/>
                <w:lang w:val="en-GB"/>
              </w:rPr>
              <w:t>a.i.</w:t>
            </w:r>
          </w:p>
        </w:tc>
        <w:tc>
          <w:tcPr>
            <w:tcW w:w="1102" w:type="pct"/>
            <w:vAlign w:val="center"/>
          </w:tcPr>
          <w:p w14:paraId="78DBE732" w14:textId="77777777" w:rsidR="001042DA" w:rsidRPr="006B1A5A" w:rsidRDefault="001042DA" w:rsidP="00AF2AEA">
            <w:pPr>
              <w:pStyle w:val="Ingenmellomrom"/>
              <w:keepNext/>
              <w:spacing w:line="276" w:lineRule="auto"/>
              <w:jc w:val="center"/>
              <w:rPr>
                <w:rFonts w:ascii="Verdana" w:hAnsi="Verdana"/>
                <w:sz w:val="18"/>
                <w:lang w:val="en-GB"/>
              </w:rPr>
            </w:pPr>
            <w:r w:rsidRPr="006B1A5A">
              <w:rPr>
                <w:rFonts w:ascii="Verdana" w:hAnsi="Verdana"/>
                <w:sz w:val="18"/>
                <w:lang w:val="en-GB"/>
              </w:rPr>
              <w:t>0.8</w:t>
            </w:r>
          </w:p>
        </w:tc>
        <w:tc>
          <w:tcPr>
            <w:tcW w:w="1302" w:type="pct"/>
            <w:vAlign w:val="center"/>
          </w:tcPr>
          <w:p w14:paraId="27416087" w14:textId="77777777" w:rsidR="001042DA" w:rsidRPr="006B1A5A" w:rsidRDefault="001042DA" w:rsidP="00AF2AEA">
            <w:pPr>
              <w:pStyle w:val="Ingenmellomrom"/>
              <w:keepNext/>
              <w:spacing w:line="276" w:lineRule="auto"/>
              <w:jc w:val="center"/>
              <w:rPr>
                <w:rFonts w:ascii="Verdana" w:hAnsi="Verdana"/>
                <w:sz w:val="18"/>
                <w:lang w:val="en-GB"/>
              </w:rPr>
            </w:pPr>
            <w:r w:rsidRPr="006B1A5A">
              <w:rPr>
                <w:rFonts w:ascii="Verdana" w:hAnsi="Verdana"/>
                <w:sz w:val="18"/>
                <w:lang w:val="en-GB"/>
              </w:rPr>
              <w:t>0.8</w:t>
            </w:r>
          </w:p>
        </w:tc>
      </w:tr>
      <w:tr w:rsidR="001042DA" w:rsidRPr="006B1A5A" w14:paraId="61AD896F" w14:textId="77777777" w:rsidTr="00AF2AEA">
        <w:tc>
          <w:tcPr>
            <w:tcW w:w="2596" w:type="pct"/>
            <w:vAlign w:val="center"/>
          </w:tcPr>
          <w:p w14:paraId="11AABE74" w14:textId="77777777" w:rsidR="001042DA" w:rsidRPr="006B1A5A" w:rsidRDefault="001042DA" w:rsidP="00AF2AEA">
            <w:pPr>
              <w:pStyle w:val="Ingenmellomrom"/>
              <w:spacing w:line="276" w:lineRule="auto"/>
              <w:rPr>
                <w:rFonts w:ascii="Verdana" w:hAnsi="Verdana"/>
                <w:sz w:val="18"/>
                <w:lang w:val="en-GB"/>
              </w:rPr>
            </w:pPr>
            <w:r w:rsidRPr="006B1A5A">
              <w:rPr>
                <w:rFonts w:ascii="Verdana" w:hAnsi="Verdana"/>
                <w:sz w:val="18"/>
                <w:lang w:val="en-GB"/>
              </w:rPr>
              <w:t xml:space="preserve">Time net is deployed in water, T </w:t>
            </w:r>
            <w:r w:rsidRPr="006B1A5A">
              <w:rPr>
                <w:rFonts w:ascii="Verdana" w:hAnsi="Verdana"/>
                <w:sz w:val="18"/>
                <w:vertAlign w:val="subscript"/>
                <w:lang w:val="en-GB"/>
              </w:rPr>
              <w:t>deployment</w:t>
            </w:r>
          </w:p>
        </w:tc>
        <w:tc>
          <w:tcPr>
            <w:tcW w:w="1102" w:type="pct"/>
            <w:vAlign w:val="center"/>
          </w:tcPr>
          <w:p w14:paraId="5E592C66"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180 days</w:t>
            </w:r>
          </w:p>
        </w:tc>
        <w:tc>
          <w:tcPr>
            <w:tcW w:w="1302" w:type="pct"/>
            <w:vAlign w:val="center"/>
          </w:tcPr>
          <w:p w14:paraId="1E09311B"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180 days</w:t>
            </w:r>
          </w:p>
        </w:tc>
      </w:tr>
      <w:tr w:rsidR="001042DA" w:rsidRPr="006B1A5A" w14:paraId="3C353D46" w14:textId="77777777" w:rsidTr="00AF2AEA">
        <w:tc>
          <w:tcPr>
            <w:tcW w:w="2596" w:type="pct"/>
            <w:vAlign w:val="center"/>
          </w:tcPr>
          <w:p w14:paraId="597E631B" w14:textId="77777777" w:rsidR="001042DA" w:rsidRPr="006B1A5A" w:rsidRDefault="001042DA" w:rsidP="00AF2AEA">
            <w:pPr>
              <w:pStyle w:val="Ingenmellomrom"/>
              <w:spacing w:line="276" w:lineRule="auto"/>
              <w:rPr>
                <w:rFonts w:ascii="Verdana" w:hAnsi="Verdana"/>
                <w:sz w:val="18"/>
                <w:lang w:val="en-GB"/>
              </w:rPr>
            </w:pPr>
            <w:r w:rsidRPr="006B1A5A">
              <w:rPr>
                <w:rFonts w:ascii="Verdana" w:hAnsi="Verdana"/>
                <w:sz w:val="18"/>
                <w:lang w:val="en-GB"/>
              </w:rPr>
              <w:t>Fish farm area (length [x] × width [y])</w:t>
            </w:r>
          </w:p>
        </w:tc>
        <w:tc>
          <w:tcPr>
            <w:tcW w:w="1102" w:type="pct"/>
            <w:vAlign w:val="center"/>
          </w:tcPr>
          <w:p w14:paraId="60ACDF58"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300 × 450 m</w:t>
            </w:r>
          </w:p>
        </w:tc>
        <w:tc>
          <w:tcPr>
            <w:tcW w:w="1302" w:type="pct"/>
          </w:tcPr>
          <w:p w14:paraId="63011952"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 xml:space="preserve">280 × 610 m </w:t>
            </w:r>
          </w:p>
        </w:tc>
      </w:tr>
      <w:tr w:rsidR="001042DA" w:rsidRPr="006B1A5A" w14:paraId="49247A05" w14:textId="77777777" w:rsidTr="00AF2AEA">
        <w:tc>
          <w:tcPr>
            <w:tcW w:w="2596" w:type="pct"/>
            <w:vAlign w:val="center"/>
          </w:tcPr>
          <w:p w14:paraId="617C8224" w14:textId="77777777" w:rsidR="001042DA" w:rsidRPr="006B1A5A" w:rsidRDefault="001042DA" w:rsidP="00AF2AEA">
            <w:pPr>
              <w:pStyle w:val="Ingenmellomrom"/>
              <w:spacing w:line="276" w:lineRule="auto"/>
              <w:rPr>
                <w:rFonts w:ascii="Verdana" w:hAnsi="Verdana"/>
                <w:sz w:val="18"/>
                <w:lang w:val="en-GB"/>
              </w:rPr>
            </w:pPr>
            <w:r w:rsidRPr="006B1A5A">
              <w:rPr>
                <w:rFonts w:ascii="Verdana" w:hAnsi="Verdana"/>
                <w:sz w:val="18"/>
                <w:lang w:val="en-GB"/>
              </w:rPr>
              <w:t>Sea depth</w:t>
            </w:r>
          </w:p>
        </w:tc>
        <w:tc>
          <w:tcPr>
            <w:tcW w:w="1102" w:type="pct"/>
            <w:vAlign w:val="center"/>
          </w:tcPr>
          <w:p w14:paraId="00998582"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30 m</w:t>
            </w:r>
          </w:p>
        </w:tc>
        <w:tc>
          <w:tcPr>
            <w:tcW w:w="1302" w:type="pct"/>
          </w:tcPr>
          <w:p w14:paraId="1CA38B52"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60 m</w:t>
            </w:r>
          </w:p>
        </w:tc>
      </w:tr>
      <w:tr w:rsidR="001042DA" w:rsidRPr="006B1A5A" w14:paraId="4BE2C353" w14:textId="77777777" w:rsidTr="00AF2AEA">
        <w:tc>
          <w:tcPr>
            <w:tcW w:w="2596" w:type="pct"/>
            <w:vAlign w:val="center"/>
          </w:tcPr>
          <w:p w14:paraId="1769DDC2" w14:textId="77777777" w:rsidR="001042DA" w:rsidRPr="006B1A5A" w:rsidRDefault="001042DA" w:rsidP="00AF2AEA">
            <w:pPr>
              <w:pStyle w:val="Ingenmellomrom"/>
              <w:spacing w:line="276" w:lineRule="auto"/>
              <w:rPr>
                <w:rFonts w:ascii="Verdana" w:hAnsi="Verdana"/>
                <w:sz w:val="18"/>
                <w:lang w:val="en-GB"/>
              </w:rPr>
            </w:pPr>
            <w:r w:rsidRPr="006B1A5A">
              <w:rPr>
                <w:rFonts w:ascii="Verdana" w:hAnsi="Verdana"/>
                <w:sz w:val="18"/>
                <w:lang w:val="en-GB"/>
              </w:rPr>
              <w:t>Flow velocity</w:t>
            </w:r>
          </w:p>
        </w:tc>
        <w:tc>
          <w:tcPr>
            <w:tcW w:w="1102" w:type="pct"/>
            <w:vAlign w:val="center"/>
          </w:tcPr>
          <w:p w14:paraId="536D25A8"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3 cm/s</w:t>
            </w:r>
          </w:p>
        </w:tc>
        <w:tc>
          <w:tcPr>
            <w:tcW w:w="1302" w:type="pct"/>
          </w:tcPr>
          <w:p w14:paraId="1D4A7121"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3.2 cm/s</w:t>
            </w:r>
          </w:p>
        </w:tc>
      </w:tr>
      <w:tr w:rsidR="001042DA" w:rsidRPr="006B1A5A" w14:paraId="4FF32CE0" w14:textId="77777777" w:rsidTr="00AF2AEA">
        <w:tc>
          <w:tcPr>
            <w:tcW w:w="2596" w:type="pct"/>
            <w:vAlign w:val="center"/>
          </w:tcPr>
          <w:p w14:paraId="556C13CE" w14:textId="77777777" w:rsidR="001042DA" w:rsidRPr="006B1A5A" w:rsidRDefault="001042DA" w:rsidP="00AF2AEA">
            <w:pPr>
              <w:pStyle w:val="Ingenmellomrom"/>
              <w:spacing w:line="276" w:lineRule="auto"/>
              <w:rPr>
                <w:rFonts w:ascii="Verdana" w:hAnsi="Verdana"/>
                <w:sz w:val="18"/>
                <w:lang w:val="en-GB"/>
              </w:rPr>
            </w:pPr>
            <w:r w:rsidRPr="006B1A5A">
              <w:rPr>
                <w:rFonts w:ascii="Verdana" w:hAnsi="Verdana"/>
                <w:sz w:val="18"/>
                <w:lang w:val="en-GB"/>
              </w:rPr>
              <w:t>Salinity</w:t>
            </w:r>
          </w:p>
        </w:tc>
        <w:tc>
          <w:tcPr>
            <w:tcW w:w="1102" w:type="pct"/>
            <w:vAlign w:val="center"/>
          </w:tcPr>
          <w:p w14:paraId="2E4098B5"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34 psu</w:t>
            </w:r>
          </w:p>
        </w:tc>
        <w:tc>
          <w:tcPr>
            <w:tcW w:w="1302" w:type="pct"/>
          </w:tcPr>
          <w:p w14:paraId="7F2F2D8B"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33.2 psu</w:t>
            </w:r>
          </w:p>
        </w:tc>
      </w:tr>
      <w:tr w:rsidR="001042DA" w:rsidRPr="006B1A5A" w14:paraId="4C3661DA" w14:textId="77777777" w:rsidTr="00AF2AEA">
        <w:tc>
          <w:tcPr>
            <w:tcW w:w="2596" w:type="pct"/>
            <w:vAlign w:val="center"/>
          </w:tcPr>
          <w:p w14:paraId="3F0D5F1F" w14:textId="77777777" w:rsidR="001042DA" w:rsidRPr="006B1A5A" w:rsidRDefault="001042DA" w:rsidP="00AF2AEA">
            <w:pPr>
              <w:pStyle w:val="Ingenmellomrom"/>
              <w:spacing w:line="276" w:lineRule="auto"/>
              <w:rPr>
                <w:rFonts w:ascii="Verdana" w:hAnsi="Verdana"/>
                <w:sz w:val="18"/>
                <w:lang w:val="en-GB"/>
              </w:rPr>
            </w:pPr>
            <w:r w:rsidRPr="006B1A5A">
              <w:rPr>
                <w:rFonts w:ascii="Verdana" w:hAnsi="Verdana"/>
                <w:sz w:val="18"/>
                <w:lang w:val="en-GB"/>
              </w:rPr>
              <w:t xml:space="preserve">Temperature </w:t>
            </w:r>
          </w:p>
        </w:tc>
        <w:tc>
          <w:tcPr>
            <w:tcW w:w="1102" w:type="pct"/>
            <w:vAlign w:val="center"/>
          </w:tcPr>
          <w:p w14:paraId="7F07089E"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9 °C</w:t>
            </w:r>
          </w:p>
        </w:tc>
        <w:tc>
          <w:tcPr>
            <w:tcW w:w="1302" w:type="pct"/>
          </w:tcPr>
          <w:p w14:paraId="4BE285DE"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 xml:space="preserve">8.6 °C </w:t>
            </w:r>
          </w:p>
        </w:tc>
      </w:tr>
    </w:tbl>
    <w:p w14:paraId="5D54B79E" w14:textId="77777777" w:rsidR="001042DA" w:rsidRPr="006B1A5A" w:rsidRDefault="001042DA" w:rsidP="001042DA">
      <w:pPr>
        <w:rPr>
          <w:rFonts w:eastAsia="Calibri"/>
          <w:bCs/>
          <w:sz w:val="18"/>
          <w:szCs w:val="18"/>
          <w:lang w:eastAsia="en-US"/>
        </w:rPr>
      </w:pPr>
      <w:r w:rsidRPr="006B1A5A">
        <w:rPr>
          <w:rFonts w:eastAsia="Calibri"/>
          <w:bCs/>
          <w:sz w:val="18"/>
          <w:szCs w:val="18"/>
          <w:vertAlign w:val="superscript"/>
          <w:lang w:eastAsia="en-US"/>
        </w:rPr>
        <w:t>1</w:t>
      </w:r>
      <w:r w:rsidRPr="006B1A5A">
        <w:rPr>
          <w:rFonts w:eastAsia="Calibri"/>
          <w:bCs/>
          <w:sz w:val="18"/>
          <w:szCs w:val="18"/>
          <w:lang w:eastAsia="en-US"/>
        </w:rPr>
        <w:t xml:space="preserve"> Please see the </w:t>
      </w:r>
      <w:hyperlink r:id="rId29" w:tgtFrame="_blank" w:history="1">
        <w:r w:rsidRPr="006B1A5A">
          <w:rPr>
            <w:rStyle w:val="Hyperkobling"/>
            <w:rFonts w:eastAsia="Calibri"/>
            <w:bCs/>
            <w:sz w:val="18"/>
            <w:szCs w:val="18"/>
            <w:lang w:eastAsia="en-US"/>
          </w:rPr>
          <w:t>Emission scenario for nets used in fish farms (NO, 2015)</w:t>
        </w:r>
      </w:hyperlink>
      <w:r w:rsidRPr="006B1A5A">
        <w:rPr>
          <w:rFonts w:eastAsia="Calibri"/>
          <w:bCs/>
          <w:sz w:val="18"/>
          <w:szCs w:val="18"/>
          <w:lang w:eastAsia="en-US"/>
        </w:rPr>
        <w:t xml:space="preserve"> available from ECHA's webpage for the full set of parameters.</w:t>
      </w:r>
    </w:p>
    <w:p w14:paraId="2E635A70" w14:textId="77777777" w:rsidR="008D029C" w:rsidRPr="00092136" w:rsidRDefault="001042DA" w:rsidP="008D029C">
      <w:pPr>
        <w:widowControl w:val="0"/>
        <w:rPr>
          <w:rFonts w:eastAsia="Calibri"/>
          <w:bCs/>
          <w:sz w:val="18"/>
          <w:szCs w:val="18"/>
          <w:lang w:eastAsia="en-US"/>
        </w:rPr>
      </w:pPr>
      <w:r w:rsidRPr="006B1A5A">
        <w:rPr>
          <w:rFonts w:eastAsia="Calibri"/>
          <w:bCs/>
          <w:sz w:val="18"/>
          <w:szCs w:val="18"/>
          <w:vertAlign w:val="superscript"/>
          <w:lang w:eastAsia="en-US"/>
        </w:rPr>
        <w:t>2</w:t>
      </w:r>
      <w:r w:rsidRPr="006B1A5A">
        <w:rPr>
          <w:rFonts w:eastAsia="Calibri"/>
          <w:bCs/>
          <w:sz w:val="18"/>
          <w:szCs w:val="18"/>
          <w:lang w:eastAsia="en-US"/>
        </w:rPr>
        <w:t xml:space="preserve"> </w:t>
      </w:r>
      <w:r w:rsidR="008D029C">
        <w:rPr>
          <w:rFonts w:eastAsia="Calibri"/>
          <w:bCs/>
          <w:sz w:val="18"/>
          <w:szCs w:val="18"/>
          <w:lang w:eastAsia="en-US"/>
        </w:rPr>
        <w:t xml:space="preserve">Please see the </w:t>
      </w:r>
      <w:hyperlink r:id="rId30" w:history="1">
        <w:r w:rsidR="008D029C" w:rsidRPr="001D6DDB">
          <w:rPr>
            <w:rStyle w:val="Hyperkobling"/>
            <w:rFonts w:eastAsia="Calibri"/>
            <w:bCs/>
            <w:sz w:val="18"/>
            <w:szCs w:val="18"/>
            <w:lang w:eastAsia="en-US"/>
          </w:rPr>
          <w:t>Norwegian fish farm scenario (NO, 2019)</w:t>
        </w:r>
      </w:hyperlink>
      <w:r w:rsidR="008D029C">
        <w:rPr>
          <w:rFonts w:eastAsia="Calibri"/>
          <w:bCs/>
          <w:sz w:val="18"/>
          <w:szCs w:val="18"/>
          <w:lang w:eastAsia="en-US"/>
        </w:rPr>
        <w:t xml:space="preserve"> for the full set of parameters. </w:t>
      </w:r>
    </w:p>
    <w:p w14:paraId="161516EC" w14:textId="34915653" w:rsidR="001042DA" w:rsidRPr="006B1A5A" w:rsidRDefault="001042DA" w:rsidP="001042DA">
      <w:pPr>
        <w:widowControl w:val="0"/>
        <w:rPr>
          <w:rFonts w:eastAsia="Calibri"/>
          <w:bCs/>
          <w:sz w:val="18"/>
          <w:szCs w:val="18"/>
          <w:lang w:eastAsia="en-US"/>
        </w:rPr>
      </w:pPr>
    </w:p>
    <w:bookmarkEnd w:id="1737"/>
    <w:p w14:paraId="421D0C23" w14:textId="77777777" w:rsidR="001042DA" w:rsidRPr="006B1A5A" w:rsidRDefault="001042DA" w:rsidP="001042DA">
      <w:pPr>
        <w:spacing w:line="260" w:lineRule="atLeast"/>
        <w:rPr>
          <w:rFonts w:eastAsia="Calibri"/>
          <w:b/>
          <w:bCs/>
          <w:highlight w:val="yellow"/>
          <w:lang w:eastAsia="en-US"/>
        </w:rPr>
      </w:pPr>
    </w:p>
    <w:p w14:paraId="6F678197" w14:textId="77777777" w:rsidR="001042DA" w:rsidRPr="006B1A5A" w:rsidRDefault="001042DA" w:rsidP="001042DA">
      <w:pPr>
        <w:rPr>
          <w:rFonts w:eastAsia="Calibri"/>
          <w:b/>
          <w:bCs/>
          <w:lang w:eastAsia="en-US"/>
        </w:rPr>
      </w:pPr>
      <w:bookmarkStart w:id="1738" w:name="_Hlk20223305"/>
      <w:r w:rsidRPr="006B1A5A">
        <w:rPr>
          <w:rFonts w:eastAsia="Calibri"/>
          <w:b/>
          <w:bCs/>
          <w:lang w:eastAsia="en-US"/>
        </w:rPr>
        <w:t>Active substances input parameters</w:t>
      </w:r>
    </w:p>
    <w:p w14:paraId="70E366C1" w14:textId="77777777" w:rsidR="001042DA" w:rsidRPr="006B1A5A" w:rsidRDefault="001042DA" w:rsidP="001042DA">
      <w:pPr>
        <w:spacing w:line="260" w:lineRule="atLeast"/>
        <w:rPr>
          <w:rFonts w:eastAsia="Calibri"/>
          <w:b/>
          <w:bCs/>
          <w:highlight w:val="yellow"/>
          <w:lang w:eastAsia="en-US"/>
        </w:rPr>
      </w:pP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0"/>
        <w:gridCol w:w="3802"/>
        <w:gridCol w:w="1152"/>
        <w:gridCol w:w="1324"/>
        <w:gridCol w:w="1346"/>
      </w:tblGrid>
      <w:tr w:rsidR="001042DA" w:rsidRPr="006B1A5A" w14:paraId="7AACEF0A" w14:textId="77777777" w:rsidTr="00AF2AEA">
        <w:tc>
          <w:tcPr>
            <w:tcW w:w="858" w:type="pct"/>
            <w:tcBorders>
              <w:top w:val="single" w:sz="4" w:space="0" w:color="auto"/>
              <w:left w:val="single" w:sz="4" w:space="0" w:color="auto"/>
              <w:bottom w:val="single" w:sz="4" w:space="0" w:color="auto"/>
              <w:right w:val="single" w:sz="4" w:space="0" w:color="auto"/>
            </w:tcBorders>
            <w:vAlign w:val="center"/>
          </w:tcPr>
          <w:p w14:paraId="5EE9DF57" w14:textId="77777777" w:rsidR="001042DA" w:rsidRPr="006B1A5A" w:rsidRDefault="001042DA" w:rsidP="00AF2AEA">
            <w:pPr>
              <w:pStyle w:val="Ingenmellomrom"/>
              <w:spacing w:line="276" w:lineRule="auto"/>
              <w:jc w:val="left"/>
              <w:rPr>
                <w:rFonts w:ascii="Verdana" w:hAnsi="Verdana"/>
                <w:b/>
                <w:sz w:val="18"/>
                <w:lang w:val="en-GB"/>
              </w:rPr>
            </w:pPr>
            <w:bookmarkStart w:id="1739" w:name="_Hlk499227779"/>
            <w:r w:rsidRPr="006B1A5A">
              <w:rPr>
                <w:rFonts w:ascii="Verdana" w:hAnsi="Verdana"/>
                <w:b/>
                <w:sz w:val="18"/>
                <w:lang w:val="en-GB"/>
              </w:rPr>
              <w:t>Active substance</w:t>
            </w:r>
          </w:p>
        </w:tc>
        <w:tc>
          <w:tcPr>
            <w:tcW w:w="2065" w:type="pct"/>
            <w:tcBorders>
              <w:top w:val="single" w:sz="4" w:space="0" w:color="auto"/>
              <w:left w:val="single" w:sz="4" w:space="0" w:color="auto"/>
              <w:bottom w:val="single" w:sz="4" w:space="0" w:color="auto"/>
              <w:right w:val="single" w:sz="4" w:space="0" w:color="auto"/>
            </w:tcBorders>
            <w:vAlign w:val="center"/>
          </w:tcPr>
          <w:p w14:paraId="4D29F5BB" w14:textId="77777777" w:rsidR="001042DA" w:rsidRPr="006B1A5A" w:rsidRDefault="001042DA" w:rsidP="00AF2AEA">
            <w:pPr>
              <w:pStyle w:val="Ingenmellomrom"/>
              <w:spacing w:line="276" w:lineRule="auto"/>
              <w:jc w:val="center"/>
              <w:rPr>
                <w:rFonts w:ascii="Verdana" w:hAnsi="Verdana"/>
                <w:b/>
                <w:sz w:val="18"/>
                <w:lang w:val="en-GB"/>
              </w:rPr>
            </w:pPr>
            <w:r w:rsidRPr="006B1A5A">
              <w:rPr>
                <w:rFonts w:ascii="Verdana" w:hAnsi="Verdana"/>
                <w:b/>
                <w:sz w:val="18"/>
                <w:lang w:val="en-GB"/>
              </w:rPr>
              <w:t>Parameter</w:t>
            </w:r>
          </w:p>
        </w:tc>
        <w:tc>
          <w:tcPr>
            <w:tcW w:w="626" w:type="pct"/>
            <w:tcBorders>
              <w:top w:val="single" w:sz="4" w:space="0" w:color="auto"/>
              <w:left w:val="single" w:sz="4" w:space="0" w:color="auto"/>
              <w:bottom w:val="single" w:sz="4" w:space="0" w:color="auto"/>
              <w:right w:val="single" w:sz="4" w:space="0" w:color="auto"/>
            </w:tcBorders>
            <w:vAlign w:val="center"/>
          </w:tcPr>
          <w:p w14:paraId="5DC4DAB4" w14:textId="77777777" w:rsidR="001042DA" w:rsidRPr="006B1A5A" w:rsidRDefault="001042DA" w:rsidP="00AF2AEA">
            <w:pPr>
              <w:pStyle w:val="Ingenmellomrom"/>
              <w:spacing w:line="276" w:lineRule="auto"/>
              <w:jc w:val="center"/>
              <w:rPr>
                <w:rFonts w:ascii="Verdana" w:hAnsi="Verdana"/>
                <w:b/>
                <w:sz w:val="18"/>
                <w:lang w:val="en-GB"/>
              </w:rPr>
            </w:pPr>
            <w:r w:rsidRPr="006B1A5A">
              <w:rPr>
                <w:rFonts w:ascii="Verdana" w:hAnsi="Verdana"/>
                <w:b/>
                <w:sz w:val="18"/>
                <w:lang w:val="en-GB"/>
              </w:rPr>
              <w:t>Unit</w:t>
            </w:r>
          </w:p>
        </w:tc>
        <w:tc>
          <w:tcPr>
            <w:tcW w:w="719" w:type="pct"/>
            <w:tcBorders>
              <w:top w:val="single" w:sz="4" w:space="0" w:color="auto"/>
              <w:left w:val="single" w:sz="4" w:space="0" w:color="auto"/>
              <w:bottom w:val="single" w:sz="4" w:space="0" w:color="auto"/>
              <w:right w:val="single" w:sz="4" w:space="0" w:color="auto"/>
            </w:tcBorders>
            <w:vAlign w:val="center"/>
          </w:tcPr>
          <w:p w14:paraId="64070813" w14:textId="77777777" w:rsidR="001042DA" w:rsidRPr="006B1A5A" w:rsidRDefault="001042DA" w:rsidP="00AF2AEA">
            <w:pPr>
              <w:pStyle w:val="Ingenmellomrom"/>
              <w:spacing w:line="276" w:lineRule="auto"/>
              <w:jc w:val="center"/>
              <w:rPr>
                <w:rFonts w:ascii="Verdana" w:hAnsi="Verdana"/>
                <w:b/>
                <w:sz w:val="18"/>
                <w:lang w:val="en-GB"/>
              </w:rPr>
            </w:pPr>
            <w:r w:rsidRPr="006B1A5A">
              <w:rPr>
                <w:rFonts w:ascii="Verdana" w:hAnsi="Verdana"/>
                <w:b/>
                <w:sz w:val="18"/>
                <w:lang w:val="en-GB"/>
              </w:rPr>
              <w:t>Value</w:t>
            </w:r>
          </w:p>
        </w:tc>
        <w:tc>
          <w:tcPr>
            <w:tcW w:w="731" w:type="pct"/>
            <w:tcBorders>
              <w:top w:val="single" w:sz="4" w:space="0" w:color="auto"/>
              <w:left w:val="single" w:sz="4" w:space="0" w:color="auto"/>
              <w:bottom w:val="single" w:sz="4" w:space="0" w:color="auto"/>
              <w:right w:val="single" w:sz="4" w:space="0" w:color="auto"/>
            </w:tcBorders>
            <w:vAlign w:val="center"/>
          </w:tcPr>
          <w:p w14:paraId="7CCDB530" w14:textId="77777777" w:rsidR="001042DA" w:rsidRPr="006B1A5A" w:rsidRDefault="001042DA" w:rsidP="00AF2AEA">
            <w:pPr>
              <w:pStyle w:val="Ingenmellomrom"/>
              <w:spacing w:line="276" w:lineRule="auto"/>
              <w:jc w:val="center"/>
              <w:rPr>
                <w:rFonts w:ascii="Verdana" w:hAnsi="Verdana"/>
                <w:b/>
                <w:sz w:val="18"/>
                <w:lang w:val="en-GB"/>
              </w:rPr>
            </w:pPr>
            <w:r w:rsidRPr="006B1A5A">
              <w:rPr>
                <w:rFonts w:ascii="Verdana" w:hAnsi="Verdana"/>
                <w:b/>
                <w:sz w:val="18"/>
                <w:lang w:val="en-GB"/>
              </w:rPr>
              <w:t>Reference</w:t>
            </w:r>
          </w:p>
        </w:tc>
      </w:tr>
      <w:tr w:rsidR="001042DA" w:rsidRPr="006B1A5A" w14:paraId="26330D20" w14:textId="77777777" w:rsidTr="00AF2AEA">
        <w:tc>
          <w:tcPr>
            <w:tcW w:w="858" w:type="pct"/>
            <w:vMerge w:val="restart"/>
            <w:tcBorders>
              <w:left w:val="single" w:sz="4" w:space="0" w:color="auto"/>
              <w:bottom w:val="single" w:sz="4" w:space="0" w:color="auto"/>
              <w:right w:val="single" w:sz="4" w:space="0" w:color="auto"/>
            </w:tcBorders>
            <w:vAlign w:val="center"/>
          </w:tcPr>
          <w:p w14:paraId="575B5588" w14:textId="77777777" w:rsidR="001042DA" w:rsidRPr="006B1A5A" w:rsidRDefault="001042DA" w:rsidP="00AF2AEA">
            <w:pPr>
              <w:pStyle w:val="Ingenmellomrom"/>
              <w:spacing w:line="276" w:lineRule="auto"/>
              <w:jc w:val="left"/>
              <w:rPr>
                <w:rFonts w:ascii="Verdana" w:hAnsi="Verdana"/>
                <w:sz w:val="18"/>
                <w:lang w:val="en-GB"/>
              </w:rPr>
            </w:pPr>
            <w:r w:rsidRPr="006B1A5A">
              <w:rPr>
                <w:rFonts w:ascii="Verdana" w:hAnsi="Verdana"/>
                <w:b/>
                <w:sz w:val="18"/>
                <w:lang w:val="en-GB"/>
              </w:rPr>
              <w:t>Copper (total)</w:t>
            </w:r>
          </w:p>
        </w:tc>
        <w:tc>
          <w:tcPr>
            <w:tcW w:w="2065" w:type="pct"/>
            <w:tcBorders>
              <w:left w:val="single" w:sz="4" w:space="0" w:color="auto"/>
              <w:right w:val="single" w:sz="4" w:space="0" w:color="auto"/>
            </w:tcBorders>
          </w:tcPr>
          <w:p w14:paraId="65ED28D5" w14:textId="77777777" w:rsidR="001042DA" w:rsidRPr="006B1A5A" w:rsidRDefault="001042DA" w:rsidP="00AF2AEA">
            <w:pPr>
              <w:pStyle w:val="Ingenmellomrom"/>
              <w:spacing w:line="276" w:lineRule="auto"/>
              <w:jc w:val="left"/>
              <w:rPr>
                <w:rFonts w:ascii="Verdana" w:hAnsi="Verdana"/>
                <w:sz w:val="18"/>
                <w:lang w:val="en-GB"/>
              </w:rPr>
            </w:pPr>
            <w:r w:rsidRPr="006B1A5A">
              <w:rPr>
                <w:rFonts w:ascii="Verdana" w:hAnsi="Verdana"/>
                <w:sz w:val="18"/>
                <w:lang w:val="en-GB"/>
              </w:rPr>
              <w:t>Molecular mass</w:t>
            </w:r>
          </w:p>
        </w:tc>
        <w:tc>
          <w:tcPr>
            <w:tcW w:w="626" w:type="pct"/>
            <w:tcBorders>
              <w:left w:val="single" w:sz="4" w:space="0" w:color="auto"/>
              <w:right w:val="single" w:sz="4" w:space="0" w:color="auto"/>
            </w:tcBorders>
            <w:vAlign w:val="center"/>
          </w:tcPr>
          <w:p w14:paraId="564458D5"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g/mol</w:t>
            </w:r>
          </w:p>
        </w:tc>
        <w:tc>
          <w:tcPr>
            <w:tcW w:w="719" w:type="pct"/>
            <w:tcBorders>
              <w:left w:val="single" w:sz="4" w:space="0" w:color="auto"/>
              <w:right w:val="single" w:sz="4" w:space="0" w:color="auto"/>
            </w:tcBorders>
            <w:vAlign w:val="center"/>
          </w:tcPr>
          <w:p w14:paraId="1710BAF9"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63.5</w:t>
            </w:r>
          </w:p>
        </w:tc>
        <w:tc>
          <w:tcPr>
            <w:tcW w:w="731" w:type="pct"/>
            <w:vMerge w:val="restart"/>
            <w:tcBorders>
              <w:left w:val="single" w:sz="4" w:space="0" w:color="auto"/>
              <w:right w:val="single" w:sz="4" w:space="0" w:color="auto"/>
            </w:tcBorders>
            <w:vAlign w:val="center"/>
          </w:tcPr>
          <w:p w14:paraId="77E1A2E4"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PT 21 ESD excel copper</w:t>
            </w:r>
          </w:p>
        </w:tc>
      </w:tr>
      <w:tr w:rsidR="001042DA" w:rsidRPr="006B1A5A" w14:paraId="7B7AC381" w14:textId="77777777" w:rsidTr="00AF2AEA">
        <w:tc>
          <w:tcPr>
            <w:tcW w:w="858" w:type="pct"/>
            <w:vMerge/>
            <w:tcBorders>
              <w:left w:val="single" w:sz="4" w:space="0" w:color="auto"/>
              <w:bottom w:val="single" w:sz="4" w:space="0" w:color="auto"/>
              <w:right w:val="single" w:sz="4" w:space="0" w:color="auto"/>
            </w:tcBorders>
          </w:tcPr>
          <w:p w14:paraId="0F8B47B0" w14:textId="77777777" w:rsidR="001042DA" w:rsidRPr="006B1A5A" w:rsidRDefault="001042DA" w:rsidP="00AF2AEA">
            <w:pPr>
              <w:pStyle w:val="Ingenmellomrom"/>
              <w:spacing w:line="276" w:lineRule="auto"/>
              <w:jc w:val="left"/>
              <w:rPr>
                <w:rFonts w:ascii="Verdana" w:hAnsi="Verdana"/>
                <w:sz w:val="18"/>
                <w:lang w:val="en-GB"/>
              </w:rPr>
            </w:pPr>
          </w:p>
        </w:tc>
        <w:tc>
          <w:tcPr>
            <w:tcW w:w="2065" w:type="pct"/>
            <w:tcBorders>
              <w:left w:val="single" w:sz="4" w:space="0" w:color="auto"/>
              <w:right w:val="single" w:sz="4" w:space="0" w:color="auto"/>
            </w:tcBorders>
          </w:tcPr>
          <w:p w14:paraId="6D49F437" w14:textId="77777777" w:rsidR="001042DA" w:rsidRPr="006B1A5A" w:rsidRDefault="001042DA" w:rsidP="00AF2AEA">
            <w:pPr>
              <w:pStyle w:val="Ingenmellomrom"/>
              <w:spacing w:line="276" w:lineRule="auto"/>
              <w:jc w:val="left"/>
              <w:rPr>
                <w:rFonts w:ascii="Verdana" w:hAnsi="Verdana"/>
                <w:sz w:val="18"/>
                <w:lang w:val="en-GB"/>
              </w:rPr>
            </w:pPr>
            <w:r w:rsidRPr="006B1A5A">
              <w:rPr>
                <w:rFonts w:ascii="Verdana" w:hAnsi="Verdana"/>
                <w:sz w:val="18"/>
                <w:lang w:val="en-GB"/>
              </w:rPr>
              <w:t>Saturized vapour pressure at 20°C</w:t>
            </w:r>
          </w:p>
        </w:tc>
        <w:tc>
          <w:tcPr>
            <w:tcW w:w="626" w:type="pct"/>
            <w:tcBorders>
              <w:left w:val="single" w:sz="4" w:space="0" w:color="auto"/>
              <w:right w:val="single" w:sz="4" w:space="0" w:color="auto"/>
            </w:tcBorders>
            <w:vAlign w:val="center"/>
          </w:tcPr>
          <w:p w14:paraId="492AD48C"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Pa</w:t>
            </w:r>
          </w:p>
        </w:tc>
        <w:tc>
          <w:tcPr>
            <w:tcW w:w="719" w:type="pct"/>
            <w:tcBorders>
              <w:left w:val="single" w:sz="4" w:space="0" w:color="auto"/>
              <w:right w:val="single" w:sz="4" w:space="0" w:color="auto"/>
            </w:tcBorders>
            <w:vAlign w:val="center"/>
          </w:tcPr>
          <w:p w14:paraId="0B28CE5D"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0</w:t>
            </w:r>
          </w:p>
        </w:tc>
        <w:tc>
          <w:tcPr>
            <w:tcW w:w="731" w:type="pct"/>
            <w:vMerge/>
            <w:tcBorders>
              <w:left w:val="single" w:sz="4" w:space="0" w:color="auto"/>
              <w:right w:val="single" w:sz="4" w:space="0" w:color="auto"/>
            </w:tcBorders>
            <w:vAlign w:val="center"/>
          </w:tcPr>
          <w:p w14:paraId="37816E8C" w14:textId="77777777" w:rsidR="001042DA" w:rsidRPr="006B1A5A" w:rsidRDefault="001042DA" w:rsidP="00AF2AEA">
            <w:pPr>
              <w:pStyle w:val="Ingenmellomrom"/>
              <w:spacing w:line="276" w:lineRule="auto"/>
              <w:jc w:val="center"/>
              <w:rPr>
                <w:rFonts w:ascii="Verdana" w:hAnsi="Verdana"/>
                <w:sz w:val="18"/>
                <w:lang w:val="en-GB"/>
              </w:rPr>
            </w:pPr>
          </w:p>
        </w:tc>
      </w:tr>
      <w:tr w:rsidR="001042DA" w:rsidRPr="006B1A5A" w14:paraId="57FAE3A3" w14:textId="77777777" w:rsidTr="00AF2AEA">
        <w:tc>
          <w:tcPr>
            <w:tcW w:w="858" w:type="pct"/>
            <w:vMerge/>
            <w:tcBorders>
              <w:left w:val="single" w:sz="4" w:space="0" w:color="auto"/>
              <w:bottom w:val="single" w:sz="4" w:space="0" w:color="auto"/>
              <w:right w:val="single" w:sz="4" w:space="0" w:color="auto"/>
            </w:tcBorders>
          </w:tcPr>
          <w:p w14:paraId="2FAB131E" w14:textId="77777777" w:rsidR="001042DA" w:rsidRPr="006B1A5A" w:rsidRDefault="001042DA" w:rsidP="00AF2AEA">
            <w:pPr>
              <w:pStyle w:val="Ingenmellomrom"/>
              <w:spacing w:line="276" w:lineRule="auto"/>
              <w:jc w:val="left"/>
              <w:rPr>
                <w:rFonts w:ascii="Verdana" w:hAnsi="Verdana"/>
                <w:sz w:val="18"/>
                <w:lang w:val="en-GB"/>
              </w:rPr>
            </w:pPr>
          </w:p>
        </w:tc>
        <w:tc>
          <w:tcPr>
            <w:tcW w:w="2065" w:type="pct"/>
            <w:tcBorders>
              <w:left w:val="single" w:sz="4" w:space="0" w:color="auto"/>
              <w:right w:val="single" w:sz="4" w:space="0" w:color="auto"/>
            </w:tcBorders>
          </w:tcPr>
          <w:p w14:paraId="51092510" w14:textId="77777777" w:rsidR="001042DA" w:rsidRPr="006B1A5A" w:rsidRDefault="001042DA" w:rsidP="00AF2AEA">
            <w:pPr>
              <w:pStyle w:val="Ingenmellomrom"/>
              <w:spacing w:line="276" w:lineRule="auto"/>
              <w:jc w:val="left"/>
              <w:rPr>
                <w:rFonts w:ascii="Verdana" w:hAnsi="Verdana"/>
                <w:sz w:val="18"/>
                <w:lang w:val="en-GB"/>
              </w:rPr>
            </w:pPr>
            <w:r w:rsidRPr="006B1A5A">
              <w:rPr>
                <w:rFonts w:ascii="Verdana" w:hAnsi="Verdana"/>
                <w:sz w:val="18"/>
                <w:lang w:val="en-GB"/>
              </w:rPr>
              <w:t>Solubility at 20°C</w:t>
            </w:r>
          </w:p>
        </w:tc>
        <w:tc>
          <w:tcPr>
            <w:tcW w:w="626" w:type="pct"/>
            <w:tcBorders>
              <w:left w:val="single" w:sz="4" w:space="0" w:color="auto"/>
              <w:right w:val="single" w:sz="4" w:space="0" w:color="auto"/>
            </w:tcBorders>
            <w:vAlign w:val="center"/>
          </w:tcPr>
          <w:p w14:paraId="66DFB55F"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g/m</w:t>
            </w:r>
            <w:r w:rsidRPr="006B1A5A">
              <w:rPr>
                <w:rFonts w:ascii="Verdana" w:hAnsi="Verdana"/>
                <w:sz w:val="18"/>
                <w:vertAlign w:val="superscript"/>
                <w:lang w:val="en-GB"/>
              </w:rPr>
              <w:t>3</w:t>
            </w:r>
          </w:p>
        </w:tc>
        <w:tc>
          <w:tcPr>
            <w:tcW w:w="719" w:type="pct"/>
            <w:tcBorders>
              <w:left w:val="single" w:sz="4" w:space="0" w:color="auto"/>
              <w:right w:val="single" w:sz="4" w:space="0" w:color="auto"/>
            </w:tcBorders>
            <w:vAlign w:val="center"/>
          </w:tcPr>
          <w:p w14:paraId="2F3DE032"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0.001</w:t>
            </w:r>
          </w:p>
        </w:tc>
        <w:tc>
          <w:tcPr>
            <w:tcW w:w="731" w:type="pct"/>
            <w:vMerge/>
            <w:tcBorders>
              <w:left w:val="single" w:sz="4" w:space="0" w:color="auto"/>
              <w:right w:val="single" w:sz="4" w:space="0" w:color="auto"/>
            </w:tcBorders>
            <w:vAlign w:val="center"/>
          </w:tcPr>
          <w:p w14:paraId="73CE9A1B" w14:textId="77777777" w:rsidR="001042DA" w:rsidRPr="006B1A5A" w:rsidRDefault="001042DA" w:rsidP="00AF2AEA">
            <w:pPr>
              <w:pStyle w:val="Ingenmellomrom"/>
              <w:spacing w:line="276" w:lineRule="auto"/>
              <w:jc w:val="center"/>
              <w:rPr>
                <w:rFonts w:ascii="Verdana" w:hAnsi="Verdana"/>
                <w:sz w:val="18"/>
                <w:lang w:val="en-GB"/>
              </w:rPr>
            </w:pPr>
          </w:p>
        </w:tc>
      </w:tr>
      <w:tr w:rsidR="001042DA" w:rsidRPr="006B1A5A" w14:paraId="19255314" w14:textId="77777777" w:rsidTr="00AF2AEA">
        <w:tc>
          <w:tcPr>
            <w:tcW w:w="858" w:type="pct"/>
            <w:vMerge/>
            <w:tcBorders>
              <w:left w:val="single" w:sz="4" w:space="0" w:color="auto"/>
              <w:bottom w:val="single" w:sz="4" w:space="0" w:color="auto"/>
              <w:right w:val="single" w:sz="4" w:space="0" w:color="auto"/>
            </w:tcBorders>
          </w:tcPr>
          <w:p w14:paraId="4EFBB85C" w14:textId="77777777" w:rsidR="001042DA" w:rsidRPr="006B1A5A" w:rsidRDefault="001042DA" w:rsidP="00AF2AEA">
            <w:pPr>
              <w:pStyle w:val="Ingenmellomrom"/>
              <w:spacing w:line="276" w:lineRule="auto"/>
              <w:jc w:val="left"/>
              <w:rPr>
                <w:rFonts w:ascii="Verdana" w:hAnsi="Verdana"/>
                <w:sz w:val="18"/>
                <w:lang w:val="en-GB"/>
              </w:rPr>
            </w:pPr>
          </w:p>
        </w:tc>
        <w:tc>
          <w:tcPr>
            <w:tcW w:w="2065" w:type="pct"/>
            <w:tcBorders>
              <w:left w:val="single" w:sz="4" w:space="0" w:color="auto"/>
              <w:bottom w:val="single" w:sz="4" w:space="0" w:color="auto"/>
              <w:right w:val="single" w:sz="4" w:space="0" w:color="auto"/>
            </w:tcBorders>
          </w:tcPr>
          <w:p w14:paraId="29DC7A97" w14:textId="77777777" w:rsidR="001042DA" w:rsidRPr="006B1A5A" w:rsidRDefault="001042DA" w:rsidP="00AF2AEA">
            <w:pPr>
              <w:pStyle w:val="Ingenmellomrom"/>
              <w:spacing w:line="276" w:lineRule="auto"/>
              <w:jc w:val="left"/>
              <w:rPr>
                <w:rFonts w:ascii="Verdana" w:hAnsi="Verdana"/>
                <w:sz w:val="18"/>
                <w:lang w:val="en-GB"/>
              </w:rPr>
            </w:pPr>
            <w:r w:rsidRPr="006B1A5A">
              <w:rPr>
                <w:rFonts w:ascii="Verdana" w:hAnsi="Verdana"/>
                <w:noProof/>
                <w:sz w:val="18"/>
                <w:lang w:val="en-GB"/>
              </w:rPr>
              <w:t>Kd</w:t>
            </w:r>
          </w:p>
        </w:tc>
        <w:tc>
          <w:tcPr>
            <w:tcW w:w="626" w:type="pct"/>
            <w:tcBorders>
              <w:left w:val="single" w:sz="4" w:space="0" w:color="auto"/>
              <w:bottom w:val="single" w:sz="4" w:space="0" w:color="auto"/>
              <w:right w:val="single" w:sz="4" w:space="0" w:color="auto"/>
            </w:tcBorders>
            <w:vAlign w:val="center"/>
          </w:tcPr>
          <w:p w14:paraId="0A57AC2E"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m</w:t>
            </w:r>
            <w:r w:rsidRPr="006B1A5A">
              <w:rPr>
                <w:rFonts w:ascii="Verdana" w:hAnsi="Verdana"/>
                <w:sz w:val="18"/>
                <w:vertAlign w:val="superscript"/>
                <w:lang w:val="en-GB"/>
              </w:rPr>
              <w:t>3</w:t>
            </w:r>
            <w:r w:rsidRPr="006B1A5A">
              <w:rPr>
                <w:rFonts w:ascii="Verdana" w:hAnsi="Verdana"/>
                <w:sz w:val="18"/>
                <w:lang w:val="en-GB"/>
              </w:rPr>
              <w:t>/kg</w:t>
            </w:r>
          </w:p>
        </w:tc>
        <w:tc>
          <w:tcPr>
            <w:tcW w:w="719" w:type="pct"/>
            <w:tcBorders>
              <w:left w:val="single" w:sz="4" w:space="0" w:color="auto"/>
              <w:bottom w:val="single" w:sz="4" w:space="0" w:color="auto"/>
              <w:right w:val="single" w:sz="4" w:space="0" w:color="auto"/>
            </w:tcBorders>
            <w:vAlign w:val="center"/>
          </w:tcPr>
          <w:p w14:paraId="60751276"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132</w:t>
            </w:r>
          </w:p>
        </w:tc>
        <w:tc>
          <w:tcPr>
            <w:tcW w:w="731" w:type="pct"/>
            <w:vMerge/>
            <w:tcBorders>
              <w:left w:val="single" w:sz="4" w:space="0" w:color="auto"/>
              <w:bottom w:val="single" w:sz="4" w:space="0" w:color="auto"/>
              <w:right w:val="single" w:sz="4" w:space="0" w:color="auto"/>
            </w:tcBorders>
            <w:vAlign w:val="center"/>
          </w:tcPr>
          <w:p w14:paraId="06522A16" w14:textId="77777777" w:rsidR="001042DA" w:rsidRPr="006B1A5A" w:rsidRDefault="001042DA" w:rsidP="00AF2AEA">
            <w:pPr>
              <w:pStyle w:val="Ingenmellomrom"/>
              <w:spacing w:line="276" w:lineRule="auto"/>
              <w:jc w:val="center"/>
              <w:rPr>
                <w:rFonts w:ascii="Verdana" w:hAnsi="Verdana"/>
                <w:sz w:val="18"/>
                <w:lang w:val="en-GB"/>
              </w:rPr>
            </w:pPr>
          </w:p>
        </w:tc>
      </w:tr>
      <w:bookmarkEnd w:id="1738"/>
      <w:bookmarkEnd w:id="1739"/>
      <w:tr w:rsidR="001042DA" w:rsidRPr="006B1A5A" w14:paraId="06C58D74" w14:textId="77777777" w:rsidTr="00AF2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8" w:type="pct"/>
            <w:vMerge w:val="restart"/>
            <w:tcBorders>
              <w:left w:val="single" w:sz="4" w:space="0" w:color="auto"/>
              <w:bottom w:val="nil"/>
              <w:right w:val="single" w:sz="4" w:space="0" w:color="auto"/>
            </w:tcBorders>
            <w:vAlign w:val="center"/>
          </w:tcPr>
          <w:p w14:paraId="47F0EBE0" w14:textId="77777777" w:rsidR="001042DA" w:rsidRPr="006B1A5A" w:rsidRDefault="001042DA" w:rsidP="00AF2AEA">
            <w:pPr>
              <w:pStyle w:val="Ingenmellomrom"/>
              <w:spacing w:line="276" w:lineRule="auto"/>
              <w:jc w:val="left"/>
              <w:rPr>
                <w:rFonts w:ascii="Verdana" w:hAnsi="Verdana"/>
                <w:sz w:val="18"/>
                <w:lang w:val="en-GB"/>
              </w:rPr>
            </w:pPr>
            <w:r w:rsidRPr="006B1A5A">
              <w:rPr>
                <w:rFonts w:ascii="Verdana" w:hAnsi="Verdana"/>
                <w:b/>
                <w:sz w:val="18"/>
                <w:lang w:val="en-GB"/>
              </w:rPr>
              <w:t>Thiocyanate</w:t>
            </w:r>
          </w:p>
        </w:tc>
        <w:tc>
          <w:tcPr>
            <w:tcW w:w="2065" w:type="pct"/>
            <w:tcBorders>
              <w:left w:val="single" w:sz="4" w:space="0" w:color="auto"/>
              <w:bottom w:val="nil"/>
              <w:right w:val="single" w:sz="4" w:space="0" w:color="auto"/>
            </w:tcBorders>
          </w:tcPr>
          <w:p w14:paraId="0095C067" w14:textId="77777777" w:rsidR="001042DA" w:rsidRPr="006B1A5A" w:rsidRDefault="001042DA" w:rsidP="00AF2AEA">
            <w:pPr>
              <w:pStyle w:val="Ingenmellomrom"/>
              <w:spacing w:line="276" w:lineRule="auto"/>
              <w:jc w:val="left"/>
              <w:rPr>
                <w:rFonts w:ascii="Verdana" w:hAnsi="Verdana"/>
                <w:sz w:val="18"/>
                <w:lang w:val="en-GB"/>
              </w:rPr>
            </w:pPr>
            <w:r w:rsidRPr="006B1A5A">
              <w:rPr>
                <w:rFonts w:ascii="Verdana" w:hAnsi="Verdana"/>
                <w:sz w:val="18"/>
                <w:lang w:val="en-GB"/>
              </w:rPr>
              <w:t>Molecular mass</w:t>
            </w:r>
          </w:p>
        </w:tc>
        <w:tc>
          <w:tcPr>
            <w:tcW w:w="626" w:type="pct"/>
            <w:tcBorders>
              <w:left w:val="single" w:sz="4" w:space="0" w:color="auto"/>
              <w:bottom w:val="nil"/>
              <w:right w:val="single" w:sz="4" w:space="0" w:color="auto"/>
            </w:tcBorders>
          </w:tcPr>
          <w:p w14:paraId="0C02E299"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g/mol</w:t>
            </w:r>
          </w:p>
        </w:tc>
        <w:tc>
          <w:tcPr>
            <w:tcW w:w="719" w:type="pct"/>
            <w:tcBorders>
              <w:left w:val="single" w:sz="4" w:space="0" w:color="auto"/>
              <w:bottom w:val="nil"/>
              <w:right w:val="single" w:sz="4" w:space="0" w:color="auto"/>
            </w:tcBorders>
          </w:tcPr>
          <w:p w14:paraId="65BBBD61"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58.1</w:t>
            </w:r>
          </w:p>
        </w:tc>
        <w:tc>
          <w:tcPr>
            <w:tcW w:w="731" w:type="pct"/>
            <w:vMerge w:val="restart"/>
            <w:tcBorders>
              <w:left w:val="single" w:sz="4" w:space="0" w:color="auto"/>
              <w:bottom w:val="single" w:sz="4" w:space="0" w:color="auto"/>
              <w:right w:val="single" w:sz="4" w:space="0" w:color="auto"/>
            </w:tcBorders>
            <w:vAlign w:val="center"/>
          </w:tcPr>
          <w:p w14:paraId="6E5D279C"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PT 21 ESD excel thiocyanate</w:t>
            </w:r>
          </w:p>
        </w:tc>
      </w:tr>
      <w:tr w:rsidR="001042DA" w:rsidRPr="006B1A5A" w14:paraId="1AD7745E" w14:textId="77777777" w:rsidTr="00AF2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8" w:type="pct"/>
            <w:vMerge/>
            <w:tcBorders>
              <w:top w:val="nil"/>
              <w:left w:val="single" w:sz="4" w:space="0" w:color="auto"/>
              <w:bottom w:val="nil"/>
              <w:right w:val="single" w:sz="4" w:space="0" w:color="auto"/>
            </w:tcBorders>
          </w:tcPr>
          <w:p w14:paraId="63D03F54" w14:textId="77777777" w:rsidR="001042DA" w:rsidRPr="006B1A5A" w:rsidRDefault="001042DA" w:rsidP="00AF2AEA">
            <w:pPr>
              <w:pStyle w:val="Ingenmellomrom"/>
              <w:spacing w:line="276" w:lineRule="auto"/>
              <w:rPr>
                <w:rFonts w:ascii="Verdana" w:hAnsi="Verdana"/>
                <w:sz w:val="18"/>
                <w:lang w:val="en-GB"/>
              </w:rPr>
            </w:pPr>
          </w:p>
        </w:tc>
        <w:tc>
          <w:tcPr>
            <w:tcW w:w="2065" w:type="pct"/>
            <w:tcBorders>
              <w:top w:val="nil"/>
              <w:left w:val="single" w:sz="4" w:space="0" w:color="auto"/>
              <w:bottom w:val="nil"/>
              <w:right w:val="single" w:sz="4" w:space="0" w:color="auto"/>
            </w:tcBorders>
          </w:tcPr>
          <w:p w14:paraId="471A6F74" w14:textId="77777777" w:rsidR="001042DA" w:rsidRPr="006B1A5A" w:rsidRDefault="001042DA" w:rsidP="00AF2AEA">
            <w:pPr>
              <w:pStyle w:val="Ingenmellomrom"/>
              <w:spacing w:line="276" w:lineRule="auto"/>
              <w:jc w:val="left"/>
              <w:rPr>
                <w:rFonts w:ascii="Verdana" w:hAnsi="Verdana"/>
                <w:sz w:val="18"/>
                <w:lang w:val="en-GB"/>
              </w:rPr>
            </w:pPr>
            <w:r w:rsidRPr="006B1A5A">
              <w:rPr>
                <w:rFonts w:ascii="Verdana" w:hAnsi="Verdana"/>
                <w:sz w:val="18"/>
                <w:lang w:val="en-GB"/>
              </w:rPr>
              <w:t>Saturized vapour pressure at 20°C</w:t>
            </w:r>
          </w:p>
        </w:tc>
        <w:tc>
          <w:tcPr>
            <w:tcW w:w="626" w:type="pct"/>
            <w:tcBorders>
              <w:top w:val="nil"/>
              <w:left w:val="single" w:sz="4" w:space="0" w:color="auto"/>
              <w:bottom w:val="nil"/>
              <w:right w:val="single" w:sz="4" w:space="0" w:color="auto"/>
            </w:tcBorders>
          </w:tcPr>
          <w:p w14:paraId="5C328B3B"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Pa</w:t>
            </w:r>
          </w:p>
        </w:tc>
        <w:tc>
          <w:tcPr>
            <w:tcW w:w="719" w:type="pct"/>
            <w:tcBorders>
              <w:top w:val="nil"/>
              <w:left w:val="single" w:sz="4" w:space="0" w:color="auto"/>
              <w:bottom w:val="nil"/>
              <w:right w:val="single" w:sz="4" w:space="0" w:color="auto"/>
            </w:tcBorders>
          </w:tcPr>
          <w:p w14:paraId="1A144B53" w14:textId="77777777" w:rsidR="001042DA" w:rsidRPr="006B1A5A" w:rsidRDefault="001042DA" w:rsidP="00AF2AEA">
            <w:pPr>
              <w:pStyle w:val="Ingenmellomrom"/>
              <w:spacing w:line="276" w:lineRule="auto"/>
              <w:jc w:val="center"/>
              <w:rPr>
                <w:rFonts w:ascii="Verdana" w:hAnsi="Verdana"/>
                <w:sz w:val="18"/>
                <w:vertAlign w:val="superscript"/>
                <w:lang w:val="en-GB"/>
              </w:rPr>
            </w:pPr>
            <w:r w:rsidRPr="006B1A5A">
              <w:rPr>
                <w:rFonts w:ascii="Verdana" w:hAnsi="Verdana"/>
                <w:sz w:val="18"/>
                <w:lang w:val="en-GB"/>
              </w:rPr>
              <w:t>1E-05</w:t>
            </w:r>
          </w:p>
        </w:tc>
        <w:tc>
          <w:tcPr>
            <w:tcW w:w="731" w:type="pct"/>
            <w:vMerge/>
            <w:tcBorders>
              <w:top w:val="nil"/>
              <w:left w:val="single" w:sz="4" w:space="0" w:color="auto"/>
              <w:bottom w:val="single" w:sz="4" w:space="0" w:color="auto"/>
              <w:right w:val="single" w:sz="4" w:space="0" w:color="auto"/>
            </w:tcBorders>
          </w:tcPr>
          <w:p w14:paraId="179A706B" w14:textId="77777777" w:rsidR="001042DA" w:rsidRPr="006B1A5A" w:rsidRDefault="001042DA" w:rsidP="00AF2AEA">
            <w:pPr>
              <w:pStyle w:val="Ingenmellomrom"/>
              <w:spacing w:line="276" w:lineRule="auto"/>
              <w:jc w:val="center"/>
              <w:rPr>
                <w:rFonts w:ascii="Verdana" w:hAnsi="Verdana"/>
                <w:sz w:val="18"/>
                <w:lang w:val="en-GB"/>
              </w:rPr>
            </w:pPr>
          </w:p>
        </w:tc>
      </w:tr>
      <w:tr w:rsidR="001042DA" w:rsidRPr="006B1A5A" w14:paraId="7ACE5474" w14:textId="77777777" w:rsidTr="00AF2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8" w:type="pct"/>
            <w:vMerge/>
            <w:tcBorders>
              <w:top w:val="nil"/>
              <w:left w:val="single" w:sz="4" w:space="0" w:color="auto"/>
              <w:bottom w:val="nil"/>
              <w:right w:val="single" w:sz="4" w:space="0" w:color="auto"/>
            </w:tcBorders>
          </w:tcPr>
          <w:p w14:paraId="5697F62A" w14:textId="77777777" w:rsidR="001042DA" w:rsidRPr="006B1A5A" w:rsidRDefault="001042DA" w:rsidP="00AF2AEA">
            <w:pPr>
              <w:pStyle w:val="Ingenmellomrom"/>
              <w:spacing w:line="276" w:lineRule="auto"/>
              <w:rPr>
                <w:rFonts w:ascii="Verdana" w:hAnsi="Verdana"/>
                <w:sz w:val="18"/>
                <w:lang w:val="en-GB"/>
              </w:rPr>
            </w:pPr>
          </w:p>
        </w:tc>
        <w:tc>
          <w:tcPr>
            <w:tcW w:w="2065" w:type="pct"/>
            <w:tcBorders>
              <w:top w:val="nil"/>
              <w:left w:val="single" w:sz="4" w:space="0" w:color="auto"/>
              <w:bottom w:val="nil"/>
              <w:right w:val="single" w:sz="4" w:space="0" w:color="auto"/>
            </w:tcBorders>
          </w:tcPr>
          <w:p w14:paraId="1ECB960E" w14:textId="77777777" w:rsidR="001042DA" w:rsidRPr="006B1A5A" w:rsidRDefault="001042DA" w:rsidP="00AF2AEA">
            <w:pPr>
              <w:pStyle w:val="Ingenmellomrom"/>
              <w:spacing w:line="276" w:lineRule="auto"/>
              <w:jc w:val="left"/>
              <w:rPr>
                <w:rFonts w:ascii="Verdana" w:hAnsi="Verdana"/>
                <w:sz w:val="18"/>
                <w:lang w:val="en-GB"/>
              </w:rPr>
            </w:pPr>
            <w:r w:rsidRPr="006B1A5A">
              <w:rPr>
                <w:rFonts w:ascii="Verdana" w:hAnsi="Verdana"/>
                <w:sz w:val="18"/>
                <w:lang w:val="en-GB"/>
              </w:rPr>
              <w:t>Solubility at 20°C</w:t>
            </w:r>
          </w:p>
        </w:tc>
        <w:tc>
          <w:tcPr>
            <w:tcW w:w="626" w:type="pct"/>
            <w:tcBorders>
              <w:top w:val="nil"/>
              <w:left w:val="single" w:sz="4" w:space="0" w:color="auto"/>
              <w:bottom w:val="nil"/>
              <w:right w:val="single" w:sz="4" w:space="0" w:color="auto"/>
            </w:tcBorders>
          </w:tcPr>
          <w:p w14:paraId="0348670A"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g/m</w:t>
            </w:r>
            <w:r w:rsidRPr="006B1A5A">
              <w:rPr>
                <w:rFonts w:ascii="Verdana" w:hAnsi="Verdana"/>
                <w:sz w:val="18"/>
                <w:vertAlign w:val="superscript"/>
                <w:lang w:val="en-GB"/>
              </w:rPr>
              <w:t>3</w:t>
            </w:r>
          </w:p>
        </w:tc>
        <w:tc>
          <w:tcPr>
            <w:tcW w:w="719" w:type="pct"/>
            <w:tcBorders>
              <w:top w:val="nil"/>
              <w:left w:val="single" w:sz="4" w:space="0" w:color="auto"/>
              <w:bottom w:val="nil"/>
              <w:right w:val="single" w:sz="4" w:space="0" w:color="auto"/>
            </w:tcBorders>
          </w:tcPr>
          <w:p w14:paraId="0BA596D8"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2.03</w:t>
            </w:r>
          </w:p>
        </w:tc>
        <w:tc>
          <w:tcPr>
            <w:tcW w:w="731" w:type="pct"/>
            <w:vMerge/>
            <w:tcBorders>
              <w:top w:val="nil"/>
              <w:left w:val="single" w:sz="4" w:space="0" w:color="auto"/>
              <w:bottom w:val="single" w:sz="4" w:space="0" w:color="auto"/>
              <w:right w:val="single" w:sz="4" w:space="0" w:color="auto"/>
            </w:tcBorders>
          </w:tcPr>
          <w:p w14:paraId="6A989663" w14:textId="77777777" w:rsidR="001042DA" w:rsidRPr="006B1A5A" w:rsidRDefault="001042DA" w:rsidP="00AF2AEA">
            <w:pPr>
              <w:pStyle w:val="Ingenmellomrom"/>
              <w:spacing w:line="276" w:lineRule="auto"/>
              <w:jc w:val="center"/>
              <w:rPr>
                <w:rFonts w:ascii="Verdana" w:hAnsi="Verdana"/>
                <w:sz w:val="18"/>
                <w:lang w:val="en-GB"/>
              </w:rPr>
            </w:pPr>
          </w:p>
        </w:tc>
      </w:tr>
      <w:tr w:rsidR="001042DA" w:rsidRPr="006B1A5A" w14:paraId="7BBEEEB0" w14:textId="77777777" w:rsidTr="00AF2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8" w:type="pct"/>
            <w:vMerge/>
            <w:tcBorders>
              <w:top w:val="nil"/>
              <w:left w:val="single" w:sz="4" w:space="0" w:color="auto"/>
              <w:bottom w:val="single" w:sz="4" w:space="0" w:color="auto"/>
              <w:right w:val="single" w:sz="4" w:space="0" w:color="auto"/>
            </w:tcBorders>
          </w:tcPr>
          <w:p w14:paraId="588AEAC3" w14:textId="77777777" w:rsidR="001042DA" w:rsidRPr="006B1A5A" w:rsidRDefault="001042DA" w:rsidP="00AF2AEA">
            <w:pPr>
              <w:pStyle w:val="Ingenmellomrom"/>
              <w:spacing w:line="276" w:lineRule="auto"/>
              <w:rPr>
                <w:rFonts w:ascii="Verdana" w:hAnsi="Verdana"/>
                <w:sz w:val="18"/>
                <w:lang w:val="en-GB"/>
              </w:rPr>
            </w:pPr>
          </w:p>
        </w:tc>
        <w:tc>
          <w:tcPr>
            <w:tcW w:w="2065" w:type="pct"/>
            <w:tcBorders>
              <w:top w:val="nil"/>
              <w:left w:val="single" w:sz="4" w:space="0" w:color="auto"/>
              <w:bottom w:val="single" w:sz="4" w:space="0" w:color="auto"/>
              <w:right w:val="single" w:sz="4" w:space="0" w:color="auto"/>
            </w:tcBorders>
          </w:tcPr>
          <w:p w14:paraId="645D2829" w14:textId="77777777" w:rsidR="001042DA" w:rsidRPr="006B1A5A" w:rsidRDefault="001042DA" w:rsidP="00AF2AEA">
            <w:pPr>
              <w:pStyle w:val="Ingenmellomrom"/>
              <w:spacing w:line="276" w:lineRule="auto"/>
              <w:jc w:val="left"/>
              <w:rPr>
                <w:rFonts w:ascii="Verdana" w:hAnsi="Verdana"/>
                <w:sz w:val="18"/>
                <w:lang w:val="en-GB"/>
              </w:rPr>
            </w:pPr>
            <w:r w:rsidRPr="006B1A5A">
              <w:rPr>
                <w:rFonts w:ascii="Verdana" w:hAnsi="Verdana"/>
                <w:noProof/>
                <w:sz w:val="18"/>
                <w:lang w:val="en-GB"/>
              </w:rPr>
              <w:t>Kd</w:t>
            </w:r>
          </w:p>
        </w:tc>
        <w:tc>
          <w:tcPr>
            <w:tcW w:w="626" w:type="pct"/>
            <w:tcBorders>
              <w:top w:val="nil"/>
              <w:left w:val="single" w:sz="4" w:space="0" w:color="auto"/>
              <w:bottom w:val="single" w:sz="4" w:space="0" w:color="auto"/>
              <w:right w:val="single" w:sz="4" w:space="0" w:color="auto"/>
            </w:tcBorders>
          </w:tcPr>
          <w:p w14:paraId="64DA8742"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m</w:t>
            </w:r>
            <w:r w:rsidRPr="006B1A5A">
              <w:rPr>
                <w:rFonts w:ascii="Verdana" w:hAnsi="Verdana"/>
                <w:sz w:val="18"/>
                <w:vertAlign w:val="superscript"/>
                <w:lang w:val="en-GB"/>
              </w:rPr>
              <w:t>3</w:t>
            </w:r>
            <w:r w:rsidRPr="006B1A5A">
              <w:rPr>
                <w:rFonts w:ascii="Verdana" w:hAnsi="Verdana"/>
                <w:sz w:val="18"/>
                <w:lang w:val="en-GB"/>
              </w:rPr>
              <w:t>/kg</w:t>
            </w:r>
          </w:p>
        </w:tc>
        <w:tc>
          <w:tcPr>
            <w:tcW w:w="719" w:type="pct"/>
            <w:tcBorders>
              <w:top w:val="nil"/>
              <w:left w:val="single" w:sz="4" w:space="0" w:color="auto"/>
              <w:bottom w:val="single" w:sz="4" w:space="0" w:color="auto"/>
              <w:right w:val="single" w:sz="4" w:space="0" w:color="auto"/>
            </w:tcBorders>
          </w:tcPr>
          <w:p w14:paraId="2E83CB11"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0.00E+00</w:t>
            </w:r>
          </w:p>
        </w:tc>
        <w:tc>
          <w:tcPr>
            <w:tcW w:w="731" w:type="pct"/>
            <w:vMerge/>
            <w:tcBorders>
              <w:top w:val="nil"/>
              <w:left w:val="single" w:sz="4" w:space="0" w:color="auto"/>
              <w:bottom w:val="single" w:sz="4" w:space="0" w:color="auto"/>
              <w:right w:val="single" w:sz="4" w:space="0" w:color="auto"/>
            </w:tcBorders>
          </w:tcPr>
          <w:p w14:paraId="111207B9" w14:textId="77777777" w:rsidR="001042DA" w:rsidRPr="006B1A5A" w:rsidRDefault="001042DA" w:rsidP="00AF2AEA">
            <w:pPr>
              <w:pStyle w:val="Ingenmellomrom"/>
              <w:spacing w:line="276" w:lineRule="auto"/>
              <w:jc w:val="center"/>
              <w:rPr>
                <w:rFonts w:ascii="Verdana" w:hAnsi="Verdana"/>
                <w:sz w:val="18"/>
                <w:lang w:val="en-GB"/>
              </w:rPr>
            </w:pPr>
          </w:p>
        </w:tc>
      </w:tr>
    </w:tbl>
    <w:p w14:paraId="66D7D5C3" w14:textId="77777777" w:rsidR="001042DA" w:rsidRPr="006B1A5A" w:rsidRDefault="001042DA" w:rsidP="001042DA">
      <w:pPr>
        <w:spacing w:line="260" w:lineRule="atLeast"/>
        <w:rPr>
          <w:rFonts w:eastAsia="Calibri"/>
          <w:lang w:eastAsia="en-US"/>
        </w:rPr>
      </w:pPr>
    </w:p>
    <w:p w14:paraId="0130958D" w14:textId="77777777" w:rsidR="001042DA" w:rsidRPr="006B1A5A" w:rsidRDefault="001042DA" w:rsidP="001042DA">
      <w:pPr>
        <w:spacing w:line="260" w:lineRule="atLeast"/>
        <w:rPr>
          <w:b/>
        </w:rPr>
      </w:pPr>
    </w:p>
    <w:p w14:paraId="3FE5F16E" w14:textId="77777777" w:rsidR="001042DA" w:rsidRPr="006B1A5A" w:rsidRDefault="001042DA" w:rsidP="001042DA">
      <w:pPr>
        <w:spacing w:line="260" w:lineRule="atLeast"/>
        <w:rPr>
          <w:rFonts w:eastAsia="Calibri"/>
          <w:lang w:eastAsia="en-US"/>
        </w:rPr>
      </w:pPr>
      <w:r w:rsidRPr="006B1A5A">
        <w:rPr>
          <w:b/>
        </w:rPr>
        <w:t>Concentration of active ingredients in AquaNet 360 products</w:t>
      </w:r>
      <w:r w:rsidRPr="006B1A5A" w:rsidDel="00D30AB8">
        <w:rPr>
          <w:rFonts w:eastAsia="Calibri"/>
          <w:lang w:eastAsia="en-US"/>
        </w:rPr>
        <w:t xml:space="preserve"> </w:t>
      </w:r>
    </w:p>
    <w:p w14:paraId="736BCD12" w14:textId="77777777" w:rsidR="001042DA" w:rsidRPr="006B1A5A" w:rsidRDefault="001042DA" w:rsidP="001042DA">
      <w:pPr>
        <w:spacing w:line="260" w:lineRule="atLeast"/>
        <w:rPr>
          <w:rFonts w:eastAsia="Calibri"/>
          <w:lang w:eastAsia="en-US"/>
        </w:rPr>
      </w:pPr>
    </w:p>
    <w:tbl>
      <w:tblPr>
        <w:tblStyle w:val="Tabellrutenett"/>
        <w:tblW w:w="9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883"/>
        <w:gridCol w:w="1874"/>
        <w:gridCol w:w="9"/>
        <w:gridCol w:w="1883"/>
        <w:gridCol w:w="1866"/>
      </w:tblGrid>
      <w:tr w:rsidR="001042DA" w:rsidRPr="006B1A5A" w14:paraId="207752F8" w14:textId="77777777" w:rsidTr="00AF2AEA">
        <w:tc>
          <w:tcPr>
            <w:tcW w:w="1843" w:type="dxa"/>
            <w:vMerge w:val="restart"/>
            <w:tcBorders>
              <w:top w:val="single" w:sz="4" w:space="0" w:color="auto"/>
              <w:left w:val="single" w:sz="4" w:space="0" w:color="auto"/>
              <w:right w:val="single" w:sz="4" w:space="0" w:color="auto"/>
            </w:tcBorders>
            <w:vAlign w:val="center"/>
          </w:tcPr>
          <w:p w14:paraId="09A7151E" w14:textId="77777777" w:rsidR="001042DA" w:rsidRPr="006B1A5A" w:rsidRDefault="001042DA" w:rsidP="00AF2AEA">
            <w:pPr>
              <w:spacing w:line="260" w:lineRule="atLeast"/>
              <w:rPr>
                <w:b/>
                <w:sz w:val="18"/>
              </w:rPr>
            </w:pPr>
            <w:r w:rsidRPr="006B1A5A">
              <w:rPr>
                <w:b/>
                <w:sz w:val="18"/>
              </w:rPr>
              <w:t>Product</w:t>
            </w:r>
          </w:p>
        </w:tc>
        <w:tc>
          <w:tcPr>
            <w:tcW w:w="3757" w:type="dxa"/>
            <w:gridSpan w:val="2"/>
            <w:tcBorders>
              <w:top w:val="single" w:sz="4" w:space="0" w:color="auto"/>
              <w:left w:val="single" w:sz="4" w:space="0" w:color="auto"/>
              <w:bottom w:val="single" w:sz="4" w:space="0" w:color="auto"/>
              <w:right w:val="single" w:sz="4" w:space="0" w:color="auto"/>
            </w:tcBorders>
            <w:vAlign w:val="center"/>
          </w:tcPr>
          <w:p w14:paraId="69E1D0D3" w14:textId="77777777" w:rsidR="001042DA" w:rsidRPr="006B1A5A" w:rsidRDefault="001042DA" w:rsidP="00AF2AEA">
            <w:pPr>
              <w:jc w:val="center"/>
              <w:rPr>
                <w:b/>
                <w:sz w:val="18"/>
              </w:rPr>
            </w:pPr>
            <w:r w:rsidRPr="006B1A5A">
              <w:rPr>
                <w:b/>
                <w:sz w:val="18"/>
              </w:rPr>
              <w:t>Concentration of a.i. in product (%, w/w)</w:t>
            </w:r>
          </w:p>
        </w:tc>
        <w:tc>
          <w:tcPr>
            <w:tcW w:w="3758" w:type="dxa"/>
            <w:gridSpan w:val="3"/>
            <w:tcBorders>
              <w:top w:val="single" w:sz="4" w:space="0" w:color="auto"/>
              <w:left w:val="single" w:sz="4" w:space="0" w:color="auto"/>
              <w:bottom w:val="single" w:sz="4" w:space="0" w:color="auto"/>
              <w:right w:val="single" w:sz="4" w:space="0" w:color="auto"/>
            </w:tcBorders>
          </w:tcPr>
          <w:p w14:paraId="17151FF2" w14:textId="77777777" w:rsidR="001042DA" w:rsidRPr="006B1A5A" w:rsidRDefault="001042DA" w:rsidP="00AF2AEA">
            <w:pPr>
              <w:jc w:val="center"/>
              <w:rPr>
                <w:b/>
                <w:sz w:val="18"/>
              </w:rPr>
            </w:pPr>
            <w:r w:rsidRPr="006B1A5A">
              <w:rPr>
                <w:b/>
                <w:sz w:val="18"/>
              </w:rPr>
              <w:t>Concentration of a.i. in product (g/L)</w:t>
            </w:r>
          </w:p>
        </w:tc>
      </w:tr>
      <w:tr w:rsidR="001042DA" w:rsidRPr="006B1A5A" w14:paraId="6F732ED2" w14:textId="77777777" w:rsidTr="00AF2AEA">
        <w:trPr>
          <w:trHeight w:val="308"/>
        </w:trPr>
        <w:tc>
          <w:tcPr>
            <w:tcW w:w="1843" w:type="dxa"/>
            <w:vMerge/>
            <w:tcBorders>
              <w:left w:val="single" w:sz="4" w:space="0" w:color="auto"/>
              <w:bottom w:val="single" w:sz="4" w:space="0" w:color="auto"/>
              <w:right w:val="single" w:sz="4" w:space="0" w:color="auto"/>
            </w:tcBorders>
            <w:vAlign w:val="center"/>
          </w:tcPr>
          <w:p w14:paraId="1CB6B595" w14:textId="77777777" w:rsidR="001042DA" w:rsidRPr="006B1A5A" w:rsidRDefault="001042DA" w:rsidP="00AF2AEA">
            <w:pPr>
              <w:rPr>
                <w:b/>
                <w:sz w:val="18"/>
              </w:rPr>
            </w:pPr>
          </w:p>
        </w:tc>
        <w:tc>
          <w:tcPr>
            <w:tcW w:w="1883" w:type="dxa"/>
            <w:tcBorders>
              <w:top w:val="single" w:sz="4" w:space="0" w:color="auto"/>
              <w:left w:val="single" w:sz="4" w:space="0" w:color="auto"/>
              <w:bottom w:val="single" w:sz="4" w:space="0" w:color="auto"/>
            </w:tcBorders>
            <w:vAlign w:val="center"/>
          </w:tcPr>
          <w:p w14:paraId="2860E587" w14:textId="77777777" w:rsidR="001042DA" w:rsidRPr="006B1A5A" w:rsidRDefault="001042DA" w:rsidP="00AF2AEA">
            <w:pPr>
              <w:jc w:val="center"/>
              <w:rPr>
                <w:b/>
                <w:sz w:val="18"/>
              </w:rPr>
            </w:pPr>
            <w:r w:rsidRPr="006B1A5A">
              <w:rPr>
                <w:b/>
                <w:sz w:val="18"/>
              </w:rPr>
              <w:t>Copper</w:t>
            </w:r>
            <w:r w:rsidRPr="006B1A5A">
              <w:rPr>
                <w:b/>
                <w:sz w:val="18"/>
                <w:vertAlign w:val="superscript"/>
              </w:rPr>
              <w:t>1</w:t>
            </w:r>
          </w:p>
        </w:tc>
        <w:tc>
          <w:tcPr>
            <w:tcW w:w="1883" w:type="dxa"/>
            <w:gridSpan w:val="2"/>
            <w:tcBorders>
              <w:top w:val="single" w:sz="4" w:space="0" w:color="auto"/>
              <w:bottom w:val="single" w:sz="4" w:space="0" w:color="auto"/>
              <w:right w:val="single" w:sz="4" w:space="0" w:color="auto"/>
            </w:tcBorders>
            <w:vAlign w:val="center"/>
          </w:tcPr>
          <w:p w14:paraId="28524210" w14:textId="77777777" w:rsidR="001042DA" w:rsidRPr="006B1A5A" w:rsidRDefault="001042DA" w:rsidP="00AF2AEA">
            <w:pPr>
              <w:jc w:val="center"/>
              <w:rPr>
                <w:b/>
                <w:sz w:val="18"/>
                <w:vertAlign w:val="superscript"/>
              </w:rPr>
            </w:pPr>
            <w:r w:rsidRPr="006B1A5A">
              <w:rPr>
                <w:b/>
                <w:sz w:val="18"/>
              </w:rPr>
              <w:t>Thiocyanate</w:t>
            </w:r>
          </w:p>
        </w:tc>
        <w:tc>
          <w:tcPr>
            <w:tcW w:w="1883" w:type="dxa"/>
            <w:tcBorders>
              <w:top w:val="single" w:sz="4" w:space="0" w:color="auto"/>
              <w:left w:val="single" w:sz="4" w:space="0" w:color="auto"/>
              <w:bottom w:val="single" w:sz="4" w:space="0" w:color="auto"/>
            </w:tcBorders>
            <w:vAlign w:val="center"/>
          </w:tcPr>
          <w:p w14:paraId="76BD275E" w14:textId="77777777" w:rsidR="001042DA" w:rsidRPr="006B1A5A" w:rsidRDefault="001042DA" w:rsidP="00AF2AEA">
            <w:pPr>
              <w:jc w:val="center"/>
              <w:rPr>
                <w:b/>
                <w:sz w:val="18"/>
              </w:rPr>
            </w:pPr>
            <w:r w:rsidRPr="006B1A5A">
              <w:rPr>
                <w:b/>
                <w:sz w:val="18"/>
              </w:rPr>
              <w:t>Copper</w:t>
            </w:r>
            <w:r w:rsidRPr="006B1A5A">
              <w:rPr>
                <w:b/>
                <w:sz w:val="18"/>
                <w:vertAlign w:val="superscript"/>
              </w:rPr>
              <w:t>1</w:t>
            </w:r>
          </w:p>
        </w:tc>
        <w:tc>
          <w:tcPr>
            <w:tcW w:w="1866" w:type="dxa"/>
            <w:tcBorders>
              <w:top w:val="single" w:sz="4" w:space="0" w:color="auto"/>
              <w:bottom w:val="single" w:sz="4" w:space="0" w:color="auto"/>
              <w:right w:val="single" w:sz="4" w:space="0" w:color="auto"/>
            </w:tcBorders>
            <w:vAlign w:val="center"/>
          </w:tcPr>
          <w:p w14:paraId="519C2CE5" w14:textId="77777777" w:rsidR="001042DA" w:rsidRPr="006B1A5A" w:rsidRDefault="001042DA" w:rsidP="00AF2AEA">
            <w:pPr>
              <w:jc w:val="center"/>
              <w:rPr>
                <w:b/>
                <w:sz w:val="18"/>
                <w:vertAlign w:val="superscript"/>
              </w:rPr>
            </w:pPr>
            <w:r w:rsidRPr="006B1A5A">
              <w:rPr>
                <w:b/>
                <w:sz w:val="18"/>
              </w:rPr>
              <w:t>Thiocyanate</w:t>
            </w:r>
          </w:p>
        </w:tc>
      </w:tr>
      <w:tr w:rsidR="001042DA" w:rsidRPr="006B1A5A" w14:paraId="2F2CEA9C" w14:textId="77777777" w:rsidTr="00AF2AEA">
        <w:tc>
          <w:tcPr>
            <w:tcW w:w="1843" w:type="dxa"/>
            <w:tcBorders>
              <w:left w:val="single" w:sz="4" w:space="0" w:color="auto"/>
              <w:right w:val="single" w:sz="4" w:space="0" w:color="auto"/>
            </w:tcBorders>
            <w:vAlign w:val="center"/>
          </w:tcPr>
          <w:p w14:paraId="30D82221" w14:textId="77777777" w:rsidR="001042DA" w:rsidRPr="006B1A5A" w:rsidRDefault="001042DA" w:rsidP="00AF2AEA">
            <w:pPr>
              <w:pStyle w:val="Ingenmellomrom"/>
              <w:spacing w:line="276" w:lineRule="auto"/>
              <w:jc w:val="left"/>
              <w:rPr>
                <w:rFonts w:ascii="Verdana" w:hAnsi="Verdana"/>
                <w:sz w:val="18"/>
                <w:lang w:val="en-GB"/>
              </w:rPr>
            </w:pPr>
            <w:r w:rsidRPr="006B1A5A">
              <w:rPr>
                <w:rFonts w:ascii="Verdana" w:hAnsi="Verdana"/>
                <w:sz w:val="18"/>
                <w:lang w:val="en-GB"/>
              </w:rPr>
              <w:t>AquaNet LG360</w:t>
            </w:r>
          </w:p>
        </w:tc>
        <w:tc>
          <w:tcPr>
            <w:tcW w:w="1883" w:type="dxa"/>
            <w:tcBorders>
              <w:left w:val="single" w:sz="4" w:space="0" w:color="auto"/>
            </w:tcBorders>
            <w:vAlign w:val="center"/>
          </w:tcPr>
          <w:p w14:paraId="6EA21EEE"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7.83</w:t>
            </w:r>
          </w:p>
        </w:tc>
        <w:tc>
          <w:tcPr>
            <w:tcW w:w="1883" w:type="dxa"/>
            <w:gridSpan w:val="2"/>
            <w:tcBorders>
              <w:right w:val="single" w:sz="4" w:space="0" w:color="auto"/>
            </w:tcBorders>
            <w:vAlign w:val="center"/>
          </w:tcPr>
          <w:p w14:paraId="5C899396"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1.02</w:t>
            </w:r>
          </w:p>
        </w:tc>
        <w:tc>
          <w:tcPr>
            <w:tcW w:w="1883" w:type="dxa"/>
            <w:tcBorders>
              <w:left w:val="single" w:sz="4" w:space="0" w:color="auto"/>
            </w:tcBorders>
            <w:vAlign w:val="center"/>
          </w:tcPr>
          <w:p w14:paraId="24EFB68A"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86.92</w:t>
            </w:r>
          </w:p>
        </w:tc>
        <w:tc>
          <w:tcPr>
            <w:tcW w:w="1866" w:type="dxa"/>
            <w:tcBorders>
              <w:right w:val="single" w:sz="4" w:space="0" w:color="auto"/>
            </w:tcBorders>
            <w:vAlign w:val="center"/>
          </w:tcPr>
          <w:p w14:paraId="1B3A85D5"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11.37</w:t>
            </w:r>
          </w:p>
        </w:tc>
      </w:tr>
      <w:tr w:rsidR="001042DA" w:rsidRPr="006B1A5A" w14:paraId="4335B9B1" w14:textId="77777777" w:rsidTr="00AF2AEA">
        <w:tc>
          <w:tcPr>
            <w:tcW w:w="1843" w:type="dxa"/>
            <w:tcBorders>
              <w:left w:val="single" w:sz="4" w:space="0" w:color="auto"/>
              <w:right w:val="single" w:sz="4" w:space="0" w:color="auto"/>
            </w:tcBorders>
            <w:vAlign w:val="center"/>
          </w:tcPr>
          <w:p w14:paraId="69313F48" w14:textId="77777777" w:rsidR="001042DA" w:rsidRPr="006B1A5A" w:rsidRDefault="001042DA" w:rsidP="00AF2AEA">
            <w:pPr>
              <w:pStyle w:val="Ingenmellomrom"/>
              <w:spacing w:line="276" w:lineRule="auto"/>
              <w:jc w:val="left"/>
              <w:rPr>
                <w:rFonts w:ascii="Verdana" w:hAnsi="Verdana"/>
                <w:sz w:val="18"/>
                <w:lang w:val="en-GB"/>
              </w:rPr>
            </w:pPr>
            <w:r w:rsidRPr="006B1A5A">
              <w:rPr>
                <w:rFonts w:ascii="Verdana" w:hAnsi="Verdana"/>
                <w:sz w:val="18"/>
                <w:lang w:val="en-GB"/>
              </w:rPr>
              <w:t>AquaNet HG360</w:t>
            </w:r>
          </w:p>
        </w:tc>
        <w:tc>
          <w:tcPr>
            <w:tcW w:w="1883" w:type="dxa"/>
            <w:tcBorders>
              <w:left w:val="single" w:sz="4" w:space="0" w:color="auto"/>
            </w:tcBorders>
            <w:vAlign w:val="center"/>
          </w:tcPr>
          <w:p w14:paraId="21559A7B"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15.06</w:t>
            </w:r>
          </w:p>
        </w:tc>
        <w:tc>
          <w:tcPr>
            <w:tcW w:w="1883" w:type="dxa"/>
            <w:gridSpan w:val="2"/>
            <w:tcBorders>
              <w:right w:val="single" w:sz="4" w:space="0" w:color="auto"/>
            </w:tcBorders>
            <w:vAlign w:val="center"/>
          </w:tcPr>
          <w:p w14:paraId="6C1414AE"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2.23</w:t>
            </w:r>
          </w:p>
        </w:tc>
        <w:tc>
          <w:tcPr>
            <w:tcW w:w="1883" w:type="dxa"/>
            <w:tcBorders>
              <w:left w:val="single" w:sz="4" w:space="0" w:color="auto"/>
            </w:tcBorders>
            <w:vAlign w:val="center"/>
          </w:tcPr>
          <w:p w14:paraId="596A59A9"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179.19</w:t>
            </w:r>
          </w:p>
        </w:tc>
        <w:tc>
          <w:tcPr>
            <w:tcW w:w="1866" w:type="dxa"/>
            <w:tcBorders>
              <w:right w:val="single" w:sz="4" w:space="0" w:color="auto"/>
            </w:tcBorders>
            <w:vAlign w:val="center"/>
          </w:tcPr>
          <w:p w14:paraId="5FFE8B60"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26.52</w:t>
            </w:r>
          </w:p>
        </w:tc>
      </w:tr>
      <w:tr w:rsidR="001042DA" w:rsidRPr="006B1A5A" w14:paraId="4A12695A" w14:textId="77777777" w:rsidTr="00AF2AEA">
        <w:tc>
          <w:tcPr>
            <w:tcW w:w="1843" w:type="dxa"/>
            <w:tcBorders>
              <w:left w:val="single" w:sz="4" w:space="0" w:color="auto"/>
              <w:bottom w:val="single" w:sz="4" w:space="0" w:color="auto"/>
              <w:right w:val="single" w:sz="4" w:space="0" w:color="auto"/>
            </w:tcBorders>
            <w:vAlign w:val="center"/>
          </w:tcPr>
          <w:p w14:paraId="7F2190A4" w14:textId="77777777" w:rsidR="001042DA" w:rsidRPr="006B1A5A" w:rsidRDefault="001042DA" w:rsidP="00AF2AEA">
            <w:pPr>
              <w:pStyle w:val="Ingenmellomrom"/>
              <w:spacing w:line="276" w:lineRule="auto"/>
              <w:jc w:val="left"/>
              <w:rPr>
                <w:rFonts w:ascii="Verdana" w:hAnsi="Verdana"/>
                <w:sz w:val="18"/>
                <w:lang w:val="en-GB"/>
              </w:rPr>
            </w:pPr>
            <w:r w:rsidRPr="006B1A5A">
              <w:rPr>
                <w:rFonts w:ascii="Verdana" w:hAnsi="Verdana"/>
                <w:sz w:val="18"/>
                <w:lang w:val="en-GB"/>
              </w:rPr>
              <w:t>AquaNet RFU360</w:t>
            </w:r>
          </w:p>
        </w:tc>
        <w:tc>
          <w:tcPr>
            <w:tcW w:w="1883" w:type="dxa"/>
            <w:tcBorders>
              <w:left w:val="single" w:sz="4" w:space="0" w:color="auto"/>
              <w:bottom w:val="single" w:sz="4" w:space="0" w:color="auto"/>
            </w:tcBorders>
            <w:vAlign w:val="center"/>
          </w:tcPr>
          <w:p w14:paraId="45B6DF82"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11.82</w:t>
            </w:r>
          </w:p>
        </w:tc>
        <w:tc>
          <w:tcPr>
            <w:tcW w:w="1883" w:type="dxa"/>
            <w:gridSpan w:val="2"/>
            <w:tcBorders>
              <w:bottom w:val="single" w:sz="4" w:space="0" w:color="auto"/>
              <w:right w:val="single" w:sz="4" w:space="0" w:color="auto"/>
            </w:tcBorders>
            <w:vAlign w:val="center"/>
          </w:tcPr>
          <w:p w14:paraId="13A968DA"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0.82</w:t>
            </w:r>
          </w:p>
        </w:tc>
        <w:tc>
          <w:tcPr>
            <w:tcW w:w="1883" w:type="dxa"/>
            <w:tcBorders>
              <w:left w:val="single" w:sz="4" w:space="0" w:color="auto"/>
              <w:bottom w:val="single" w:sz="4" w:space="0" w:color="auto"/>
            </w:tcBorders>
            <w:vAlign w:val="center"/>
          </w:tcPr>
          <w:p w14:paraId="652838E0"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133.59</w:t>
            </w:r>
          </w:p>
        </w:tc>
        <w:tc>
          <w:tcPr>
            <w:tcW w:w="1866" w:type="dxa"/>
            <w:tcBorders>
              <w:bottom w:val="single" w:sz="4" w:space="0" w:color="auto"/>
              <w:right w:val="single" w:sz="4" w:space="0" w:color="auto"/>
            </w:tcBorders>
            <w:vAlign w:val="center"/>
          </w:tcPr>
          <w:p w14:paraId="531AE6BB"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9.31</w:t>
            </w:r>
          </w:p>
        </w:tc>
      </w:tr>
    </w:tbl>
    <w:p w14:paraId="3F607E3B" w14:textId="77777777" w:rsidR="001042DA" w:rsidRPr="006B1A5A" w:rsidRDefault="001042DA" w:rsidP="001042DA">
      <w:pPr>
        <w:spacing w:line="260" w:lineRule="atLeast"/>
        <w:rPr>
          <w:rFonts w:eastAsia="Calibri"/>
          <w:bCs/>
          <w:sz w:val="18"/>
          <w:lang w:eastAsia="en-US"/>
        </w:rPr>
      </w:pPr>
      <w:r w:rsidRPr="006B1A5A">
        <w:rPr>
          <w:rFonts w:eastAsia="Calibri"/>
          <w:bCs/>
          <w:sz w:val="18"/>
          <w:vertAlign w:val="superscript"/>
          <w:lang w:eastAsia="en-US"/>
        </w:rPr>
        <w:t>1</w:t>
      </w:r>
      <w:r w:rsidRPr="006B1A5A">
        <w:rPr>
          <w:rFonts w:eastAsia="Calibri"/>
          <w:bCs/>
          <w:sz w:val="18"/>
          <w:lang w:eastAsia="en-US"/>
        </w:rPr>
        <w:t xml:space="preserve"> Copper equivalent: dicopper oxide = 88.8%; copper thiocyanate = 52.0%</w:t>
      </w:r>
      <w:bookmarkEnd w:id="1734"/>
      <w:bookmarkEnd w:id="1735"/>
    </w:p>
    <w:p w14:paraId="73D783C8" w14:textId="77777777" w:rsidR="001042DA" w:rsidRPr="006B1A5A" w:rsidRDefault="001042DA" w:rsidP="001042DA">
      <w:pPr>
        <w:spacing w:line="260" w:lineRule="atLeast"/>
        <w:rPr>
          <w:rFonts w:eastAsia="Calibri"/>
          <w:bCs/>
          <w:sz w:val="18"/>
          <w:lang w:eastAsia="en-US"/>
        </w:rPr>
      </w:pPr>
    </w:p>
    <w:p w14:paraId="2DE79481" w14:textId="77777777" w:rsidR="001042DA" w:rsidRPr="006B1A5A" w:rsidRDefault="001042DA" w:rsidP="001042DA">
      <w:pPr>
        <w:spacing w:line="260" w:lineRule="atLeast"/>
        <w:rPr>
          <w:rFonts w:eastAsia="Calibri"/>
          <w:bCs/>
          <w:sz w:val="18"/>
          <w:lang w:eastAsia="en-US"/>
        </w:rPr>
      </w:pPr>
    </w:p>
    <w:p w14:paraId="2838F4A7" w14:textId="77777777" w:rsidR="001042DA" w:rsidRPr="006B1A5A" w:rsidRDefault="001042DA" w:rsidP="001042DA">
      <w:pPr>
        <w:spacing w:line="260" w:lineRule="atLeast"/>
        <w:rPr>
          <w:szCs w:val="22"/>
        </w:rPr>
      </w:pPr>
      <w:r w:rsidRPr="006B1A5A">
        <w:rPr>
          <w:szCs w:val="22"/>
        </w:rPr>
        <w:t>Following the approach described above, E</w:t>
      </w:r>
      <w:r w:rsidRPr="006B1A5A">
        <w:rPr>
          <w:szCs w:val="22"/>
          <w:vertAlign w:val="subscript"/>
        </w:rPr>
        <w:t>local</w:t>
      </w:r>
      <w:r w:rsidRPr="006B1A5A">
        <w:rPr>
          <w:szCs w:val="22"/>
        </w:rPr>
        <w:t xml:space="preserve"> values were calculated for all the products. The table below gives the E</w:t>
      </w:r>
      <w:r w:rsidRPr="006B1A5A">
        <w:rPr>
          <w:szCs w:val="22"/>
          <w:vertAlign w:val="subscript"/>
        </w:rPr>
        <w:t>local</w:t>
      </w:r>
      <w:r w:rsidRPr="006B1A5A">
        <w:rPr>
          <w:szCs w:val="22"/>
        </w:rPr>
        <w:t xml:space="preserve"> for both the EU fish farm scenario (tier 1) and the Norwegian fish farm scenario (tier 2).   </w:t>
      </w:r>
    </w:p>
    <w:p w14:paraId="2C0E71B4" w14:textId="77777777" w:rsidR="001042DA" w:rsidRPr="006B1A5A" w:rsidRDefault="001042DA" w:rsidP="001042DA">
      <w:pPr>
        <w:spacing w:line="260" w:lineRule="atLeast"/>
        <w:rPr>
          <w:rFonts w:eastAsia="Calibri"/>
          <w:b/>
          <w:lang w:eastAsia="en-US"/>
        </w:rPr>
      </w:pPr>
      <w:bookmarkStart w:id="1740" w:name="_Hlk16853083"/>
    </w:p>
    <w:p w14:paraId="412CC15C" w14:textId="77777777" w:rsidR="001042DA" w:rsidRPr="006B1A5A" w:rsidRDefault="001042DA" w:rsidP="001042DA">
      <w:pPr>
        <w:spacing w:line="260" w:lineRule="atLeast"/>
        <w:rPr>
          <w:rFonts w:eastAsia="Calibri"/>
          <w:b/>
          <w:lang w:eastAsia="en-US"/>
        </w:rPr>
      </w:pPr>
      <w:r w:rsidRPr="006B1A5A">
        <w:rPr>
          <w:rFonts w:eastAsia="Calibri"/>
          <w:b/>
          <w:lang w:eastAsia="en-US"/>
        </w:rPr>
        <w:t>Daily emission outputs (E</w:t>
      </w:r>
      <w:r w:rsidRPr="006B1A5A">
        <w:rPr>
          <w:rFonts w:eastAsia="Calibri"/>
          <w:b/>
          <w:vertAlign w:val="subscript"/>
          <w:lang w:eastAsia="en-US"/>
        </w:rPr>
        <w:t>local</w:t>
      </w:r>
      <w:r w:rsidRPr="006B1A5A">
        <w:rPr>
          <w:rFonts w:eastAsia="Calibri"/>
          <w:b/>
          <w:lang w:eastAsia="en-US"/>
        </w:rPr>
        <w:t xml:space="preserve">) </w:t>
      </w:r>
    </w:p>
    <w:p w14:paraId="6D02BE63" w14:textId="77777777" w:rsidR="001042DA" w:rsidRPr="006B1A5A" w:rsidRDefault="001042DA" w:rsidP="001042DA">
      <w:pPr>
        <w:rPr>
          <w:sz w:val="22"/>
          <w:szCs w:val="22"/>
          <w:highlight w:val="yellow"/>
        </w:rPr>
      </w:pPr>
      <w:bookmarkStart w:id="1741" w:name="_Hlk20226103"/>
    </w:p>
    <w:tbl>
      <w:tblPr>
        <w:tblStyle w:val="Tabellrutenett"/>
        <w:tblW w:w="0" w:type="auto"/>
        <w:tblLook w:val="04A0" w:firstRow="1" w:lastRow="0" w:firstColumn="1" w:lastColumn="0" w:noHBand="0" w:noVBand="1"/>
      </w:tblPr>
      <w:tblGrid>
        <w:gridCol w:w="1757"/>
        <w:gridCol w:w="1719"/>
        <w:gridCol w:w="2022"/>
        <w:gridCol w:w="1727"/>
        <w:gridCol w:w="1727"/>
      </w:tblGrid>
      <w:tr w:rsidR="001042DA" w:rsidRPr="006B1A5A" w14:paraId="6FF2EE92" w14:textId="77777777" w:rsidTr="00AF2AEA">
        <w:tc>
          <w:tcPr>
            <w:tcW w:w="1757" w:type="dxa"/>
            <w:vMerge w:val="restart"/>
            <w:vAlign w:val="center"/>
          </w:tcPr>
          <w:p w14:paraId="1D4EBF3F" w14:textId="77777777" w:rsidR="001042DA" w:rsidRPr="006B1A5A" w:rsidRDefault="001042DA" w:rsidP="00AF2AEA">
            <w:pPr>
              <w:rPr>
                <w:b/>
                <w:sz w:val="18"/>
              </w:rPr>
            </w:pPr>
            <w:r w:rsidRPr="006B1A5A">
              <w:rPr>
                <w:b/>
                <w:sz w:val="18"/>
              </w:rPr>
              <w:t>Product</w:t>
            </w:r>
          </w:p>
        </w:tc>
        <w:tc>
          <w:tcPr>
            <w:tcW w:w="3741" w:type="dxa"/>
            <w:gridSpan w:val="2"/>
            <w:vAlign w:val="center"/>
          </w:tcPr>
          <w:p w14:paraId="710BA149" w14:textId="77777777" w:rsidR="001042DA" w:rsidRPr="00CC2CC7" w:rsidRDefault="001042DA" w:rsidP="00AF2AEA">
            <w:pPr>
              <w:jc w:val="center"/>
              <w:rPr>
                <w:b/>
                <w:sz w:val="18"/>
                <w:lang w:val="sv-SE"/>
              </w:rPr>
            </w:pPr>
            <w:r w:rsidRPr="00CC2CC7">
              <w:rPr>
                <w:b/>
                <w:sz w:val="18"/>
                <w:lang w:val="sv-SE"/>
              </w:rPr>
              <w:t xml:space="preserve">EU fish farm scenario </w:t>
            </w:r>
          </w:p>
          <w:p w14:paraId="66375FB5" w14:textId="77777777" w:rsidR="001042DA" w:rsidRPr="00CC2CC7" w:rsidRDefault="001042DA" w:rsidP="00AF2AEA">
            <w:pPr>
              <w:jc w:val="center"/>
              <w:rPr>
                <w:b/>
                <w:sz w:val="18"/>
                <w:lang w:val="sv-SE"/>
              </w:rPr>
            </w:pPr>
            <w:r w:rsidRPr="00CC2CC7">
              <w:rPr>
                <w:b/>
                <w:sz w:val="18"/>
                <w:lang w:val="sv-SE"/>
              </w:rPr>
              <w:t>(tier 1)</w:t>
            </w:r>
          </w:p>
        </w:tc>
        <w:tc>
          <w:tcPr>
            <w:tcW w:w="3454" w:type="dxa"/>
            <w:gridSpan w:val="2"/>
          </w:tcPr>
          <w:p w14:paraId="755F9C0F" w14:textId="77777777" w:rsidR="001042DA" w:rsidRPr="006B1A5A" w:rsidRDefault="001042DA" w:rsidP="00AF2AEA">
            <w:pPr>
              <w:jc w:val="center"/>
              <w:rPr>
                <w:b/>
                <w:sz w:val="18"/>
              </w:rPr>
            </w:pPr>
            <w:r w:rsidRPr="006B1A5A">
              <w:rPr>
                <w:b/>
                <w:sz w:val="18"/>
              </w:rPr>
              <w:t>Norwegian fish farm scenario (tier 2)</w:t>
            </w:r>
          </w:p>
        </w:tc>
      </w:tr>
      <w:tr w:rsidR="001042DA" w:rsidRPr="006B1A5A" w14:paraId="2FEA328B" w14:textId="77777777" w:rsidTr="00AF2AEA">
        <w:trPr>
          <w:trHeight w:val="308"/>
        </w:trPr>
        <w:tc>
          <w:tcPr>
            <w:tcW w:w="1757" w:type="dxa"/>
            <w:vMerge/>
            <w:vAlign w:val="center"/>
          </w:tcPr>
          <w:p w14:paraId="55B75272" w14:textId="77777777" w:rsidR="001042DA" w:rsidRPr="006B1A5A" w:rsidRDefault="001042DA" w:rsidP="00AF2AEA">
            <w:pPr>
              <w:rPr>
                <w:b/>
                <w:sz w:val="18"/>
              </w:rPr>
            </w:pPr>
          </w:p>
        </w:tc>
        <w:tc>
          <w:tcPr>
            <w:tcW w:w="1719" w:type="dxa"/>
            <w:vAlign w:val="center"/>
          </w:tcPr>
          <w:p w14:paraId="74E2BF8B" w14:textId="77777777" w:rsidR="001042DA" w:rsidRPr="006B1A5A" w:rsidRDefault="001042DA" w:rsidP="00AF2AEA">
            <w:pPr>
              <w:jc w:val="center"/>
              <w:rPr>
                <w:b/>
                <w:sz w:val="18"/>
              </w:rPr>
            </w:pPr>
            <w:r w:rsidRPr="006B1A5A">
              <w:rPr>
                <w:b/>
                <w:sz w:val="18"/>
              </w:rPr>
              <w:t>Copper</w:t>
            </w:r>
          </w:p>
        </w:tc>
        <w:tc>
          <w:tcPr>
            <w:tcW w:w="2022" w:type="dxa"/>
            <w:vAlign w:val="center"/>
          </w:tcPr>
          <w:p w14:paraId="39DB396C" w14:textId="77777777" w:rsidR="001042DA" w:rsidRPr="006B1A5A" w:rsidRDefault="001042DA" w:rsidP="00AF2AEA">
            <w:pPr>
              <w:jc w:val="center"/>
              <w:rPr>
                <w:b/>
                <w:sz w:val="18"/>
              </w:rPr>
            </w:pPr>
            <w:r w:rsidRPr="006B1A5A">
              <w:rPr>
                <w:b/>
                <w:sz w:val="18"/>
              </w:rPr>
              <w:t>Thiocyanate</w:t>
            </w:r>
          </w:p>
        </w:tc>
        <w:tc>
          <w:tcPr>
            <w:tcW w:w="1727" w:type="dxa"/>
            <w:vAlign w:val="center"/>
          </w:tcPr>
          <w:p w14:paraId="2A36BCE0" w14:textId="77777777" w:rsidR="001042DA" w:rsidRPr="006B1A5A" w:rsidRDefault="001042DA" w:rsidP="00AF2AEA">
            <w:pPr>
              <w:jc w:val="center"/>
              <w:rPr>
                <w:b/>
                <w:sz w:val="18"/>
              </w:rPr>
            </w:pPr>
            <w:r w:rsidRPr="006B1A5A">
              <w:rPr>
                <w:b/>
                <w:sz w:val="18"/>
              </w:rPr>
              <w:t>Copper</w:t>
            </w:r>
          </w:p>
        </w:tc>
        <w:tc>
          <w:tcPr>
            <w:tcW w:w="1727" w:type="dxa"/>
            <w:vAlign w:val="center"/>
          </w:tcPr>
          <w:p w14:paraId="10F8B2A6" w14:textId="77777777" w:rsidR="001042DA" w:rsidRPr="006B1A5A" w:rsidRDefault="001042DA" w:rsidP="00AF2AEA">
            <w:pPr>
              <w:jc w:val="center"/>
              <w:rPr>
                <w:b/>
                <w:sz w:val="18"/>
              </w:rPr>
            </w:pPr>
            <w:r w:rsidRPr="006B1A5A">
              <w:rPr>
                <w:b/>
                <w:sz w:val="18"/>
              </w:rPr>
              <w:t>Thiocyanate</w:t>
            </w:r>
          </w:p>
        </w:tc>
      </w:tr>
      <w:tr w:rsidR="001042DA" w:rsidRPr="006B1A5A" w14:paraId="06A4F99D" w14:textId="77777777" w:rsidTr="00AF2AEA">
        <w:trPr>
          <w:trHeight w:val="271"/>
        </w:trPr>
        <w:tc>
          <w:tcPr>
            <w:tcW w:w="1757" w:type="dxa"/>
            <w:vAlign w:val="center"/>
          </w:tcPr>
          <w:p w14:paraId="46A1C6BA" w14:textId="77777777" w:rsidR="001042DA" w:rsidRPr="006B1A5A" w:rsidRDefault="001042DA" w:rsidP="00AF2AEA">
            <w:pPr>
              <w:pStyle w:val="Ingenmellomrom"/>
              <w:spacing w:line="276" w:lineRule="auto"/>
              <w:jc w:val="left"/>
              <w:rPr>
                <w:rFonts w:ascii="Verdana" w:hAnsi="Verdana"/>
                <w:sz w:val="18"/>
                <w:lang w:val="en-GB"/>
              </w:rPr>
            </w:pPr>
            <w:r w:rsidRPr="006B1A5A">
              <w:rPr>
                <w:rFonts w:ascii="Verdana" w:hAnsi="Verdana"/>
                <w:sz w:val="18"/>
                <w:lang w:val="en-GB"/>
              </w:rPr>
              <w:t>AquaNet LG360</w:t>
            </w:r>
          </w:p>
        </w:tc>
        <w:tc>
          <w:tcPr>
            <w:tcW w:w="1719" w:type="dxa"/>
            <w:vAlign w:val="center"/>
          </w:tcPr>
          <w:p w14:paraId="4751AB4E"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7097 g/d</w:t>
            </w:r>
          </w:p>
        </w:tc>
        <w:tc>
          <w:tcPr>
            <w:tcW w:w="2022" w:type="dxa"/>
            <w:vAlign w:val="center"/>
          </w:tcPr>
          <w:p w14:paraId="2325B218"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928 g/d</w:t>
            </w:r>
          </w:p>
        </w:tc>
        <w:tc>
          <w:tcPr>
            <w:tcW w:w="1727" w:type="dxa"/>
            <w:shd w:val="clear" w:color="auto" w:fill="auto"/>
            <w:vAlign w:val="center"/>
          </w:tcPr>
          <w:p w14:paraId="782E05A0"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10810 g/d</w:t>
            </w:r>
          </w:p>
        </w:tc>
        <w:tc>
          <w:tcPr>
            <w:tcW w:w="1727" w:type="dxa"/>
            <w:shd w:val="clear" w:color="auto" w:fill="auto"/>
            <w:vAlign w:val="center"/>
          </w:tcPr>
          <w:p w14:paraId="189AD333"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1404 g/d</w:t>
            </w:r>
          </w:p>
        </w:tc>
      </w:tr>
      <w:tr w:rsidR="001042DA" w:rsidRPr="006B1A5A" w14:paraId="4940B0A8" w14:textId="77777777" w:rsidTr="00AF2AEA">
        <w:tc>
          <w:tcPr>
            <w:tcW w:w="1757" w:type="dxa"/>
            <w:vAlign w:val="center"/>
          </w:tcPr>
          <w:p w14:paraId="0208A45A" w14:textId="77777777" w:rsidR="001042DA" w:rsidRPr="006B1A5A" w:rsidRDefault="001042DA" w:rsidP="00AF2AEA">
            <w:pPr>
              <w:pStyle w:val="Ingenmellomrom"/>
              <w:spacing w:line="276" w:lineRule="auto"/>
              <w:jc w:val="left"/>
              <w:rPr>
                <w:rFonts w:ascii="Verdana" w:hAnsi="Verdana"/>
                <w:sz w:val="18"/>
                <w:lang w:val="en-GB"/>
              </w:rPr>
            </w:pPr>
            <w:r w:rsidRPr="006B1A5A">
              <w:rPr>
                <w:rFonts w:ascii="Verdana" w:hAnsi="Verdana"/>
                <w:sz w:val="18"/>
                <w:lang w:val="en-GB"/>
              </w:rPr>
              <w:t>AquaNet HG360</w:t>
            </w:r>
          </w:p>
        </w:tc>
        <w:tc>
          <w:tcPr>
            <w:tcW w:w="1719" w:type="dxa"/>
            <w:vAlign w:val="center"/>
          </w:tcPr>
          <w:p w14:paraId="2095B989"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14631 g/d</w:t>
            </w:r>
          </w:p>
        </w:tc>
        <w:tc>
          <w:tcPr>
            <w:tcW w:w="2022" w:type="dxa"/>
            <w:vAlign w:val="center"/>
          </w:tcPr>
          <w:p w14:paraId="2AFB7006"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2165 g/d</w:t>
            </w:r>
          </w:p>
        </w:tc>
        <w:tc>
          <w:tcPr>
            <w:tcW w:w="1727" w:type="dxa"/>
            <w:vAlign w:val="center"/>
          </w:tcPr>
          <w:p w14:paraId="0B0569F4"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22277 g/d</w:t>
            </w:r>
          </w:p>
        </w:tc>
        <w:tc>
          <w:tcPr>
            <w:tcW w:w="1727" w:type="dxa"/>
            <w:vAlign w:val="center"/>
          </w:tcPr>
          <w:p w14:paraId="69BE6BF6"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3297 g/d</w:t>
            </w:r>
          </w:p>
        </w:tc>
      </w:tr>
      <w:tr w:rsidR="001042DA" w:rsidRPr="006B1A5A" w14:paraId="4A52B9F2" w14:textId="77777777" w:rsidTr="00AF2AEA">
        <w:tc>
          <w:tcPr>
            <w:tcW w:w="1757" w:type="dxa"/>
            <w:vAlign w:val="center"/>
          </w:tcPr>
          <w:p w14:paraId="51C5F346" w14:textId="77777777" w:rsidR="001042DA" w:rsidRPr="006B1A5A" w:rsidRDefault="001042DA" w:rsidP="00AF2AEA">
            <w:pPr>
              <w:pStyle w:val="Ingenmellomrom"/>
              <w:spacing w:line="276" w:lineRule="auto"/>
              <w:jc w:val="left"/>
              <w:rPr>
                <w:rFonts w:ascii="Verdana" w:hAnsi="Verdana"/>
                <w:sz w:val="18"/>
                <w:lang w:val="en-GB"/>
              </w:rPr>
            </w:pPr>
            <w:r w:rsidRPr="006B1A5A">
              <w:rPr>
                <w:rFonts w:ascii="Verdana" w:hAnsi="Verdana"/>
                <w:sz w:val="18"/>
                <w:lang w:val="en-GB"/>
              </w:rPr>
              <w:t>AquaNet RFU</w:t>
            </w:r>
          </w:p>
        </w:tc>
        <w:tc>
          <w:tcPr>
            <w:tcW w:w="1719" w:type="dxa"/>
            <w:vAlign w:val="center"/>
          </w:tcPr>
          <w:p w14:paraId="3212A0E4"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10907 g/d</w:t>
            </w:r>
          </w:p>
        </w:tc>
        <w:tc>
          <w:tcPr>
            <w:tcW w:w="2022" w:type="dxa"/>
            <w:vAlign w:val="center"/>
          </w:tcPr>
          <w:p w14:paraId="0FB32A37"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760 g/d</w:t>
            </w:r>
          </w:p>
        </w:tc>
        <w:tc>
          <w:tcPr>
            <w:tcW w:w="1727" w:type="dxa"/>
            <w:vAlign w:val="center"/>
          </w:tcPr>
          <w:p w14:paraId="67673C39"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16608 g/d</w:t>
            </w:r>
          </w:p>
        </w:tc>
        <w:tc>
          <w:tcPr>
            <w:tcW w:w="1727" w:type="dxa"/>
            <w:vAlign w:val="center"/>
          </w:tcPr>
          <w:p w14:paraId="7E7E320B" w14:textId="77777777" w:rsidR="001042DA" w:rsidRPr="006B1A5A" w:rsidRDefault="001042DA" w:rsidP="00AF2AEA">
            <w:pPr>
              <w:pStyle w:val="Ingenmellomrom"/>
              <w:spacing w:line="276" w:lineRule="auto"/>
              <w:jc w:val="center"/>
              <w:rPr>
                <w:rFonts w:ascii="Verdana" w:hAnsi="Verdana"/>
                <w:sz w:val="18"/>
                <w:lang w:val="en-GB"/>
              </w:rPr>
            </w:pPr>
            <w:r w:rsidRPr="006B1A5A">
              <w:rPr>
                <w:rFonts w:ascii="Verdana" w:hAnsi="Verdana"/>
                <w:sz w:val="18"/>
                <w:lang w:val="en-GB"/>
              </w:rPr>
              <w:t>1157 g/d</w:t>
            </w:r>
          </w:p>
        </w:tc>
      </w:tr>
      <w:bookmarkEnd w:id="1741"/>
    </w:tbl>
    <w:p w14:paraId="62B44CC2" w14:textId="77777777" w:rsidR="001042DA" w:rsidRPr="006B1A5A" w:rsidRDefault="001042DA" w:rsidP="001042DA">
      <w:pPr>
        <w:rPr>
          <w:sz w:val="22"/>
          <w:szCs w:val="22"/>
          <w:highlight w:val="yellow"/>
        </w:rPr>
      </w:pPr>
    </w:p>
    <w:bookmarkEnd w:id="1740"/>
    <w:p w14:paraId="39F19222" w14:textId="77777777" w:rsidR="001042DA" w:rsidRPr="006B1A5A" w:rsidRDefault="001042DA" w:rsidP="001042DA">
      <w:pPr>
        <w:spacing w:after="160" w:line="259" w:lineRule="auto"/>
        <w:contextualSpacing/>
        <w:rPr>
          <w:b/>
        </w:rPr>
      </w:pPr>
    </w:p>
    <w:p w14:paraId="037FEC29" w14:textId="77777777" w:rsidR="001042DA" w:rsidRPr="006B1A5A" w:rsidRDefault="001042DA" w:rsidP="001042DA">
      <w:pPr>
        <w:spacing w:after="160" w:line="259" w:lineRule="auto"/>
        <w:contextualSpacing/>
        <w:rPr>
          <w:b/>
        </w:rPr>
      </w:pPr>
      <w:r w:rsidRPr="006B1A5A">
        <w:rPr>
          <w:b/>
        </w:rPr>
        <w:t>Background concentrations for Cu</w:t>
      </w:r>
    </w:p>
    <w:p w14:paraId="5D939126" w14:textId="77777777" w:rsidR="001042DA" w:rsidRPr="006B1A5A" w:rsidRDefault="001042DA" w:rsidP="001042DA"/>
    <w:p w14:paraId="013437C0" w14:textId="77777777" w:rsidR="001042DA" w:rsidRPr="006B1A5A" w:rsidRDefault="001042DA" w:rsidP="001042DA">
      <w:r w:rsidRPr="006B1A5A">
        <w:t xml:space="preserve">Background concentrations for Cu in water and sediment of </w:t>
      </w:r>
      <w:r w:rsidRPr="006B1A5A">
        <w:rPr>
          <w:b/>
        </w:rPr>
        <w:t>1.1 µg/L and 16.1 µg/g</w:t>
      </w:r>
      <w:r w:rsidRPr="006B1A5A">
        <w:t xml:space="preserve">, respectively, should be added to the predicted environmental concentrations. This is in line with the EU-agreed background concentrations used for the active substance evaluation for the marina scenarios for antifouling paints on recreational crafts, including the regional Atlantic marina scenario. It is not considered suitable to use the background values for open sea (0,5 µg/L for water and 3,5 µg/g for sediment), since the open sea background concentrations represent areas that are further away from the sources for release of Cu. The background concentrations can be integrated in the MAMPEC modelling or they can be added manually after calculating the steady-state PECs (without background concentrations) in MAMPEC. We chose the latter approach.  </w:t>
      </w:r>
    </w:p>
    <w:p w14:paraId="4B4B652A" w14:textId="77777777" w:rsidR="001042DA" w:rsidRPr="006B1A5A" w:rsidRDefault="001042DA" w:rsidP="001042DA">
      <w:pPr>
        <w:rPr>
          <w:rFonts w:eastAsia="Calibri"/>
          <w:b/>
          <w:i/>
          <w:noProof/>
          <w:sz w:val="22"/>
          <w:szCs w:val="22"/>
          <w:lang w:eastAsia="en-US"/>
        </w:rPr>
      </w:pPr>
      <w:bookmarkStart w:id="1742" w:name="_Hlk22291124"/>
      <w:bookmarkStart w:id="1743" w:name="_Hlk20226695"/>
      <w:r w:rsidRPr="006B1A5A">
        <w:rPr>
          <w:rFonts w:eastAsia="Calibri"/>
          <w:b/>
          <w:i/>
          <w:sz w:val="22"/>
          <w:szCs w:val="22"/>
          <w:lang w:eastAsia="en-US"/>
        </w:rPr>
        <w:t xml:space="preserve">Calculated PEC values and risk </w:t>
      </w:r>
      <w:r w:rsidRPr="006B1A5A">
        <w:rPr>
          <w:rFonts w:eastAsia="Calibri"/>
          <w:b/>
          <w:i/>
          <w:noProof/>
          <w:sz w:val="22"/>
          <w:szCs w:val="22"/>
          <w:lang w:eastAsia="en-US"/>
        </w:rPr>
        <w:t>characterisation – Tier 1: the EU fish farm scenario</w:t>
      </w:r>
    </w:p>
    <w:bookmarkEnd w:id="1742"/>
    <w:p w14:paraId="2674E0BD" w14:textId="77777777" w:rsidR="001042DA" w:rsidRPr="006B1A5A" w:rsidRDefault="001042DA" w:rsidP="001042DA">
      <w:pPr>
        <w:rPr>
          <w:rFonts w:eastAsia="Calibri"/>
          <w:b/>
          <w:i/>
          <w:noProof/>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427"/>
        <w:gridCol w:w="1745"/>
        <w:gridCol w:w="1745"/>
        <w:gridCol w:w="1740"/>
      </w:tblGrid>
      <w:tr w:rsidR="001042DA" w:rsidRPr="006B1A5A" w14:paraId="554E8D87" w14:textId="77777777" w:rsidTr="00AF2AEA">
        <w:trPr>
          <w:trHeight w:val="249"/>
        </w:trPr>
        <w:tc>
          <w:tcPr>
            <w:tcW w:w="5000" w:type="pct"/>
            <w:gridSpan w:val="5"/>
            <w:tcBorders>
              <w:top w:val="single" w:sz="4" w:space="0" w:color="auto"/>
              <w:left w:val="single" w:sz="4" w:space="0" w:color="auto"/>
              <w:bottom w:val="single" w:sz="4" w:space="0" w:color="auto"/>
            </w:tcBorders>
            <w:shd w:val="clear" w:color="auto" w:fill="FFFFCC"/>
            <w:vAlign w:val="center"/>
          </w:tcPr>
          <w:p w14:paraId="6CDE87DA" w14:textId="77777777" w:rsidR="001042DA" w:rsidRPr="006B1A5A" w:rsidRDefault="001042DA" w:rsidP="00AF2AEA">
            <w:pPr>
              <w:autoSpaceDE w:val="0"/>
              <w:autoSpaceDN w:val="0"/>
              <w:adjustRightInd w:val="0"/>
              <w:spacing w:before="60" w:after="60" w:line="260" w:lineRule="atLeast"/>
              <w:jc w:val="center"/>
              <w:rPr>
                <w:rFonts w:eastAsia="Calibri"/>
                <w:b/>
                <w:sz w:val="18"/>
                <w:lang w:eastAsia="en-GB"/>
              </w:rPr>
            </w:pPr>
            <w:r w:rsidRPr="006B1A5A">
              <w:rPr>
                <w:rFonts w:eastAsia="Calibri"/>
                <w:b/>
                <w:sz w:val="18"/>
                <w:lang w:eastAsia="en-GB"/>
              </w:rPr>
              <w:t>AquaNet LG360</w:t>
            </w:r>
          </w:p>
          <w:p w14:paraId="300EA431" w14:textId="77777777" w:rsidR="001042DA" w:rsidRPr="006B1A5A" w:rsidRDefault="001042DA" w:rsidP="00AF2AEA">
            <w:pPr>
              <w:autoSpaceDE w:val="0"/>
              <w:autoSpaceDN w:val="0"/>
              <w:adjustRightInd w:val="0"/>
              <w:spacing w:before="60" w:after="60" w:line="260" w:lineRule="atLeast"/>
              <w:jc w:val="center"/>
              <w:rPr>
                <w:rFonts w:eastAsia="Calibri"/>
                <w:b/>
                <w:sz w:val="18"/>
                <w:lang w:eastAsia="en-GB"/>
              </w:rPr>
            </w:pPr>
            <w:r w:rsidRPr="006B1A5A">
              <w:rPr>
                <w:rFonts w:eastAsia="Calibri"/>
                <w:b/>
                <w:sz w:val="18"/>
                <w:lang w:eastAsia="en-GB"/>
              </w:rPr>
              <w:t xml:space="preserve">Average PEC values calculated by MAMPEC v3.1 </w:t>
            </w:r>
          </w:p>
          <w:p w14:paraId="3CBDB827" w14:textId="77777777" w:rsidR="001042DA" w:rsidRPr="006B1A5A" w:rsidRDefault="001042DA" w:rsidP="00AF2AEA">
            <w:pPr>
              <w:autoSpaceDE w:val="0"/>
              <w:autoSpaceDN w:val="0"/>
              <w:adjustRightInd w:val="0"/>
              <w:spacing w:before="60" w:after="60" w:line="260" w:lineRule="atLeast"/>
              <w:jc w:val="center"/>
              <w:rPr>
                <w:rFonts w:eastAsia="Calibri"/>
                <w:b/>
                <w:sz w:val="18"/>
                <w:lang w:eastAsia="en-GB"/>
              </w:rPr>
            </w:pPr>
            <w:r w:rsidRPr="006B1A5A">
              <w:rPr>
                <w:rFonts w:eastAsia="Calibri"/>
                <w:b/>
                <w:sz w:val="18"/>
                <w:lang w:eastAsia="en-GB"/>
              </w:rPr>
              <w:t>(without background concentration for Cu)</w:t>
            </w:r>
          </w:p>
        </w:tc>
      </w:tr>
      <w:tr w:rsidR="001042DA" w:rsidRPr="006B1A5A" w14:paraId="787722F1" w14:textId="77777777" w:rsidTr="00AF2AEA">
        <w:trPr>
          <w:trHeight w:val="249"/>
        </w:trPr>
        <w:tc>
          <w:tcPr>
            <w:tcW w:w="1384" w:type="pct"/>
            <w:shd w:val="clear" w:color="auto" w:fill="FFFFFF"/>
            <w:vAlign w:val="center"/>
          </w:tcPr>
          <w:p w14:paraId="41985A52" w14:textId="77777777" w:rsidR="001042DA" w:rsidRPr="006B1A5A" w:rsidRDefault="001042DA" w:rsidP="00AF2AEA">
            <w:pPr>
              <w:spacing w:before="60" w:after="60"/>
              <w:jc w:val="center"/>
              <w:rPr>
                <w:rFonts w:eastAsia="Calibri"/>
                <w:b/>
                <w:sz w:val="18"/>
                <w:lang w:eastAsia="en-GB"/>
              </w:rPr>
            </w:pPr>
            <w:r w:rsidRPr="006B1A5A">
              <w:rPr>
                <w:rFonts w:eastAsia="Calibri"/>
                <w:b/>
                <w:sz w:val="18"/>
                <w:lang w:eastAsia="en-GB"/>
              </w:rPr>
              <w:t>Copper</w:t>
            </w:r>
          </w:p>
          <w:p w14:paraId="0CCDD34F" w14:textId="77777777" w:rsidR="001042DA" w:rsidRPr="006B1A5A" w:rsidRDefault="001042DA" w:rsidP="00AF2AEA">
            <w:pPr>
              <w:spacing w:before="60" w:after="60"/>
              <w:jc w:val="center"/>
              <w:rPr>
                <w:rFonts w:eastAsia="Calibri"/>
                <w:sz w:val="18"/>
                <w:lang w:eastAsia="en-GB"/>
              </w:rPr>
            </w:pPr>
            <w:r w:rsidRPr="006B1A5A">
              <w:rPr>
                <w:rFonts w:eastAsia="Calibri"/>
                <w:sz w:val="18"/>
                <w:lang w:eastAsia="en-GB"/>
              </w:rPr>
              <w:t>PNECsurrounding waters = 1.15 µg/L</w:t>
            </w:r>
          </w:p>
          <w:p w14:paraId="4F30372B" w14:textId="77777777" w:rsidR="001042DA" w:rsidRPr="006B1A5A" w:rsidRDefault="001042DA" w:rsidP="00AF2AEA">
            <w:pPr>
              <w:spacing w:before="60" w:after="60"/>
              <w:jc w:val="center"/>
              <w:rPr>
                <w:rFonts w:eastAsia="Calibri"/>
                <w:sz w:val="18"/>
                <w:lang w:eastAsia="en-GB"/>
              </w:rPr>
            </w:pPr>
            <w:r w:rsidRPr="006B1A5A">
              <w:rPr>
                <w:rFonts w:eastAsia="Calibri"/>
                <w:sz w:val="18"/>
                <w:lang w:eastAsia="en-GB"/>
              </w:rPr>
              <w:t>PNEC</w:t>
            </w:r>
            <w:r w:rsidRPr="006B1A5A">
              <w:rPr>
                <w:rFonts w:eastAsia="Calibri"/>
                <w:sz w:val="18"/>
                <w:vertAlign w:val="subscript"/>
                <w:lang w:eastAsia="en-GB"/>
              </w:rPr>
              <w:t>sed</w:t>
            </w:r>
            <w:r w:rsidRPr="006B1A5A">
              <w:rPr>
                <w:rFonts w:eastAsia="Calibri"/>
                <w:sz w:val="18"/>
                <w:lang w:eastAsia="en-GB"/>
              </w:rPr>
              <w:t xml:space="preserve"> = 98.8 µg/g dw</w:t>
            </w:r>
          </w:p>
        </w:tc>
        <w:tc>
          <w:tcPr>
            <w:tcW w:w="775" w:type="pct"/>
            <w:shd w:val="clear" w:color="auto" w:fill="FFFFFF"/>
            <w:vAlign w:val="center"/>
          </w:tcPr>
          <w:p w14:paraId="07C152AD" w14:textId="77777777" w:rsidR="001042DA" w:rsidRPr="006B1A5A" w:rsidRDefault="001042DA" w:rsidP="00AF2AEA">
            <w:pPr>
              <w:autoSpaceDE w:val="0"/>
              <w:autoSpaceDN w:val="0"/>
              <w:adjustRightInd w:val="0"/>
              <w:spacing w:before="60" w:after="60" w:line="260" w:lineRule="atLeast"/>
              <w:jc w:val="center"/>
              <w:rPr>
                <w:rFonts w:eastAsia="Calibri"/>
                <w:b/>
                <w:sz w:val="18"/>
                <w:vertAlign w:val="subscript"/>
                <w:lang w:eastAsia="en-GB"/>
              </w:rPr>
            </w:pPr>
            <w:r w:rsidRPr="006B1A5A">
              <w:rPr>
                <w:rFonts w:eastAsia="Calibri"/>
                <w:b/>
                <w:sz w:val="18"/>
                <w:lang w:eastAsia="en-GB"/>
              </w:rPr>
              <w:t>PEC</w:t>
            </w:r>
            <w:r w:rsidRPr="006B1A5A">
              <w:rPr>
                <w:rFonts w:eastAsia="Calibri"/>
                <w:b/>
                <w:sz w:val="18"/>
                <w:vertAlign w:val="subscript"/>
                <w:lang w:eastAsia="en-GB"/>
              </w:rPr>
              <w:t>dissolved</w:t>
            </w:r>
          </w:p>
          <w:p w14:paraId="1E8D7976" w14:textId="77777777" w:rsidR="001042DA" w:rsidRPr="006B1A5A" w:rsidRDefault="001042DA" w:rsidP="00AF2AEA">
            <w:pPr>
              <w:autoSpaceDE w:val="0"/>
              <w:autoSpaceDN w:val="0"/>
              <w:adjustRightInd w:val="0"/>
              <w:spacing w:before="60" w:after="60" w:line="260" w:lineRule="atLeast"/>
              <w:jc w:val="center"/>
              <w:rPr>
                <w:rFonts w:eastAsia="Calibri"/>
                <w:sz w:val="18"/>
                <w:lang w:eastAsia="en-GB"/>
              </w:rPr>
            </w:pPr>
            <w:r w:rsidRPr="006B1A5A">
              <w:rPr>
                <w:rFonts w:eastAsia="Calibri"/>
                <w:sz w:val="18"/>
                <w:lang w:eastAsia="en-GB"/>
              </w:rPr>
              <w:t>[µg/L]</w:t>
            </w:r>
          </w:p>
        </w:tc>
        <w:tc>
          <w:tcPr>
            <w:tcW w:w="948" w:type="pct"/>
            <w:shd w:val="clear" w:color="auto" w:fill="FFFFFF"/>
            <w:vAlign w:val="center"/>
          </w:tcPr>
          <w:p w14:paraId="347969B4" w14:textId="77777777" w:rsidR="001042DA" w:rsidRPr="006B1A5A" w:rsidRDefault="001042DA" w:rsidP="00AF2AEA">
            <w:pPr>
              <w:autoSpaceDE w:val="0"/>
              <w:autoSpaceDN w:val="0"/>
              <w:adjustRightInd w:val="0"/>
              <w:spacing w:before="60" w:after="60" w:line="260" w:lineRule="atLeast"/>
              <w:jc w:val="center"/>
              <w:rPr>
                <w:rFonts w:eastAsia="Calibri"/>
                <w:sz w:val="18"/>
                <w:vertAlign w:val="superscript"/>
                <w:lang w:eastAsia="en-GB"/>
              </w:rPr>
            </w:pPr>
            <w:r w:rsidRPr="006B1A5A">
              <w:rPr>
                <w:rFonts w:eastAsia="Calibri"/>
                <w:b/>
                <w:sz w:val="18"/>
                <w:lang w:eastAsia="en-GB"/>
              </w:rPr>
              <w:t>PEC</w:t>
            </w:r>
            <w:r w:rsidRPr="006B1A5A">
              <w:rPr>
                <w:rFonts w:eastAsia="Calibri"/>
                <w:b/>
                <w:sz w:val="18"/>
                <w:vertAlign w:val="subscript"/>
                <w:lang w:eastAsia="en-GB"/>
              </w:rPr>
              <w:t xml:space="preserve">dissolved </w:t>
            </w:r>
            <w:r w:rsidRPr="006B1A5A">
              <w:rPr>
                <w:rFonts w:eastAsia="Calibri"/>
                <w:b/>
                <w:sz w:val="18"/>
                <w:lang w:eastAsia="en-GB"/>
              </w:rPr>
              <w:t>/ PNEC</w:t>
            </w:r>
            <w:r w:rsidRPr="006B1A5A">
              <w:rPr>
                <w:rFonts w:eastAsia="Calibri"/>
                <w:b/>
                <w:sz w:val="18"/>
                <w:vertAlign w:val="subscript"/>
                <w:lang w:eastAsia="en-GB"/>
              </w:rPr>
              <w:t xml:space="preserve">water </w:t>
            </w:r>
            <w:r w:rsidRPr="006B1A5A">
              <w:rPr>
                <w:rFonts w:eastAsia="Calibri"/>
                <w:b/>
                <w:sz w:val="18"/>
                <w:vertAlign w:val="superscript"/>
                <w:lang w:eastAsia="en-GB"/>
              </w:rPr>
              <w:t>1</w:t>
            </w:r>
          </w:p>
        </w:tc>
        <w:tc>
          <w:tcPr>
            <w:tcW w:w="948" w:type="pct"/>
            <w:shd w:val="clear" w:color="auto" w:fill="FFFFFF"/>
            <w:vAlign w:val="center"/>
          </w:tcPr>
          <w:p w14:paraId="30D8DCF5" w14:textId="77777777" w:rsidR="001042DA" w:rsidRPr="006B1A5A" w:rsidRDefault="001042DA" w:rsidP="00AF2AEA">
            <w:pPr>
              <w:spacing w:before="60" w:after="60"/>
              <w:jc w:val="center"/>
              <w:rPr>
                <w:rFonts w:eastAsia="Calibri"/>
                <w:b/>
                <w:sz w:val="18"/>
                <w:vertAlign w:val="subscript"/>
                <w:lang w:eastAsia="en-GB"/>
              </w:rPr>
            </w:pPr>
            <w:r w:rsidRPr="006B1A5A">
              <w:rPr>
                <w:rFonts w:eastAsia="Calibri"/>
                <w:b/>
                <w:sz w:val="18"/>
                <w:lang w:eastAsia="en-GB"/>
              </w:rPr>
              <w:t>PEC</w:t>
            </w:r>
            <w:r w:rsidRPr="006B1A5A">
              <w:rPr>
                <w:rFonts w:eastAsia="Calibri"/>
                <w:b/>
                <w:sz w:val="18"/>
                <w:vertAlign w:val="subscript"/>
                <w:lang w:eastAsia="en-GB"/>
              </w:rPr>
              <w:t>suspended sediment</w:t>
            </w:r>
          </w:p>
          <w:p w14:paraId="0AA1702F" w14:textId="77777777" w:rsidR="001042DA" w:rsidRPr="006B1A5A" w:rsidRDefault="001042DA" w:rsidP="00AF2AEA">
            <w:pPr>
              <w:spacing w:before="60" w:after="60"/>
              <w:jc w:val="center"/>
              <w:rPr>
                <w:rFonts w:eastAsia="Calibri"/>
                <w:sz w:val="18"/>
                <w:lang w:eastAsia="en-GB"/>
              </w:rPr>
            </w:pPr>
            <w:r w:rsidRPr="006B1A5A">
              <w:rPr>
                <w:rFonts w:eastAsia="Calibri"/>
                <w:sz w:val="18"/>
                <w:lang w:eastAsia="en-GB"/>
              </w:rPr>
              <w:t>[µg/g dw]</w:t>
            </w:r>
          </w:p>
        </w:tc>
        <w:tc>
          <w:tcPr>
            <w:tcW w:w="945" w:type="pct"/>
            <w:shd w:val="clear" w:color="auto" w:fill="FFFFFF"/>
            <w:vAlign w:val="center"/>
          </w:tcPr>
          <w:p w14:paraId="6E5971FF" w14:textId="77777777" w:rsidR="001042DA" w:rsidRPr="006B1A5A" w:rsidRDefault="001042DA" w:rsidP="00AF2AEA">
            <w:pPr>
              <w:spacing w:before="60" w:after="60"/>
              <w:jc w:val="center"/>
              <w:rPr>
                <w:rFonts w:eastAsia="Calibri"/>
                <w:sz w:val="18"/>
                <w:vertAlign w:val="subscript"/>
                <w:lang w:eastAsia="en-GB"/>
              </w:rPr>
            </w:pPr>
            <w:r w:rsidRPr="006B1A5A">
              <w:rPr>
                <w:rFonts w:eastAsia="Calibri"/>
                <w:b/>
                <w:sz w:val="18"/>
                <w:lang w:eastAsia="en-GB"/>
              </w:rPr>
              <w:t>PEC</w:t>
            </w:r>
            <w:r w:rsidRPr="006B1A5A">
              <w:rPr>
                <w:rFonts w:eastAsia="Calibri"/>
                <w:b/>
                <w:sz w:val="18"/>
                <w:vertAlign w:val="subscript"/>
                <w:lang w:eastAsia="en-GB"/>
              </w:rPr>
              <w:t xml:space="preserve">suspended sediment </w:t>
            </w:r>
            <w:r w:rsidRPr="006B1A5A">
              <w:rPr>
                <w:rFonts w:eastAsia="Calibri"/>
                <w:b/>
                <w:sz w:val="18"/>
                <w:lang w:eastAsia="en-GB"/>
              </w:rPr>
              <w:t>/ PNEC</w:t>
            </w:r>
            <w:r w:rsidRPr="006B1A5A">
              <w:rPr>
                <w:rFonts w:eastAsia="Calibri"/>
                <w:b/>
                <w:sz w:val="18"/>
                <w:vertAlign w:val="subscript"/>
                <w:lang w:eastAsia="en-GB"/>
              </w:rPr>
              <w:t xml:space="preserve">sediment </w:t>
            </w:r>
            <w:r w:rsidRPr="006B1A5A">
              <w:rPr>
                <w:rFonts w:eastAsia="Calibri"/>
                <w:b/>
                <w:sz w:val="18"/>
                <w:vertAlign w:val="superscript"/>
                <w:lang w:eastAsia="en-GB"/>
              </w:rPr>
              <w:t>1</w:t>
            </w:r>
          </w:p>
        </w:tc>
      </w:tr>
      <w:tr w:rsidR="001042DA" w:rsidRPr="006B1A5A" w14:paraId="5F55ABCD" w14:textId="77777777" w:rsidTr="00AF2AEA">
        <w:trPr>
          <w:trHeight w:val="75"/>
        </w:trPr>
        <w:tc>
          <w:tcPr>
            <w:tcW w:w="1384" w:type="pct"/>
            <w:shd w:val="clear" w:color="auto" w:fill="FFFFFF"/>
          </w:tcPr>
          <w:p w14:paraId="0D84798E" w14:textId="77777777" w:rsidR="001042DA" w:rsidRPr="006B1A5A" w:rsidRDefault="001042DA" w:rsidP="00AF2AEA">
            <w:pPr>
              <w:spacing w:before="60" w:after="60"/>
              <w:rPr>
                <w:rFonts w:eastAsia="Calibri"/>
                <w:b/>
                <w:sz w:val="18"/>
                <w:lang w:eastAsia="en-GB"/>
              </w:rPr>
            </w:pPr>
            <w:r w:rsidRPr="006B1A5A">
              <w:rPr>
                <w:rFonts w:eastAsia="Calibri"/>
                <w:b/>
                <w:sz w:val="18"/>
                <w:lang w:eastAsia="en-GB"/>
              </w:rPr>
              <w:t>EU fish farm scenario</w:t>
            </w:r>
          </w:p>
        </w:tc>
        <w:tc>
          <w:tcPr>
            <w:tcW w:w="775" w:type="pct"/>
            <w:shd w:val="clear" w:color="auto" w:fill="FFFFFF"/>
            <w:vAlign w:val="center"/>
          </w:tcPr>
          <w:p w14:paraId="2E37F5C2" w14:textId="77777777" w:rsidR="001042DA" w:rsidRPr="006B1A5A" w:rsidRDefault="001042DA" w:rsidP="00AF2AEA">
            <w:pPr>
              <w:pStyle w:val="Ingenmellomrom"/>
              <w:jc w:val="center"/>
              <w:rPr>
                <w:rFonts w:ascii="Verdana" w:hAnsi="Verdana"/>
                <w:sz w:val="18"/>
                <w:szCs w:val="20"/>
                <w:lang w:val="en-GB" w:eastAsia="en-GB"/>
              </w:rPr>
            </w:pPr>
            <w:r w:rsidRPr="006B1A5A">
              <w:rPr>
                <w:rFonts w:ascii="Verdana" w:hAnsi="Verdana"/>
                <w:sz w:val="18"/>
                <w:szCs w:val="20"/>
                <w:lang w:val="en-GB" w:eastAsia="en-GB"/>
              </w:rPr>
              <w:t>0.09</w:t>
            </w:r>
          </w:p>
        </w:tc>
        <w:tc>
          <w:tcPr>
            <w:tcW w:w="948" w:type="pct"/>
            <w:shd w:val="clear" w:color="auto" w:fill="FFFFFF"/>
            <w:vAlign w:val="center"/>
          </w:tcPr>
          <w:p w14:paraId="33DBDDA8" w14:textId="77777777" w:rsidR="001042DA" w:rsidRPr="006B1A5A" w:rsidRDefault="001042DA" w:rsidP="00AF2AEA">
            <w:pPr>
              <w:pStyle w:val="Ingenmellomrom"/>
              <w:jc w:val="center"/>
              <w:rPr>
                <w:rFonts w:ascii="Verdana" w:hAnsi="Verdana"/>
                <w:sz w:val="18"/>
                <w:szCs w:val="20"/>
                <w:lang w:val="en-GB" w:eastAsia="en-GB"/>
              </w:rPr>
            </w:pPr>
            <w:r w:rsidRPr="006B1A5A">
              <w:rPr>
                <w:rFonts w:ascii="Verdana" w:hAnsi="Verdana"/>
                <w:sz w:val="18"/>
                <w:szCs w:val="20"/>
                <w:lang w:val="en-GB" w:eastAsia="en-GB"/>
              </w:rPr>
              <w:t>0.08</w:t>
            </w:r>
          </w:p>
        </w:tc>
        <w:tc>
          <w:tcPr>
            <w:tcW w:w="948" w:type="pct"/>
            <w:shd w:val="clear" w:color="auto" w:fill="FFFFFF"/>
            <w:vAlign w:val="center"/>
          </w:tcPr>
          <w:p w14:paraId="14D34921" w14:textId="77777777" w:rsidR="001042DA" w:rsidRPr="006B1A5A" w:rsidRDefault="001042DA" w:rsidP="00AF2AEA">
            <w:pPr>
              <w:pStyle w:val="Ingenmellomrom"/>
              <w:jc w:val="center"/>
              <w:rPr>
                <w:rFonts w:ascii="Verdana" w:hAnsi="Verdana"/>
                <w:sz w:val="18"/>
                <w:szCs w:val="20"/>
                <w:lang w:val="en-GB" w:eastAsia="en-GB"/>
              </w:rPr>
            </w:pPr>
            <w:r w:rsidRPr="006B1A5A">
              <w:rPr>
                <w:rFonts w:ascii="Verdana" w:hAnsi="Verdana"/>
                <w:sz w:val="18"/>
                <w:szCs w:val="20"/>
                <w:lang w:val="en-GB" w:eastAsia="en-GB"/>
              </w:rPr>
              <w:t>12.32</w:t>
            </w:r>
          </w:p>
        </w:tc>
        <w:tc>
          <w:tcPr>
            <w:tcW w:w="945" w:type="pct"/>
            <w:shd w:val="clear" w:color="auto" w:fill="FFFFFF"/>
            <w:vAlign w:val="center"/>
          </w:tcPr>
          <w:p w14:paraId="08A93B54" w14:textId="77777777" w:rsidR="001042DA" w:rsidRPr="006B1A5A" w:rsidRDefault="001042DA" w:rsidP="00AF2AEA">
            <w:pPr>
              <w:pStyle w:val="Ingenmellomrom"/>
              <w:jc w:val="center"/>
              <w:rPr>
                <w:rFonts w:ascii="Verdana" w:hAnsi="Verdana"/>
                <w:sz w:val="18"/>
                <w:szCs w:val="20"/>
                <w:lang w:val="en-GB" w:eastAsia="en-GB"/>
              </w:rPr>
            </w:pPr>
            <w:r w:rsidRPr="006B1A5A">
              <w:rPr>
                <w:rFonts w:ascii="Verdana" w:hAnsi="Verdana"/>
                <w:sz w:val="18"/>
                <w:szCs w:val="20"/>
                <w:lang w:val="en-GB" w:eastAsia="en-GB"/>
              </w:rPr>
              <w:t>0,12</w:t>
            </w:r>
          </w:p>
        </w:tc>
      </w:tr>
      <w:tr w:rsidR="001042DA" w:rsidRPr="006B1A5A" w14:paraId="1C906144" w14:textId="77777777" w:rsidTr="00AF2AEA">
        <w:trPr>
          <w:trHeight w:val="75"/>
        </w:trPr>
        <w:tc>
          <w:tcPr>
            <w:tcW w:w="1384" w:type="pct"/>
            <w:shd w:val="clear" w:color="auto" w:fill="FFFFFF"/>
            <w:vAlign w:val="center"/>
          </w:tcPr>
          <w:p w14:paraId="74ACD0B4" w14:textId="77777777" w:rsidR="001042DA" w:rsidRPr="006B1A5A" w:rsidRDefault="001042DA" w:rsidP="00AF2AEA">
            <w:pPr>
              <w:spacing w:before="60" w:after="60"/>
              <w:jc w:val="center"/>
              <w:rPr>
                <w:rFonts w:eastAsia="Calibri"/>
                <w:b/>
                <w:sz w:val="18"/>
                <w:lang w:eastAsia="en-GB"/>
              </w:rPr>
            </w:pPr>
            <w:r w:rsidRPr="006B1A5A">
              <w:rPr>
                <w:rFonts w:eastAsia="Calibri"/>
                <w:b/>
                <w:sz w:val="18"/>
                <w:lang w:eastAsia="en-GB"/>
              </w:rPr>
              <w:t>Thiocyanate</w:t>
            </w:r>
          </w:p>
          <w:p w14:paraId="24CF858C" w14:textId="77777777" w:rsidR="001042DA" w:rsidRPr="006B1A5A" w:rsidRDefault="001042DA" w:rsidP="00AF2AEA">
            <w:pPr>
              <w:spacing w:before="60" w:after="60"/>
              <w:jc w:val="center"/>
              <w:rPr>
                <w:rFonts w:eastAsia="Calibri"/>
                <w:sz w:val="18"/>
                <w:lang w:eastAsia="en-GB"/>
              </w:rPr>
            </w:pPr>
            <w:r w:rsidRPr="006B1A5A">
              <w:rPr>
                <w:rFonts w:eastAsia="Calibri"/>
                <w:sz w:val="18"/>
                <w:lang w:eastAsia="en-GB"/>
              </w:rPr>
              <w:t>PNEC surrounding waters = 11 µg/L</w:t>
            </w:r>
          </w:p>
          <w:p w14:paraId="484324F3" w14:textId="77777777" w:rsidR="001042DA" w:rsidRPr="006B1A5A" w:rsidRDefault="001042DA" w:rsidP="00AF2AEA">
            <w:pPr>
              <w:spacing w:before="60" w:after="60"/>
              <w:jc w:val="center"/>
              <w:rPr>
                <w:rFonts w:eastAsia="Calibri"/>
                <w:b/>
                <w:sz w:val="18"/>
                <w:lang w:eastAsia="en-GB"/>
              </w:rPr>
            </w:pPr>
            <w:r w:rsidRPr="006B1A5A">
              <w:rPr>
                <w:rFonts w:eastAsia="Calibri"/>
                <w:sz w:val="18"/>
                <w:lang w:eastAsia="en-GB"/>
              </w:rPr>
              <w:t>PNEC</w:t>
            </w:r>
            <w:r w:rsidRPr="006B1A5A">
              <w:rPr>
                <w:rFonts w:eastAsia="Calibri"/>
                <w:sz w:val="18"/>
                <w:vertAlign w:val="subscript"/>
                <w:lang w:eastAsia="en-GB"/>
              </w:rPr>
              <w:t>sed</w:t>
            </w:r>
            <w:r w:rsidRPr="006B1A5A">
              <w:rPr>
                <w:rFonts w:eastAsia="Calibri"/>
                <w:sz w:val="18"/>
                <w:lang w:eastAsia="en-GB"/>
              </w:rPr>
              <w:t xml:space="preserve"> = 0.045 µg/g dw</w:t>
            </w:r>
          </w:p>
        </w:tc>
        <w:tc>
          <w:tcPr>
            <w:tcW w:w="775" w:type="pct"/>
            <w:shd w:val="clear" w:color="auto" w:fill="FFFFFF"/>
            <w:vAlign w:val="center"/>
          </w:tcPr>
          <w:p w14:paraId="52ED56FE" w14:textId="77777777" w:rsidR="001042DA" w:rsidRPr="006B1A5A" w:rsidRDefault="001042DA" w:rsidP="00AF2AEA">
            <w:pPr>
              <w:autoSpaceDE w:val="0"/>
              <w:autoSpaceDN w:val="0"/>
              <w:adjustRightInd w:val="0"/>
              <w:spacing w:before="60" w:after="60" w:line="260" w:lineRule="atLeast"/>
              <w:jc w:val="center"/>
              <w:rPr>
                <w:rFonts w:eastAsia="Calibri"/>
                <w:b/>
                <w:sz w:val="18"/>
                <w:vertAlign w:val="subscript"/>
                <w:lang w:eastAsia="en-GB"/>
              </w:rPr>
            </w:pPr>
            <w:r w:rsidRPr="006B1A5A">
              <w:rPr>
                <w:rFonts w:eastAsia="Calibri"/>
                <w:b/>
                <w:sz w:val="18"/>
                <w:lang w:eastAsia="en-GB"/>
              </w:rPr>
              <w:t>PEC</w:t>
            </w:r>
            <w:r w:rsidRPr="006B1A5A">
              <w:rPr>
                <w:rFonts w:eastAsia="Calibri"/>
                <w:b/>
                <w:sz w:val="18"/>
                <w:vertAlign w:val="subscript"/>
                <w:lang w:eastAsia="en-GB"/>
              </w:rPr>
              <w:t>dissolved</w:t>
            </w:r>
          </w:p>
          <w:p w14:paraId="762F2A82" w14:textId="77777777" w:rsidR="001042DA" w:rsidRPr="006B1A5A" w:rsidRDefault="001042DA" w:rsidP="00AF2AEA">
            <w:pPr>
              <w:autoSpaceDE w:val="0"/>
              <w:autoSpaceDN w:val="0"/>
              <w:adjustRightInd w:val="0"/>
              <w:spacing w:before="60" w:after="60" w:line="260" w:lineRule="atLeast"/>
              <w:jc w:val="center"/>
              <w:rPr>
                <w:rFonts w:eastAsia="Calibri"/>
                <w:sz w:val="18"/>
                <w:lang w:eastAsia="en-GB"/>
              </w:rPr>
            </w:pPr>
            <w:r w:rsidRPr="006B1A5A">
              <w:rPr>
                <w:rFonts w:eastAsia="Calibri"/>
                <w:sz w:val="18"/>
                <w:lang w:eastAsia="en-GB"/>
              </w:rPr>
              <w:t>[µg/L]</w:t>
            </w:r>
          </w:p>
        </w:tc>
        <w:tc>
          <w:tcPr>
            <w:tcW w:w="948" w:type="pct"/>
            <w:shd w:val="clear" w:color="auto" w:fill="FFFFFF"/>
            <w:vAlign w:val="center"/>
          </w:tcPr>
          <w:p w14:paraId="0A7EAE12" w14:textId="77777777" w:rsidR="001042DA" w:rsidRPr="006B1A5A" w:rsidRDefault="001042DA" w:rsidP="00AF2AEA">
            <w:pPr>
              <w:autoSpaceDE w:val="0"/>
              <w:autoSpaceDN w:val="0"/>
              <w:adjustRightInd w:val="0"/>
              <w:spacing w:before="60" w:after="60" w:line="260" w:lineRule="atLeast"/>
              <w:jc w:val="center"/>
              <w:rPr>
                <w:rFonts w:eastAsia="Calibri"/>
                <w:sz w:val="18"/>
                <w:vertAlign w:val="subscript"/>
                <w:lang w:eastAsia="en-GB"/>
              </w:rPr>
            </w:pPr>
            <w:r w:rsidRPr="006B1A5A">
              <w:rPr>
                <w:rFonts w:eastAsia="Calibri"/>
                <w:b/>
                <w:sz w:val="18"/>
                <w:lang w:eastAsia="en-GB"/>
              </w:rPr>
              <w:t>PEC</w:t>
            </w:r>
            <w:r w:rsidRPr="006B1A5A">
              <w:rPr>
                <w:rFonts w:eastAsia="Calibri"/>
                <w:b/>
                <w:sz w:val="18"/>
                <w:vertAlign w:val="subscript"/>
                <w:lang w:eastAsia="en-GB"/>
              </w:rPr>
              <w:t xml:space="preserve">dissolved </w:t>
            </w:r>
            <w:r w:rsidRPr="006B1A5A">
              <w:rPr>
                <w:rFonts w:eastAsia="Calibri"/>
                <w:b/>
                <w:sz w:val="18"/>
                <w:lang w:eastAsia="en-GB"/>
              </w:rPr>
              <w:t>/ PNEC</w:t>
            </w:r>
            <w:r w:rsidRPr="006B1A5A">
              <w:rPr>
                <w:rFonts w:eastAsia="Calibri"/>
                <w:b/>
                <w:sz w:val="18"/>
                <w:vertAlign w:val="subscript"/>
                <w:lang w:eastAsia="en-GB"/>
              </w:rPr>
              <w:t xml:space="preserve">water </w:t>
            </w:r>
            <w:r w:rsidRPr="006B1A5A">
              <w:rPr>
                <w:rFonts w:eastAsia="Calibri"/>
                <w:b/>
                <w:sz w:val="18"/>
                <w:vertAlign w:val="superscript"/>
                <w:lang w:eastAsia="en-GB"/>
              </w:rPr>
              <w:t>1</w:t>
            </w:r>
          </w:p>
        </w:tc>
        <w:tc>
          <w:tcPr>
            <w:tcW w:w="948" w:type="pct"/>
            <w:shd w:val="clear" w:color="auto" w:fill="FFFFFF"/>
            <w:vAlign w:val="center"/>
          </w:tcPr>
          <w:p w14:paraId="38E8B14C" w14:textId="77777777" w:rsidR="001042DA" w:rsidRPr="006B1A5A" w:rsidRDefault="001042DA" w:rsidP="00AF2AEA">
            <w:pPr>
              <w:spacing w:before="60" w:after="60"/>
              <w:jc w:val="center"/>
              <w:rPr>
                <w:rFonts w:eastAsia="Calibri"/>
                <w:b/>
                <w:sz w:val="18"/>
                <w:vertAlign w:val="subscript"/>
                <w:lang w:eastAsia="en-GB"/>
              </w:rPr>
            </w:pPr>
            <w:r w:rsidRPr="006B1A5A">
              <w:rPr>
                <w:rFonts w:eastAsia="Calibri"/>
                <w:b/>
                <w:sz w:val="18"/>
                <w:lang w:eastAsia="en-GB"/>
              </w:rPr>
              <w:t>PEC</w:t>
            </w:r>
            <w:r w:rsidRPr="006B1A5A">
              <w:rPr>
                <w:rFonts w:eastAsia="Calibri"/>
                <w:b/>
                <w:sz w:val="18"/>
                <w:vertAlign w:val="subscript"/>
                <w:lang w:eastAsia="en-GB"/>
              </w:rPr>
              <w:t>suspended sediment</w:t>
            </w:r>
          </w:p>
          <w:p w14:paraId="51E67265" w14:textId="77777777" w:rsidR="001042DA" w:rsidRPr="006B1A5A" w:rsidRDefault="001042DA" w:rsidP="00AF2AEA">
            <w:pPr>
              <w:spacing w:before="60" w:after="60"/>
              <w:jc w:val="center"/>
              <w:rPr>
                <w:rFonts w:eastAsia="Calibri"/>
                <w:sz w:val="18"/>
                <w:lang w:eastAsia="en-GB"/>
              </w:rPr>
            </w:pPr>
            <w:r w:rsidRPr="006B1A5A">
              <w:rPr>
                <w:rFonts w:eastAsia="Calibri"/>
                <w:sz w:val="18"/>
                <w:lang w:eastAsia="en-GB"/>
              </w:rPr>
              <w:t>[µg/g dw]</w:t>
            </w:r>
          </w:p>
        </w:tc>
        <w:tc>
          <w:tcPr>
            <w:tcW w:w="945" w:type="pct"/>
            <w:shd w:val="clear" w:color="auto" w:fill="FFFFFF"/>
            <w:vAlign w:val="center"/>
          </w:tcPr>
          <w:p w14:paraId="10BF78F7" w14:textId="77777777" w:rsidR="001042DA" w:rsidRPr="006B1A5A" w:rsidRDefault="001042DA" w:rsidP="00AF2AEA">
            <w:pPr>
              <w:spacing w:before="60" w:after="60"/>
              <w:jc w:val="center"/>
              <w:rPr>
                <w:rFonts w:eastAsia="Calibri"/>
                <w:sz w:val="18"/>
                <w:vertAlign w:val="subscript"/>
                <w:lang w:eastAsia="en-GB"/>
              </w:rPr>
            </w:pPr>
            <w:r w:rsidRPr="006B1A5A">
              <w:rPr>
                <w:rFonts w:eastAsia="Calibri"/>
                <w:b/>
                <w:sz w:val="18"/>
                <w:lang w:eastAsia="en-GB"/>
              </w:rPr>
              <w:t>PEC</w:t>
            </w:r>
            <w:r w:rsidRPr="006B1A5A">
              <w:rPr>
                <w:rFonts w:eastAsia="Calibri"/>
                <w:b/>
                <w:sz w:val="18"/>
                <w:vertAlign w:val="subscript"/>
                <w:lang w:eastAsia="en-GB"/>
              </w:rPr>
              <w:t xml:space="preserve">suspended sediment </w:t>
            </w:r>
            <w:r w:rsidRPr="006B1A5A">
              <w:rPr>
                <w:rFonts w:eastAsia="Calibri"/>
                <w:b/>
                <w:sz w:val="18"/>
                <w:lang w:eastAsia="en-GB"/>
              </w:rPr>
              <w:t>/ PNEC</w:t>
            </w:r>
            <w:r w:rsidRPr="006B1A5A">
              <w:rPr>
                <w:rFonts w:eastAsia="Calibri"/>
                <w:b/>
                <w:sz w:val="18"/>
                <w:vertAlign w:val="subscript"/>
                <w:lang w:eastAsia="en-GB"/>
              </w:rPr>
              <w:t xml:space="preserve">sediment </w:t>
            </w:r>
            <w:r w:rsidRPr="006B1A5A">
              <w:rPr>
                <w:rFonts w:eastAsia="Calibri"/>
                <w:b/>
                <w:sz w:val="18"/>
                <w:vertAlign w:val="superscript"/>
                <w:lang w:eastAsia="en-GB"/>
              </w:rPr>
              <w:t>1</w:t>
            </w:r>
          </w:p>
        </w:tc>
      </w:tr>
      <w:tr w:rsidR="001042DA" w:rsidRPr="006B1A5A" w14:paraId="7757D0A5" w14:textId="77777777" w:rsidTr="00AF2AEA">
        <w:trPr>
          <w:trHeight w:val="75"/>
        </w:trPr>
        <w:tc>
          <w:tcPr>
            <w:tcW w:w="1384" w:type="pct"/>
            <w:shd w:val="clear" w:color="auto" w:fill="FFFFFF"/>
          </w:tcPr>
          <w:p w14:paraId="69F036C2" w14:textId="77777777" w:rsidR="001042DA" w:rsidRPr="006B1A5A" w:rsidRDefault="001042DA" w:rsidP="00AF2AEA">
            <w:pPr>
              <w:spacing w:before="60" w:after="60"/>
              <w:rPr>
                <w:rFonts w:eastAsia="Calibri"/>
                <w:b/>
                <w:sz w:val="18"/>
                <w:lang w:eastAsia="en-GB"/>
              </w:rPr>
            </w:pPr>
            <w:r w:rsidRPr="006B1A5A">
              <w:rPr>
                <w:rFonts w:eastAsia="Calibri"/>
                <w:b/>
                <w:sz w:val="18"/>
                <w:lang w:eastAsia="en-GB"/>
              </w:rPr>
              <w:t>EU fish farm scenario</w:t>
            </w:r>
          </w:p>
        </w:tc>
        <w:tc>
          <w:tcPr>
            <w:tcW w:w="775" w:type="pct"/>
            <w:shd w:val="clear" w:color="auto" w:fill="FFFFFF"/>
            <w:vAlign w:val="center"/>
          </w:tcPr>
          <w:p w14:paraId="3F718E23" w14:textId="77777777" w:rsidR="001042DA" w:rsidRPr="006B1A5A" w:rsidRDefault="001042DA" w:rsidP="00AF2AEA">
            <w:pPr>
              <w:pStyle w:val="Ingenmellomrom"/>
              <w:jc w:val="center"/>
              <w:rPr>
                <w:rFonts w:ascii="Verdana" w:hAnsi="Verdana"/>
                <w:sz w:val="18"/>
                <w:szCs w:val="20"/>
                <w:lang w:val="en-GB" w:eastAsia="en-GB"/>
              </w:rPr>
            </w:pPr>
            <w:r w:rsidRPr="006B1A5A">
              <w:rPr>
                <w:rFonts w:ascii="Verdana" w:hAnsi="Verdana"/>
                <w:sz w:val="18"/>
                <w:szCs w:val="20"/>
                <w:lang w:val="en-GB" w:eastAsia="en-GB"/>
              </w:rPr>
              <w:t>0.02</w:t>
            </w:r>
          </w:p>
        </w:tc>
        <w:tc>
          <w:tcPr>
            <w:tcW w:w="948" w:type="pct"/>
            <w:shd w:val="clear" w:color="auto" w:fill="FFFFFF"/>
            <w:vAlign w:val="center"/>
          </w:tcPr>
          <w:p w14:paraId="0266B082" w14:textId="77777777" w:rsidR="001042DA" w:rsidRPr="006B1A5A" w:rsidRDefault="001042DA" w:rsidP="00AF2AEA">
            <w:pPr>
              <w:pStyle w:val="Ingenmellomrom"/>
              <w:jc w:val="center"/>
              <w:rPr>
                <w:rFonts w:ascii="Verdana" w:hAnsi="Verdana"/>
                <w:sz w:val="18"/>
                <w:szCs w:val="20"/>
                <w:lang w:val="en-GB" w:eastAsia="en-GB"/>
              </w:rPr>
            </w:pPr>
            <w:r w:rsidRPr="006B1A5A">
              <w:rPr>
                <w:rFonts w:ascii="Verdana" w:hAnsi="Verdana"/>
                <w:sz w:val="18"/>
                <w:szCs w:val="20"/>
                <w:lang w:val="en-GB" w:eastAsia="en-GB"/>
              </w:rPr>
              <w:t>1.83E-03</w:t>
            </w:r>
          </w:p>
        </w:tc>
        <w:tc>
          <w:tcPr>
            <w:tcW w:w="948" w:type="pct"/>
            <w:shd w:val="clear" w:color="auto" w:fill="FFFFFF"/>
            <w:vAlign w:val="center"/>
          </w:tcPr>
          <w:p w14:paraId="388E0BE5" w14:textId="77777777" w:rsidR="001042DA" w:rsidRPr="006B1A5A" w:rsidRDefault="001042DA" w:rsidP="00AF2AEA">
            <w:pPr>
              <w:pStyle w:val="Ingenmellomrom"/>
              <w:jc w:val="center"/>
              <w:rPr>
                <w:rFonts w:ascii="Verdana" w:hAnsi="Verdana"/>
                <w:sz w:val="18"/>
                <w:szCs w:val="20"/>
                <w:lang w:val="en-GB" w:eastAsia="en-GB"/>
              </w:rPr>
            </w:pPr>
            <w:r w:rsidRPr="006B1A5A">
              <w:rPr>
                <w:rFonts w:ascii="Verdana" w:hAnsi="Verdana"/>
                <w:sz w:val="18"/>
                <w:szCs w:val="20"/>
                <w:lang w:val="en-GB" w:eastAsia="en-GB"/>
              </w:rPr>
              <w:t>5.38E-06</w:t>
            </w:r>
          </w:p>
        </w:tc>
        <w:tc>
          <w:tcPr>
            <w:tcW w:w="945" w:type="pct"/>
            <w:shd w:val="clear" w:color="auto" w:fill="FFFFFF"/>
            <w:vAlign w:val="center"/>
          </w:tcPr>
          <w:p w14:paraId="3C6B3187" w14:textId="77777777" w:rsidR="001042DA" w:rsidRPr="006B1A5A" w:rsidRDefault="001042DA" w:rsidP="00AF2AEA">
            <w:pPr>
              <w:pStyle w:val="Ingenmellomrom"/>
              <w:jc w:val="center"/>
              <w:rPr>
                <w:rFonts w:ascii="Verdana" w:hAnsi="Verdana"/>
                <w:sz w:val="18"/>
                <w:szCs w:val="20"/>
                <w:lang w:val="en-GB" w:eastAsia="en-GB"/>
              </w:rPr>
            </w:pPr>
            <w:r w:rsidRPr="006B1A5A">
              <w:rPr>
                <w:rFonts w:ascii="Verdana" w:hAnsi="Verdana"/>
                <w:sz w:val="18"/>
                <w:szCs w:val="20"/>
                <w:lang w:val="en-GB" w:eastAsia="en-GB"/>
              </w:rPr>
              <w:t>1.20E-04</w:t>
            </w:r>
          </w:p>
        </w:tc>
      </w:tr>
      <w:tr w:rsidR="001042DA" w:rsidRPr="006B1A5A" w14:paraId="49F39E77" w14:textId="77777777" w:rsidTr="00AF2AEA">
        <w:trPr>
          <w:trHeight w:val="75"/>
        </w:trPr>
        <w:tc>
          <w:tcPr>
            <w:tcW w:w="5000" w:type="pct"/>
            <w:gridSpan w:val="5"/>
            <w:tcBorders>
              <w:top w:val="single" w:sz="4" w:space="0" w:color="auto"/>
              <w:left w:val="nil"/>
              <w:bottom w:val="nil"/>
              <w:right w:val="nil"/>
            </w:tcBorders>
            <w:shd w:val="clear" w:color="auto" w:fill="FFFFFF"/>
          </w:tcPr>
          <w:p w14:paraId="7EEC4A84" w14:textId="77777777" w:rsidR="001042DA" w:rsidRPr="006B1A5A" w:rsidRDefault="001042DA" w:rsidP="00AF2AEA">
            <w:pPr>
              <w:rPr>
                <w:b/>
                <w:sz w:val="18"/>
              </w:rPr>
            </w:pPr>
            <w:r w:rsidRPr="006B1A5A">
              <w:rPr>
                <w:sz w:val="18"/>
                <w:vertAlign w:val="superscript"/>
              </w:rPr>
              <w:t>1</w:t>
            </w:r>
            <w:r w:rsidRPr="006B1A5A">
              <w:rPr>
                <w:sz w:val="18"/>
              </w:rPr>
              <w:t xml:space="preserve"> PEC/PNEC ratios above 1 (values in </w:t>
            </w:r>
            <w:r w:rsidRPr="006B1A5A">
              <w:rPr>
                <w:b/>
                <w:sz w:val="18"/>
              </w:rPr>
              <w:t>bold</w:t>
            </w:r>
            <w:r w:rsidRPr="006B1A5A">
              <w:rPr>
                <w:sz w:val="18"/>
              </w:rPr>
              <w:t>) indicate unacceptable environmental risks.</w:t>
            </w:r>
          </w:p>
        </w:tc>
      </w:tr>
    </w:tbl>
    <w:p w14:paraId="22132674" w14:textId="77777777" w:rsidR="001042DA" w:rsidRPr="006B1A5A" w:rsidRDefault="001042DA" w:rsidP="001042DA">
      <w:pPr>
        <w:rPr>
          <w:rFonts w:eastAsia="Calibri"/>
          <w:b/>
          <w:i/>
          <w:sz w:val="22"/>
          <w:szCs w:val="22"/>
          <w:lang w:eastAsia="en-US"/>
        </w:rPr>
      </w:pPr>
    </w:p>
    <w:p w14:paraId="53B70735" w14:textId="77777777" w:rsidR="001042DA" w:rsidRPr="006B1A5A" w:rsidRDefault="001042DA" w:rsidP="001042DA">
      <w:pPr>
        <w:spacing w:line="260" w:lineRule="atLeast"/>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425"/>
        <w:gridCol w:w="204"/>
        <w:gridCol w:w="1541"/>
        <w:gridCol w:w="90"/>
        <w:gridCol w:w="1657"/>
        <w:gridCol w:w="1740"/>
      </w:tblGrid>
      <w:tr w:rsidR="001042DA" w:rsidRPr="006B1A5A" w14:paraId="6D6850F6" w14:textId="77777777" w:rsidTr="00AF2AEA">
        <w:trPr>
          <w:trHeight w:val="249"/>
        </w:trPr>
        <w:tc>
          <w:tcPr>
            <w:tcW w:w="5000" w:type="pct"/>
            <w:gridSpan w:val="7"/>
            <w:tcBorders>
              <w:top w:val="single" w:sz="4" w:space="0" w:color="auto"/>
              <w:left w:val="single" w:sz="4" w:space="0" w:color="auto"/>
              <w:bottom w:val="single" w:sz="4" w:space="0" w:color="auto"/>
              <w:right w:val="single" w:sz="4" w:space="0" w:color="auto"/>
            </w:tcBorders>
            <w:shd w:val="clear" w:color="auto" w:fill="FFFFCC"/>
            <w:vAlign w:val="center"/>
          </w:tcPr>
          <w:p w14:paraId="2F9C58A4" w14:textId="77777777" w:rsidR="001042DA" w:rsidRPr="006B1A5A" w:rsidRDefault="001042DA" w:rsidP="00AF2AEA">
            <w:pPr>
              <w:keepNext/>
              <w:autoSpaceDE w:val="0"/>
              <w:autoSpaceDN w:val="0"/>
              <w:adjustRightInd w:val="0"/>
              <w:spacing w:before="60" w:after="60" w:line="260" w:lineRule="atLeast"/>
              <w:jc w:val="center"/>
              <w:rPr>
                <w:rFonts w:eastAsia="Calibri"/>
                <w:b/>
                <w:color w:val="000000" w:themeColor="text1"/>
                <w:sz w:val="18"/>
                <w:szCs w:val="18"/>
                <w:lang w:eastAsia="en-GB"/>
              </w:rPr>
            </w:pPr>
            <w:r w:rsidRPr="006B1A5A">
              <w:rPr>
                <w:rFonts w:eastAsia="Calibri"/>
                <w:b/>
                <w:color w:val="000000" w:themeColor="text1"/>
                <w:sz w:val="18"/>
                <w:szCs w:val="18"/>
                <w:lang w:eastAsia="en-GB"/>
              </w:rPr>
              <w:t>AquaNet LG360</w:t>
            </w:r>
          </w:p>
          <w:p w14:paraId="1C0163FF" w14:textId="77777777" w:rsidR="001042DA" w:rsidRPr="006B1A5A" w:rsidRDefault="001042DA" w:rsidP="00AF2AEA">
            <w:pPr>
              <w:keepNext/>
              <w:autoSpaceDE w:val="0"/>
              <w:autoSpaceDN w:val="0"/>
              <w:adjustRightInd w:val="0"/>
              <w:spacing w:before="60" w:after="60" w:line="260" w:lineRule="atLeast"/>
              <w:jc w:val="center"/>
              <w:rPr>
                <w:rFonts w:eastAsia="Calibri"/>
                <w:b/>
                <w:color w:val="000000" w:themeColor="text1"/>
                <w:sz w:val="18"/>
                <w:szCs w:val="18"/>
                <w:lang w:eastAsia="en-GB"/>
              </w:rPr>
            </w:pPr>
            <w:r w:rsidRPr="006B1A5A">
              <w:rPr>
                <w:rFonts w:eastAsia="Calibri"/>
                <w:b/>
                <w:color w:val="000000" w:themeColor="text1"/>
                <w:sz w:val="18"/>
                <w:szCs w:val="18"/>
                <w:lang w:eastAsia="en-GB"/>
              </w:rPr>
              <w:t xml:space="preserve">Average PEC values calculated by MAMPEC v3.1 </w:t>
            </w:r>
          </w:p>
          <w:p w14:paraId="7C65EDFF" w14:textId="77777777" w:rsidR="001042DA" w:rsidRPr="006B1A5A" w:rsidRDefault="001042DA" w:rsidP="00AF2AEA">
            <w:pPr>
              <w:keepNext/>
              <w:autoSpaceDE w:val="0"/>
              <w:autoSpaceDN w:val="0"/>
              <w:adjustRightInd w:val="0"/>
              <w:spacing w:before="60" w:after="60" w:line="260" w:lineRule="atLeast"/>
              <w:jc w:val="center"/>
              <w:rPr>
                <w:rFonts w:eastAsia="Calibri"/>
                <w:b/>
                <w:color w:val="000000" w:themeColor="text1"/>
                <w:sz w:val="18"/>
                <w:szCs w:val="18"/>
                <w:lang w:eastAsia="en-GB"/>
              </w:rPr>
            </w:pPr>
            <w:r w:rsidRPr="006B1A5A">
              <w:rPr>
                <w:rFonts w:eastAsia="Calibri"/>
                <w:b/>
                <w:color w:val="000000" w:themeColor="text1"/>
                <w:sz w:val="18"/>
                <w:szCs w:val="18"/>
                <w:lang w:eastAsia="en-GB"/>
              </w:rPr>
              <w:t>(with background concentration for Cu)</w:t>
            </w:r>
          </w:p>
        </w:tc>
      </w:tr>
      <w:tr w:rsidR="001042DA" w:rsidRPr="006B1A5A" w14:paraId="7E69A55E" w14:textId="77777777" w:rsidTr="00AF2AEA">
        <w:trPr>
          <w:trHeight w:val="249"/>
        </w:trPr>
        <w:tc>
          <w:tcPr>
            <w:tcW w:w="1384" w:type="pct"/>
            <w:shd w:val="clear" w:color="auto" w:fill="FFFFFF"/>
            <w:vAlign w:val="center"/>
          </w:tcPr>
          <w:p w14:paraId="55F6DAFC" w14:textId="77777777" w:rsidR="001042DA" w:rsidRPr="006B1A5A" w:rsidRDefault="001042DA" w:rsidP="00AF2AEA">
            <w:pPr>
              <w:spacing w:before="60" w:after="60"/>
              <w:jc w:val="center"/>
              <w:rPr>
                <w:rFonts w:eastAsia="Calibri"/>
                <w:b/>
                <w:sz w:val="18"/>
                <w:szCs w:val="18"/>
                <w:lang w:eastAsia="en-GB"/>
              </w:rPr>
            </w:pPr>
            <w:r w:rsidRPr="006B1A5A">
              <w:rPr>
                <w:rFonts w:eastAsia="Calibri"/>
                <w:b/>
                <w:sz w:val="18"/>
                <w:szCs w:val="18"/>
                <w:lang w:eastAsia="en-GB"/>
              </w:rPr>
              <w:t>Copper</w:t>
            </w:r>
          </w:p>
          <w:p w14:paraId="7A3BEBDB" w14:textId="77777777" w:rsidR="001042DA" w:rsidRPr="006B1A5A" w:rsidRDefault="001042DA" w:rsidP="00AF2AEA">
            <w:pPr>
              <w:spacing w:before="60" w:after="60"/>
              <w:jc w:val="center"/>
              <w:rPr>
                <w:rFonts w:eastAsia="Calibri"/>
                <w:sz w:val="18"/>
                <w:szCs w:val="18"/>
                <w:lang w:eastAsia="en-GB"/>
              </w:rPr>
            </w:pPr>
            <w:r w:rsidRPr="006B1A5A">
              <w:rPr>
                <w:rFonts w:eastAsia="Calibri"/>
                <w:sz w:val="18"/>
                <w:szCs w:val="18"/>
                <w:lang w:eastAsia="en-GB"/>
              </w:rPr>
              <w:t>PNECsurrounding waters = 1.15 µg/L</w:t>
            </w:r>
          </w:p>
          <w:p w14:paraId="67D4297E" w14:textId="77777777" w:rsidR="001042DA" w:rsidRPr="006B1A5A" w:rsidRDefault="001042DA" w:rsidP="00AF2AEA">
            <w:pPr>
              <w:spacing w:before="60" w:after="60"/>
              <w:jc w:val="center"/>
              <w:rPr>
                <w:rFonts w:eastAsia="Calibri"/>
                <w:sz w:val="18"/>
                <w:szCs w:val="18"/>
                <w:lang w:eastAsia="en-GB"/>
              </w:rPr>
            </w:pPr>
            <w:r w:rsidRPr="006B1A5A">
              <w:rPr>
                <w:rFonts w:eastAsia="Calibri"/>
                <w:sz w:val="18"/>
                <w:szCs w:val="18"/>
                <w:lang w:eastAsia="en-GB"/>
              </w:rPr>
              <w:t>PNEC</w:t>
            </w:r>
            <w:r w:rsidRPr="006B1A5A">
              <w:rPr>
                <w:rFonts w:eastAsia="Calibri"/>
                <w:sz w:val="18"/>
                <w:szCs w:val="18"/>
                <w:vertAlign w:val="subscript"/>
                <w:lang w:eastAsia="en-GB"/>
              </w:rPr>
              <w:t>sed</w:t>
            </w:r>
            <w:r w:rsidRPr="006B1A5A">
              <w:rPr>
                <w:rFonts w:eastAsia="Calibri"/>
                <w:sz w:val="18"/>
                <w:szCs w:val="18"/>
                <w:lang w:eastAsia="en-GB"/>
              </w:rPr>
              <w:t xml:space="preserve"> = 98.8 µg/g dw</w:t>
            </w:r>
          </w:p>
        </w:tc>
        <w:tc>
          <w:tcPr>
            <w:tcW w:w="774" w:type="pct"/>
            <w:shd w:val="clear" w:color="auto" w:fill="FFFFFF"/>
            <w:vAlign w:val="center"/>
          </w:tcPr>
          <w:p w14:paraId="5148A735" w14:textId="77777777" w:rsidR="001042DA" w:rsidRPr="006B1A5A" w:rsidRDefault="001042DA" w:rsidP="00AF2AEA">
            <w:pPr>
              <w:autoSpaceDE w:val="0"/>
              <w:autoSpaceDN w:val="0"/>
              <w:adjustRightInd w:val="0"/>
              <w:spacing w:before="60" w:after="60" w:line="260" w:lineRule="atLeast"/>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dissolved</w:t>
            </w:r>
          </w:p>
          <w:p w14:paraId="6B436D53" w14:textId="77777777" w:rsidR="001042DA" w:rsidRPr="006B1A5A" w:rsidRDefault="001042DA" w:rsidP="00AF2AEA">
            <w:pPr>
              <w:autoSpaceDE w:val="0"/>
              <w:autoSpaceDN w:val="0"/>
              <w:adjustRightInd w:val="0"/>
              <w:spacing w:before="60" w:after="60" w:line="260" w:lineRule="atLeast"/>
              <w:jc w:val="center"/>
              <w:rPr>
                <w:rFonts w:eastAsia="Calibri"/>
                <w:sz w:val="18"/>
                <w:szCs w:val="18"/>
                <w:lang w:eastAsia="en-GB"/>
              </w:rPr>
            </w:pPr>
            <w:r w:rsidRPr="006B1A5A">
              <w:rPr>
                <w:rFonts w:eastAsia="Calibri"/>
                <w:sz w:val="18"/>
                <w:szCs w:val="18"/>
                <w:lang w:eastAsia="en-GB"/>
              </w:rPr>
              <w:t>[µg/L]</w:t>
            </w:r>
          </w:p>
        </w:tc>
        <w:tc>
          <w:tcPr>
            <w:tcW w:w="948" w:type="pct"/>
            <w:gridSpan w:val="2"/>
            <w:shd w:val="clear" w:color="auto" w:fill="FFFFFF"/>
            <w:vAlign w:val="center"/>
          </w:tcPr>
          <w:p w14:paraId="14C5F786" w14:textId="77777777" w:rsidR="001042DA" w:rsidRPr="006B1A5A" w:rsidRDefault="001042DA" w:rsidP="00AF2AEA">
            <w:pPr>
              <w:autoSpaceDE w:val="0"/>
              <w:autoSpaceDN w:val="0"/>
              <w:adjustRightInd w:val="0"/>
              <w:spacing w:before="60" w:after="60" w:line="260" w:lineRule="atLeast"/>
              <w:jc w:val="center"/>
              <w:rPr>
                <w:rFonts w:eastAsia="Calibri"/>
                <w:sz w:val="18"/>
                <w:szCs w:val="18"/>
                <w:vertAlign w:val="superscript"/>
                <w:lang w:eastAsia="en-GB"/>
              </w:rPr>
            </w:pPr>
            <w:r w:rsidRPr="006B1A5A">
              <w:rPr>
                <w:rFonts w:eastAsia="Calibri"/>
                <w:b/>
                <w:sz w:val="18"/>
                <w:szCs w:val="18"/>
                <w:lang w:eastAsia="en-GB"/>
              </w:rPr>
              <w:t>PEC</w:t>
            </w:r>
            <w:r w:rsidRPr="006B1A5A">
              <w:rPr>
                <w:rFonts w:eastAsia="Calibri"/>
                <w:b/>
                <w:sz w:val="18"/>
                <w:szCs w:val="18"/>
                <w:vertAlign w:val="subscript"/>
                <w:lang w:eastAsia="en-GB"/>
              </w:rPr>
              <w:t xml:space="preserve">dissolved </w:t>
            </w:r>
            <w:r w:rsidRPr="006B1A5A">
              <w:rPr>
                <w:rFonts w:eastAsia="Calibri"/>
                <w:b/>
                <w:sz w:val="18"/>
                <w:szCs w:val="18"/>
                <w:lang w:eastAsia="en-GB"/>
              </w:rPr>
              <w:t>/ PNEC</w:t>
            </w:r>
            <w:r w:rsidRPr="006B1A5A">
              <w:rPr>
                <w:rFonts w:eastAsia="Calibri"/>
                <w:b/>
                <w:sz w:val="18"/>
                <w:szCs w:val="18"/>
                <w:vertAlign w:val="subscript"/>
                <w:lang w:eastAsia="en-GB"/>
              </w:rPr>
              <w:t xml:space="preserve">water </w:t>
            </w:r>
            <w:r w:rsidRPr="006B1A5A">
              <w:rPr>
                <w:rFonts w:eastAsia="Calibri"/>
                <w:b/>
                <w:sz w:val="18"/>
                <w:szCs w:val="18"/>
                <w:vertAlign w:val="superscript"/>
                <w:lang w:eastAsia="en-GB"/>
              </w:rPr>
              <w:t>1</w:t>
            </w:r>
          </w:p>
        </w:tc>
        <w:tc>
          <w:tcPr>
            <w:tcW w:w="949" w:type="pct"/>
            <w:gridSpan w:val="2"/>
            <w:shd w:val="clear" w:color="auto" w:fill="FFFFFF"/>
            <w:vAlign w:val="center"/>
          </w:tcPr>
          <w:p w14:paraId="09B59897" w14:textId="77777777" w:rsidR="001042DA" w:rsidRPr="006B1A5A" w:rsidRDefault="001042DA" w:rsidP="00AF2AEA">
            <w:pPr>
              <w:spacing w:before="60" w:after="60"/>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suspended sediment</w:t>
            </w:r>
          </w:p>
          <w:p w14:paraId="16AB8238" w14:textId="77777777" w:rsidR="001042DA" w:rsidRPr="006B1A5A" w:rsidRDefault="001042DA" w:rsidP="00AF2AEA">
            <w:pPr>
              <w:spacing w:before="60" w:after="60"/>
              <w:jc w:val="center"/>
              <w:rPr>
                <w:rFonts w:eastAsia="Calibri"/>
                <w:sz w:val="18"/>
                <w:szCs w:val="18"/>
                <w:lang w:eastAsia="en-GB"/>
              </w:rPr>
            </w:pPr>
            <w:r w:rsidRPr="006B1A5A">
              <w:rPr>
                <w:rFonts w:eastAsia="Calibri"/>
                <w:sz w:val="18"/>
                <w:szCs w:val="18"/>
                <w:lang w:eastAsia="en-GB"/>
              </w:rPr>
              <w:t>[µg/g dw]</w:t>
            </w:r>
          </w:p>
        </w:tc>
        <w:tc>
          <w:tcPr>
            <w:tcW w:w="945" w:type="pct"/>
            <w:shd w:val="clear" w:color="auto" w:fill="FFFFFF"/>
            <w:vAlign w:val="center"/>
          </w:tcPr>
          <w:p w14:paraId="4CAF5C02" w14:textId="77777777" w:rsidR="001042DA" w:rsidRPr="006B1A5A" w:rsidRDefault="001042DA" w:rsidP="00AF2AEA">
            <w:pPr>
              <w:spacing w:before="60" w:after="60"/>
              <w:jc w:val="center"/>
              <w:rPr>
                <w:rFonts w:eastAsia="Calibri"/>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 xml:space="preserve">suspended sediment </w:t>
            </w:r>
            <w:r w:rsidRPr="006B1A5A">
              <w:rPr>
                <w:rFonts w:eastAsia="Calibri"/>
                <w:b/>
                <w:sz w:val="18"/>
                <w:szCs w:val="18"/>
                <w:lang w:eastAsia="en-GB"/>
              </w:rPr>
              <w:t>/ PNEC</w:t>
            </w:r>
            <w:r w:rsidRPr="006B1A5A">
              <w:rPr>
                <w:rFonts w:eastAsia="Calibri"/>
                <w:b/>
                <w:sz w:val="18"/>
                <w:szCs w:val="18"/>
                <w:vertAlign w:val="subscript"/>
                <w:lang w:eastAsia="en-GB"/>
              </w:rPr>
              <w:t xml:space="preserve">sediment </w:t>
            </w:r>
            <w:r w:rsidRPr="006B1A5A">
              <w:rPr>
                <w:rFonts w:eastAsia="Calibri"/>
                <w:b/>
                <w:sz w:val="18"/>
                <w:szCs w:val="18"/>
                <w:vertAlign w:val="superscript"/>
                <w:lang w:eastAsia="en-GB"/>
              </w:rPr>
              <w:t>1</w:t>
            </w:r>
          </w:p>
        </w:tc>
      </w:tr>
      <w:tr w:rsidR="001042DA" w:rsidRPr="006B1A5A" w14:paraId="308666B2" w14:textId="77777777" w:rsidTr="00AF2AEA">
        <w:trPr>
          <w:trHeight w:val="75"/>
        </w:trPr>
        <w:tc>
          <w:tcPr>
            <w:tcW w:w="1384" w:type="pct"/>
            <w:shd w:val="clear" w:color="auto" w:fill="FFFFFF"/>
          </w:tcPr>
          <w:p w14:paraId="35FA15E3" w14:textId="77777777" w:rsidR="001042DA" w:rsidRPr="006B1A5A" w:rsidRDefault="001042DA" w:rsidP="00AF2AEA">
            <w:pPr>
              <w:spacing w:before="60" w:after="60"/>
              <w:rPr>
                <w:rFonts w:eastAsia="Calibri"/>
                <w:b/>
                <w:sz w:val="18"/>
                <w:szCs w:val="18"/>
                <w:lang w:eastAsia="en-GB"/>
              </w:rPr>
            </w:pPr>
            <w:r w:rsidRPr="006B1A5A">
              <w:rPr>
                <w:rFonts w:eastAsia="Calibri"/>
                <w:b/>
                <w:sz w:val="18"/>
                <w:szCs w:val="18"/>
                <w:lang w:eastAsia="en-GB"/>
              </w:rPr>
              <w:t>EU fish farm scenario</w:t>
            </w:r>
          </w:p>
        </w:tc>
        <w:tc>
          <w:tcPr>
            <w:tcW w:w="774" w:type="pct"/>
            <w:shd w:val="clear" w:color="auto" w:fill="FFFFFF"/>
            <w:vAlign w:val="center"/>
          </w:tcPr>
          <w:p w14:paraId="5626805A" w14:textId="12BCBE37" w:rsidR="001042DA" w:rsidRPr="006B1A5A" w:rsidRDefault="000545B2" w:rsidP="00AF2AEA">
            <w:pPr>
              <w:pStyle w:val="Ingenmellomrom"/>
              <w:jc w:val="center"/>
              <w:rPr>
                <w:rFonts w:ascii="Verdana" w:hAnsi="Verdana"/>
                <w:sz w:val="18"/>
                <w:szCs w:val="18"/>
                <w:lang w:val="en-GB" w:eastAsia="en-GB"/>
              </w:rPr>
            </w:pPr>
            <w:r>
              <w:rPr>
                <w:rFonts w:ascii="Verdana" w:hAnsi="Verdana"/>
                <w:sz w:val="18"/>
                <w:szCs w:val="18"/>
                <w:lang w:val="en-GB" w:eastAsia="en-GB"/>
              </w:rPr>
              <w:t>1.19</w:t>
            </w:r>
          </w:p>
        </w:tc>
        <w:tc>
          <w:tcPr>
            <w:tcW w:w="948" w:type="pct"/>
            <w:gridSpan w:val="2"/>
            <w:shd w:val="clear" w:color="auto" w:fill="FFFFFF"/>
            <w:vAlign w:val="center"/>
          </w:tcPr>
          <w:p w14:paraId="1E16E333" w14:textId="77777777" w:rsidR="001042DA" w:rsidRPr="006B1A5A" w:rsidRDefault="001042DA" w:rsidP="00AF2AEA">
            <w:pPr>
              <w:pStyle w:val="Ingenmellomrom"/>
              <w:jc w:val="center"/>
              <w:rPr>
                <w:rFonts w:ascii="Verdana" w:hAnsi="Verdana"/>
                <w:b/>
                <w:sz w:val="18"/>
                <w:szCs w:val="18"/>
                <w:lang w:val="en-GB" w:eastAsia="en-GB"/>
              </w:rPr>
            </w:pPr>
            <w:r w:rsidRPr="006B1A5A">
              <w:rPr>
                <w:rFonts w:ascii="Verdana" w:hAnsi="Verdana"/>
                <w:b/>
                <w:sz w:val="18"/>
                <w:szCs w:val="18"/>
                <w:lang w:val="en-GB" w:eastAsia="en-GB"/>
              </w:rPr>
              <w:t>1.04</w:t>
            </w:r>
          </w:p>
        </w:tc>
        <w:tc>
          <w:tcPr>
            <w:tcW w:w="949" w:type="pct"/>
            <w:gridSpan w:val="2"/>
            <w:shd w:val="clear" w:color="auto" w:fill="FFFFFF"/>
            <w:vAlign w:val="center"/>
          </w:tcPr>
          <w:p w14:paraId="6F16E195"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hAnsi="Verdana"/>
                <w:sz w:val="18"/>
                <w:szCs w:val="18"/>
                <w:lang w:val="en-GB" w:eastAsia="en-GB"/>
              </w:rPr>
              <w:t>28.42</w:t>
            </w:r>
          </w:p>
        </w:tc>
        <w:tc>
          <w:tcPr>
            <w:tcW w:w="945" w:type="pct"/>
            <w:shd w:val="clear" w:color="auto" w:fill="FFFFFF"/>
            <w:vAlign w:val="center"/>
          </w:tcPr>
          <w:p w14:paraId="5BD90AF6"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hAnsi="Verdana"/>
                <w:sz w:val="18"/>
                <w:szCs w:val="18"/>
                <w:lang w:val="en-GB" w:eastAsia="en-GB"/>
              </w:rPr>
              <w:t>0.29</w:t>
            </w:r>
          </w:p>
        </w:tc>
      </w:tr>
      <w:tr w:rsidR="001042DA" w:rsidRPr="006B1A5A" w14:paraId="384A15E2" w14:textId="77777777" w:rsidTr="00AF2AEA">
        <w:trPr>
          <w:trHeight w:val="75"/>
        </w:trPr>
        <w:tc>
          <w:tcPr>
            <w:tcW w:w="1384" w:type="pct"/>
            <w:shd w:val="clear" w:color="auto" w:fill="FFFFFF"/>
            <w:vAlign w:val="center"/>
          </w:tcPr>
          <w:p w14:paraId="2F1E80A6" w14:textId="77777777" w:rsidR="001042DA" w:rsidRPr="006B1A5A" w:rsidRDefault="001042DA" w:rsidP="00AF2AEA">
            <w:pPr>
              <w:spacing w:before="60" w:after="60"/>
              <w:jc w:val="center"/>
              <w:rPr>
                <w:rFonts w:eastAsia="Calibri"/>
                <w:b/>
                <w:sz w:val="18"/>
                <w:szCs w:val="18"/>
                <w:lang w:eastAsia="en-GB"/>
              </w:rPr>
            </w:pPr>
            <w:r w:rsidRPr="006B1A5A">
              <w:rPr>
                <w:rFonts w:eastAsia="Calibri"/>
                <w:b/>
                <w:sz w:val="18"/>
                <w:szCs w:val="18"/>
                <w:lang w:eastAsia="en-GB"/>
              </w:rPr>
              <w:t>Thiocyanate</w:t>
            </w:r>
          </w:p>
          <w:p w14:paraId="403A2CCF" w14:textId="77777777" w:rsidR="001042DA" w:rsidRPr="006B1A5A" w:rsidRDefault="001042DA" w:rsidP="00AF2AEA">
            <w:pPr>
              <w:spacing w:before="60" w:after="60"/>
              <w:jc w:val="center"/>
              <w:rPr>
                <w:rFonts w:eastAsia="Calibri"/>
                <w:sz w:val="18"/>
                <w:szCs w:val="18"/>
                <w:lang w:eastAsia="en-GB"/>
              </w:rPr>
            </w:pPr>
            <w:r w:rsidRPr="006B1A5A">
              <w:rPr>
                <w:rFonts w:eastAsia="Calibri"/>
                <w:sz w:val="18"/>
                <w:szCs w:val="18"/>
                <w:lang w:eastAsia="en-GB"/>
              </w:rPr>
              <w:t>PNEC surrounding waters = 11 µg/L</w:t>
            </w:r>
          </w:p>
          <w:p w14:paraId="12D5C623" w14:textId="77777777" w:rsidR="001042DA" w:rsidRPr="006B1A5A" w:rsidRDefault="001042DA" w:rsidP="00AF2AEA">
            <w:pPr>
              <w:spacing w:before="60" w:after="60"/>
              <w:jc w:val="center"/>
              <w:rPr>
                <w:rFonts w:eastAsia="Calibri"/>
                <w:b/>
                <w:sz w:val="18"/>
                <w:szCs w:val="18"/>
                <w:lang w:eastAsia="en-GB"/>
              </w:rPr>
            </w:pPr>
            <w:r w:rsidRPr="006B1A5A">
              <w:rPr>
                <w:rFonts w:eastAsia="Calibri"/>
                <w:sz w:val="18"/>
                <w:szCs w:val="18"/>
                <w:lang w:eastAsia="en-GB"/>
              </w:rPr>
              <w:t>PNEC</w:t>
            </w:r>
            <w:r w:rsidRPr="006B1A5A">
              <w:rPr>
                <w:rFonts w:eastAsia="Calibri"/>
                <w:sz w:val="18"/>
                <w:szCs w:val="18"/>
                <w:vertAlign w:val="subscript"/>
                <w:lang w:eastAsia="en-GB"/>
              </w:rPr>
              <w:t>sed</w:t>
            </w:r>
            <w:r w:rsidRPr="006B1A5A">
              <w:rPr>
                <w:rFonts w:eastAsia="Calibri"/>
                <w:sz w:val="18"/>
                <w:szCs w:val="18"/>
                <w:lang w:eastAsia="en-GB"/>
              </w:rPr>
              <w:t xml:space="preserve"> = 0.045 µg/g dw</w:t>
            </w:r>
          </w:p>
        </w:tc>
        <w:tc>
          <w:tcPr>
            <w:tcW w:w="774" w:type="pct"/>
            <w:shd w:val="clear" w:color="auto" w:fill="FFFFFF"/>
            <w:vAlign w:val="center"/>
          </w:tcPr>
          <w:p w14:paraId="2E1EE463" w14:textId="77777777" w:rsidR="001042DA" w:rsidRPr="006B1A5A" w:rsidRDefault="001042DA" w:rsidP="00AF2AEA">
            <w:pPr>
              <w:autoSpaceDE w:val="0"/>
              <w:autoSpaceDN w:val="0"/>
              <w:adjustRightInd w:val="0"/>
              <w:spacing w:before="60" w:after="60" w:line="260" w:lineRule="atLeast"/>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dissolved</w:t>
            </w:r>
          </w:p>
          <w:p w14:paraId="722C823A" w14:textId="77777777" w:rsidR="001042DA" w:rsidRPr="006B1A5A" w:rsidRDefault="001042DA" w:rsidP="00AF2AEA">
            <w:pPr>
              <w:autoSpaceDE w:val="0"/>
              <w:autoSpaceDN w:val="0"/>
              <w:adjustRightInd w:val="0"/>
              <w:spacing w:before="60" w:after="60" w:line="260" w:lineRule="atLeast"/>
              <w:jc w:val="center"/>
              <w:rPr>
                <w:rFonts w:eastAsia="Calibri"/>
                <w:sz w:val="18"/>
                <w:szCs w:val="18"/>
                <w:lang w:eastAsia="en-GB"/>
              </w:rPr>
            </w:pPr>
            <w:r w:rsidRPr="006B1A5A">
              <w:rPr>
                <w:rFonts w:eastAsia="Calibri"/>
                <w:sz w:val="18"/>
                <w:szCs w:val="18"/>
                <w:lang w:eastAsia="en-GB"/>
              </w:rPr>
              <w:t>[µg/L]</w:t>
            </w:r>
          </w:p>
        </w:tc>
        <w:tc>
          <w:tcPr>
            <w:tcW w:w="948" w:type="pct"/>
            <w:gridSpan w:val="2"/>
            <w:shd w:val="clear" w:color="auto" w:fill="FFFFFF"/>
            <w:vAlign w:val="center"/>
          </w:tcPr>
          <w:p w14:paraId="308CEA3A" w14:textId="77777777" w:rsidR="001042DA" w:rsidRPr="006B1A5A" w:rsidRDefault="001042DA" w:rsidP="00AF2AEA">
            <w:pPr>
              <w:autoSpaceDE w:val="0"/>
              <w:autoSpaceDN w:val="0"/>
              <w:adjustRightInd w:val="0"/>
              <w:spacing w:before="60" w:after="60" w:line="260" w:lineRule="atLeast"/>
              <w:jc w:val="center"/>
              <w:rPr>
                <w:rFonts w:eastAsia="Calibri"/>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 xml:space="preserve">dissolved </w:t>
            </w:r>
            <w:r w:rsidRPr="006B1A5A">
              <w:rPr>
                <w:rFonts w:eastAsia="Calibri"/>
                <w:b/>
                <w:sz w:val="18"/>
                <w:szCs w:val="18"/>
                <w:lang w:eastAsia="en-GB"/>
              </w:rPr>
              <w:t>/ PNEC</w:t>
            </w:r>
            <w:r w:rsidRPr="006B1A5A">
              <w:rPr>
                <w:rFonts w:eastAsia="Calibri"/>
                <w:b/>
                <w:sz w:val="18"/>
                <w:szCs w:val="18"/>
                <w:vertAlign w:val="subscript"/>
                <w:lang w:eastAsia="en-GB"/>
              </w:rPr>
              <w:t xml:space="preserve">water </w:t>
            </w:r>
            <w:r w:rsidRPr="006B1A5A">
              <w:rPr>
                <w:rFonts w:eastAsia="Calibri"/>
                <w:b/>
                <w:sz w:val="18"/>
                <w:szCs w:val="18"/>
                <w:vertAlign w:val="superscript"/>
                <w:lang w:eastAsia="en-GB"/>
              </w:rPr>
              <w:t>1</w:t>
            </w:r>
          </w:p>
        </w:tc>
        <w:tc>
          <w:tcPr>
            <w:tcW w:w="949" w:type="pct"/>
            <w:gridSpan w:val="2"/>
            <w:shd w:val="clear" w:color="auto" w:fill="FFFFFF"/>
            <w:vAlign w:val="center"/>
          </w:tcPr>
          <w:p w14:paraId="29026FFD" w14:textId="77777777" w:rsidR="001042DA" w:rsidRPr="006B1A5A" w:rsidRDefault="001042DA" w:rsidP="00AF2AEA">
            <w:pPr>
              <w:spacing w:before="60" w:after="60"/>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suspended sediment</w:t>
            </w:r>
          </w:p>
          <w:p w14:paraId="5D8F0A3C" w14:textId="77777777" w:rsidR="001042DA" w:rsidRPr="006B1A5A" w:rsidRDefault="001042DA" w:rsidP="00AF2AEA">
            <w:pPr>
              <w:spacing w:before="60" w:after="60"/>
              <w:jc w:val="center"/>
              <w:rPr>
                <w:rFonts w:eastAsia="Calibri"/>
                <w:sz w:val="18"/>
                <w:szCs w:val="18"/>
                <w:lang w:eastAsia="en-GB"/>
              </w:rPr>
            </w:pPr>
            <w:r w:rsidRPr="006B1A5A">
              <w:rPr>
                <w:rFonts w:eastAsia="Calibri"/>
                <w:sz w:val="18"/>
                <w:szCs w:val="18"/>
                <w:lang w:eastAsia="en-GB"/>
              </w:rPr>
              <w:t>[µg/g dw]</w:t>
            </w:r>
          </w:p>
        </w:tc>
        <w:tc>
          <w:tcPr>
            <w:tcW w:w="945" w:type="pct"/>
            <w:shd w:val="clear" w:color="auto" w:fill="FFFFFF"/>
            <w:vAlign w:val="center"/>
          </w:tcPr>
          <w:p w14:paraId="53888B05" w14:textId="77777777" w:rsidR="001042DA" w:rsidRPr="006B1A5A" w:rsidRDefault="001042DA" w:rsidP="00AF2AEA">
            <w:pPr>
              <w:spacing w:before="60" w:after="60"/>
              <w:jc w:val="center"/>
              <w:rPr>
                <w:rFonts w:eastAsia="Calibri"/>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 xml:space="preserve">suspended sediment </w:t>
            </w:r>
            <w:r w:rsidRPr="006B1A5A">
              <w:rPr>
                <w:rFonts w:eastAsia="Calibri"/>
                <w:b/>
                <w:sz w:val="18"/>
                <w:szCs w:val="18"/>
                <w:lang w:eastAsia="en-GB"/>
              </w:rPr>
              <w:t>/ PNEC</w:t>
            </w:r>
            <w:r w:rsidRPr="006B1A5A">
              <w:rPr>
                <w:rFonts w:eastAsia="Calibri"/>
                <w:b/>
                <w:sz w:val="18"/>
                <w:szCs w:val="18"/>
                <w:vertAlign w:val="subscript"/>
                <w:lang w:eastAsia="en-GB"/>
              </w:rPr>
              <w:t xml:space="preserve">sediment </w:t>
            </w:r>
            <w:r w:rsidRPr="006B1A5A">
              <w:rPr>
                <w:rFonts w:eastAsia="Calibri"/>
                <w:b/>
                <w:sz w:val="18"/>
                <w:szCs w:val="18"/>
                <w:vertAlign w:val="superscript"/>
                <w:lang w:eastAsia="en-GB"/>
              </w:rPr>
              <w:t>1</w:t>
            </w:r>
          </w:p>
        </w:tc>
      </w:tr>
      <w:tr w:rsidR="001042DA" w:rsidRPr="006B1A5A" w14:paraId="32A694D4" w14:textId="77777777" w:rsidTr="00AF2AEA">
        <w:trPr>
          <w:trHeight w:val="75"/>
        </w:trPr>
        <w:tc>
          <w:tcPr>
            <w:tcW w:w="1384" w:type="pct"/>
            <w:shd w:val="clear" w:color="auto" w:fill="FFFFFF"/>
          </w:tcPr>
          <w:p w14:paraId="0D365B7E" w14:textId="77777777" w:rsidR="001042DA" w:rsidRPr="006B1A5A" w:rsidRDefault="001042DA" w:rsidP="00AF2AEA">
            <w:pPr>
              <w:spacing w:before="60" w:after="60"/>
              <w:rPr>
                <w:rFonts w:eastAsia="Calibri"/>
                <w:b/>
                <w:sz w:val="18"/>
                <w:szCs w:val="18"/>
                <w:lang w:eastAsia="en-GB"/>
              </w:rPr>
            </w:pPr>
            <w:r w:rsidRPr="006B1A5A">
              <w:rPr>
                <w:rFonts w:eastAsia="Calibri"/>
                <w:b/>
                <w:sz w:val="18"/>
                <w:szCs w:val="18"/>
                <w:lang w:eastAsia="en-GB"/>
              </w:rPr>
              <w:t>EU fish farm scenario</w:t>
            </w:r>
          </w:p>
        </w:tc>
        <w:tc>
          <w:tcPr>
            <w:tcW w:w="774" w:type="pct"/>
            <w:shd w:val="clear" w:color="auto" w:fill="FFFFFF"/>
            <w:vAlign w:val="center"/>
          </w:tcPr>
          <w:p w14:paraId="7960A2D3"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hAnsi="Verdana"/>
                <w:sz w:val="18"/>
                <w:szCs w:val="18"/>
                <w:lang w:val="en-GB" w:eastAsia="en-GB"/>
              </w:rPr>
              <w:t>0.02</w:t>
            </w:r>
          </w:p>
        </w:tc>
        <w:tc>
          <w:tcPr>
            <w:tcW w:w="948" w:type="pct"/>
            <w:gridSpan w:val="2"/>
            <w:shd w:val="clear" w:color="auto" w:fill="FFFFFF"/>
            <w:vAlign w:val="center"/>
          </w:tcPr>
          <w:p w14:paraId="0B535F62"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hAnsi="Verdana"/>
                <w:sz w:val="18"/>
                <w:szCs w:val="18"/>
                <w:lang w:val="en-GB" w:eastAsia="en-GB"/>
              </w:rPr>
              <w:t>1.83E-03</w:t>
            </w:r>
          </w:p>
        </w:tc>
        <w:tc>
          <w:tcPr>
            <w:tcW w:w="949" w:type="pct"/>
            <w:gridSpan w:val="2"/>
            <w:shd w:val="clear" w:color="auto" w:fill="FFFFFF"/>
            <w:vAlign w:val="center"/>
          </w:tcPr>
          <w:p w14:paraId="187EE747"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hAnsi="Verdana"/>
                <w:sz w:val="18"/>
                <w:szCs w:val="18"/>
                <w:lang w:val="en-GB" w:eastAsia="en-GB"/>
              </w:rPr>
              <w:t>5.38E-06</w:t>
            </w:r>
          </w:p>
        </w:tc>
        <w:tc>
          <w:tcPr>
            <w:tcW w:w="945" w:type="pct"/>
            <w:shd w:val="clear" w:color="auto" w:fill="FFFFFF"/>
            <w:vAlign w:val="center"/>
          </w:tcPr>
          <w:p w14:paraId="577B5CDE"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hAnsi="Verdana"/>
                <w:sz w:val="18"/>
                <w:szCs w:val="18"/>
                <w:lang w:val="en-GB" w:eastAsia="en-GB"/>
              </w:rPr>
              <w:t>1.20E-04</w:t>
            </w:r>
          </w:p>
        </w:tc>
      </w:tr>
      <w:tr w:rsidR="001042DA" w:rsidRPr="006B1A5A" w14:paraId="54D7C2AB" w14:textId="77777777" w:rsidTr="00AF2AEA">
        <w:trPr>
          <w:trHeight w:val="75"/>
        </w:trPr>
        <w:tc>
          <w:tcPr>
            <w:tcW w:w="5000" w:type="pct"/>
            <w:gridSpan w:val="7"/>
            <w:tcBorders>
              <w:top w:val="single" w:sz="4" w:space="0" w:color="auto"/>
              <w:left w:val="nil"/>
              <w:bottom w:val="nil"/>
              <w:right w:val="nil"/>
            </w:tcBorders>
            <w:shd w:val="clear" w:color="auto" w:fill="FFFFFF"/>
          </w:tcPr>
          <w:p w14:paraId="3BA85D3C" w14:textId="77777777" w:rsidR="001042DA" w:rsidRPr="006B1A5A" w:rsidRDefault="001042DA" w:rsidP="00AF2AEA">
            <w:pPr>
              <w:rPr>
                <w:sz w:val="18"/>
              </w:rPr>
            </w:pPr>
            <w:r w:rsidRPr="006B1A5A">
              <w:rPr>
                <w:sz w:val="18"/>
                <w:vertAlign w:val="superscript"/>
              </w:rPr>
              <w:t>1</w:t>
            </w:r>
            <w:r w:rsidRPr="006B1A5A">
              <w:rPr>
                <w:sz w:val="18"/>
              </w:rPr>
              <w:t xml:space="preserve"> PEC/PNEC </w:t>
            </w:r>
            <w:r w:rsidRPr="006B1A5A">
              <w:rPr>
                <w:sz w:val="18"/>
                <w:szCs w:val="18"/>
              </w:rPr>
              <w:t>ratios above</w:t>
            </w:r>
            <w:r w:rsidRPr="006B1A5A">
              <w:rPr>
                <w:sz w:val="18"/>
              </w:rPr>
              <w:t xml:space="preserve"> 1 </w:t>
            </w:r>
            <w:r w:rsidRPr="006B1A5A">
              <w:rPr>
                <w:sz w:val="18"/>
                <w:szCs w:val="18"/>
              </w:rPr>
              <w:t>(values</w:t>
            </w:r>
            <w:r w:rsidRPr="006B1A5A">
              <w:rPr>
                <w:sz w:val="18"/>
              </w:rPr>
              <w:t xml:space="preserve"> in </w:t>
            </w:r>
            <w:r w:rsidRPr="006B1A5A">
              <w:rPr>
                <w:b/>
                <w:sz w:val="18"/>
              </w:rPr>
              <w:t>bold</w:t>
            </w:r>
            <w:r w:rsidRPr="006B1A5A">
              <w:rPr>
                <w:sz w:val="18"/>
                <w:szCs w:val="18"/>
              </w:rPr>
              <w:t>)</w:t>
            </w:r>
            <w:r w:rsidRPr="006B1A5A">
              <w:rPr>
                <w:sz w:val="18"/>
              </w:rPr>
              <w:t xml:space="preserve"> indicate unacceptable </w:t>
            </w:r>
            <w:r w:rsidRPr="006B1A5A">
              <w:rPr>
                <w:sz w:val="18"/>
                <w:szCs w:val="18"/>
              </w:rPr>
              <w:t>environmental risks.</w:t>
            </w:r>
          </w:p>
          <w:p w14:paraId="450DA6EE" w14:textId="77777777" w:rsidR="001042DA" w:rsidRPr="006B1A5A" w:rsidRDefault="001042DA" w:rsidP="00AF2AEA">
            <w:pPr>
              <w:rPr>
                <w:b/>
                <w:sz w:val="18"/>
              </w:rPr>
            </w:pPr>
          </w:p>
          <w:p w14:paraId="37C9D406" w14:textId="77777777" w:rsidR="001042DA" w:rsidRPr="006B1A5A" w:rsidRDefault="001042DA" w:rsidP="00AF2AEA">
            <w:pPr>
              <w:rPr>
                <w:b/>
                <w:sz w:val="18"/>
              </w:rPr>
            </w:pPr>
          </w:p>
        </w:tc>
      </w:tr>
      <w:bookmarkEnd w:id="1743"/>
      <w:tr w:rsidR="001042DA" w:rsidRPr="006B1A5A" w14:paraId="382D1502" w14:textId="77777777" w:rsidTr="00AF2AEA">
        <w:trPr>
          <w:trHeight w:val="249"/>
        </w:trPr>
        <w:tc>
          <w:tcPr>
            <w:tcW w:w="5000" w:type="pct"/>
            <w:gridSpan w:val="7"/>
            <w:tcBorders>
              <w:top w:val="single" w:sz="4" w:space="0" w:color="auto"/>
              <w:left w:val="single" w:sz="4" w:space="0" w:color="auto"/>
              <w:bottom w:val="single" w:sz="4" w:space="0" w:color="auto"/>
              <w:right w:val="single" w:sz="4" w:space="0" w:color="auto"/>
            </w:tcBorders>
            <w:shd w:val="clear" w:color="auto" w:fill="FFFFCC"/>
            <w:vAlign w:val="center"/>
          </w:tcPr>
          <w:p w14:paraId="745407D0" w14:textId="77777777" w:rsidR="001042DA" w:rsidRPr="006B1A5A" w:rsidRDefault="001042DA" w:rsidP="00AF2AEA">
            <w:pPr>
              <w:keepNext/>
              <w:autoSpaceDE w:val="0"/>
              <w:autoSpaceDN w:val="0"/>
              <w:adjustRightInd w:val="0"/>
              <w:spacing w:before="60" w:after="60" w:line="260" w:lineRule="atLeast"/>
              <w:jc w:val="center"/>
              <w:rPr>
                <w:rFonts w:eastAsia="Calibri"/>
                <w:b/>
                <w:color w:val="000000" w:themeColor="text1"/>
                <w:sz w:val="18"/>
                <w:szCs w:val="18"/>
                <w:lang w:eastAsia="en-GB"/>
              </w:rPr>
            </w:pPr>
            <w:r w:rsidRPr="006B1A5A">
              <w:rPr>
                <w:rFonts w:eastAsia="Calibri"/>
                <w:b/>
                <w:color w:val="000000" w:themeColor="text1"/>
                <w:sz w:val="18"/>
                <w:szCs w:val="18"/>
                <w:lang w:eastAsia="en-GB"/>
              </w:rPr>
              <w:t>AquaNet HG360</w:t>
            </w:r>
          </w:p>
          <w:p w14:paraId="56BCB3C4" w14:textId="77777777" w:rsidR="001042DA" w:rsidRPr="006B1A5A" w:rsidRDefault="001042DA" w:rsidP="00AF2AEA">
            <w:pPr>
              <w:autoSpaceDE w:val="0"/>
              <w:autoSpaceDN w:val="0"/>
              <w:adjustRightInd w:val="0"/>
              <w:spacing w:before="60" w:after="60" w:line="260" w:lineRule="atLeast"/>
              <w:jc w:val="center"/>
              <w:rPr>
                <w:rFonts w:eastAsia="Calibri"/>
                <w:b/>
                <w:sz w:val="18"/>
                <w:szCs w:val="18"/>
                <w:lang w:eastAsia="en-GB"/>
              </w:rPr>
            </w:pPr>
            <w:r w:rsidRPr="006B1A5A">
              <w:rPr>
                <w:rFonts w:eastAsia="Calibri"/>
                <w:b/>
                <w:sz w:val="18"/>
                <w:szCs w:val="18"/>
                <w:lang w:eastAsia="en-GB"/>
              </w:rPr>
              <w:t xml:space="preserve">Average PEC values calculated by MAMPEC v3.1 </w:t>
            </w:r>
          </w:p>
          <w:p w14:paraId="20495420" w14:textId="77777777" w:rsidR="001042DA" w:rsidRPr="006B1A5A" w:rsidRDefault="001042DA" w:rsidP="00AF2AEA">
            <w:pPr>
              <w:keepNext/>
              <w:autoSpaceDE w:val="0"/>
              <w:autoSpaceDN w:val="0"/>
              <w:adjustRightInd w:val="0"/>
              <w:spacing w:before="60" w:after="60" w:line="260" w:lineRule="atLeast"/>
              <w:jc w:val="center"/>
              <w:rPr>
                <w:rFonts w:eastAsia="Calibri"/>
                <w:b/>
                <w:color w:val="000000" w:themeColor="text1"/>
                <w:sz w:val="18"/>
                <w:szCs w:val="18"/>
                <w:lang w:eastAsia="en-GB"/>
              </w:rPr>
            </w:pPr>
            <w:r w:rsidRPr="006B1A5A">
              <w:rPr>
                <w:rFonts w:eastAsia="Calibri"/>
                <w:b/>
                <w:sz w:val="18"/>
                <w:szCs w:val="18"/>
                <w:lang w:eastAsia="en-GB"/>
              </w:rPr>
              <w:t>(without background concentration for Cu)</w:t>
            </w:r>
          </w:p>
        </w:tc>
      </w:tr>
      <w:tr w:rsidR="001042DA" w:rsidRPr="006B1A5A" w14:paraId="6AE65A07" w14:textId="77777777" w:rsidTr="00AF2AEA">
        <w:trPr>
          <w:trHeight w:val="249"/>
        </w:trPr>
        <w:tc>
          <w:tcPr>
            <w:tcW w:w="1384" w:type="pct"/>
            <w:shd w:val="clear" w:color="auto" w:fill="FFFFFF"/>
            <w:vAlign w:val="center"/>
          </w:tcPr>
          <w:p w14:paraId="348BCF36" w14:textId="77777777" w:rsidR="001042DA" w:rsidRPr="006B1A5A" w:rsidRDefault="001042DA" w:rsidP="00AF2AEA">
            <w:pPr>
              <w:spacing w:before="60" w:after="60"/>
              <w:jc w:val="center"/>
              <w:rPr>
                <w:rFonts w:eastAsia="Calibri"/>
                <w:b/>
                <w:sz w:val="18"/>
                <w:szCs w:val="18"/>
                <w:lang w:eastAsia="en-GB"/>
              </w:rPr>
            </w:pPr>
            <w:r w:rsidRPr="006B1A5A">
              <w:rPr>
                <w:rFonts w:eastAsia="Calibri"/>
                <w:b/>
                <w:sz w:val="18"/>
                <w:szCs w:val="18"/>
                <w:lang w:eastAsia="en-GB"/>
              </w:rPr>
              <w:t>Copper</w:t>
            </w:r>
          </w:p>
          <w:p w14:paraId="72990A27" w14:textId="77777777" w:rsidR="001042DA" w:rsidRPr="006B1A5A" w:rsidRDefault="001042DA" w:rsidP="00AF2AEA">
            <w:pPr>
              <w:spacing w:before="60" w:after="60"/>
              <w:jc w:val="center"/>
              <w:rPr>
                <w:rFonts w:eastAsia="Calibri"/>
                <w:sz w:val="18"/>
                <w:szCs w:val="18"/>
                <w:lang w:eastAsia="en-GB"/>
              </w:rPr>
            </w:pPr>
            <w:r w:rsidRPr="006B1A5A">
              <w:rPr>
                <w:rFonts w:eastAsia="Calibri"/>
                <w:sz w:val="18"/>
                <w:szCs w:val="18"/>
                <w:lang w:eastAsia="en-GB"/>
              </w:rPr>
              <w:t>PNECsurrounding waters = 1.15 µg/L</w:t>
            </w:r>
          </w:p>
          <w:p w14:paraId="74277B91" w14:textId="77777777" w:rsidR="001042DA" w:rsidRPr="006B1A5A" w:rsidRDefault="001042DA" w:rsidP="00AF2AEA">
            <w:pPr>
              <w:spacing w:before="60" w:after="60"/>
              <w:jc w:val="center"/>
              <w:rPr>
                <w:rFonts w:eastAsia="Calibri"/>
                <w:sz w:val="18"/>
                <w:szCs w:val="18"/>
                <w:lang w:eastAsia="en-GB"/>
              </w:rPr>
            </w:pPr>
            <w:r w:rsidRPr="006B1A5A">
              <w:rPr>
                <w:rFonts w:eastAsia="Calibri"/>
                <w:sz w:val="18"/>
                <w:szCs w:val="18"/>
                <w:lang w:eastAsia="en-GB"/>
              </w:rPr>
              <w:t>PNEC</w:t>
            </w:r>
            <w:r w:rsidRPr="006B1A5A">
              <w:rPr>
                <w:rFonts w:eastAsia="Calibri"/>
                <w:sz w:val="18"/>
                <w:szCs w:val="18"/>
                <w:vertAlign w:val="subscript"/>
                <w:lang w:eastAsia="en-GB"/>
              </w:rPr>
              <w:t>sed</w:t>
            </w:r>
            <w:r w:rsidRPr="006B1A5A">
              <w:rPr>
                <w:rFonts w:eastAsia="Calibri"/>
                <w:sz w:val="18"/>
                <w:szCs w:val="18"/>
                <w:lang w:eastAsia="en-GB"/>
              </w:rPr>
              <w:t xml:space="preserve"> = 98.8 µg/g dw</w:t>
            </w:r>
          </w:p>
        </w:tc>
        <w:tc>
          <w:tcPr>
            <w:tcW w:w="774" w:type="pct"/>
            <w:shd w:val="clear" w:color="auto" w:fill="FFFFFF"/>
            <w:vAlign w:val="center"/>
          </w:tcPr>
          <w:p w14:paraId="29BC5E31" w14:textId="77777777" w:rsidR="001042DA" w:rsidRPr="006B1A5A" w:rsidRDefault="001042DA" w:rsidP="00AF2AEA">
            <w:pPr>
              <w:autoSpaceDE w:val="0"/>
              <w:autoSpaceDN w:val="0"/>
              <w:adjustRightInd w:val="0"/>
              <w:spacing w:before="60" w:after="60" w:line="260" w:lineRule="atLeast"/>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dissolved</w:t>
            </w:r>
          </w:p>
          <w:p w14:paraId="3A7642A9" w14:textId="77777777" w:rsidR="001042DA" w:rsidRPr="006B1A5A" w:rsidRDefault="001042DA" w:rsidP="00AF2AEA">
            <w:pPr>
              <w:autoSpaceDE w:val="0"/>
              <w:autoSpaceDN w:val="0"/>
              <w:adjustRightInd w:val="0"/>
              <w:spacing w:before="60" w:after="60" w:line="260" w:lineRule="atLeast"/>
              <w:jc w:val="center"/>
              <w:rPr>
                <w:rFonts w:eastAsia="Calibri"/>
                <w:sz w:val="18"/>
                <w:szCs w:val="18"/>
                <w:lang w:eastAsia="en-GB"/>
              </w:rPr>
            </w:pPr>
            <w:r w:rsidRPr="006B1A5A">
              <w:rPr>
                <w:rFonts w:eastAsia="Calibri"/>
                <w:sz w:val="18"/>
                <w:szCs w:val="18"/>
                <w:lang w:eastAsia="en-GB"/>
              </w:rPr>
              <w:t>[µg/L]</w:t>
            </w:r>
          </w:p>
        </w:tc>
        <w:tc>
          <w:tcPr>
            <w:tcW w:w="948" w:type="pct"/>
            <w:gridSpan w:val="2"/>
            <w:shd w:val="clear" w:color="auto" w:fill="FFFFFF"/>
            <w:vAlign w:val="center"/>
          </w:tcPr>
          <w:p w14:paraId="65E82476" w14:textId="77777777" w:rsidR="001042DA" w:rsidRPr="006B1A5A" w:rsidRDefault="001042DA" w:rsidP="00AF2AEA">
            <w:pPr>
              <w:autoSpaceDE w:val="0"/>
              <w:autoSpaceDN w:val="0"/>
              <w:adjustRightInd w:val="0"/>
              <w:spacing w:before="60" w:after="60" w:line="260" w:lineRule="atLeast"/>
              <w:jc w:val="center"/>
              <w:rPr>
                <w:rFonts w:eastAsia="Calibri"/>
                <w:sz w:val="18"/>
                <w:szCs w:val="18"/>
                <w:vertAlign w:val="superscript"/>
                <w:lang w:eastAsia="en-GB"/>
              </w:rPr>
            </w:pPr>
            <w:r w:rsidRPr="006B1A5A">
              <w:rPr>
                <w:rFonts w:eastAsia="Calibri"/>
                <w:b/>
                <w:sz w:val="18"/>
                <w:szCs w:val="18"/>
                <w:lang w:eastAsia="en-GB"/>
              </w:rPr>
              <w:t>PEC</w:t>
            </w:r>
            <w:r w:rsidRPr="006B1A5A">
              <w:rPr>
                <w:rFonts w:eastAsia="Calibri"/>
                <w:b/>
                <w:sz w:val="18"/>
                <w:szCs w:val="18"/>
                <w:vertAlign w:val="subscript"/>
                <w:lang w:eastAsia="en-GB"/>
              </w:rPr>
              <w:t xml:space="preserve">dissolved </w:t>
            </w:r>
            <w:r w:rsidRPr="006B1A5A">
              <w:rPr>
                <w:rFonts w:eastAsia="Calibri"/>
                <w:b/>
                <w:sz w:val="18"/>
                <w:szCs w:val="18"/>
                <w:lang w:eastAsia="en-GB"/>
              </w:rPr>
              <w:t>/ PNEC</w:t>
            </w:r>
            <w:r w:rsidRPr="006B1A5A">
              <w:rPr>
                <w:rFonts w:eastAsia="Calibri"/>
                <w:b/>
                <w:sz w:val="18"/>
                <w:szCs w:val="18"/>
                <w:vertAlign w:val="subscript"/>
                <w:lang w:eastAsia="en-GB"/>
              </w:rPr>
              <w:t xml:space="preserve">water </w:t>
            </w:r>
            <w:r w:rsidRPr="006B1A5A">
              <w:rPr>
                <w:rFonts w:eastAsia="Calibri"/>
                <w:b/>
                <w:sz w:val="18"/>
                <w:szCs w:val="18"/>
                <w:vertAlign w:val="superscript"/>
                <w:lang w:eastAsia="en-GB"/>
              </w:rPr>
              <w:t>1</w:t>
            </w:r>
          </w:p>
        </w:tc>
        <w:tc>
          <w:tcPr>
            <w:tcW w:w="949" w:type="pct"/>
            <w:gridSpan w:val="2"/>
            <w:shd w:val="clear" w:color="auto" w:fill="FFFFFF"/>
            <w:vAlign w:val="center"/>
          </w:tcPr>
          <w:p w14:paraId="15CB9F42" w14:textId="77777777" w:rsidR="001042DA" w:rsidRPr="006B1A5A" w:rsidRDefault="001042DA" w:rsidP="00AF2AEA">
            <w:pPr>
              <w:spacing w:before="60" w:after="60"/>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suspended sediment</w:t>
            </w:r>
          </w:p>
          <w:p w14:paraId="3FA95907" w14:textId="77777777" w:rsidR="001042DA" w:rsidRPr="006B1A5A" w:rsidRDefault="001042DA" w:rsidP="00AF2AEA">
            <w:pPr>
              <w:spacing w:before="60" w:after="60"/>
              <w:jc w:val="center"/>
              <w:rPr>
                <w:rFonts w:eastAsia="Calibri"/>
                <w:sz w:val="18"/>
                <w:szCs w:val="18"/>
                <w:lang w:eastAsia="en-GB"/>
              </w:rPr>
            </w:pPr>
            <w:r w:rsidRPr="006B1A5A">
              <w:rPr>
                <w:rFonts w:eastAsia="Calibri"/>
                <w:sz w:val="18"/>
                <w:szCs w:val="18"/>
                <w:lang w:eastAsia="en-GB"/>
              </w:rPr>
              <w:t>[µg/g dw]</w:t>
            </w:r>
          </w:p>
        </w:tc>
        <w:tc>
          <w:tcPr>
            <w:tcW w:w="945" w:type="pct"/>
            <w:shd w:val="clear" w:color="auto" w:fill="FFFFFF"/>
            <w:vAlign w:val="center"/>
          </w:tcPr>
          <w:p w14:paraId="5EC94845" w14:textId="77777777" w:rsidR="001042DA" w:rsidRPr="006B1A5A" w:rsidRDefault="001042DA" w:rsidP="00AF2AEA">
            <w:pPr>
              <w:spacing w:before="60" w:after="60"/>
              <w:jc w:val="center"/>
              <w:rPr>
                <w:rFonts w:eastAsia="Calibri"/>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suspended sediment</w:t>
            </w:r>
            <w:r w:rsidRPr="006B1A5A">
              <w:rPr>
                <w:rFonts w:eastAsia="Calibri"/>
                <w:b/>
                <w:sz w:val="18"/>
                <w:szCs w:val="18"/>
                <w:lang w:eastAsia="en-GB"/>
              </w:rPr>
              <w:t>/ PNEC</w:t>
            </w:r>
            <w:r w:rsidRPr="006B1A5A">
              <w:rPr>
                <w:rFonts w:eastAsia="Calibri"/>
                <w:b/>
                <w:sz w:val="18"/>
                <w:szCs w:val="18"/>
                <w:vertAlign w:val="subscript"/>
                <w:lang w:eastAsia="en-GB"/>
              </w:rPr>
              <w:t xml:space="preserve">sediment </w:t>
            </w:r>
            <w:r w:rsidRPr="006B1A5A">
              <w:rPr>
                <w:rFonts w:eastAsia="Calibri"/>
                <w:b/>
                <w:sz w:val="18"/>
                <w:szCs w:val="18"/>
                <w:vertAlign w:val="superscript"/>
                <w:lang w:eastAsia="en-GB"/>
              </w:rPr>
              <w:t>1</w:t>
            </w:r>
          </w:p>
        </w:tc>
      </w:tr>
      <w:tr w:rsidR="001042DA" w:rsidRPr="006B1A5A" w14:paraId="11EE5097" w14:textId="77777777" w:rsidTr="00AF2AEA">
        <w:trPr>
          <w:trHeight w:val="75"/>
        </w:trPr>
        <w:tc>
          <w:tcPr>
            <w:tcW w:w="1384" w:type="pct"/>
            <w:shd w:val="clear" w:color="auto" w:fill="FFFFFF"/>
          </w:tcPr>
          <w:p w14:paraId="2218AC04" w14:textId="77777777" w:rsidR="001042DA" w:rsidRPr="006B1A5A" w:rsidRDefault="001042DA" w:rsidP="00AF2AEA">
            <w:pPr>
              <w:spacing w:before="60" w:after="60"/>
              <w:rPr>
                <w:rFonts w:eastAsia="Calibri"/>
                <w:b/>
                <w:sz w:val="18"/>
                <w:szCs w:val="18"/>
                <w:lang w:eastAsia="en-GB"/>
              </w:rPr>
            </w:pPr>
            <w:r w:rsidRPr="006B1A5A">
              <w:rPr>
                <w:rFonts w:eastAsia="Calibri"/>
                <w:b/>
                <w:sz w:val="18"/>
                <w:szCs w:val="18"/>
                <w:lang w:eastAsia="en-GB"/>
              </w:rPr>
              <w:t>EU fish farm scenario</w:t>
            </w:r>
          </w:p>
        </w:tc>
        <w:tc>
          <w:tcPr>
            <w:tcW w:w="774" w:type="pct"/>
            <w:shd w:val="clear" w:color="auto" w:fill="FFFFFF"/>
            <w:vAlign w:val="center"/>
          </w:tcPr>
          <w:p w14:paraId="278BD777"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hAnsi="Verdana"/>
                <w:sz w:val="18"/>
                <w:szCs w:val="18"/>
                <w:lang w:val="en-GB" w:eastAsia="en-GB"/>
              </w:rPr>
              <w:t>0.19</w:t>
            </w:r>
          </w:p>
        </w:tc>
        <w:tc>
          <w:tcPr>
            <w:tcW w:w="948" w:type="pct"/>
            <w:gridSpan w:val="2"/>
            <w:shd w:val="clear" w:color="auto" w:fill="FFFFFF"/>
            <w:vAlign w:val="center"/>
          </w:tcPr>
          <w:p w14:paraId="3AD5CB0B"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hAnsi="Verdana"/>
                <w:sz w:val="18"/>
                <w:szCs w:val="18"/>
                <w:lang w:val="en-GB" w:eastAsia="en-GB"/>
              </w:rPr>
              <w:t>0.17</w:t>
            </w:r>
          </w:p>
        </w:tc>
        <w:tc>
          <w:tcPr>
            <w:tcW w:w="949" w:type="pct"/>
            <w:gridSpan w:val="2"/>
            <w:shd w:val="clear" w:color="auto" w:fill="FFFFFF"/>
            <w:vAlign w:val="center"/>
          </w:tcPr>
          <w:p w14:paraId="36DB4488"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hAnsi="Verdana"/>
                <w:sz w:val="18"/>
                <w:szCs w:val="18"/>
                <w:lang w:val="en-GB" w:eastAsia="en-GB"/>
              </w:rPr>
              <w:t>25.61</w:t>
            </w:r>
          </w:p>
        </w:tc>
        <w:tc>
          <w:tcPr>
            <w:tcW w:w="945" w:type="pct"/>
            <w:shd w:val="clear" w:color="auto" w:fill="FFFFFF"/>
            <w:vAlign w:val="center"/>
          </w:tcPr>
          <w:p w14:paraId="14E0DF97"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hAnsi="Verdana"/>
                <w:sz w:val="18"/>
                <w:szCs w:val="18"/>
                <w:lang w:val="en-GB" w:eastAsia="en-GB"/>
              </w:rPr>
              <w:t>0.26</w:t>
            </w:r>
          </w:p>
        </w:tc>
      </w:tr>
      <w:tr w:rsidR="001042DA" w:rsidRPr="006B1A5A" w14:paraId="0FD9EE3A" w14:textId="77777777" w:rsidTr="00AF2AEA">
        <w:trPr>
          <w:trHeight w:val="75"/>
        </w:trPr>
        <w:tc>
          <w:tcPr>
            <w:tcW w:w="1384" w:type="pct"/>
            <w:shd w:val="clear" w:color="auto" w:fill="FFFFFF"/>
            <w:vAlign w:val="center"/>
          </w:tcPr>
          <w:p w14:paraId="7E967530" w14:textId="77777777" w:rsidR="001042DA" w:rsidRPr="006B1A5A" w:rsidRDefault="001042DA" w:rsidP="00AF2AEA">
            <w:pPr>
              <w:spacing w:before="60" w:after="60"/>
              <w:jc w:val="center"/>
              <w:rPr>
                <w:rFonts w:eastAsia="Calibri"/>
                <w:b/>
                <w:sz w:val="18"/>
                <w:szCs w:val="18"/>
                <w:lang w:eastAsia="en-GB"/>
              </w:rPr>
            </w:pPr>
            <w:r w:rsidRPr="006B1A5A">
              <w:rPr>
                <w:rFonts w:eastAsia="Calibri"/>
                <w:b/>
                <w:sz w:val="18"/>
                <w:szCs w:val="18"/>
                <w:lang w:eastAsia="en-GB"/>
              </w:rPr>
              <w:t>Thiocyanate</w:t>
            </w:r>
          </w:p>
          <w:p w14:paraId="6D1AA573" w14:textId="77777777" w:rsidR="001042DA" w:rsidRPr="006B1A5A" w:rsidRDefault="001042DA" w:rsidP="00AF2AEA">
            <w:pPr>
              <w:spacing w:before="60" w:after="60"/>
              <w:jc w:val="center"/>
              <w:rPr>
                <w:rFonts w:eastAsia="Calibri"/>
                <w:sz w:val="18"/>
                <w:szCs w:val="18"/>
                <w:lang w:eastAsia="en-GB"/>
              </w:rPr>
            </w:pPr>
            <w:r w:rsidRPr="006B1A5A">
              <w:rPr>
                <w:rFonts w:eastAsia="Calibri"/>
                <w:sz w:val="18"/>
                <w:szCs w:val="18"/>
                <w:lang w:eastAsia="en-GB"/>
              </w:rPr>
              <w:t>PNEC surrounding waters = 11 µg/L</w:t>
            </w:r>
          </w:p>
          <w:p w14:paraId="324A2616" w14:textId="77777777" w:rsidR="001042DA" w:rsidRPr="006B1A5A" w:rsidRDefault="001042DA" w:rsidP="00AF2AEA">
            <w:pPr>
              <w:spacing w:before="60" w:after="60"/>
              <w:jc w:val="center"/>
              <w:rPr>
                <w:rFonts w:eastAsia="Calibri"/>
                <w:b/>
                <w:sz w:val="18"/>
                <w:szCs w:val="18"/>
                <w:lang w:eastAsia="en-GB"/>
              </w:rPr>
            </w:pPr>
            <w:r w:rsidRPr="006B1A5A">
              <w:rPr>
                <w:rFonts w:eastAsia="Calibri"/>
                <w:sz w:val="18"/>
                <w:szCs w:val="18"/>
                <w:lang w:eastAsia="en-GB"/>
              </w:rPr>
              <w:t>PNEC</w:t>
            </w:r>
            <w:r w:rsidRPr="006B1A5A">
              <w:rPr>
                <w:rFonts w:eastAsia="Calibri"/>
                <w:sz w:val="18"/>
                <w:szCs w:val="18"/>
                <w:vertAlign w:val="subscript"/>
                <w:lang w:eastAsia="en-GB"/>
              </w:rPr>
              <w:t>sed</w:t>
            </w:r>
            <w:r w:rsidRPr="006B1A5A">
              <w:rPr>
                <w:rFonts w:eastAsia="Calibri"/>
                <w:sz w:val="18"/>
                <w:szCs w:val="18"/>
                <w:lang w:eastAsia="en-GB"/>
              </w:rPr>
              <w:t xml:space="preserve"> = 0.045 µg/g dw</w:t>
            </w:r>
          </w:p>
        </w:tc>
        <w:tc>
          <w:tcPr>
            <w:tcW w:w="774" w:type="pct"/>
            <w:shd w:val="clear" w:color="auto" w:fill="FFFFFF"/>
            <w:vAlign w:val="center"/>
          </w:tcPr>
          <w:p w14:paraId="61A3F6D4" w14:textId="77777777" w:rsidR="001042DA" w:rsidRPr="006B1A5A" w:rsidRDefault="001042DA" w:rsidP="00AF2AEA">
            <w:pPr>
              <w:autoSpaceDE w:val="0"/>
              <w:autoSpaceDN w:val="0"/>
              <w:adjustRightInd w:val="0"/>
              <w:spacing w:before="60" w:after="60" w:line="260" w:lineRule="atLeast"/>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dissolved</w:t>
            </w:r>
          </w:p>
          <w:p w14:paraId="6A40FEE0" w14:textId="77777777" w:rsidR="001042DA" w:rsidRPr="006B1A5A" w:rsidRDefault="001042DA" w:rsidP="00AF2AEA">
            <w:pPr>
              <w:autoSpaceDE w:val="0"/>
              <w:autoSpaceDN w:val="0"/>
              <w:adjustRightInd w:val="0"/>
              <w:spacing w:before="60" w:after="60" w:line="260" w:lineRule="atLeast"/>
              <w:jc w:val="center"/>
              <w:rPr>
                <w:rFonts w:eastAsia="Calibri"/>
                <w:sz w:val="18"/>
                <w:szCs w:val="18"/>
                <w:lang w:eastAsia="en-GB"/>
              </w:rPr>
            </w:pPr>
            <w:r w:rsidRPr="006B1A5A">
              <w:rPr>
                <w:rFonts w:eastAsia="Calibri"/>
                <w:sz w:val="18"/>
                <w:szCs w:val="18"/>
                <w:lang w:eastAsia="en-GB"/>
              </w:rPr>
              <w:t>[µg/L]</w:t>
            </w:r>
          </w:p>
        </w:tc>
        <w:tc>
          <w:tcPr>
            <w:tcW w:w="948" w:type="pct"/>
            <w:gridSpan w:val="2"/>
            <w:shd w:val="clear" w:color="auto" w:fill="FFFFFF"/>
            <w:vAlign w:val="center"/>
          </w:tcPr>
          <w:p w14:paraId="5A7ECBBD" w14:textId="77777777" w:rsidR="001042DA" w:rsidRPr="006B1A5A" w:rsidRDefault="001042DA" w:rsidP="00AF2AEA">
            <w:pPr>
              <w:autoSpaceDE w:val="0"/>
              <w:autoSpaceDN w:val="0"/>
              <w:adjustRightInd w:val="0"/>
              <w:spacing w:before="60" w:after="60" w:line="260" w:lineRule="atLeast"/>
              <w:jc w:val="center"/>
              <w:rPr>
                <w:rFonts w:eastAsia="Calibri"/>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 xml:space="preserve">dissolved </w:t>
            </w:r>
            <w:r w:rsidRPr="006B1A5A">
              <w:rPr>
                <w:rFonts w:eastAsia="Calibri"/>
                <w:b/>
                <w:sz w:val="18"/>
                <w:szCs w:val="18"/>
                <w:lang w:eastAsia="en-GB"/>
              </w:rPr>
              <w:t>/ PNEC</w:t>
            </w:r>
            <w:r w:rsidRPr="006B1A5A">
              <w:rPr>
                <w:rFonts w:eastAsia="Calibri"/>
                <w:b/>
                <w:sz w:val="18"/>
                <w:szCs w:val="18"/>
                <w:vertAlign w:val="subscript"/>
                <w:lang w:eastAsia="en-GB"/>
              </w:rPr>
              <w:t xml:space="preserve">water </w:t>
            </w:r>
            <w:r w:rsidRPr="006B1A5A">
              <w:rPr>
                <w:rFonts w:eastAsia="Calibri"/>
                <w:b/>
                <w:sz w:val="18"/>
                <w:szCs w:val="18"/>
                <w:vertAlign w:val="superscript"/>
                <w:lang w:eastAsia="en-GB"/>
              </w:rPr>
              <w:t>1</w:t>
            </w:r>
          </w:p>
        </w:tc>
        <w:tc>
          <w:tcPr>
            <w:tcW w:w="949" w:type="pct"/>
            <w:gridSpan w:val="2"/>
            <w:shd w:val="clear" w:color="auto" w:fill="FFFFFF"/>
            <w:vAlign w:val="center"/>
          </w:tcPr>
          <w:p w14:paraId="4D5AEEDF" w14:textId="77777777" w:rsidR="001042DA" w:rsidRPr="006B1A5A" w:rsidRDefault="001042DA" w:rsidP="00AF2AEA">
            <w:pPr>
              <w:spacing w:before="60" w:after="60"/>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suspended sediment</w:t>
            </w:r>
          </w:p>
          <w:p w14:paraId="348AB95A" w14:textId="77777777" w:rsidR="001042DA" w:rsidRPr="006B1A5A" w:rsidRDefault="001042DA" w:rsidP="00AF2AEA">
            <w:pPr>
              <w:spacing w:before="60" w:after="60"/>
              <w:jc w:val="center"/>
              <w:rPr>
                <w:rFonts w:eastAsia="Calibri"/>
                <w:sz w:val="18"/>
                <w:szCs w:val="18"/>
                <w:lang w:eastAsia="en-GB"/>
              </w:rPr>
            </w:pPr>
            <w:r w:rsidRPr="006B1A5A">
              <w:rPr>
                <w:rFonts w:eastAsia="Calibri"/>
                <w:sz w:val="18"/>
                <w:szCs w:val="18"/>
                <w:lang w:eastAsia="en-GB"/>
              </w:rPr>
              <w:t>[µg/g dw]</w:t>
            </w:r>
          </w:p>
        </w:tc>
        <w:tc>
          <w:tcPr>
            <w:tcW w:w="945" w:type="pct"/>
            <w:shd w:val="clear" w:color="auto" w:fill="FFFFFF"/>
            <w:vAlign w:val="center"/>
          </w:tcPr>
          <w:p w14:paraId="48F59174" w14:textId="77777777" w:rsidR="001042DA" w:rsidRPr="006B1A5A" w:rsidRDefault="001042DA" w:rsidP="00AF2AEA">
            <w:pPr>
              <w:spacing w:before="60" w:after="60"/>
              <w:jc w:val="center"/>
              <w:rPr>
                <w:rFonts w:eastAsia="Calibri"/>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suspended sediment</w:t>
            </w:r>
            <w:r w:rsidRPr="006B1A5A">
              <w:rPr>
                <w:rFonts w:eastAsia="Calibri"/>
                <w:b/>
                <w:sz w:val="18"/>
                <w:szCs w:val="18"/>
                <w:lang w:eastAsia="en-GB"/>
              </w:rPr>
              <w:t>/ PNEC</w:t>
            </w:r>
            <w:r w:rsidRPr="006B1A5A">
              <w:rPr>
                <w:rFonts w:eastAsia="Calibri"/>
                <w:b/>
                <w:sz w:val="18"/>
                <w:szCs w:val="18"/>
                <w:vertAlign w:val="subscript"/>
                <w:lang w:eastAsia="en-GB"/>
              </w:rPr>
              <w:t xml:space="preserve">sediment </w:t>
            </w:r>
            <w:r w:rsidRPr="006B1A5A">
              <w:rPr>
                <w:rFonts w:eastAsia="Calibri"/>
                <w:b/>
                <w:sz w:val="18"/>
                <w:szCs w:val="18"/>
                <w:vertAlign w:val="superscript"/>
                <w:lang w:eastAsia="en-GB"/>
              </w:rPr>
              <w:t>1</w:t>
            </w:r>
          </w:p>
        </w:tc>
      </w:tr>
      <w:tr w:rsidR="001042DA" w:rsidRPr="006B1A5A" w14:paraId="7B7A4391" w14:textId="77777777" w:rsidTr="00AF2AEA">
        <w:trPr>
          <w:trHeight w:val="75"/>
        </w:trPr>
        <w:tc>
          <w:tcPr>
            <w:tcW w:w="1384" w:type="pct"/>
            <w:shd w:val="clear" w:color="auto" w:fill="FFFFFF"/>
          </w:tcPr>
          <w:p w14:paraId="3694EDCE" w14:textId="77777777" w:rsidR="001042DA" w:rsidRPr="006B1A5A" w:rsidRDefault="001042DA" w:rsidP="00AF2AEA">
            <w:pPr>
              <w:spacing w:before="60" w:after="60"/>
              <w:rPr>
                <w:rFonts w:eastAsia="Calibri"/>
                <w:b/>
                <w:sz w:val="18"/>
                <w:szCs w:val="18"/>
                <w:lang w:eastAsia="en-GB"/>
              </w:rPr>
            </w:pPr>
            <w:r w:rsidRPr="006B1A5A">
              <w:rPr>
                <w:rFonts w:eastAsia="Calibri"/>
                <w:b/>
                <w:sz w:val="18"/>
                <w:szCs w:val="18"/>
                <w:lang w:eastAsia="en-GB"/>
              </w:rPr>
              <w:t>EU fish farm scenario</w:t>
            </w:r>
          </w:p>
        </w:tc>
        <w:tc>
          <w:tcPr>
            <w:tcW w:w="774" w:type="pct"/>
            <w:shd w:val="clear" w:color="auto" w:fill="FFFFFF"/>
            <w:vAlign w:val="center"/>
          </w:tcPr>
          <w:p w14:paraId="0A73BD4C"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hAnsi="Verdana"/>
                <w:sz w:val="18"/>
                <w:szCs w:val="18"/>
                <w:lang w:val="en-GB" w:eastAsia="en-GB"/>
              </w:rPr>
              <w:t>0.05</w:t>
            </w:r>
          </w:p>
        </w:tc>
        <w:tc>
          <w:tcPr>
            <w:tcW w:w="948" w:type="pct"/>
            <w:gridSpan w:val="2"/>
            <w:shd w:val="clear" w:color="auto" w:fill="FFFFFF"/>
            <w:vAlign w:val="center"/>
          </w:tcPr>
          <w:p w14:paraId="1531CEB3"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hAnsi="Verdana"/>
                <w:sz w:val="18"/>
                <w:szCs w:val="18"/>
                <w:lang w:val="en-GB" w:eastAsia="en-GB"/>
              </w:rPr>
              <w:t>0.0043</w:t>
            </w:r>
          </w:p>
        </w:tc>
        <w:tc>
          <w:tcPr>
            <w:tcW w:w="949" w:type="pct"/>
            <w:gridSpan w:val="2"/>
            <w:shd w:val="clear" w:color="auto" w:fill="FFFFFF"/>
            <w:vAlign w:val="center"/>
          </w:tcPr>
          <w:p w14:paraId="32D36472"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hAnsi="Verdana"/>
                <w:sz w:val="18"/>
                <w:szCs w:val="18"/>
                <w:lang w:val="en-GB" w:eastAsia="en-GB"/>
              </w:rPr>
              <w:t>1.27E-05</w:t>
            </w:r>
          </w:p>
        </w:tc>
        <w:tc>
          <w:tcPr>
            <w:tcW w:w="945" w:type="pct"/>
            <w:shd w:val="clear" w:color="auto" w:fill="FFFFFF"/>
            <w:vAlign w:val="center"/>
          </w:tcPr>
          <w:p w14:paraId="72C144D3"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hAnsi="Verdana"/>
                <w:sz w:val="18"/>
                <w:szCs w:val="18"/>
                <w:lang w:val="en-GB" w:eastAsia="en-GB"/>
              </w:rPr>
              <w:t>2.8E-04</w:t>
            </w:r>
          </w:p>
        </w:tc>
      </w:tr>
      <w:tr w:rsidR="001042DA" w:rsidRPr="006B1A5A" w14:paraId="20CF2B50" w14:textId="77777777" w:rsidTr="00AF2AEA">
        <w:trPr>
          <w:trHeight w:val="75"/>
        </w:trPr>
        <w:tc>
          <w:tcPr>
            <w:tcW w:w="5000" w:type="pct"/>
            <w:gridSpan w:val="7"/>
            <w:tcBorders>
              <w:top w:val="single" w:sz="4" w:space="0" w:color="auto"/>
              <w:left w:val="nil"/>
              <w:bottom w:val="nil"/>
              <w:right w:val="nil"/>
            </w:tcBorders>
            <w:shd w:val="clear" w:color="auto" w:fill="FFFFFF"/>
          </w:tcPr>
          <w:p w14:paraId="1C7F07B1" w14:textId="77777777" w:rsidR="001042DA" w:rsidRPr="006B1A5A" w:rsidRDefault="001042DA" w:rsidP="00AF2AEA">
            <w:pPr>
              <w:rPr>
                <w:sz w:val="18"/>
              </w:rPr>
            </w:pPr>
            <w:r w:rsidRPr="006B1A5A">
              <w:rPr>
                <w:sz w:val="18"/>
                <w:vertAlign w:val="superscript"/>
              </w:rPr>
              <w:t>1</w:t>
            </w:r>
            <w:r w:rsidRPr="006B1A5A">
              <w:rPr>
                <w:sz w:val="18"/>
              </w:rPr>
              <w:t xml:space="preserve"> PEC/PNEC </w:t>
            </w:r>
            <w:r w:rsidRPr="006B1A5A">
              <w:rPr>
                <w:sz w:val="18"/>
                <w:szCs w:val="18"/>
              </w:rPr>
              <w:t>ratios above</w:t>
            </w:r>
            <w:r w:rsidRPr="006B1A5A">
              <w:rPr>
                <w:sz w:val="18"/>
              </w:rPr>
              <w:t xml:space="preserve"> 1 </w:t>
            </w:r>
            <w:r w:rsidRPr="006B1A5A">
              <w:rPr>
                <w:sz w:val="18"/>
                <w:szCs w:val="18"/>
              </w:rPr>
              <w:t>(values</w:t>
            </w:r>
            <w:r w:rsidRPr="006B1A5A">
              <w:rPr>
                <w:sz w:val="18"/>
              </w:rPr>
              <w:t xml:space="preserve"> in </w:t>
            </w:r>
            <w:r w:rsidRPr="006B1A5A">
              <w:rPr>
                <w:b/>
                <w:sz w:val="18"/>
              </w:rPr>
              <w:t>bold</w:t>
            </w:r>
            <w:r w:rsidRPr="006B1A5A">
              <w:rPr>
                <w:sz w:val="18"/>
                <w:szCs w:val="18"/>
              </w:rPr>
              <w:t>)</w:t>
            </w:r>
            <w:r w:rsidRPr="006B1A5A">
              <w:rPr>
                <w:sz w:val="18"/>
              </w:rPr>
              <w:t xml:space="preserve"> indicate unacceptable </w:t>
            </w:r>
            <w:r w:rsidRPr="006B1A5A">
              <w:rPr>
                <w:sz w:val="18"/>
                <w:szCs w:val="18"/>
              </w:rPr>
              <w:t>environmental risks.</w:t>
            </w:r>
          </w:p>
          <w:p w14:paraId="5056C813" w14:textId="77777777" w:rsidR="001042DA" w:rsidRPr="006B1A5A" w:rsidRDefault="001042DA" w:rsidP="00AF2AEA">
            <w:pPr>
              <w:rPr>
                <w:b/>
                <w:sz w:val="18"/>
              </w:rPr>
            </w:pPr>
          </w:p>
          <w:p w14:paraId="2C465247" w14:textId="77777777" w:rsidR="001042DA" w:rsidRPr="006B1A5A" w:rsidRDefault="001042DA" w:rsidP="00AF2AEA">
            <w:pPr>
              <w:rPr>
                <w:b/>
                <w:sz w:val="18"/>
              </w:rPr>
            </w:pPr>
          </w:p>
        </w:tc>
      </w:tr>
      <w:tr w:rsidR="001042DA" w:rsidRPr="006B1A5A" w14:paraId="7B21F679" w14:textId="77777777" w:rsidTr="00AF2AEA">
        <w:trPr>
          <w:trHeight w:val="249"/>
        </w:trPr>
        <w:tc>
          <w:tcPr>
            <w:tcW w:w="5000" w:type="pct"/>
            <w:gridSpan w:val="7"/>
            <w:tcBorders>
              <w:top w:val="single" w:sz="4" w:space="0" w:color="auto"/>
              <w:left w:val="single" w:sz="4" w:space="0" w:color="auto"/>
              <w:bottom w:val="single" w:sz="4" w:space="0" w:color="auto"/>
            </w:tcBorders>
            <w:shd w:val="clear" w:color="auto" w:fill="FFFFCC"/>
            <w:vAlign w:val="center"/>
          </w:tcPr>
          <w:p w14:paraId="46BD5469" w14:textId="77777777" w:rsidR="001042DA" w:rsidRPr="006B1A5A" w:rsidRDefault="001042DA" w:rsidP="00AF2AEA">
            <w:pPr>
              <w:keepNext/>
              <w:autoSpaceDE w:val="0"/>
              <w:autoSpaceDN w:val="0"/>
              <w:adjustRightInd w:val="0"/>
              <w:spacing w:before="60" w:after="60" w:line="260" w:lineRule="atLeast"/>
              <w:jc w:val="center"/>
              <w:rPr>
                <w:rFonts w:eastAsia="Calibri"/>
                <w:b/>
                <w:color w:val="000000" w:themeColor="text1"/>
                <w:sz w:val="18"/>
                <w:szCs w:val="18"/>
                <w:lang w:eastAsia="en-GB"/>
              </w:rPr>
            </w:pPr>
            <w:r w:rsidRPr="006B1A5A">
              <w:rPr>
                <w:rFonts w:eastAsia="Calibri"/>
                <w:b/>
                <w:bCs/>
                <w:color w:val="000000" w:themeColor="text1"/>
                <w:sz w:val="18"/>
                <w:szCs w:val="18"/>
                <w:lang w:eastAsia="en-GB"/>
              </w:rPr>
              <w:t>AquaNet</w:t>
            </w:r>
            <w:r w:rsidRPr="006B1A5A">
              <w:rPr>
                <w:rFonts w:eastAsia="Calibri"/>
                <w:b/>
                <w:color w:val="000000" w:themeColor="text1"/>
                <w:sz w:val="18"/>
                <w:szCs w:val="18"/>
                <w:lang w:eastAsia="en-GB"/>
              </w:rPr>
              <w:t xml:space="preserve"> HG360</w:t>
            </w:r>
          </w:p>
          <w:p w14:paraId="685C0A65" w14:textId="77777777" w:rsidR="001042DA" w:rsidRPr="006B1A5A" w:rsidRDefault="001042DA" w:rsidP="00AF2AEA">
            <w:pPr>
              <w:keepNext/>
              <w:autoSpaceDE w:val="0"/>
              <w:autoSpaceDN w:val="0"/>
              <w:adjustRightInd w:val="0"/>
              <w:spacing w:before="60" w:after="60" w:line="260" w:lineRule="atLeast"/>
              <w:jc w:val="center"/>
              <w:rPr>
                <w:rFonts w:eastAsia="Calibri"/>
                <w:b/>
                <w:color w:val="000000" w:themeColor="text1"/>
                <w:sz w:val="18"/>
                <w:szCs w:val="18"/>
                <w:lang w:eastAsia="en-GB"/>
              </w:rPr>
            </w:pPr>
            <w:r w:rsidRPr="006B1A5A">
              <w:rPr>
                <w:rFonts w:eastAsia="Calibri"/>
                <w:b/>
                <w:color w:val="000000" w:themeColor="text1"/>
                <w:sz w:val="18"/>
                <w:szCs w:val="18"/>
                <w:lang w:eastAsia="en-GB"/>
              </w:rPr>
              <w:t xml:space="preserve">Average PEC values calculated by MAMPEC v3.1 </w:t>
            </w:r>
          </w:p>
          <w:p w14:paraId="2E07C51F" w14:textId="77777777" w:rsidR="001042DA" w:rsidRPr="006B1A5A" w:rsidRDefault="001042DA" w:rsidP="00AF2AEA">
            <w:pPr>
              <w:keepNext/>
              <w:shd w:val="clear" w:color="auto" w:fill="CCFFCC"/>
              <w:autoSpaceDE w:val="0"/>
              <w:autoSpaceDN w:val="0"/>
              <w:adjustRightInd w:val="0"/>
              <w:spacing w:before="60" w:after="60" w:line="260" w:lineRule="atLeast"/>
              <w:jc w:val="center"/>
              <w:rPr>
                <w:rFonts w:eastAsia="Calibri"/>
                <w:b/>
                <w:sz w:val="18"/>
                <w:szCs w:val="18"/>
                <w:lang w:eastAsia="en-GB"/>
              </w:rPr>
            </w:pPr>
            <w:r w:rsidRPr="006B1A5A">
              <w:rPr>
                <w:rFonts w:eastAsia="Calibri"/>
                <w:b/>
                <w:color w:val="000000" w:themeColor="text1"/>
                <w:sz w:val="18"/>
                <w:szCs w:val="18"/>
                <w:lang w:eastAsia="en-GB"/>
              </w:rPr>
              <w:t>(with background concentration for Cu)</w:t>
            </w:r>
          </w:p>
        </w:tc>
      </w:tr>
      <w:tr w:rsidR="001042DA" w:rsidRPr="006B1A5A" w14:paraId="5CCAECAE" w14:textId="77777777" w:rsidTr="00AF2AEA">
        <w:trPr>
          <w:trHeight w:val="249"/>
        </w:trPr>
        <w:tc>
          <w:tcPr>
            <w:tcW w:w="5000" w:type="pct"/>
            <w:gridSpan w:val="7"/>
            <w:tcBorders>
              <w:top w:val="single" w:sz="4" w:space="0" w:color="auto"/>
              <w:left w:val="single" w:sz="4" w:space="0" w:color="auto"/>
              <w:bottom w:val="single" w:sz="4" w:space="0" w:color="auto"/>
            </w:tcBorders>
            <w:shd w:val="clear" w:color="auto" w:fill="FFFFCC"/>
            <w:vAlign w:val="center"/>
          </w:tcPr>
          <w:p w14:paraId="60F97358" w14:textId="77777777" w:rsidR="001042DA" w:rsidRPr="006B1A5A" w:rsidRDefault="001042DA" w:rsidP="00AF2AEA">
            <w:pPr>
              <w:keepNext/>
              <w:autoSpaceDE w:val="0"/>
              <w:autoSpaceDN w:val="0"/>
              <w:adjustRightInd w:val="0"/>
              <w:spacing w:before="60" w:after="60" w:line="260" w:lineRule="atLeast"/>
              <w:jc w:val="center"/>
              <w:rPr>
                <w:rFonts w:eastAsia="Calibri"/>
                <w:b/>
                <w:color w:val="000000" w:themeColor="text1"/>
                <w:sz w:val="18"/>
                <w:szCs w:val="18"/>
                <w:lang w:eastAsia="en-GB"/>
              </w:rPr>
            </w:pPr>
          </w:p>
        </w:tc>
      </w:tr>
      <w:tr w:rsidR="001042DA" w:rsidRPr="006B1A5A" w14:paraId="4D4765FC" w14:textId="77777777" w:rsidTr="00AF2AEA">
        <w:trPr>
          <w:trHeight w:val="249"/>
        </w:trPr>
        <w:tc>
          <w:tcPr>
            <w:tcW w:w="1383" w:type="pct"/>
            <w:shd w:val="clear" w:color="auto" w:fill="FFFFFF"/>
            <w:vAlign w:val="center"/>
          </w:tcPr>
          <w:p w14:paraId="6FE6B6C2" w14:textId="77777777" w:rsidR="001042DA" w:rsidRPr="006B1A5A" w:rsidRDefault="001042DA" w:rsidP="00AF2AEA">
            <w:pPr>
              <w:spacing w:before="60" w:after="60"/>
              <w:jc w:val="center"/>
              <w:rPr>
                <w:rFonts w:eastAsia="Calibri"/>
                <w:b/>
                <w:sz w:val="18"/>
                <w:szCs w:val="18"/>
                <w:lang w:eastAsia="en-GB"/>
              </w:rPr>
            </w:pPr>
            <w:r w:rsidRPr="006B1A5A">
              <w:rPr>
                <w:rFonts w:eastAsia="Calibri"/>
                <w:b/>
                <w:sz w:val="18"/>
                <w:szCs w:val="18"/>
                <w:lang w:eastAsia="en-GB"/>
              </w:rPr>
              <w:t>Copper</w:t>
            </w:r>
          </w:p>
          <w:p w14:paraId="00FE31BB" w14:textId="77777777" w:rsidR="001042DA" w:rsidRPr="006B1A5A" w:rsidRDefault="001042DA" w:rsidP="00AF2AEA">
            <w:pPr>
              <w:spacing w:before="60" w:after="60"/>
              <w:jc w:val="center"/>
              <w:rPr>
                <w:rFonts w:eastAsia="Calibri"/>
                <w:sz w:val="18"/>
                <w:szCs w:val="18"/>
                <w:lang w:eastAsia="en-GB"/>
              </w:rPr>
            </w:pPr>
            <w:r w:rsidRPr="006B1A5A">
              <w:rPr>
                <w:rFonts w:eastAsia="Calibri"/>
                <w:sz w:val="18"/>
                <w:szCs w:val="18"/>
                <w:lang w:eastAsia="en-GB"/>
              </w:rPr>
              <w:t>PNECsurrounding waters = 1.15 µg/L</w:t>
            </w:r>
          </w:p>
          <w:p w14:paraId="32C69326" w14:textId="77777777" w:rsidR="001042DA" w:rsidRPr="006B1A5A" w:rsidRDefault="001042DA" w:rsidP="00AF2AEA">
            <w:pPr>
              <w:keepNext/>
              <w:spacing w:before="60" w:after="60"/>
              <w:jc w:val="center"/>
              <w:rPr>
                <w:rFonts w:eastAsia="Calibri"/>
                <w:sz w:val="18"/>
                <w:szCs w:val="18"/>
                <w:lang w:eastAsia="en-GB"/>
              </w:rPr>
            </w:pPr>
            <w:r w:rsidRPr="006B1A5A">
              <w:rPr>
                <w:rFonts w:eastAsia="Calibri"/>
                <w:sz w:val="18"/>
                <w:szCs w:val="18"/>
                <w:lang w:eastAsia="en-GB"/>
              </w:rPr>
              <w:t>PNEC</w:t>
            </w:r>
            <w:r w:rsidRPr="006B1A5A">
              <w:rPr>
                <w:rFonts w:eastAsia="Calibri"/>
                <w:sz w:val="18"/>
                <w:szCs w:val="18"/>
                <w:vertAlign w:val="subscript"/>
                <w:lang w:eastAsia="en-GB"/>
              </w:rPr>
              <w:t>sed</w:t>
            </w:r>
            <w:r w:rsidRPr="006B1A5A">
              <w:rPr>
                <w:rFonts w:eastAsia="Calibri"/>
                <w:sz w:val="18"/>
                <w:szCs w:val="18"/>
                <w:lang w:eastAsia="en-GB"/>
              </w:rPr>
              <w:t xml:space="preserve"> = 98.8 µg/g dw</w:t>
            </w:r>
          </w:p>
        </w:tc>
        <w:tc>
          <w:tcPr>
            <w:tcW w:w="885" w:type="pct"/>
            <w:gridSpan w:val="2"/>
            <w:shd w:val="clear" w:color="auto" w:fill="FFFFFF"/>
            <w:vAlign w:val="center"/>
          </w:tcPr>
          <w:p w14:paraId="0707E5D6" w14:textId="77777777" w:rsidR="001042DA" w:rsidRPr="006B1A5A" w:rsidRDefault="001042DA" w:rsidP="00AF2AEA">
            <w:pPr>
              <w:autoSpaceDE w:val="0"/>
              <w:autoSpaceDN w:val="0"/>
              <w:adjustRightInd w:val="0"/>
              <w:spacing w:before="60" w:after="60" w:line="260" w:lineRule="atLeast"/>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dissolved</w:t>
            </w:r>
          </w:p>
          <w:p w14:paraId="5508F73A" w14:textId="77777777" w:rsidR="001042DA" w:rsidRPr="006B1A5A" w:rsidRDefault="001042DA" w:rsidP="00AF2AEA">
            <w:pPr>
              <w:keepNext/>
              <w:autoSpaceDE w:val="0"/>
              <w:autoSpaceDN w:val="0"/>
              <w:adjustRightInd w:val="0"/>
              <w:spacing w:before="60" w:after="60" w:line="260" w:lineRule="atLeast"/>
              <w:jc w:val="center"/>
              <w:rPr>
                <w:rFonts w:eastAsia="Calibri"/>
                <w:sz w:val="18"/>
                <w:szCs w:val="18"/>
                <w:lang w:eastAsia="en-GB"/>
              </w:rPr>
            </w:pPr>
            <w:r w:rsidRPr="006B1A5A">
              <w:rPr>
                <w:rFonts w:eastAsia="Calibri"/>
                <w:sz w:val="18"/>
                <w:szCs w:val="18"/>
                <w:lang w:eastAsia="en-GB"/>
              </w:rPr>
              <w:t>[µg/L]</w:t>
            </w:r>
          </w:p>
        </w:tc>
        <w:tc>
          <w:tcPr>
            <w:tcW w:w="886" w:type="pct"/>
            <w:gridSpan w:val="2"/>
            <w:shd w:val="clear" w:color="auto" w:fill="FFFFFF"/>
            <w:vAlign w:val="center"/>
          </w:tcPr>
          <w:p w14:paraId="54016245" w14:textId="77777777" w:rsidR="001042DA" w:rsidRPr="006B1A5A" w:rsidRDefault="001042DA" w:rsidP="00AF2AEA">
            <w:pPr>
              <w:keepNext/>
              <w:autoSpaceDE w:val="0"/>
              <w:autoSpaceDN w:val="0"/>
              <w:adjustRightInd w:val="0"/>
              <w:spacing w:before="60" w:after="60" w:line="260" w:lineRule="atLeast"/>
              <w:jc w:val="center"/>
              <w:rPr>
                <w:rFonts w:eastAsia="Calibri"/>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 xml:space="preserve">dissolved </w:t>
            </w:r>
            <w:r w:rsidRPr="006B1A5A">
              <w:rPr>
                <w:rFonts w:eastAsia="Calibri"/>
                <w:b/>
                <w:sz w:val="18"/>
                <w:szCs w:val="18"/>
                <w:lang w:eastAsia="en-GB"/>
              </w:rPr>
              <w:t>/ PNEC</w:t>
            </w:r>
            <w:r w:rsidRPr="006B1A5A">
              <w:rPr>
                <w:rFonts w:eastAsia="Calibri"/>
                <w:b/>
                <w:sz w:val="18"/>
                <w:szCs w:val="18"/>
                <w:vertAlign w:val="subscript"/>
                <w:lang w:eastAsia="en-GB"/>
              </w:rPr>
              <w:t xml:space="preserve">water </w:t>
            </w:r>
            <w:r w:rsidRPr="006B1A5A">
              <w:rPr>
                <w:rFonts w:eastAsia="Calibri"/>
                <w:b/>
                <w:sz w:val="18"/>
                <w:szCs w:val="18"/>
                <w:vertAlign w:val="superscript"/>
                <w:lang w:eastAsia="en-GB"/>
              </w:rPr>
              <w:t>1</w:t>
            </w:r>
          </w:p>
        </w:tc>
        <w:tc>
          <w:tcPr>
            <w:tcW w:w="886" w:type="pct"/>
            <w:shd w:val="clear" w:color="auto" w:fill="FFFFFF"/>
            <w:vAlign w:val="center"/>
          </w:tcPr>
          <w:p w14:paraId="5423CC54" w14:textId="77777777" w:rsidR="001042DA" w:rsidRPr="006B1A5A" w:rsidRDefault="001042DA" w:rsidP="00AF2AEA">
            <w:pPr>
              <w:spacing w:before="60" w:after="60"/>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suspended sediment</w:t>
            </w:r>
          </w:p>
          <w:p w14:paraId="7C62957E" w14:textId="77777777" w:rsidR="001042DA" w:rsidRPr="006B1A5A" w:rsidRDefault="001042DA" w:rsidP="00AF2AEA">
            <w:pPr>
              <w:keepNext/>
              <w:spacing w:before="60" w:after="60"/>
              <w:jc w:val="center"/>
              <w:rPr>
                <w:rFonts w:eastAsia="Calibri"/>
                <w:sz w:val="18"/>
                <w:szCs w:val="18"/>
                <w:lang w:eastAsia="en-GB"/>
              </w:rPr>
            </w:pPr>
            <w:r w:rsidRPr="006B1A5A">
              <w:rPr>
                <w:rFonts w:eastAsia="Calibri"/>
                <w:sz w:val="18"/>
                <w:szCs w:val="18"/>
                <w:lang w:eastAsia="en-GB"/>
              </w:rPr>
              <w:t>[µg/g dw]</w:t>
            </w:r>
          </w:p>
        </w:tc>
        <w:tc>
          <w:tcPr>
            <w:tcW w:w="960" w:type="pct"/>
            <w:shd w:val="clear" w:color="auto" w:fill="auto"/>
            <w:vAlign w:val="center"/>
          </w:tcPr>
          <w:p w14:paraId="6D0E00F3" w14:textId="77777777" w:rsidR="001042DA" w:rsidRPr="006B1A5A" w:rsidRDefault="001042DA" w:rsidP="00AF2AEA">
            <w:pPr>
              <w:keepNext/>
              <w:spacing w:before="60" w:after="60"/>
              <w:jc w:val="center"/>
              <w:rPr>
                <w:rFonts w:eastAsia="Calibri"/>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suspended sediment</w:t>
            </w:r>
            <w:r w:rsidRPr="006B1A5A">
              <w:rPr>
                <w:rFonts w:eastAsia="Calibri"/>
                <w:b/>
                <w:sz w:val="18"/>
                <w:szCs w:val="18"/>
                <w:lang w:eastAsia="en-GB"/>
              </w:rPr>
              <w:t>/ PNEC</w:t>
            </w:r>
            <w:r w:rsidRPr="006B1A5A">
              <w:rPr>
                <w:rFonts w:eastAsia="Calibri"/>
                <w:b/>
                <w:sz w:val="18"/>
                <w:szCs w:val="18"/>
                <w:vertAlign w:val="subscript"/>
                <w:lang w:eastAsia="en-GB"/>
              </w:rPr>
              <w:t xml:space="preserve">sediment </w:t>
            </w:r>
            <w:r w:rsidRPr="006B1A5A">
              <w:rPr>
                <w:rFonts w:eastAsia="Calibri"/>
                <w:b/>
                <w:sz w:val="18"/>
                <w:szCs w:val="18"/>
                <w:vertAlign w:val="superscript"/>
                <w:lang w:eastAsia="en-GB"/>
              </w:rPr>
              <w:t>1</w:t>
            </w:r>
          </w:p>
        </w:tc>
      </w:tr>
      <w:tr w:rsidR="001042DA" w:rsidRPr="006B1A5A" w14:paraId="03C097FA" w14:textId="77777777" w:rsidTr="00AF2AEA">
        <w:trPr>
          <w:trHeight w:val="75"/>
        </w:trPr>
        <w:tc>
          <w:tcPr>
            <w:tcW w:w="1383" w:type="pct"/>
            <w:shd w:val="clear" w:color="auto" w:fill="FFFFFF"/>
          </w:tcPr>
          <w:p w14:paraId="47204A31" w14:textId="77777777" w:rsidR="001042DA" w:rsidRPr="006B1A5A" w:rsidRDefault="001042DA" w:rsidP="00AF2AEA">
            <w:pPr>
              <w:keepNext/>
              <w:spacing w:before="60" w:after="60"/>
              <w:rPr>
                <w:rFonts w:eastAsia="Calibri"/>
                <w:b/>
                <w:sz w:val="18"/>
                <w:szCs w:val="18"/>
                <w:lang w:eastAsia="en-GB"/>
              </w:rPr>
            </w:pPr>
            <w:r w:rsidRPr="006B1A5A">
              <w:rPr>
                <w:rFonts w:eastAsia="Calibri"/>
                <w:b/>
                <w:sz w:val="18"/>
                <w:szCs w:val="18"/>
                <w:lang w:eastAsia="en-GB"/>
              </w:rPr>
              <w:t>EU fish farm scenario</w:t>
            </w:r>
          </w:p>
        </w:tc>
        <w:tc>
          <w:tcPr>
            <w:tcW w:w="885" w:type="pct"/>
            <w:gridSpan w:val="2"/>
            <w:shd w:val="clear" w:color="auto" w:fill="FFFFFF"/>
            <w:vAlign w:val="center"/>
          </w:tcPr>
          <w:p w14:paraId="3CCB04E1" w14:textId="77777777" w:rsidR="001042DA" w:rsidRPr="006B1A5A" w:rsidRDefault="001042DA" w:rsidP="00AF2AEA">
            <w:pPr>
              <w:pStyle w:val="Ingenmellomrom"/>
              <w:keepNext/>
              <w:jc w:val="center"/>
              <w:rPr>
                <w:rFonts w:ascii="Verdana" w:hAnsi="Verdana"/>
                <w:sz w:val="18"/>
                <w:szCs w:val="18"/>
                <w:lang w:val="en-GB" w:eastAsia="en-GB"/>
              </w:rPr>
            </w:pPr>
            <w:r w:rsidRPr="006B1A5A">
              <w:rPr>
                <w:rFonts w:ascii="Verdana" w:hAnsi="Verdana"/>
                <w:sz w:val="18"/>
                <w:szCs w:val="18"/>
                <w:lang w:val="en-GB" w:eastAsia="en-GB"/>
              </w:rPr>
              <w:t>1.29</w:t>
            </w:r>
          </w:p>
        </w:tc>
        <w:tc>
          <w:tcPr>
            <w:tcW w:w="886" w:type="pct"/>
            <w:gridSpan w:val="2"/>
            <w:shd w:val="clear" w:color="auto" w:fill="FFFFFF"/>
            <w:vAlign w:val="center"/>
          </w:tcPr>
          <w:p w14:paraId="538705BA" w14:textId="77777777" w:rsidR="001042DA" w:rsidRPr="006B1A5A" w:rsidRDefault="001042DA" w:rsidP="00AF2AEA">
            <w:pPr>
              <w:pStyle w:val="Ingenmellomrom"/>
              <w:keepNext/>
              <w:jc w:val="center"/>
              <w:rPr>
                <w:rFonts w:ascii="Verdana" w:hAnsi="Verdana"/>
                <w:b/>
                <w:sz w:val="18"/>
                <w:szCs w:val="18"/>
                <w:lang w:val="en-GB" w:eastAsia="en-GB"/>
              </w:rPr>
            </w:pPr>
            <w:r w:rsidRPr="006B1A5A">
              <w:rPr>
                <w:rFonts w:ascii="Verdana" w:hAnsi="Verdana"/>
                <w:b/>
                <w:sz w:val="18"/>
                <w:szCs w:val="18"/>
                <w:lang w:val="en-GB" w:eastAsia="en-GB"/>
              </w:rPr>
              <w:t>1.13</w:t>
            </w:r>
          </w:p>
        </w:tc>
        <w:tc>
          <w:tcPr>
            <w:tcW w:w="886" w:type="pct"/>
            <w:shd w:val="clear" w:color="auto" w:fill="FFFFFF"/>
            <w:vAlign w:val="center"/>
          </w:tcPr>
          <w:p w14:paraId="7DF3902D" w14:textId="77777777" w:rsidR="001042DA" w:rsidRPr="006B1A5A" w:rsidRDefault="001042DA" w:rsidP="00AF2AEA">
            <w:pPr>
              <w:pStyle w:val="Ingenmellomrom"/>
              <w:keepNext/>
              <w:jc w:val="center"/>
              <w:rPr>
                <w:rFonts w:ascii="Verdana" w:hAnsi="Verdana"/>
                <w:sz w:val="18"/>
                <w:szCs w:val="18"/>
                <w:lang w:val="en-GB" w:eastAsia="en-GB"/>
              </w:rPr>
            </w:pPr>
            <w:r w:rsidRPr="006B1A5A">
              <w:rPr>
                <w:rFonts w:ascii="Verdana" w:hAnsi="Verdana"/>
                <w:sz w:val="18"/>
                <w:szCs w:val="18"/>
                <w:lang w:val="en-GB" w:eastAsia="en-GB"/>
              </w:rPr>
              <w:t>41.17</w:t>
            </w:r>
          </w:p>
        </w:tc>
        <w:tc>
          <w:tcPr>
            <w:tcW w:w="960" w:type="pct"/>
            <w:shd w:val="clear" w:color="auto" w:fill="FFFFFF"/>
            <w:vAlign w:val="center"/>
          </w:tcPr>
          <w:p w14:paraId="03EF05DD" w14:textId="77777777" w:rsidR="001042DA" w:rsidRPr="006B1A5A" w:rsidRDefault="001042DA" w:rsidP="00AF2AEA">
            <w:pPr>
              <w:pStyle w:val="Ingenmellomrom"/>
              <w:keepNext/>
              <w:jc w:val="center"/>
              <w:rPr>
                <w:rFonts w:ascii="Verdana" w:hAnsi="Verdana"/>
                <w:sz w:val="18"/>
                <w:szCs w:val="18"/>
                <w:lang w:val="en-GB" w:eastAsia="en-GB"/>
              </w:rPr>
            </w:pPr>
            <w:r w:rsidRPr="006B1A5A">
              <w:rPr>
                <w:rFonts w:ascii="Verdana" w:hAnsi="Verdana"/>
                <w:sz w:val="18"/>
                <w:szCs w:val="18"/>
                <w:lang w:val="en-GB" w:eastAsia="en-GB"/>
              </w:rPr>
              <w:t>0.42</w:t>
            </w:r>
          </w:p>
        </w:tc>
      </w:tr>
      <w:tr w:rsidR="001042DA" w:rsidRPr="006B1A5A" w14:paraId="4A4FA38A" w14:textId="77777777" w:rsidTr="00AF2AEA">
        <w:trPr>
          <w:trHeight w:val="75"/>
        </w:trPr>
        <w:tc>
          <w:tcPr>
            <w:tcW w:w="1383" w:type="pct"/>
            <w:shd w:val="clear" w:color="auto" w:fill="FFFFFF"/>
            <w:vAlign w:val="center"/>
          </w:tcPr>
          <w:p w14:paraId="0E92F723" w14:textId="77777777" w:rsidR="001042DA" w:rsidRPr="006B1A5A" w:rsidRDefault="001042DA" w:rsidP="00AF2AEA">
            <w:pPr>
              <w:spacing w:before="60" w:after="60"/>
              <w:jc w:val="center"/>
              <w:rPr>
                <w:rFonts w:eastAsia="Calibri"/>
                <w:b/>
                <w:sz w:val="18"/>
                <w:szCs w:val="18"/>
                <w:lang w:eastAsia="en-GB"/>
              </w:rPr>
            </w:pPr>
            <w:r w:rsidRPr="006B1A5A">
              <w:rPr>
                <w:rFonts w:eastAsia="Calibri"/>
                <w:b/>
                <w:sz w:val="18"/>
                <w:szCs w:val="18"/>
                <w:lang w:eastAsia="en-GB"/>
              </w:rPr>
              <w:t>Thiocyanate</w:t>
            </w:r>
          </w:p>
          <w:p w14:paraId="371FBEBA" w14:textId="77777777" w:rsidR="001042DA" w:rsidRPr="006B1A5A" w:rsidRDefault="001042DA" w:rsidP="00AF2AEA">
            <w:pPr>
              <w:spacing w:before="60" w:after="60"/>
              <w:jc w:val="center"/>
              <w:rPr>
                <w:rFonts w:eastAsia="Calibri"/>
                <w:sz w:val="18"/>
                <w:szCs w:val="18"/>
                <w:lang w:eastAsia="en-GB"/>
              </w:rPr>
            </w:pPr>
            <w:r w:rsidRPr="006B1A5A">
              <w:rPr>
                <w:rFonts w:eastAsia="Calibri"/>
                <w:sz w:val="18"/>
                <w:szCs w:val="18"/>
                <w:lang w:eastAsia="en-GB"/>
              </w:rPr>
              <w:t>PNEC surrounding waters = 11 µg/L</w:t>
            </w:r>
          </w:p>
          <w:p w14:paraId="57E4A436" w14:textId="77777777" w:rsidR="001042DA" w:rsidRPr="006B1A5A" w:rsidRDefault="001042DA" w:rsidP="00AF2AEA">
            <w:pPr>
              <w:keepNext/>
              <w:spacing w:before="60" w:after="60"/>
              <w:jc w:val="center"/>
              <w:rPr>
                <w:rFonts w:eastAsia="Calibri"/>
                <w:sz w:val="18"/>
                <w:szCs w:val="18"/>
                <w:lang w:eastAsia="en-GB"/>
              </w:rPr>
            </w:pPr>
            <w:r w:rsidRPr="006B1A5A">
              <w:rPr>
                <w:rFonts w:eastAsia="Calibri"/>
                <w:sz w:val="18"/>
                <w:szCs w:val="18"/>
                <w:lang w:eastAsia="en-GB"/>
              </w:rPr>
              <w:t>PNEC</w:t>
            </w:r>
            <w:r w:rsidRPr="006B1A5A">
              <w:rPr>
                <w:rFonts w:eastAsia="Calibri"/>
                <w:sz w:val="18"/>
                <w:szCs w:val="18"/>
                <w:vertAlign w:val="subscript"/>
                <w:lang w:eastAsia="en-GB"/>
              </w:rPr>
              <w:t>sed</w:t>
            </w:r>
            <w:r w:rsidRPr="006B1A5A">
              <w:rPr>
                <w:rFonts w:eastAsia="Calibri"/>
                <w:sz w:val="18"/>
                <w:szCs w:val="18"/>
                <w:lang w:eastAsia="en-GB"/>
              </w:rPr>
              <w:t xml:space="preserve"> = 0.045 µg/g dw</w:t>
            </w:r>
          </w:p>
        </w:tc>
        <w:tc>
          <w:tcPr>
            <w:tcW w:w="885" w:type="pct"/>
            <w:gridSpan w:val="2"/>
            <w:shd w:val="clear" w:color="auto" w:fill="FFFFFF"/>
            <w:vAlign w:val="center"/>
          </w:tcPr>
          <w:p w14:paraId="797C7FC2" w14:textId="77777777" w:rsidR="001042DA" w:rsidRPr="006B1A5A" w:rsidRDefault="001042DA" w:rsidP="00AF2AEA">
            <w:pPr>
              <w:autoSpaceDE w:val="0"/>
              <w:autoSpaceDN w:val="0"/>
              <w:adjustRightInd w:val="0"/>
              <w:spacing w:before="60" w:after="60" w:line="260" w:lineRule="atLeast"/>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dissolved</w:t>
            </w:r>
          </w:p>
          <w:p w14:paraId="383E3501" w14:textId="77777777" w:rsidR="001042DA" w:rsidRPr="006B1A5A" w:rsidRDefault="001042DA" w:rsidP="00AF2AEA">
            <w:pPr>
              <w:keepNext/>
              <w:autoSpaceDE w:val="0"/>
              <w:autoSpaceDN w:val="0"/>
              <w:adjustRightInd w:val="0"/>
              <w:spacing w:before="60" w:after="60" w:line="260" w:lineRule="atLeast"/>
              <w:jc w:val="center"/>
              <w:rPr>
                <w:rFonts w:eastAsia="Calibri"/>
                <w:sz w:val="18"/>
                <w:szCs w:val="18"/>
                <w:lang w:eastAsia="en-GB"/>
              </w:rPr>
            </w:pPr>
            <w:r w:rsidRPr="006B1A5A">
              <w:rPr>
                <w:rFonts w:eastAsia="Calibri"/>
                <w:sz w:val="18"/>
                <w:szCs w:val="18"/>
                <w:lang w:eastAsia="en-GB"/>
              </w:rPr>
              <w:t>[µg/L]</w:t>
            </w:r>
          </w:p>
        </w:tc>
        <w:tc>
          <w:tcPr>
            <w:tcW w:w="886" w:type="pct"/>
            <w:gridSpan w:val="2"/>
            <w:shd w:val="clear" w:color="auto" w:fill="FFFFFF"/>
            <w:vAlign w:val="center"/>
          </w:tcPr>
          <w:p w14:paraId="45844732" w14:textId="77777777" w:rsidR="001042DA" w:rsidRPr="006B1A5A" w:rsidRDefault="001042DA" w:rsidP="00AF2AEA">
            <w:pPr>
              <w:keepNext/>
              <w:autoSpaceDE w:val="0"/>
              <w:autoSpaceDN w:val="0"/>
              <w:adjustRightInd w:val="0"/>
              <w:spacing w:before="60" w:after="60" w:line="260" w:lineRule="atLeast"/>
              <w:jc w:val="center"/>
              <w:rPr>
                <w:rFonts w:eastAsia="Calibri"/>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 xml:space="preserve">dissolved </w:t>
            </w:r>
            <w:r w:rsidRPr="006B1A5A">
              <w:rPr>
                <w:rFonts w:eastAsia="Calibri"/>
                <w:b/>
                <w:sz w:val="18"/>
                <w:szCs w:val="18"/>
                <w:lang w:eastAsia="en-GB"/>
              </w:rPr>
              <w:t>/ PNEC</w:t>
            </w:r>
            <w:r w:rsidRPr="006B1A5A">
              <w:rPr>
                <w:rFonts w:eastAsia="Calibri"/>
                <w:b/>
                <w:sz w:val="18"/>
                <w:szCs w:val="18"/>
                <w:vertAlign w:val="subscript"/>
                <w:lang w:eastAsia="en-GB"/>
              </w:rPr>
              <w:t xml:space="preserve">water </w:t>
            </w:r>
            <w:r w:rsidRPr="006B1A5A">
              <w:rPr>
                <w:rFonts w:eastAsia="Calibri"/>
                <w:b/>
                <w:sz w:val="18"/>
                <w:szCs w:val="18"/>
                <w:vertAlign w:val="superscript"/>
                <w:lang w:eastAsia="en-GB"/>
              </w:rPr>
              <w:t>1</w:t>
            </w:r>
          </w:p>
        </w:tc>
        <w:tc>
          <w:tcPr>
            <w:tcW w:w="886" w:type="pct"/>
            <w:shd w:val="clear" w:color="auto" w:fill="FFFFFF"/>
            <w:vAlign w:val="center"/>
          </w:tcPr>
          <w:p w14:paraId="7EAC2F37" w14:textId="77777777" w:rsidR="001042DA" w:rsidRPr="006B1A5A" w:rsidRDefault="001042DA" w:rsidP="00AF2AEA">
            <w:pPr>
              <w:spacing w:before="60" w:after="60"/>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suspended sediment</w:t>
            </w:r>
          </w:p>
          <w:p w14:paraId="2E9C39F5" w14:textId="77777777" w:rsidR="001042DA" w:rsidRPr="006B1A5A" w:rsidRDefault="001042DA" w:rsidP="00AF2AEA">
            <w:pPr>
              <w:keepNext/>
              <w:spacing w:before="60" w:after="60"/>
              <w:jc w:val="center"/>
              <w:rPr>
                <w:rFonts w:eastAsia="Calibri"/>
                <w:sz w:val="18"/>
                <w:szCs w:val="18"/>
                <w:lang w:eastAsia="en-GB"/>
              </w:rPr>
            </w:pPr>
            <w:r w:rsidRPr="006B1A5A">
              <w:rPr>
                <w:rFonts w:eastAsia="Calibri"/>
                <w:sz w:val="18"/>
                <w:szCs w:val="18"/>
                <w:lang w:eastAsia="en-GB"/>
              </w:rPr>
              <w:t>[µg/g dw]</w:t>
            </w:r>
          </w:p>
        </w:tc>
        <w:tc>
          <w:tcPr>
            <w:tcW w:w="960" w:type="pct"/>
            <w:shd w:val="clear" w:color="auto" w:fill="FFFFFF"/>
            <w:vAlign w:val="center"/>
          </w:tcPr>
          <w:p w14:paraId="3A6831EA" w14:textId="77777777" w:rsidR="001042DA" w:rsidRPr="006B1A5A" w:rsidRDefault="001042DA" w:rsidP="00AF2AEA">
            <w:pPr>
              <w:keepNext/>
              <w:spacing w:before="60" w:after="60"/>
              <w:jc w:val="center"/>
              <w:rPr>
                <w:rFonts w:eastAsia="Calibri"/>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suspended sediment</w:t>
            </w:r>
            <w:r w:rsidRPr="006B1A5A">
              <w:rPr>
                <w:rFonts w:eastAsia="Calibri"/>
                <w:b/>
                <w:sz w:val="18"/>
                <w:szCs w:val="18"/>
                <w:lang w:eastAsia="en-GB"/>
              </w:rPr>
              <w:t>/ PNEC</w:t>
            </w:r>
            <w:r w:rsidRPr="006B1A5A">
              <w:rPr>
                <w:rFonts w:eastAsia="Calibri"/>
                <w:b/>
                <w:sz w:val="18"/>
                <w:szCs w:val="18"/>
                <w:vertAlign w:val="subscript"/>
                <w:lang w:eastAsia="en-GB"/>
              </w:rPr>
              <w:t xml:space="preserve">sediment </w:t>
            </w:r>
            <w:r w:rsidRPr="006B1A5A">
              <w:rPr>
                <w:rFonts w:eastAsia="Calibri"/>
                <w:b/>
                <w:sz w:val="18"/>
                <w:szCs w:val="18"/>
                <w:vertAlign w:val="superscript"/>
                <w:lang w:eastAsia="en-GB"/>
              </w:rPr>
              <w:t>1</w:t>
            </w:r>
          </w:p>
        </w:tc>
      </w:tr>
      <w:tr w:rsidR="001042DA" w:rsidRPr="006B1A5A" w14:paraId="5E5A82FC" w14:textId="77777777" w:rsidTr="00AF2AEA">
        <w:trPr>
          <w:trHeight w:val="75"/>
        </w:trPr>
        <w:tc>
          <w:tcPr>
            <w:tcW w:w="1383" w:type="pct"/>
            <w:shd w:val="clear" w:color="auto" w:fill="FFFFFF"/>
          </w:tcPr>
          <w:p w14:paraId="6C41D48C" w14:textId="77777777" w:rsidR="001042DA" w:rsidRPr="006B1A5A" w:rsidRDefault="001042DA" w:rsidP="00AF2AEA">
            <w:pPr>
              <w:keepNext/>
              <w:spacing w:before="60" w:after="60"/>
              <w:rPr>
                <w:rFonts w:eastAsia="Calibri"/>
                <w:b/>
                <w:sz w:val="18"/>
                <w:szCs w:val="18"/>
                <w:lang w:eastAsia="en-GB"/>
              </w:rPr>
            </w:pPr>
            <w:r w:rsidRPr="006B1A5A">
              <w:rPr>
                <w:rFonts w:eastAsia="Calibri"/>
                <w:b/>
                <w:sz w:val="18"/>
                <w:szCs w:val="18"/>
                <w:lang w:eastAsia="en-GB"/>
              </w:rPr>
              <w:t>EU fish farm scenario</w:t>
            </w:r>
          </w:p>
        </w:tc>
        <w:tc>
          <w:tcPr>
            <w:tcW w:w="885" w:type="pct"/>
            <w:gridSpan w:val="2"/>
            <w:shd w:val="clear" w:color="auto" w:fill="FFFFFF"/>
            <w:vAlign w:val="center"/>
          </w:tcPr>
          <w:p w14:paraId="348402E2" w14:textId="77777777" w:rsidR="001042DA" w:rsidRPr="006B1A5A" w:rsidRDefault="001042DA" w:rsidP="00AF2AEA">
            <w:pPr>
              <w:pStyle w:val="Ingenmellomrom"/>
              <w:keepNext/>
              <w:jc w:val="center"/>
              <w:rPr>
                <w:rFonts w:ascii="Verdana" w:hAnsi="Verdana"/>
                <w:sz w:val="18"/>
                <w:szCs w:val="18"/>
                <w:highlight w:val="yellow"/>
                <w:lang w:val="en-GB" w:eastAsia="en-GB"/>
              </w:rPr>
            </w:pPr>
            <w:r w:rsidRPr="006B1A5A">
              <w:rPr>
                <w:rFonts w:ascii="Verdana" w:hAnsi="Verdana"/>
                <w:sz w:val="18"/>
                <w:szCs w:val="18"/>
                <w:lang w:val="en-GB" w:eastAsia="en-GB"/>
              </w:rPr>
              <w:t>0.05</w:t>
            </w:r>
          </w:p>
        </w:tc>
        <w:tc>
          <w:tcPr>
            <w:tcW w:w="886" w:type="pct"/>
            <w:gridSpan w:val="2"/>
            <w:shd w:val="clear" w:color="auto" w:fill="FFFFFF"/>
            <w:vAlign w:val="center"/>
          </w:tcPr>
          <w:p w14:paraId="476F740A" w14:textId="77777777" w:rsidR="001042DA" w:rsidRPr="006B1A5A" w:rsidRDefault="001042DA" w:rsidP="00AF2AEA">
            <w:pPr>
              <w:pStyle w:val="Ingenmellomrom"/>
              <w:keepNext/>
              <w:jc w:val="center"/>
              <w:rPr>
                <w:rFonts w:ascii="Verdana" w:hAnsi="Verdana"/>
                <w:sz w:val="18"/>
                <w:szCs w:val="18"/>
                <w:highlight w:val="yellow"/>
                <w:lang w:val="en-GB" w:eastAsia="en-GB"/>
              </w:rPr>
            </w:pPr>
            <w:r w:rsidRPr="006B1A5A">
              <w:rPr>
                <w:rFonts w:ascii="Verdana" w:hAnsi="Verdana"/>
                <w:sz w:val="18"/>
                <w:szCs w:val="18"/>
                <w:lang w:val="en-GB" w:eastAsia="en-GB"/>
              </w:rPr>
              <w:t>0.0043</w:t>
            </w:r>
          </w:p>
        </w:tc>
        <w:tc>
          <w:tcPr>
            <w:tcW w:w="886" w:type="pct"/>
            <w:shd w:val="clear" w:color="auto" w:fill="FFFFFF"/>
            <w:vAlign w:val="center"/>
          </w:tcPr>
          <w:p w14:paraId="19C3789B" w14:textId="77777777" w:rsidR="001042DA" w:rsidRPr="006B1A5A" w:rsidRDefault="001042DA" w:rsidP="00AF2AEA">
            <w:pPr>
              <w:pStyle w:val="Ingenmellomrom"/>
              <w:keepNext/>
              <w:jc w:val="center"/>
              <w:rPr>
                <w:rFonts w:ascii="Verdana" w:hAnsi="Verdana"/>
                <w:sz w:val="18"/>
                <w:szCs w:val="18"/>
                <w:highlight w:val="yellow"/>
                <w:lang w:val="en-GB" w:eastAsia="en-GB"/>
              </w:rPr>
            </w:pPr>
            <w:r w:rsidRPr="006B1A5A">
              <w:rPr>
                <w:rFonts w:ascii="Verdana" w:hAnsi="Verdana"/>
                <w:sz w:val="18"/>
                <w:szCs w:val="18"/>
                <w:lang w:val="en-GB" w:eastAsia="en-GB"/>
              </w:rPr>
              <w:t>1.27E-</w:t>
            </w:r>
            <w:r w:rsidRPr="006B1A5A" w:rsidDel="00D336AA">
              <w:rPr>
                <w:rFonts w:ascii="Verdana" w:hAnsi="Verdana"/>
                <w:sz w:val="18"/>
                <w:szCs w:val="18"/>
                <w:lang w:val="en-GB" w:eastAsia="en-GB"/>
              </w:rPr>
              <w:t>05</w:t>
            </w:r>
          </w:p>
        </w:tc>
        <w:tc>
          <w:tcPr>
            <w:tcW w:w="960" w:type="pct"/>
            <w:shd w:val="clear" w:color="auto" w:fill="FFFFFF"/>
            <w:vAlign w:val="center"/>
          </w:tcPr>
          <w:p w14:paraId="7AF68508" w14:textId="77777777" w:rsidR="001042DA" w:rsidRPr="006B1A5A" w:rsidRDefault="001042DA" w:rsidP="00AF2AEA">
            <w:pPr>
              <w:pStyle w:val="Ingenmellomrom"/>
              <w:keepNext/>
              <w:jc w:val="center"/>
              <w:rPr>
                <w:rFonts w:ascii="Verdana" w:hAnsi="Verdana"/>
                <w:sz w:val="18"/>
                <w:szCs w:val="18"/>
                <w:highlight w:val="yellow"/>
                <w:lang w:val="en-GB" w:eastAsia="en-GB"/>
              </w:rPr>
            </w:pPr>
            <w:r w:rsidRPr="006B1A5A">
              <w:rPr>
                <w:rFonts w:ascii="Verdana" w:hAnsi="Verdana"/>
                <w:sz w:val="18"/>
                <w:szCs w:val="18"/>
                <w:lang w:val="en-GB" w:eastAsia="en-GB"/>
              </w:rPr>
              <w:t>2.8E-</w:t>
            </w:r>
            <w:r w:rsidRPr="006B1A5A" w:rsidDel="00D336AA">
              <w:rPr>
                <w:rFonts w:ascii="Verdana" w:hAnsi="Verdana"/>
                <w:sz w:val="18"/>
                <w:szCs w:val="18"/>
                <w:lang w:val="en-GB" w:eastAsia="en-GB"/>
              </w:rPr>
              <w:t>04</w:t>
            </w:r>
          </w:p>
        </w:tc>
      </w:tr>
      <w:tr w:rsidR="001042DA" w:rsidRPr="006B1A5A" w14:paraId="6532BE7F" w14:textId="77777777" w:rsidTr="00AF2AEA">
        <w:trPr>
          <w:trHeight w:val="75"/>
        </w:trPr>
        <w:tc>
          <w:tcPr>
            <w:tcW w:w="5000" w:type="pct"/>
            <w:gridSpan w:val="7"/>
            <w:tcBorders>
              <w:top w:val="single" w:sz="4" w:space="0" w:color="auto"/>
              <w:left w:val="nil"/>
              <w:bottom w:val="nil"/>
              <w:right w:val="nil"/>
            </w:tcBorders>
            <w:shd w:val="clear" w:color="auto" w:fill="FFFFFF"/>
          </w:tcPr>
          <w:p w14:paraId="515FD9C8" w14:textId="77777777" w:rsidR="001042DA" w:rsidRPr="006B1A5A" w:rsidRDefault="001042DA" w:rsidP="00AF2AEA">
            <w:pPr>
              <w:pStyle w:val="Ingenmellomrom"/>
              <w:keepNext/>
              <w:jc w:val="left"/>
              <w:rPr>
                <w:rFonts w:ascii="Verdana" w:hAnsi="Verdana"/>
                <w:b/>
                <w:sz w:val="18"/>
                <w:szCs w:val="20"/>
                <w:lang w:val="en-GB" w:eastAsia="en-GB"/>
              </w:rPr>
            </w:pPr>
            <w:r w:rsidRPr="006B1A5A">
              <w:rPr>
                <w:rFonts w:ascii="Verdana" w:hAnsi="Verdana"/>
                <w:sz w:val="18"/>
                <w:szCs w:val="20"/>
                <w:vertAlign w:val="superscript"/>
                <w:lang w:val="en-GB"/>
              </w:rPr>
              <w:t>1</w:t>
            </w:r>
            <w:r w:rsidRPr="006B1A5A">
              <w:rPr>
                <w:rFonts w:ascii="Verdana" w:hAnsi="Verdana"/>
                <w:sz w:val="18"/>
                <w:szCs w:val="20"/>
                <w:lang w:val="en-GB"/>
              </w:rPr>
              <w:t xml:space="preserve"> PEC/PNEC </w:t>
            </w:r>
            <w:r w:rsidRPr="006B1A5A">
              <w:rPr>
                <w:rFonts w:ascii="Verdana" w:hAnsi="Verdana"/>
                <w:sz w:val="18"/>
                <w:szCs w:val="18"/>
                <w:lang w:val="en-GB"/>
              </w:rPr>
              <w:t>ratios above</w:t>
            </w:r>
            <w:r w:rsidRPr="006B1A5A">
              <w:rPr>
                <w:rFonts w:ascii="Verdana" w:hAnsi="Verdana"/>
                <w:sz w:val="18"/>
                <w:szCs w:val="20"/>
                <w:lang w:val="en-GB"/>
              </w:rPr>
              <w:t xml:space="preserve"> 1 </w:t>
            </w:r>
            <w:r w:rsidRPr="006B1A5A">
              <w:rPr>
                <w:rFonts w:ascii="Verdana" w:hAnsi="Verdana"/>
                <w:sz w:val="18"/>
                <w:szCs w:val="18"/>
                <w:lang w:val="en-GB"/>
              </w:rPr>
              <w:t>(values</w:t>
            </w:r>
            <w:r w:rsidRPr="006B1A5A">
              <w:rPr>
                <w:rFonts w:ascii="Verdana" w:hAnsi="Verdana"/>
                <w:sz w:val="18"/>
                <w:szCs w:val="20"/>
                <w:lang w:val="en-GB"/>
              </w:rPr>
              <w:t xml:space="preserve"> in </w:t>
            </w:r>
            <w:r w:rsidRPr="006B1A5A">
              <w:rPr>
                <w:rFonts w:ascii="Verdana" w:hAnsi="Verdana"/>
                <w:b/>
                <w:sz w:val="18"/>
                <w:szCs w:val="20"/>
                <w:lang w:val="en-GB"/>
              </w:rPr>
              <w:t>bold</w:t>
            </w:r>
            <w:r w:rsidRPr="006B1A5A">
              <w:rPr>
                <w:rFonts w:ascii="Verdana" w:hAnsi="Verdana"/>
                <w:sz w:val="18"/>
                <w:szCs w:val="18"/>
                <w:lang w:val="en-GB"/>
              </w:rPr>
              <w:t>)</w:t>
            </w:r>
            <w:r w:rsidRPr="006B1A5A">
              <w:rPr>
                <w:rFonts w:ascii="Verdana" w:hAnsi="Verdana"/>
                <w:sz w:val="18"/>
                <w:szCs w:val="20"/>
                <w:lang w:val="en-GB"/>
              </w:rPr>
              <w:t xml:space="preserve"> </w:t>
            </w:r>
            <w:r w:rsidRPr="006B1A5A">
              <w:rPr>
                <w:rFonts w:ascii="Verdana" w:hAnsi="Verdana"/>
                <w:sz w:val="18"/>
                <w:szCs w:val="18"/>
                <w:lang w:val="en-GB"/>
              </w:rPr>
              <w:t>indicate</w:t>
            </w:r>
            <w:r w:rsidRPr="006B1A5A">
              <w:rPr>
                <w:rFonts w:ascii="Verdana" w:hAnsi="Verdana"/>
                <w:sz w:val="18"/>
                <w:szCs w:val="20"/>
                <w:lang w:val="en-GB"/>
              </w:rPr>
              <w:t xml:space="preserve"> unacceptable </w:t>
            </w:r>
            <w:r w:rsidRPr="006B1A5A">
              <w:rPr>
                <w:rFonts w:ascii="Verdana" w:hAnsi="Verdana"/>
                <w:sz w:val="18"/>
                <w:szCs w:val="18"/>
                <w:lang w:val="en-GB"/>
              </w:rPr>
              <w:t>environmental risks.</w:t>
            </w:r>
          </w:p>
        </w:tc>
      </w:tr>
    </w:tbl>
    <w:p w14:paraId="66C2FD1A" w14:textId="77777777" w:rsidR="001042DA" w:rsidRPr="006B1A5A" w:rsidRDefault="001042DA" w:rsidP="001042DA">
      <w:pPr>
        <w:spacing w:line="276" w:lineRule="auto"/>
        <w:ind w:left="142"/>
        <w:rPr>
          <w:rFonts w:ascii="Times New Roman" w:eastAsia="Calibri" w:hAnsi="Times New Roman"/>
          <w:i/>
          <w:highlight w:val="yellow"/>
          <w:lang w:eastAsia="en-US"/>
        </w:rPr>
      </w:pPr>
    </w:p>
    <w:p w14:paraId="6174CF05" w14:textId="77777777" w:rsidR="001042DA" w:rsidRPr="006B1A5A" w:rsidRDefault="001042DA" w:rsidP="001042DA">
      <w:pPr>
        <w:rPr>
          <w:sz w:val="22"/>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427"/>
        <w:gridCol w:w="1745"/>
        <w:gridCol w:w="1745"/>
        <w:gridCol w:w="1740"/>
      </w:tblGrid>
      <w:tr w:rsidR="001042DA" w:rsidRPr="006B1A5A" w14:paraId="08BA0312" w14:textId="77777777" w:rsidTr="00AF2AEA">
        <w:trPr>
          <w:trHeight w:val="249"/>
        </w:trPr>
        <w:tc>
          <w:tcPr>
            <w:tcW w:w="5000" w:type="pct"/>
            <w:gridSpan w:val="5"/>
            <w:tcBorders>
              <w:top w:val="single" w:sz="4" w:space="0" w:color="auto"/>
              <w:left w:val="single" w:sz="4" w:space="0" w:color="auto"/>
              <w:bottom w:val="single" w:sz="4" w:space="0" w:color="auto"/>
            </w:tcBorders>
            <w:shd w:val="clear" w:color="auto" w:fill="FFFFCC"/>
            <w:vAlign w:val="center"/>
          </w:tcPr>
          <w:p w14:paraId="5936E754" w14:textId="77777777" w:rsidR="001042DA" w:rsidRPr="006B1A5A" w:rsidRDefault="001042DA" w:rsidP="00AF2AEA">
            <w:pPr>
              <w:autoSpaceDE w:val="0"/>
              <w:autoSpaceDN w:val="0"/>
              <w:adjustRightInd w:val="0"/>
              <w:spacing w:before="60" w:after="60" w:line="260" w:lineRule="atLeast"/>
              <w:jc w:val="center"/>
              <w:rPr>
                <w:rFonts w:eastAsia="Calibri"/>
                <w:b/>
                <w:sz w:val="18"/>
                <w:szCs w:val="18"/>
                <w:lang w:eastAsia="en-GB"/>
              </w:rPr>
            </w:pPr>
            <w:r w:rsidRPr="006B1A5A">
              <w:rPr>
                <w:rFonts w:eastAsia="Calibri"/>
                <w:b/>
                <w:sz w:val="18"/>
                <w:szCs w:val="18"/>
                <w:lang w:eastAsia="en-GB"/>
              </w:rPr>
              <w:t>AquaNet RFU360</w:t>
            </w:r>
          </w:p>
          <w:p w14:paraId="2A556CAA" w14:textId="77777777" w:rsidR="001042DA" w:rsidRPr="006B1A5A" w:rsidRDefault="001042DA" w:rsidP="00AF2AEA">
            <w:pPr>
              <w:autoSpaceDE w:val="0"/>
              <w:autoSpaceDN w:val="0"/>
              <w:adjustRightInd w:val="0"/>
              <w:spacing w:before="60" w:after="60" w:line="260" w:lineRule="atLeast"/>
              <w:jc w:val="center"/>
              <w:rPr>
                <w:rFonts w:eastAsia="Calibri"/>
                <w:b/>
                <w:sz w:val="18"/>
                <w:szCs w:val="18"/>
                <w:lang w:eastAsia="en-GB"/>
              </w:rPr>
            </w:pPr>
            <w:r w:rsidRPr="006B1A5A">
              <w:rPr>
                <w:rFonts w:eastAsia="Calibri"/>
                <w:b/>
                <w:sz w:val="18"/>
                <w:szCs w:val="18"/>
                <w:lang w:eastAsia="en-GB"/>
              </w:rPr>
              <w:t xml:space="preserve">Average PEC values calculated by MAMPEC v3.1 </w:t>
            </w:r>
          </w:p>
          <w:p w14:paraId="2A3685DC" w14:textId="77777777" w:rsidR="001042DA" w:rsidRPr="006B1A5A" w:rsidRDefault="001042DA" w:rsidP="00AF2AEA">
            <w:pPr>
              <w:autoSpaceDE w:val="0"/>
              <w:autoSpaceDN w:val="0"/>
              <w:adjustRightInd w:val="0"/>
              <w:spacing w:before="60" w:after="60" w:line="260" w:lineRule="atLeast"/>
              <w:jc w:val="center"/>
              <w:rPr>
                <w:rFonts w:eastAsia="Calibri"/>
                <w:b/>
                <w:sz w:val="18"/>
                <w:szCs w:val="18"/>
                <w:lang w:eastAsia="en-GB"/>
              </w:rPr>
            </w:pPr>
            <w:r w:rsidRPr="006B1A5A">
              <w:rPr>
                <w:rFonts w:eastAsia="Calibri"/>
                <w:b/>
                <w:sz w:val="18"/>
                <w:szCs w:val="18"/>
                <w:lang w:eastAsia="en-GB"/>
              </w:rPr>
              <w:t>(without background concentration for Cu)</w:t>
            </w:r>
          </w:p>
        </w:tc>
      </w:tr>
      <w:tr w:rsidR="001042DA" w:rsidRPr="006B1A5A" w14:paraId="62EA9438" w14:textId="77777777" w:rsidTr="00AF2AEA">
        <w:trPr>
          <w:trHeight w:val="249"/>
        </w:trPr>
        <w:tc>
          <w:tcPr>
            <w:tcW w:w="1384" w:type="pct"/>
            <w:shd w:val="clear" w:color="auto" w:fill="FFFFFF"/>
            <w:vAlign w:val="center"/>
          </w:tcPr>
          <w:p w14:paraId="63147B37" w14:textId="77777777" w:rsidR="001042DA" w:rsidRPr="006B1A5A" w:rsidRDefault="001042DA" w:rsidP="00AF2AEA">
            <w:pPr>
              <w:spacing w:before="60" w:after="60"/>
              <w:jc w:val="center"/>
              <w:rPr>
                <w:rFonts w:eastAsia="Calibri"/>
                <w:b/>
                <w:sz w:val="18"/>
                <w:szCs w:val="18"/>
                <w:lang w:eastAsia="en-GB"/>
              </w:rPr>
            </w:pPr>
            <w:r w:rsidRPr="006B1A5A">
              <w:rPr>
                <w:rFonts w:eastAsia="Calibri"/>
                <w:b/>
                <w:sz w:val="18"/>
                <w:szCs w:val="18"/>
                <w:lang w:eastAsia="en-GB"/>
              </w:rPr>
              <w:t>Copper</w:t>
            </w:r>
          </w:p>
          <w:p w14:paraId="23C7D73B" w14:textId="77777777" w:rsidR="001042DA" w:rsidRPr="006B1A5A" w:rsidRDefault="001042DA" w:rsidP="00AF2AEA">
            <w:pPr>
              <w:spacing w:before="60" w:after="60"/>
              <w:jc w:val="center"/>
              <w:rPr>
                <w:rFonts w:eastAsia="Calibri"/>
                <w:sz w:val="18"/>
                <w:szCs w:val="18"/>
                <w:lang w:eastAsia="en-GB"/>
              </w:rPr>
            </w:pPr>
            <w:r w:rsidRPr="006B1A5A">
              <w:rPr>
                <w:rFonts w:eastAsia="Calibri"/>
                <w:sz w:val="18"/>
                <w:szCs w:val="18"/>
                <w:lang w:eastAsia="en-GB"/>
              </w:rPr>
              <w:t>PNECsurrounding waters = 1.15 µg/L</w:t>
            </w:r>
          </w:p>
          <w:p w14:paraId="4498BBA3" w14:textId="77777777" w:rsidR="001042DA" w:rsidRPr="006B1A5A" w:rsidRDefault="001042DA" w:rsidP="00AF2AEA">
            <w:pPr>
              <w:spacing w:before="60" w:after="60"/>
              <w:jc w:val="center"/>
              <w:rPr>
                <w:rFonts w:eastAsia="Calibri"/>
                <w:sz w:val="18"/>
                <w:szCs w:val="18"/>
                <w:lang w:eastAsia="en-GB"/>
              </w:rPr>
            </w:pPr>
            <w:r w:rsidRPr="006B1A5A">
              <w:rPr>
                <w:rFonts w:eastAsia="Calibri"/>
                <w:sz w:val="18"/>
                <w:szCs w:val="18"/>
                <w:lang w:eastAsia="en-GB"/>
              </w:rPr>
              <w:t>PNEC</w:t>
            </w:r>
            <w:r w:rsidRPr="006B1A5A">
              <w:rPr>
                <w:rFonts w:eastAsia="Calibri"/>
                <w:sz w:val="18"/>
                <w:szCs w:val="18"/>
                <w:vertAlign w:val="subscript"/>
                <w:lang w:eastAsia="en-GB"/>
              </w:rPr>
              <w:t>sed</w:t>
            </w:r>
            <w:r w:rsidRPr="006B1A5A">
              <w:rPr>
                <w:rFonts w:eastAsia="Calibri"/>
                <w:sz w:val="18"/>
                <w:szCs w:val="18"/>
                <w:lang w:eastAsia="en-GB"/>
              </w:rPr>
              <w:t xml:space="preserve"> = 98.8 µg/g dw</w:t>
            </w:r>
          </w:p>
        </w:tc>
        <w:tc>
          <w:tcPr>
            <w:tcW w:w="775" w:type="pct"/>
            <w:shd w:val="clear" w:color="auto" w:fill="FFFFFF"/>
            <w:vAlign w:val="center"/>
          </w:tcPr>
          <w:p w14:paraId="326347D0" w14:textId="77777777" w:rsidR="001042DA" w:rsidRPr="006B1A5A" w:rsidRDefault="001042DA" w:rsidP="00AF2AEA">
            <w:pPr>
              <w:autoSpaceDE w:val="0"/>
              <w:autoSpaceDN w:val="0"/>
              <w:adjustRightInd w:val="0"/>
              <w:spacing w:before="60" w:after="60" w:line="260" w:lineRule="atLeast"/>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dissolved</w:t>
            </w:r>
          </w:p>
          <w:p w14:paraId="25C6CA1C" w14:textId="77777777" w:rsidR="001042DA" w:rsidRPr="006B1A5A" w:rsidRDefault="001042DA" w:rsidP="00AF2AEA">
            <w:pPr>
              <w:autoSpaceDE w:val="0"/>
              <w:autoSpaceDN w:val="0"/>
              <w:adjustRightInd w:val="0"/>
              <w:spacing w:before="60" w:after="60" w:line="260" w:lineRule="atLeast"/>
              <w:jc w:val="center"/>
              <w:rPr>
                <w:rFonts w:eastAsia="Calibri"/>
                <w:sz w:val="18"/>
                <w:szCs w:val="18"/>
                <w:lang w:eastAsia="en-GB"/>
              </w:rPr>
            </w:pPr>
            <w:r w:rsidRPr="006B1A5A">
              <w:rPr>
                <w:rFonts w:eastAsia="Calibri"/>
                <w:sz w:val="18"/>
                <w:szCs w:val="18"/>
                <w:lang w:eastAsia="en-GB"/>
              </w:rPr>
              <w:t>[µg/L]</w:t>
            </w:r>
          </w:p>
        </w:tc>
        <w:tc>
          <w:tcPr>
            <w:tcW w:w="948" w:type="pct"/>
            <w:shd w:val="clear" w:color="auto" w:fill="FFFFFF"/>
            <w:vAlign w:val="center"/>
          </w:tcPr>
          <w:p w14:paraId="56445BF4" w14:textId="77777777" w:rsidR="001042DA" w:rsidRPr="006B1A5A" w:rsidRDefault="001042DA" w:rsidP="00AF2AEA">
            <w:pPr>
              <w:autoSpaceDE w:val="0"/>
              <w:autoSpaceDN w:val="0"/>
              <w:adjustRightInd w:val="0"/>
              <w:spacing w:before="60" w:after="60" w:line="260" w:lineRule="atLeast"/>
              <w:jc w:val="center"/>
              <w:rPr>
                <w:rFonts w:eastAsia="Calibri"/>
                <w:sz w:val="18"/>
                <w:szCs w:val="18"/>
                <w:vertAlign w:val="superscript"/>
                <w:lang w:eastAsia="en-GB"/>
              </w:rPr>
            </w:pPr>
            <w:r w:rsidRPr="006B1A5A">
              <w:rPr>
                <w:rFonts w:eastAsia="Calibri"/>
                <w:b/>
                <w:sz w:val="18"/>
                <w:szCs w:val="18"/>
                <w:lang w:eastAsia="en-GB"/>
              </w:rPr>
              <w:t>PEC</w:t>
            </w:r>
            <w:r w:rsidRPr="006B1A5A">
              <w:rPr>
                <w:rFonts w:eastAsia="Calibri"/>
                <w:b/>
                <w:sz w:val="18"/>
                <w:szCs w:val="18"/>
                <w:vertAlign w:val="subscript"/>
                <w:lang w:eastAsia="en-GB"/>
              </w:rPr>
              <w:t xml:space="preserve">dissolved </w:t>
            </w:r>
            <w:r w:rsidRPr="006B1A5A">
              <w:rPr>
                <w:rFonts w:eastAsia="Calibri"/>
                <w:b/>
                <w:sz w:val="18"/>
                <w:szCs w:val="18"/>
                <w:lang w:eastAsia="en-GB"/>
              </w:rPr>
              <w:t>/ PNEC</w:t>
            </w:r>
            <w:r w:rsidRPr="006B1A5A">
              <w:rPr>
                <w:rFonts w:eastAsia="Calibri"/>
                <w:b/>
                <w:sz w:val="18"/>
                <w:szCs w:val="18"/>
                <w:vertAlign w:val="subscript"/>
                <w:lang w:eastAsia="en-GB"/>
              </w:rPr>
              <w:t xml:space="preserve">water </w:t>
            </w:r>
            <w:r w:rsidRPr="006B1A5A">
              <w:rPr>
                <w:rFonts w:eastAsia="Calibri"/>
                <w:b/>
                <w:sz w:val="18"/>
                <w:szCs w:val="18"/>
                <w:vertAlign w:val="superscript"/>
                <w:lang w:eastAsia="en-GB"/>
              </w:rPr>
              <w:t>1</w:t>
            </w:r>
          </w:p>
        </w:tc>
        <w:tc>
          <w:tcPr>
            <w:tcW w:w="948" w:type="pct"/>
            <w:shd w:val="clear" w:color="auto" w:fill="FFFFFF"/>
            <w:vAlign w:val="center"/>
          </w:tcPr>
          <w:p w14:paraId="178879EF" w14:textId="77777777" w:rsidR="001042DA" w:rsidRPr="006B1A5A" w:rsidRDefault="001042DA" w:rsidP="00AF2AEA">
            <w:pPr>
              <w:spacing w:before="60" w:after="60"/>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suspended sediment</w:t>
            </w:r>
          </w:p>
          <w:p w14:paraId="69BA7494" w14:textId="77777777" w:rsidR="001042DA" w:rsidRPr="006B1A5A" w:rsidRDefault="001042DA" w:rsidP="00AF2AEA">
            <w:pPr>
              <w:spacing w:before="60" w:after="60"/>
              <w:jc w:val="center"/>
              <w:rPr>
                <w:rFonts w:eastAsia="Calibri"/>
                <w:sz w:val="18"/>
                <w:szCs w:val="18"/>
                <w:lang w:eastAsia="en-GB"/>
              </w:rPr>
            </w:pPr>
            <w:r w:rsidRPr="006B1A5A">
              <w:rPr>
                <w:rFonts w:eastAsia="Calibri"/>
                <w:sz w:val="18"/>
                <w:szCs w:val="18"/>
                <w:lang w:eastAsia="en-GB"/>
              </w:rPr>
              <w:t>[µg/g dw]</w:t>
            </w:r>
          </w:p>
        </w:tc>
        <w:tc>
          <w:tcPr>
            <w:tcW w:w="946" w:type="pct"/>
            <w:shd w:val="clear" w:color="auto" w:fill="auto"/>
            <w:vAlign w:val="center"/>
          </w:tcPr>
          <w:p w14:paraId="311738CB" w14:textId="77777777" w:rsidR="001042DA" w:rsidRPr="006B1A5A" w:rsidRDefault="001042DA" w:rsidP="00AF2AEA">
            <w:pPr>
              <w:spacing w:before="60" w:after="60"/>
              <w:jc w:val="center"/>
              <w:rPr>
                <w:rFonts w:eastAsia="Calibri"/>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suspended sediment</w:t>
            </w:r>
            <w:r w:rsidRPr="006B1A5A">
              <w:rPr>
                <w:rFonts w:eastAsia="Calibri"/>
                <w:b/>
                <w:sz w:val="18"/>
                <w:szCs w:val="18"/>
                <w:lang w:eastAsia="en-GB"/>
              </w:rPr>
              <w:t>/ PNEC</w:t>
            </w:r>
            <w:r w:rsidRPr="006B1A5A">
              <w:rPr>
                <w:rFonts w:eastAsia="Calibri"/>
                <w:b/>
                <w:sz w:val="18"/>
                <w:szCs w:val="18"/>
                <w:vertAlign w:val="subscript"/>
                <w:lang w:eastAsia="en-GB"/>
              </w:rPr>
              <w:t xml:space="preserve">sediment </w:t>
            </w:r>
            <w:r w:rsidRPr="006B1A5A">
              <w:rPr>
                <w:rFonts w:eastAsia="Calibri"/>
                <w:b/>
                <w:sz w:val="18"/>
                <w:szCs w:val="18"/>
                <w:vertAlign w:val="superscript"/>
                <w:lang w:eastAsia="en-GB"/>
              </w:rPr>
              <w:t>1</w:t>
            </w:r>
          </w:p>
        </w:tc>
      </w:tr>
      <w:tr w:rsidR="001042DA" w:rsidRPr="006B1A5A" w14:paraId="42927896" w14:textId="77777777" w:rsidTr="00AF2AEA">
        <w:trPr>
          <w:trHeight w:val="75"/>
        </w:trPr>
        <w:tc>
          <w:tcPr>
            <w:tcW w:w="1384" w:type="pct"/>
            <w:shd w:val="clear" w:color="auto" w:fill="FFFFFF"/>
          </w:tcPr>
          <w:p w14:paraId="5C450554" w14:textId="77777777" w:rsidR="001042DA" w:rsidRPr="006B1A5A" w:rsidRDefault="001042DA" w:rsidP="00AF2AEA">
            <w:pPr>
              <w:spacing w:before="60" w:after="60"/>
              <w:rPr>
                <w:rFonts w:eastAsia="Calibri"/>
                <w:b/>
                <w:sz w:val="18"/>
                <w:szCs w:val="18"/>
                <w:lang w:eastAsia="en-GB"/>
              </w:rPr>
            </w:pPr>
            <w:r w:rsidRPr="006B1A5A">
              <w:rPr>
                <w:rFonts w:eastAsia="Calibri"/>
                <w:b/>
                <w:sz w:val="18"/>
                <w:szCs w:val="18"/>
                <w:lang w:eastAsia="en-GB"/>
              </w:rPr>
              <w:t>EU fish farm scenario</w:t>
            </w:r>
          </w:p>
        </w:tc>
        <w:tc>
          <w:tcPr>
            <w:tcW w:w="775" w:type="pct"/>
            <w:shd w:val="clear" w:color="auto" w:fill="FFFFFF"/>
            <w:vAlign w:val="center"/>
          </w:tcPr>
          <w:p w14:paraId="5EEA5150"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hAnsi="Verdana"/>
                <w:sz w:val="18"/>
                <w:szCs w:val="18"/>
                <w:lang w:val="en-GB" w:eastAsia="en-GB"/>
              </w:rPr>
              <w:t>0.14</w:t>
            </w:r>
          </w:p>
        </w:tc>
        <w:tc>
          <w:tcPr>
            <w:tcW w:w="948" w:type="pct"/>
            <w:shd w:val="clear" w:color="auto" w:fill="FFFFFF"/>
            <w:vAlign w:val="center"/>
          </w:tcPr>
          <w:p w14:paraId="5E3E562F"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hAnsi="Verdana"/>
                <w:sz w:val="18"/>
                <w:szCs w:val="18"/>
                <w:lang w:val="en-GB" w:eastAsia="en-GB"/>
              </w:rPr>
              <w:t>0.125</w:t>
            </w:r>
          </w:p>
        </w:tc>
        <w:tc>
          <w:tcPr>
            <w:tcW w:w="948" w:type="pct"/>
            <w:shd w:val="clear" w:color="auto" w:fill="FFFFFF"/>
            <w:vAlign w:val="center"/>
          </w:tcPr>
          <w:p w14:paraId="187D2709"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hAnsi="Verdana"/>
                <w:sz w:val="18"/>
                <w:szCs w:val="18"/>
                <w:lang w:val="en-GB" w:eastAsia="en-GB"/>
              </w:rPr>
              <w:t>18.93</w:t>
            </w:r>
          </w:p>
        </w:tc>
        <w:tc>
          <w:tcPr>
            <w:tcW w:w="946" w:type="pct"/>
            <w:shd w:val="clear" w:color="auto" w:fill="FFFFFF"/>
            <w:vAlign w:val="center"/>
          </w:tcPr>
          <w:p w14:paraId="144F5592"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hAnsi="Verdana"/>
                <w:sz w:val="18"/>
                <w:szCs w:val="18"/>
                <w:lang w:val="en-GB" w:eastAsia="en-GB"/>
              </w:rPr>
              <w:t>0.19</w:t>
            </w:r>
          </w:p>
        </w:tc>
      </w:tr>
      <w:tr w:rsidR="001042DA" w:rsidRPr="006B1A5A" w14:paraId="19DB0B3B" w14:textId="77777777" w:rsidTr="00AF2AEA">
        <w:trPr>
          <w:trHeight w:val="75"/>
        </w:trPr>
        <w:tc>
          <w:tcPr>
            <w:tcW w:w="1384" w:type="pct"/>
            <w:shd w:val="clear" w:color="auto" w:fill="FFFFFF"/>
            <w:vAlign w:val="center"/>
          </w:tcPr>
          <w:p w14:paraId="0828F554" w14:textId="77777777" w:rsidR="001042DA" w:rsidRPr="006B1A5A" w:rsidRDefault="001042DA" w:rsidP="00AF2AEA">
            <w:pPr>
              <w:spacing w:before="60" w:after="60"/>
              <w:jc w:val="center"/>
              <w:rPr>
                <w:rFonts w:eastAsia="Calibri"/>
                <w:b/>
                <w:sz w:val="18"/>
                <w:szCs w:val="18"/>
                <w:lang w:eastAsia="en-GB"/>
              </w:rPr>
            </w:pPr>
            <w:r w:rsidRPr="006B1A5A">
              <w:rPr>
                <w:rFonts w:eastAsia="Calibri"/>
                <w:b/>
                <w:sz w:val="18"/>
                <w:szCs w:val="18"/>
                <w:lang w:eastAsia="en-GB"/>
              </w:rPr>
              <w:t>Thiocyanate</w:t>
            </w:r>
          </w:p>
          <w:p w14:paraId="26583B09" w14:textId="77777777" w:rsidR="001042DA" w:rsidRPr="006B1A5A" w:rsidRDefault="001042DA" w:rsidP="00AF2AEA">
            <w:pPr>
              <w:spacing w:before="60" w:after="60"/>
              <w:jc w:val="center"/>
              <w:rPr>
                <w:rFonts w:eastAsia="Calibri"/>
                <w:sz w:val="18"/>
                <w:szCs w:val="18"/>
                <w:lang w:eastAsia="en-GB"/>
              </w:rPr>
            </w:pPr>
            <w:r w:rsidRPr="006B1A5A">
              <w:rPr>
                <w:rFonts w:eastAsia="Calibri"/>
                <w:sz w:val="18"/>
                <w:szCs w:val="18"/>
                <w:lang w:eastAsia="en-GB"/>
              </w:rPr>
              <w:t>PNEC surrounding waters = 11 µg/L</w:t>
            </w:r>
          </w:p>
          <w:p w14:paraId="21DD7F7E" w14:textId="77777777" w:rsidR="001042DA" w:rsidRPr="006B1A5A" w:rsidRDefault="001042DA" w:rsidP="00AF2AEA">
            <w:pPr>
              <w:spacing w:before="60" w:after="60"/>
              <w:jc w:val="center"/>
              <w:rPr>
                <w:rFonts w:eastAsia="Calibri"/>
                <w:b/>
                <w:sz w:val="18"/>
                <w:szCs w:val="18"/>
                <w:lang w:eastAsia="en-GB"/>
              </w:rPr>
            </w:pPr>
            <w:r w:rsidRPr="006B1A5A">
              <w:rPr>
                <w:rFonts w:eastAsia="Calibri"/>
                <w:sz w:val="18"/>
                <w:szCs w:val="18"/>
                <w:lang w:eastAsia="en-GB"/>
              </w:rPr>
              <w:t>PNEC</w:t>
            </w:r>
            <w:r w:rsidRPr="006B1A5A">
              <w:rPr>
                <w:rFonts w:eastAsia="Calibri"/>
                <w:sz w:val="18"/>
                <w:szCs w:val="18"/>
                <w:vertAlign w:val="subscript"/>
                <w:lang w:eastAsia="en-GB"/>
              </w:rPr>
              <w:t>sed</w:t>
            </w:r>
            <w:r w:rsidRPr="006B1A5A">
              <w:rPr>
                <w:rFonts w:eastAsia="Calibri"/>
                <w:sz w:val="18"/>
                <w:szCs w:val="18"/>
                <w:lang w:eastAsia="en-GB"/>
              </w:rPr>
              <w:t xml:space="preserve"> = 0.045 µg/g dw</w:t>
            </w:r>
          </w:p>
        </w:tc>
        <w:tc>
          <w:tcPr>
            <w:tcW w:w="775" w:type="pct"/>
            <w:shd w:val="clear" w:color="auto" w:fill="FFFFFF"/>
            <w:vAlign w:val="center"/>
          </w:tcPr>
          <w:p w14:paraId="4970D998" w14:textId="77777777" w:rsidR="001042DA" w:rsidRPr="006B1A5A" w:rsidRDefault="001042DA" w:rsidP="00AF2AEA">
            <w:pPr>
              <w:autoSpaceDE w:val="0"/>
              <w:autoSpaceDN w:val="0"/>
              <w:adjustRightInd w:val="0"/>
              <w:spacing w:before="60" w:after="60" w:line="260" w:lineRule="atLeast"/>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dissolved</w:t>
            </w:r>
          </w:p>
          <w:p w14:paraId="09586760" w14:textId="77777777" w:rsidR="001042DA" w:rsidRPr="006B1A5A" w:rsidRDefault="001042DA" w:rsidP="00AF2AEA">
            <w:pPr>
              <w:autoSpaceDE w:val="0"/>
              <w:autoSpaceDN w:val="0"/>
              <w:adjustRightInd w:val="0"/>
              <w:spacing w:before="60" w:after="60" w:line="260" w:lineRule="atLeast"/>
              <w:jc w:val="center"/>
              <w:rPr>
                <w:rFonts w:eastAsia="Calibri"/>
                <w:sz w:val="18"/>
                <w:szCs w:val="18"/>
                <w:lang w:eastAsia="en-GB"/>
              </w:rPr>
            </w:pPr>
            <w:r w:rsidRPr="006B1A5A">
              <w:rPr>
                <w:rFonts w:eastAsia="Calibri"/>
                <w:sz w:val="18"/>
                <w:szCs w:val="18"/>
                <w:lang w:eastAsia="en-GB"/>
              </w:rPr>
              <w:t>[µg/L]</w:t>
            </w:r>
          </w:p>
        </w:tc>
        <w:tc>
          <w:tcPr>
            <w:tcW w:w="948" w:type="pct"/>
            <w:shd w:val="clear" w:color="auto" w:fill="FFFFFF"/>
            <w:vAlign w:val="center"/>
          </w:tcPr>
          <w:p w14:paraId="1F828879" w14:textId="77777777" w:rsidR="001042DA" w:rsidRPr="006B1A5A" w:rsidRDefault="001042DA" w:rsidP="00AF2AEA">
            <w:pPr>
              <w:autoSpaceDE w:val="0"/>
              <w:autoSpaceDN w:val="0"/>
              <w:adjustRightInd w:val="0"/>
              <w:spacing w:before="60" w:after="60" w:line="260" w:lineRule="atLeast"/>
              <w:jc w:val="center"/>
              <w:rPr>
                <w:rFonts w:eastAsia="Calibri"/>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 xml:space="preserve">dissolved </w:t>
            </w:r>
            <w:r w:rsidRPr="006B1A5A">
              <w:rPr>
                <w:rFonts w:eastAsia="Calibri"/>
                <w:b/>
                <w:sz w:val="18"/>
                <w:szCs w:val="18"/>
                <w:lang w:eastAsia="en-GB"/>
              </w:rPr>
              <w:t>/ PNEC</w:t>
            </w:r>
            <w:r w:rsidRPr="006B1A5A">
              <w:rPr>
                <w:rFonts w:eastAsia="Calibri"/>
                <w:b/>
                <w:sz w:val="18"/>
                <w:szCs w:val="18"/>
                <w:vertAlign w:val="subscript"/>
                <w:lang w:eastAsia="en-GB"/>
              </w:rPr>
              <w:t xml:space="preserve">water </w:t>
            </w:r>
            <w:r w:rsidRPr="006B1A5A">
              <w:rPr>
                <w:rFonts w:eastAsia="Calibri"/>
                <w:b/>
                <w:sz w:val="18"/>
                <w:szCs w:val="18"/>
                <w:vertAlign w:val="superscript"/>
                <w:lang w:eastAsia="en-GB"/>
              </w:rPr>
              <w:t>1</w:t>
            </w:r>
          </w:p>
        </w:tc>
        <w:tc>
          <w:tcPr>
            <w:tcW w:w="948" w:type="pct"/>
            <w:shd w:val="clear" w:color="auto" w:fill="FFFFFF"/>
            <w:vAlign w:val="center"/>
          </w:tcPr>
          <w:p w14:paraId="6DBA3F14" w14:textId="77777777" w:rsidR="001042DA" w:rsidRPr="006B1A5A" w:rsidRDefault="001042DA" w:rsidP="00AF2AEA">
            <w:pPr>
              <w:spacing w:before="60" w:after="60"/>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suspended sediment</w:t>
            </w:r>
          </w:p>
          <w:p w14:paraId="1D12DA27" w14:textId="77777777" w:rsidR="001042DA" w:rsidRPr="006B1A5A" w:rsidRDefault="001042DA" w:rsidP="00AF2AEA">
            <w:pPr>
              <w:spacing w:before="60" w:after="60"/>
              <w:jc w:val="center"/>
              <w:rPr>
                <w:rFonts w:eastAsia="Calibri"/>
                <w:sz w:val="18"/>
                <w:szCs w:val="18"/>
                <w:lang w:eastAsia="en-GB"/>
              </w:rPr>
            </w:pPr>
            <w:r w:rsidRPr="006B1A5A">
              <w:rPr>
                <w:rFonts w:eastAsia="Calibri"/>
                <w:sz w:val="18"/>
                <w:szCs w:val="18"/>
                <w:lang w:eastAsia="en-GB"/>
              </w:rPr>
              <w:t>[µg/g dw]</w:t>
            </w:r>
          </w:p>
        </w:tc>
        <w:tc>
          <w:tcPr>
            <w:tcW w:w="946" w:type="pct"/>
            <w:shd w:val="clear" w:color="auto" w:fill="FFFFFF"/>
            <w:vAlign w:val="center"/>
          </w:tcPr>
          <w:p w14:paraId="7747D59E" w14:textId="77777777" w:rsidR="001042DA" w:rsidRPr="006B1A5A" w:rsidRDefault="001042DA" w:rsidP="00AF2AEA">
            <w:pPr>
              <w:spacing w:before="60" w:after="60"/>
              <w:jc w:val="center"/>
              <w:rPr>
                <w:rFonts w:eastAsia="Calibri"/>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suspended sediment</w:t>
            </w:r>
            <w:r w:rsidRPr="006B1A5A">
              <w:rPr>
                <w:rFonts w:eastAsia="Calibri"/>
                <w:b/>
                <w:sz w:val="18"/>
                <w:szCs w:val="18"/>
                <w:lang w:eastAsia="en-GB"/>
              </w:rPr>
              <w:t>/ PNEC</w:t>
            </w:r>
            <w:r w:rsidRPr="006B1A5A">
              <w:rPr>
                <w:rFonts w:eastAsia="Calibri"/>
                <w:b/>
                <w:sz w:val="18"/>
                <w:szCs w:val="18"/>
                <w:vertAlign w:val="subscript"/>
                <w:lang w:eastAsia="en-GB"/>
              </w:rPr>
              <w:t xml:space="preserve">sediment </w:t>
            </w:r>
            <w:r w:rsidRPr="006B1A5A">
              <w:rPr>
                <w:rFonts w:eastAsia="Calibri"/>
                <w:b/>
                <w:sz w:val="18"/>
                <w:szCs w:val="18"/>
                <w:vertAlign w:val="superscript"/>
                <w:lang w:eastAsia="en-GB"/>
              </w:rPr>
              <w:t>1</w:t>
            </w:r>
          </w:p>
        </w:tc>
      </w:tr>
      <w:tr w:rsidR="001042DA" w:rsidRPr="006B1A5A" w14:paraId="28AE5095" w14:textId="77777777" w:rsidTr="00AF2AEA">
        <w:trPr>
          <w:trHeight w:val="75"/>
        </w:trPr>
        <w:tc>
          <w:tcPr>
            <w:tcW w:w="1384" w:type="pct"/>
            <w:shd w:val="clear" w:color="auto" w:fill="FFFFFF"/>
          </w:tcPr>
          <w:p w14:paraId="034AA197" w14:textId="77777777" w:rsidR="001042DA" w:rsidRPr="006B1A5A" w:rsidRDefault="001042DA" w:rsidP="00AF2AEA">
            <w:pPr>
              <w:spacing w:before="60" w:after="60"/>
              <w:rPr>
                <w:rFonts w:eastAsia="Calibri"/>
                <w:b/>
                <w:sz w:val="18"/>
                <w:szCs w:val="18"/>
                <w:lang w:eastAsia="en-GB"/>
              </w:rPr>
            </w:pPr>
            <w:r w:rsidRPr="006B1A5A">
              <w:rPr>
                <w:rFonts w:eastAsia="Calibri"/>
                <w:b/>
                <w:sz w:val="18"/>
                <w:szCs w:val="18"/>
                <w:lang w:eastAsia="en-GB"/>
              </w:rPr>
              <w:t>EU fish farm scenario</w:t>
            </w:r>
          </w:p>
        </w:tc>
        <w:tc>
          <w:tcPr>
            <w:tcW w:w="775" w:type="pct"/>
            <w:shd w:val="clear" w:color="auto" w:fill="FFFFFF"/>
            <w:vAlign w:val="center"/>
          </w:tcPr>
          <w:p w14:paraId="6125D873"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hAnsi="Verdana"/>
                <w:sz w:val="18"/>
                <w:szCs w:val="18"/>
                <w:lang w:val="en-GB" w:eastAsia="en-GB"/>
              </w:rPr>
              <w:t>0.</w:t>
            </w:r>
            <w:r w:rsidRPr="006B1A5A" w:rsidDel="00346D16">
              <w:rPr>
                <w:rFonts w:ascii="Verdana" w:hAnsi="Verdana"/>
                <w:sz w:val="18"/>
                <w:szCs w:val="18"/>
                <w:lang w:val="en-GB" w:eastAsia="en-GB"/>
              </w:rPr>
              <w:t>02</w:t>
            </w:r>
          </w:p>
        </w:tc>
        <w:tc>
          <w:tcPr>
            <w:tcW w:w="948" w:type="pct"/>
            <w:shd w:val="clear" w:color="auto" w:fill="FFFFFF"/>
            <w:vAlign w:val="center"/>
          </w:tcPr>
          <w:p w14:paraId="03ED8F45"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hAnsi="Verdana"/>
                <w:sz w:val="18"/>
                <w:szCs w:val="18"/>
                <w:lang w:val="en-GB" w:eastAsia="en-GB"/>
              </w:rPr>
              <w:t>1.50E-03</w:t>
            </w:r>
          </w:p>
        </w:tc>
        <w:tc>
          <w:tcPr>
            <w:tcW w:w="948" w:type="pct"/>
            <w:shd w:val="clear" w:color="auto" w:fill="FFFFFF"/>
            <w:vAlign w:val="center"/>
          </w:tcPr>
          <w:p w14:paraId="4B9E0C3A"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hAnsi="Verdana"/>
                <w:sz w:val="18"/>
                <w:szCs w:val="18"/>
                <w:lang w:val="en-GB" w:eastAsia="en-GB"/>
              </w:rPr>
              <w:t>4.44E-06</w:t>
            </w:r>
          </w:p>
        </w:tc>
        <w:tc>
          <w:tcPr>
            <w:tcW w:w="946" w:type="pct"/>
            <w:shd w:val="clear" w:color="auto" w:fill="FFFFFF"/>
            <w:vAlign w:val="center"/>
          </w:tcPr>
          <w:p w14:paraId="0947F5D3"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hAnsi="Verdana"/>
                <w:sz w:val="18"/>
                <w:szCs w:val="18"/>
                <w:lang w:val="en-GB" w:eastAsia="en-GB"/>
              </w:rPr>
              <w:t>9.86E05</w:t>
            </w:r>
          </w:p>
        </w:tc>
      </w:tr>
      <w:tr w:rsidR="001042DA" w:rsidRPr="006B1A5A" w14:paraId="7F581E7F" w14:textId="77777777" w:rsidTr="00AF2AEA">
        <w:trPr>
          <w:trHeight w:val="75"/>
        </w:trPr>
        <w:tc>
          <w:tcPr>
            <w:tcW w:w="5000" w:type="pct"/>
            <w:gridSpan w:val="5"/>
            <w:tcBorders>
              <w:top w:val="single" w:sz="4" w:space="0" w:color="auto"/>
              <w:left w:val="nil"/>
              <w:bottom w:val="nil"/>
              <w:right w:val="nil"/>
            </w:tcBorders>
            <w:shd w:val="clear" w:color="auto" w:fill="FFFFFF"/>
          </w:tcPr>
          <w:p w14:paraId="42562F0F" w14:textId="77777777" w:rsidR="001042DA" w:rsidRPr="006B1A5A" w:rsidRDefault="001042DA" w:rsidP="00AF2AEA">
            <w:pPr>
              <w:rPr>
                <w:b/>
                <w:sz w:val="18"/>
              </w:rPr>
            </w:pPr>
            <w:r w:rsidRPr="006B1A5A">
              <w:rPr>
                <w:sz w:val="18"/>
                <w:vertAlign w:val="superscript"/>
              </w:rPr>
              <w:t>1</w:t>
            </w:r>
            <w:r w:rsidRPr="006B1A5A">
              <w:rPr>
                <w:sz w:val="18"/>
              </w:rPr>
              <w:t xml:space="preserve"> PEC/PNEC </w:t>
            </w:r>
            <w:r w:rsidRPr="006B1A5A">
              <w:rPr>
                <w:sz w:val="18"/>
                <w:szCs w:val="18"/>
              </w:rPr>
              <w:t>ratios above</w:t>
            </w:r>
            <w:r w:rsidRPr="006B1A5A">
              <w:rPr>
                <w:sz w:val="18"/>
              </w:rPr>
              <w:t xml:space="preserve"> 1 </w:t>
            </w:r>
            <w:r w:rsidRPr="006B1A5A">
              <w:rPr>
                <w:sz w:val="18"/>
                <w:szCs w:val="18"/>
              </w:rPr>
              <w:t>(values</w:t>
            </w:r>
            <w:r w:rsidRPr="006B1A5A">
              <w:rPr>
                <w:sz w:val="18"/>
              </w:rPr>
              <w:t xml:space="preserve"> in </w:t>
            </w:r>
            <w:r w:rsidRPr="006B1A5A">
              <w:rPr>
                <w:b/>
                <w:sz w:val="18"/>
              </w:rPr>
              <w:t>bold</w:t>
            </w:r>
            <w:r w:rsidRPr="006B1A5A">
              <w:rPr>
                <w:sz w:val="18"/>
                <w:szCs w:val="18"/>
              </w:rPr>
              <w:t>)</w:t>
            </w:r>
            <w:r w:rsidRPr="006B1A5A">
              <w:rPr>
                <w:sz w:val="18"/>
              </w:rPr>
              <w:t xml:space="preserve"> indicate unacceptable </w:t>
            </w:r>
            <w:r w:rsidRPr="006B1A5A">
              <w:rPr>
                <w:sz w:val="18"/>
                <w:szCs w:val="18"/>
              </w:rPr>
              <w:t>environmental risks.</w:t>
            </w:r>
          </w:p>
        </w:tc>
      </w:tr>
    </w:tbl>
    <w:p w14:paraId="7296FC59" w14:textId="77777777" w:rsidR="001042DA" w:rsidRPr="006B1A5A" w:rsidRDefault="001042DA" w:rsidP="001042DA">
      <w:pPr>
        <w:rPr>
          <w:sz w:val="22"/>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6"/>
        <w:gridCol w:w="1629"/>
        <w:gridCol w:w="1631"/>
        <w:gridCol w:w="1631"/>
        <w:gridCol w:w="1767"/>
      </w:tblGrid>
      <w:tr w:rsidR="001042DA" w:rsidRPr="006B1A5A" w14:paraId="522E4106" w14:textId="77777777" w:rsidTr="00AF2AEA">
        <w:trPr>
          <w:trHeight w:val="249"/>
        </w:trPr>
        <w:tc>
          <w:tcPr>
            <w:tcW w:w="5000" w:type="pct"/>
            <w:gridSpan w:val="5"/>
            <w:tcBorders>
              <w:top w:val="single" w:sz="4" w:space="0" w:color="auto"/>
              <w:left w:val="single" w:sz="4" w:space="0" w:color="auto"/>
              <w:bottom w:val="single" w:sz="4" w:space="0" w:color="auto"/>
            </w:tcBorders>
            <w:shd w:val="clear" w:color="auto" w:fill="FFFFCC"/>
            <w:vAlign w:val="center"/>
          </w:tcPr>
          <w:p w14:paraId="255BD93F" w14:textId="77777777" w:rsidR="001042DA" w:rsidRPr="006B1A5A" w:rsidRDefault="001042DA" w:rsidP="00AF2AEA">
            <w:pPr>
              <w:keepNext/>
              <w:autoSpaceDE w:val="0"/>
              <w:autoSpaceDN w:val="0"/>
              <w:adjustRightInd w:val="0"/>
              <w:spacing w:before="60" w:after="60" w:line="260" w:lineRule="atLeast"/>
              <w:jc w:val="center"/>
              <w:rPr>
                <w:rFonts w:eastAsia="Calibri"/>
                <w:b/>
                <w:color w:val="000000" w:themeColor="text1"/>
                <w:sz w:val="18"/>
                <w:szCs w:val="18"/>
                <w:lang w:eastAsia="en-GB"/>
              </w:rPr>
            </w:pPr>
            <w:r w:rsidRPr="006B1A5A">
              <w:rPr>
                <w:rFonts w:eastAsia="Calibri"/>
                <w:b/>
                <w:color w:val="000000" w:themeColor="text1"/>
                <w:sz w:val="18"/>
                <w:szCs w:val="18"/>
                <w:lang w:eastAsia="en-GB"/>
              </w:rPr>
              <w:t xml:space="preserve">'AquaNet </w:t>
            </w:r>
            <w:r w:rsidRPr="006B1A5A">
              <w:rPr>
                <w:rFonts w:eastAsia="Calibri"/>
                <w:b/>
                <w:sz w:val="18"/>
                <w:szCs w:val="18"/>
                <w:lang w:eastAsia="en-GB"/>
              </w:rPr>
              <w:t>RFU360</w:t>
            </w:r>
          </w:p>
          <w:p w14:paraId="4FAA038D" w14:textId="77777777" w:rsidR="001042DA" w:rsidRPr="006B1A5A" w:rsidRDefault="001042DA" w:rsidP="00AF2AEA">
            <w:pPr>
              <w:keepNext/>
              <w:autoSpaceDE w:val="0"/>
              <w:autoSpaceDN w:val="0"/>
              <w:adjustRightInd w:val="0"/>
              <w:spacing w:before="60" w:after="60" w:line="260" w:lineRule="atLeast"/>
              <w:jc w:val="center"/>
              <w:rPr>
                <w:rFonts w:eastAsia="Calibri"/>
                <w:b/>
                <w:color w:val="000000" w:themeColor="text1"/>
                <w:sz w:val="18"/>
                <w:szCs w:val="18"/>
                <w:lang w:eastAsia="en-GB"/>
              </w:rPr>
            </w:pPr>
            <w:r w:rsidRPr="006B1A5A">
              <w:rPr>
                <w:rFonts w:eastAsia="Calibri"/>
                <w:b/>
                <w:color w:val="000000" w:themeColor="text1"/>
                <w:sz w:val="18"/>
                <w:szCs w:val="18"/>
                <w:lang w:eastAsia="en-GB"/>
              </w:rPr>
              <w:t xml:space="preserve">Average PEC values calculated by MAMPEC v3.1 </w:t>
            </w:r>
          </w:p>
          <w:p w14:paraId="485724DE" w14:textId="77777777" w:rsidR="001042DA" w:rsidRPr="006B1A5A" w:rsidRDefault="001042DA" w:rsidP="00AF2AEA">
            <w:pPr>
              <w:keepNext/>
              <w:shd w:val="clear" w:color="auto" w:fill="CCFFCC"/>
              <w:autoSpaceDE w:val="0"/>
              <w:autoSpaceDN w:val="0"/>
              <w:adjustRightInd w:val="0"/>
              <w:spacing w:before="60" w:after="60" w:line="260" w:lineRule="atLeast"/>
              <w:jc w:val="center"/>
              <w:rPr>
                <w:rFonts w:eastAsia="Calibri"/>
                <w:b/>
                <w:sz w:val="18"/>
                <w:szCs w:val="18"/>
                <w:lang w:eastAsia="en-GB"/>
              </w:rPr>
            </w:pPr>
            <w:r w:rsidRPr="006B1A5A">
              <w:rPr>
                <w:rFonts w:eastAsia="Calibri"/>
                <w:b/>
                <w:color w:val="000000" w:themeColor="text1"/>
                <w:sz w:val="18"/>
                <w:szCs w:val="18"/>
                <w:lang w:eastAsia="en-GB"/>
              </w:rPr>
              <w:t>(with background concentration for Cu)</w:t>
            </w:r>
          </w:p>
        </w:tc>
      </w:tr>
      <w:tr w:rsidR="001042DA" w:rsidRPr="006B1A5A" w14:paraId="30BB73ED" w14:textId="77777777" w:rsidTr="00AF2AEA">
        <w:trPr>
          <w:trHeight w:val="249"/>
        </w:trPr>
        <w:tc>
          <w:tcPr>
            <w:tcW w:w="1383" w:type="pct"/>
            <w:shd w:val="clear" w:color="auto" w:fill="FFFFFF"/>
            <w:vAlign w:val="center"/>
          </w:tcPr>
          <w:p w14:paraId="53815DFE" w14:textId="77777777" w:rsidR="001042DA" w:rsidRPr="006B1A5A" w:rsidRDefault="001042DA" w:rsidP="00AF2AEA">
            <w:pPr>
              <w:spacing w:before="60" w:after="60"/>
              <w:jc w:val="center"/>
              <w:rPr>
                <w:rFonts w:eastAsia="Calibri"/>
                <w:b/>
                <w:sz w:val="18"/>
                <w:szCs w:val="18"/>
                <w:lang w:eastAsia="en-GB"/>
              </w:rPr>
            </w:pPr>
            <w:r w:rsidRPr="006B1A5A">
              <w:rPr>
                <w:rFonts w:eastAsia="Calibri"/>
                <w:b/>
                <w:sz w:val="18"/>
                <w:szCs w:val="18"/>
                <w:lang w:eastAsia="en-GB"/>
              </w:rPr>
              <w:t>Copper</w:t>
            </w:r>
          </w:p>
          <w:p w14:paraId="24FFB8CF" w14:textId="77777777" w:rsidR="001042DA" w:rsidRPr="006B1A5A" w:rsidRDefault="001042DA" w:rsidP="00AF2AEA">
            <w:pPr>
              <w:spacing w:before="60" w:after="60"/>
              <w:jc w:val="center"/>
              <w:rPr>
                <w:rFonts w:eastAsia="Calibri"/>
                <w:sz w:val="18"/>
                <w:szCs w:val="18"/>
                <w:lang w:eastAsia="en-GB"/>
              </w:rPr>
            </w:pPr>
            <w:r w:rsidRPr="006B1A5A">
              <w:rPr>
                <w:rFonts w:eastAsia="Calibri"/>
                <w:sz w:val="18"/>
                <w:szCs w:val="18"/>
                <w:lang w:eastAsia="en-GB"/>
              </w:rPr>
              <w:t>PNECsurrounding waters = 1.15 µg/L</w:t>
            </w:r>
          </w:p>
          <w:p w14:paraId="0161A762" w14:textId="77777777" w:rsidR="001042DA" w:rsidRPr="006B1A5A" w:rsidRDefault="001042DA" w:rsidP="00AF2AEA">
            <w:pPr>
              <w:keepNext/>
              <w:spacing w:before="60" w:after="60"/>
              <w:jc w:val="center"/>
              <w:rPr>
                <w:rFonts w:eastAsia="Calibri"/>
                <w:sz w:val="18"/>
                <w:szCs w:val="18"/>
                <w:lang w:eastAsia="en-GB"/>
              </w:rPr>
            </w:pPr>
            <w:r w:rsidRPr="006B1A5A">
              <w:rPr>
                <w:rFonts w:eastAsia="Calibri"/>
                <w:sz w:val="18"/>
                <w:szCs w:val="18"/>
                <w:lang w:eastAsia="en-GB"/>
              </w:rPr>
              <w:t>PNEC</w:t>
            </w:r>
            <w:r w:rsidRPr="006B1A5A">
              <w:rPr>
                <w:rFonts w:eastAsia="Calibri"/>
                <w:sz w:val="18"/>
                <w:szCs w:val="18"/>
                <w:vertAlign w:val="subscript"/>
                <w:lang w:eastAsia="en-GB"/>
              </w:rPr>
              <w:t>sed</w:t>
            </w:r>
            <w:r w:rsidRPr="006B1A5A">
              <w:rPr>
                <w:rFonts w:eastAsia="Calibri"/>
                <w:sz w:val="18"/>
                <w:szCs w:val="18"/>
                <w:lang w:eastAsia="en-GB"/>
              </w:rPr>
              <w:t xml:space="preserve"> = 98.8 µg/g dw</w:t>
            </w:r>
          </w:p>
        </w:tc>
        <w:tc>
          <w:tcPr>
            <w:tcW w:w="885" w:type="pct"/>
            <w:shd w:val="clear" w:color="auto" w:fill="FFFFFF"/>
            <w:vAlign w:val="center"/>
          </w:tcPr>
          <w:p w14:paraId="1A5F0756" w14:textId="77777777" w:rsidR="001042DA" w:rsidRPr="006B1A5A" w:rsidRDefault="001042DA" w:rsidP="00AF2AEA">
            <w:pPr>
              <w:autoSpaceDE w:val="0"/>
              <w:autoSpaceDN w:val="0"/>
              <w:adjustRightInd w:val="0"/>
              <w:spacing w:before="60" w:after="60" w:line="260" w:lineRule="atLeast"/>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dissolved</w:t>
            </w:r>
          </w:p>
          <w:p w14:paraId="4AA93294" w14:textId="77777777" w:rsidR="001042DA" w:rsidRPr="006B1A5A" w:rsidRDefault="001042DA" w:rsidP="00AF2AEA">
            <w:pPr>
              <w:keepNext/>
              <w:autoSpaceDE w:val="0"/>
              <w:autoSpaceDN w:val="0"/>
              <w:adjustRightInd w:val="0"/>
              <w:spacing w:before="60" w:after="60" w:line="260" w:lineRule="atLeast"/>
              <w:jc w:val="center"/>
              <w:rPr>
                <w:rFonts w:eastAsia="Calibri"/>
                <w:sz w:val="18"/>
                <w:szCs w:val="18"/>
                <w:lang w:eastAsia="en-GB"/>
              </w:rPr>
            </w:pPr>
            <w:r w:rsidRPr="006B1A5A">
              <w:rPr>
                <w:rFonts w:eastAsia="Calibri"/>
                <w:sz w:val="18"/>
                <w:szCs w:val="18"/>
                <w:lang w:eastAsia="en-GB"/>
              </w:rPr>
              <w:t>[µg/L]</w:t>
            </w:r>
          </w:p>
        </w:tc>
        <w:tc>
          <w:tcPr>
            <w:tcW w:w="886" w:type="pct"/>
            <w:shd w:val="clear" w:color="auto" w:fill="FFFFFF"/>
            <w:vAlign w:val="center"/>
          </w:tcPr>
          <w:p w14:paraId="58062FEB" w14:textId="77777777" w:rsidR="001042DA" w:rsidRPr="006B1A5A" w:rsidRDefault="001042DA" w:rsidP="00AF2AEA">
            <w:pPr>
              <w:keepNext/>
              <w:autoSpaceDE w:val="0"/>
              <w:autoSpaceDN w:val="0"/>
              <w:adjustRightInd w:val="0"/>
              <w:spacing w:before="60" w:after="60" w:line="260" w:lineRule="atLeast"/>
              <w:jc w:val="center"/>
              <w:rPr>
                <w:rFonts w:eastAsia="Calibri"/>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 xml:space="preserve">dissolved </w:t>
            </w:r>
            <w:r w:rsidRPr="006B1A5A">
              <w:rPr>
                <w:rFonts w:eastAsia="Calibri"/>
                <w:b/>
                <w:sz w:val="18"/>
                <w:szCs w:val="18"/>
                <w:lang w:eastAsia="en-GB"/>
              </w:rPr>
              <w:t>/ PNEC</w:t>
            </w:r>
            <w:r w:rsidRPr="006B1A5A">
              <w:rPr>
                <w:rFonts w:eastAsia="Calibri"/>
                <w:b/>
                <w:sz w:val="18"/>
                <w:szCs w:val="18"/>
                <w:vertAlign w:val="subscript"/>
                <w:lang w:eastAsia="en-GB"/>
              </w:rPr>
              <w:t xml:space="preserve">water </w:t>
            </w:r>
            <w:r w:rsidRPr="006B1A5A">
              <w:rPr>
                <w:rFonts w:eastAsia="Calibri"/>
                <w:b/>
                <w:sz w:val="18"/>
                <w:szCs w:val="18"/>
                <w:vertAlign w:val="superscript"/>
                <w:lang w:eastAsia="en-GB"/>
              </w:rPr>
              <w:t>1</w:t>
            </w:r>
          </w:p>
        </w:tc>
        <w:tc>
          <w:tcPr>
            <w:tcW w:w="886" w:type="pct"/>
            <w:shd w:val="clear" w:color="auto" w:fill="FFFFFF"/>
            <w:vAlign w:val="center"/>
          </w:tcPr>
          <w:p w14:paraId="00692BEF" w14:textId="77777777" w:rsidR="001042DA" w:rsidRPr="006B1A5A" w:rsidRDefault="001042DA" w:rsidP="00AF2AEA">
            <w:pPr>
              <w:spacing w:before="60" w:after="60"/>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suspended sediment</w:t>
            </w:r>
          </w:p>
          <w:p w14:paraId="5DC70FF8" w14:textId="77777777" w:rsidR="001042DA" w:rsidRPr="006B1A5A" w:rsidRDefault="001042DA" w:rsidP="00AF2AEA">
            <w:pPr>
              <w:keepNext/>
              <w:spacing w:before="60" w:after="60"/>
              <w:jc w:val="center"/>
              <w:rPr>
                <w:rFonts w:eastAsia="Calibri"/>
                <w:sz w:val="18"/>
                <w:szCs w:val="18"/>
                <w:lang w:eastAsia="en-GB"/>
              </w:rPr>
            </w:pPr>
            <w:r w:rsidRPr="006B1A5A">
              <w:rPr>
                <w:rFonts w:eastAsia="Calibri"/>
                <w:sz w:val="18"/>
                <w:szCs w:val="18"/>
                <w:lang w:eastAsia="en-GB"/>
              </w:rPr>
              <w:t>[µg/g dw]</w:t>
            </w:r>
          </w:p>
        </w:tc>
        <w:tc>
          <w:tcPr>
            <w:tcW w:w="960" w:type="pct"/>
            <w:shd w:val="clear" w:color="auto" w:fill="auto"/>
            <w:vAlign w:val="center"/>
          </w:tcPr>
          <w:p w14:paraId="38BC7403" w14:textId="77777777" w:rsidR="001042DA" w:rsidRPr="006B1A5A" w:rsidRDefault="001042DA" w:rsidP="00AF2AEA">
            <w:pPr>
              <w:keepNext/>
              <w:spacing w:before="60" w:after="60"/>
              <w:jc w:val="center"/>
              <w:rPr>
                <w:rFonts w:eastAsia="Calibri"/>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suspended sediment</w:t>
            </w:r>
            <w:r w:rsidRPr="006B1A5A">
              <w:rPr>
                <w:rFonts w:eastAsia="Calibri"/>
                <w:b/>
                <w:sz w:val="18"/>
                <w:szCs w:val="18"/>
                <w:lang w:eastAsia="en-GB"/>
              </w:rPr>
              <w:t>/ PNEC</w:t>
            </w:r>
            <w:r w:rsidRPr="006B1A5A">
              <w:rPr>
                <w:rFonts w:eastAsia="Calibri"/>
                <w:b/>
                <w:sz w:val="18"/>
                <w:szCs w:val="18"/>
                <w:vertAlign w:val="subscript"/>
                <w:lang w:eastAsia="en-GB"/>
              </w:rPr>
              <w:t xml:space="preserve">sediment </w:t>
            </w:r>
            <w:r w:rsidRPr="006B1A5A">
              <w:rPr>
                <w:rFonts w:eastAsia="Calibri"/>
                <w:b/>
                <w:sz w:val="18"/>
                <w:szCs w:val="18"/>
                <w:vertAlign w:val="superscript"/>
                <w:lang w:eastAsia="en-GB"/>
              </w:rPr>
              <w:t>1</w:t>
            </w:r>
          </w:p>
        </w:tc>
      </w:tr>
      <w:tr w:rsidR="001042DA" w:rsidRPr="006B1A5A" w14:paraId="48C95589" w14:textId="77777777" w:rsidTr="00AF2AEA">
        <w:trPr>
          <w:trHeight w:val="75"/>
        </w:trPr>
        <w:tc>
          <w:tcPr>
            <w:tcW w:w="1383" w:type="pct"/>
            <w:shd w:val="clear" w:color="auto" w:fill="FFFFFF"/>
          </w:tcPr>
          <w:p w14:paraId="225B26F6" w14:textId="77777777" w:rsidR="001042DA" w:rsidRPr="006B1A5A" w:rsidRDefault="001042DA" w:rsidP="00AF2AEA">
            <w:pPr>
              <w:keepNext/>
              <w:spacing w:before="60" w:after="60"/>
              <w:rPr>
                <w:rFonts w:eastAsia="Calibri"/>
                <w:b/>
                <w:sz w:val="18"/>
                <w:szCs w:val="18"/>
                <w:lang w:eastAsia="en-GB"/>
              </w:rPr>
            </w:pPr>
            <w:r w:rsidRPr="006B1A5A">
              <w:rPr>
                <w:rFonts w:eastAsia="Calibri"/>
                <w:b/>
                <w:sz w:val="18"/>
                <w:szCs w:val="18"/>
                <w:lang w:eastAsia="en-GB"/>
              </w:rPr>
              <w:t>EU fish farm scenario</w:t>
            </w:r>
          </w:p>
        </w:tc>
        <w:tc>
          <w:tcPr>
            <w:tcW w:w="885" w:type="pct"/>
            <w:shd w:val="clear" w:color="auto" w:fill="FFFFFF"/>
            <w:vAlign w:val="center"/>
          </w:tcPr>
          <w:p w14:paraId="1DF2795F" w14:textId="77777777" w:rsidR="001042DA" w:rsidRPr="006B1A5A" w:rsidRDefault="001042DA" w:rsidP="00AF2AEA">
            <w:pPr>
              <w:pStyle w:val="Ingenmellomrom"/>
              <w:keepNext/>
              <w:jc w:val="center"/>
              <w:rPr>
                <w:rFonts w:ascii="Verdana" w:hAnsi="Verdana"/>
                <w:sz w:val="18"/>
                <w:szCs w:val="18"/>
                <w:lang w:val="en-GB" w:eastAsia="en-GB"/>
              </w:rPr>
            </w:pPr>
            <w:r w:rsidRPr="006B1A5A">
              <w:rPr>
                <w:rFonts w:ascii="Verdana" w:hAnsi="Verdana"/>
                <w:sz w:val="18"/>
                <w:szCs w:val="18"/>
                <w:lang w:val="en-GB" w:eastAsia="en-GB"/>
              </w:rPr>
              <w:t>1.24</w:t>
            </w:r>
          </w:p>
        </w:tc>
        <w:tc>
          <w:tcPr>
            <w:tcW w:w="886" w:type="pct"/>
            <w:shd w:val="clear" w:color="auto" w:fill="FFFFFF"/>
            <w:vAlign w:val="center"/>
          </w:tcPr>
          <w:p w14:paraId="7A26E85B" w14:textId="77777777" w:rsidR="001042DA" w:rsidRPr="006B1A5A" w:rsidRDefault="001042DA" w:rsidP="00AF2AEA">
            <w:pPr>
              <w:pStyle w:val="Ingenmellomrom"/>
              <w:keepNext/>
              <w:jc w:val="center"/>
              <w:rPr>
                <w:rFonts w:ascii="Verdana" w:hAnsi="Verdana"/>
                <w:b/>
                <w:sz w:val="18"/>
                <w:szCs w:val="18"/>
                <w:lang w:val="en-GB" w:eastAsia="en-GB"/>
              </w:rPr>
            </w:pPr>
            <w:r w:rsidRPr="006B1A5A">
              <w:rPr>
                <w:rFonts w:ascii="Verdana" w:hAnsi="Verdana"/>
                <w:b/>
                <w:sz w:val="18"/>
                <w:szCs w:val="18"/>
                <w:lang w:val="en-GB" w:eastAsia="en-GB"/>
              </w:rPr>
              <w:t>1.08</w:t>
            </w:r>
          </w:p>
        </w:tc>
        <w:tc>
          <w:tcPr>
            <w:tcW w:w="886" w:type="pct"/>
            <w:shd w:val="clear" w:color="auto" w:fill="FFFFFF"/>
            <w:vAlign w:val="center"/>
          </w:tcPr>
          <w:p w14:paraId="41ACE9C3" w14:textId="77777777" w:rsidR="001042DA" w:rsidRPr="006B1A5A" w:rsidRDefault="001042DA" w:rsidP="00AF2AEA">
            <w:pPr>
              <w:pStyle w:val="Ingenmellomrom"/>
              <w:keepNext/>
              <w:jc w:val="center"/>
              <w:rPr>
                <w:rFonts w:ascii="Verdana" w:hAnsi="Verdana"/>
                <w:sz w:val="18"/>
                <w:szCs w:val="18"/>
                <w:lang w:val="en-GB" w:eastAsia="en-GB"/>
              </w:rPr>
            </w:pPr>
            <w:r w:rsidRPr="006B1A5A">
              <w:rPr>
                <w:rFonts w:ascii="Verdana" w:hAnsi="Verdana"/>
                <w:sz w:val="18"/>
                <w:szCs w:val="18"/>
                <w:lang w:val="en-GB" w:eastAsia="en-GB"/>
              </w:rPr>
              <w:t>35.00</w:t>
            </w:r>
          </w:p>
        </w:tc>
        <w:tc>
          <w:tcPr>
            <w:tcW w:w="960" w:type="pct"/>
            <w:shd w:val="clear" w:color="auto" w:fill="FFFFFF"/>
            <w:vAlign w:val="center"/>
          </w:tcPr>
          <w:p w14:paraId="2190BDAD" w14:textId="77777777" w:rsidR="001042DA" w:rsidRPr="006B1A5A" w:rsidRDefault="001042DA" w:rsidP="00AF2AEA">
            <w:pPr>
              <w:pStyle w:val="Ingenmellomrom"/>
              <w:keepNext/>
              <w:jc w:val="center"/>
              <w:rPr>
                <w:rFonts w:ascii="Verdana" w:hAnsi="Verdana"/>
                <w:sz w:val="18"/>
                <w:szCs w:val="18"/>
                <w:lang w:val="en-GB" w:eastAsia="en-GB"/>
              </w:rPr>
            </w:pPr>
            <w:r w:rsidRPr="006B1A5A">
              <w:rPr>
                <w:rFonts w:ascii="Verdana" w:hAnsi="Verdana"/>
                <w:sz w:val="18"/>
                <w:szCs w:val="18"/>
                <w:lang w:val="en-GB" w:eastAsia="en-GB"/>
              </w:rPr>
              <w:t>0.35</w:t>
            </w:r>
          </w:p>
        </w:tc>
      </w:tr>
      <w:tr w:rsidR="001042DA" w:rsidRPr="006B1A5A" w14:paraId="1AD8C296" w14:textId="77777777" w:rsidTr="00AF2AEA">
        <w:trPr>
          <w:trHeight w:val="75"/>
        </w:trPr>
        <w:tc>
          <w:tcPr>
            <w:tcW w:w="1383" w:type="pct"/>
            <w:shd w:val="clear" w:color="auto" w:fill="FFFFFF"/>
            <w:vAlign w:val="center"/>
          </w:tcPr>
          <w:p w14:paraId="6EE351BE" w14:textId="77777777" w:rsidR="001042DA" w:rsidRPr="006B1A5A" w:rsidRDefault="001042DA" w:rsidP="00AF2AEA">
            <w:pPr>
              <w:spacing w:before="60" w:after="60"/>
              <w:jc w:val="center"/>
              <w:rPr>
                <w:rFonts w:eastAsia="Calibri"/>
                <w:b/>
                <w:sz w:val="18"/>
                <w:szCs w:val="18"/>
                <w:lang w:eastAsia="en-GB"/>
              </w:rPr>
            </w:pPr>
            <w:r w:rsidRPr="006B1A5A">
              <w:rPr>
                <w:rFonts w:eastAsia="Calibri"/>
                <w:b/>
                <w:sz w:val="18"/>
                <w:szCs w:val="18"/>
                <w:lang w:eastAsia="en-GB"/>
              </w:rPr>
              <w:t>Thiocyanate</w:t>
            </w:r>
          </w:p>
          <w:p w14:paraId="21C3D239" w14:textId="77777777" w:rsidR="001042DA" w:rsidRPr="006B1A5A" w:rsidRDefault="001042DA" w:rsidP="00AF2AEA">
            <w:pPr>
              <w:spacing w:before="60" w:after="60"/>
              <w:jc w:val="center"/>
              <w:rPr>
                <w:rFonts w:eastAsia="Calibri"/>
                <w:sz w:val="18"/>
                <w:szCs w:val="18"/>
                <w:lang w:eastAsia="en-GB"/>
              </w:rPr>
            </w:pPr>
            <w:r w:rsidRPr="006B1A5A">
              <w:rPr>
                <w:rFonts w:eastAsia="Calibri"/>
                <w:sz w:val="18"/>
                <w:szCs w:val="18"/>
                <w:lang w:eastAsia="en-GB"/>
              </w:rPr>
              <w:t>PNEC surrounding waters = 11 µg/L</w:t>
            </w:r>
          </w:p>
          <w:p w14:paraId="70649345" w14:textId="77777777" w:rsidR="001042DA" w:rsidRPr="006B1A5A" w:rsidRDefault="001042DA" w:rsidP="00AF2AEA">
            <w:pPr>
              <w:keepNext/>
              <w:spacing w:before="60" w:after="60"/>
              <w:jc w:val="center"/>
              <w:rPr>
                <w:rFonts w:eastAsia="Calibri"/>
                <w:sz w:val="18"/>
                <w:szCs w:val="18"/>
                <w:lang w:eastAsia="en-GB"/>
              </w:rPr>
            </w:pPr>
            <w:r w:rsidRPr="006B1A5A">
              <w:rPr>
                <w:rFonts w:eastAsia="Calibri"/>
                <w:sz w:val="18"/>
                <w:szCs w:val="18"/>
                <w:lang w:eastAsia="en-GB"/>
              </w:rPr>
              <w:t>PNEC</w:t>
            </w:r>
            <w:r w:rsidRPr="006B1A5A">
              <w:rPr>
                <w:rFonts w:eastAsia="Calibri"/>
                <w:sz w:val="18"/>
                <w:szCs w:val="18"/>
                <w:vertAlign w:val="subscript"/>
                <w:lang w:eastAsia="en-GB"/>
              </w:rPr>
              <w:t>sed</w:t>
            </w:r>
            <w:r w:rsidRPr="006B1A5A">
              <w:rPr>
                <w:rFonts w:eastAsia="Calibri"/>
                <w:sz w:val="18"/>
                <w:szCs w:val="18"/>
                <w:lang w:eastAsia="en-GB"/>
              </w:rPr>
              <w:t xml:space="preserve"> = 0.045 µg/g dw</w:t>
            </w:r>
          </w:p>
        </w:tc>
        <w:tc>
          <w:tcPr>
            <w:tcW w:w="885" w:type="pct"/>
            <w:shd w:val="clear" w:color="auto" w:fill="FFFFFF"/>
            <w:vAlign w:val="center"/>
          </w:tcPr>
          <w:p w14:paraId="5D72B19B" w14:textId="77777777" w:rsidR="001042DA" w:rsidRPr="006B1A5A" w:rsidRDefault="001042DA" w:rsidP="00AF2AEA">
            <w:pPr>
              <w:autoSpaceDE w:val="0"/>
              <w:autoSpaceDN w:val="0"/>
              <w:adjustRightInd w:val="0"/>
              <w:spacing w:before="60" w:after="60" w:line="260" w:lineRule="atLeast"/>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dissolved</w:t>
            </w:r>
          </w:p>
          <w:p w14:paraId="141464BF" w14:textId="77777777" w:rsidR="001042DA" w:rsidRPr="006B1A5A" w:rsidRDefault="001042DA" w:rsidP="00AF2AEA">
            <w:pPr>
              <w:keepNext/>
              <w:autoSpaceDE w:val="0"/>
              <w:autoSpaceDN w:val="0"/>
              <w:adjustRightInd w:val="0"/>
              <w:spacing w:before="60" w:after="60" w:line="260" w:lineRule="atLeast"/>
              <w:jc w:val="center"/>
              <w:rPr>
                <w:rFonts w:eastAsia="Calibri"/>
                <w:sz w:val="18"/>
                <w:szCs w:val="18"/>
                <w:lang w:eastAsia="en-GB"/>
              </w:rPr>
            </w:pPr>
            <w:r w:rsidRPr="006B1A5A">
              <w:rPr>
                <w:rFonts w:eastAsia="Calibri"/>
                <w:sz w:val="18"/>
                <w:szCs w:val="18"/>
                <w:lang w:eastAsia="en-GB"/>
              </w:rPr>
              <w:t>[µg/L]</w:t>
            </w:r>
          </w:p>
        </w:tc>
        <w:tc>
          <w:tcPr>
            <w:tcW w:w="886" w:type="pct"/>
            <w:shd w:val="clear" w:color="auto" w:fill="FFFFFF"/>
            <w:vAlign w:val="center"/>
          </w:tcPr>
          <w:p w14:paraId="6D69BA44" w14:textId="77777777" w:rsidR="001042DA" w:rsidRPr="006B1A5A" w:rsidRDefault="001042DA" w:rsidP="00AF2AEA">
            <w:pPr>
              <w:keepNext/>
              <w:autoSpaceDE w:val="0"/>
              <w:autoSpaceDN w:val="0"/>
              <w:adjustRightInd w:val="0"/>
              <w:spacing w:before="60" w:after="60" w:line="260" w:lineRule="atLeast"/>
              <w:jc w:val="center"/>
              <w:rPr>
                <w:rFonts w:eastAsia="Calibri"/>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 xml:space="preserve">dissolved </w:t>
            </w:r>
            <w:r w:rsidRPr="006B1A5A">
              <w:rPr>
                <w:rFonts w:eastAsia="Calibri"/>
                <w:b/>
                <w:sz w:val="18"/>
                <w:szCs w:val="18"/>
                <w:lang w:eastAsia="en-GB"/>
              </w:rPr>
              <w:t>/ PNEC</w:t>
            </w:r>
            <w:r w:rsidRPr="006B1A5A">
              <w:rPr>
                <w:rFonts w:eastAsia="Calibri"/>
                <w:b/>
                <w:sz w:val="18"/>
                <w:szCs w:val="18"/>
                <w:vertAlign w:val="subscript"/>
                <w:lang w:eastAsia="en-GB"/>
              </w:rPr>
              <w:t xml:space="preserve">water </w:t>
            </w:r>
            <w:r w:rsidRPr="006B1A5A">
              <w:rPr>
                <w:rFonts w:eastAsia="Calibri"/>
                <w:b/>
                <w:sz w:val="18"/>
                <w:szCs w:val="18"/>
                <w:vertAlign w:val="superscript"/>
                <w:lang w:eastAsia="en-GB"/>
              </w:rPr>
              <w:t>1</w:t>
            </w:r>
          </w:p>
        </w:tc>
        <w:tc>
          <w:tcPr>
            <w:tcW w:w="886" w:type="pct"/>
            <w:shd w:val="clear" w:color="auto" w:fill="FFFFFF"/>
            <w:vAlign w:val="center"/>
          </w:tcPr>
          <w:p w14:paraId="0C1BBC77" w14:textId="77777777" w:rsidR="001042DA" w:rsidRPr="006B1A5A" w:rsidRDefault="001042DA" w:rsidP="00AF2AEA">
            <w:pPr>
              <w:spacing w:before="60" w:after="60"/>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suspended sediment</w:t>
            </w:r>
          </w:p>
          <w:p w14:paraId="1F19DB27" w14:textId="77777777" w:rsidR="001042DA" w:rsidRPr="006B1A5A" w:rsidRDefault="001042DA" w:rsidP="00AF2AEA">
            <w:pPr>
              <w:keepNext/>
              <w:spacing w:before="60" w:after="60"/>
              <w:jc w:val="center"/>
              <w:rPr>
                <w:rFonts w:eastAsia="Calibri"/>
                <w:sz w:val="18"/>
                <w:szCs w:val="18"/>
                <w:lang w:eastAsia="en-GB"/>
              </w:rPr>
            </w:pPr>
            <w:r w:rsidRPr="006B1A5A">
              <w:rPr>
                <w:rFonts w:eastAsia="Calibri"/>
                <w:sz w:val="18"/>
                <w:szCs w:val="18"/>
                <w:lang w:eastAsia="en-GB"/>
              </w:rPr>
              <w:t>[µg/g dw]</w:t>
            </w:r>
          </w:p>
        </w:tc>
        <w:tc>
          <w:tcPr>
            <w:tcW w:w="960" w:type="pct"/>
            <w:shd w:val="clear" w:color="auto" w:fill="FFFFFF"/>
            <w:vAlign w:val="center"/>
          </w:tcPr>
          <w:p w14:paraId="3DF92A4E" w14:textId="77777777" w:rsidR="001042DA" w:rsidRPr="006B1A5A" w:rsidRDefault="001042DA" w:rsidP="00AF2AEA">
            <w:pPr>
              <w:keepNext/>
              <w:spacing w:before="60" w:after="60"/>
              <w:jc w:val="center"/>
              <w:rPr>
                <w:rFonts w:eastAsia="Calibri"/>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suspended sediment</w:t>
            </w:r>
            <w:r w:rsidRPr="006B1A5A">
              <w:rPr>
                <w:rFonts w:eastAsia="Calibri"/>
                <w:b/>
                <w:sz w:val="18"/>
                <w:szCs w:val="18"/>
                <w:lang w:eastAsia="en-GB"/>
              </w:rPr>
              <w:t>/ PNEC</w:t>
            </w:r>
            <w:r w:rsidRPr="006B1A5A">
              <w:rPr>
                <w:rFonts w:eastAsia="Calibri"/>
                <w:b/>
                <w:sz w:val="18"/>
                <w:szCs w:val="18"/>
                <w:vertAlign w:val="subscript"/>
                <w:lang w:eastAsia="en-GB"/>
              </w:rPr>
              <w:t xml:space="preserve">sediment </w:t>
            </w:r>
            <w:r w:rsidRPr="006B1A5A">
              <w:rPr>
                <w:rFonts w:eastAsia="Calibri"/>
                <w:b/>
                <w:sz w:val="18"/>
                <w:szCs w:val="18"/>
                <w:vertAlign w:val="superscript"/>
                <w:lang w:eastAsia="en-GB"/>
              </w:rPr>
              <w:t>1</w:t>
            </w:r>
          </w:p>
        </w:tc>
      </w:tr>
      <w:tr w:rsidR="001042DA" w:rsidRPr="006B1A5A" w14:paraId="55E754BD" w14:textId="77777777" w:rsidTr="00AF2AEA">
        <w:trPr>
          <w:trHeight w:val="75"/>
        </w:trPr>
        <w:tc>
          <w:tcPr>
            <w:tcW w:w="1383" w:type="pct"/>
            <w:shd w:val="clear" w:color="auto" w:fill="FFFFFF"/>
          </w:tcPr>
          <w:p w14:paraId="08ADBC94" w14:textId="77777777" w:rsidR="001042DA" w:rsidRPr="006B1A5A" w:rsidRDefault="001042DA" w:rsidP="00AF2AEA">
            <w:pPr>
              <w:keepNext/>
              <w:spacing w:before="60" w:after="60"/>
              <w:rPr>
                <w:rFonts w:eastAsia="Calibri"/>
                <w:b/>
                <w:sz w:val="18"/>
                <w:szCs w:val="18"/>
                <w:lang w:eastAsia="en-GB"/>
              </w:rPr>
            </w:pPr>
            <w:r w:rsidRPr="006B1A5A">
              <w:rPr>
                <w:rFonts w:eastAsia="Calibri"/>
                <w:b/>
                <w:sz w:val="18"/>
                <w:szCs w:val="18"/>
                <w:lang w:eastAsia="en-GB"/>
              </w:rPr>
              <w:t>EU fish farm scenario</w:t>
            </w:r>
          </w:p>
        </w:tc>
        <w:tc>
          <w:tcPr>
            <w:tcW w:w="885" w:type="pct"/>
            <w:shd w:val="clear" w:color="auto" w:fill="FFFFFF"/>
            <w:vAlign w:val="center"/>
          </w:tcPr>
          <w:p w14:paraId="0C282334" w14:textId="77777777" w:rsidR="001042DA" w:rsidRPr="006B1A5A" w:rsidRDefault="001042DA" w:rsidP="00AF2AEA">
            <w:pPr>
              <w:pStyle w:val="Ingenmellomrom"/>
              <w:keepNext/>
              <w:jc w:val="center"/>
              <w:rPr>
                <w:rFonts w:ascii="Verdana" w:hAnsi="Verdana"/>
                <w:sz w:val="18"/>
                <w:szCs w:val="18"/>
                <w:lang w:val="en-GB" w:eastAsia="en-GB"/>
              </w:rPr>
            </w:pPr>
            <w:r w:rsidRPr="006B1A5A">
              <w:rPr>
                <w:rFonts w:ascii="Verdana" w:hAnsi="Verdana"/>
                <w:sz w:val="18"/>
                <w:szCs w:val="18"/>
                <w:lang w:val="en-GB" w:eastAsia="en-GB"/>
              </w:rPr>
              <w:t>0.</w:t>
            </w:r>
            <w:r w:rsidRPr="006B1A5A" w:rsidDel="00E6132D">
              <w:rPr>
                <w:rFonts w:ascii="Verdana" w:hAnsi="Verdana"/>
                <w:sz w:val="18"/>
                <w:szCs w:val="18"/>
                <w:lang w:val="en-GB" w:eastAsia="en-GB"/>
              </w:rPr>
              <w:t>02</w:t>
            </w:r>
          </w:p>
        </w:tc>
        <w:tc>
          <w:tcPr>
            <w:tcW w:w="886" w:type="pct"/>
            <w:shd w:val="clear" w:color="auto" w:fill="FFFFFF"/>
            <w:vAlign w:val="center"/>
          </w:tcPr>
          <w:p w14:paraId="7ADB4686" w14:textId="77777777" w:rsidR="001042DA" w:rsidRPr="006B1A5A" w:rsidRDefault="001042DA" w:rsidP="00AF2AEA">
            <w:pPr>
              <w:pStyle w:val="Ingenmellomrom"/>
              <w:keepNext/>
              <w:jc w:val="center"/>
              <w:rPr>
                <w:rFonts w:ascii="Verdana" w:hAnsi="Verdana"/>
                <w:sz w:val="18"/>
                <w:szCs w:val="18"/>
                <w:lang w:val="en-GB" w:eastAsia="en-GB"/>
              </w:rPr>
            </w:pPr>
            <w:r w:rsidRPr="006B1A5A">
              <w:rPr>
                <w:rFonts w:ascii="Verdana" w:hAnsi="Verdana"/>
                <w:sz w:val="18"/>
                <w:szCs w:val="18"/>
                <w:lang w:val="en-GB" w:eastAsia="en-GB"/>
              </w:rPr>
              <w:t>1.50E-</w:t>
            </w:r>
            <w:r w:rsidRPr="006B1A5A" w:rsidDel="00E6132D">
              <w:rPr>
                <w:rFonts w:ascii="Verdana" w:hAnsi="Verdana"/>
                <w:sz w:val="18"/>
                <w:szCs w:val="18"/>
                <w:lang w:val="en-GB" w:eastAsia="en-GB"/>
              </w:rPr>
              <w:t>03</w:t>
            </w:r>
          </w:p>
        </w:tc>
        <w:tc>
          <w:tcPr>
            <w:tcW w:w="886" w:type="pct"/>
            <w:shd w:val="clear" w:color="auto" w:fill="FFFFFF"/>
            <w:vAlign w:val="center"/>
          </w:tcPr>
          <w:p w14:paraId="492D6B34" w14:textId="77777777" w:rsidR="001042DA" w:rsidRPr="006B1A5A" w:rsidRDefault="001042DA" w:rsidP="00AF2AEA">
            <w:pPr>
              <w:pStyle w:val="Ingenmellomrom"/>
              <w:keepNext/>
              <w:jc w:val="center"/>
              <w:rPr>
                <w:rFonts w:ascii="Verdana" w:hAnsi="Verdana"/>
                <w:sz w:val="18"/>
                <w:szCs w:val="18"/>
                <w:lang w:val="en-GB" w:eastAsia="en-GB"/>
              </w:rPr>
            </w:pPr>
            <w:r w:rsidRPr="006B1A5A">
              <w:rPr>
                <w:rFonts w:ascii="Verdana" w:hAnsi="Verdana"/>
                <w:sz w:val="18"/>
                <w:szCs w:val="18"/>
                <w:lang w:val="en-GB" w:eastAsia="en-GB"/>
              </w:rPr>
              <w:t>4.44E-</w:t>
            </w:r>
            <w:r w:rsidRPr="006B1A5A" w:rsidDel="00E6132D">
              <w:rPr>
                <w:rFonts w:ascii="Verdana" w:hAnsi="Verdana"/>
                <w:sz w:val="18"/>
                <w:szCs w:val="18"/>
                <w:lang w:val="en-GB" w:eastAsia="en-GB"/>
              </w:rPr>
              <w:t>06</w:t>
            </w:r>
          </w:p>
        </w:tc>
        <w:tc>
          <w:tcPr>
            <w:tcW w:w="960" w:type="pct"/>
            <w:shd w:val="clear" w:color="auto" w:fill="FFFFFF"/>
            <w:vAlign w:val="center"/>
          </w:tcPr>
          <w:p w14:paraId="6E7692B6" w14:textId="77777777" w:rsidR="001042DA" w:rsidRPr="006B1A5A" w:rsidRDefault="001042DA" w:rsidP="00AF2AEA">
            <w:pPr>
              <w:pStyle w:val="Ingenmellomrom"/>
              <w:keepNext/>
              <w:jc w:val="center"/>
              <w:rPr>
                <w:rFonts w:ascii="Verdana" w:hAnsi="Verdana"/>
                <w:sz w:val="18"/>
                <w:szCs w:val="18"/>
                <w:lang w:val="en-GB" w:eastAsia="en-GB"/>
              </w:rPr>
            </w:pPr>
            <w:r w:rsidRPr="006B1A5A">
              <w:rPr>
                <w:rFonts w:ascii="Verdana" w:hAnsi="Verdana"/>
                <w:sz w:val="18"/>
                <w:szCs w:val="18"/>
                <w:lang w:val="en-GB" w:eastAsia="en-GB"/>
              </w:rPr>
              <w:t>9.86E05</w:t>
            </w:r>
          </w:p>
        </w:tc>
      </w:tr>
      <w:tr w:rsidR="001042DA" w:rsidRPr="006B1A5A" w14:paraId="002D4E8D" w14:textId="77777777" w:rsidTr="00AF2AEA">
        <w:trPr>
          <w:trHeight w:val="75"/>
        </w:trPr>
        <w:tc>
          <w:tcPr>
            <w:tcW w:w="5000" w:type="pct"/>
            <w:gridSpan w:val="5"/>
            <w:tcBorders>
              <w:top w:val="single" w:sz="4" w:space="0" w:color="auto"/>
              <w:left w:val="nil"/>
              <w:bottom w:val="nil"/>
              <w:right w:val="nil"/>
            </w:tcBorders>
            <w:shd w:val="clear" w:color="auto" w:fill="FFFFFF"/>
          </w:tcPr>
          <w:p w14:paraId="26AAC3FB" w14:textId="77777777" w:rsidR="001042DA" w:rsidRPr="006B1A5A" w:rsidRDefault="001042DA" w:rsidP="00AF2AEA">
            <w:pPr>
              <w:pStyle w:val="Ingenmellomrom"/>
              <w:keepNext/>
              <w:jc w:val="left"/>
              <w:rPr>
                <w:rFonts w:ascii="Verdana" w:hAnsi="Verdana"/>
                <w:b/>
                <w:sz w:val="18"/>
                <w:szCs w:val="20"/>
                <w:lang w:val="en-GB" w:eastAsia="en-GB"/>
              </w:rPr>
            </w:pPr>
            <w:r w:rsidRPr="006B1A5A">
              <w:rPr>
                <w:rFonts w:ascii="Verdana" w:hAnsi="Verdana"/>
                <w:sz w:val="18"/>
                <w:szCs w:val="20"/>
                <w:vertAlign w:val="superscript"/>
                <w:lang w:val="en-GB"/>
              </w:rPr>
              <w:t>1</w:t>
            </w:r>
            <w:r w:rsidRPr="006B1A5A">
              <w:rPr>
                <w:rFonts w:ascii="Verdana" w:hAnsi="Verdana"/>
                <w:sz w:val="18"/>
                <w:szCs w:val="20"/>
                <w:lang w:val="en-GB"/>
              </w:rPr>
              <w:t xml:space="preserve"> PEC/PNEC </w:t>
            </w:r>
            <w:r w:rsidRPr="006B1A5A">
              <w:rPr>
                <w:rFonts w:ascii="Verdana" w:hAnsi="Verdana"/>
                <w:sz w:val="18"/>
                <w:szCs w:val="18"/>
                <w:lang w:val="en-GB"/>
              </w:rPr>
              <w:t>ratios above</w:t>
            </w:r>
            <w:r w:rsidRPr="006B1A5A">
              <w:rPr>
                <w:rFonts w:ascii="Verdana" w:hAnsi="Verdana"/>
                <w:sz w:val="18"/>
                <w:szCs w:val="20"/>
                <w:lang w:val="en-GB"/>
              </w:rPr>
              <w:t xml:space="preserve"> 1 </w:t>
            </w:r>
            <w:r w:rsidRPr="006B1A5A">
              <w:rPr>
                <w:rFonts w:ascii="Verdana" w:hAnsi="Verdana"/>
                <w:sz w:val="18"/>
                <w:szCs w:val="18"/>
                <w:lang w:val="en-GB"/>
              </w:rPr>
              <w:t>(values</w:t>
            </w:r>
            <w:r w:rsidRPr="006B1A5A">
              <w:rPr>
                <w:rFonts w:ascii="Verdana" w:hAnsi="Verdana"/>
                <w:sz w:val="18"/>
                <w:szCs w:val="20"/>
                <w:lang w:val="en-GB"/>
              </w:rPr>
              <w:t xml:space="preserve"> in </w:t>
            </w:r>
            <w:r w:rsidRPr="006B1A5A">
              <w:rPr>
                <w:rFonts w:ascii="Verdana" w:hAnsi="Verdana"/>
                <w:b/>
                <w:sz w:val="18"/>
                <w:szCs w:val="20"/>
                <w:lang w:val="en-GB"/>
              </w:rPr>
              <w:t>bold</w:t>
            </w:r>
            <w:r w:rsidRPr="006B1A5A">
              <w:rPr>
                <w:rFonts w:ascii="Verdana" w:hAnsi="Verdana"/>
                <w:sz w:val="18"/>
                <w:szCs w:val="18"/>
                <w:lang w:val="en-GB"/>
              </w:rPr>
              <w:t>)</w:t>
            </w:r>
            <w:r w:rsidRPr="006B1A5A">
              <w:rPr>
                <w:rFonts w:ascii="Verdana" w:hAnsi="Verdana"/>
                <w:sz w:val="18"/>
                <w:szCs w:val="20"/>
                <w:lang w:val="en-GB"/>
              </w:rPr>
              <w:t xml:space="preserve"> </w:t>
            </w:r>
            <w:r w:rsidRPr="006B1A5A">
              <w:rPr>
                <w:rFonts w:ascii="Verdana" w:hAnsi="Verdana"/>
                <w:sz w:val="18"/>
                <w:szCs w:val="18"/>
                <w:lang w:val="en-GB"/>
              </w:rPr>
              <w:t>indicate</w:t>
            </w:r>
            <w:r w:rsidRPr="006B1A5A">
              <w:rPr>
                <w:rFonts w:ascii="Verdana" w:hAnsi="Verdana"/>
                <w:sz w:val="18"/>
                <w:szCs w:val="20"/>
                <w:lang w:val="en-GB"/>
              </w:rPr>
              <w:t xml:space="preserve"> unacceptable </w:t>
            </w:r>
            <w:r w:rsidRPr="006B1A5A">
              <w:rPr>
                <w:rFonts w:ascii="Verdana" w:hAnsi="Verdana"/>
                <w:sz w:val="18"/>
                <w:szCs w:val="18"/>
                <w:lang w:val="en-GB"/>
              </w:rPr>
              <w:t>environmental risks.</w:t>
            </w:r>
          </w:p>
        </w:tc>
      </w:tr>
    </w:tbl>
    <w:p w14:paraId="652B2CF2" w14:textId="77777777" w:rsidR="001042DA" w:rsidRPr="006B1A5A" w:rsidRDefault="001042DA" w:rsidP="001042DA">
      <w:pPr>
        <w:spacing w:line="260" w:lineRule="atLeast"/>
      </w:pPr>
    </w:p>
    <w:p w14:paraId="446822D2" w14:textId="77777777" w:rsidR="001042DA" w:rsidRPr="006B1A5A" w:rsidRDefault="001042DA" w:rsidP="001042DA">
      <w:pPr>
        <w:spacing w:line="260" w:lineRule="atLeast"/>
      </w:pPr>
      <w:r w:rsidRPr="006B1A5A">
        <w:t>The resulting PEC/PNEC ratios without background concentrations were found to be below the trigger value of 1. However, in the tier 1 calculations, the PEC/PNEC ratios for PEC</w:t>
      </w:r>
      <w:r w:rsidRPr="006B1A5A">
        <w:rPr>
          <w:vertAlign w:val="subscript"/>
        </w:rPr>
        <w:t>dissolved</w:t>
      </w:r>
      <w:r w:rsidRPr="006B1A5A">
        <w:t>/PNEC</w:t>
      </w:r>
      <w:r w:rsidRPr="006B1A5A">
        <w:rPr>
          <w:vertAlign w:val="subscript"/>
        </w:rPr>
        <w:t>water</w:t>
      </w:r>
      <w:r w:rsidRPr="006B1A5A">
        <w:t xml:space="preserve"> ratios with background concentrations of Cu were slightly above the trigger value for all AquaNet 360 products.</w:t>
      </w:r>
    </w:p>
    <w:p w14:paraId="6A0CB185" w14:textId="77777777" w:rsidR="001042DA" w:rsidRPr="006B1A5A" w:rsidRDefault="001042DA" w:rsidP="001042DA">
      <w:pPr>
        <w:spacing w:line="260" w:lineRule="atLeast"/>
      </w:pPr>
    </w:p>
    <w:p w14:paraId="0403365A" w14:textId="77777777" w:rsidR="001042DA" w:rsidRPr="006B1A5A" w:rsidRDefault="001042DA" w:rsidP="001042DA">
      <w:pPr>
        <w:rPr>
          <w:rFonts w:eastAsia="Calibri"/>
          <w:b/>
          <w:i/>
          <w:sz w:val="22"/>
          <w:szCs w:val="22"/>
          <w:lang w:eastAsia="en-US"/>
        </w:rPr>
      </w:pPr>
      <w:r w:rsidRPr="006B1A5A">
        <w:rPr>
          <w:rFonts w:eastAsia="Calibri"/>
          <w:b/>
          <w:i/>
          <w:sz w:val="22"/>
          <w:szCs w:val="22"/>
          <w:lang w:eastAsia="en-US"/>
        </w:rPr>
        <w:br w:type="page"/>
      </w:r>
    </w:p>
    <w:p w14:paraId="0A48D7EA" w14:textId="77777777" w:rsidR="001042DA" w:rsidRPr="006B1A5A" w:rsidRDefault="001042DA" w:rsidP="001042DA">
      <w:pPr>
        <w:rPr>
          <w:rFonts w:eastAsia="Calibri"/>
          <w:b/>
          <w:i/>
          <w:noProof/>
          <w:sz w:val="22"/>
          <w:szCs w:val="22"/>
          <w:lang w:eastAsia="en-US"/>
        </w:rPr>
      </w:pPr>
      <w:r w:rsidRPr="006B1A5A">
        <w:rPr>
          <w:rFonts w:eastAsia="Calibri"/>
          <w:b/>
          <w:i/>
          <w:sz w:val="22"/>
          <w:szCs w:val="22"/>
          <w:lang w:eastAsia="en-US"/>
        </w:rPr>
        <w:t xml:space="preserve">Calculated PEC values and risk </w:t>
      </w:r>
      <w:r w:rsidRPr="006B1A5A">
        <w:rPr>
          <w:rFonts w:eastAsia="Calibri"/>
          <w:b/>
          <w:i/>
          <w:noProof/>
          <w:sz w:val="22"/>
          <w:szCs w:val="22"/>
          <w:lang w:eastAsia="en-US"/>
        </w:rPr>
        <w:t xml:space="preserve">characterisation – </w:t>
      </w:r>
      <w:bookmarkStart w:id="1744" w:name="_Hlk22291139"/>
      <w:r w:rsidRPr="006B1A5A">
        <w:rPr>
          <w:rFonts w:eastAsia="Calibri"/>
          <w:b/>
          <w:i/>
          <w:noProof/>
          <w:sz w:val="22"/>
          <w:szCs w:val="22"/>
          <w:lang w:eastAsia="en-US"/>
        </w:rPr>
        <w:t>Tier 2: the Norwegian fish farm scenario</w:t>
      </w:r>
      <w:bookmarkEnd w:id="1744"/>
    </w:p>
    <w:p w14:paraId="278FEED8" w14:textId="77777777" w:rsidR="001042DA" w:rsidRPr="006B1A5A" w:rsidRDefault="001042DA" w:rsidP="001042D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427"/>
        <w:gridCol w:w="1745"/>
        <w:gridCol w:w="1745"/>
        <w:gridCol w:w="1740"/>
      </w:tblGrid>
      <w:tr w:rsidR="001042DA" w:rsidRPr="006B1A5A" w14:paraId="6C011D93" w14:textId="77777777" w:rsidTr="00AF2AEA">
        <w:trPr>
          <w:trHeight w:val="249"/>
        </w:trPr>
        <w:tc>
          <w:tcPr>
            <w:tcW w:w="5000" w:type="pct"/>
            <w:gridSpan w:val="5"/>
            <w:tcBorders>
              <w:top w:val="single" w:sz="4" w:space="0" w:color="auto"/>
              <w:left w:val="single" w:sz="4" w:space="0" w:color="auto"/>
              <w:bottom w:val="single" w:sz="4" w:space="0" w:color="auto"/>
            </w:tcBorders>
            <w:shd w:val="clear" w:color="auto" w:fill="FFFFCC"/>
            <w:vAlign w:val="center"/>
          </w:tcPr>
          <w:p w14:paraId="57CAAF35" w14:textId="77777777" w:rsidR="001042DA" w:rsidRPr="006B1A5A" w:rsidRDefault="001042DA" w:rsidP="00AF2AEA">
            <w:pPr>
              <w:autoSpaceDE w:val="0"/>
              <w:autoSpaceDN w:val="0"/>
              <w:adjustRightInd w:val="0"/>
              <w:spacing w:before="60" w:after="60" w:line="260" w:lineRule="atLeast"/>
              <w:jc w:val="center"/>
              <w:rPr>
                <w:rFonts w:eastAsia="Calibri"/>
                <w:b/>
                <w:sz w:val="18"/>
                <w:szCs w:val="18"/>
                <w:lang w:eastAsia="en-GB"/>
              </w:rPr>
            </w:pPr>
            <w:r w:rsidRPr="006B1A5A">
              <w:rPr>
                <w:rFonts w:eastAsia="Calibri"/>
                <w:b/>
                <w:sz w:val="18"/>
                <w:szCs w:val="18"/>
                <w:lang w:eastAsia="en-GB"/>
              </w:rPr>
              <w:t>AquaNet LG360</w:t>
            </w:r>
          </w:p>
          <w:p w14:paraId="15B05CD2" w14:textId="77777777" w:rsidR="001042DA" w:rsidRPr="006B1A5A" w:rsidRDefault="001042DA" w:rsidP="00AF2AEA">
            <w:pPr>
              <w:autoSpaceDE w:val="0"/>
              <w:autoSpaceDN w:val="0"/>
              <w:adjustRightInd w:val="0"/>
              <w:spacing w:before="60" w:after="60" w:line="260" w:lineRule="atLeast"/>
              <w:jc w:val="center"/>
              <w:rPr>
                <w:rFonts w:eastAsia="Calibri"/>
                <w:b/>
                <w:sz w:val="18"/>
                <w:szCs w:val="18"/>
                <w:lang w:eastAsia="en-GB"/>
              </w:rPr>
            </w:pPr>
            <w:r w:rsidRPr="006B1A5A">
              <w:rPr>
                <w:rFonts w:eastAsia="Calibri"/>
                <w:b/>
                <w:sz w:val="18"/>
                <w:szCs w:val="18"/>
                <w:lang w:eastAsia="en-GB"/>
              </w:rPr>
              <w:t>Average PEC values calculated by MAMPEC v3.1</w:t>
            </w:r>
          </w:p>
          <w:p w14:paraId="29E5B297" w14:textId="77777777" w:rsidR="001042DA" w:rsidRPr="006B1A5A" w:rsidRDefault="001042DA" w:rsidP="00AF2AEA">
            <w:pPr>
              <w:autoSpaceDE w:val="0"/>
              <w:autoSpaceDN w:val="0"/>
              <w:adjustRightInd w:val="0"/>
              <w:spacing w:before="60" w:after="60" w:line="260" w:lineRule="atLeast"/>
              <w:jc w:val="center"/>
              <w:rPr>
                <w:rFonts w:eastAsia="Calibri"/>
                <w:b/>
                <w:sz w:val="18"/>
                <w:szCs w:val="18"/>
                <w:lang w:eastAsia="en-GB"/>
              </w:rPr>
            </w:pPr>
            <w:r w:rsidRPr="006B1A5A">
              <w:rPr>
                <w:rFonts w:eastAsia="Calibri"/>
                <w:b/>
                <w:sz w:val="18"/>
                <w:szCs w:val="18"/>
                <w:lang w:eastAsia="en-GB"/>
              </w:rPr>
              <w:t>(without bakground concentration for Cu)</w:t>
            </w:r>
          </w:p>
        </w:tc>
      </w:tr>
      <w:tr w:rsidR="001042DA" w:rsidRPr="006B1A5A" w14:paraId="736A3BE1" w14:textId="77777777" w:rsidTr="00AF2AEA">
        <w:trPr>
          <w:trHeight w:val="249"/>
        </w:trPr>
        <w:tc>
          <w:tcPr>
            <w:tcW w:w="1384" w:type="pct"/>
            <w:shd w:val="clear" w:color="auto" w:fill="FFFFFF"/>
            <w:vAlign w:val="center"/>
          </w:tcPr>
          <w:p w14:paraId="01D87EA0" w14:textId="77777777" w:rsidR="001042DA" w:rsidRPr="006B1A5A" w:rsidRDefault="001042DA" w:rsidP="00AF2AEA">
            <w:pPr>
              <w:spacing w:before="60" w:after="60"/>
              <w:jc w:val="center"/>
              <w:rPr>
                <w:rFonts w:eastAsia="Calibri"/>
                <w:b/>
                <w:sz w:val="18"/>
                <w:szCs w:val="18"/>
                <w:lang w:eastAsia="en-GB"/>
              </w:rPr>
            </w:pPr>
            <w:r w:rsidRPr="006B1A5A">
              <w:rPr>
                <w:rFonts w:eastAsia="Calibri"/>
                <w:b/>
                <w:sz w:val="18"/>
                <w:szCs w:val="18"/>
                <w:lang w:eastAsia="en-GB"/>
              </w:rPr>
              <w:t>Copper</w:t>
            </w:r>
          </w:p>
          <w:p w14:paraId="697E7B17" w14:textId="77777777" w:rsidR="001042DA" w:rsidRPr="006B1A5A" w:rsidRDefault="001042DA" w:rsidP="00AF2AEA">
            <w:pPr>
              <w:spacing w:before="60" w:after="60"/>
              <w:jc w:val="center"/>
              <w:rPr>
                <w:rFonts w:eastAsia="Calibri"/>
                <w:sz w:val="18"/>
                <w:szCs w:val="18"/>
                <w:lang w:eastAsia="en-GB"/>
              </w:rPr>
            </w:pPr>
            <w:r w:rsidRPr="006B1A5A">
              <w:rPr>
                <w:rFonts w:eastAsia="Calibri"/>
                <w:sz w:val="18"/>
                <w:szCs w:val="18"/>
                <w:lang w:eastAsia="en-GB"/>
              </w:rPr>
              <w:t>PNECsurrounding waters = 1.15 µg/L</w:t>
            </w:r>
          </w:p>
          <w:p w14:paraId="34451FB0" w14:textId="77777777" w:rsidR="001042DA" w:rsidRPr="006B1A5A" w:rsidRDefault="001042DA" w:rsidP="00AF2AEA">
            <w:pPr>
              <w:spacing w:before="60" w:after="60"/>
              <w:jc w:val="center"/>
              <w:rPr>
                <w:rFonts w:eastAsia="Calibri"/>
                <w:b/>
                <w:sz w:val="18"/>
                <w:szCs w:val="18"/>
                <w:lang w:eastAsia="en-GB"/>
              </w:rPr>
            </w:pPr>
            <w:r w:rsidRPr="006B1A5A">
              <w:rPr>
                <w:rFonts w:eastAsia="Calibri"/>
                <w:sz w:val="18"/>
                <w:szCs w:val="18"/>
                <w:lang w:eastAsia="en-GB"/>
              </w:rPr>
              <w:t>PNEC</w:t>
            </w:r>
            <w:r w:rsidRPr="006B1A5A">
              <w:rPr>
                <w:rFonts w:eastAsia="Calibri"/>
                <w:sz w:val="18"/>
                <w:szCs w:val="18"/>
                <w:vertAlign w:val="subscript"/>
                <w:lang w:eastAsia="en-GB"/>
              </w:rPr>
              <w:t>sed</w:t>
            </w:r>
            <w:r w:rsidRPr="006B1A5A">
              <w:rPr>
                <w:rFonts w:eastAsia="Calibri"/>
                <w:sz w:val="18"/>
                <w:szCs w:val="18"/>
                <w:lang w:eastAsia="en-GB"/>
              </w:rPr>
              <w:t xml:space="preserve"> = 98.8 µg/g dw</w:t>
            </w:r>
          </w:p>
        </w:tc>
        <w:tc>
          <w:tcPr>
            <w:tcW w:w="775" w:type="pct"/>
            <w:shd w:val="clear" w:color="auto" w:fill="FFFFFF"/>
            <w:vAlign w:val="center"/>
          </w:tcPr>
          <w:p w14:paraId="5ADD76DB" w14:textId="77777777" w:rsidR="001042DA" w:rsidRPr="006B1A5A" w:rsidRDefault="001042DA" w:rsidP="00AF2AEA">
            <w:pPr>
              <w:autoSpaceDE w:val="0"/>
              <w:autoSpaceDN w:val="0"/>
              <w:adjustRightInd w:val="0"/>
              <w:spacing w:before="60" w:after="60" w:line="260" w:lineRule="atLeast"/>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dissolved</w:t>
            </w:r>
          </w:p>
          <w:p w14:paraId="7D259A2E" w14:textId="77777777" w:rsidR="001042DA" w:rsidRPr="006B1A5A" w:rsidRDefault="001042DA" w:rsidP="00AF2AEA">
            <w:pPr>
              <w:autoSpaceDE w:val="0"/>
              <w:autoSpaceDN w:val="0"/>
              <w:adjustRightInd w:val="0"/>
              <w:spacing w:before="60" w:after="60" w:line="260" w:lineRule="atLeast"/>
              <w:jc w:val="center"/>
              <w:rPr>
                <w:rFonts w:eastAsia="Calibri"/>
                <w:sz w:val="18"/>
                <w:szCs w:val="18"/>
                <w:lang w:eastAsia="en-GB"/>
              </w:rPr>
            </w:pPr>
            <w:r w:rsidRPr="006B1A5A">
              <w:rPr>
                <w:rFonts w:eastAsia="Calibri"/>
                <w:sz w:val="18"/>
                <w:szCs w:val="18"/>
                <w:lang w:eastAsia="en-GB"/>
              </w:rPr>
              <w:t>[µg/L]</w:t>
            </w:r>
          </w:p>
        </w:tc>
        <w:tc>
          <w:tcPr>
            <w:tcW w:w="948" w:type="pct"/>
            <w:shd w:val="clear" w:color="auto" w:fill="FFFFFF"/>
            <w:vAlign w:val="center"/>
          </w:tcPr>
          <w:p w14:paraId="2698C2C2" w14:textId="77777777" w:rsidR="001042DA" w:rsidRPr="006B1A5A" w:rsidRDefault="001042DA" w:rsidP="00AF2AEA">
            <w:pPr>
              <w:autoSpaceDE w:val="0"/>
              <w:autoSpaceDN w:val="0"/>
              <w:adjustRightInd w:val="0"/>
              <w:spacing w:before="60" w:after="60" w:line="260" w:lineRule="atLeast"/>
              <w:jc w:val="center"/>
              <w:rPr>
                <w:rFonts w:eastAsia="Calibri"/>
                <w:sz w:val="18"/>
                <w:szCs w:val="18"/>
                <w:vertAlign w:val="superscript"/>
                <w:lang w:eastAsia="en-GB"/>
              </w:rPr>
            </w:pPr>
            <w:r w:rsidRPr="006B1A5A">
              <w:rPr>
                <w:rFonts w:eastAsia="Calibri"/>
                <w:b/>
                <w:sz w:val="18"/>
                <w:szCs w:val="18"/>
                <w:lang w:eastAsia="en-GB"/>
              </w:rPr>
              <w:t>PEC</w:t>
            </w:r>
            <w:r w:rsidRPr="006B1A5A">
              <w:rPr>
                <w:rFonts w:eastAsia="Calibri"/>
                <w:b/>
                <w:sz w:val="18"/>
                <w:szCs w:val="18"/>
                <w:vertAlign w:val="subscript"/>
                <w:lang w:eastAsia="en-GB"/>
              </w:rPr>
              <w:t xml:space="preserve">dissolved </w:t>
            </w:r>
            <w:r w:rsidRPr="006B1A5A">
              <w:rPr>
                <w:rFonts w:eastAsia="Calibri"/>
                <w:b/>
                <w:sz w:val="18"/>
                <w:szCs w:val="18"/>
                <w:lang w:eastAsia="en-GB"/>
              </w:rPr>
              <w:t>/ PNEC</w:t>
            </w:r>
            <w:r w:rsidRPr="006B1A5A">
              <w:rPr>
                <w:rFonts w:eastAsia="Calibri"/>
                <w:b/>
                <w:sz w:val="18"/>
                <w:szCs w:val="18"/>
                <w:vertAlign w:val="subscript"/>
                <w:lang w:eastAsia="en-GB"/>
              </w:rPr>
              <w:t xml:space="preserve">water </w:t>
            </w:r>
            <w:r w:rsidRPr="006B1A5A">
              <w:rPr>
                <w:rFonts w:eastAsia="Calibri"/>
                <w:b/>
                <w:sz w:val="18"/>
                <w:szCs w:val="18"/>
                <w:vertAlign w:val="superscript"/>
                <w:lang w:eastAsia="en-GB"/>
              </w:rPr>
              <w:t>1</w:t>
            </w:r>
          </w:p>
        </w:tc>
        <w:tc>
          <w:tcPr>
            <w:tcW w:w="948" w:type="pct"/>
            <w:shd w:val="clear" w:color="auto" w:fill="FFFFFF"/>
            <w:vAlign w:val="center"/>
          </w:tcPr>
          <w:p w14:paraId="4D74639E" w14:textId="77777777" w:rsidR="001042DA" w:rsidRPr="006B1A5A" w:rsidRDefault="001042DA" w:rsidP="00AF2AEA">
            <w:pPr>
              <w:spacing w:before="60" w:after="60"/>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suspended sediment</w:t>
            </w:r>
          </w:p>
          <w:p w14:paraId="051E87C2" w14:textId="77777777" w:rsidR="001042DA" w:rsidRPr="006B1A5A" w:rsidRDefault="001042DA" w:rsidP="00AF2AEA">
            <w:pPr>
              <w:spacing w:before="60" w:after="60"/>
              <w:jc w:val="center"/>
              <w:rPr>
                <w:rFonts w:eastAsia="Calibri"/>
                <w:sz w:val="18"/>
                <w:szCs w:val="18"/>
                <w:lang w:eastAsia="en-GB"/>
              </w:rPr>
            </w:pPr>
            <w:r w:rsidRPr="006B1A5A">
              <w:rPr>
                <w:rFonts w:eastAsia="Calibri"/>
                <w:sz w:val="18"/>
                <w:szCs w:val="18"/>
                <w:lang w:eastAsia="en-GB"/>
              </w:rPr>
              <w:t>[µg/g dw]</w:t>
            </w:r>
          </w:p>
        </w:tc>
        <w:tc>
          <w:tcPr>
            <w:tcW w:w="946" w:type="pct"/>
            <w:shd w:val="clear" w:color="auto" w:fill="FFFFFF"/>
            <w:vAlign w:val="center"/>
          </w:tcPr>
          <w:p w14:paraId="7F4ACB67" w14:textId="77777777" w:rsidR="001042DA" w:rsidRPr="006B1A5A" w:rsidRDefault="001042DA" w:rsidP="00AF2AEA">
            <w:pPr>
              <w:spacing w:before="60" w:after="60"/>
              <w:jc w:val="center"/>
              <w:rPr>
                <w:rFonts w:eastAsia="Calibri"/>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 xml:space="preserve">suspended sediment </w:t>
            </w:r>
            <w:r w:rsidRPr="006B1A5A">
              <w:rPr>
                <w:rFonts w:eastAsia="Calibri"/>
                <w:b/>
                <w:sz w:val="18"/>
                <w:szCs w:val="18"/>
                <w:lang w:eastAsia="en-GB"/>
              </w:rPr>
              <w:t>/ PNEC</w:t>
            </w:r>
            <w:r w:rsidRPr="006B1A5A">
              <w:rPr>
                <w:rFonts w:eastAsia="Calibri"/>
                <w:b/>
                <w:sz w:val="18"/>
                <w:szCs w:val="18"/>
                <w:vertAlign w:val="subscript"/>
                <w:lang w:eastAsia="en-GB"/>
              </w:rPr>
              <w:t xml:space="preserve">sediment </w:t>
            </w:r>
            <w:r w:rsidRPr="006B1A5A">
              <w:rPr>
                <w:rFonts w:eastAsia="Calibri"/>
                <w:b/>
                <w:sz w:val="18"/>
                <w:szCs w:val="18"/>
                <w:vertAlign w:val="superscript"/>
                <w:lang w:eastAsia="en-GB"/>
              </w:rPr>
              <w:t>1</w:t>
            </w:r>
          </w:p>
        </w:tc>
      </w:tr>
      <w:tr w:rsidR="001042DA" w:rsidRPr="006B1A5A" w14:paraId="20344C44" w14:textId="77777777" w:rsidTr="00AF2AEA">
        <w:trPr>
          <w:trHeight w:val="75"/>
        </w:trPr>
        <w:tc>
          <w:tcPr>
            <w:tcW w:w="1384" w:type="pct"/>
            <w:shd w:val="clear" w:color="auto" w:fill="FFFFFF"/>
          </w:tcPr>
          <w:p w14:paraId="4D88248B" w14:textId="77777777" w:rsidR="001042DA" w:rsidRPr="006B1A5A" w:rsidRDefault="001042DA" w:rsidP="00AF2AEA">
            <w:pPr>
              <w:spacing w:before="60" w:after="60"/>
              <w:rPr>
                <w:rFonts w:eastAsia="Calibri"/>
                <w:b/>
                <w:sz w:val="18"/>
                <w:szCs w:val="18"/>
                <w:lang w:eastAsia="en-GB"/>
              </w:rPr>
            </w:pPr>
            <w:r w:rsidRPr="006B1A5A">
              <w:rPr>
                <w:rFonts w:eastAsia="Calibri"/>
                <w:b/>
                <w:sz w:val="18"/>
                <w:szCs w:val="18"/>
                <w:lang w:eastAsia="en-GB"/>
              </w:rPr>
              <w:t>Norwegian fish farm scenario</w:t>
            </w:r>
          </w:p>
        </w:tc>
        <w:tc>
          <w:tcPr>
            <w:tcW w:w="775" w:type="pct"/>
            <w:shd w:val="clear" w:color="auto" w:fill="FFFFFF"/>
            <w:vAlign w:val="center"/>
          </w:tcPr>
          <w:p w14:paraId="7AEEC16F"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hAnsi="Verdana"/>
                <w:sz w:val="18"/>
                <w:szCs w:val="18"/>
                <w:lang w:val="en-GB" w:eastAsia="en-GB"/>
              </w:rPr>
              <w:t>0.03</w:t>
            </w:r>
          </w:p>
        </w:tc>
        <w:tc>
          <w:tcPr>
            <w:tcW w:w="948" w:type="pct"/>
            <w:shd w:val="clear" w:color="auto" w:fill="FFFFFF"/>
            <w:vAlign w:val="center"/>
          </w:tcPr>
          <w:p w14:paraId="347FB078"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hAnsi="Verdana"/>
                <w:sz w:val="18"/>
                <w:szCs w:val="18"/>
                <w:lang w:val="en-GB" w:eastAsia="en-GB"/>
              </w:rPr>
              <w:t>0.03</w:t>
            </w:r>
          </w:p>
        </w:tc>
        <w:tc>
          <w:tcPr>
            <w:tcW w:w="948" w:type="pct"/>
            <w:shd w:val="clear" w:color="auto" w:fill="FFFFFF"/>
            <w:vAlign w:val="center"/>
          </w:tcPr>
          <w:p w14:paraId="21A1A9DD"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hAnsi="Verdana"/>
                <w:sz w:val="18"/>
                <w:szCs w:val="18"/>
                <w:lang w:val="en-GB" w:eastAsia="en-GB"/>
              </w:rPr>
              <w:t>4.55</w:t>
            </w:r>
          </w:p>
        </w:tc>
        <w:tc>
          <w:tcPr>
            <w:tcW w:w="946" w:type="pct"/>
            <w:shd w:val="clear" w:color="auto" w:fill="FFFFFF"/>
            <w:vAlign w:val="center"/>
          </w:tcPr>
          <w:p w14:paraId="51FE3496"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hAnsi="Verdana"/>
                <w:sz w:val="18"/>
                <w:szCs w:val="18"/>
                <w:lang w:val="en-GB" w:eastAsia="en-GB"/>
              </w:rPr>
              <w:t>0.05</w:t>
            </w:r>
          </w:p>
        </w:tc>
      </w:tr>
      <w:tr w:rsidR="001042DA" w:rsidRPr="006B1A5A" w14:paraId="74519329" w14:textId="77777777" w:rsidTr="00AF2AEA">
        <w:trPr>
          <w:trHeight w:val="75"/>
        </w:trPr>
        <w:tc>
          <w:tcPr>
            <w:tcW w:w="1384" w:type="pct"/>
            <w:shd w:val="clear" w:color="auto" w:fill="FFFFFF"/>
          </w:tcPr>
          <w:p w14:paraId="115E8427" w14:textId="77777777" w:rsidR="001042DA" w:rsidRPr="006B1A5A" w:rsidRDefault="001042DA" w:rsidP="00AF2AEA">
            <w:pPr>
              <w:spacing w:before="60" w:after="60"/>
              <w:jc w:val="center"/>
              <w:rPr>
                <w:rFonts w:eastAsia="Calibri"/>
                <w:b/>
                <w:sz w:val="18"/>
                <w:szCs w:val="18"/>
                <w:lang w:eastAsia="en-GB"/>
              </w:rPr>
            </w:pPr>
            <w:r w:rsidRPr="006B1A5A">
              <w:rPr>
                <w:rFonts w:eastAsia="Calibri"/>
                <w:b/>
                <w:sz w:val="18"/>
                <w:szCs w:val="18"/>
                <w:lang w:eastAsia="en-GB"/>
              </w:rPr>
              <w:t>Thiocyanate</w:t>
            </w:r>
          </w:p>
          <w:p w14:paraId="72008F87" w14:textId="77777777" w:rsidR="001042DA" w:rsidRPr="006B1A5A" w:rsidRDefault="001042DA" w:rsidP="00AF2AEA">
            <w:pPr>
              <w:spacing w:before="60" w:after="60"/>
              <w:jc w:val="center"/>
              <w:rPr>
                <w:rFonts w:eastAsia="Calibri"/>
                <w:sz w:val="18"/>
                <w:szCs w:val="18"/>
                <w:lang w:eastAsia="en-GB"/>
              </w:rPr>
            </w:pPr>
            <w:r w:rsidRPr="006B1A5A">
              <w:rPr>
                <w:rFonts w:eastAsia="Calibri"/>
                <w:sz w:val="18"/>
                <w:szCs w:val="18"/>
                <w:lang w:eastAsia="en-GB"/>
              </w:rPr>
              <w:t>PNEC surrounding waters = 11 µg/L</w:t>
            </w:r>
          </w:p>
          <w:p w14:paraId="1A8F1333" w14:textId="77777777" w:rsidR="001042DA" w:rsidRPr="006B1A5A" w:rsidRDefault="001042DA" w:rsidP="00AF2AEA">
            <w:pPr>
              <w:spacing w:before="60" w:after="60"/>
              <w:jc w:val="center"/>
              <w:rPr>
                <w:rFonts w:eastAsia="Calibri"/>
                <w:b/>
                <w:sz w:val="18"/>
                <w:szCs w:val="18"/>
                <w:lang w:eastAsia="en-GB"/>
              </w:rPr>
            </w:pPr>
            <w:r w:rsidRPr="006B1A5A">
              <w:rPr>
                <w:rFonts w:eastAsia="Calibri"/>
                <w:sz w:val="18"/>
                <w:szCs w:val="18"/>
                <w:lang w:eastAsia="en-GB"/>
              </w:rPr>
              <w:t>PNEC</w:t>
            </w:r>
            <w:r w:rsidRPr="006B1A5A">
              <w:rPr>
                <w:rFonts w:eastAsia="Calibri"/>
                <w:sz w:val="18"/>
                <w:szCs w:val="18"/>
                <w:vertAlign w:val="subscript"/>
                <w:lang w:eastAsia="en-GB"/>
              </w:rPr>
              <w:t>sed</w:t>
            </w:r>
            <w:r w:rsidRPr="006B1A5A">
              <w:rPr>
                <w:rFonts w:eastAsia="Calibri"/>
                <w:sz w:val="18"/>
                <w:szCs w:val="18"/>
                <w:lang w:eastAsia="en-GB"/>
              </w:rPr>
              <w:t xml:space="preserve"> = 0.045 µg/g dw</w:t>
            </w:r>
          </w:p>
        </w:tc>
        <w:tc>
          <w:tcPr>
            <w:tcW w:w="775" w:type="pct"/>
            <w:shd w:val="clear" w:color="auto" w:fill="FFFFFF"/>
            <w:vAlign w:val="center"/>
          </w:tcPr>
          <w:p w14:paraId="7DE04764" w14:textId="77777777" w:rsidR="001042DA" w:rsidRPr="006B1A5A" w:rsidRDefault="001042DA" w:rsidP="00AF2AEA">
            <w:pPr>
              <w:autoSpaceDE w:val="0"/>
              <w:autoSpaceDN w:val="0"/>
              <w:adjustRightInd w:val="0"/>
              <w:spacing w:before="60" w:after="60" w:line="260" w:lineRule="atLeast"/>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dissolved</w:t>
            </w:r>
          </w:p>
          <w:p w14:paraId="201FCC8E" w14:textId="77777777" w:rsidR="001042DA" w:rsidRPr="006B1A5A" w:rsidRDefault="001042DA" w:rsidP="00AF2AEA">
            <w:pPr>
              <w:pStyle w:val="Ingenmellomrom"/>
              <w:jc w:val="center"/>
              <w:rPr>
                <w:rFonts w:ascii="Verdana" w:eastAsia="Calibri" w:hAnsi="Verdana" w:cs="Times New Roman"/>
                <w:b/>
                <w:sz w:val="18"/>
                <w:szCs w:val="18"/>
                <w:lang w:val="en-GB" w:eastAsia="en-GB"/>
              </w:rPr>
            </w:pPr>
            <w:r w:rsidRPr="006B1A5A">
              <w:rPr>
                <w:rFonts w:ascii="Verdana" w:eastAsia="Calibri" w:hAnsi="Verdana"/>
                <w:sz w:val="18"/>
                <w:szCs w:val="18"/>
                <w:lang w:val="en-GB" w:eastAsia="en-GB"/>
              </w:rPr>
              <w:t>[µg/L]</w:t>
            </w:r>
          </w:p>
        </w:tc>
        <w:tc>
          <w:tcPr>
            <w:tcW w:w="948" w:type="pct"/>
            <w:shd w:val="clear" w:color="auto" w:fill="FFFFFF"/>
            <w:vAlign w:val="center"/>
          </w:tcPr>
          <w:p w14:paraId="7EF7158F"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eastAsia="Calibri" w:hAnsi="Verdana"/>
                <w:b/>
                <w:sz w:val="18"/>
                <w:szCs w:val="18"/>
                <w:lang w:val="en-GB" w:eastAsia="en-GB"/>
              </w:rPr>
              <w:t>PEC</w:t>
            </w:r>
            <w:r w:rsidRPr="006B1A5A">
              <w:rPr>
                <w:rFonts w:ascii="Verdana" w:eastAsia="Calibri" w:hAnsi="Verdana"/>
                <w:b/>
                <w:sz w:val="18"/>
                <w:szCs w:val="18"/>
                <w:vertAlign w:val="subscript"/>
                <w:lang w:val="en-GB" w:eastAsia="en-GB"/>
              </w:rPr>
              <w:t xml:space="preserve">dissolved </w:t>
            </w:r>
            <w:r w:rsidRPr="006B1A5A">
              <w:rPr>
                <w:rFonts w:ascii="Verdana" w:eastAsia="Calibri" w:hAnsi="Verdana"/>
                <w:b/>
                <w:sz w:val="18"/>
                <w:szCs w:val="18"/>
                <w:lang w:val="en-GB" w:eastAsia="en-GB"/>
              </w:rPr>
              <w:t>/ PNEC</w:t>
            </w:r>
            <w:r w:rsidRPr="006B1A5A">
              <w:rPr>
                <w:rFonts w:ascii="Verdana" w:eastAsia="Calibri" w:hAnsi="Verdana"/>
                <w:b/>
                <w:sz w:val="18"/>
                <w:szCs w:val="18"/>
                <w:vertAlign w:val="subscript"/>
                <w:lang w:val="en-GB" w:eastAsia="en-GB"/>
              </w:rPr>
              <w:t xml:space="preserve">water </w:t>
            </w:r>
            <w:r w:rsidRPr="006B1A5A">
              <w:rPr>
                <w:rFonts w:ascii="Verdana" w:eastAsia="Calibri" w:hAnsi="Verdana"/>
                <w:b/>
                <w:sz w:val="18"/>
                <w:szCs w:val="18"/>
                <w:vertAlign w:val="superscript"/>
                <w:lang w:val="en-GB" w:eastAsia="en-GB"/>
              </w:rPr>
              <w:t>1</w:t>
            </w:r>
          </w:p>
        </w:tc>
        <w:tc>
          <w:tcPr>
            <w:tcW w:w="948" w:type="pct"/>
            <w:shd w:val="clear" w:color="auto" w:fill="FFFFFF"/>
            <w:vAlign w:val="center"/>
          </w:tcPr>
          <w:p w14:paraId="68031512" w14:textId="77777777" w:rsidR="001042DA" w:rsidRPr="006B1A5A" w:rsidRDefault="001042DA" w:rsidP="00AF2AEA">
            <w:pPr>
              <w:spacing w:before="60" w:after="60"/>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suspended sediment</w:t>
            </w:r>
          </w:p>
          <w:p w14:paraId="594C32C6"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eastAsia="Calibri" w:hAnsi="Verdana"/>
                <w:sz w:val="18"/>
                <w:szCs w:val="18"/>
                <w:lang w:val="en-GB" w:eastAsia="en-GB"/>
              </w:rPr>
              <w:t>[µg/g dw]</w:t>
            </w:r>
          </w:p>
        </w:tc>
        <w:tc>
          <w:tcPr>
            <w:tcW w:w="946" w:type="pct"/>
            <w:shd w:val="clear" w:color="auto" w:fill="FFFFFF"/>
            <w:vAlign w:val="center"/>
          </w:tcPr>
          <w:p w14:paraId="5B44AA99"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eastAsia="Calibri" w:hAnsi="Verdana"/>
                <w:b/>
                <w:sz w:val="18"/>
                <w:szCs w:val="18"/>
                <w:lang w:val="en-GB" w:eastAsia="en-GB"/>
              </w:rPr>
              <w:t>PEC</w:t>
            </w:r>
            <w:r w:rsidRPr="006B1A5A">
              <w:rPr>
                <w:rFonts w:ascii="Verdana" w:eastAsia="Calibri" w:hAnsi="Verdana"/>
                <w:b/>
                <w:sz w:val="18"/>
                <w:szCs w:val="18"/>
                <w:vertAlign w:val="subscript"/>
                <w:lang w:val="en-GB" w:eastAsia="en-GB"/>
              </w:rPr>
              <w:t xml:space="preserve">suspended sediment </w:t>
            </w:r>
            <w:r w:rsidRPr="006B1A5A">
              <w:rPr>
                <w:rFonts w:ascii="Verdana" w:eastAsia="Calibri" w:hAnsi="Verdana"/>
                <w:b/>
                <w:sz w:val="18"/>
                <w:szCs w:val="18"/>
                <w:lang w:val="en-GB" w:eastAsia="en-GB"/>
              </w:rPr>
              <w:t>/ PNEC</w:t>
            </w:r>
            <w:r w:rsidRPr="006B1A5A">
              <w:rPr>
                <w:rFonts w:ascii="Verdana" w:eastAsia="Calibri" w:hAnsi="Verdana"/>
                <w:b/>
                <w:sz w:val="18"/>
                <w:szCs w:val="18"/>
                <w:vertAlign w:val="subscript"/>
                <w:lang w:val="en-GB" w:eastAsia="en-GB"/>
              </w:rPr>
              <w:t xml:space="preserve">sediment </w:t>
            </w:r>
            <w:r w:rsidRPr="006B1A5A">
              <w:rPr>
                <w:rFonts w:ascii="Verdana" w:eastAsia="Calibri" w:hAnsi="Verdana"/>
                <w:b/>
                <w:sz w:val="18"/>
                <w:szCs w:val="18"/>
                <w:vertAlign w:val="superscript"/>
                <w:lang w:val="en-GB" w:eastAsia="en-GB"/>
              </w:rPr>
              <w:t>1</w:t>
            </w:r>
          </w:p>
        </w:tc>
      </w:tr>
      <w:tr w:rsidR="001042DA" w:rsidRPr="006B1A5A" w14:paraId="2EA981F7" w14:textId="77777777" w:rsidTr="00AF2AEA">
        <w:trPr>
          <w:trHeight w:val="75"/>
        </w:trPr>
        <w:tc>
          <w:tcPr>
            <w:tcW w:w="1384" w:type="pct"/>
            <w:shd w:val="clear" w:color="auto" w:fill="FFFFFF"/>
            <w:vAlign w:val="center"/>
          </w:tcPr>
          <w:p w14:paraId="78877517" w14:textId="77777777" w:rsidR="001042DA" w:rsidRPr="006B1A5A" w:rsidRDefault="001042DA" w:rsidP="00AF2AEA">
            <w:pPr>
              <w:spacing w:before="60" w:after="60"/>
              <w:rPr>
                <w:rFonts w:eastAsia="Calibri"/>
                <w:b/>
                <w:sz w:val="18"/>
                <w:szCs w:val="18"/>
                <w:lang w:eastAsia="en-GB"/>
              </w:rPr>
            </w:pPr>
            <w:r w:rsidRPr="006B1A5A">
              <w:rPr>
                <w:rFonts w:eastAsia="Calibri"/>
                <w:b/>
                <w:sz w:val="18"/>
                <w:szCs w:val="18"/>
                <w:lang w:eastAsia="en-GB"/>
              </w:rPr>
              <w:t>Norwegian fish farm scenario</w:t>
            </w:r>
          </w:p>
        </w:tc>
        <w:tc>
          <w:tcPr>
            <w:tcW w:w="775" w:type="pct"/>
            <w:shd w:val="clear" w:color="auto" w:fill="FFFFFF"/>
            <w:vAlign w:val="center"/>
          </w:tcPr>
          <w:p w14:paraId="7FA3F474" w14:textId="77777777" w:rsidR="001042DA" w:rsidRPr="006B1A5A" w:rsidRDefault="001042DA" w:rsidP="00AF2AEA">
            <w:pPr>
              <w:autoSpaceDE w:val="0"/>
              <w:autoSpaceDN w:val="0"/>
              <w:adjustRightInd w:val="0"/>
              <w:spacing w:before="60" w:after="60" w:line="260" w:lineRule="atLeast"/>
              <w:jc w:val="center"/>
              <w:rPr>
                <w:sz w:val="18"/>
                <w:szCs w:val="18"/>
                <w:lang w:eastAsia="en-GB"/>
              </w:rPr>
            </w:pPr>
            <w:r w:rsidRPr="006B1A5A">
              <w:rPr>
                <w:sz w:val="18"/>
                <w:szCs w:val="18"/>
                <w:lang w:eastAsia="en-GB"/>
              </w:rPr>
              <w:t>5.34E-03</w:t>
            </w:r>
          </w:p>
        </w:tc>
        <w:tc>
          <w:tcPr>
            <w:tcW w:w="948" w:type="pct"/>
            <w:shd w:val="clear" w:color="auto" w:fill="FFFFFF"/>
            <w:vAlign w:val="center"/>
          </w:tcPr>
          <w:p w14:paraId="4FE60525" w14:textId="77777777" w:rsidR="001042DA" w:rsidRPr="006B1A5A" w:rsidRDefault="001042DA" w:rsidP="00AF2AEA">
            <w:pPr>
              <w:autoSpaceDE w:val="0"/>
              <w:autoSpaceDN w:val="0"/>
              <w:adjustRightInd w:val="0"/>
              <w:spacing w:before="60" w:after="60" w:line="260" w:lineRule="atLeast"/>
              <w:jc w:val="center"/>
              <w:rPr>
                <w:rFonts w:eastAsia="Calibri"/>
                <w:sz w:val="18"/>
                <w:szCs w:val="18"/>
                <w:vertAlign w:val="subscript"/>
                <w:lang w:eastAsia="en-GB"/>
              </w:rPr>
            </w:pPr>
            <w:r w:rsidRPr="006B1A5A">
              <w:rPr>
                <w:sz w:val="18"/>
                <w:szCs w:val="18"/>
                <w:lang w:eastAsia="en-GB"/>
              </w:rPr>
              <w:t>4.85E-04</w:t>
            </w:r>
          </w:p>
        </w:tc>
        <w:tc>
          <w:tcPr>
            <w:tcW w:w="948" w:type="pct"/>
            <w:shd w:val="clear" w:color="auto" w:fill="FFFFFF"/>
            <w:vAlign w:val="center"/>
          </w:tcPr>
          <w:p w14:paraId="466031C9" w14:textId="77777777" w:rsidR="001042DA" w:rsidRPr="006B1A5A" w:rsidRDefault="001042DA" w:rsidP="00AF2AEA">
            <w:pPr>
              <w:spacing w:before="60" w:after="60"/>
              <w:jc w:val="center"/>
              <w:rPr>
                <w:rFonts w:eastAsia="Calibri"/>
                <w:sz w:val="18"/>
                <w:szCs w:val="18"/>
                <w:lang w:eastAsia="en-GB"/>
              </w:rPr>
            </w:pPr>
            <w:r w:rsidRPr="006B1A5A">
              <w:rPr>
                <w:rFonts w:eastAsia="Calibri"/>
                <w:sz w:val="18"/>
                <w:szCs w:val="18"/>
                <w:lang w:eastAsia="en-GB"/>
              </w:rPr>
              <w:t>3.18E-06</w:t>
            </w:r>
          </w:p>
        </w:tc>
        <w:tc>
          <w:tcPr>
            <w:tcW w:w="946" w:type="pct"/>
            <w:shd w:val="clear" w:color="auto" w:fill="FFFFFF"/>
            <w:vAlign w:val="center"/>
          </w:tcPr>
          <w:p w14:paraId="7362C196" w14:textId="77777777" w:rsidR="001042DA" w:rsidRPr="006B1A5A" w:rsidRDefault="001042DA" w:rsidP="00AF2AEA">
            <w:pPr>
              <w:spacing w:before="60" w:after="60"/>
              <w:jc w:val="center"/>
              <w:rPr>
                <w:rFonts w:eastAsia="Calibri"/>
                <w:sz w:val="18"/>
                <w:szCs w:val="18"/>
                <w:vertAlign w:val="subscript"/>
                <w:lang w:eastAsia="en-GB"/>
              </w:rPr>
            </w:pPr>
            <w:r w:rsidRPr="006B1A5A">
              <w:rPr>
                <w:sz w:val="18"/>
                <w:szCs w:val="18"/>
                <w:lang w:eastAsia="en-GB"/>
              </w:rPr>
              <w:t>7.07E-05</w:t>
            </w:r>
          </w:p>
        </w:tc>
      </w:tr>
      <w:tr w:rsidR="001042DA" w:rsidRPr="006B1A5A" w14:paraId="6A07FD35" w14:textId="77777777" w:rsidTr="00AF2AEA">
        <w:trPr>
          <w:trHeight w:val="75"/>
        </w:trPr>
        <w:tc>
          <w:tcPr>
            <w:tcW w:w="5000" w:type="pct"/>
            <w:gridSpan w:val="5"/>
            <w:tcBorders>
              <w:top w:val="single" w:sz="4" w:space="0" w:color="auto"/>
              <w:left w:val="nil"/>
              <w:bottom w:val="nil"/>
              <w:right w:val="nil"/>
            </w:tcBorders>
            <w:shd w:val="clear" w:color="auto" w:fill="FFFFFF"/>
          </w:tcPr>
          <w:p w14:paraId="37EBBEEB" w14:textId="77777777" w:rsidR="001042DA" w:rsidRPr="006B1A5A" w:rsidRDefault="001042DA" w:rsidP="00AF2AEA">
            <w:pPr>
              <w:rPr>
                <w:b/>
                <w:sz w:val="18"/>
              </w:rPr>
            </w:pPr>
            <w:r w:rsidRPr="006B1A5A">
              <w:rPr>
                <w:sz w:val="18"/>
                <w:vertAlign w:val="superscript"/>
              </w:rPr>
              <w:t>1</w:t>
            </w:r>
            <w:r w:rsidRPr="006B1A5A">
              <w:rPr>
                <w:sz w:val="18"/>
              </w:rPr>
              <w:t xml:space="preserve"> PEC/PNEC </w:t>
            </w:r>
            <w:r w:rsidRPr="006B1A5A">
              <w:rPr>
                <w:sz w:val="18"/>
                <w:szCs w:val="18"/>
              </w:rPr>
              <w:t>ratios above</w:t>
            </w:r>
            <w:r w:rsidRPr="006B1A5A">
              <w:rPr>
                <w:sz w:val="18"/>
              </w:rPr>
              <w:t xml:space="preserve"> 1 </w:t>
            </w:r>
            <w:r w:rsidRPr="006B1A5A">
              <w:rPr>
                <w:sz w:val="18"/>
                <w:szCs w:val="18"/>
              </w:rPr>
              <w:t>(values</w:t>
            </w:r>
            <w:r w:rsidRPr="006B1A5A">
              <w:rPr>
                <w:sz w:val="18"/>
              </w:rPr>
              <w:t xml:space="preserve"> in </w:t>
            </w:r>
            <w:r w:rsidRPr="006B1A5A">
              <w:rPr>
                <w:b/>
                <w:sz w:val="18"/>
              </w:rPr>
              <w:t>bold</w:t>
            </w:r>
            <w:r w:rsidRPr="006B1A5A">
              <w:rPr>
                <w:sz w:val="18"/>
                <w:szCs w:val="18"/>
              </w:rPr>
              <w:t>)</w:t>
            </w:r>
            <w:r w:rsidRPr="006B1A5A">
              <w:rPr>
                <w:sz w:val="18"/>
              </w:rPr>
              <w:t xml:space="preserve"> indicate unacceptable </w:t>
            </w:r>
            <w:r w:rsidRPr="006B1A5A">
              <w:rPr>
                <w:sz w:val="18"/>
                <w:szCs w:val="18"/>
              </w:rPr>
              <w:t>environmental risks.</w:t>
            </w:r>
          </w:p>
        </w:tc>
      </w:tr>
    </w:tbl>
    <w:p w14:paraId="4F89D12A" w14:textId="77777777" w:rsidR="001042DA" w:rsidRPr="006B1A5A" w:rsidRDefault="001042DA" w:rsidP="001042DA">
      <w:pPr>
        <w:rPr>
          <w:rFonts w:eastAsia="Calibri"/>
          <w:b/>
          <w:i/>
          <w:sz w:val="22"/>
          <w:szCs w:val="22"/>
          <w:lang w:eastAsia="en-US"/>
        </w:rPr>
      </w:pPr>
    </w:p>
    <w:p w14:paraId="752A1C36" w14:textId="77777777" w:rsidR="001042DA" w:rsidRPr="006B1A5A" w:rsidRDefault="001042DA" w:rsidP="001042DA">
      <w:pPr>
        <w:spacing w:line="260" w:lineRule="atLeast"/>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425"/>
        <w:gridCol w:w="1745"/>
        <w:gridCol w:w="1747"/>
        <w:gridCol w:w="1740"/>
      </w:tblGrid>
      <w:tr w:rsidR="001042DA" w:rsidRPr="006B1A5A" w14:paraId="49B000AF" w14:textId="77777777" w:rsidTr="00AF2AEA">
        <w:trPr>
          <w:trHeight w:val="249"/>
        </w:trPr>
        <w:tc>
          <w:tcPr>
            <w:tcW w:w="5000" w:type="pct"/>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6B89294B" w14:textId="77777777" w:rsidR="001042DA" w:rsidRPr="006B1A5A" w:rsidRDefault="001042DA" w:rsidP="00AF2AEA">
            <w:pPr>
              <w:keepNext/>
              <w:autoSpaceDE w:val="0"/>
              <w:autoSpaceDN w:val="0"/>
              <w:adjustRightInd w:val="0"/>
              <w:spacing w:before="60" w:after="60" w:line="260" w:lineRule="atLeast"/>
              <w:jc w:val="center"/>
              <w:rPr>
                <w:rFonts w:eastAsia="Calibri"/>
                <w:b/>
                <w:color w:val="000000" w:themeColor="text1"/>
                <w:sz w:val="18"/>
                <w:szCs w:val="18"/>
                <w:lang w:eastAsia="en-GB"/>
              </w:rPr>
            </w:pPr>
            <w:r w:rsidRPr="006B1A5A">
              <w:rPr>
                <w:rFonts w:eastAsia="Calibri"/>
                <w:b/>
                <w:color w:val="000000" w:themeColor="text1"/>
                <w:sz w:val="18"/>
                <w:szCs w:val="18"/>
                <w:lang w:eastAsia="en-GB"/>
              </w:rPr>
              <w:t>AquaNet LG360</w:t>
            </w:r>
          </w:p>
          <w:p w14:paraId="08020ED2" w14:textId="77777777" w:rsidR="001042DA" w:rsidRPr="006B1A5A" w:rsidRDefault="001042DA" w:rsidP="00AF2AEA">
            <w:pPr>
              <w:keepNext/>
              <w:autoSpaceDE w:val="0"/>
              <w:autoSpaceDN w:val="0"/>
              <w:adjustRightInd w:val="0"/>
              <w:spacing w:before="60" w:after="60" w:line="260" w:lineRule="atLeast"/>
              <w:jc w:val="center"/>
              <w:rPr>
                <w:rFonts w:eastAsia="Calibri"/>
                <w:b/>
                <w:color w:val="000000" w:themeColor="text1"/>
                <w:sz w:val="18"/>
                <w:szCs w:val="18"/>
                <w:lang w:eastAsia="en-GB"/>
              </w:rPr>
            </w:pPr>
            <w:r w:rsidRPr="006B1A5A">
              <w:rPr>
                <w:rFonts w:eastAsia="Calibri"/>
                <w:b/>
                <w:color w:val="000000" w:themeColor="text1"/>
                <w:sz w:val="18"/>
                <w:szCs w:val="18"/>
                <w:lang w:eastAsia="en-GB"/>
              </w:rPr>
              <w:t xml:space="preserve">Average PEC values calculated by MAMPEC v3.1 </w:t>
            </w:r>
          </w:p>
          <w:p w14:paraId="51FF4968" w14:textId="77777777" w:rsidR="001042DA" w:rsidRPr="006B1A5A" w:rsidRDefault="001042DA" w:rsidP="00AF2AEA">
            <w:pPr>
              <w:keepNext/>
              <w:autoSpaceDE w:val="0"/>
              <w:autoSpaceDN w:val="0"/>
              <w:adjustRightInd w:val="0"/>
              <w:spacing w:before="60" w:after="60" w:line="260" w:lineRule="atLeast"/>
              <w:jc w:val="center"/>
              <w:rPr>
                <w:rFonts w:eastAsia="Calibri"/>
                <w:b/>
                <w:color w:val="000000" w:themeColor="text1"/>
                <w:sz w:val="18"/>
                <w:szCs w:val="18"/>
                <w:lang w:eastAsia="en-GB"/>
              </w:rPr>
            </w:pPr>
            <w:r w:rsidRPr="006B1A5A">
              <w:rPr>
                <w:rFonts w:eastAsia="Calibri"/>
                <w:b/>
                <w:color w:val="000000" w:themeColor="text1"/>
                <w:sz w:val="18"/>
                <w:szCs w:val="18"/>
                <w:lang w:eastAsia="en-GB"/>
              </w:rPr>
              <w:t>(with background concentration for Cu)</w:t>
            </w:r>
          </w:p>
        </w:tc>
      </w:tr>
      <w:tr w:rsidR="001042DA" w:rsidRPr="006B1A5A" w14:paraId="7A6D12AA" w14:textId="77777777" w:rsidTr="00AF2AEA">
        <w:trPr>
          <w:trHeight w:val="249"/>
        </w:trPr>
        <w:tc>
          <w:tcPr>
            <w:tcW w:w="1384" w:type="pct"/>
            <w:shd w:val="clear" w:color="auto" w:fill="FFFFFF"/>
            <w:vAlign w:val="center"/>
          </w:tcPr>
          <w:p w14:paraId="0017149E" w14:textId="77777777" w:rsidR="001042DA" w:rsidRPr="006B1A5A" w:rsidRDefault="001042DA" w:rsidP="00AF2AEA">
            <w:pPr>
              <w:spacing w:before="60" w:after="60"/>
              <w:jc w:val="center"/>
              <w:rPr>
                <w:rFonts w:eastAsia="Calibri"/>
                <w:b/>
                <w:sz w:val="18"/>
                <w:szCs w:val="18"/>
                <w:lang w:eastAsia="en-GB"/>
              </w:rPr>
            </w:pPr>
            <w:r w:rsidRPr="006B1A5A">
              <w:rPr>
                <w:rFonts w:eastAsia="Calibri"/>
                <w:b/>
                <w:sz w:val="18"/>
                <w:szCs w:val="18"/>
                <w:lang w:eastAsia="en-GB"/>
              </w:rPr>
              <w:t>Copper</w:t>
            </w:r>
          </w:p>
          <w:p w14:paraId="107E991D" w14:textId="77777777" w:rsidR="001042DA" w:rsidRPr="006B1A5A" w:rsidRDefault="001042DA" w:rsidP="00AF2AEA">
            <w:pPr>
              <w:spacing w:before="60" w:after="60"/>
              <w:jc w:val="center"/>
              <w:rPr>
                <w:rFonts w:eastAsia="Calibri"/>
                <w:sz w:val="18"/>
                <w:szCs w:val="18"/>
                <w:lang w:eastAsia="en-GB"/>
              </w:rPr>
            </w:pPr>
            <w:r w:rsidRPr="006B1A5A">
              <w:rPr>
                <w:rFonts w:eastAsia="Calibri"/>
                <w:sz w:val="18"/>
                <w:szCs w:val="18"/>
                <w:lang w:eastAsia="en-GB"/>
              </w:rPr>
              <w:t>PNECsurrounding waters = 1.15 µg/L</w:t>
            </w:r>
          </w:p>
          <w:p w14:paraId="63C4AB5A" w14:textId="77777777" w:rsidR="001042DA" w:rsidRPr="006B1A5A" w:rsidRDefault="001042DA" w:rsidP="00AF2AEA">
            <w:pPr>
              <w:spacing w:before="60" w:after="60"/>
              <w:jc w:val="center"/>
              <w:rPr>
                <w:rFonts w:eastAsia="Calibri"/>
                <w:sz w:val="18"/>
                <w:szCs w:val="18"/>
                <w:lang w:eastAsia="en-GB"/>
              </w:rPr>
            </w:pPr>
            <w:r w:rsidRPr="006B1A5A">
              <w:rPr>
                <w:rFonts w:eastAsia="Calibri"/>
                <w:sz w:val="18"/>
                <w:szCs w:val="18"/>
                <w:lang w:eastAsia="en-GB"/>
              </w:rPr>
              <w:t>PNEC</w:t>
            </w:r>
            <w:r w:rsidRPr="006B1A5A">
              <w:rPr>
                <w:rFonts w:eastAsia="Calibri"/>
                <w:sz w:val="18"/>
                <w:szCs w:val="18"/>
                <w:vertAlign w:val="subscript"/>
                <w:lang w:eastAsia="en-GB"/>
              </w:rPr>
              <w:t>sed</w:t>
            </w:r>
            <w:r w:rsidRPr="006B1A5A">
              <w:rPr>
                <w:rFonts w:eastAsia="Calibri"/>
                <w:sz w:val="18"/>
                <w:szCs w:val="18"/>
                <w:lang w:eastAsia="en-GB"/>
              </w:rPr>
              <w:t xml:space="preserve"> = 98.8 µg/g dw</w:t>
            </w:r>
          </w:p>
        </w:tc>
        <w:tc>
          <w:tcPr>
            <w:tcW w:w="774" w:type="pct"/>
            <w:shd w:val="clear" w:color="auto" w:fill="FFFFFF"/>
            <w:vAlign w:val="center"/>
          </w:tcPr>
          <w:p w14:paraId="0AEE7D93" w14:textId="77777777" w:rsidR="001042DA" w:rsidRPr="006B1A5A" w:rsidRDefault="001042DA" w:rsidP="00AF2AEA">
            <w:pPr>
              <w:autoSpaceDE w:val="0"/>
              <w:autoSpaceDN w:val="0"/>
              <w:adjustRightInd w:val="0"/>
              <w:spacing w:before="60" w:after="60" w:line="260" w:lineRule="atLeast"/>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dissolved</w:t>
            </w:r>
          </w:p>
          <w:p w14:paraId="7A54248D" w14:textId="77777777" w:rsidR="001042DA" w:rsidRPr="006B1A5A" w:rsidRDefault="001042DA" w:rsidP="00AF2AEA">
            <w:pPr>
              <w:autoSpaceDE w:val="0"/>
              <w:autoSpaceDN w:val="0"/>
              <w:adjustRightInd w:val="0"/>
              <w:spacing w:before="60" w:after="60" w:line="260" w:lineRule="atLeast"/>
              <w:jc w:val="center"/>
              <w:rPr>
                <w:rFonts w:eastAsia="Calibri"/>
                <w:sz w:val="18"/>
                <w:szCs w:val="18"/>
                <w:lang w:eastAsia="en-GB"/>
              </w:rPr>
            </w:pPr>
            <w:r w:rsidRPr="006B1A5A">
              <w:rPr>
                <w:rFonts w:eastAsia="Calibri"/>
                <w:sz w:val="18"/>
                <w:szCs w:val="18"/>
                <w:lang w:eastAsia="en-GB"/>
              </w:rPr>
              <w:t>[µg/L]</w:t>
            </w:r>
          </w:p>
        </w:tc>
        <w:tc>
          <w:tcPr>
            <w:tcW w:w="948" w:type="pct"/>
            <w:shd w:val="clear" w:color="auto" w:fill="FFFFFF"/>
            <w:vAlign w:val="center"/>
          </w:tcPr>
          <w:p w14:paraId="090B1F40" w14:textId="77777777" w:rsidR="001042DA" w:rsidRPr="006B1A5A" w:rsidRDefault="001042DA" w:rsidP="00AF2AEA">
            <w:pPr>
              <w:autoSpaceDE w:val="0"/>
              <w:autoSpaceDN w:val="0"/>
              <w:adjustRightInd w:val="0"/>
              <w:spacing w:before="60" w:after="60" w:line="260" w:lineRule="atLeast"/>
              <w:jc w:val="center"/>
              <w:rPr>
                <w:rFonts w:eastAsia="Calibri"/>
                <w:sz w:val="18"/>
                <w:szCs w:val="18"/>
                <w:vertAlign w:val="superscript"/>
                <w:lang w:eastAsia="en-GB"/>
              </w:rPr>
            </w:pPr>
            <w:r w:rsidRPr="006B1A5A">
              <w:rPr>
                <w:rFonts w:eastAsia="Calibri"/>
                <w:b/>
                <w:sz w:val="18"/>
                <w:szCs w:val="18"/>
                <w:lang w:eastAsia="en-GB"/>
              </w:rPr>
              <w:t>PEC</w:t>
            </w:r>
            <w:r w:rsidRPr="006B1A5A">
              <w:rPr>
                <w:rFonts w:eastAsia="Calibri"/>
                <w:b/>
                <w:sz w:val="18"/>
                <w:szCs w:val="18"/>
                <w:vertAlign w:val="subscript"/>
                <w:lang w:eastAsia="en-GB"/>
              </w:rPr>
              <w:t xml:space="preserve">dissolved </w:t>
            </w:r>
            <w:r w:rsidRPr="006B1A5A">
              <w:rPr>
                <w:rFonts w:eastAsia="Calibri"/>
                <w:b/>
                <w:sz w:val="18"/>
                <w:szCs w:val="18"/>
                <w:lang w:eastAsia="en-GB"/>
              </w:rPr>
              <w:t>/ PNEC</w:t>
            </w:r>
            <w:r w:rsidRPr="006B1A5A">
              <w:rPr>
                <w:rFonts w:eastAsia="Calibri"/>
                <w:b/>
                <w:sz w:val="18"/>
                <w:szCs w:val="18"/>
                <w:vertAlign w:val="subscript"/>
                <w:lang w:eastAsia="en-GB"/>
              </w:rPr>
              <w:t xml:space="preserve">water </w:t>
            </w:r>
            <w:r w:rsidRPr="006B1A5A">
              <w:rPr>
                <w:rFonts w:eastAsia="Calibri"/>
                <w:b/>
                <w:sz w:val="18"/>
                <w:szCs w:val="18"/>
                <w:vertAlign w:val="superscript"/>
                <w:lang w:eastAsia="en-GB"/>
              </w:rPr>
              <w:t>1</w:t>
            </w:r>
          </w:p>
        </w:tc>
        <w:tc>
          <w:tcPr>
            <w:tcW w:w="949" w:type="pct"/>
            <w:shd w:val="clear" w:color="auto" w:fill="FFFFFF"/>
            <w:vAlign w:val="center"/>
          </w:tcPr>
          <w:p w14:paraId="0ABA8EA1" w14:textId="77777777" w:rsidR="001042DA" w:rsidRPr="006B1A5A" w:rsidRDefault="001042DA" w:rsidP="00AF2AEA">
            <w:pPr>
              <w:spacing w:before="60" w:after="60"/>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suspended sediment</w:t>
            </w:r>
          </w:p>
          <w:p w14:paraId="31FE68B1" w14:textId="77777777" w:rsidR="001042DA" w:rsidRPr="006B1A5A" w:rsidRDefault="001042DA" w:rsidP="00AF2AEA">
            <w:pPr>
              <w:spacing w:before="60" w:after="60"/>
              <w:jc w:val="center"/>
              <w:rPr>
                <w:rFonts w:eastAsia="Calibri"/>
                <w:sz w:val="18"/>
                <w:szCs w:val="18"/>
                <w:lang w:eastAsia="en-GB"/>
              </w:rPr>
            </w:pPr>
            <w:r w:rsidRPr="006B1A5A">
              <w:rPr>
                <w:rFonts w:eastAsia="Calibri"/>
                <w:sz w:val="18"/>
                <w:szCs w:val="18"/>
                <w:lang w:eastAsia="en-GB"/>
              </w:rPr>
              <w:t>[µg/g dw]</w:t>
            </w:r>
          </w:p>
        </w:tc>
        <w:tc>
          <w:tcPr>
            <w:tcW w:w="945" w:type="pct"/>
            <w:shd w:val="clear" w:color="auto" w:fill="FFFFFF"/>
            <w:vAlign w:val="center"/>
          </w:tcPr>
          <w:p w14:paraId="08031C9B" w14:textId="77777777" w:rsidR="001042DA" w:rsidRPr="006B1A5A" w:rsidRDefault="001042DA" w:rsidP="00AF2AEA">
            <w:pPr>
              <w:spacing w:before="60" w:after="60"/>
              <w:jc w:val="center"/>
              <w:rPr>
                <w:rFonts w:eastAsia="Calibri"/>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 xml:space="preserve">suspended sediment </w:t>
            </w:r>
            <w:r w:rsidRPr="006B1A5A">
              <w:rPr>
                <w:rFonts w:eastAsia="Calibri"/>
                <w:b/>
                <w:sz w:val="18"/>
                <w:szCs w:val="18"/>
                <w:lang w:eastAsia="en-GB"/>
              </w:rPr>
              <w:t>/ PNEC</w:t>
            </w:r>
            <w:r w:rsidRPr="006B1A5A">
              <w:rPr>
                <w:rFonts w:eastAsia="Calibri"/>
                <w:b/>
                <w:sz w:val="18"/>
                <w:szCs w:val="18"/>
                <w:vertAlign w:val="subscript"/>
                <w:lang w:eastAsia="en-GB"/>
              </w:rPr>
              <w:t xml:space="preserve">sediment </w:t>
            </w:r>
            <w:r w:rsidRPr="006B1A5A">
              <w:rPr>
                <w:rFonts w:eastAsia="Calibri"/>
                <w:b/>
                <w:sz w:val="18"/>
                <w:szCs w:val="18"/>
                <w:vertAlign w:val="superscript"/>
                <w:lang w:eastAsia="en-GB"/>
              </w:rPr>
              <w:t>1</w:t>
            </w:r>
          </w:p>
        </w:tc>
      </w:tr>
      <w:tr w:rsidR="001042DA" w:rsidRPr="006B1A5A" w14:paraId="30C86592" w14:textId="77777777" w:rsidTr="00AF2AEA">
        <w:trPr>
          <w:trHeight w:val="75"/>
        </w:trPr>
        <w:tc>
          <w:tcPr>
            <w:tcW w:w="1384" w:type="pct"/>
            <w:shd w:val="clear" w:color="auto" w:fill="FFFFFF"/>
          </w:tcPr>
          <w:p w14:paraId="4571F1FA" w14:textId="77777777" w:rsidR="001042DA" w:rsidRPr="006B1A5A" w:rsidRDefault="001042DA" w:rsidP="00AF2AEA">
            <w:pPr>
              <w:spacing w:before="60" w:after="60"/>
              <w:rPr>
                <w:rFonts w:eastAsia="Calibri"/>
                <w:b/>
                <w:sz w:val="18"/>
                <w:szCs w:val="18"/>
                <w:lang w:eastAsia="en-GB"/>
              </w:rPr>
            </w:pPr>
            <w:r w:rsidRPr="006B1A5A">
              <w:rPr>
                <w:rFonts w:eastAsia="Calibri"/>
                <w:b/>
                <w:sz w:val="18"/>
                <w:szCs w:val="18"/>
                <w:lang w:eastAsia="en-GB"/>
              </w:rPr>
              <w:t>Norwegian fish farm scenario</w:t>
            </w:r>
          </w:p>
        </w:tc>
        <w:tc>
          <w:tcPr>
            <w:tcW w:w="774" w:type="pct"/>
            <w:shd w:val="clear" w:color="auto" w:fill="FFFFFF"/>
            <w:vAlign w:val="center"/>
          </w:tcPr>
          <w:p w14:paraId="3F5CE527"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hAnsi="Verdana"/>
                <w:sz w:val="18"/>
                <w:szCs w:val="18"/>
                <w:lang w:val="en-GB" w:eastAsia="en-GB"/>
              </w:rPr>
              <w:t>1.13</w:t>
            </w:r>
          </w:p>
        </w:tc>
        <w:tc>
          <w:tcPr>
            <w:tcW w:w="948" w:type="pct"/>
            <w:shd w:val="clear" w:color="auto" w:fill="FFFFFF"/>
            <w:vAlign w:val="center"/>
          </w:tcPr>
          <w:p w14:paraId="69CFE122" w14:textId="77777777" w:rsidR="001042DA" w:rsidRPr="006B1A5A" w:rsidRDefault="001042DA" w:rsidP="00AF2AEA">
            <w:pPr>
              <w:pStyle w:val="Ingenmellomrom"/>
              <w:jc w:val="center"/>
              <w:rPr>
                <w:rFonts w:ascii="Verdana" w:hAnsi="Verdana"/>
                <w:b/>
                <w:sz w:val="18"/>
                <w:szCs w:val="18"/>
                <w:lang w:val="en-GB" w:eastAsia="en-GB"/>
              </w:rPr>
            </w:pPr>
            <w:r w:rsidRPr="006B1A5A">
              <w:rPr>
                <w:rFonts w:ascii="Verdana" w:hAnsi="Verdana"/>
                <w:sz w:val="18"/>
                <w:szCs w:val="18"/>
                <w:lang w:val="en-GB" w:eastAsia="en-GB"/>
              </w:rPr>
              <w:t>0.99</w:t>
            </w:r>
          </w:p>
        </w:tc>
        <w:tc>
          <w:tcPr>
            <w:tcW w:w="949" w:type="pct"/>
            <w:shd w:val="clear" w:color="auto" w:fill="FFFFFF"/>
            <w:vAlign w:val="center"/>
          </w:tcPr>
          <w:p w14:paraId="66FCB8A1"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hAnsi="Verdana"/>
                <w:sz w:val="18"/>
                <w:szCs w:val="18"/>
                <w:lang w:val="en-GB" w:eastAsia="en-GB"/>
              </w:rPr>
              <w:t>20.65</w:t>
            </w:r>
          </w:p>
        </w:tc>
        <w:tc>
          <w:tcPr>
            <w:tcW w:w="945" w:type="pct"/>
            <w:shd w:val="clear" w:color="auto" w:fill="FFFFFF"/>
            <w:vAlign w:val="center"/>
          </w:tcPr>
          <w:p w14:paraId="0843EC2E"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hAnsi="Verdana"/>
                <w:sz w:val="18"/>
                <w:szCs w:val="18"/>
                <w:lang w:val="en-GB" w:eastAsia="en-GB"/>
              </w:rPr>
              <w:t>0.21</w:t>
            </w:r>
          </w:p>
        </w:tc>
      </w:tr>
      <w:tr w:rsidR="001042DA" w:rsidRPr="006B1A5A" w14:paraId="22264EDC" w14:textId="77777777" w:rsidTr="00AF2AEA">
        <w:trPr>
          <w:trHeight w:val="75"/>
        </w:trPr>
        <w:tc>
          <w:tcPr>
            <w:tcW w:w="1384" w:type="pct"/>
            <w:shd w:val="clear" w:color="auto" w:fill="FFFFFF"/>
            <w:vAlign w:val="center"/>
          </w:tcPr>
          <w:p w14:paraId="12ED691C" w14:textId="77777777" w:rsidR="001042DA" w:rsidRPr="006B1A5A" w:rsidRDefault="001042DA" w:rsidP="00AF2AEA">
            <w:pPr>
              <w:spacing w:before="60" w:after="60"/>
              <w:jc w:val="center"/>
              <w:rPr>
                <w:rFonts w:eastAsia="Calibri"/>
                <w:b/>
                <w:sz w:val="18"/>
                <w:szCs w:val="18"/>
                <w:lang w:eastAsia="en-GB"/>
              </w:rPr>
            </w:pPr>
            <w:r w:rsidRPr="006B1A5A">
              <w:rPr>
                <w:rFonts w:eastAsia="Calibri"/>
                <w:b/>
                <w:sz w:val="18"/>
                <w:szCs w:val="18"/>
                <w:lang w:eastAsia="en-GB"/>
              </w:rPr>
              <w:t>Thiocyanate</w:t>
            </w:r>
          </w:p>
          <w:p w14:paraId="38E60D32" w14:textId="77777777" w:rsidR="001042DA" w:rsidRPr="006B1A5A" w:rsidRDefault="001042DA" w:rsidP="00AF2AEA">
            <w:pPr>
              <w:spacing w:before="60" w:after="60"/>
              <w:jc w:val="center"/>
              <w:rPr>
                <w:rFonts w:eastAsia="Calibri"/>
                <w:sz w:val="18"/>
                <w:szCs w:val="18"/>
                <w:lang w:eastAsia="en-GB"/>
              </w:rPr>
            </w:pPr>
            <w:r w:rsidRPr="006B1A5A">
              <w:rPr>
                <w:rFonts w:eastAsia="Calibri"/>
                <w:sz w:val="18"/>
                <w:szCs w:val="18"/>
                <w:lang w:eastAsia="en-GB"/>
              </w:rPr>
              <w:t>PNEC surrounding waters = 11 µg/L</w:t>
            </w:r>
          </w:p>
          <w:p w14:paraId="6C950F94" w14:textId="77777777" w:rsidR="001042DA" w:rsidRPr="006B1A5A" w:rsidRDefault="001042DA" w:rsidP="00AF2AEA">
            <w:pPr>
              <w:spacing w:before="60" w:after="60"/>
              <w:jc w:val="center"/>
              <w:rPr>
                <w:rFonts w:eastAsia="Calibri"/>
                <w:b/>
                <w:sz w:val="18"/>
                <w:szCs w:val="18"/>
                <w:lang w:eastAsia="en-GB"/>
              </w:rPr>
            </w:pPr>
            <w:r w:rsidRPr="006B1A5A">
              <w:rPr>
                <w:rFonts w:eastAsia="Calibri"/>
                <w:sz w:val="18"/>
                <w:szCs w:val="18"/>
                <w:lang w:eastAsia="en-GB"/>
              </w:rPr>
              <w:t>PNEC</w:t>
            </w:r>
            <w:r w:rsidRPr="006B1A5A">
              <w:rPr>
                <w:rFonts w:eastAsia="Calibri"/>
                <w:sz w:val="18"/>
                <w:szCs w:val="18"/>
                <w:vertAlign w:val="subscript"/>
                <w:lang w:eastAsia="en-GB"/>
              </w:rPr>
              <w:t>sed</w:t>
            </w:r>
            <w:r w:rsidRPr="006B1A5A">
              <w:rPr>
                <w:rFonts w:eastAsia="Calibri"/>
                <w:sz w:val="18"/>
                <w:szCs w:val="18"/>
                <w:lang w:eastAsia="en-GB"/>
              </w:rPr>
              <w:t xml:space="preserve"> = 0.045 µg/g dw</w:t>
            </w:r>
          </w:p>
        </w:tc>
        <w:tc>
          <w:tcPr>
            <w:tcW w:w="774" w:type="pct"/>
            <w:shd w:val="clear" w:color="auto" w:fill="FFFFFF"/>
            <w:vAlign w:val="center"/>
          </w:tcPr>
          <w:p w14:paraId="2D83877E" w14:textId="77777777" w:rsidR="001042DA" w:rsidRPr="006B1A5A" w:rsidRDefault="001042DA" w:rsidP="00AF2AEA">
            <w:pPr>
              <w:autoSpaceDE w:val="0"/>
              <w:autoSpaceDN w:val="0"/>
              <w:adjustRightInd w:val="0"/>
              <w:spacing w:before="60" w:after="60" w:line="260" w:lineRule="atLeast"/>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dissolved</w:t>
            </w:r>
          </w:p>
          <w:p w14:paraId="29F1C7D0" w14:textId="77777777" w:rsidR="001042DA" w:rsidRPr="006B1A5A" w:rsidRDefault="001042DA" w:rsidP="00AF2AEA">
            <w:pPr>
              <w:autoSpaceDE w:val="0"/>
              <w:autoSpaceDN w:val="0"/>
              <w:adjustRightInd w:val="0"/>
              <w:spacing w:before="60" w:after="60" w:line="260" w:lineRule="atLeast"/>
              <w:jc w:val="center"/>
              <w:rPr>
                <w:rFonts w:eastAsia="Calibri"/>
                <w:sz w:val="18"/>
                <w:szCs w:val="18"/>
                <w:lang w:eastAsia="en-GB"/>
              </w:rPr>
            </w:pPr>
            <w:r w:rsidRPr="006B1A5A">
              <w:rPr>
                <w:rFonts w:eastAsia="Calibri"/>
                <w:sz w:val="18"/>
                <w:szCs w:val="18"/>
                <w:lang w:eastAsia="en-GB"/>
              </w:rPr>
              <w:t>[µg/L]</w:t>
            </w:r>
          </w:p>
        </w:tc>
        <w:tc>
          <w:tcPr>
            <w:tcW w:w="948" w:type="pct"/>
            <w:shd w:val="clear" w:color="auto" w:fill="FFFFFF"/>
            <w:vAlign w:val="center"/>
          </w:tcPr>
          <w:p w14:paraId="3B8B44A3" w14:textId="77777777" w:rsidR="001042DA" w:rsidRPr="006B1A5A" w:rsidRDefault="001042DA" w:rsidP="00AF2AEA">
            <w:pPr>
              <w:autoSpaceDE w:val="0"/>
              <w:autoSpaceDN w:val="0"/>
              <w:adjustRightInd w:val="0"/>
              <w:spacing w:before="60" w:after="60" w:line="260" w:lineRule="atLeast"/>
              <w:jc w:val="center"/>
              <w:rPr>
                <w:rFonts w:eastAsia="Calibri"/>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 xml:space="preserve">dissolved </w:t>
            </w:r>
            <w:r w:rsidRPr="006B1A5A">
              <w:rPr>
                <w:rFonts w:eastAsia="Calibri"/>
                <w:b/>
                <w:sz w:val="18"/>
                <w:szCs w:val="18"/>
                <w:lang w:eastAsia="en-GB"/>
              </w:rPr>
              <w:t>/ PNEC</w:t>
            </w:r>
            <w:r w:rsidRPr="006B1A5A">
              <w:rPr>
                <w:rFonts w:eastAsia="Calibri"/>
                <w:b/>
                <w:sz w:val="18"/>
                <w:szCs w:val="18"/>
                <w:vertAlign w:val="subscript"/>
                <w:lang w:eastAsia="en-GB"/>
              </w:rPr>
              <w:t xml:space="preserve">water </w:t>
            </w:r>
            <w:r w:rsidRPr="006B1A5A">
              <w:rPr>
                <w:rFonts w:eastAsia="Calibri"/>
                <w:b/>
                <w:sz w:val="18"/>
                <w:szCs w:val="18"/>
                <w:vertAlign w:val="superscript"/>
                <w:lang w:eastAsia="en-GB"/>
              </w:rPr>
              <w:t>1</w:t>
            </w:r>
          </w:p>
        </w:tc>
        <w:tc>
          <w:tcPr>
            <w:tcW w:w="949" w:type="pct"/>
            <w:shd w:val="clear" w:color="auto" w:fill="FFFFFF"/>
            <w:vAlign w:val="center"/>
          </w:tcPr>
          <w:p w14:paraId="68D50564" w14:textId="77777777" w:rsidR="001042DA" w:rsidRPr="006B1A5A" w:rsidRDefault="001042DA" w:rsidP="00AF2AEA">
            <w:pPr>
              <w:spacing w:before="60" w:after="60"/>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suspended sediment</w:t>
            </w:r>
          </w:p>
          <w:p w14:paraId="4F3CC7E9" w14:textId="77777777" w:rsidR="001042DA" w:rsidRPr="006B1A5A" w:rsidRDefault="001042DA" w:rsidP="00AF2AEA">
            <w:pPr>
              <w:spacing w:before="60" w:after="60"/>
              <w:jc w:val="center"/>
              <w:rPr>
                <w:rFonts w:eastAsia="Calibri"/>
                <w:sz w:val="18"/>
                <w:szCs w:val="18"/>
                <w:lang w:eastAsia="en-GB"/>
              </w:rPr>
            </w:pPr>
            <w:r w:rsidRPr="006B1A5A">
              <w:rPr>
                <w:rFonts w:eastAsia="Calibri"/>
                <w:sz w:val="18"/>
                <w:szCs w:val="18"/>
                <w:lang w:eastAsia="en-GB"/>
              </w:rPr>
              <w:t>[µg/g dw]</w:t>
            </w:r>
          </w:p>
        </w:tc>
        <w:tc>
          <w:tcPr>
            <w:tcW w:w="945" w:type="pct"/>
            <w:shd w:val="clear" w:color="auto" w:fill="FFFFFF"/>
            <w:vAlign w:val="center"/>
          </w:tcPr>
          <w:p w14:paraId="69CE15C6" w14:textId="77777777" w:rsidR="001042DA" w:rsidRPr="006B1A5A" w:rsidRDefault="001042DA" w:rsidP="00AF2AEA">
            <w:pPr>
              <w:spacing w:before="60" w:after="60"/>
              <w:jc w:val="center"/>
              <w:rPr>
                <w:rFonts w:eastAsia="Calibri"/>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 xml:space="preserve">suspended sediment </w:t>
            </w:r>
            <w:r w:rsidRPr="006B1A5A">
              <w:rPr>
                <w:rFonts w:eastAsia="Calibri"/>
                <w:b/>
                <w:sz w:val="18"/>
                <w:szCs w:val="18"/>
                <w:lang w:eastAsia="en-GB"/>
              </w:rPr>
              <w:t>/ PNEC</w:t>
            </w:r>
            <w:r w:rsidRPr="006B1A5A">
              <w:rPr>
                <w:rFonts w:eastAsia="Calibri"/>
                <w:b/>
                <w:sz w:val="18"/>
                <w:szCs w:val="18"/>
                <w:vertAlign w:val="subscript"/>
                <w:lang w:eastAsia="en-GB"/>
              </w:rPr>
              <w:t xml:space="preserve">sediment </w:t>
            </w:r>
            <w:r w:rsidRPr="006B1A5A">
              <w:rPr>
                <w:rFonts w:eastAsia="Calibri"/>
                <w:b/>
                <w:sz w:val="18"/>
                <w:szCs w:val="18"/>
                <w:vertAlign w:val="superscript"/>
                <w:lang w:eastAsia="en-GB"/>
              </w:rPr>
              <w:t>1</w:t>
            </w:r>
          </w:p>
        </w:tc>
      </w:tr>
      <w:tr w:rsidR="001042DA" w:rsidRPr="006B1A5A" w14:paraId="59C3741E" w14:textId="77777777" w:rsidTr="00AF2AEA">
        <w:trPr>
          <w:trHeight w:val="75"/>
        </w:trPr>
        <w:tc>
          <w:tcPr>
            <w:tcW w:w="1384" w:type="pct"/>
            <w:shd w:val="clear" w:color="auto" w:fill="FFFFFF"/>
          </w:tcPr>
          <w:p w14:paraId="32AC000D" w14:textId="77777777" w:rsidR="001042DA" w:rsidRPr="006B1A5A" w:rsidRDefault="001042DA" w:rsidP="00AF2AEA">
            <w:pPr>
              <w:spacing w:before="60" w:after="60"/>
              <w:rPr>
                <w:rFonts w:eastAsia="Calibri"/>
                <w:b/>
                <w:sz w:val="18"/>
                <w:szCs w:val="18"/>
                <w:lang w:eastAsia="en-GB"/>
              </w:rPr>
            </w:pPr>
            <w:r w:rsidRPr="006B1A5A">
              <w:rPr>
                <w:rFonts w:eastAsia="Calibri"/>
                <w:b/>
                <w:sz w:val="18"/>
                <w:szCs w:val="18"/>
                <w:lang w:eastAsia="en-GB"/>
              </w:rPr>
              <w:t>Norwegian fish farm scenario</w:t>
            </w:r>
          </w:p>
        </w:tc>
        <w:tc>
          <w:tcPr>
            <w:tcW w:w="774" w:type="pct"/>
            <w:shd w:val="clear" w:color="auto" w:fill="FFFFFF"/>
            <w:vAlign w:val="center"/>
          </w:tcPr>
          <w:p w14:paraId="0B8ABA0F"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hAnsi="Verdana"/>
                <w:sz w:val="18"/>
                <w:szCs w:val="18"/>
                <w:lang w:val="en-GB" w:eastAsia="en-GB"/>
              </w:rPr>
              <w:t>5.34E-03</w:t>
            </w:r>
          </w:p>
        </w:tc>
        <w:tc>
          <w:tcPr>
            <w:tcW w:w="948" w:type="pct"/>
            <w:shd w:val="clear" w:color="auto" w:fill="FFFFFF"/>
            <w:vAlign w:val="center"/>
          </w:tcPr>
          <w:p w14:paraId="641081ED"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hAnsi="Verdana"/>
                <w:sz w:val="18"/>
                <w:szCs w:val="18"/>
                <w:lang w:val="en-GB" w:eastAsia="en-GB"/>
              </w:rPr>
              <w:t>4.85E-04</w:t>
            </w:r>
          </w:p>
        </w:tc>
        <w:tc>
          <w:tcPr>
            <w:tcW w:w="949" w:type="pct"/>
            <w:shd w:val="clear" w:color="auto" w:fill="FFFFFF"/>
            <w:vAlign w:val="center"/>
          </w:tcPr>
          <w:p w14:paraId="68554EF1"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hAnsi="Verdana"/>
                <w:sz w:val="18"/>
                <w:szCs w:val="18"/>
                <w:lang w:val="en-GB" w:eastAsia="en-GB"/>
              </w:rPr>
              <w:t>3.18E-06</w:t>
            </w:r>
          </w:p>
        </w:tc>
        <w:tc>
          <w:tcPr>
            <w:tcW w:w="945" w:type="pct"/>
            <w:shd w:val="clear" w:color="auto" w:fill="FFFFFF"/>
            <w:vAlign w:val="center"/>
          </w:tcPr>
          <w:p w14:paraId="2BC25855"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hAnsi="Verdana"/>
                <w:sz w:val="18"/>
                <w:szCs w:val="18"/>
                <w:lang w:val="en-GB" w:eastAsia="en-GB"/>
              </w:rPr>
              <w:t>7.07E-05</w:t>
            </w:r>
          </w:p>
        </w:tc>
      </w:tr>
      <w:tr w:rsidR="001042DA" w:rsidRPr="006B1A5A" w14:paraId="595D32EC" w14:textId="77777777" w:rsidTr="00AF2AEA">
        <w:trPr>
          <w:trHeight w:val="75"/>
        </w:trPr>
        <w:tc>
          <w:tcPr>
            <w:tcW w:w="5000" w:type="pct"/>
            <w:gridSpan w:val="5"/>
            <w:tcBorders>
              <w:top w:val="single" w:sz="4" w:space="0" w:color="auto"/>
              <w:left w:val="nil"/>
              <w:bottom w:val="nil"/>
              <w:right w:val="nil"/>
            </w:tcBorders>
            <w:shd w:val="clear" w:color="auto" w:fill="FFFFFF"/>
          </w:tcPr>
          <w:p w14:paraId="3A4A886D" w14:textId="77777777" w:rsidR="001042DA" w:rsidRPr="006B1A5A" w:rsidRDefault="001042DA" w:rsidP="00AF2AEA">
            <w:pPr>
              <w:rPr>
                <w:sz w:val="18"/>
              </w:rPr>
            </w:pPr>
            <w:r w:rsidRPr="006B1A5A">
              <w:rPr>
                <w:sz w:val="18"/>
                <w:vertAlign w:val="superscript"/>
              </w:rPr>
              <w:t>1</w:t>
            </w:r>
            <w:r w:rsidRPr="006B1A5A">
              <w:rPr>
                <w:sz w:val="18"/>
              </w:rPr>
              <w:t xml:space="preserve"> PEC/PNEC </w:t>
            </w:r>
            <w:r w:rsidRPr="006B1A5A">
              <w:rPr>
                <w:sz w:val="18"/>
                <w:szCs w:val="18"/>
              </w:rPr>
              <w:t>ratios above</w:t>
            </w:r>
            <w:r w:rsidRPr="006B1A5A">
              <w:rPr>
                <w:sz w:val="18"/>
              </w:rPr>
              <w:t xml:space="preserve"> 1 </w:t>
            </w:r>
            <w:r w:rsidRPr="006B1A5A">
              <w:rPr>
                <w:sz w:val="18"/>
                <w:szCs w:val="18"/>
              </w:rPr>
              <w:t>(values</w:t>
            </w:r>
            <w:r w:rsidRPr="006B1A5A">
              <w:rPr>
                <w:sz w:val="18"/>
              </w:rPr>
              <w:t xml:space="preserve"> in </w:t>
            </w:r>
            <w:r w:rsidRPr="006B1A5A">
              <w:rPr>
                <w:b/>
                <w:sz w:val="18"/>
              </w:rPr>
              <w:t>bold</w:t>
            </w:r>
            <w:r w:rsidRPr="006B1A5A">
              <w:rPr>
                <w:sz w:val="18"/>
                <w:szCs w:val="18"/>
              </w:rPr>
              <w:t>)</w:t>
            </w:r>
            <w:r w:rsidRPr="006B1A5A">
              <w:rPr>
                <w:sz w:val="18"/>
              </w:rPr>
              <w:t xml:space="preserve"> indicate unacceptable </w:t>
            </w:r>
            <w:r w:rsidRPr="006B1A5A">
              <w:rPr>
                <w:sz w:val="18"/>
                <w:szCs w:val="18"/>
              </w:rPr>
              <w:t>environmental risks.</w:t>
            </w:r>
          </w:p>
          <w:p w14:paraId="58609C28" w14:textId="77777777" w:rsidR="001042DA" w:rsidRPr="006B1A5A" w:rsidRDefault="001042DA" w:rsidP="00AF2AEA">
            <w:pPr>
              <w:rPr>
                <w:b/>
                <w:sz w:val="18"/>
              </w:rPr>
            </w:pPr>
          </w:p>
          <w:p w14:paraId="0D538D37" w14:textId="77777777" w:rsidR="001042DA" w:rsidRPr="006B1A5A" w:rsidRDefault="001042DA" w:rsidP="00AF2AEA">
            <w:pPr>
              <w:rPr>
                <w:b/>
                <w:sz w:val="18"/>
              </w:rPr>
            </w:pPr>
          </w:p>
        </w:tc>
      </w:tr>
      <w:tr w:rsidR="001042DA" w:rsidRPr="006B1A5A" w14:paraId="7F981BFC" w14:textId="77777777" w:rsidTr="00AF2AEA">
        <w:trPr>
          <w:trHeight w:val="249"/>
        </w:trPr>
        <w:tc>
          <w:tcPr>
            <w:tcW w:w="5000" w:type="pct"/>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67776D8F" w14:textId="77777777" w:rsidR="001042DA" w:rsidRPr="006B1A5A" w:rsidRDefault="001042DA" w:rsidP="00AF2AEA">
            <w:pPr>
              <w:keepNext/>
              <w:autoSpaceDE w:val="0"/>
              <w:autoSpaceDN w:val="0"/>
              <w:adjustRightInd w:val="0"/>
              <w:spacing w:before="60" w:after="60" w:line="260" w:lineRule="atLeast"/>
              <w:jc w:val="center"/>
              <w:rPr>
                <w:rFonts w:eastAsia="Calibri"/>
                <w:b/>
                <w:color w:val="000000" w:themeColor="text1"/>
                <w:sz w:val="18"/>
                <w:szCs w:val="18"/>
                <w:lang w:eastAsia="en-GB"/>
              </w:rPr>
            </w:pPr>
            <w:r w:rsidRPr="006B1A5A">
              <w:rPr>
                <w:rFonts w:eastAsia="Calibri"/>
                <w:b/>
                <w:color w:val="000000" w:themeColor="text1"/>
                <w:sz w:val="18"/>
                <w:szCs w:val="18"/>
                <w:lang w:eastAsia="en-GB"/>
              </w:rPr>
              <w:t>AquaNet HG360</w:t>
            </w:r>
          </w:p>
          <w:p w14:paraId="6BB30161" w14:textId="77777777" w:rsidR="001042DA" w:rsidRPr="006B1A5A" w:rsidRDefault="001042DA" w:rsidP="00AF2AEA">
            <w:pPr>
              <w:autoSpaceDE w:val="0"/>
              <w:autoSpaceDN w:val="0"/>
              <w:adjustRightInd w:val="0"/>
              <w:spacing w:before="60" w:after="60" w:line="260" w:lineRule="atLeast"/>
              <w:jc w:val="center"/>
              <w:rPr>
                <w:rFonts w:eastAsia="Calibri"/>
                <w:b/>
                <w:sz w:val="18"/>
                <w:szCs w:val="18"/>
                <w:lang w:eastAsia="en-GB"/>
              </w:rPr>
            </w:pPr>
            <w:r w:rsidRPr="006B1A5A">
              <w:rPr>
                <w:rFonts w:eastAsia="Calibri"/>
                <w:b/>
                <w:sz w:val="18"/>
                <w:szCs w:val="18"/>
                <w:lang w:eastAsia="en-GB"/>
              </w:rPr>
              <w:t xml:space="preserve">Average PEC values calculated by MAMPEC v3.1 </w:t>
            </w:r>
          </w:p>
          <w:p w14:paraId="4D48DECC" w14:textId="77777777" w:rsidR="001042DA" w:rsidRPr="006B1A5A" w:rsidRDefault="001042DA" w:rsidP="00AF2AEA">
            <w:pPr>
              <w:keepNext/>
              <w:autoSpaceDE w:val="0"/>
              <w:autoSpaceDN w:val="0"/>
              <w:adjustRightInd w:val="0"/>
              <w:spacing w:before="60" w:after="60" w:line="260" w:lineRule="atLeast"/>
              <w:jc w:val="center"/>
              <w:rPr>
                <w:rFonts w:eastAsia="Calibri"/>
                <w:b/>
                <w:color w:val="000000" w:themeColor="text1"/>
                <w:sz w:val="18"/>
                <w:szCs w:val="18"/>
                <w:lang w:eastAsia="en-GB"/>
              </w:rPr>
            </w:pPr>
            <w:r w:rsidRPr="006B1A5A">
              <w:rPr>
                <w:rFonts w:eastAsia="Calibri"/>
                <w:b/>
                <w:sz w:val="18"/>
                <w:szCs w:val="18"/>
                <w:lang w:eastAsia="en-GB"/>
              </w:rPr>
              <w:t>(without background concentration for Cu)</w:t>
            </w:r>
          </w:p>
        </w:tc>
      </w:tr>
      <w:tr w:rsidR="001042DA" w:rsidRPr="006B1A5A" w14:paraId="7086F745" w14:textId="77777777" w:rsidTr="00AF2AEA">
        <w:trPr>
          <w:trHeight w:val="249"/>
        </w:trPr>
        <w:tc>
          <w:tcPr>
            <w:tcW w:w="1384" w:type="pct"/>
            <w:shd w:val="clear" w:color="auto" w:fill="FFFFFF"/>
            <w:vAlign w:val="center"/>
          </w:tcPr>
          <w:p w14:paraId="097697A0" w14:textId="77777777" w:rsidR="001042DA" w:rsidRPr="006B1A5A" w:rsidRDefault="001042DA" w:rsidP="00AF2AEA">
            <w:pPr>
              <w:spacing w:before="60" w:after="60"/>
              <w:jc w:val="center"/>
              <w:rPr>
                <w:rFonts w:eastAsia="Calibri"/>
                <w:b/>
                <w:sz w:val="18"/>
                <w:szCs w:val="18"/>
                <w:lang w:eastAsia="en-GB"/>
              </w:rPr>
            </w:pPr>
            <w:r w:rsidRPr="006B1A5A">
              <w:rPr>
                <w:rFonts w:eastAsia="Calibri"/>
                <w:b/>
                <w:sz w:val="18"/>
                <w:szCs w:val="18"/>
                <w:lang w:eastAsia="en-GB"/>
              </w:rPr>
              <w:t>Copper</w:t>
            </w:r>
          </w:p>
          <w:p w14:paraId="25A37905" w14:textId="77777777" w:rsidR="001042DA" w:rsidRPr="006B1A5A" w:rsidRDefault="001042DA" w:rsidP="00AF2AEA">
            <w:pPr>
              <w:spacing w:before="60" w:after="60"/>
              <w:jc w:val="center"/>
              <w:rPr>
                <w:rFonts w:eastAsia="Calibri"/>
                <w:sz w:val="18"/>
                <w:szCs w:val="18"/>
                <w:lang w:eastAsia="en-GB"/>
              </w:rPr>
            </w:pPr>
            <w:r w:rsidRPr="006B1A5A">
              <w:rPr>
                <w:rFonts w:eastAsia="Calibri"/>
                <w:sz w:val="18"/>
                <w:szCs w:val="18"/>
                <w:lang w:eastAsia="en-GB"/>
              </w:rPr>
              <w:t>PNECsurrounding waters = 1.15 µg/L</w:t>
            </w:r>
          </w:p>
          <w:p w14:paraId="0B666885" w14:textId="77777777" w:rsidR="001042DA" w:rsidRPr="006B1A5A" w:rsidRDefault="001042DA" w:rsidP="00AF2AEA">
            <w:pPr>
              <w:spacing w:before="60" w:after="60"/>
              <w:jc w:val="center"/>
              <w:rPr>
                <w:rFonts w:eastAsia="Calibri"/>
                <w:sz w:val="18"/>
                <w:szCs w:val="18"/>
                <w:lang w:eastAsia="en-GB"/>
              </w:rPr>
            </w:pPr>
            <w:r w:rsidRPr="006B1A5A">
              <w:rPr>
                <w:rFonts w:eastAsia="Calibri"/>
                <w:sz w:val="18"/>
                <w:szCs w:val="18"/>
                <w:lang w:eastAsia="en-GB"/>
              </w:rPr>
              <w:t>PNEC</w:t>
            </w:r>
            <w:r w:rsidRPr="006B1A5A">
              <w:rPr>
                <w:rFonts w:eastAsia="Calibri"/>
                <w:sz w:val="18"/>
                <w:szCs w:val="18"/>
                <w:vertAlign w:val="subscript"/>
                <w:lang w:eastAsia="en-GB"/>
              </w:rPr>
              <w:t>sed</w:t>
            </w:r>
            <w:r w:rsidRPr="006B1A5A">
              <w:rPr>
                <w:rFonts w:eastAsia="Calibri"/>
                <w:sz w:val="18"/>
                <w:szCs w:val="18"/>
                <w:lang w:eastAsia="en-GB"/>
              </w:rPr>
              <w:t xml:space="preserve"> = 98.8 µg/g dw</w:t>
            </w:r>
          </w:p>
        </w:tc>
        <w:tc>
          <w:tcPr>
            <w:tcW w:w="774" w:type="pct"/>
            <w:shd w:val="clear" w:color="auto" w:fill="FFFFFF"/>
            <w:vAlign w:val="center"/>
          </w:tcPr>
          <w:p w14:paraId="72C47687" w14:textId="77777777" w:rsidR="001042DA" w:rsidRPr="006B1A5A" w:rsidRDefault="001042DA" w:rsidP="00AF2AEA">
            <w:pPr>
              <w:autoSpaceDE w:val="0"/>
              <w:autoSpaceDN w:val="0"/>
              <w:adjustRightInd w:val="0"/>
              <w:spacing w:before="60" w:after="60" w:line="260" w:lineRule="atLeast"/>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dissolved</w:t>
            </w:r>
          </w:p>
          <w:p w14:paraId="76040C6E" w14:textId="77777777" w:rsidR="001042DA" w:rsidRPr="006B1A5A" w:rsidRDefault="001042DA" w:rsidP="00AF2AEA">
            <w:pPr>
              <w:autoSpaceDE w:val="0"/>
              <w:autoSpaceDN w:val="0"/>
              <w:adjustRightInd w:val="0"/>
              <w:spacing w:before="60" w:after="60" w:line="260" w:lineRule="atLeast"/>
              <w:jc w:val="center"/>
              <w:rPr>
                <w:rFonts w:eastAsia="Calibri"/>
                <w:sz w:val="18"/>
                <w:szCs w:val="18"/>
                <w:lang w:eastAsia="en-GB"/>
              </w:rPr>
            </w:pPr>
            <w:r w:rsidRPr="006B1A5A">
              <w:rPr>
                <w:rFonts w:eastAsia="Calibri"/>
                <w:sz w:val="18"/>
                <w:szCs w:val="18"/>
                <w:lang w:eastAsia="en-GB"/>
              </w:rPr>
              <w:t>[µg/L]</w:t>
            </w:r>
          </w:p>
        </w:tc>
        <w:tc>
          <w:tcPr>
            <w:tcW w:w="948" w:type="pct"/>
            <w:shd w:val="clear" w:color="auto" w:fill="FFFFFF"/>
            <w:vAlign w:val="center"/>
          </w:tcPr>
          <w:p w14:paraId="145DCDAD" w14:textId="77777777" w:rsidR="001042DA" w:rsidRPr="006B1A5A" w:rsidRDefault="001042DA" w:rsidP="00AF2AEA">
            <w:pPr>
              <w:autoSpaceDE w:val="0"/>
              <w:autoSpaceDN w:val="0"/>
              <w:adjustRightInd w:val="0"/>
              <w:spacing w:before="60" w:after="60" w:line="260" w:lineRule="atLeast"/>
              <w:jc w:val="center"/>
              <w:rPr>
                <w:rFonts w:eastAsia="Calibri"/>
                <w:sz w:val="18"/>
                <w:szCs w:val="18"/>
                <w:vertAlign w:val="superscript"/>
                <w:lang w:eastAsia="en-GB"/>
              </w:rPr>
            </w:pPr>
            <w:r w:rsidRPr="006B1A5A">
              <w:rPr>
                <w:rFonts w:eastAsia="Calibri"/>
                <w:b/>
                <w:sz w:val="18"/>
                <w:szCs w:val="18"/>
                <w:lang w:eastAsia="en-GB"/>
              </w:rPr>
              <w:t>PEC</w:t>
            </w:r>
            <w:r w:rsidRPr="006B1A5A">
              <w:rPr>
                <w:rFonts w:eastAsia="Calibri"/>
                <w:b/>
                <w:sz w:val="18"/>
                <w:szCs w:val="18"/>
                <w:vertAlign w:val="subscript"/>
                <w:lang w:eastAsia="en-GB"/>
              </w:rPr>
              <w:t xml:space="preserve">dissolved </w:t>
            </w:r>
            <w:r w:rsidRPr="006B1A5A">
              <w:rPr>
                <w:rFonts w:eastAsia="Calibri"/>
                <w:b/>
                <w:sz w:val="18"/>
                <w:szCs w:val="18"/>
                <w:lang w:eastAsia="en-GB"/>
              </w:rPr>
              <w:t>/ PNEC</w:t>
            </w:r>
            <w:r w:rsidRPr="006B1A5A">
              <w:rPr>
                <w:rFonts w:eastAsia="Calibri"/>
                <w:b/>
                <w:sz w:val="18"/>
                <w:szCs w:val="18"/>
                <w:vertAlign w:val="subscript"/>
                <w:lang w:eastAsia="en-GB"/>
              </w:rPr>
              <w:t xml:space="preserve">water </w:t>
            </w:r>
            <w:r w:rsidRPr="006B1A5A">
              <w:rPr>
                <w:rFonts w:eastAsia="Calibri"/>
                <w:b/>
                <w:sz w:val="18"/>
                <w:szCs w:val="18"/>
                <w:vertAlign w:val="superscript"/>
                <w:lang w:eastAsia="en-GB"/>
              </w:rPr>
              <w:t>1</w:t>
            </w:r>
          </w:p>
        </w:tc>
        <w:tc>
          <w:tcPr>
            <w:tcW w:w="949" w:type="pct"/>
            <w:shd w:val="clear" w:color="auto" w:fill="FFFFFF"/>
            <w:vAlign w:val="center"/>
          </w:tcPr>
          <w:p w14:paraId="6DA8271C" w14:textId="77777777" w:rsidR="001042DA" w:rsidRPr="006B1A5A" w:rsidRDefault="001042DA" w:rsidP="00AF2AEA">
            <w:pPr>
              <w:spacing w:before="60" w:after="60"/>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suspended sediment</w:t>
            </w:r>
          </w:p>
          <w:p w14:paraId="66F13F07" w14:textId="77777777" w:rsidR="001042DA" w:rsidRPr="006B1A5A" w:rsidRDefault="001042DA" w:rsidP="00AF2AEA">
            <w:pPr>
              <w:spacing w:before="60" w:after="60"/>
              <w:jc w:val="center"/>
              <w:rPr>
                <w:rFonts w:eastAsia="Calibri"/>
                <w:sz w:val="18"/>
                <w:szCs w:val="18"/>
                <w:lang w:eastAsia="en-GB"/>
              </w:rPr>
            </w:pPr>
            <w:r w:rsidRPr="006B1A5A">
              <w:rPr>
                <w:rFonts w:eastAsia="Calibri"/>
                <w:sz w:val="18"/>
                <w:szCs w:val="18"/>
                <w:lang w:eastAsia="en-GB"/>
              </w:rPr>
              <w:t>[µg/g dw]</w:t>
            </w:r>
          </w:p>
        </w:tc>
        <w:tc>
          <w:tcPr>
            <w:tcW w:w="945" w:type="pct"/>
            <w:shd w:val="clear" w:color="auto" w:fill="FFFFFF"/>
            <w:vAlign w:val="center"/>
          </w:tcPr>
          <w:p w14:paraId="500BD213" w14:textId="77777777" w:rsidR="001042DA" w:rsidRPr="006B1A5A" w:rsidRDefault="001042DA" w:rsidP="00AF2AEA">
            <w:pPr>
              <w:spacing w:before="60" w:after="60"/>
              <w:jc w:val="center"/>
              <w:rPr>
                <w:rFonts w:eastAsia="Calibri"/>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suspended sediment</w:t>
            </w:r>
            <w:r w:rsidRPr="006B1A5A">
              <w:rPr>
                <w:rFonts w:eastAsia="Calibri"/>
                <w:b/>
                <w:sz w:val="18"/>
                <w:szCs w:val="18"/>
                <w:lang w:eastAsia="en-GB"/>
              </w:rPr>
              <w:t>/ PNEC</w:t>
            </w:r>
            <w:r w:rsidRPr="006B1A5A">
              <w:rPr>
                <w:rFonts w:eastAsia="Calibri"/>
                <w:b/>
                <w:sz w:val="18"/>
                <w:szCs w:val="18"/>
                <w:vertAlign w:val="subscript"/>
                <w:lang w:eastAsia="en-GB"/>
              </w:rPr>
              <w:t xml:space="preserve">sediment </w:t>
            </w:r>
            <w:r w:rsidRPr="006B1A5A">
              <w:rPr>
                <w:rFonts w:eastAsia="Calibri"/>
                <w:b/>
                <w:sz w:val="18"/>
                <w:szCs w:val="18"/>
                <w:vertAlign w:val="superscript"/>
                <w:lang w:eastAsia="en-GB"/>
              </w:rPr>
              <w:t>1</w:t>
            </w:r>
          </w:p>
        </w:tc>
      </w:tr>
      <w:tr w:rsidR="001042DA" w:rsidRPr="006B1A5A" w14:paraId="7AC822E4" w14:textId="77777777" w:rsidTr="00AF2AEA">
        <w:trPr>
          <w:trHeight w:val="75"/>
        </w:trPr>
        <w:tc>
          <w:tcPr>
            <w:tcW w:w="1384" w:type="pct"/>
            <w:shd w:val="clear" w:color="auto" w:fill="FFFFFF"/>
          </w:tcPr>
          <w:p w14:paraId="04C90024" w14:textId="77777777" w:rsidR="001042DA" w:rsidRPr="006B1A5A" w:rsidRDefault="001042DA" w:rsidP="00AF2AEA">
            <w:pPr>
              <w:spacing w:before="60" w:after="60"/>
              <w:rPr>
                <w:rFonts w:eastAsia="Calibri"/>
                <w:b/>
                <w:sz w:val="18"/>
                <w:szCs w:val="18"/>
                <w:lang w:eastAsia="en-GB"/>
              </w:rPr>
            </w:pPr>
            <w:r w:rsidRPr="006B1A5A">
              <w:rPr>
                <w:rFonts w:eastAsia="Calibri"/>
                <w:b/>
                <w:sz w:val="18"/>
                <w:szCs w:val="18"/>
                <w:lang w:eastAsia="en-GB"/>
              </w:rPr>
              <w:t>Norwegian fish farm scenario</w:t>
            </w:r>
          </w:p>
        </w:tc>
        <w:tc>
          <w:tcPr>
            <w:tcW w:w="774" w:type="pct"/>
            <w:shd w:val="clear" w:color="auto" w:fill="FFFFFF"/>
            <w:vAlign w:val="center"/>
          </w:tcPr>
          <w:p w14:paraId="2E17121D"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hAnsi="Verdana"/>
                <w:sz w:val="18"/>
                <w:szCs w:val="18"/>
                <w:lang w:val="en-GB" w:eastAsia="en-GB"/>
              </w:rPr>
              <w:t>0.07</w:t>
            </w:r>
          </w:p>
        </w:tc>
        <w:tc>
          <w:tcPr>
            <w:tcW w:w="948" w:type="pct"/>
            <w:shd w:val="clear" w:color="auto" w:fill="FFFFFF"/>
            <w:vAlign w:val="center"/>
          </w:tcPr>
          <w:p w14:paraId="461E9C61"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hAnsi="Verdana"/>
                <w:sz w:val="18"/>
                <w:szCs w:val="18"/>
                <w:lang w:val="en-GB" w:eastAsia="en-GB"/>
              </w:rPr>
              <w:t>0.06</w:t>
            </w:r>
          </w:p>
        </w:tc>
        <w:tc>
          <w:tcPr>
            <w:tcW w:w="949" w:type="pct"/>
            <w:shd w:val="clear" w:color="auto" w:fill="FFFFFF"/>
            <w:vAlign w:val="center"/>
          </w:tcPr>
          <w:p w14:paraId="1F6217C5"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hAnsi="Verdana"/>
                <w:sz w:val="18"/>
                <w:szCs w:val="18"/>
                <w:lang w:val="en-GB" w:eastAsia="en-GB"/>
              </w:rPr>
              <w:t>9.35</w:t>
            </w:r>
          </w:p>
        </w:tc>
        <w:tc>
          <w:tcPr>
            <w:tcW w:w="945" w:type="pct"/>
            <w:shd w:val="clear" w:color="auto" w:fill="FFFFFF"/>
            <w:vAlign w:val="center"/>
          </w:tcPr>
          <w:p w14:paraId="1136B4F0"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hAnsi="Verdana"/>
                <w:sz w:val="18"/>
                <w:szCs w:val="18"/>
                <w:lang w:val="en-GB" w:eastAsia="en-GB"/>
              </w:rPr>
              <w:t>0.09</w:t>
            </w:r>
          </w:p>
        </w:tc>
      </w:tr>
      <w:tr w:rsidR="001042DA" w:rsidRPr="006B1A5A" w14:paraId="70069A7C" w14:textId="77777777" w:rsidTr="00AF2AEA">
        <w:trPr>
          <w:trHeight w:val="75"/>
        </w:trPr>
        <w:tc>
          <w:tcPr>
            <w:tcW w:w="1384" w:type="pct"/>
            <w:shd w:val="clear" w:color="auto" w:fill="FFFFFF"/>
            <w:vAlign w:val="center"/>
          </w:tcPr>
          <w:p w14:paraId="6AEF7E82" w14:textId="77777777" w:rsidR="001042DA" w:rsidRPr="006B1A5A" w:rsidRDefault="001042DA" w:rsidP="00AF2AEA">
            <w:pPr>
              <w:spacing w:before="60" w:after="60"/>
              <w:jc w:val="center"/>
              <w:rPr>
                <w:rFonts w:eastAsia="Calibri"/>
                <w:b/>
                <w:sz w:val="18"/>
                <w:szCs w:val="18"/>
                <w:lang w:eastAsia="en-GB"/>
              </w:rPr>
            </w:pPr>
            <w:r w:rsidRPr="006B1A5A">
              <w:rPr>
                <w:rFonts w:eastAsia="Calibri"/>
                <w:b/>
                <w:sz w:val="18"/>
                <w:szCs w:val="18"/>
                <w:lang w:eastAsia="en-GB"/>
              </w:rPr>
              <w:t>Thiocyanate</w:t>
            </w:r>
          </w:p>
          <w:p w14:paraId="00D540D5" w14:textId="77777777" w:rsidR="001042DA" w:rsidRPr="006B1A5A" w:rsidRDefault="001042DA" w:rsidP="00AF2AEA">
            <w:pPr>
              <w:spacing w:before="60" w:after="60"/>
              <w:jc w:val="center"/>
              <w:rPr>
                <w:rFonts w:eastAsia="Calibri"/>
                <w:sz w:val="18"/>
                <w:szCs w:val="18"/>
                <w:lang w:eastAsia="en-GB"/>
              </w:rPr>
            </w:pPr>
            <w:r w:rsidRPr="006B1A5A">
              <w:rPr>
                <w:rFonts w:eastAsia="Calibri"/>
                <w:sz w:val="18"/>
                <w:szCs w:val="18"/>
                <w:lang w:eastAsia="en-GB"/>
              </w:rPr>
              <w:t>PNEC surrounding waters = 11 µg/L</w:t>
            </w:r>
          </w:p>
          <w:p w14:paraId="1024EBBF" w14:textId="77777777" w:rsidR="001042DA" w:rsidRPr="006B1A5A" w:rsidRDefault="001042DA" w:rsidP="00AF2AEA">
            <w:pPr>
              <w:spacing w:before="60" w:after="60"/>
              <w:jc w:val="center"/>
              <w:rPr>
                <w:rFonts w:eastAsia="Calibri"/>
                <w:b/>
                <w:sz w:val="18"/>
                <w:szCs w:val="18"/>
                <w:lang w:eastAsia="en-GB"/>
              </w:rPr>
            </w:pPr>
            <w:r w:rsidRPr="006B1A5A">
              <w:rPr>
                <w:rFonts w:eastAsia="Calibri"/>
                <w:sz w:val="18"/>
                <w:szCs w:val="18"/>
                <w:lang w:eastAsia="en-GB"/>
              </w:rPr>
              <w:t>PNEC</w:t>
            </w:r>
            <w:r w:rsidRPr="006B1A5A">
              <w:rPr>
                <w:rFonts w:eastAsia="Calibri"/>
                <w:sz w:val="18"/>
                <w:szCs w:val="18"/>
                <w:vertAlign w:val="subscript"/>
                <w:lang w:eastAsia="en-GB"/>
              </w:rPr>
              <w:t>sed</w:t>
            </w:r>
            <w:r w:rsidRPr="006B1A5A">
              <w:rPr>
                <w:rFonts w:eastAsia="Calibri"/>
                <w:sz w:val="18"/>
                <w:szCs w:val="18"/>
                <w:lang w:eastAsia="en-GB"/>
              </w:rPr>
              <w:t xml:space="preserve"> = 0.045 µg/g dw</w:t>
            </w:r>
          </w:p>
        </w:tc>
        <w:tc>
          <w:tcPr>
            <w:tcW w:w="774" w:type="pct"/>
            <w:shd w:val="clear" w:color="auto" w:fill="FFFFFF"/>
            <w:vAlign w:val="center"/>
          </w:tcPr>
          <w:p w14:paraId="7374B2FC" w14:textId="77777777" w:rsidR="001042DA" w:rsidRPr="006B1A5A" w:rsidRDefault="001042DA" w:rsidP="00AF2AEA">
            <w:pPr>
              <w:autoSpaceDE w:val="0"/>
              <w:autoSpaceDN w:val="0"/>
              <w:adjustRightInd w:val="0"/>
              <w:spacing w:before="60" w:after="60" w:line="260" w:lineRule="atLeast"/>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dissolved</w:t>
            </w:r>
          </w:p>
          <w:p w14:paraId="5F036684" w14:textId="77777777" w:rsidR="001042DA" w:rsidRPr="006B1A5A" w:rsidRDefault="001042DA" w:rsidP="00AF2AEA">
            <w:pPr>
              <w:autoSpaceDE w:val="0"/>
              <w:autoSpaceDN w:val="0"/>
              <w:adjustRightInd w:val="0"/>
              <w:spacing w:before="60" w:after="60" w:line="260" w:lineRule="atLeast"/>
              <w:jc w:val="center"/>
              <w:rPr>
                <w:rFonts w:eastAsia="Calibri"/>
                <w:sz w:val="18"/>
                <w:szCs w:val="18"/>
                <w:lang w:eastAsia="en-GB"/>
              </w:rPr>
            </w:pPr>
            <w:r w:rsidRPr="006B1A5A">
              <w:rPr>
                <w:rFonts w:eastAsia="Calibri"/>
                <w:sz w:val="18"/>
                <w:szCs w:val="18"/>
                <w:lang w:eastAsia="en-GB"/>
              </w:rPr>
              <w:t>[µg/L]</w:t>
            </w:r>
          </w:p>
        </w:tc>
        <w:tc>
          <w:tcPr>
            <w:tcW w:w="948" w:type="pct"/>
            <w:shd w:val="clear" w:color="auto" w:fill="FFFFFF"/>
            <w:vAlign w:val="center"/>
          </w:tcPr>
          <w:p w14:paraId="2080CD04" w14:textId="77777777" w:rsidR="001042DA" w:rsidRPr="006B1A5A" w:rsidRDefault="001042DA" w:rsidP="00AF2AEA">
            <w:pPr>
              <w:autoSpaceDE w:val="0"/>
              <w:autoSpaceDN w:val="0"/>
              <w:adjustRightInd w:val="0"/>
              <w:spacing w:before="60" w:after="60" w:line="260" w:lineRule="atLeast"/>
              <w:jc w:val="center"/>
              <w:rPr>
                <w:rFonts w:eastAsia="Calibri"/>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 xml:space="preserve">dissolved </w:t>
            </w:r>
            <w:r w:rsidRPr="006B1A5A">
              <w:rPr>
                <w:rFonts w:eastAsia="Calibri"/>
                <w:b/>
                <w:sz w:val="18"/>
                <w:szCs w:val="18"/>
                <w:lang w:eastAsia="en-GB"/>
              </w:rPr>
              <w:t>/ PNEC</w:t>
            </w:r>
            <w:r w:rsidRPr="006B1A5A">
              <w:rPr>
                <w:rFonts w:eastAsia="Calibri"/>
                <w:b/>
                <w:sz w:val="18"/>
                <w:szCs w:val="18"/>
                <w:vertAlign w:val="subscript"/>
                <w:lang w:eastAsia="en-GB"/>
              </w:rPr>
              <w:t xml:space="preserve">water </w:t>
            </w:r>
            <w:r w:rsidRPr="006B1A5A">
              <w:rPr>
                <w:rFonts w:eastAsia="Calibri"/>
                <w:b/>
                <w:sz w:val="18"/>
                <w:szCs w:val="18"/>
                <w:vertAlign w:val="superscript"/>
                <w:lang w:eastAsia="en-GB"/>
              </w:rPr>
              <w:t>1</w:t>
            </w:r>
          </w:p>
        </w:tc>
        <w:tc>
          <w:tcPr>
            <w:tcW w:w="949" w:type="pct"/>
            <w:shd w:val="clear" w:color="auto" w:fill="FFFFFF"/>
            <w:vAlign w:val="center"/>
          </w:tcPr>
          <w:p w14:paraId="0845DDFC" w14:textId="77777777" w:rsidR="001042DA" w:rsidRPr="006B1A5A" w:rsidRDefault="001042DA" w:rsidP="00AF2AEA">
            <w:pPr>
              <w:spacing w:before="60" w:after="60"/>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suspended sediment</w:t>
            </w:r>
          </w:p>
          <w:p w14:paraId="7B61C39E" w14:textId="77777777" w:rsidR="001042DA" w:rsidRPr="006B1A5A" w:rsidRDefault="001042DA" w:rsidP="00AF2AEA">
            <w:pPr>
              <w:spacing w:before="60" w:after="60"/>
              <w:jc w:val="center"/>
              <w:rPr>
                <w:rFonts w:eastAsia="Calibri"/>
                <w:sz w:val="18"/>
                <w:szCs w:val="18"/>
                <w:lang w:eastAsia="en-GB"/>
              </w:rPr>
            </w:pPr>
            <w:r w:rsidRPr="006B1A5A">
              <w:rPr>
                <w:rFonts w:eastAsia="Calibri"/>
                <w:sz w:val="18"/>
                <w:szCs w:val="18"/>
                <w:lang w:eastAsia="en-GB"/>
              </w:rPr>
              <w:t>[µg/g dw]</w:t>
            </w:r>
          </w:p>
        </w:tc>
        <w:tc>
          <w:tcPr>
            <w:tcW w:w="945" w:type="pct"/>
            <w:shd w:val="clear" w:color="auto" w:fill="FFFFFF"/>
            <w:vAlign w:val="center"/>
          </w:tcPr>
          <w:p w14:paraId="709A71A4" w14:textId="77777777" w:rsidR="001042DA" w:rsidRPr="006B1A5A" w:rsidRDefault="001042DA" w:rsidP="00AF2AEA">
            <w:pPr>
              <w:spacing w:before="60" w:after="60"/>
              <w:jc w:val="center"/>
              <w:rPr>
                <w:rFonts w:eastAsia="Calibri"/>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suspended sediment</w:t>
            </w:r>
            <w:r w:rsidRPr="006B1A5A">
              <w:rPr>
                <w:rFonts w:eastAsia="Calibri"/>
                <w:b/>
                <w:sz w:val="18"/>
                <w:szCs w:val="18"/>
                <w:lang w:eastAsia="en-GB"/>
              </w:rPr>
              <w:t>/ PNEC</w:t>
            </w:r>
            <w:r w:rsidRPr="006B1A5A">
              <w:rPr>
                <w:rFonts w:eastAsia="Calibri"/>
                <w:b/>
                <w:sz w:val="18"/>
                <w:szCs w:val="18"/>
                <w:vertAlign w:val="subscript"/>
                <w:lang w:eastAsia="en-GB"/>
              </w:rPr>
              <w:t xml:space="preserve">sediment </w:t>
            </w:r>
            <w:r w:rsidRPr="006B1A5A">
              <w:rPr>
                <w:rFonts w:eastAsia="Calibri"/>
                <w:b/>
                <w:sz w:val="18"/>
                <w:szCs w:val="18"/>
                <w:vertAlign w:val="superscript"/>
                <w:lang w:eastAsia="en-GB"/>
              </w:rPr>
              <w:t>1</w:t>
            </w:r>
          </w:p>
        </w:tc>
      </w:tr>
      <w:tr w:rsidR="001042DA" w:rsidRPr="006B1A5A" w14:paraId="533E28F3" w14:textId="77777777" w:rsidTr="00AF2AEA">
        <w:trPr>
          <w:trHeight w:val="75"/>
        </w:trPr>
        <w:tc>
          <w:tcPr>
            <w:tcW w:w="1384" w:type="pct"/>
            <w:shd w:val="clear" w:color="auto" w:fill="FFFFFF"/>
          </w:tcPr>
          <w:p w14:paraId="48617544" w14:textId="77777777" w:rsidR="001042DA" w:rsidRPr="006B1A5A" w:rsidRDefault="001042DA" w:rsidP="00AF2AEA">
            <w:pPr>
              <w:spacing w:before="60" w:after="60"/>
              <w:rPr>
                <w:rFonts w:eastAsia="Calibri"/>
                <w:b/>
                <w:sz w:val="18"/>
                <w:szCs w:val="18"/>
                <w:lang w:eastAsia="en-GB"/>
              </w:rPr>
            </w:pPr>
            <w:r w:rsidRPr="006B1A5A">
              <w:rPr>
                <w:rFonts w:eastAsia="Calibri"/>
                <w:b/>
                <w:sz w:val="18"/>
                <w:szCs w:val="18"/>
                <w:lang w:eastAsia="en-GB"/>
              </w:rPr>
              <w:t>Norwegian fish farm scenario</w:t>
            </w:r>
          </w:p>
        </w:tc>
        <w:tc>
          <w:tcPr>
            <w:tcW w:w="774" w:type="pct"/>
            <w:shd w:val="clear" w:color="auto" w:fill="FFFFFF"/>
            <w:vAlign w:val="center"/>
          </w:tcPr>
          <w:p w14:paraId="5DDC9309"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hAnsi="Verdana"/>
                <w:sz w:val="18"/>
                <w:szCs w:val="18"/>
                <w:lang w:val="en-GB" w:eastAsia="en-GB"/>
              </w:rPr>
              <w:t>0.01</w:t>
            </w:r>
          </w:p>
        </w:tc>
        <w:tc>
          <w:tcPr>
            <w:tcW w:w="948" w:type="pct"/>
            <w:shd w:val="clear" w:color="auto" w:fill="FFFFFF"/>
            <w:vAlign w:val="center"/>
          </w:tcPr>
          <w:p w14:paraId="7201983C"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hAnsi="Verdana"/>
                <w:sz w:val="18"/>
                <w:szCs w:val="18"/>
                <w:lang w:val="en-GB" w:eastAsia="en-GB"/>
              </w:rPr>
              <w:t>1.14E-03</w:t>
            </w:r>
          </w:p>
        </w:tc>
        <w:tc>
          <w:tcPr>
            <w:tcW w:w="949" w:type="pct"/>
            <w:shd w:val="clear" w:color="auto" w:fill="FFFFFF"/>
            <w:vAlign w:val="center"/>
          </w:tcPr>
          <w:p w14:paraId="423A1914"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hAnsi="Verdana"/>
                <w:sz w:val="18"/>
                <w:szCs w:val="18"/>
                <w:lang w:val="en-GB" w:eastAsia="en-GB"/>
              </w:rPr>
              <w:t>7.47E-06</w:t>
            </w:r>
          </w:p>
        </w:tc>
        <w:tc>
          <w:tcPr>
            <w:tcW w:w="945" w:type="pct"/>
            <w:shd w:val="clear" w:color="auto" w:fill="FFFFFF"/>
            <w:vAlign w:val="center"/>
          </w:tcPr>
          <w:p w14:paraId="49E0E1AB"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hAnsi="Verdana"/>
                <w:sz w:val="18"/>
                <w:szCs w:val="18"/>
                <w:lang w:val="en-GB" w:eastAsia="en-GB"/>
              </w:rPr>
              <w:t>1.66E-04</w:t>
            </w:r>
          </w:p>
        </w:tc>
      </w:tr>
      <w:tr w:rsidR="001042DA" w:rsidRPr="006B1A5A" w14:paraId="7D57E87C" w14:textId="77777777" w:rsidTr="00AF2AEA">
        <w:trPr>
          <w:trHeight w:val="75"/>
        </w:trPr>
        <w:tc>
          <w:tcPr>
            <w:tcW w:w="5000" w:type="pct"/>
            <w:gridSpan w:val="5"/>
            <w:tcBorders>
              <w:top w:val="single" w:sz="4" w:space="0" w:color="auto"/>
              <w:left w:val="nil"/>
              <w:bottom w:val="nil"/>
              <w:right w:val="nil"/>
            </w:tcBorders>
            <w:shd w:val="clear" w:color="auto" w:fill="FFFFFF"/>
          </w:tcPr>
          <w:p w14:paraId="12B5C53A" w14:textId="77777777" w:rsidR="001042DA" w:rsidRPr="006B1A5A" w:rsidRDefault="001042DA" w:rsidP="00AF2AEA">
            <w:pPr>
              <w:rPr>
                <w:b/>
                <w:sz w:val="18"/>
              </w:rPr>
            </w:pPr>
            <w:r w:rsidRPr="006B1A5A">
              <w:rPr>
                <w:sz w:val="18"/>
                <w:vertAlign w:val="superscript"/>
              </w:rPr>
              <w:t>1</w:t>
            </w:r>
            <w:r w:rsidRPr="006B1A5A">
              <w:rPr>
                <w:sz w:val="18"/>
              </w:rPr>
              <w:t xml:space="preserve"> PEC/PNEC </w:t>
            </w:r>
            <w:r w:rsidRPr="006B1A5A">
              <w:rPr>
                <w:sz w:val="18"/>
                <w:szCs w:val="18"/>
              </w:rPr>
              <w:t>ratios above</w:t>
            </w:r>
            <w:r w:rsidRPr="006B1A5A">
              <w:rPr>
                <w:sz w:val="18"/>
              </w:rPr>
              <w:t xml:space="preserve"> 1 </w:t>
            </w:r>
            <w:r w:rsidRPr="006B1A5A">
              <w:rPr>
                <w:sz w:val="18"/>
                <w:szCs w:val="18"/>
              </w:rPr>
              <w:t>(values</w:t>
            </w:r>
            <w:r w:rsidRPr="006B1A5A">
              <w:rPr>
                <w:sz w:val="18"/>
              </w:rPr>
              <w:t xml:space="preserve"> in </w:t>
            </w:r>
            <w:r w:rsidRPr="006B1A5A">
              <w:rPr>
                <w:b/>
                <w:sz w:val="18"/>
              </w:rPr>
              <w:t>bold</w:t>
            </w:r>
            <w:r w:rsidRPr="006B1A5A">
              <w:rPr>
                <w:sz w:val="18"/>
                <w:szCs w:val="18"/>
              </w:rPr>
              <w:t>)</w:t>
            </w:r>
            <w:r w:rsidRPr="006B1A5A">
              <w:rPr>
                <w:sz w:val="18"/>
              </w:rPr>
              <w:t xml:space="preserve"> indicate unacceptable </w:t>
            </w:r>
            <w:r w:rsidRPr="006B1A5A">
              <w:rPr>
                <w:sz w:val="18"/>
                <w:szCs w:val="18"/>
              </w:rPr>
              <w:t>environmental risks.</w:t>
            </w:r>
          </w:p>
          <w:p w14:paraId="625BF877" w14:textId="77777777" w:rsidR="001042DA" w:rsidRPr="006B1A5A" w:rsidRDefault="001042DA" w:rsidP="00AF2AEA">
            <w:pPr>
              <w:rPr>
                <w:b/>
                <w:sz w:val="18"/>
              </w:rPr>
            </w:pPr>
          </w:p>
        </w:tc>
      </w:tr>
    </w:tbl>
    <w:p w14:paraId="307ED588" w14:textId="77777777" w:rsidR="001042DA" w:rsidRPr="006B1A5A" w:rsidRDefault="001042DA" w:rsidP="001042DA"/>
    <w:p w14:paraId="0CD29F3F" w14:textId="77777777" w:rsidR="001042DA" w:rsidRPr="006B1A5A" w:rsidRDefault="001042DA" w:rsidP="001042D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6"/>
        <w:gridCol w:w="1629"/>
        <w:gridCol w:w="1631"/>
        <w:gridCol w:w="1631"/>
        <w:gridCol w:w="1767"/>
      </w:tblGrid>
      <w:tr w:rsidR="001042DA" w:rsidRPr="006B1A5A" w14:paraId="6DA4DDE4" w14:textId="77777777" w:rsidTr="00AF2AEA">
        <w:trPr>
          <w:trHeight w:val="249"/>
        </w:trPr>
        <w:tc>
          <w:tcPr>
            <w:tcW w:w="5000" w:type="pct"/>
            <w:gridSpan w:val="5"/>
            <w:tcBorders>
              <w:top w:val="single" w:sz="4" w:space="0" w:color="auto"/>
              <w:left w:val="single" w:sz="4" w:space="0" w:color="auto"/>
              <w:bottom w:val="single" w:sz="4" w:space="0" w:color="auto"/>
            </w:tcBorders>
            <w:shd w:val="clear" w:color="auto" w:fill="FFFFCC"/>
            <w:vAlign w:val="center"/>
          </w:tcPr>
          <w:p w14:paraId="0733E964" w14:textId="77777777" w:rsidR="001042DA" w:rsidRPr="006B1A5A" w:rsidRDefault="001042DA" w:rsidP="00AF2AEA">
            <w:pPr>
              <w:keepNext/>
              <w:autoSpaceDE w:val="0"/>
              <w:autoSpaceDN w:val="0"/>
              <w:adjustRightInd w:val="0"/>
              <w:spacing w:before="60" w:after="60" w:line="260" w:lineRule="atLeast"/>
              <w:jc w:val="center"/>
              <w:rPr>
                <w:rFonts w:eastAsia="Calibri"/>
                <w:b/>
                <w:color w:val="000000" w:themeColor="text1"/>
                <w:sz w:val="18"/>
                <w:szCs w:val="18"/>
                <w:lang w:eastAsia="en-GB"/>
              </w:rPr>
            </w:pPr>
            <w:r w:rsidRPr="006B1A5A">
              <w:rPr>
                <w:rFonts w:eastAsia="Calibri"/>
                <w:b/>
                <w:color w:val="000000" w:themeColor="text1"/>
                <w:sz w:val="18"/>
                <w:szCs w:val="18"/>
                <w:lang w:eastAsia="en-GB"/>
              </w:rPr>
              <w:t>AquaNet HG360</w:t>
            </w:r>
          </w:p>
          <w:p w14:paraId="6D8D48F6" w14:textId="77777777" w:rsidR="001042DA" w:rsidRPr="006B1A5A" w:rsidRDefault="001042DA" w:rsidP="00AF2AEA">
            <w:pPr>
              <w:keepNext/>
              <w:autoSpaceDE w:val="0"/>
              <w:autoSpaceDN w:val="0"/>
              <w:adjustRightInd w:val="0"/>
              <w:spacing w:before="60" w:after="60" w:line="260" w:lineRule="atLeast"/>
              <w:jc w:val="center"/>
              <w:rPr>
                <w:rFonts w:eastAsia="Calibri"/>
                <w:b/>
                <w:color w:val="000000" w:themeColor="text1"/>
                <w:sz w:val="18"/>
                <w:szCs w:val="18"/>
                <w:lang w:eastAsia="en-GB"/>
              </w:rPr>
            </w:pPr>
            <w:r w:rsidRPr="006B1A5A">
              <w:rPr>
                <w:rFonts w:eastAsia="Calibri"/>
                <w:b/>
                <w:color w:val="000000" w:themeColor="text1"/>
                <w:sz w:val="18"/>
                <w:szCs w:val="18"/>
                <w:lang w:eastAsia="en-GB"/>
              </w:rPr>
              <w:t xml:space="preserve">Average PEC values calculated by MAMPEC v3.1 </w:t>
            </w:r>
          </w:p>
          <w:p w14:paraId="603508F1" w14:textId="77777777" w:rsidR="001042DA" w:rsidRPr="006B1A5A" w:rsidRDefault="001042DA" w:rsidP="00AF2AEA">
            <w:pPr>
              <w:keepNext/>
              <w:shd w:val="clear" w:color="auto" w:fill="CCFFCC"/>
              <w:autoSpaceDE w:val="0"/>
              <w:autoSpaceDN w:val="0"/>
              <w:adjustRightInd w:val="0"/>
              <w:spacing w:before="60" w:after="60" w:line="260" w:lineRule="atLeast"/>
              <w:jc w:val="center"/>
              <w:rPr>
                <w:rFonts w:eastAsia="Calibri"/>
                <w:b/>
                <w:sz w:val="18"/>
                <w:szCs w:val="18"/>
                <w:lang w:eastAsia="en-GB"/>
              </w:rPr>
            </w:pPr>
            <w:r w:rsidRPr="006B1A5A">
              <w:rPr>
                <w:rFonts w:eastAsia="Calibri"/>
                <w:b/>
                <w:color w:val="000000" w:themeColor="text1"/>
                <w:sz w:val="18"/>
                <w:szCs w:val="18"/>
                <w:lang w:eastAsia="en-GB"/>
              </w:rPr>
              <w:t>(with background concentration for Cu)</w:t>
            </w:r>
          </w:p>
        </w:tc>
      </w:tr>
      <w:tr w:rsidR="001042DA" w:rsidRPr="006B1A5A" w14:paraId="1565AE54" w14:textId="77777777" w:rsidTr="00AF2AEA">
        <w:trPr>
          <w:trHeight w:val="249"/>
        </w:trPr>
        <w:tc>
          <w:tcPr>
            <w:tcW w:w="1383" w:type="pct"/>
            <w:shd w:val="clear" w:color="auto" w:fill="FFFFFF"/>
            <w:vAlign w:val="center"/>
          </w:tcPr>
          <w:p w14:paraId="68E15396" w14:textId="77777777" w:rsidR="001042DA" w:rsidRPr="006B1A5A" w:rsidRDefault="001042DA" w:rsidP="00AF2AEA">
            <w:pPr>
              <w:spacing w:before="60" w:after="60"/>
              <w:jc w:val="center"/>
              <w:rPr>
                <w:rFonts w:eastAsia="Calibri"/>
                <w:b/>
                <w:sz w:val="18"/>
                <w:szCs w:val="18"/>
                <w:lang w:eastAsia="en-GB"/>
              </w:rPr>
            </w:pPr>
            <w:r w:rsidRPr="006B1A5A">
              <w:rPr>
                <w:rFonts w:eastAsia="Calibri"/>
                <w:b/>
                <w:sz w:val="18"/>
                <w:szCs w:val="18"/>
                <w:lang w:eastAsia="en-GB"/>
              </w:rPr>
              <w:t>Copper</w:t>
            </w:r>
          </w:p>
          <w:p w14:paraId="275080BA" w14:textId="77777777" w:rsidR="001042DA" w:rsidRPr="006B1A5A" w:rsidRDefault="001042DA" w:rsidP="00AF2AEA">
            <w:pPr>
              <w:spacing w:before="60" w:after="60"/>
              <w:jc w:val="center"/>
              <w:rPr>
                <w:rFonts w:eastAsia="Calibri"/>
                <w:sz w:val="18"/>
                <w:szCs w:val="18"/>
                <w:lang w:eastAsia="en-GB"/>
              </w:rPr>
            </w:pPr>
            <w:r w:rsidRPr="006B1A5A">
              <w:rPr>
                <w:rFonts w:eastAsia="Calibri"/>
                <w:sz w:val="18"/>
                <w:szCs w:val="18"/>
                <w:lang w:eastAsia="en-GB"/>
              </w:rPr>
              <w:t>PNECsurrounding waters = 1.15 µg/L</w:t>
            </w:r>
          </w:p>
          <w:p w14:paraId="5667343D" w14:textId="77777777" w:rsidR="001042DA" w:rsidRPr="006B1A5A" w:rsidRDefault="001042DA" w:rsidP="00AF2AEA">
            <w:pPr>
              <w:keepNext/>
              <w:spacing w:before="60" w:after="60"/>
              <w:jc w:val="center"/>
              <w:rPr>
                <w:rFonts w:eastAsia="Calibri"/>
                <w:sz w:val="18"/>
                <w:szCs w:val="18"/>
                <w:lang w:eastAsia="en-GB"/>
              </w:rPr>
            </w:pPr>
            <w:r w:rsidRPr="006B1A5A">
              <w:rPr>
                <w:rFonts w:eastAsia="Calibri"/>
                <w:sz w:val="18"/>
                <w:szCs w:val="18"/>
                <w:lang w:eastAsia="en-GB"/>
              </w:rPr>
              <w:t>PNEC</w:t>
            </w:r>
            <w:r w:rsidRPr="006B1A5A">
              <w:rPr>
                <w:rFonts w:eastAsia="Calibri"/>
                <w:sz w:val="18"/>
                <w:szCs w:val="18"/>
                <w:vertAlign w:val="subscript"/>
                <w:lang w:eastAsia="en-GB"/>
              </w:rPr>
              <w:t>sed</w:t>
            </w:r>
            <w:r w:rsidRPr="006B1A5A">
              <w:rPr>
                <w:rFonts w:eastAsia="Calibri"/>
                <w:sz w:val="18"/>
                <w:szCs w:val="18"/>
                <w:lang w:eastAsia="en-GB"/>
              </w:rPr>
              <w:t xml:space="preserve"> = 98.8 µg/g dw</w:t>
            </w:r>
          </w:p>
        </w:tc>
        <w:tc>
          <w:tcPr>
            <w:tcW w:w="885" w:type="pct"/>
            <w:shd w:val="clear" w:color="auto" w:fill="FFFFFF"/>
            <w:vAlign w:val="center"/>
          </w:tcPr>
          <w:p w14:paraId="504BEBBD" w14:textId="77777777" w:rsidR="001042DA" w:rsidRPr="006B1A5A" w:rsidRDefault="001042DA" w:rsidP="00AF2AEA">
            <w:pPr>
              <w:autoSpaceDE w:val="0"/>
              <w:autoSpaceDN w:val="0"/>
              <w:adjustRightInd w:val="0"/>
              <w:spacing w:before="60" w:after="60" w:line="260" w:lineRule="atLeast"/>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dissolved</w:t>
            </w:r>
          </w:p>
          <w:p w14:paraId="0B9F9ADD" w14:textId="77777777" w:rsidR="001042DA" w:rsidRPr="006B1A5A" w:rsidRDefault="001042DA" w:rsidP="00AF2AEA">
            <w:pPr>
              <w:keepNext/>
              <w:autoSpaceDE w:val="0"/>
              <w:autoSpaceDN w:val="0"/>
              <w:adjustRightInd w:val="0"/>
              <w:spacing w:before="60" w:after="60" w:line="260" w:lineRule="atLeast"/>
              <w:jc w:val="center"/>
              <w:rPr>
                <w:rFonts w:eastAsia="Calibri"/>
                <w:sz w:val="18"/>
                <w:szCs w:val="18"/>
                <w:lang w:eastAsia="en-GB"/>
              </w:rPr>
            </w:pPr>
            <w:r w:rsidRPr="006B1A5A">
              <w:rPr>
                <w:rFonts w:eastAsia="Calibri"/>
                <w:sz w:val="18"/>
                <w:szCs w:val="18"/>
                <w:lang w:eastAsia="en-GB"/>
              </w:rPr>
              <w:t>[µg/L]</w:t>
            </w:r>
          </w:p>
        </w:tc>
        <w:tc>
          <w:tcPr>
            <w:tcW w:w="886" w:type="pct"/>
            <w:shd w:val="clear" w:color="auto" w:fill="FFFFFF"/>
            <w:vAlign w:val="center"/>
          </w:tcPr>
          <w:p w14:paraId="0504C4AA" w14:textId="77777777" w:rsidR="001042DA" w:rsidRPr="006B1A5A" w:rsidRDefault="001042DA" w:rsidP="00AF2AEA">
            <w:pPr>
              <w:keepNext/>
              <w:autoSpaceDE w:val="0"/>
              <w:autoSpaceDN w:val="0"/>
              <w:adjustRightInd w:val="0"/>
              <w:spacing w:before="60" w:after="60" w:line="260" w:lineRule="atLeast"/>
              <w:jc w:val="center"/>
              <w:rPr>
                <w:rFonts w:eastAsia="Calibri"/>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 xml:space="preserve">dissolved </w:t>
            </w:r>
            <w:r w:rsidRPr="006B1A5A">
              <w:rPr>
                <w:rFonts w:eastAsia="Calibri"/>
                <w:b/>
                <w:sz w:val="18"/>
                <w:szCs w:val="18"/>
                <w:lang w:eastAsia="en-GB"/>
              </w:rPr>
              <w:t>/ PNEC</w:t>
            </w:r>
            <w:r w:rsidRPr="006B1A5A">
              <w:rPr>
                <w:rFonts w:eastAsia="Calibri"/>
                <w:b/>
                <w:sz w:val="18"/>
                <w:szCs w:val="18"/>
                <w:vertAlign w:val="subscript"/>
                <w:lang w:eastAsia="en-GB"/>
              </w:rPr>
              <w:t xml:space="preserve">water </w:t>
            </w:r>
            <w:r w:rsidRPr="006B1A5A">
              <w:rPr>
                <w:rFonts w:eastAsia="Calibri"/>
                <w:b/>
                <w:sz w:val="18"/>
                <w:szCs w:val="18"/>
                <w:vertAlign w:val="superscript"/>
                <w:lang w:eastAsia="en-GB"/>
              </w:rPr>
              <w:t>1</w:t>
            </w:r>
          </w:p>
        </w:tc>
        <w:tc>
          <w:tcPr>
            <w:tcW w:w="886" w:type="pct"/>
            <w:shd w:val="clear" w:color="auto" w:fill="FFFFFF"/>
            <w:vAlign w:val="center"/>
          </w:tcPr>
          <w:p w14:paraId="22F95FF6" w14:textId="77777777" w:rsidR="001042DA" w:rsidRPr="006B1A5A" w:rsidRDefault="001042DA" w:rsidP="00AF2AEA">
            <w:pPr>
              <w:spacing w:before="60" w:after="60"/>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suspended sediment</w:t>
            </w:r>
          </w:p>
          <w:p w14:paraId="53E32EAB" w14:textId="77777777" w:rsidR="001042DA" w:rsidRPr="006B1A5A" w:rsidRDefault="001042DA" w:rsidP="00AF2AEA">
            <w:pPr>
              <w:keepNext/>
              <w:spacing w:before="60" w:after="60"/>
              <w:jc w:val="center"/>
              <w:rPr>
                <w:rFonts w:eastAsia="Calibri"/>
                <w:sz w:val="18"/>
                <w:szCs w:val="18"/>
                <w:lang w:eastAsia="en-GB"/>
              </w:rPr>
            </w:pPr>
            <w:r w:rsidRPr="006B1A5A">
              <w:rPr>
                <w:rFonts w:eastAsia="Calibri"/>
                <w:sz w:val="18"/>
                <w:szCs w:val="18"/>
                <w:lang w:eastAsia="en-GB"/>
              </w:rPr>
              <w:t>[µg/g dw]</w:t>
            </w:r>
          </w:p>
        </w:tc>
        <w:tc>
          <w:tcPr>
            <w:tcW w:w="960" w:type="pct"/>
            <w:shd w:val="clear" w:color="auto" w:fill="auto"/>
            <w:vAlign w:val="center"/>
          </w:tcPr>
          <w:p w14:paraId="4D8228D7" w14:textId="77777777" w:rsidR="001042DA" w:rsidRPr="006B1A5A" w:rsidRDefault="001042DA" w:rsidP="00AF2AEA">
            <w:pPr>
              <w:keepNext/>
              <w:spacing w:before="60" w:after="60"/>
              <w:jc w:val="center"/>
              <w:rPr>
                <w:rFonts w:eastAsia="Calibri"/>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suspended sediment</w:t>
            </w:r>
            <w:r w:rsidRPr="006B1A5A">
              <w:rPr>
                <w:rFonts w:eastAsia="Calibri"/>
                <w:b/>
                <w:sz w:val="18"/>
                <w:szCs w:val="18"/>
                <w:lang w:eastAsia="en-GB"/>
              </w:rPr>
              <w:t>/ PNEC</w:t>
            </w:r>
            <w:r w:rsidRPr="006B1A5A">
              <w:rPr>
                <w:rFonts w:eastAsia="Calibri"/>
                <w:b/>
                <w:sz w:val="18"/>
                <w:szCs w:val="18"/>
                <w:vertAlign w:val="subscript"/>
                <w:lang w:eastAsia="en-GB"/>
              </w:rPr>
              <w:t xml:space="preserve">sediment </w:t>
            </w:r>
            <w:r w:rsidRPr="006B1A5A">
              <w:rPr>
                <w:rFonts w:eastAsia="Calibri"/>
                <w:b/>
                <w:sz w:val="18"/>
                <w:szCs w:val="18"/>
                <w:vertAlign w:val="superscript"/>
                <w:lang w:eastAsia="en-GB"/>
              </w:rPr>
              <w:t>1</w:t>
            </w:r>
          </w:p>
        </w:tc>
      </w:tr>
      <w:tr w:rsidR="001042DA" w:rsidRPr="006B1A5A" w14:paraId="6BE62B2B" w14:textId="77777777" w:rsidTr="00AF2AEA">
        <w:trPr>
          <w:trHeight w:val="75"/>
        </w:trPr>
        <w:tc>
          <w:tcPr>
            <w:tcW w:w="1383" w:type="pct"/>
            <w:shd w:val="clear" w:color="auto" w:fill="FFFFFF"/>
          </w:tcPr>
          <w:p w14:paraId="78DD8768" w14:textId="77777777" w:rsidR="001042DA" w:rsidRPr="006B1A5A" w:rsidRDefault="001042DA" w:rsidP="00AF2AEA">
            <w:pPr>
              <w:keepNext/>
              <w:spacing w:before="60" w:after="60"/>
              <w:rPr>
                <w:rFonts w:eastAsia="Calibri"/>
                <w:b/>
                <w:sz w:val="18"/>
                <w:szCs w:val="18"/>
                <w:lang w:eastAsia="en-GB"/>
              </w:rPr>
            </w:pPr>
            <w:r w:rsidRPr="006B1A5A">
              <w:rPr>
                <w:rFonts w:eastAsia="Calibri"/>
                <w:b/>
                <w:sz w:val="18"/>
                <w:szCs w:val="18"/>
                <w:lang w:eastAsia="en-GB"/>
              </w:rPr>
              <w:t>Norwegian fish farm scenario</w:t>
            </w:r>
          </w:p>
        </w:tc>
        <w:tc>
          <w:tcPr>
            <w:tcW w:w="885" w:type="pct"/>
            <w:shd w:val="clear" w:color="auto" w:fill="FFFFFF"/>
            <w:vAlign w:val="center"/>
          </w:tcPr>
          <w:p w14:paraId="65A09824" w14:textId="77777777" w:rsidR="001042DA" w:rsidRPr="006B1A5A" w:rsidRDefault="001042DA" w:rsidP="00AF2AEA">
            <w:pPr>
              <w:pStyle w:val="Ingenmellomrom"/>
              <w:keepNext/>
              <w:jc w:val="center"/>
              <w:rPr>
                <w:rFonts w:ascii="Verdana" w:hAnsi="Verdana"/>
                <w:sz w:val="18"/>
                <w:szCs w:val="18"/>
                <w:lang w:val="en-GB" w:eastAsia="en-GB"/>
              </w:rPr>
            </w:pPr>
            <w:r w:rsidRPr="006B1A5A">
              <w:rPr>
                <w:rFonts w:ascii="Verdana" w:hAnsi="Verdana"/>
                <w:sz w:val="18"/>
                <w:szCs w:val="18"/>
                <w:lang w:val="en-GB" w:eastAsia="en-GB"/>
              </w:rPr>
              <w:t>1.17</w:t>
            </w:r>
          </w:p>
        </w:tc>
        <w:tc>
          <w:tcPr>
            <w:tcW w:w="886" w:type="pct"/>
            <w:shd w:val="clear" w:color="auto" w:fill="FFFFFF"/>
            <w:vAlign w:val="center"/>
          </w:tcPr>
          <w:p w14:paraId="5CF9848D" w14:textId="77777777" w:rsidR="001042DA" w:rsidRPr="006B1A5A" w:rsidRDefault="001042DA" w:rsidP="00AF2AEA">
            <w:pPr>
              <w:pStyle w:val="Ingenmellomrom"/>
              <w:keepNext/>
              <w:jc w:val="center"/>
              <w:rPr>
                <w:rFonts w:ascii="Verdana" w:hAnsi="Verdana"/>
                <w:sz w:val="18"/>
                <w:szCs w:val="18"/>
                <w:lang w:val="en-GB" w:eastAsia="en-GB"/>
              </w:rPr>
            </w:pPr>
            <w:r w:rsidRPr="006B1A5A">
              <w:rPr>
                <w:rFonts w:ascii="Verdana" w:hAnsi="Verdana"/>
                <w:sz w:val="18"/>
                <w:szCs w:val="18"/>
                <w:lang w:val="en-GB" w:eastAsia="en-GB"/>
              </w:rPr>
              <w:t>1.02</w:t>
            </w:r>
          </w:p>
        </w:tc>
        <w:tc>
          <w:tcPr>
            <w:tcW w:w="886" w:type="pct"/>
            <w:shd w:val="clear" w:color="auto" w:fill="FFFFFF"/>
            <w:vAlign w:val="center"/>
          </w:tcPr>
          <w:p w14:paraId="6B5F0F81" w14:textId="77777777" w:rsidR="001042DA" w:rsidRPr="006B1A5A" w:rsidRDefault="001042DA" w:rsidP="00AF2AEA">
            <w:pPr>
              <w:pStyle w:val="Ingenmellomrom"/>
              <w:keepNext/>
              <w:jc w:val="center"/>
              <w:rPr>
                <w:rFonts w:ascii="Verdana" w:hAnsi="Verdana"/>
                <w:sz w:val="18"/>
                <w:szCs w:val="18"/>
                <w:lang w:val="en-GB" w:eastAsia="en-GB"/>
              </w:rPr>
            </w:pPr>
            <w:r w:rsidRPr="006B1A5A">
              <w:rPr>
                <w:rFonts w:ascii="Verdana" w:hAnsi="Verdana"/>
                <w:sz w:val="18"/>
                <w:szCs w:val="18"/>
                <w:lang w:val="en-GB" w:eastAsia="en-GB"/>
              </w:rPr>
              <w:t>25.5</w:t>
            </w:r>
          </w:p>
        </w:tc>
        <w:tc>
          <w:tcPr>
            <w:tcW w:w="960" w:type="pct"/>
            <w:shd w:val="clear" w:color="auto" w:fill="FFFFFF"/>
            <w:vAlign w:val="center"/>
          </w:tcPr>
          <w:p w14:paraId="38E2B27D" w14:textId="77777777" w:rsidR="001042DA" w:rsidRPr="006B1A5A" w:rsidRDefault="001042DA" w:rsidP="00AF2AEA">
            <w:pPr>
              <w:pStyle w:val="Ingenmellomrom"/>
              <w:keepNext/>
              <w:jc w:val="center"/>
              <w:rPr>
                <w:rFonts w:ascii="Verdana" w:hAnsi="Verdana"/>
                <w:sz w:val="18"/>
                <w:szCs w:val="18"/>
                <w:lang w:val="en-GB" w:eastAsia="en-GB"/>
              </w:rPr>
            </w:pPr>
            <w:r w:rsidRPr="006B1A5A">
              <w:rPr>
                <w:rFonts w:ascii="Verdana" w:hAnsi="Verdana"/>
                <w:sz w:val="18"/>
                <w:szCs w:val="18"/>
                <w:lang w:val="en-GB" w:eastAsia="en-GB"/>
              </w:rPr>
              <w:t>0.26</w:t>
            </w:r>
          </w:p>
        </w:tc>
      </w:tr>
      <w:tr w:rsidR="001042DA" w:rsidRPr="006B1A5A" w14:paraId="6245FE90" w14:textId="77777777" w:rsidTr="00AF2AEA">
        <w:trPr>
          <w:trHeight w:val="75"/>
        </w:trPr>
        <w:tc>
          <w:tcPr>
            <w:tcW w:w="1383" w:type="pct"/>
            <w:shd w:val="clear" w:color="auto" w:fill="FFFFFF"/>
            <w:vAlign w:val="center"/>
          </w:tcPr>
          <w:p w14:paraId="7812EE94" w14:textId="77777777" w:rsidR="001042DA" w:rsidRPr="006B1A5A" w:rsidRDefault="001042DA" w:rsidP="00AF2AEA">
            <w:pPr>
              <w:spacing w:before="60" w:after="60"/>
              <w:jc w:val="center"/>
              <w:rPr>
                <w:rFonts w:eastAsia="Calibri"/>
                <w:b/>
                <w:sz w:val="18"/>
                <w:szCs w:val="18"/>
                <w:lang w:eastAsia="en-GB"/>
              </w:rPr>
            </w:pPr>
            <w:r w:rsidRPr="006B1A5A">
              <w:rPr>
                <w:rFonts w:eastAsia="Calibri"/>
                <w:b/>
                <w:sz w:val="18"/>
                <w:szCs w:val="18"/>
                <w:lang w:eastAsia="en-GB"/>
              </w:rPr>
              <w:t>Thiocyanate</w:t>
            </w:r>
          </w:p>
          <w:p w14:paraId="09579B94" w14:textId="77777777" w:rsidR="001042DA" w:rsidRPr="006B1A5A" w:rsidRDefault="001042DA" w:rsidP="00AF2AEA">
            <w:pPr>
              <w:spacing w:before="60" w:after="60"/>
              <w:jc w:val="center"/>
              <w:rPr>
                <w:rFonts w:eastAsia="Calibri"/>
                <w:sz w:val="18"/>
                <w:szCs w:val="18"/>
                <w:lang w:eastAsia="en-GB"/>
              </w:rPr>
            </w:pPr>
            <w:r w:rsidRPr="006B1A5A">
              <w:rPr>
                <w:rFonts w:eastAsia="Calibri"/>
                <w:sz w:val="18"/>
                <w:szCs w:val="18"/>
                <w:lang w:eastAsia="en-GB"/>
              </w:rPr>
              <w:t>PNEC surrounding waters = 11 µg/L</w:t>
            </w:r>
          </w:p>
          <w:p w14:paraId="00F84154" w14:textId="77777777" w:rsidR="001042DA" w:rsidRPr="006B1A5A" w:rsidRDefault="001042DA" w:rsidP="00AF2AEA">
            <w:pPr>
              <w:keepNext/>
              <w:spacing w:before="60" w:after="60"/>
              <w:jc w:val="center"/>
              <w:rPr>
                <w:rFonts w:eastAsia="Calibri"/>
                <w:sz w:val="18"/>
                <w:szCs w:val="18"/>
                <w:lang w:eastAsia="en-GB"/>
              </w:rPr>
            </w:pPr>
            <w:r w:rsidRPr="006B1A5A">
              <w:rPr>
                <w:rFonts w:eastAsia="Calibri"/>
                <w:sz w:val="18"/>
                <w:szCs w:val="18"/>
                <w:lang w:eastAsia="en-GB"/>
              </w:rPr>
              <w:t>PNEC</w:t>
            </w:r>
            <w:r w:rsidRPr="006B1A5A">
              <w:rPr>
                <w:rFonts w:eastAsia="Calibri"/>
                <w:sz w:val="18"/>
                <w:szCs w:val="18"/>
                <w:vertAlign w:val="subscript"/>
                <w:lang w:eastAsia="en-GB"/>
              </w:rPr>
              <w:t>sed</w:t>
            </w:r>
            <w:r w:rsidRPr="006B1A5A">
              <w:rPr>
                <w:rFonts w:eastAsia="Calibri"/>
                <w:sz w:val="18"/>
                <w:szCs w:val="18"/>
                <w:lang w:eastAsia="en-GB"/>
              </w:rPr>
              <w:t xml:space="preserve"> = 0.045 µg/g dw</w:t>
            </w:r>
          </w:p>
        </w:tc>
        <w:tc>
          <w:tcPr>
            <w:tcW w:w="885" w:type="pct"/>
            <w:shd w:val="clear" w:color="auto" w:fill="FFFFFF"/>
            <w:vAlign w:val="center"/>
          </w:tcPr>
          <w:p w14:paraId="4EEEEEB5" w14:textId="77777777" w:rsidR="001042DA" w:rsidRPr="006B1A5A" w:rsidRDefault="001042DA" w:rsidP="00AF2AEA">
            <w:pPr>
              <w:autoSpaceDE w:val="0"/>
              <w:autoSpaceDN w:val="0"/>
              <w:adjustRightInd w:val="0"/>
              <w:spacing w:before="60" w:after="60" w:line="260" w:lineRule="atLeast"/>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dissolved</w:t>
            </w:r>
          </w:p>
          <w:p w14:paraId="3F4882A0" w14:textId="77777777" w:rsidR="001042DA" w:rsidRPr="006B1A5A" w:rsidRDefault="001042DA" w:rsidP="00AF2AEA">
            <w:pPr>
              <w:keepNext/>
              <w:autoSpaceDE w:val="0"/>
              <w:autoSpaceDN w:val="0"/>
              <w:adjustRightInd w:val="0"/>
              <w:spacing w:before="60" w:after="60" w:line="260" w:lineRule="atLeast"/>
              <w:jc w:val="center"/>
              <w:rPr>
                <w:rFonts w:eastAsia="Calibri"/>
                <w:sz w:val="18"/>
                <w:szCs w:val="18"/>
                <w:lang w:eastAsia="en-GB"/>
              </w:rPr>
            </w:pPr>
            <w:r w:rsidRPr="006B1A5A">
              <w:rPr>
                <w:rFonts w:eastAsia="Calibri"/>
                <w:sz w:val="18"/>
                <w:szCs w:val="18"/>
                <w:lang w:eastAsia="en-GB"/>
              </w:rPr>
              <w:t>[µg/L]</w:t>
            </w:r>
          </w:p>
        </w:tc>
        <w:tc>
          <w:tcPr>
            <w:tcW w:w="886" w:type="pct"/>
            <w:shd w:val="clear" w:color="auto" w:fill="FFFFFF"/>
            <w:vAlign w:val="center"/>
          </w:tcPr>
          <w:p w14:paraId="5BC81681" w14:textId="77777777" w:rsidR="001042DA" w:rsidRPr="006B1A5A" w:rsidRDefault="001042DA" w:rsidP="00AF2AEA">
            <w:pPr>
              <w:keepNext/>
              <w:autoSpaceDE w:val="0"/>
              <w:autoSpaceDN w:val="0"/>
              <w:adjustRightInd w:val="0"/>
              <w:spacing w:before="60" w:after="60" w:line="260" w:lineRule="atLeast"/>
              <w:jc w:val="center"/>
              <w:rPr>
                <w:rFonts w:eastAsia="Calibri"/>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 xml:space="preserve">dissolved </w:t>
            </w:r>
            <w:r w:rsidRPr="006B1A5A">
              <w:rPr>
                <w:rFonts w:eastAsia="Calibri"/>
                <w:b/>
                <w:sz w:val="18"/>
                <w:szCs w:val="18"/>
                <w:lang w:eastAsia="en-GB"/>
              </w:rPr>
              <w:t>/ PNEC</w:t>
            </w:r>
            <w:r w:rsidRPr="006B1A5A">
              <w:rPr>
                <w:rFonts w:eastAsia="Calibri"/>
                <w:b/>
                <w:sz w:val="18"/>
                <w:szCs w:val="18"/>
                <w:vertAlign w:val="subscript"/>
                <w:lang w:eastAsia="en-GB"/>
              </w:rPr>
              <w:t xml:space="preserve">water </w:t>
            </w:r>
            <w:r w:rsidRPr="006B1A5A">
              <w:rPr>
                <w:rFonts w:eastAsia="Calibri"/>
                <w:b/>
                <w:sz w:val="18"/>
                <w:szCs w:val="18"/>
                <w:vertAlign w:val="superscript"/>
                <w:lang w:eastAsia="en-GB"/>
              </w:rPr>
              <w:t>1</w:t>
            </w:r>
          </w:p>
        </w:tc>
        <w:tc>
          <w:tcPr>
            <w:tcW w:w="886" w:type="pct"/>
            <w:shd w:val="clear" w:color="auto" w:fill="FFFFFF"/>
            <w:vAlign w:val="center"/>
          </w:tcPr>
          <w:p w14:paraId="26143FA9" w14:textId="77777777" w:rsidR="001042DA" w:rsidRPr="006B1A5A" w:rsidRDefault="001042DA" w:rsidP="00AF2AEA">
            <w:pPr>
              <w:spacing w:before="60" w:after="60"/>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suspended sediment</w:t>
            </w:r>
          </w:p>
          <w:p w14:paraId="71DB0657" w14:textId="77777777" w:rsidR="001042DA" w:rsidRPr="006B1A5A" w:rsidRDefault="001042DA" w:rsidP="00AF2AEA">
            <w:pPr>
              <w:keepNext/>
              <w:spacing w:before="60" w:after="60"/>
              <w:jc w:val="center"/>
              <w:rPr>
                <w:rFonts w:eastAsia="Calibri"/>
                <w:sz w:val="18"/>
                <w:szCs w:val="18"/>
                <w:lang w:eastAsia="en-GB"/>
              </w:rPr>
            </w:pPr>
            <w:r w:rsidRPr="006B1A5A">
              <w:rPr>
                <w:rFonts w:eastAsia="Calibri"/>
                <w:sz w:val="18"/>
                <w:szCs w:val="18"/>
                <w:lang w:eastAsia="en-GB"/>
              </w:rPr>
              <w:t>[µg/g dw]</w:t>
            </w:r>
          </w:p>
        </w:tc>
        <w:tc>
          <w:tcPr>
            <w:tcW w:w="960" w:type="pct"/>
            <w:shd w:val="clear" w:color="auto" w:fill="FFFFFF"/>
            <w:vAlign w:val="center"/>
          </w:tcPr>
          <w:p w14:paraId="7A8F3089" w14:textId="77777777" w:rsidR="001042DA" w:rsidRPr="006B1A5A" w:rsidRDefault="001042DA" w:rsidP="00AF2AEA">
            <w:pPr>
              <w:keepNext/>
              <w:spacing w:before="60" w:after="60"/>
              <w:jc w:val="center"/>
              <w:rPr>
                <w:rFonts w:eastAsia="Calibri"/>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suspended sediment</w:t>
            </w:r>
            <w:r w:rsidRPr="006B1A5A">
              <w:rPr>
                <w:rFonts w:eastAsia="Calibri"/>
                <w:b/>
                <w:sz w:val="18"/>
                <w:szCs w:val="18"/>
                <w:lang w:eastAsia="en-GB"/>
              </w:rPr>
              <w:t>/ PNEC</w:t>
            </w:r>
            <w:r w:rsidRPr="006B1A5A">
              <w:rPr>
                <w:rFonts w:eastAsia="Calibri"/>
                <w:b/>
                <w:sz w:val="18"/>
                <w:szCs w:val="18"/>
                <w:vertAlign w:val="subscript"/>
                <w:lang w:eastAsia="en-GB"/>
              </w:rPr>
              <w:t xml:space="preserve">sediment </w:t>
            </w:r>
            <w:r w:rsidRPr="006B1A5A">
              <w:rPr>
                <w:rFonts w:eastAsia="Calibri"/>
                <w:b/>
                <w:sz w:val="18"/>
                <w:szCs w:val="18"/>
                <w:vertAlign w:val="superscript"/>
                <w:lang w:eastAsia="en-GB"/>
              </w:rPr>
              <w:t>1</w:t>
            </w:r>
          </w:p>
        </w:tc>
      </w:tr>
      <w:tr w:rsidR="001042DA" w:rsidRPr="006B1A5A" w14:paraId="644E49F3" w14:textId="77777777" w:rsidTr="00AF2AEA">
        <w:trPr>
          <w:trHeight w:val="75"/>
        </w:trPr>
        <w:tc>
          <w:tcPr>
            <w:tcW w:w="1383" w:type="pct"/>
            <w:shd w:val="clear" w:color="auto" w:fill="FFFFFF"/>
          </w:tcPr>
          <w:p w14:paraId="3243D1D3" w14:textId="77777777" w:rsidR="001042DA" w:rsidRPr="006B1A5A" w:rsidRDefault="001042DA" w:rsidP="00AF2AEA">
            <w:pPr>
              <w:keepNext/>
              <w:spacing w:before="60" w:after="60"/>
              <w:rPr>
                <w:rFonts w:eastAsia="Calibri"/>
                <w:b/>
                <w:sz w:val="18"/>
                <w:szCs w:val="18"/>
                <w:lang w:eastAsia="en-GB"/>
              </w:rPr>
            </w:pPr>
            <w:r w:rsidRPr="006B1A5A">
              <w:rPr>
                <w:rFonts w:eastAsia="Calibri"/>
                <w:b/>
                <w:sz w:val="18"/>
                <w:szCs w:val="18"/>
                <w:lang w:eastAsia="en-GB"/>
              </w:rPr>
              <w:t>Norwegian fish farm scenario</w:t>
            </w:r>
          </w:p>
        </w:tc>
        <w:tc>
          <w:tcPr>
            <w:tcW w:w="885" w:type="pct"/>
            <w:shd w:val="clear" w:color="auto" w:fill="FFFFFF"/>
            <w:vAlign w:val="center"/>
          </w:tcPr>
          <w:p w14:paraId="6ED55AA0" w14:textId="77777777" w:rsidR="001042DA" w:rsidRPr="006B1A5A" w:rsidRDefault="001042DA" w:rsidP="00AF2AEA">
            <w:pPr>
              <w:pStyle w:val="Ingenmellomrom"/>
              <w:keepNext/>
              <w:jc w:val="center"/>
              <w:rPr>
                <w:rFonts w:ascii="Verdana" w:hAnsi="Verdana"/>
                <w:sz w:val="18"/>
                <w:szCs w:val="18"/>
                <w:highlight w:val="yellow"/>
                <w:lang w:val="en-GB" w:eastAsia="en-GB"/>
              </w:rPr>
            </w:pPr>
            <w:r w:rsidRPr="006B1A5A">
              <w:rPr>
                <w:rFonts w:ascii="Verdana" w:hAnsi="Verdana"/>
                <w:sz w:val="18"/>
                <w:szCs w:val="18"/>
                <w:lang w:val="en-GB" w:eastAsia="en-GB"/>
              </w:rPr>
              <w:t>0.01</w:t>
            </w:r>
          </w:p>
        </w:tc>
        <w:tc>
          <w:tcPr>
            <w:tcW w:w="886" w:type="pct"/>
            <w:shd w:val="clear" w:color="auto" w:fill="FFFFFF"/>
            <w:vAlign w:val="center"/>
          </w:tcPr>
          <w:p w14:paraId="0A029733" w14:textId="77777777" w:rsidR="001042DA" w:rsidRPr="006B1A5A" w:rsidRDefault="001042DA" w:rsidP="00AF2AEA">
            <w:pPr>
              <w:pStyle w:val="Ingenmellomrom"/>
              <w:keepNext/>
              <w:jc w:val="center"/>
              <w:rPr>
                <w:rFonts w:ascii="Verdana" w:hAnsi="Verdana"/>
                <w:sz w:val="18"/>
                <w:szCs w:val="18"/>
                <w:highlight w:val="yellow"/>
                <w:lang w:val="en-GB" w:eastAsia="en-GB"/>
              </w:rPr>
            </w:pPr>
            <w:r w:rsidRPr="006B1A5A">
              <w:rPr>
                <w:rFonts w:ascii="Verdana" w:hAnsi="Verdana"/>
                <w:sz w:val="18"/>
                <w:szCs w:val="18"/>
                <w:lang w:val="en-GB" w:eastAsia="en-GB"/>
              </w:rPr>
              <w:t>1.14E-03</w:t>
            </w:r>
          </w:p>
        </w:tc>
        <w:tc>
          <w:tcPr>
            <w:tcW w:w="886" w:type="pct"/>
            <w:shd w:val="clear" w:color="auto" w:fill="FFFFFF"/>
            <w:vAlign w:val="center"/>
          </w:tcPr>
          <w:p w14:paraId="206F48BC" w14:textId="77777777" w:rsidR="001042DA" w:rsidRPr="006B1A5A" w:rsidRDefault="001042DA" w:rsidP="00AF2AEA">
            <w:pPr>
              <w:pStyle w:val="Ingenmellomrom"/>
              <w:keepNext/>
              <w:jc w:val="center"/>
              <w:rPr>
                <w:rFonts w:ascii="Verdana" w:hAnsi="Verdana"/>
                <w:sz w:val="18"/>
                <w:szCs w:val="18"/>
                <w:highlight w:val="yellow"/>
                <w:lang w:val="en-GB" w:eastAsia="en-GB"/>
              </w:rPr>
            </w:pPr>
            <w:r w:rsidRPr="006B1A5A">
              <w:rPr>
                <w:rFonts w:ascii="Verdana" w:hAnsi="Verdana"/>
                <w:sz w:val="18"/>
                <w:szCs w:val="18"/>
                <w:lang w:val="en-GB" w:eastAsia="en-GB"/>
              </w:rPr>
              <w:t>7.47E-06</w:t>
            </w:r>
          </w:p>
        </w:tc>
        <w:tc>
          <w:tcPr>
            <w:tcW w:w="960" w:type="pct"/>
            <w:shd w:val="clear" w:color="auto" w:fill="FFFFFF"/>
            <w:vAlign w:val="center"/>
          </w:tcPr>
          <w:p w14:paraId="68461987" w14:textId="77777777" w:rsidR="001042DA" w:rsidRPr="006B1A5A" w:rsidRDefault="001042DA" w:rsidP="00AF2AEA">
            <w:pPr>
              <w:pStyle w:val="Ingenmellomrom"/>
              <w:keepNext/>
              <w:jc w:val="center"/>
              <w:rPr>
                <w:rFonts w:ascii="Verdana" w:hAnsi="Verdana"/>
                <w:sz w:val="18"/>
                <w:szCs w:val="18"/>
                <w:highlight w:val="yellow"/>
                <w:lang w:val="en-GB" w:eastAsia="en-GB"/>
              </w:rPr>
            </w:pPr>
            <w:r w:rsidRPr="006B1A5A">
              <w:rPr>
                <w:rFonts w:ascii="Verdana" w:hAnsi="Verdana"/>
                <w:sz w:val="18"/>
                <w:szCs w:val="18"/>
                <w:lang w:val="en-GB" w:eastAsia="en-GB"/>
              </w:rPr>
              <w:t>1.66E-04</w:t>
            </w:r>
          </w:p>
        </w:tc>
      </w:tr>
      <w:tr w:rsidR="001042DA" w:rsidRPr="006B1A5A" w14:paraId="53765286" w14:textId="77777777" w:rsidTr="00AF2AEA">
        <w:trPr>
          <w:trHeight w:val="75"/>
        </w:trPr>
        <w:tc>
          <w:tcPr>
            <w:tcW w:w="5000" w:type="pct"/>
            <w:gridSpan w:val="5"/>
            <w:tcBorders>
              <w:top w:val="single" w:sz="4" w:space="0" w:color="auto"/>
              <w:left w:val="nil"/>
              <w:bottom w:val="nil"/>
              <w:right w:val="nil"/>
            </w:tcBorders>
            <w:shd w:val="clear" w:color="auto" w:fill="FFFFFF"/>
          </w:tcPr>
          <w:p w14:paraId="2A77DD6C" w14:textId="77777777" w:rsidR="001042DA" w:rsidRPr="006B1A5A" w:rsidRDefault="001042DA" w:rsidP="00AF2AEA">
            <w:pPr>
              <w:pStyle w:val="Ingenmellomrom"/>
              <w:keepNext/>
              <w:jc w:val="left"/>
              <w:rPr>
                <w:rFonts w:ascii="Verdana" w:hAnsi="Verdana"/>
                <w:b/>
                <w:sz w:val="18"/>
                <w:szCs w:val="20"/>
                <w:lang w:val="en-GB" w:eastAsia="en-GB"/>
              </w:rPr>
            </w:pPr>
            <w:r w:rsidRPr="006B1A5A">
              <w:rPr>
                <w:rFonts w:ascii="Verdana" w:hAnsi="Verdana"/>
                <w:sz w:val="18"/>
                <w:szCs w:val="20"/>
                <w:vertAlign w:val="superscript"/>
                <w:lang w:val="en-GB"/>
              </w:rPr>
              <w:t>1</w:t>
            </w:r>
            <w:r w:rsidRPr="006B1A5A">
              <w:rPr>
                <w:rFonts w:ascii="Verdana" w:hAnsi="Verdana"/>
                <w:sz w:val="18"/>
                <w:szCs w:val="20"/>
                <w:lang w:val="en-GB"/>
              </w:rPr>
              <w:t xml:space="preserve"> PEC/PNEC </w:t>
            </w:r>
            <w:r w:rsidRPr="006B1A5A">
              <w:rPr>
                <w:rFonts w:ascii="Verdana" w:hAnsi="Verdana"/>
                <w:sz w:val="18"/>
                <w:szCs w:val="18"/>
                <w:lang w:val="en-GB"/>
              </w:rPr>
              <w:t>ratios above</w:t>
            </w:r>
            <w:r w:rsidRPr="006B1A5A">
              <w:rPr>
                <w:rFonts w:ascii="Verdana" w:hAnsi="Verdana"/>
                <w:sz w:val="18"/>
                <w:szCs w:val="20"/>
                <w:lang w:val="en-GB"/>
              </w:rPr>
              <w:t xml:space="preserve"> 1 </w:t>
            </w:r>
            <w:r w:rsidRPr="006B1A5A">
              <w:rPr>
                <w:rFonts w:ascii="Verdana" w:hAnsi="Verdana"/>
                <w:sz w:val="18"/>
                <w:szCs w:val="18"/>
                <w:lang w:val="en-GB"/>
              </w:rPr>
              <w:t>(values</w:t>
            </w:r>
            <w:r w:rsidRPr="006B1A5A">
              <w:rPr>
                <w:rFonts w:ascii="Verdana" w:hAnsi="Verdana"/>
                <w:sz w:val="18"/>
                <w:szCs w:val="20"/>
                <w:lang w:val="en-GB"/>
              </w:rPr>
              <w:t xml:space="preserve"> in </w:t>
            </w:r>
            <w:r w:rsidRPr="006B1A5A">
              <w:rPr>
                <w:rFonts w:ascii="Verdana" w:hAnsi="Verdana"/>
                <w:b/>
                <w:sz w:val="18"/>
                <w:szCs w:val="20"/>
                <w:lang w:val="en-GB"/>
              </w:rPr>
              <w:t>bold</w:t>
            </w:r>
            <w:r w:rsidRPr="006B1A5A">
              <w:rPr>
                <w:rFonts w:ascii="Verdana" w:hAnsi="Verdana"/>
                <w:sz w:val="18"/>
                <w:szCs w:val="18"/>
                <w:lang w:val="en-GB"/>
              </w:rPr>
              <w:t>)</w:t>
            </w:r>
            <w:r w:rsidRPr="006B1A5A">
              <w:rPr>
                <w:rFonts w:ascii="Verdana" w:hAnsi="Verdana"/>
                <w:sz w:val="18"/>
                <w:szCs w:val="20"/>
                <w:lang w:val="en-GB"/>
              </w:rPr>
              <w:t xml:space="preserve"> </w:t>
            </w:r>
            <w:r w:rsidRPr="006B1A5A">
              <w:rPr>
                <w:rFonts w:ascii="Verdana" w:hAnsi="Verdana"/>
                <w:sz w:val="18"/>
                <w:szCs w:val="18"/>
                <w:lang w:val="en-GB"/>
              </w:rPr>
              <w:t>indicate</w:t>
            </w:r>
            <w:r w:rsidRPr="006B1A5A">
              <w:rPr>
                <w:rFonts w:ascii="Verdana" w:hAnsi="Verdana"/>
                <w:sz w:val="18"/>
                <w:szCs w:val="20"/>
                <w:lang w:val="en-GB"/>
              </w:rPr>
              <w:t xml:space="preserve"> unacceptable </w:t>
            </w:r>
            <w:r w:rsidRPr="006B1A5A">
              <w:rPr>
                <w:rFonts w:ascii="Verdana" w:hAnsi="Verdana"/>
                <w:sz w:val="18"/>
                <w:szCs w:val="18"/>
                <w:lang w:val="en-GB"/>
              </w:rPr>
              <w:t>environmental risks.</w:t>
            </w:r>
          </w:p>
        </w:tc>
      </w:tr>
    </w:tbl>
    <w:p w14:paraId="7D48B3CB" w14:textId="77777777" w:rsidR="001042DA" w:rsidRPr="006B1A5A" w:rsidRDefault="001042DA" w:rsidP="001042DA">
      <w:pPr>
        <w:spacing w:line="276" w:lineRule="auto"/>
        <w:ind w:left="142"/>
        <w:rPr>
          <w:rFonts w:ascii="Times New Roman" w:eastAsia="Calibri" w:hAnsi="Times New Roman"/>
          <w:i/>
          <w:highlight w:val="yellow"/>
          <w:lang w:eastAsia="en-US"/>
        </w:rPr>
      </w:pPr>
    </w:p>
    <w:p w14:paraId="69268022" w14:textId="77777777" w:rsidR="001042DA" w:rsidRPr="006B1A5A" w:rsidRDefault="001042DA" w:rsidP="001042DA">
      <w:pPr>
        <w:rPr>
          <w:sz w:val="22"/>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427"/>
        <w:gridCol w:w="1745"/>
        <w:gridCol w:w="1745"/>
        <w:gridCol w:w="1740"/>
      </w:tblGrid>
      <w:tr w:rsidR="001042DA" w:rsidRPr="006B1A5A" w14:paraId="22B84D3C" w14:textId="77777777" w:rsidTr="00AF2AEA">
        <w:trPr>
          <w:trHeight w:val="249"/>
        </w:trPr>
        <w:tc>
          <w:tcPr>
            <w:tcW w:w="5000" w:type="pct"/>
            <w:gridSpan w:val="5"/>
            <w:tcBorders>
              <w:top w:val="single" w:sz="4" w:space="0" w:color="auto"/>
              <w:left w:val="single" w:sz="4" w:space="0" w:color="auto"/>
              <w:bottom w:val="single" w:sz="4" w:space="0" w:color="auto"/>
            </w:tcBorders>
            <w:shd w:val="clear" w:color="auto" w:fill="FFFFCC"/>
            <w:vAlign w:val="center"/>
          </w:tcPr>
          <w:p w14:paraId="050E8F44" w14:textId="77777777" w:rsidR="001042DA" w:rsidRPr="006B1A5A" w:rsidRDefault="001042DA" w:rsidP="00AF2AEA">
            <w:pPr>
              <w:autoSpaceDE w:val="0"/>
              <w:autoSpaceDN w:val="0"/>
              <w:adjustRightInd w:val="0"/>
              <w:spacing w:before="60" w:after="60" w:line="260" w:lineRule="atLeast"/>
              <w:jc w:val="center"/>
              <w:rPr>
                <w:rFonts w:eastAsia="Calibri"/>
                <w:b/>
                <w:sz w:val="18"/>
                <w:szCs w:val="18"/>
                <w:lang w:eastAsia="en-GB"/>
              </w:rPr>
            </w:pPr>
            <w:r w:rsidRPr="006B1A5A">
              <w:rPr>
                <w:rFonts w:eastAsia="Calibri"/>
                <w:b/>
                <w:sz w:val="18"/>
                <w:szCs w:val="18"/>
                <w:lang w:eastAsia="en-GB"/>
              </w:rPr>
              <w:t>AquaNet RFU360</w:t>
            </w:r>
          </w:p>
          <w:p w14:paraId="1A9AE14C" w14:textId="77777777" w:rsidR="001042DA" w:rsidRPr="006B1A5A" w:rsidRDefault="001042DA" w:rsidP="00AF2AEA">
            <w:pPr>
              <w:autoSpaceDE w:val="0"/>
              <w:autoSpaceDN w:val="0"/>
              <w:adjustRightInd w:val="0"/>
              <w:spacing w:before="60" w:after="60" w:line="260" w:lineRule="atLeast"/>
              <w:jc w:val="center"/>
              <w:rPr>
                <w:rFonts w:eastAsia="Calibri"/>
                <w:b/>
                <w:sz w:val="18"/>
                <w:szCs w:val="18"/>
                <w:lang w:eastAsia="en-GB"/>
              </w:rPr>
            </w:pPr>
            <w:r w:rsidRPr="006B1A5A">
              <w:rPr>
                <w:rFonts w:eastAsia="Calibri"/>
                <w:b/>
                <w:sz w:val="18"/>
                <w:szCs w:val="18"/>
                <w:lang w:eastAsia="en-GB"/>
              </w:rPr>
              <w:t xml:space="preserve">Average PEC values calculated by MAMPEC v3.1 </w:t>
            </w:r>
          </w:p>
          <w:p w14:paraId="42C1DFED" w14:textId="77777777" w:rsidR="001042DA" w:rsidRPr="006B1A5A" w:rsidRDefault="001042DA" w:rsidP="00AF2AEA">
            <w:pPr>
              <w:autoSpaceDE w:val="0"/>
              <w:autoSpaceDN w:val="0"/>
              <w:adjustRightInd w:val="0"/>
              <w:spacing w:before="60" w:after="60" w:line="260" w:lineRule="atLeast"/>
              <w:jc w:val="center"/>
              <w:rPr>
                <w:rFonts w:eastAsia="Calibri"/>
                <w:b/>
                <w:sz w:val="18"/>
                <w:szCs w:val="18"/>
                <w:lang w:eastAsia="en-GB"/>
              </w:rPr>
            </w:pPr>
            <w:r w:rsidRPr="006B1A5A">
              <w:rPr>
                <w:rFonts w:eastAsia="Calibri"/>
                <w:b/>
                <w:sz w:val="18"/>
                <w:szCs w:val="18"/>
                <w:lang w:eastAsia="en-GB"/>
              </w:rPr>
              <w:t>(without background concentration for Cu)</w:t>
            </w:r>
          </w:p>
        </w:tc>
      </w:tr>
      <w:tr w:rsidR="001042DA" w:rsidRPr="006B1A5A" w14:paraId="4EA80098" w14:textId="77777777" w:rsidTr="00AF2AEA">
        <w:trPr>
          <w:trHeight w:val="249"/>
        </w:trPr>
        <w:tc>
          <w:tcPr>
            <w:tcW w:w="1384" w:type="pct"/>
            <w:shd w:val="clear" w:color="auto" w:fill="FFFFFF"/>
            <w:vAlign w:val="center"/>
          </w:tcPr>
          <w:p w14:paraId="1377AAE0" w14:textId="77777777" w:rsidR="001042DA" w:rsidRPr="006B1A5A" w:rsidRDefault="001042DA" w:rsidP="00AF2AEA">
            <w:pPr>
              <w:spacing w:before="60" w:after="60"/>
              <w:jc w:val="center"/>
              <w:rPr>
                <w:rFonts w:eastAsia="Calibri"/>
                <w:b/>
                <w:sz w:val="18"/>
                <w:szCs w:val="18"/>
                <w:lang w:eastAsia="en-GB"/>
              </w:rPr>
            </w:pPr>
            <w:r w:rsidRPr="006B1A5A">
              <w:rPr>
                <w:rFonts w:eastAsia="Calibri"/>
                <w:b/>
                <w:sz w:val="18"/>
                <w:szCs w:val="18"/>
                <w:lang w:eastAsia="en-GB"/>
              </w:rPr>
              <w:t>Copper</w:t>
            </w:r>
          </w:p>
          <w:p w14:paraId="70E31010" w14:textId="77777777" w:rsidR="001042DA" w:rsidRPr="006B1A5A" w:rsidRDefault="001042DA" w:rsidP="00AF2AEA">
            <w:pPr>
              <w:spacing w:before="60" w:after="60"/>
              <w:jc w:val="center"/>
              <w:rPr>
                <w:rFonts w:eastAsia="Calibri"/>
                <w:sz w:val="18"/>
                <w:szCs w:val="18"/>
                <w:lang w:eastAsia="en-GB"/>
              </w:rPr>
            </w:pPr>
            <w:r w:rsidRPr="006B1A5A">
              <w:rPr>
                <w:rFonts w:eastAsia="Calibri"/>
                <w:sz w:val="18"/>
                <w:szCs w:val="18"/>
                <w:lang w:eastAsia="en-GB"/>
              </w:rPr>
              <w:t>PNECsurrounding waters = 1.15 µg/L</w:t>
            </w:r>
          </w:p>
          <w:p w14:paraId="51EC3AF6" w14:textId="77777777" w:rsidR="001042DA" w:rsidRPr="006B1A5A" w:rsidRDefault="001042DA" w:rsidP="00AF2AEA">
            <w:pPr>
              <w:spacing w:before="60" w:after="60"/>
              <w:jc w:val="center"/>
              <w:rPr>
                <w:rFonts w:eastAsia="Calibri"/>
                <w:sz w:val="18"/>
                <w:szCs w:val="18"/>
                <w:lang w:eastAsia="en-GB"/>
              </w:rPr>
            </w:pPr>
            <w:r w:rsidRPr="006B1A5A">
              <w:rPr>
                <w:rFonts w:eastAsia="Calibri"/>
                <w:sz w:val="18"/>
                <w:szCs w:val="18"/>
                <w:lang w:eastAsia="en-GB"/>
              </w:rPr>
              <w:t>PNEC</w:t>
            </w:r>
            <w:r w:rsidRPr="006B1A5A">
              <w:rPr>
                <w:rFonts w:eastAsia="Calibri"/>
                <w:sz w:val="18"/>
                <w:szCs w:val="18"/>
                <w:vertAlign w:val="subscript"/>
                <w:lang w:eastAsia="en-GB"/>
              </w:rPr>
              <w:t>sed</w:t>
            </w:r>
            <w:r w:rsidRPr="006B1A5A">
              <w:rPr>
                <w:rFonts w:eastAsia="Calibri"/>
                <w:sz w:val="18"/>
                <w:szCs w:val="18"/>
                <w:lang w:eastAsia="en-GB"/>
              </w:rPr>
              <w:t xml:space="preserve"> = 98.8 µg/g dw</w:t>
            </w:r>
          </w:p>
        </w:tc>
        <w:tc>
          <w:tcPr>
            <w:tcW w:w="775" w:type="pct"/>
            <w:shd w:val="clear" w:color="auto" w:fill="FFFFFF"/>
            <w:vAlign w:val="center"/>
          </w:tcPr>
          <w:p w14:paraId="6E9EC0A9" w14:textId="77777777" w:rsidR="001042DA" w:rsidRPr="006B1A5A" w:rsidRDefault="001042DA" w:rsidP="00AF2AEA">
            <w:pPr>
              <w:autoSpaceDE w:val="0"/>
              <w:autoSpaceDN w:val="0"/>
              <w:adjustRightInd w:val="0"/>
              <w:spacing w:before="60" w:after="60" w:line="260" w:lineRule="atLeast"/>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dissolved</w:t>
            </w:r>
          </w:p>
          <w:p w14:paraId="5B5216AB" w14:textId="77777777" w:rsidR="001042DA" w:rsidRPr="006B1A5A" w:rsidRDefault="001042DA" w:rsidP="00AF2AEA">
            <w:pPr>
              <w:autoSpaceDE w:val="0"/>
              <w:autoSpaceDN w:val="0"/>
              <w:adjustRightInd w:val="0"/>
              <w:spacing w:before="60" w:after="60" w:line="260" w:lineRule="atLeast"/>
              <w:jc w:val="center"/>
              <w:rPr>
                <w:rFonts w:eastAsia="Calibri"/>
                <w:sz w:val="18"/>
                <w:szCs w:val="18"/>
                <w:lang w:eastAsia="en-GB"/>
              </w:rPr>
            </w:pPr>
            <w:r w:rsidRPr="006B1A5A">
              <w:rPr>
                <w:rFonts w:eastAsia="Calibri"/>
                <w:sz w:val="18"/>
                <w:szCs w:val="18"/>
                <w:lang w:eastAsia="en-GB"/>
              </w:rPr>
              <w:t>[µg/L]</w:t>
            </w:r>
          </w:p>
        </w:tc>
        <w:tc>
          <w:tcPr>
            <w:tcW w:w="948" w:type="pct"/>
            <w:shd w:val="clear" w:color="auto" w:fill="FFFFFF"/>
            <w:vAlign w:val="center"/>
          </w:tcPr>
          <w:p w14:paraId="773C80F3" w14:textId="77777777" w:rsidR="001042DA" w:rsidRPr="006B1A5A" w:rsidRDefault="001042DA" w:rsidP="00AF2AEA">
            <w:pPr>
              <w:autoSpaceDE w:val="0"/>
              <w:autoSpaceDN w:val="0"/>
              <w:adjustRightInd w:val="0"/>
              <w:spacing w:before="60" w:after="60" w:line="260" w:lineRule="atLeast"/>
              <w:jc w:val="center"/>
              <w:rPr>
                <w:rFonts w:eastAsia="Calibri"/>
                <w:sz w:val="18"/>
                <w:szCs w:val="18"/>
                <w:vertAlign w:val="superscript"/>
                <w:lang w:eastAsia="en-GB"/>
              </w:rPr>
            </w:pPr>
            <w:r w:rsidRPr="006B1A5A">
              <w:rPr>
                <w:rFonts w:eastAsia="Calibri"/>
                <w:b/>
                <w:sz w:val="18"/>
                <w:szCs w:val="18"/>
                <w:lang w:eastAsia="en-GB"/>
              </w:rPr>
              <w:t>PEC</w:t>
            </w:r>
            <w:r w:rsidRPr="006B1A5A">
              <w:rPr>
                <w:rFonts w:eastAsia="Calibri"/>
                <w:b/>
                <w:sz w:val="18"/>
                <w:szCs w:val="18"/>
                <w:vertAlign w:val="subscript"/>
                <w:lang w:eastAsia="en-GB"/>
              </w:rPr>
              <w:t xml:space="preserve">dissolved </w:t>
            </w:r>
            <w:r w:rsidRPr="006B1A5A">
              <w:rPr>
                <w:rFonts w:eastAsia="Calibri"/>
                <w:b/>
                <w:sz w:val="18"/>
                <w:szCs w:val="18"/>
                <w:lang w:eastAsia="en-GB"/>
              </w:rPr>
              <w:t>/ PNEC</w:t>
            </w:r>
            <w:r w:rsidRPr="006B1A5A">
              <w:rPr>
                <w:rFonts w:eastAsia="Calibri"/>
                <w:b/>
                <w:sz w:val="18"/>
                <w:szCs w:val="18"/>
                <w:vertAlign w:val="subscript"/>
                <w:lang w:eastAsia="en-GB"/>
              </w:rPr>
              <w:t xml:space="preserve">water </w:t>
            </w:r>
            <w:r w:rsidRPr="006B1A5A">
              <w:rPr>
                <w:rFonts w:eastAsia="Calibri"/>
                <w:b/>
                <w:sz w:val="18"/>
                <w:szCs w:val="18"/>
                <w:vertAlign w:val="superscript"/>
                <w:lang w:eastAsia="en-GB"/>
              </w:rPr>
              <w:t>1</w:t>
            </w:r>
          </w:p>
        </w:tc>
        <w:tc>
          <w:tcPr>
            <w:tcW w:w="948" w:type="pct"/>
            <w:shd w:val="clear" w:color="auto" w:fill="FFFFFF"/>
            <w:vAlign w:val="center"/>
          </w:tcPr>
          <w:p w14:paraId="672BDA85" w14:textId="77777777" w:rsidR="001042DA" w:rsidRPr="006B1A5A" w:rsidRDefault="001042DA" w:rsidP="00AF2AEA">
            <w:pPr>
              <w:spacing w:before="60" w:after="60"/>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suspended sediment</w:t>
            </w:r>
          </w:p>
          <w:p w14:paraId="186AFE0E" w14:textId="77777777" w:rsidR="001042DA" w:rsidRPr="006B1A5A" w:rsidRDefault="001042DA" w:rsidP="00AF2AEA">
            <w:pPr>
              <w:spacing w:before="60" w:after="60"/>
              <w:jc w:val="center"/>
              <w:rPr>
                <w:rFonts w:eastAsia="Calibri"/>
                <w:sz w:val="18"/>
                <w:szCs w:val="18"/>
                <w:lang w:eastAsia="en-GB"/>
              </w:rPr>
            </w:pPr>
            <w:r w:rsidRPr="006B1A5A">
              <w:rPr>
                <w:rFonts w:eastAsia="Calibri"/>
                <w:sz w:val="18"/>
                <w:szCs w:val="18"/>
                <w:lang w:eastAsia="en-GB"/>
              </w:rPr>
              <w:t>[µg/g dw]</w:t>
            </w:r>
          </w:p>
        </w:tc>
        <w:tc>
          <w:tcPr>
            <w:tcW w:w="946" w:type="pct"/>
            <w:shd w:val="clear" w:color="auto" w:fill="auto"/>
            <w:vAlign w:val="center"/>
          </w:tcPr>
          <w:p w14:paraId="5BA11B7A" w14:textId="77777777" w:rsidR="001042DA" w:rsidRPr="006B1A5A" w:rsidRDefault="001042DA" w:rsidP="00AF2AEA">
            <w:pPr>
              <w:spacing w:before="60" w:after="60"/>
              <w:jc w:val="center"/>
              <w:rPr>
                <w:rFonts w:eastAsia="Calibri"/>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suspended sediment</w:t>
            </w:r>
            <w:r w:rsidRPr="006B1A5A">
              <w:rPr>
                <w:rFonts w:eastAsia="Calibri"/>
                <w:b/>
                <w:sz w:val="18"/>
                <w:szCs w:val="18"/>
                <w:lang w:eastAsia="en-GB"/>
              </w:rPr>
              <w:t>/ PNEC</w:t>
            </w:r>
            <w:r w:rsidRPr="006B1A5A">
              <w:rPr>
                <w:rFonts w:eastAsia="Calibri"/>
                <w:b/>
                <w:sz w:val="18"/>
                <w:szCs w:val="18"/>
                <w:vertAlign w:val="subscript"/>
                <w:lang w:eastAsia="en-GB"/>
              </w:rPr>
              <w:t xml:space="preserve">sediment </w:t>
            </w:r>
            <w:r w:rsidRPr="006B1A5A">
              <w:rPr>
                <w:rFonts w:eastAsia="Calibri"/>
                <w:b/>
                <w:sz w:val="18"/>
                <w:szCs w:val="18"/>
                <w:vertAlign w:val="superscript"/>
                <w:lang w:eastAsia="en-GB"/>
              </w:rPr>
              <w:t>1</w:t>
            </w:r>
          </w:p>
        </w:tc>
      </w:tr>
      <w:tr w:rsidR="001042DA" w:rsidRPr="006B1A5A" w14:paraId="4F2D64F0" w14:textId="77777777" w:rsidTr="00AF2AEA">
        <w:trPr>
          <w:trHeight w:val="75"/>
        </w:trPr>
        <w:tc>
          <w:tcPr>
            <w:tcW w:w="1384" w:type="pct"/>
            <w:shd w:val="clear" w:color="auto" w:fill="FFFFFF"/>
          </w:tcPr>
          <w:p w14:paraId="1E2BA8ED" w14:textId="77777777" w:rsidR="001042DA" w:rsidRPr="006B1A5A" w:rsidRDefault="001042DA" w:rsidP="00AF2AEA">
            <w:pPr>
              <w:spacing w:before="60" w:after="60"/>
              <w:rPr>
                <w:rFonts w:eastAsia="Calibri"/>
                <w:b/>
                <w:sz w:val="18"/>
                <w:szCs w:val="18"/>
                <w:lang w:eastAsia="en-GB"/>
              </w:rPr>
            </w:pPr>
            <w:r w:rsidRPr="006B1A5A">
              <w:rPr>
                <w:rFonts w:eastAsia="Calibri"/>
                <w:b/>
                <w:sz w:val="18"/>
                <w:szCs w:val="18"/>
                <w:lang w:eastAsia="en-GB"/>
              </w:rPr>
              <w:t>Norwegian fish farm scenario</w:t>
            </w:r>
          </w:p>
        </w:tc>
        <w:tc>
          <w:tcPr>
            <w:tcW w:w="775" w:type="pct"/>
            <w:shd w:val="clear" w:color="auto" w:fill="FFFFFF"/>
            <w:vAlign w:val="center"/>
          </w:tcPr>
          <w:p w14:paraId="0BFC608C"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hAnsi="Verdana"/>
                <w:sz w:val="18"/>
                <w:szCs w:val="18"/>
                <w:lang w:val="en-GB" w:eastAsia="en-GB"/>
              </w:rPr>
              <w:t>0.05</w:t>
            </w:r>
          </w:p>
        </w:tc>
        <w:tc>
          <w:tcPr>
            <w:tcW w:w="948" w:type="pct"/>
            <w:shd w:val="clear" w:color="auto" w:fill="FFFFFF"/>
            <w:vAlign w:val="center"/>
          </w:tcPr>
          <w:p w14:paraId="6C10832B"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hAnsi="Verdana"/>
                <w:sz w:val="18"/>
                <w:szCs w:val="18"/>
                <w:lang w:val="en-GB" w:eastAsia="en-GB"/>
              </w:rPr>
              <w:t>0.05</w:t>
            </w:r>
          </w:p>
        </w:tc>
        <w:tc>
          <w:tcPr>
            <w:tcW w:w="948" w:type="pct"/>
            <w:shd w:val="clear" w:color="auto" w:fill="FFFFFF"/>
            <w:vAlign w:val="center"/>
          </w:tcPr>
          <w:p w14:paraId="5084FE2F"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hAnsi="Verdana"/>
                <w:sz w:val="18"/>
                <w:szCs w:val="18"/>
                <w:lang w:val="en-GB" w:eastAsia="en-GB"/>
              </w:rPr>
              <w:t>6.97</w:t>
            </w:r>
          </w:p>
        </w:tc>
        <w:tc>
          <w:tcPr>
            <w:tcW w:w="946" w:type="pct"/>
            <w:shd w:val="clear" w:color="auto" w:fill="FFFFFF"/>
            <w:vAlign w:val="center"/>
          </w:tcPr>
          <w:p w14:paraId="19182AC4"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hAnsi="Verdana"/>
                <w:sz w:val="18"/>
                <w:szCs w:val="18"/>
                <w:lang w:val="en-GB" w:eastAsia="en-GB"/>
              </w:rPr>
              <w:t>0.07</w:t>
            </w:r>
          </w:p>
        </w:tc>
      </w:tr>
      <w:tr w:rsidR="001042DA" w:rsidRPr="006B1A5A" w14:paraId="4172A289" w14:textId="77777777" w:rsidTr="00AF2AEA">
        <w:trPr>
          <w:trHeight w:val="75"/>
        </w:trPr>
        <w:tc>
          <w:tcPr>
            <w:tcW w:w="1384" w:type="pct"/>
            <w:shd w:val="clear" w:color="auto" w:fill="FFFFFF"/>
            <w:vAlign w:val="center"/>
          </w:tcPr>
          <w:p w14:paraId="1B862CD2" w14:textId="77777777" w:rsidR="001042DA" w:rsidRPr="006B1A5A" w:rsidRDefault="001042DA" w:rsidP="00AF2AEA">
            <w:pPr>
              <w:spacing w:before="60" w:after="60"/>
              <w:jc w:val="center"/>
              <w:rPr>
                <w:rFonts w:eastAsia="Calibri"/>
                <w:b/>
                <w:sz w:val="18"/>
                <w:szCs w:val="18"/>
                <w:lang w:eastAsia="en-GB"/>
              </w:rPr>
            </w:pPr>
            <w:r w:rsidRPr="006B1A5A">
              <w:rPr>
                <w:rFonts w:eastAsia="Calibri"/>
                <w:b/>
                <w:sz w:val="18"/>
                <w:szCs w:val="18"/>
                <w:lang w:eastAsia="en-GB"/>
              </w:rPr>
              <w:t>Thiocyanate</w:t>
            </w:r>
          </w:p>
          <w:p w14:paraId="057241C5" w14:textId="77777777" w:rsidR="001042DA" w:rsidRPr="006B1A5A" w:rsidRDefault="001042DA" w:rsidP="00AF2AEA">
            <w:pPr>
              <w:spacing w:before="60" w:after="60"/>
              <w:jc w:val="center"/>
              <w:rPr>
                <w:rFonts w:eastAsia="Calibri"/>
                <w:sz w:val="18"/>
                <w:szCs w:val="18"/>
                <w:lang w:eastAsia="en-GB"/>
              </w:rPr>
            </w:pPr>
            <w:r w:rsidRPr="006B1A5A">
              <w:rPr>
                <w:rFonts w:eastAsia="Calibri"/>
                <w:sz w:val="18"/>
                <w:szCs w:val="18"/>
                <w:lang w:eastAsia="en-GB"/>
              </w:rPr>
              <w:t>PNEC surrounding waters = 11 µg/L</w:t>
            </w:r>
          </w:p>
          <w:p w14:paraId="0B51CF01" w14:textId="77777777" w:rsidR="001042DA" w:rsidRPr="006B1A5A" w:rsidRDefault="001042DA" w:rsidP="00AF2AEA">
            <w:pPr>
              <w:spacing w:before="60" w:after="60"/>
              <w:jc w:val="center"/>
              <w:rPr>
                <w:rFonts w:eastAsia="Calibri"/>
                <w:b/>
                <w:sz w:val="18"/>
                <w:szCs w:val="18"/>
                <w:lang w:eastAsia="en-GB"/>
              </w:rPr>
            </w:pPr>
            <w:r w:rsidRPr="006B1A5A">
              <w:rPr>
                <w:rFonts w:eastAsia="Calibri"/>
                <w:sz w:val="18"/>
                <w:szCs w:val="18"/>
                <w:lang w:eastAsia="en-GB"/>
              </w:rPr>
              <w:t>PNEC</w:t>
            </w:r>
            <w:r w:rsidRPr="006B1A5A">
              <w:rPr>
                <w:rFonts w:eastAsia="Calibri"/>
                <w:sz w:val="18"/>
                <w:szCs w:val="18"/>
                <w:vertAlign w:val="subscript"/>
                <w:lang w:eastAsia="en-GB"/>
              </w:rPr>
              <w:t>sed</w:t>
            </w:r>
            <w:r w:rsidRPr="006B1A5A">
              <w:rPr>
                <w:rFonts w:eastAsia="Calibri"/>
                <w:sz w:val="18"/>
                <w:szCs w:val="18"/>
                <w:lang w:eastAsia="en-GB"/>
              </w:rPr>
              <w:t xml:space="preserve"> = 0.045 µg/g dw</w:t>
            </w:r>
          </w:p>
        </w:tc>
        <w:tc>
          <w:tcPr>
            <w:tcW w:w="775" w:type="pct"/>
            <w:shd w:val="clear" w:color="auto" w:fill="FFFFFF"/>
            <w:vAlign w:val="center"/>
          </w:tcPr>
          <w:p w14:paraId="5C7F01D3" w14:textId="77777777" w:rsidR="001042DA" w:rsidRPr="006B1A5A" w:rsidRDefault="001042DA" w:rsidP="00AF2AEA">
            <w:pPr>
              <w:autoSpaceDE w:val="0"/>
              <w:autoSpaceDN w:val="0"/>
              <w:adjustRightInd w:val="0"/>
              <w:spacing w:before="60" w:after="60" w:line="260" w:lineRule="atLeast"/>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dissolved</w:t>
            </w:r>
          </w:p>
          <w:p w14:paraId="0F75D8CB" w14:textId="77777777" w:rsidR="001042DA" w:rsidRPr="006B1A5A" w:rsidRDefault="001042DA" w:rsidP="00AF2AEA">
            <w:pPr>
              <w:autoSpaceDE w:val="0"/>
              <w:autoSpaceDN w:val="0"/>
              <w:adjustRightInd w:val="0"/>
              <w:spacing w:before="60" w:after="60" w:line="260" w:lineRule="atLeast"/>
              <w:jc w:val="center"/>
              <w:rPr>
                <w:rFonts w:eastAsia="Calibri"/>
                <w:sz w:val="18"/>
                <w:szCs w:val="18"/>
                <w:lang w:eastAsia="en-GB"/>
              </w:rPr>
            </w:pPr>
            <w:r w:rsidRPr="006B1A5A">
              <w:rPr>
                <w:rFonts w:eastAsia="Calibri"/>
                <w:sz w:val="18"/>
                <w:szCs w:val="18"/>
                <w:lang w:eastAsia="en-GB"/>
              </w:rPr>
              <w:t>[µg/L]</w:t>
            </w:r>
          </w:p>
        </w:tc>
        <w:tc>
          <w:tcPr>
            <w:tcW w:w="948" w:type="pct"/>
            <w:shd w:val="clear" w:color="auto" w:fill="FFFFFF"/>
            <w:vAlign w:val="center"/>
          </w:tcPr>
          <w:p w14:paraId="370A8EC1" w14:textId="77777777" w:rsidR="001042DA" w:rsidRPr="006B1A5A" w:rsidRDefault="001042DA" w:rsidP="00AF2AEA">
            <w:pPr>
              <w:autoSpaceDE w:val="0"/>
              <w:autoSpaceDN w:val="0"/>
              <w:adjustRightInd w:val="0"/>
              <w:spacing w:before="60" w:after="60" w:line="260" w:lineRule="atLeast"/>
              <w:jc w:val="center"/>
              <w:rPr>
                <w:rFonts w:eastAsia="Calibri"/>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 xml:space="preserve">dissolved </w:t>
            </w:r>
            <w:r w:rsidRPr="006B1A5A">
              <w:rPr>
                <w:rFonts w:eastAsia="Calibri"/>
                <w:b/>
                <w:sz w:val="18"/>
                <w:szCs w:val="18"/>
                <w:lang w:eastAsia="en-GB"/>
              </w:rPr>
              <w:t>/ PNEC</w:t>
            </w:r>
            <w:r w:rsidRPr="006B1A5A">
              <w:rPr>
                <w:rFonts w:eastAsia="Calibri"/>
                <w:b/>
                <w:sz w:val="18"/>
                <w:szCs w:val="18"/>
                <w:vertAlign w:val="subscript"/>
                <w:lang w:eastAsia="en-GB"/>
              </w:rPr>
              <w:t xml:space="preserve">water </w:t>
            </w:r>
            <w:r w:rsidRPr="006B1A5A">
              <w:rPr>
                <w:rFonts w:eastAsia="Calibri"/>
                <w:b/>
                <w:sz w:val="18"/>
                <w:szCs w:val="18"/>
                <w:vertAlign w:val="superscript"/>
                <w:lang w:eastAsia="en-GB"/>
              </w:rPr>
              <w:t>1</w:t>
            </w:r>
          </w:p>
        </w:tc>
        <w:tc>
          <w:tcPr>
            <w:tcW w:w="948" w:type="pct"/>
            <w:shd w:val="clear" w:color="auto" w:fill="FFFFFF"/>
            <w:vAlign w:val="center"/>
          </w:tcPr>
          <w:p w14:paraId="2B1365FF" w14:textId="77777777" w:rsidR="001042DA" w:rsidRPr="006B1A5A" w:rsidRDefault="001042DA" w:rsidP="00AF2AEA">
            <w:pPr>
              <w:spacing w:before="60" w:after="60"/>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suspended sediment</w:t>
            </w:r>
          </w:p>
          <w:p w14:paraId="223C9FFC" w14:textId="77777777" w:rsidR="001042DA" w:rsidRPr="006B1A5A" w:rsidRDefault="001042DA" w:rsidP="00AF2AEA">
            <w:pPr>
              <w:spacing w:before="60" w:after="60"/>
              <w:jc w:val="center"/>
              <w:rPr>
                <w:rFonts w:eastAsia="Calibri"/>
                <w:sz w:val="18"/>
                <w:szCs w:val="18"/>
                <w:lang w:eastAsia="en-GB"/>
              </w:rPr>
            </w:pPr>
            <w:r w:rsidRPr="006B1A5A">
              <w:rPr>
                <w:rFonts w:eastAsia="Calibri"/>
                <w:sz w:val="18"/>
                <w:szCs w:val="18"/>
                <w:lang w:eastAsia="en-GB"/>
              </w:rPr>
              <w:t>[µg/g dw]</w:t>
            </w:r>
          </w:p>
        </w:tc>
        <w:tc>
          <w:tcPr>
            <w:tcW w:w="946" w:type="pct"/>
            <w:shd w:val="clear" w:color="auto" w:fill="FFFFFF"/>
            <w:vAlign w:val="center"/>
          </w:tcPr>
          <w:p w14:paraId="0AD250CE" w14:textId="77777777" w:rsidR="001042DA" w:rsidRPr="006B1A5A" w:rsidRDefault="001042DA" w:rsidP="00AF2AEA">
            <w:pPr>
              <w:spacing w:before="60" w:after="60"/>
              <w:jc w:val="center"/>
              <w:rPr>
                <w:rFonts w:eastAsia="Calibri"/>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suspended sediment</w:t>
            </w:r>
            <w:r w:rsidRPr="006B1A5A">
              <w:rPr>
                <w:rFonts w:eastAsia="Calibri"/>
                <w:b/>
                <w:sz w:val="18"/>
                <w:szCs w:val="18"/>
                <w:lang w:eastAsia="en-GB"/>
              </w:rPr>
              <w:t>/ PNEC</w:t>
            </w:r>
            <w:r w:rsidRPr="006B1A5A">
              <w:rPr>
                <w:rFonts w:eastAsia="Calibri"/>
                <w:b/>
                <w:sz w:val="18"/>
                <w:szCs w:val="18"/>
                <w:vertAlign w:val="subscript"/>
                <w:lang w:eastAsia="en-GB"/>
              </w:rPr>
              <w:t xml:space="preserve">sediment </w:t>
            </w:r>
            <w:r w:rsidRPr="006B1A5A">
              <w:rPr>
                <w:rFonts w:eastAsia="Calibri"/>
                <w:b/>
                <w:sz w:val="18"/>
                <w:szCs w:val="18"/>
                <w:vertAlign w:val="superscript"/>
                <w:lang w:eastAsia="en-GB"/>
              </w:rPr>
              <w:t>1</w:t>
            </w:r>
          </w:p>
        </w:tc>
      </w:tr>
      <w:tr w:rsidR="001042DA" w:rsidRPr="006B1A5A" w14:paraId="38B42286" w14:textId="77777777" w:rsidTr="00AF2AEA">
        <w:trPr>
          <w:trHeight w:val="75"/>
        </w:trPr>
        <w:tc>
          <w:tcPr>
            <w:tcW w:w="1384" w:type="pct"/>
            <w:shd w:val="clear" w:color="auto" w:fill="FFFFFF"/>
          </w:tcPr>
          <w:p w14:paraId="65D24858" w14:textId="77777777" w:rsidR="001042DA" w:rsidRPr="006B1A5A" w:rsidRDefault="001042DA" w:rsidP="00AF2AEA">
            <w:pPr>
              <w:spacing w:before="60" w:after="60"/>
              <w:rPr>
                <w:rFonts w:eastAsia="Calibri"/>
                <w:b/>
                <w:sz w:val="18"/>
                <w:szCs w:val="18"/>
                <w:lang w:eastAsia="en-GB"/>
              </w:rPr>
            </w:pPr>
            <w:r w:rsidRPr="006B1A5A">
              <w:rPr>
                <w:rFonts w:eastAsia="Calibri"/>
                <w:b/>
                <w:sz w:val="18"/>
                <w:szCs w:val="18"/>
                <w:lang w:eastAsia="en-GB"/>
              </w:rPr>
              <w:t>Norwegian fish farm scenario</w:t>
            </w:r>
          </w:p>
        </w:tc>
        <w:tc>
          <w:tcPr>
            <w:tcW w:w="775" w:type="pct"/>
            <w:shd w:val="clear" w:color="auto" w:fill="FFFFFF"/>
            <w:vAlign w:val="center"/>
          </w:tcPr>
          <w:p w14:paraId="4F2E4B5C"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hAnsi="Verdana"/>
                <w:sz w:val="18"/>
                <w:szCs w:val="18"/>
                <w:lang w:val="en-GB" w:eastAsia="en-GB"/>
              </w:rPr>
              <w:t>4.40E-03</w:t>
            </w:r>
          </w:p>
        </w:tc>
        <w:tc>
          <w:tcPr>
            <w:tcW w:w="948" w:type="pct"/>
            <w:shd w:val="clear" w:color="auto" w:fill="FFFFFF"/>
            <w:vAlign w:val="center"/>
          </w:tcPr>
          <w:p w14:paraId="3E0DD7C5"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hAnsi="Verdana"/>
                <w:sz w:val="18"/>
                <w:szCs w:val="18"/>
                <w:lang w:val="en-GB" w:eastAsia="en-GB"/>
              </w:rPr>
              <w:t>4.00E-04</w:t>
            </w:r>
          </w:p>
        </w:tc>
        <w:tc>
          <w:tcPr>
            <w:tcW w:w="948" w:type="pct"/>
            <w:shd w:val="clear" w:color="auto" w:fill="FFFFFF"/>
            <w:vAlign w:val="center"/>
          </w:tcPr>
          <w:p w14:paraId="341B881E"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hAnsi="Verdana"/>
                <w:sz w:val="18"/>
                <w:szCs w:val="18"/>
                <w:lang w:val="en-GB" w:eastAsia="en-GB"/>
              </w:rPr>
              <w:t>2.63E-06</w:t>
            </w:r>
          </w:p>
        </w:tc>
        <w:tc>
          <w:tcPr>
            <w:tcW w:w="946" w:type="pct"/>
            <w:shd w:val="clear" w:color="auto" w:fill="FFFFFF"/>
            <w:vAlign w:val="center"/>
          </w:tcPr>
          <w:p w14:paraId="1F41C1CA" w14:textId="77777777" w:rsidR="001042DA" w:rsidRPr="006B1A5A" w:rsidRDefault="001042DA" w:rsidP="00AF2AEA">
            <w:pPr>
              <w:pStyle w:val="Ingenmellomrom"/>
              <w:jc w:val="center"/>
              <w:rPr>
                <w:rFonts w:ascii="Verdana" w:hAnsi="Verdana"/>
                <w:sz w:val="18"/>
                <w:szCs w:val="18"/>
                <w:lang w:val="en-GB" w:eastAsia="en-GB"/>
              </w:rPr>
            </w:pPr>
            <w:r w:rsidRPr="006B1A5A">
              <w:rPr>
                <w:rFonts w:ascii="Verdana" w:hAnsi="Verdana"/>
                <w:sz w:val="18"/>
                <w:szCs w:val="18"/>
                <w:lang w:val="en-GB" w:eastAsia="en-GB"/>
              </w:rPr>
              <w:t>5.83E-05</w:t>
            </w:r>
          </w:p>
        </w:tc>
      </w:tr>
      <w:tr w:rsidR="001042DA" w:rsidRPr="006B1A5A" w14:paraId="36FD0A22" w14:textId="77777777" w:rsidTr="00AF2AEA">
        <w:trPr>
          <w:trHeight w:val="75"/>
        </w:trPr>
        <w:tc>
          <w:tcPr>
            <w:tcW w:w="5000" w:type="pct"/>
            <w:gridSpan w:val="5"/>
            <w:tcBorders>
              <w:top w:val="single" w:sz="4" w:space="0" w:color="auto"/>
              <w:left w:val="nil"/>
              <w:bottom w:val="nil"/>
              <w:right w:val="nil"/>
            </w:tcBorders>
            <w:shd w:val="clear" w:color="auto" w:fill="FFFFFF"/>
          </w:tcPr>
          <w:p w14:paraId="719D34BC" w14:textId="77777777" w:rsidR="001042DA" w:rsidRPr="006B1A5A" w:rsidRDefault="001042DA" w:rsidP="00AF2AEA">
            <w:pPr>
              <w:rPr>
                <w:b/>
                <w:sz w:val="18"/>
              </w:rPr>
            </w:pPr>
            <w:r w:rsidRPr="006B1A5A">
              <w:rPr>
                <w:sz w:val="18"/>
                <w:vertAlign w:val="superscript"/>
              </w:rPr>
              <w:t>1</w:t>
            </w:r>
            <w:r w:rsidRPr="006B1A5A">
              <w:rPr>
                <w:sz w:val="18"/>
              </w:rPr>
              <w:t xml:space="preserve"> PEC/PNEC </w:t>
            </w:r>
            <w:r w:rsidRPr="006B1A5A">
              <w:rPr>
                <w:sz w:val="18"/>
                <w:szCs w:val="18"/>
              </w:rPr>
              <w:t>ratios above</w:t>
            </w:r>
            <w:r w:rsidRPr="006B1A5A">
              <w:rPr>
                <w:sz w:val="18"/>
              </w:rPr>
              <w:t xml:space="preserve"> 1 </w:t>
            </w:r>
            <w:r w:rsidRPr="006B1A5A">
              <w:rPr>
                <w:sz w:val="18"/>
                <w:szCs w:val="18"/>
              </w:rPr>
              <w:t>(values</w:t>
            </w:r>
            <w:r w:rsidRPr="006B1A5A">
              <w:rPr>
                <w:sz w:val="18"/>
              </w:rPr>
              <w:t xml:space="preserve"> in </w:t>
            </w:r>
            <w:r w:rsidRPr="006B1A5A">
              <w:rPr>
                <w:b/>
                <w:sz w:val="18"/>
              </w:rPr>
              <w:t>bold</w:t>
            </w:r>
            <w:r w:rsidRPr="006B1A5A">
              <w:rPr>
                <w:sz w:val="18"/>
                <w:szCs w:val="18"/>
              </w:rPr>
              <w:t>)</w:t>
            </w:r>
            <w:r w:rsidRPr="006B1A5A">
              <w:rPr>
                <w:sz w:val="18"/>
              </w:rPr>
              <w:t xml:space="preserve"> indicate unacceptable </w:t>
            </w:r>
            <w:r w:rsidRPr="006B1A5A">
              <w:rPr>
                <w:sz w:val="18"/>
                <w:szCs w:val="18"/>
              </w:rPr>
              <w:t>environmental risks.</w:t>
            </w:r>
          </w:p>
        </w:tc>
      </w:tr>
    </w:tbl>
    <w:p w14:paraId="247A7B51" w14:textId="77777777" w:rsidR="001042DA" w:rsidRPr="006B1A5A" w:rsidRDefault="001042DA" w:rsidP="001042DA">
      <w:pPr>
        <w:rPr>
          <w:sz w:val="22"/>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6"/>
        <w:gridCol w:w="1629"/>
        <w:gridCol w:w="1631"/>
        <w:gridCol w:w="1631"/>
        <w:gridCol w:w="1767"/>
      </w:tblGrid>
      <w:tr w:rsidR="001042DA" w:rsidRPr="006B1A5A" w14:paraId="580FB332" w14:textId="77777777" w:rsidTr="00AF2AEA">
        <w:trPr>
          <w:trHeight w:val="249"/>
        </w:trPr>
        <w:tc>
          <w:tcPr>
            <w:tcW w:w="5000" w:type="pct"/>
            <w:gridSpan w:val="5"/>
            <w:tcBorders>
              <w:top w:val="single" w:sz="4" w:space="0" w:color="auto"/>
              <w:left w:val="single" w:sz="4" w:space="0" w:color="auto"/>
              <w:bottom w:val="single" w:sz="4" w:space="0" w:color="auto"/>
            </w:tcBorders>
            <w:shd w:val="clear" w:color="auto" w:fill="FFFFCC"/>
            <w:vAlign w:val="center"/>
          </w:tcPr>
          <w:p w14:paraId="09D9986A" w14:textId="77777777" w:rsidR="001042DA" w:rsidRPr="006B1A5A" w:rsidRDefault="001042DA" w:rsidP="00AF2AEA">
            <w:pPr>
              <w:keepNext/>
              <w:autoSpaceDE w:val="0"/>
              <w:autoSpaceDN w:val="0"/>
              <w:adjustRightInd w:val="0"/>
              <w:spacing w:before="60" w:after="60" w:line="260" w:lineRule="atLeast"/>
              <w:jc w:val="center"/>
              <w:rPr>
                <w:rFonts w:eastAsia="Calibri"/>
                <w:b/>
                <w:color w:val="000000" w:themeColor="text1"/>
                <w:sz w:val="18"/>
                <w:szCs w:val="18"/>
                <w:lang w:eastAsia="en-GB"/>
              </w:rPr>
            </w:pPr>
            <w:r w:rsidRPr="006B1A5A">
              <w:rPr>
                <w:rFonts w:eastAsia="Calibri"/>
                <w:b/>
                <w:color w:val="000000" w:themeColor="text1"/>
                <w:sz w:val="18"/>
                <w:szCs w:val="18"/>
                <w:lang w:eastAsia="en-GB"/>
              </w:rPr>
              <w:t xml:space="preserve">AquaNet </w:t>
            </w:r>
            <w:r w:rsidRPr="006B1A5A">
              <w:rPr>
                <w:rFonts w:eastAsia="Calibri"/>
                <w:b/>
                <w:sz w:val="18"/>
                <w:szCs w:val="18"/>
                <w:lang w:eastAsia="en-GB"/>
              </w:rPr>
              <w:t>RFU360</w:t>
            </w:r>
          </w:p>
          <w:p w14:paraId="7BB8C0A5" w14:textId="77777777" w:rsidR="001042DA" w:rsidRPr="006B1A5A" w:rsidRDefault="001042DA" w:rsidP="00AF2AEA">
            <w:pPr>
              <w:keepNext/>
              <w:autoSpaceDE w:val="0"/>
              <w:autoSpaceDN w:val="0"/>
              <w:adjustRightInd w:val="0"/>
              <w:spacing w:before="60" w:after="60" w:line="260" w:lineRule="atLeast"/>
              <w:jc w:val="center"/>
              <w:rPr>
                <w:rFonts w:eastAsia="Calibri"/>
                <w:b/>
                <w:color w:val="000000" w:themeColor="text1"/>
                <w:sz w:val="18"/>
                <w:szCs w:val="18"/>
                <w:lang w:eastAsia="en-GB"/>
              </w:rPr>
            </w:pPr>
            <w:r w:rsidRPr="006B1A5A">
              <w:rPr>
                <w:rFonts w:eastAsia="Calibri"/>
                <w:b/>
                <w:color w:val="000000" w:themeColor="text1"/>
                <w:sz w:val="18"/>
                <w:szCs w:val="18"/>
                <w:lang w:eastAsia="en-GB"/>
              </w:rPr>
              <w:t xml:space="preserve">Average PEC values calculated by MAMPEC v3.1 </w:t>
            </w:r>
          </w:p>
          <w:p w14:paraId="79C3653C" w14:textId="77777777" w:rsidR="001042DA" w:rsidRPr="006B1A5A" w:rsidRDefault="001042DA" w:rsidP="00AF2AEA">
            <w:pPr>
              <w:keepNext/>
              <w:shd w:val="clear" w:color="auto" w:fill="CCFFCC"/>
              <w:autoSpaceDE w:val="0"/>
              <w:autoSpaceDN w:val="0"/>
              <w:adjustRightInd w:val="0"/>
              <w:spacing w:before="60" w:after="60" w:line="260" w:lineRule="atLeast"/>
              <w:jc w:val="center"/>
              <w:rPr>
                <w:rFonts w:eastAsia="Calibri"/>
                <w:b/>
                <w:sz w:val="18"/>
                <w:szCs w:val="18"/>
                <w:lang w:eastAsia="en-GB"/>
              </w:rPr>
            </w:pPr>
            <w:r w:rsidRPr="006B1A5A">
              <w:rPr>
                <w:rFonts w:eastAsia="Calibri"/>
                <w:b/>
                <w:color w:val="000000" w:themeColor="text1"/>
                <w:sz w:val="18"/>
                <w:szCs w:val="18"/>
                <w:lang w:eastAsia="en-GB"/>
              </w:rPr>
              <w:t>(with background concentration for Cu)</w:t>
            </w:r>
          </w:p>
        </w:tc>
      </w:tr>
      <w:tr w:rsidR="001042DA" w:rsidRPr="006B1A5A" w14:paraId="1365B081" w14:textId="77777777" w:rsidTr="00AF2AEA">
        <w:trPr>
          <w:trHeight w:val="249"/>
        </w:trPr>
        <w:tc>
          <w:tcPr>
            <w:tcW w:w="1383" w:type="pct"/>
            <w:shd w:val="clear" w:color="auto" w:fill="FFFFFF"/>
            <w:vAlign w:val="center"/>
          </w:tcPr>
          <w:p w14:paraId="6D5A5D81" w14:textId="77777777" w:rsidR="001042DA" w:rsidRPr="006B1A5A" w:rsidRDefault="001042DA" w:rsidP="00AF2AEA">
            <w:pPr>
              <w:spacing w:before="60" w:after="60"/>
              <w:jc w:val="center"/>
              <w:rPr>
                <w:rFonts w:eastAsia="Calibri"/>
                <w:b/>
                <w:sz w:val="18"/>
                <w:szCs w:val="18"/>
                <w:lang w:eastAsia="en-GB"/>
              </w:rPr>
            </w:pPr>
            <w:r w:rsidRPr="006B1A5A">
              <w:rPr>
                <w:rFonts w:eastAsia="Calibri"/>
                <w:b/>
                <w:sz w:val="18"/>
                <w:szCs w:val="18"/>
                <w:lang w:eastAsia="en-GB"/>
              </w:rPr>
              <w:t>Copper</w:t>
            </w:r>
          </w:p>
          <w:p w14:paraId="3EC1FD9F" w14:textId="77777777" w:rsidR="001042DA" w:rsidRPr="006B1A5A" w:rsidRDefault="001042DA" w:rsidP="00AF2AEA">
            <w:pPr>
              <w:spacing w:before="60" w:after="60"/>
              <w:jc w:val="center"/>
              <w:rPr>
                <w:rFonts w:eastAsia="Calibri"/>
                <w:sz w:val="18"/>
                <w:szCs w:val="18"/>
                <w:lang w:eastAsia="en-GB"/>
              </w:rPr>
            </w:pPr>
            <w:r w:rsidRPr="006B1A5A">
              <w:rPr>
                <w:rFonts w:eastAsia="Calibri"/>
                <w:sz w:val="18"/>
                <w:szCs w:val="18"/>
                <w:lang w:eastAsia="en-GB"/>
              </w:rPr>
              <w:t>PNECsurrounding waters = 1.15 µg/L</w:t>
            </w:r>
          </w:p>
          <w:p w14:paraId="332B9BFF" w14:textId="77777777" w:rsidR="001042DA" w:rsidRPr="006B1A5A" w:rsidRDefault="001042DA" w:rsidP="00AF2AEA">
            <w:pPr>
              <w:keepNext/>
              <w:spacing w:before="60" w:after="60"/>
              <w:jc w:val="center"/>
              <w:rPr>
                <w:rFonts w:eastAsia="Calibri"/>
                <w:sz w:val="18"/>
                <w:szCs w:val="18"/>
                <w:lang w:eastAsia="en-GB"/>
              </w:rPr>
            </w:pPr>
            <w:r w:rsidRPr="006B1A5A">
              <w:rPr>
                <w:rFonts w:eastAsia="Calibri"/>
                <w:sz w:val="18"/>
                <w:szCs w:val="18"/>
                <w:lang w:eastAsia="en-GB"/>
              </w:rPr>
              <w:t>PNEC</w:t>
            </w:r>
            <w:r w:rsidRPr="006B1A5A">
              <w:rPr>
                <w:rFonts w:eastAsia="Calibri"/>
                <w:sz w:val="18"/>
                <w:szCs w:val="18"/>
                <w:vertAlign w:val="subscript"/>
                <w:lang w:eastAsia="en-GB"/>
              </w:rPr>
              <w:t>sed</w:t>
            </w:r>
            <w:r w:rsidRPr="006B1A5A">
              <w:rPr>
                <w:rFonts w:eastAsia="Calibri"/>
                <w:sz w:val="18"/>
                <w:szCs w:val="18"/>
                <w:lang w:eastAsia="en-GB"/>
              </w:rPr>
              <w:t xml:space="preserve"> = 98.8 µg/g dw</w:t>
            </w:r>
          </w:p>
        </w:tc>
        <w:tc>
          <w:tcPr>
            <w:tcW w:w="885" w:type="pct"/>
            <w:shd w:val="clear" w:color="auto" w:fill="FFFFFF"/>
            <w:vAlign w:val="center"/>
          </w:tcPr>
          <w:p w14:paraId="2B0C5A4F" w14:textId="77777777" w:rsidR="001042DA" w:rsidRPr="006B1A5A" w:rsidRDefault="001042DA" w:rsidP="00AF2AEA">
            <w:pPr>
              <w:autoSpaceDE w:val="0"/>
              <w:autoSpaceDN w:val="0"/>
              <w:adjustRightInd w:val="0"/>
              <w:spacing w:before="60" w:after="60" w:line="260" w:lineRule="atLeast"/>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dissolved</w:t>
            </w:r>
          </w:p>
          <w:p w14:paraId="13F145EB" w14:textId="77777777" w:rsidR="001042DA" w:rsidRPr="006B1A5A" w:rsidRDefault="001042DA" w:rsidP="00AF2AEA">
            <w:pPr>
              <w:keepNext/>
              <w:autoSpaceDE w:val="0"/>
              <w:autoSpaceDN w:val="0"/>
              <w:adjustRightInd w:val="0"/>
              <w:spacing w:before="60" w:after="60" w:line="260" w:lineRule="atLeast"/>
              <w:jc w:val="center"/>
              <w:rPr>
                <w:rFonts w:eastAsia="Calibri"/>
                <w:sz w:val="18"/>
                <w:szCs w:val="18"/>
                <w:lang w:eastAsia="en-GB"/>
              </w:rPr>
            </w:pPr>
            <w:r w:rsidRPr="006B1A5A">
              <w:rPr>
                <w:rFonts w:eastAsia="Calibri"/>
                <w:sz w:val="18"/>
                <w:szCs w:val="18"/>
                <w:lang w:eastAsia="en-GB"/>
              </w:rPr>
              <w:t>[µg/L]</w:t>
            </w:r>
          </w:p>
        </w:tc>
        <w:tc>
          <w:tcPr>
            <w:tcW w:w="886" w:type="pct"/>
            <w:shd w:val="clear" w:color="auto" w:fill="FFFFFF"/>
            <w:vAlign w:val="center"/>
          </w:tcPr>
          <w:p w14:paraId="2A140B35" w14:textId="77777777" w:rsidR="001042DA" w:rsidRPr="006B1A5A" w:rsidRDefault="001042DA" w:rsidP="00AF2AEA">
            <w:pPr>
              <w:keepNext/>
              <w:autoSpaceDE w:val="0"/>
              <w:autoSpaceDN w:val="0"/>
              <w:adjustRightInd w:val="0"/>
              <w:spacing w:before="60" w:after="60" w:line="260" w:lineRule="atLeast"/>
              <w:jc w:val="center"/>
              <w:rPr>
                <w:rFonts w:eastAsia="Calibri"/>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 xml:space="preserve">dissolved </w:t>
            </w:r>
            <w:r w:rsidRPr="006B1A5A">
              <w:rPr>
                <w:rFonts w:eastAsia="Calibri"/>
                <w:b/>
                <w:sz w:val="18"/>
                <w:szCs w:val="18"/>
                <w:lang w:eastAsia="en-GB"/>
              </w:rPr>
              <w:t>/ PNEC</w:t>
            </w:r>
            <w:r w:rsidRPr="006B1A5A">
              <w:rPr>
                <w:rFonts w:eastAsia="Calibri"/>
                <w:b/>
                <w:sz w:val="18"/>
                <w:szCs w:val="18"/>
                <w:vertAlign w:val="subscript"/>
                <w:lang w:eastAsia="en-GB"/>
              </w:rPr>
              <w:t xml:space="preserve">water </w:t>
            </w:r>
            <w:r w:rsidRPr="006B1A5A">
              <w:rPr>
                <w:rFonts w:eastAsia="Calibri"/>
                <w:b/>
                <w:sz w:val="18"/>
                <w:szCs w:val="18"/>
                <w:vertAlign w:val="superscript"/>
                <w:lang w:eastAsia="en-GB"/>
              </w:rPr>
              <w:t>1</w:t>
            </w:r>
          </w:p>
        </w:tc>
        <w:tc>
          <w:tcPr>
            <w:tcW w:w="886" w:type="pct"/>
            <w:shd w:val="clear" w:color="auto" w:fill="FFFFFF"/>
            <w:vAlign w:val="center"/>
          </w:tcPr>
          <w:p w14:paraId="5DFECAFE" w14:textId="77777777" w:rsidR="001042DA" w:rsidRPr="006B1A5A" w:rsidRDefault="001042DA" w:rsidP="00AF2AEA">
            <w:pPr>
              <w:spacing w:before="60" w:after="60"/>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suspended sediment</w:t>
            </w:r>
          </w:p>
          <w:p w14:paraId="12BE4AD7" w14:textId="77777777" w:rsidR="001042DA" w:rsidRPr="006B1A5A" w:rsidRDefault="001042DA" w:rsidP="00AF2AEA">
            <w:pPr>
              <w:keepNext/>
              <w:spacing w:before="60" w:after="60"/>
              <w:jc w:val="center"/>
              <w:rPr>
                <w:rFonts w:eastAsia="Calibri"/>
                <w:sz w:val="18"/>
                <w:szCs w:val="18"/>
                <w:lang w:eastAsia="en-GB"/>
              </w:rPr>
            </w:pPr>
            <w:r w:rsidRPr="006B1A5A">
              <w:rPr>
                <w:rFonts w:eastAsia="Calibri"/>
                <w:sz w:val="18"/>
                <w:szCs w:val="18"/>
                <w:lang w:eastAsia="en-GB"/>
              </w:rPr>
              <w:t>[µg/g dw]</w:t>
            </w:r>
          </w:p>
        </w:tc>
        <w:tc>
          <w:tcPr>
            <w:tcW w:w="960" w:type="pct"/>
            <w:shd w:val="clear" w:color="auto" w:fill="auto"/>
            <w:vAlign w:val="center"/>
          </w:tcPr>
          <w:p w14:paraId="2949E868" w14:textId="77777777" w:rsidR="001042DA" w:rsidRPr="006B1A5A" w:rsidRDefault="001042DA" w:rsidP="00AF2AEA">
            <w:pPr>
              <w:keepNext/>
              <w:spacing w:before="60" w:after="60"/>
              <w:jc w:val="center"/>
              <w:rPr>
                <w:rFonts w:eastAsia="Calibri"/>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suspended sediment</w:t>
            </w:r>
            <w:r w:rsidRPr="006B1A5A">
              <w:rPr>
                <w:rFonts w:eastAsia="Calibri"/>
                <w:b/>
                <w:sz w:val="18"/>
                <w:szCs w:val="18"/>
                <w:lang w:eastAsia="en-GB"/>
              </w:rPr>
              <w:t>/ PNEC</w:t>
            </w:r>
            <w:r w:rsidRPr="006B1A5A">
              <w:rPr>
                <w:rFonts w:eastAsia="Calibri"/>
                <w:b/>
                <w:sz w:val="18"/>
                <w:szCs w:val="18"/>
                <w:vertAlign w:val="subscript"/>
                <w:lang w:eastAsia="en-GB"/>
              </w:rPr>
              <w:t xml:space="preserve">sediment </w:t>
            </w:r>
            <w:r w:rsidRPr="006B1A5A">
              <w:rPr>
                <w:rFonts w:eastAsia="Calibri"/>
                <w:b/>
                <w:sz w:val="18"/>
                <w:szCs w:val="18"/>
                <w:vertAlign w:val="superscript"/>
                <w:lang w:eastAsia="en-GB"/>
              </w:rPr>
              <w:t>1</w:t>
            </w:r>
          </w:p>
        </w:tc>
      </w:tr>
      <w:tr w:rsidR="001042DA" w:rsidRPr="006B1A5A" w14:paraId="22DAD81A" w14:textId="77777777" w:rsidTr="00AF2AEA">
        <w:trPr>
          <w:trHeight w:val="75"/>
        </w:trPr>
        <w:tc>
          <w:tcPr>
            <w:tcW w:w="1383" w:type="pct"/>
            <w:shd w:val="clear" w:color="auto" w:fill="FFFFFF"/>
          </w:tcPr>
          <w:p w14:paraId="3F310CB8" w14:textId="77777777" w:rsidR="001042DA" w:rsidRPr="006B1A5A" w:rsidRDefault="001042DA" w:rsidP="00AF2AEA">
            <w:pPr>
              <w:keepNext/>
              <w:spacing w:before="60" w:after="60"/>
              <w:rPr>
                <w:rFonts w:eastAsia="Calibri"/>
                <w:b/>
                <w:sz w:val="18"/>
                <w:szCs w:val="18"/>
                <w:lang w:eastAsia="en-GB"/>
              </w:rPr>
            </w:pPr>
            <w:r w:rsidRPr="006B1A5A">
              <w:rPr>
                <w:rFonts w:eastAsia="Calibri"/>
                <w:b/>
                <w:sz w:val="18"/>
                <w:szCs w:val="18"/>
                <w:lang w:eastAsia="en-GB"/>
              </w:rPr>
              <w:t>Norwegian fish farm scenario</w:t>
            </w:r>
          </w:p>
        </w:tc>
        <w:tc>
          <w:tcPr>
            <w:tcW w:w="885" w:type="pct"/>
            <w:shd w:val="clear" w:color="auto" w:fill="FFFFFF"/>
            <w:vAlign w:val="center"/>
          </w:tcPr>
          <w:p w14:paraId="57C1D019" w14:textId="77777777" w:rsidR="001042DA" w:rsidRPr="006B1A5A" w:rsidRDefault="001042DA" w:rsidP="00AF2AEA">
            <w:pPr>
              <w:pStyle w:val="Ingenmellomrom"/>
              <w:keepNext/>
              <w:jc w:val="center"/>
              <w:rPr>
                <w:rFonts w:ascii="Verdana" w:hAnsi="Verdana"/>
                <w:sz w:val="18"/>
                <w:szCs w:val="18"/>
                <w:lang w:val="en-GB" w:eastAsia="en-GB"/>
              </w:rPr>
            </w:pPr>
            <w:r w:rsidRPr="006B1A5A">
              <w:rPr>
                <w:rFonts w:ascii="Verdana" w:hAnsi="Verdana"/>
                <w:sz w:val="18"/>
                <w:szCs w:val="18"/>
                <w:lang w:val="en-GB" w:eastAsia="en-GB"/>
              </w:rPr>
              <w:t>1.15</w:t>
            </w:r>
          </w:p>
        </w:tc>
        <w:tc>
          <w:tcPr>
            <w:tcW w:w="886" w:type="pct"/>
            <w:shd w:val="clear" w:color="auto" w:fill="FFFFFF"/>
            <w:vAlign w:val="center"/>
          </w:tcPr>
          <w:p w14:paraId="41594671" w14:textId="77777777" w:rsidR="001042DA" w:rsidRPr="006B1A5A" w:rsidRDefault="001042DA" w:rsidP="00AF2AEA">
            <w:pPr>
              <w:pStyle w:val="Ingenmellomrom"/>
              <w:keepNext/>
              <w:jc w:val="center"/>
              <w:rPr>
                <w:rFonts w:ascii="Verdana" w:hAnsi="Verdana"/>
                <w:sz w:val="18"/>
                <w:szCs w:val="18"/>
                <w:lang w:val="en-GB" w:eastAsia="en-GB"/>
              </w:rPr>
            </w:pPr>
            <w:r w:rsidRPr="006B1A5A">
              <w:rPr>
                <w:rFonts w:ascii="Verdana" w:hAnsi="Verdana"/>
                <w:sz w:val="18"/>
                <w:szCs w:val="18"/>
                <w:lang w:val="en-GB" w:eastAsia="en-GB"/>
              </w:rPr>
              <w:t>1.00</w:t>
            </w:r>
          </w:p>
        </w:tc>
        <w:tc>
          <w:tcPr>
            <w:tcW w:w="886" w:type="pct"/>
            <w:shd w:val="clear" w:color="auto" w:fill="FFFFFF"/>
            <w:vAlign w:val="center"/>
          </w:tcPr>
          <w:p w14:paraId="18F04474" w14:textId="77777777" w:rsidR="001042DA" w:rsidRPr="006B1A5A" w:rsidRDefault="001042DA" w:rsidP="00AF2AEA">
            <w:pPr>
              <w:pStyle w:val="Ingenmellomrom"/>
              <w:keepNext/>
              <w:jc w:val="center"/>
              <w:rPr>
                <w:rFonts w:ascii="Verdana" w:hAnsi="Verdana"/>
                <w:sz w:val="18"/>
                <w:szCs w:val="18"/>
                <w:lang w:val="en-GB" w:eastAsia="en-GB"/>
              </w:rPr>
            </w:pPr>
            <w:r w:rsidRPr="006B1A5A">
              <w:rPr>
                <w:rFonts w:ascii="Verdana" w:hAnsi="Verdana"/>
                <w:sz w:val="18"/>
                <w:szCs w:val="18"/>
                <w:lang w:val="en-GB" w:eastAsia="en-GB"/>
              </w:rPr>
              <w:t>23.07</w:t>
            </w:r>
          </w:p>
        </w:tc>
        <w:tc>
          <w:tcPr>
            <w:tcW w:w="960" w:type="pct"/>
            <w:shd w:val="clear" w:color="auto" w:fill="FFFFFF"/>
            <w:vAlign w:val="center"/>
          </w:tcPr>
          <w:p w14:paraId="547EE317" w14:textId="77777777" w:rsidR="001042DA" w:rsidRPr="006B1A5A" w:rsidRDefault="001042DA" w:rsidP="00AF2AEA">
            <w:pPr>
              <w:pStyle w:val="Ingenmellomrom"/>
              <w:keepNext/>
              <w:jc w:val="center"/>
              <w:rPr>
                <w:rFonts w:ascii="Verdana" w:hAnsi="Verdana"/>
                <w:sz w:val="18"/>
                <w:szCs w:val="18"/>
                <w:lang w:val="en-GB" w:eastAsia="en-GB"/>
              </w:rPr>
            </w:pPr>
            <w:r w:rsidRPr="006B1A5A">
              <w:rPr>
                <w:rFonts w:ascii="Verdana" w:hAnsi="Verdana"/>
                <w:sz w:val="18"/>
                <w:szCs w:val="18"/>
                <w:lang w:val="en-GB" w:eastAsia="en-GB"/>
              </w:rPr>
              <w:t>0.23</w:t>
            </w:r>
          </w:p>
        </w:tc>
      </w:tr>
      <w:tr w:rsidR="001042DA" w:rsidRPr="006B1A5A" w14:paraId="65EDFBFE" w14:textId="77777777" w:rsidTr="00AF2AEA">
        <w:trPr>
          <w:trHeight w:val="75"/>
        </w:trPr>
        <w:tc>
          <w:tcPr>
            <w:tcW w:w="1383" w:type="pct"/>
            <w:shd w:val="clear" w:color="auto" w:fill="FFFFFF"/>
            <w:vAlign w:val="center"/>
          </w:tcPr>
          <w:p w14:paraId="40A122C1" w14:textId="77777777" w:rsidR="001042DA" w:rsidRPr="006B1A5A" w:rsidRDefault="001042DA" w:rsidP="00AF2AEA">
            <w:pPr>
              <w:spacing w:before="60" w:after="60"/>
              <w:jc w:val="center"/>
              <w:rPr>
                <w:rFonts w:eastAsia="Calibri"/>
                <w:b/>
                <w:sz w:val="18"/>
                <w:szCs w:val="18"/>
                <w:lang w:eastAsia="en-GB"/>
              </w:rPr>
            </w:pPr>
            <w:r w:rsidRPr="006B1A5A">
              <w:rPr>
                <w:rFonts w:eastAsia="Calibri"/>
                <w:b/>
                <w:sz w:val="18"/>
                <w:szCs w:val="18"/>
                <w:lang w:eastAsia="en-GB"/>
              </w:rPr>
              <w:t>Thiocyanate</w:t>
            </w:r>
          </w:p>
          <w:p w14:paraId="00BF20A1" w14:textId="77777777" w:rsidR="001042DA" w:rsidRPr="006B1A5A" w:rsidRDefault="001042DA" w:rsidP="00AF2AEA">
            <w:pPr>
              <w:spacing w:before="60" w:after="60"/>
              <w:jc w:val="center"/>
              <w:rPr>
                <w:rFonts w:eastAsia="Calibri"/>
                <w:sz w:val="18"/>
                <w:szCs w:val="18"/>
                <w:lang w:eastAsia="en-GB"/>
              </w:rPr>
            </w:pPr>
            <w:r w:rsidRPr="006B1A5A">
              <w:rPr>
                <w:rFonts w:eastAsia="Calibri"/>
                <w:sz w:val="18"/>
                <w:szCs w:val="18"/>
                <w:lang w:eastAsia="en-GB"/>
              </w:rPr>
              <w:t>PNEC surrounding waters = 11 µg/L</w:t>
            </w:r>
          </w:p>
          <w:p w14:paraId="3F538426" w14:textId="77777777" w:rsidR="001042DA" w:rsidRPr="006B1A5A" w:rsidRDefault="001042DA" w:rsidP="00AF2AEA">
            <w:pPr>
              <w:keepNext/>
              <w:spacing w:before="60" w:after="60"/>
              <w:jc w:val="center"/>
              <w:rPr>
                <w:rFonts w:eastAsia="Calibri"/>
                <w:sz w:val="18"/>
                <w:szCs w:val="18"/>
                <w:lang w:eastAsia="en-GB"/>
              </w:rPr>
            </w:pPr>
            <w:r w:rsidRPr="006B1A5A">
              <w:rPr>
                <w:rFonts w:eastAsia="Calibri"/>
                <w:sz w:val="18"/>
                <w:szCs w:val="18"/>
                <w:lang w:eastAsia="en-GB"/>
              </w:rPr>
              <w:t>PNEC</w:t>
            </w:r>
            <w:r w:rsidRPr="006B1A5A">
              <w:rPr>
                <w:rFonts w:eastAsia="Calibri"/>
                <w:sz w:val="18"/>
                <w:szCs w:val="18"/>
                <w:vertAlign w:val="subscript"/>
                <w:lang w:eastAsia="en-GB"/>
              </w:rPr>
              <w:t>sed</w:t>
            </w:r>
            <w:r w:rsidRPr="006B1A5A">
              <w:rPr>
                <w:rFonts w:eastAsia="Calibri"/>
                <w:sz w:val="18"/>
                <w:szCs w:val="18"/>
                <w:lang w:eastAsia="en-GB"/>
              </w:rPr>
              <w:t xml:space="preserve"> = 0.045 µg/g dw</w:t>
            </w:r>
          </w:p>
        </w:tc>
        <w:tc>
          <w:tcPr>
            <w:tcW w:w="885" w:type="pct"/>
            <w:shd w:val="clear" w:color="auto" w:fill="FFFFFF"/>
            <w:vAlign w:val="center"/>
          </w:tcPr>
          <w:p w14:paraId="02018079" w14:textId="77777777" w:rsidR="001042DA" w:rsidRPr="006B1A5A" w:rsidRDefault="001042DA" w:rsidP="00AF2AEA">
            <w:pPr>
              <w:autoSpaceDE w:val="0"/>
              <w:autoSpaceDN w:val="0"/>
              <w:adjustRightInd w:val="0"/>
              <w:spacing w:before="60" w:after="60" w:line="260" w:lineRule="atLeast"/>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dissolved</w:t>
            </w:r>
          </w:p>
          <w:p w14:paraId="0EAA58A8" w14:textId="77777777" w:rsidR="001042DA" w:rsidRPr="006B1A5A" w:rsidRDefault="001042DA" w:rsidP="00AF2AEA">
            <w:pPr>
              <w:keepNext/>
              <w:autoSpaceDE w:val="0"/>
              <w:autoSpaceDN w:val="0"/>
              <w:adjustRightInd w:val="0"/>
              <w:spacing w:before="60" w:after="60" w:line="260" w:lineRule="atLeast"/>
              <w:jc w:val="center"/>
              <w:rPr>
                <w:rFonts w:eastAsia="Calibri"/>
                <w:sz w:val="18"/>
                <w:szCs w:val="18"/>
                <w:lang w:eastAsia="en-GB"/>
              </w:rPr>
            </w:pPr>
            <w:r w:rsidRPr="006B1A5A">
              <w:rPr>
                <w:rFonts w:eastAsia="Calibri"/>
                <w:sz w:val="18"/>
                <w:szCs w:val="18"/>
                <w:lang w:eastAsia="en-GB"/>
              </w:rPr>
              <w:t>[µg/L]</w:t>
            </w:r>
          </w:p>
        </w:tc>
        <w:tc>
          <w:tcPr>
            <w:tcW w:w="886" w:type="pct"/>
            <w:shd w:val="clear" w:color="auto" w:fill="FFFFFF"/>
            <w:vAlign w:val="center"/>
          </w:tcPr>
          <w:p w14:paraId="3817EF70" w14:textId="77777777" w:rsidR="001042DA" w:rsidRPr="006B1A5A" w:rsidRDefault="001042DA" w:rsidP="00AF2AEA">
            <w:pPr>
              <w:keepNext/>
              <w:autoSpaceDE w:val="0"/>
              <w:autoSpaceDN w:val="0"/>
              <w:adjustRightInd w:val="0"/>
              <w:spacing w:before="60" w:after="60" w:line="260" w:lineRule="atLeast"/>
              <w:jc w:val="center"/>
              <w:rPr>
                <w:rFonts w:eastAsia="Calibri"/>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 xml:space="preserve">dissolved </w:t>
            </w:r>
            <w:r w:rsidRPr="006B1A5A">
              <w:rPr>
                <w:rFonts w:eastAsia="Calibri"/>
                <w:b/>
                <w:sz w:val="18"/>
                <w:szCs w:val="18"/>
                <w:lang w:eastAsia="en-GB"/>
              </w:rPr>
              <w:t>/ PNEC</w:t>
            </w:r>
            <w:r w:rsidRPr="006B1A5A">
              <w:rPr>
                <w:rFonts w:eastAsia="Calibri"/>
                <w:b/>
                <w:sz w:val="18"/>
                <w:szCs w:val="18"/>
                <w:vertAlign w:val="subscript"/>
                <w:lang w:eastAsia="en-GB"/>
              </w:rPr>
              <w:t xml:space="preserve">water </w:t>
            </w:r>
            <w:r w:rsidRPr="006B1A5A">
              <w:rPr>
                <w:rFonts w:eastAsia="Calibri"/>
                <w:b/>
                <w:sz w:val="18"/>
                <w:szCs w:val="18"/>
                <w:vertAlign w:val="superscript"/>
                <w:lang w:eastAsia="en-GB"/>
              </w:rPr>
              <w:t>1</w:t>
            </w:r>
          </w:p>
        </w:tc>
        <w:tc>
          <w:tcPr>
            <w:tcW w:w="886" w:type="pct"/>
            <w:shd w:val="clear" w:color="auto" w:fill="FFFFFF"/>
            <w:vAlign w:val="center"/>
          </w:tcPr>
          <w:p w14:paraId="09497455" w14:textId="77777777" w:rsidR="001042DA" w:rsidRPr="006B1A5A" w:rsidRDefault="001042DA" w:rsidP="00AF2AEA">
            <w:pPr>
              <w:spacing w:before="60" w:after="60"/>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suspended sediment</w:t>
            </w:r>
          </w:p>
          <w:p w14:paraId="62008FC8" w14:textId="77777777" w:rsidR="001042DA" w:rsidRPr="006B1A5A" w:rsidRDefault="001042DA" w:rsidP="00AF2AEA">
            <w:pPr>
              <w:keepNext/>
              <w:spacing w:before="60" w:after="60"/>
              <w:jc w:val="center"/>
              <w:rPr>
                <w:rFonts w:eastAsia="Calibri"/>
                <w:sz w:val="18"/>
                <w:szCs w:val="18"/>
                <w:lang w:eastAsia="en-GB"/>
              </w:rPr>
            </w:pPr>
            <w:r w:rsidRPr="006B1A5A">
              <w:rPr>
                <w:rFonts w:eastAsia="Calibri"/>
                <w:sz w:val="18"/>
                <w:szCs w:val="18"/>
                <w:lang w:eastAsia="en-GB"/>
              </w:rPr>
              <w:t>[µg/g dw]</w:t>
            </w:r>
          </w:p>
        </w:tc>
        <w:tc>
          <w:tcPr>
            <w:tcW w:w="960" w:type="pct"/>
            <w:shd w:val="clear" w:color="auto" w:fill="FFFFFF"/>
            <w:vAlign w:val="center"/>
          </w:tcPr>
          <w:p w14:paraId="4A98E09E" w14:textId="77777777" w:rsidR="001042DA" w:rsidRPr="006B1A5A" w:rsidRDefault="001042DA" w:rsidP="00AF2AEA">
            <w:pPr>
              <w:keepNext/>
              <w:spacing w:before="60" w:after="60"/>
              <w:jc w:val="center"/>
              <w:rPr>
                <w:rFonts w:eastAsia="Calibri"/>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suspended sediment</w:t>
            </w:r>
            <w:r w:rsidRPr="006B1A5A">
              <w:rPr>
                <w:rFonts w:eastAsia="Calibri"/>
                <w:b/>
                <w:sz w:val="18"/>
                <w:szCs w:val="18"/>
                <w:lang w:eastAsia="en-GB"/>
              </w:rPr>
              <w:t>/ PNEC</w:t>
            </w:r>
            <w:r w:rsidRPr="006B1A5A">
              <w:rPr>
                <w:rFonts w:eastAsia="Calibri"/>
                <w:b/>
                <w:sz w:val="18"/>
                <w:szCs w:val="18"/>
                <w:vertAlign w:val="subscript"/>
                <w:lang w:eastAsia="en-GB"/>
              </w:rPr>
              <w:t xml:space="preserve">sediment </w:t>
            </w:r>
            <w:r w:rsidRPr="006B1A5A">
              <w:rPr>
                <w:rFonts w:eastAsia="Calibri"/>
                <w:b/>
                <w:sz w:val="18"/>
                <w:szCs w:val="18"/>
                <w:vertAlign w:val="superscript"/>
                <w:lang w:eastAsia="en-GB"/>
              </w:rPr>
              <w:t>1</w:t>
            </w:r>
          </w:p>
        </w:tc>
      </w:tr>
      <w:tr w:rsidR="001042DA" w:rsidRPr="006B1A5A" w14:paraId="5EADB877" w14:textId="77777777" w:rsidTr="00AF2AEA">
        <w:trPr>
          <w:trHeight w:val="75"/>
        </w:trPr>
        <w:tc>
          <w:tcPr>
            <w:tcW w:w="1383" w:type="pct"/>
            <w:shd w:val="clear" w:color="auto" w:fill="FFFFFF"/>
          </w:tcPr>
          <w:p w14:paraId="75E91D01" w14:textId="77777777" w:rsidR="001042DA" w:rsidRPr="006B1A5A" w:rsidRDefault="001042DA" w:rsidP="00AF2AEA">
            <w:pPr>
              <w:keepNext/>
              <w:spacing w:before="60" w:after="60"/>
              <w:rPr>
                <w:rFonts w:eastAsia="Calibri"/>
                <w:b/>
                <w:sz w:val="18"/>
                <w:szCs w:val="18"/>
                <w:lang w:eastAsia="en-GB"/>
              </w:rPr>
            </w:pPr>
            <w:r w:rsidRPr="006B1A5A">
              <w:rPr>
                <w:rFonts w:eastAsia="Calibri"/>
                <w:b/>
                <w:sz w:val="18"/>
                <w:szCs w:val="18"/>
                <w:lang w:eastAsia="en-GB"/>
              </w:rPr>
              <w:t>Norwegian fish farm scenario</w:t>
            </w:r>
          </w:p>
        </w:tc>
        <w:tc>
          <w:tcPr>
            <w:tcW w:w="885" w:type="pct"/>
            <w:shd w:val="clear" w:color="auto" w:fill="FFFFFF"/>
            <w:vAlign w:val="center"/>
          </w:tcPr>
          <w:p w14:paraId="0B0AB87C" w14:textId="77777777" w:rsidR="001042DA" w:rsidRPr="006B1A5A" w:rsidRDefault="001042DA" w:rsidP="00AF2AEA">
            <w:pPr>
              <w:pStyle w:val="Ingenmellomrom"/>
              <w:keepNext/>
              <w:jc w:val="center"/>
              <w:rPr>
                <w:rFonts w:ascii="Verdana" w:hAnsi="Verdana"/>
                <w:sz w:val="18"/>
                <w:szCs w:val="18"/>
                <w:lang w:val="en-GB" w:eastAsia="en-GB"/>
              </w:rPr>
            </w:pPr>
            <w:r w:rsidRPr="006B1A5A">
              <w:rPr>
                <w:rFonts w:ascii="Verdana" w:hAnsi="Verdana"/>
                <w:sz w:val="18"/>
                <w:szCs w:val="18"/>
                <w:lang w:val="en-GB" w:eastAsia="en-GB"/>
              </w:rPr>
              <w:t>4.40E-03</w:t>
            </w:r>
          </w:p>
        </w:tc>
        <w:tc>
          <w:tcPr>
            <w:tcW w:w="886" w:type="pct"/>
            <w:shd w:val="clear" w:color="auto" w:fill="FFFFFF"/>
            <w:vAlign w:val="center"/>
          </w:tcPr>
          <w:p w14:paraId="3554301C" w14:textId="77777777" w:rsidR="001042DA" w:rsidRPr="006B1A5A" w:rsidRDefault="001042DA" w:rsidP="00AF2AEA">
            <w:pPr>
              <w:pStyle w:val="Ingenmellomrom"/>
              <w:keepNext/>
              <w:jc w:val="center"/>
              <w:rPr>
                <w:rFonts w:ascii="Verdana" w:hAnsi="Verdana"/>
                <w:sz w:val="18"/>
                <w:szCs w:val="18"/>
                <w:lang w:val="en-GB" w:eastAsia="en-GB"/>
              </w:rPr>
            </w:pPr>
            <w:r w:rsidRPr="006B1A5A">
              <w:rPr>
                <w:rFonts w:ascii="Verdana" w:hAnsi="Verdana"/>
                <w:sz w:val="18"/>
                <w:szCs w:val="18"/>
                <w:lang w:val="en-GB" w:eastAsia="en-GB"/>
              </w:rPr>
              <w:t>4.00E-04</w:t>
            </w:r>
          </w:p>
        </w:tc>
        <w:tc>
          <w:tcPr>
            <w:tcW w:w="886" w:type="pct"/>
            <w:shd w:val="clear" w:color="auto" w:fill="FFFFFF"/>
            <w:vAlign w:val="center"/>
          </w:tcPr>
          <w:p w14:paraId="79C66B73" w14:textId="77777777" w:rsidR="001042DA" w:rsidRPr="006B1A5A" w:rsidRDefault="001042DA" w:rsidP="00AF2AEA">
            <w:pPr>
              <w:pStyle w:val="Ingenmellomrom"/>
              <w:keepNext/>
              <w:jc w:val="center"/>
              <w:rPr>
                <w:rFonts w:ascii="Verdana" w:hAnsi="Verdana"/>
                <w:sz w:val="18"/>
                <w:szCs w:val="18"/>
                <w:lang w:val="en-GB" w:eastAsia="en-GB"/>
              </w:rPr>
            </w:pPr>
            <w:r w:rsidRPr="006B1A5A">
              <w:rPr>
                <w:rFonts w:ascii="Verdana" w:hAnsi="Verdana"/>
                <w:sz w:val="18"/>
                <w:szCs w:val="18"/>
                <w:lang w:val="en-GB" w:eastAsia="en-GB"/>
              </w:rPr>
              <w:t>2.63E-06</w:t>
            </w:r>
          </w:p>
        </w:tc>
        <w:tc>
          <w:tcPr>
            <w:tcW w:w="960" w:type="pct"/>
            <w:shd w:val="clear" w:color="auto" w:fill="FFFFFF"/>
            <w:vAlign w:val="center"/>
          </w:tcPr>
          <w:p w14:paraId="4C150D58" w14:textId="77777777" w:rsidR="001042DA" w:rsidRPr="006B1A5A" w:rsidRDefault="001042DA" w:rsidP="00AF2AEA">
            <w:pPr>
              <w:pStyle w:val="Ingenmellomrom"/>
              <w:keepNext/>
              <w:jc w:val="center"/>
              <w:rPr>
                <w:rFonts w:ascii="Verdana" w:hAnsi="Verdana"/>
                <w:sz w:val="18"/>
                <w:szCs w:val="18"/>
                <w:lang w:val="en-GB" w:eastAsia="en-GB"/>
              </w:rPr>
            </w:pPr>
            <w:r w:rsidRPr="006B1A5A">
              <w:rPr>
                <w:rFonts w:ascii="Verdana" w:hAnsi="Verdana"/>
                <w:sz w:val="18"/>
                <w:szCs w:val="18"/>
                <w:lang w:val="en-GB" w:eastAsia="en-GB"/>
              </w:rPr>
              <w:t>5.83E-05</w:t>
            </w:r>
          </w:p>
        </w:tc>
      </w:tr>
      <w:tr w:rsidR="001042DA" w:rsidRPr="006B1A5A" w14:paraId="66913F7D" w14:textId="77777777" w:rsidTr="00AF2AEA">
        <w:trPr>
          <w:trHeight w:val="75"/>
        </w:trPr>
        <w:tc>
          <w:tcPr>
            <w:tcW w:w="5000" w:type="pct"/>
            <w:gridSpan w:val="5"/>
            <w:tcBorders>
              <w:top w:val="single" w:sz="4" w:space="0" w:color="auto"/>
              <w:left w:val="nil"/>
              <w:bottom w:val="nil"/>
              <w:right w:val="nil"/>
            </w:tcBorders>
            <w:shd w:val="clear" w:color="auto" w:fill="FFFFFF"/>
          </w:tcPr>
          <w:p w14:paraId="498AA2B8" w14:textId="77777777" w:rsidR="001042DA" w:rsidRPr="006B1A5A" w:rsidRDefault="001042DA" w:rsidP="00AF2AEA">
            <w:pPr>
              <w:pStyle w:val="Ingenmellomrom"/>
              <w:keepNext/>
              <w:jc w:val="left"/>
              <w:rPr>
                <w:rFonts w:ascii="Verdana" w:hAnsi="Verdana"/>
                <w:b/>
                <w:sz w:val="18"/>
                <w:szCs w:val="20"/>
                <w:lang w:val="en-GB" w:eastAsia="en-GB"/>
              </w:rPr>
            </w:pPr>
            <w:r w:rsidRPr="006B1A5A">
              <w:rPr>
                <w:rFonts w:ascii="Verdana" w:hAnsi="Verdana"/>
                <w:sz w:val="18"/>
                <w:szCs w:val="20"/>
                <w:vertAlign w:val="superscript"/>
                <w:lang w:val="en-GB"/>
              </w:rPr>
              <w:t>1</w:t>
            </w:r>
            <w:r w:rsidRPr="006B1A5A">
              <w:rPr>
                <w:rFonts w:ascii="Verdana" w:hAnsi="Verdana"/>
                <w:sz w:val="18"/>
                <w:szCs w:val="20"/>
                <w:lang w:val="en-GB"/>
              </w:rPr>
              <w:t xml:space="preserve"> PEC/PNEC </w:t>
            </w:r>
            <w:r w:rsidRPr="006B1A5A">
              <w:rPr>
                <w:rFonts w:ascii="Verdana" w:hAnsi="Verdana"/>
                <w:sz w:val="18"/>
                <w:szCs w:val="18"/>
                <w:lang w:val="en-GB"/>
              </w:rPr>
              <w:t>ratios above</w:t>
            </w:r>
            <w:r w:rsidRPr="006B1A5A">
              <w:rPr>
                <w:rFonts w:ascii="Verdana" w:hAnsi="Verdana"/>
                <w:sz w:val="18"/>
                <w:szCs w:val="20"/>
                <w:lang w:val="en-GB"/>
              </w:rPr>
              <w:t xml:space="preserve"> 1 </w:t>
            </w:r>
            <w:r w:rsidRPr="006B1A5A">
              <w:rPr>
                <w:rFonts w:ascii="Verdana" w:hAnsi="Verdana"/>
                <w:sz w:val="18"/>
                <w:szCs w:val="18"/>
                <w:lang w:val="en-GB"/>
              </w:rPr>
              <w:t>(values</w:t>
            </w:r>
            <w:r w:rsidRPr="006B1A5A">
              <w:rPr>
                <w:rFonts w:ascii="Verdana" w:hAnsi="Verdana"/>
                <w:sz w:val="18"/>
                <w:szCs w:val="20"/>
                <w:lang w:val="en-GB"/>
              </w:rPr>
              <w:t xml:space="preserve"> in </w:t>
            </w:r>
            <w:r w:rsidRPr="006B1A5A">
              <w:rPr>
                <w:rFonts w:ascii="Verdana" w:hAnsi="Verdana"/>
                <w:b/>
                <w:sz w:val="18"/>
                <w:szCs w:val="20"/>
                <w:lang w:val="en-GB"/>
              </w:rPr>
              <w:t>bold</w:t>
            </w:r>
            <w:r w:rsidRPr="006B1A5A">
              <w:rPr>
                <w:rFonts w:ascii="Verdana" w:hAnsi="Verdana"/>
                <w:sz w:val="18"/>
                <w:szCs w:val="18"/>
                <w:lang w:val="en-GB"/>
              </w:rPr>
              <w:t>)</w:t>
            </w:r>
            <w:r w:rsidRPr="006B1A5A">
              <w:rPr>
                <w:rFonts w:ascii="Verdana" w:hAnsi="Verdana"/>
                <w:sz w:val="18"/>
                <w:szCs w:val="20"/>
                <w:lang w:val="en-GB"/>
              </w:rPr>
              <w:t xml:space="preserve"> </w:t>
            </w:r>
            <w:r w:rsidRPr="006B1A5A">
              <w:rPr>
                <w:rFonts w:ascii="Verdana" w:hAnsi="Verdana"/>
                <w:sz w:val="18"/>
                <w:szCs w:val="18"/>
                <w:lang w:val="en-GB"/>
              </w:rPr>
              <w:t>indicate</w:t>
            </w:r>
            <w:r w:rsidRPr="006B1A5A">
              <w:rPr>
                <w:rFonts w:ascii="Verdana" w:hAnsi="Verdana"/>
                <w:sz w:val="18"/>
                <w:szCs w:val="20"/>
                <w:lang w:val="en-GB"/>
              </w:rPr>
              <w:t xml:space="preserve"> unacceptable </w:t>
            </w:r>
            <w:r w:rsidRPr="006B1A5A">
              <w:rPr>
                <w:rFonts w:ascii="Verdana" w:hAnsi="Verdana"/>
                <w:sz w:val="18"/>
                <w:szCs w:val="18"/>
                <w:lang w:val="en-GB"/>
              </w:rPr>
              <w:t>environmental risks.</w:t>
            </w:r>
          </w:p>
        </w:tc>
      </w:tr>
    </w:tbl>
    <w:p w14:paraId="6D3D85A9" w14:textId="77777777" w:rsidR="001042DA" w:rsidRPr="006B1A5A" w:rsidRDefault="001042DA" w:rsidP="001042DA">
      <w:pPr>
        <w:rPr>
          <w:rFonts w:eastAsia="Calibri"/>
          <w:b/>
          <w:i/>
          <w:sz w:val="22"/>
          <w:szCs w:val="22"/>
          <w:lang w:eastAsia="en-US"/>
        </w:rPr>
      </w:pPr>
    </w:p>
    <w:p w14:paraId="6C3D89C5" w14:textId="77777777" w:rsidR="001042DA" w:rsidRPr="006B1A5A" w:rsidRDefault="001042DA" w:rsidP="001042DA">
      <w:pPr>
        <w:spacing w:line="260" w:lineRule="atLeast"/>
      </w:pPr>
      <w:bookmarkStart w:id="1745" w:name="_Hlk22292474"/>
      <w:r w:rsidRPr="006B1A5A">
        <w:t>All resulting PEC/PNEC ratios for the Norwegian fish farm scenario were found to be ≤ 1.</w:t>
      </w:r>
      <w:bookmarkEnd w:id="1745"/>
    </w:p>
    <w:p w14:paraId="0FDB41A1" w14:textId="77777777" w:rsidR="001042DA" w:rsidRPr="006B1A5A" w:rsidRDefault="001042DA" w:rsidP="001042DA">
      <w:pPr>
        <w:spacing w:line="260" w:lineRule="atLeast"/>
      </w:pPr>
    </w:p>
    <w:p w14:paraId="69718917" w14:textId="77777777" w:rsidR="001042DA" w:rsidRPr="006B1A5A" w:rsidRDefault="001042DA" w:rsidP="001042DA">
      <w:pPr>
        <w:rPr>
          <w:sz w:val="22"/>
          <w:szCs w:val="22"/>
          <w:highlight w:val="yellow"/>
          <w:lang w:eastAsia="en-US"/>
        </w:rPr>
      </w:pPr>
    </w:p>
    <w:p w14:paraId="059502F7" w14:textId="4B9522A5" w:rsidR="001042DA" w:rsidRPr="006B1A5A" w:rsidRDefault="006B45EA" w:rsidP="006B45EA">
      <w:pPr>
        <w:spacing w:after="160" w:line="259" w:lineRule="auto"/>
        <w:rPr>
          <w:rFonts w:eastAsia="Calibri"/>
          <w:b/>
          <w:sz w:val="26"/>
          <w:szCs w:val="26"/>
          <w:lang w:eastAsia="en-US"/>
        </w:rPr>
      </w:pPr>
      <w:bookmarkStart w:id="1746" w:name="_Toc377651049"/>
      <w:bookmarkStart w:id="1747" w:name="_Toc389729118"/>
      <w:bookmarkStart w:id="1748" w:name="_Toc403566582"/>
      <w:bookmarkStart w:id="1749" w:name="_Toc441571134"/>
      <w:bookmarkStart w:id="1750" w:name="_Hlk501447703"/>
      <w:bookmarkStart w:id="1751" w:name="_Hlk501446586"/>
      <w:r>
        <w:rPr>
          <w:rFonts w:eastAsia="Calibri"/>
          <w:b/>
          <w:sz w:val="26"/>
          <w:szCs w:val="26"/>
          <w:lang w:eastAsia="en-US"/>
        </w:rPr>
        <w:br w:type="page"/>
      </w:r>
    </w:p>
    <w:p w14:paraId="409F7EEB" w14:textId="77777777" w:rsidR="001042DA" w:rsidRPr="006B1A5A" w:rsidRDefault="001042DA" w:rsidP="00916E44">
      <w:pPr>
        <w:pStyle w:val="Overskrift4"/>
      </w:pPr>
      <w:bookmarkStart w:id="1752" w:name="_Toc66448839"/>
      <w:r w:rsidRPr="006B1A5A">
        <w:t>Risk characterisation</w:t>
      </w:r>
      <w:bookmarkEnd w:id="1746"/>
      <w:bookmarkEnd w:id="1747"/>
      <w:bookmarkEnd w:id="1748"/>
      <w:bookmarkEnd w:id="1749"/>
      <w:bookmarkEnd w:id="1752"/>
    </w:p>
    <w:p w14:paraId="41D4D842" w14:textId="77777777" w:rsidR="001042DA" w:rsidRPr="006B1A5A" w:rsidRDefault="001042DA" w:rsidP="001042DA">
      <w:pPr>
        <w:rPr>
          <w:rFonts w:eastAsia="Calibri"/>
          <w:b/>
          <w:i/>
          <w:sz w:val="22"/>
          <w:szCs w:val="22"/>
          <w:lang w:eastAsia="en-US"/>
        </w:rPr>
      </w:pPr>
      <w:bookmarkStart w:id="1753" w:name="_Toc377651050"/>
      <w:bookmarkStart w:id="1754" w:name="_Toc389729119"/>
      <w:bookmarkStart w:id="1755" w:name="_Toc403472803"/>
      <w:bookmarkEnd w:id="1750"/>
      <w:bookmarkEnd w:id="1751"/>
    </w:p>
    <w:p w14:paraId="1D79427B" w14:textId="77777777" w:rsidR="001042DA" w:rsidRPr="006B1A5A" w:rsidRDefault="001042DA" w:rsidP="001042DA">
      <w:pPr>
        <w:rPr>
          <w:rFonts w:eastAsia="Calibri"/>
          <w:b/>
          <w:i/>
          <w:lang w:eastAsia="en-US"/>
        </w:rPr>
      </w:pPr>
      <w:bookmarkStart w:id="1756" w:name="_Hlk501447656"/>
      <w:r w:rsidRPr="006B1A5A">
        <w:rPr>
          <w:rFonts w:eastAsia="Calibri"/>
          <w:b/>
          <w:i/>
          <w:lang w:eastAsia="en-US"/>
        </w:rPr>
        <w:t>Atmosphere</w:t>
      </w:r>
      <w:bookmarkEnd w:id="1753"/>
      <w:bookmarkEnd w:id="1754"/>
      <w:bookmarkEnd w:id="1755"/>
    </w:p>
    <w:p w14:paraId="4FF82EBE" w14:textId="77777777" w:rsidR="001042DA" w:rsidRPr="006B1A5A" w:rsidRDefault="001042DA" w:rsidP="001042DA">
      <w:pPr>
        <w:rPr>
          <w:rFonts w:eastAsia="Calibri"/>
          <w:lang w:eastAsia="en-US"/>
        </w:rPr>
      </w:pPr>
      <w:bookmarkStart w:id="1757" w:name="_Toc377651051"/>
      <w:bookmarkStart w:id="1758" w:name="_Toc389729120"/>
      <w:bookmarkStart w:id="1759" w:name="_Toc403472804"/>
      <w:r w:rsidRPr="006B1A5A">
        <w:rPr>
          <w:rFonts w:eastAsia="Calibri"/>
          <w:lang w:eastAsia="en-US"/>
        </w:rPr>
        <w:t>No exposure to the atmosphere as the active ingredients do not volatilise.</w:t>
      </w:r>
    </w:p>
    <w:p w14:paraId="7F26027D" w14:textId="77777777" w:rsidR="001042DA" w:rsidRPr="006B1A5A" w:rsidRDefault="001042DA" w:rsidP="001042DA">
      <w:pPr>
        <w:rPr>
          <w:rFonts w:eastAsia="Calibri"/>
          <w:b/>
          <w:i/>
          <w:sz w:val="22"/>
          <w:szCs w:val="22"/>
          <w:highlight w:val="yellow"/>
          <w:lang w:eastAsia="en-US"/>
        </w:rPr>
      </w:pPr>
    </w:p>
    <w:p w14:paraId="703A82F2" w14:textId="77777777" w:rsidR="001042DA" w:rsidRPr="006B1A5A" w:rsidRDefault="001042DA" w:rsidP="001042DA">
      <w:pPr>
        <w:rPr>
          <w:rFonts w:eastAsia="Calibri"/>
          <w:b/>
          <w:i/>
          <w:lang w:eastAsia="en-US"/>
        </w:rPr>
      </w:pPr>
      <w:r w:rsidRPr="006B1A5A">
        <w:rPr>
          <w:rFonts w:eastAsia="Calibri"/>
          <w:b/>
          <w:i/>
          <w:lang w:eastAsia="en-US"/>
        </w:rPr>
        <w:t xml:space="preserve">Sewage treatment plant (STP) </w:t>
      </w:r>
    </w:p>
    <w:p w14:paraId="0FBE82C4" w14:textId="77777777" w:rsidR="001042DA" w:rsidRPr="006B1A5A" w:rsidRDefault="001042DA" w:rsidP="001042DA">
      <w:pPr>
        <w:spacing w:before="60" w:line="276" w:lineRule="auto"/>
        <w:jc w:val="both"/>
      </w:pPr>
      <w:r w:rsidRPr="006B1A5A">
        <w:t xml:space="preserve">The proposed uses of the 360 Biocidal Product Family as antifouling coatings for nets used in aquaculture would not result in any direct or indirect exposure to STPs. Hence the risks to STP microorganisms are considered acceptable. </w:t>
      </w:r>
    </w:p>
    <w:p w14:paraId="1AAB4EA1" w14:textId="77777777" w:rsidR="001042DA" w:rsidRPr="006B1A5A" w:rsidRDefault="001042DA" w:rsidP="001042DA">
      <w:pPr>
        <w:rPr>
          <w:rFonts w:eastAsia="Calibri"/>
          <w:b/>
          <w:i/>
          <w:sz w:val="22"/>
          <w:szCs w:val="22"/>
          <w:highlight w:val="yellow"/>
          <w:lang w:eastAsia="en-US"/>
        </w:rPr>
      </w:pPr>
    </w:p>
    <w:bookmarkEnd w:id="1757"/>
    <w:bookmarkEnd w:id="1758"/>
    <w:bookmarkEnd w:id="1759"/>
    <w:p w14:paraId="38F43D85" w14:textId="4FF03AA9" w:rsidR="001042DA" w:rsidRPr="006B1A5A" w:rsidRDefault="001042DA" w:rsidP="001042DA">
      <w:pPr>
        <w:rPr>
          <w:rFonts w:eastAsia="Calibri"/>
          <w:b/>
          <w:i/>
          <w:sz w:val="22"/>
          <w:szCs w:val="22"/>
          <w:lang w:eastAsia="en-US"/>
        </w:rPr>
      </w:pPr>
    </w:p>
    <w:p w14:paraId="0CE8F8A7" w14:textId="77777777" w:rsidR="001042DA" w:rsidRPr="006B1A5A" w:rsidRDefault="001042DA" w:rsidP="001042DA">
      <w:pPr>
        <w:rPr>
          <w:rFonts w:eastAsia="Calibri"/>
          <w:b/>
          <w:i/>
          <w:sz w:val="22"/>
          <w:szCs w:val="22"/>
          <w:lang w:eastAsia="en-US"/>
        </w:rPr>
      </w:pPr>
      <w:r w:rsidRPr="006B1A5A">
        <w:rPr>
          <w:rFonts w:eastAsia="Calibri"/>
          <w:b/>
          <w:i/>
          <w:sz w:val="22"/>
          <w:szCs w:val="22"/>
          <w:lang w:eastAsia="en-US"/>
        </w:rPr>
        <w:t>Aquatic compartment</w:t>
      </w:r>
    </w:p>
    <w:p w14:paraId="6097D045" w14:textId="77777777" w:rsidR="001042DA" w:rsidRPr="006B1A5A" w:rsidRDefault="001042DA" w:rsidP="001042DA">
      <w:pPr>
        <w:rPr>
          <w:rFonts w:eastAsia="Calibri"/>
          <w:b/>
          <w:i/>
          <w:sz w:val="22"/>
          <w:szCs w:val="22"/>
          <w:lang w:eastAsia="en-US"/>
        </w:rPr>
      </w:pPr>
    </w:p>
    <w:p w14:paraId="3B1DCA59" w14:textId="77777777" w:rsidR="001042DA" w:rsidRPr="006B1A5A" w:rsidRDefault="001042DA" w:rsidP="001042DA">
      <w:pPr>
        <w:rPr>
          <w:b/>
        </w:rPr>
      </w:pPr>
      <w:bookmarkStart w:id="1760" w:name="_Hlk22294051"/>
      <w:r w:rsidRPr="006B1A5A">
        <w:rPr>
          <w:b/>
        </w:rPr>
        <w:t>Risk characterisation for the EU fish farm scenario (tier 1)</w:t>
      </w:r>
      <w:bookmarkEnd w:id="1760"/>
    </w:p>
    <w:p w14:paraId="00E885AA" w14:textId="77777777" w:rsidR="001042DA" w:rsidRPr="006B1A5A" w:rsidRDefault="001042DA" w:rsidP="001042DA"/>
    <w:p w14:paraId="735C6940" w14:textId="77777777" w:rsidR="001042DA" w:rsidRPr="006B1A5A" w:rsidRDefault="001042DA" w:rsidP="001042DA">
      <w:pPr>
        <w:rPr>
          <w:rFonts w:eastAsia="Calibri"/>
          <w:b/>
          <w:i/>
          <w:sz w:val="22"/>
          <w:szCs w:val="22"/>
          <w:lang w:eastAsia="en-US"/>
        </w:rPr>
      </w:pPr>
      <w:bookmarkStart w:id="1761" w:name="_Hlk22294058"/>
      <w:r w:rsidRPr="006B1A5A">
        <w:t>The PEC/PNEC ratios based on PEC values calculated with the EU fish farm scenario are summarised in the following table.</w:t>
      </w:r>
    </w:p>
    <w:bookmarkEnd w:id="1761"/>
    <w:p w14:paraId="3B3EB9AF" w14:textId="77777777" w:rsidR="001042DA" w:rsidRPr="006B1A5A" w:rsidRDefault="001042DA" w:rsidP="001042DA">
      <w:pPr>
        <w:jc w:val="center"/>
        <w:rPr>
          <w:rFonts w:eastAsia="Calibri"/>
          <w:b/>
          <w:i/>
          <w:sz w:val="22"/>
          <w:szCs w:val="22"/>
          <w:lang w:eastAsia="en-US"/>
        </w:rPr>
      </w:pPr>
    </w:p>
    <w:tbl>
      <w:tblPr>
        <w:tblStyle w:val="Tabellrutenett"/>
        <w:tblW w:w="0" w:type="auto"/>
        <w:tblLayout w:type="fixed"/>
        <w:tblLook w:val="04A0" w:firstRow="1" w:lastRow="0" w:firstColumn="1" w:lastColumn="0" w:noHBand="0" w:noVBand="1"/>
      </w:tblPr>
      <w:tblGrid>
        <w:gridCol w:w="2547"/>
        <w:gridCol w:w="2977"/>
        <w:gridCol w:w="3680"/>
      </w:tblGrid>
      <w:tr w:rsidR="001042DA" w:rsidRPr="006B1A5A" w14:paraId="2191A5AD" w14:textId="77777777" w:rsidTr="00AF2AEA">
        <w:tc>
          <w:tcPr>
            <w:tcW w:w="9204" w:type="dxa"/>
            <w:gridSpan w:val="3"/>
          </w:tcPr>
          <w:p w14:paraId="1B518615" w14:textId="060E13A2" w:rsidR="001042DA" w:rsidRPr="00BC6C11" w:rsidRDefault="001042DA" w:rsidP="00AF2AEA">
            <w:pPr>
              <w:jc w:val="center"/>
              <w:rPr>
                <w:rFonts w:eastAsia="Calibri" w:cs="Arial"/>
                <w:b/>
                <w:color w:val="000000"/>
                <w:lang w:eastAsia="en-GB"/>
              </w:rPr>
            </w:pPr>
            <w:bookmarkStart w:id="1762" w:name="_Hlk501461249"/>
            <w:r w:rsidRPr="006B1A5A">
              <w:rPr>
                <w:rFonts w:eastAsia="Calibri" w:cs="Arial"/>
                <w:b/>
                <w:bCs/>
                <w:color w:val="000000"/>
                <w:lang w:eastAsia="en-GB"/>
              </w:rPr>
              <w:t>Summary table on calculated PEC/PNEC values*</w:t>
            </w:r>
            <w:r w:rsidR="00BC6C11">
              <w:rPr>
                <w:rFonts w:eastAsia="Calibri" w:cs="Arial"/>
                <w:b/>
                <w:bCs/>
                <w:color w:val="000000"/>
                <w:lang w:eastAsia="en-GB"/>
              </w:rPr>
              <w:t xml:space="preserve">, </w:t>
            </w:r>
            <w:r w:rsidRPr="006B1A5A">
              <w:rPr>
                <w:rFonts w:eastAsia="Calibri" w:cs="Arial"/>
                <w:b/>
                <w:bCs/>
                <w:color w:val="000000"/>
                <w:lang w:eastAsia="en-GB"/>
              </w:rPr>
              <w:t>EU fish farm scenario</w:t>
            </w:r>
          </w:p>
        </w:tc>
      </w:tr>
      <w:tr w:rsidR="001042DA" w:rsidRPr="006B1A5A" w14:paraId="1EB9972A" w14:textId="77777777" w:rsidTr="00AF2AEA">
        <w:tc>
          <w:tcPr>
            <w:tcW w:w="2547" w:type="dxa"/>
          </w:tcPr>
          <w:p w14:paraId="6B8DB3B7" w14:textId="77777777" w:rsidR="001042DA" w:rsidRPr="006B1A5A" w:rsidRDefault="001042DA" w:rsidP="00AF2AEA">
            <w:pPr>
              <w:rPr>
                <w:rFonts w:eastAsia="Calibri"/>
                <w:b/>
                <w:i/>
                <w:highlight w:val="yellow"/>
                <w:lang w:eastAsia="en-US"/>
              </w:rPr>
            </w:pPr>
          </w:p>
        </w:tc>
        <w:tc>
          <w:tcPr>
            <w:tcW w:w="2977" w:type="dxa"/>
          </w:tcPr>
          <w:p w14:paraId="36345377" w14:textId="77777777" w:rsidR="001042DA" w:rsidRPr="006B1A5A" w:rsidRDefault="001042DA" w:rsidP="00AF2AEA">
            <w:pPr>
              <w:autoSpaceDE w:val="0"/>
              <w:autoSpaceDN w:val="0"/>
              <w:adjustRightInd w:val="0"/>
              <w:spacing w:before="60" w:after="60" w:line="260" w:lineRule="atLeast"/>
              <w:jc w:val="center"/>
              <w:rPr>
                <w:rFonts w:eastAsia="Calibri"/>
                <w:b/>
                <w:i/>
                <w:lang w:eastAsia="en-US"/>
              </w:rPr>
            </w:pPr>
            <w:r w:rsidRPr="006B1A5A">
              <w:rPr>
                <w:rFonts w:eastAsia="Calibri" w:cs="Arial"/>
                <w:b/>
                <w:bCs/>
                <w:color w:val="000000"/>
                <w:lang w:eastAsia="en-GB"/>
              </w:rPr>
              <w:t>PEC</w:t>
            </w:r>
            <w:r w:rsidRPr="006B1A5A">
              <w:rPr>
                <w:rFonts w:eastAsia="Calibri" w:cs="Arial"/>
                <w:b/>
                <w:bCs/>
                <w:color w:val="000000"/>
                <w:vertAlign w:val="subscript"/>
                <w:lang w:eastAsia="en-GB"/>
              </w:rPr>
              <w:t>dissolved</w:t>
            </w:r>
            <w:r w:rsidRPr="006B1A5A">
              <w:rPr>
                <w:rFonts w:eastAsia="Calibri" w:cs="Arial"/>
                <w:b/>
                <w:bCs/>
                <w:color w:val="000000"/>
                <w:lang w:eastAsia="en-GB"/>
              </w:rPr>
              <w:t>/PNEC</w:t>
            </w:r>
            <w:r w:rsidRPr="006B1A5A">
              <w:rPr>
                <w:rFonts w:eastAsia="Calibri" w:cs="Arial"/>
                <w:b/>
                <w:bCs/>
                <w:color w:val="000000"/>
                <w:vertAlign w:val="subscript"/>
                <w:lang w:eastAsia="en-GB"/>
              </w:rPr>
              <w:t>water</w:t>
            </w:r>
          </w:p>
        </w:tc>
        <w:tc>
          <w:tcPr>
            <w:tcW w:w="3680" w:type="dxa"/>
          </w:tcPr>
          <w:p w14:paraId="1072C9EF" w14:textId="77777777" w:rsidR="001042DA" w:rsidRPr="006B1A5A" w:rsidRDefault="001042DA" w:rsidP="00AF2AEA">
            <w:pPr>
              <w:autoSpaceDE w:val="0"/>
              <w:autoSpaceDN w:val="0"/>
              <w:adjustRightInd w:val="0"/>
              <w:spacing w:before="60" w:after="60" w:line="260" w:lineRule="atLeast"/>
              <w:jc w:val="center"/>
              <w:rPr>
                <w:rFonts w:eastAsia="Calibri"/>
                <w:b/>
                <w:i/>
                <w:lang w:eastAsia="en-US"/>
              </w:rPr>
            </w:pPr>
            <w:r w:rsidRPr="006B1A5A">
              <w:rPr>
                <w:rFonts w:eastAsia="Calibri" w:cs="Arial"/>
                <w:b/>
                <w:color w:val="000000"/>
                <w:lang w:eastAsia="en-GB"/>
              </w:rPr>
              <w:t>PEC</w:t>
            </w:r>
            <w:r w:rsidRPr="006B1A5A">
              <w:rPr>
                <w:rFonts w:eastAsia="Calibri" w:cs="Arial"/>
                <w:b/>
                <w:color w:val="000000"/>
                <w:vertAlign w:val="subscript"/>
                <w:lang w:eastAsia="en-GB"/>
              </w:rPr>
              <w:t>suspended matter</w:t>
            </w:r>
            <w:r w:rsidRPr="006B1A5A">
              <w:rPr>
                <w:rFonts w:eastAsia="Calibri" w:cs="Arial"/>
                <w:b/>
                <w:color w:val="000000"/>
                <w:lang w:eastAsia="en-GB"/>
              </w:rPr>
              <w:t>/PNEC</w:t>
            </w:r>
            <w:r w:rsidRPr="006B1A5A">
              <w:rPr>
                <w:rFonts w:eastAsia="Calibri" w:cs="Arial"/>
                <w:b/>
                <w:color w:val="000000"/>
                <w:vertAlign w:val="subscript"/>
                <w:lang w:eastAsia="en-GB"/>
              </w:rPr>
              <w:t>sed</w:t>
            </w:r>
          </w:p>
        </w:tc>
      </w:tr>
      <w:tr w:rsidR="001042DA" w:rsidRPr="006B1A5A" w14:paraId="1234B91B" w14:textId="77777777" w:rsidTr="00AF2AEA">
        <w:tc>
          <w:tcPr>
            <w:tcW w:w="9204" w:type="dxa"/>
            <w:gridSpan w:val="3"/>
          </w:tcPr>
          <w:p w14:paraId="50E8E8B8" w14:textId="77777777" w:rsidR="001042DA" w:rsidRPr="006B1A5A" w:rsidRDefault="001042DA" w:rsidP="00AF2AEA">
            <w:pPr>
              <w:rPr>
                <w:rFonts w:eastAsia="Calibri"/>
                <w:b/>
                <w:lang w:eastAsia="en-US"/>
              </w:rPr>
            </w:pPr>
            <w:r w:rsidRPr="006B1A5A">
              <w:rPr>
                <w:rFonts w:eastAsia="Calibri"/>
                <w:b/>
                <w:lang w:eastAsia="en-US"/>
              </w:rPr>
              <w:t>AquaNet LG360</w:t>
            </w:r>
          </w:p>
        </w:tc>
      </w:tr>
      <w:tr w:rsidR="001042DA" w:rsidRPr="006B1A5A" w14:paraId="0E7FDD58" w14:textId="77777777" w:rsidTr="00AF2AEA">
        <w:tc>
          <w:tcPr>
            <w:tcW w:w="2547" w:type="dxa"/>
          </w:tcPr>
          <w:p w14:paraId="0BAE079F" w14:textId="77777777" w:rsidR="001042DA" w:rsidRPr="006B1A5A" w:rsidRDefault="001042DA" w:rsidP="00AF2AEA">
            <w:pPr>
              <w:rPr>
                <w:rFonts w:eastAsia="Calibri"/>
                <w:lang w:eastAsia="en-US"/>
              </w:rPr>
            </w:pPr>
            <w:r w:rsidRPr="006B1A5A">
              <w:rPr>
                <w:rFonts w:eastAsia="Calibri"/>
                <w:lang w:eastAsia="en-US"/>
              </w:rPr>
              <w:t>Total copper</w:t>
            </w:r>
          </w:p>
        </w:tc>
        <w:tc>
          <w:tcPr>
            <w:tcW w:w="2977" w:type="dxa"/>
          </w:tcPr>
          <w:p w14:paraId="2E6704D4" w14:textId="77777777" w:rsidR="001042DA" w:rsidRPr="006B1A5A" w:rsidRDefault="001042DA" w:rsidP="00AF2AEA">
            <w:pPr>
              <w:rPr>
                <w:rFonts w:eastAsia="Calibri"/>
                <w:b/>
                <w:lang w:eastAsia="en-US"/>
              </w:rPr>
            </w:pPr>
            <w:r w:rsidRPr="006B1A5A">
              <w:rPr>
                <w:rFonts w:eastAsia="Calibri"/>
                <w:b/>
                <w:lang w:eastAsia="en-US"/>
              </w:rPr>
              <w:t>1.04</w:t>
            </w:r>
          </w:p>
        </w:tc>
        <w:tc>
          <w:tcPr>
            <w:tcW w:w="3680" w:type="dxa"/>
          </w:tcPr>
          <w:p w14:paraId="4130F6FB" w14:textId="77777777" w:rsidR="001042DA" w:rsidRPr="006B1A5A" w:rsidRDefault="001042DA" w:rsidP="00AF2AEA">
            <w:pPr>
              <w:rPr>
                <w:rFonts w:eastAsia="Calibri"/>
                <w:lang w:eastAsia="en-US"/>
              </w:rPr>
            </w:pPr>
            <w:r w:rsidRPr="006B1A5A">
              <w:rPr>
                <w:rFonts w:eastAsia="Calibri"/>
                <w:lang w:eastAsia="en-US"/>
              </w:rPr>
              <w:t>0.29</w:t>
            </w:r>
          </w:p>
        </w:tc>
      </w:tr>
      <w:tr w:rsidR="001042DA" w:rsidRPr="006B1A5A" w14:paraId="78E404A0" w14:textId="77777777" w:rsidTr="00AF2AEA">
        <w:tc>
          <w:tcPr>
            <w:tcW w:w="2547" w:type="dxa"/>
          </w:tcPr>
          <w:p w14:paraId="5A5B2A7F" w14:textId="77777777" w:rsidR="001042DA" w:rsidRPr="006B1A5A" w:rsidRDefault="001042DA" w:rsidP="00AF2AEA">
            <w:pPr>
              <w:rPr>
                <w:rFonts w:eastAsia="Calibri"/>
                <w:lang w:eastAsia="en-US"/>
              </w:rPr>
            </w:pPr>
            <w:r w:rsidRPr="006B1A5A">
              <w:rPr>
                <w:rFonts w:eastAsia="Calibri"/>
                <w:lang w:eastAsia="en-US"/>
              </w:rPr>
              <w:t>Thiocyanate</w:t>
            </w:r>
          </w:p>
        </w:tc>
        <w:tc>
          <w:tcPr>
            <w:tcW w:w="2977" w:type="dxa"/>
          </w:tcPr>
          <w:p w14:paraId="767A2672" w14:textId="77777777" w:rsidR="001042DA" w:rsidRPr="006B1A5A" w:rsidRDefault="001042DA" w:rsidP="00AF2AEA">
            <w:pPr>
              <w:rPr>
                <w:rFonts w:eastAsia="Calibri"/>
                <w:lang w:eastAsia="en-US"/>
              </w:rPr>
            </w:pPr>
            <w:r w:rsidRPr="006B1A5A">
              <w:rPr>
                <w:rFonts w:eastAsia="Calibri"/>
                <w:lang w:eastAsia="en-US"/>
              </w:rPr>
              <w:t>1.83E-03</w:t>
            </w:r>
          </w:p>
        </w:tc>
        <w:tc>
          <w:tcPr>
            <w:tcW w:w="3680" w:type="dxa"/>
          </w:tcPr>
          <w:p w14:paraId="4721DB39" w14:textId="77777777" w:rsidR="001042DA" w:rsidRPr="006B1A5A" w:rsidRDefault="001042DA" w:rsidP="00AF2AEA">
            <w:pPr>
              <w:rPr>
                <w:rFonts w:eastAsia="Calibri"/>
                <w:lang w:eastAsia="en-US"/>
              </w:rPr>
            </w:pPr>
            <w:r w:rsidRPr="006B1A5A">
              <w:rPr>
                <w:rFonts w:eastAsia="Calibri"/>
                <w:lang w:eastAsia="en-US"/>
              </w:rPr>
              <w:t>1.20E-04</w:t>
            </w:r>
          </w:p>
        </w:tc>
      </w:tr>
      <w:tr w:rsidR="001042DA" w:rsidRPr="006B1A5A" w14:paraId="24B81BE9" w14:textId="77777777" w:rsidTr="00AF2AEA">
        <w:tc>
          <w:tcPr>
            <w:tcW w:w="2547" w:type="dxa"/>
          </w:tcPr>
          <w:p w14:paraId="5E92760B" w14:textId="77777777" w:rsidR="001042DA" w:rsidRPr="006B1A5A" w:rsidRDefault="001042DA" w:rsidP="00AF2AEA">
            <w:pPr>
              <w:rPr>
                <w:rFonts w:eastAsia="Calibri"/>
                <w:lang w:eastAsia="en-US"/>
              </w:rPr>
            </w:pPr>
            <w:r w:rsidRPr="006B1A5A">
              <w:rPr>
                <w:rFonts w:eastAsia="Calibri"/>
                <w:lang w:eastAsia="en-US"/>
              </w:rPr>
              <w:t>Combined</w:t>
            </w:r>
          </w:p>
        </w:tc>
        <w:tc>
          <w:tcPr>
            <w:tcW w:w="2977" w:type="dxa"/>
          </w:tcPr>
          <w:p w14:paraId="33C77105" w14:textId="77777777" w:rsidR="001042DA" w:rsidRPr="006B1A5A" w:rsidRDefault="001042DA" w:rsidP="00AF2AEA">
            <w:pPr>
              <w:rPr>
                <w:b/>
                <w:lang w:eastAsia="en-GB"/>
              </w:rPr>
            </w:pPr>
            <w:r w:rsidRPr="006B1A5A">
              <w:rPr>
                <w:b/>
                <w:lang w:eastAsia="en-GB"/>
              </w:rPr>
              <w:t>1.04</w:t>
            </w:r>
          </w:p>
        </w:tc>
        <w:tc>
          <w:tcPr>
            <w:tcW w:w="3680" w:type="dxa"/>
          </w:tcPr>
          <w:p w14:paraId="05478B4F" w14:textId="77777777" w:rsidR="001042DA" w:rsidRPr="006B1A5A" w:rsidRDefault="001042DA" w:rsidP="00AF2AEA">
            <w:pPr>
              <w:rPr>
                <w:lang w:eastAsia="en-GB"/>
              </w:rPr>
            </w:pPr>
            <w:r w:rsidRPr="006B1A5A">
              <w:rPr>
                <w:lang w:eastAsia="en-GB"/>
              </w:rPr>
              <w:t>0.29</w:t>
            </w:r>
          </w:p>
        </w:tc>
      </w:tr>
      <w:tr w:rsidR="001042DA" w:rsidRPr="006B1A5A" w14:paraId="737062DE" w14:textId="77777777" w:rsidTr="00AF2AEA">
        <w:tc>
          <w:tcPr>
            <w:tcW w:w="9204" w:type="dxa"/>
            <w:gridSpan w:val="3"/>
          </w:tcPr>
          <w:p w14:paraId="461374B0" w14:textId="77777777" w:rsidR="001042DA" w:rsidRPr="006B1A5A" w:rsidRDefault="001042DA" w:rsidP="00AF2AEA">
            <w:pPr>
              <w:rPr>
                <w:rFonts w:eastAsia="Calibri"/>
                <w:b/>
                <w:lang w:eastAsia="en-US"/>
              </w:rPr>
            </w:pPr>
            <w:r w:rsidRPr="006B1A5A">
              <w:rPr>
                <w:rFonts w:eastAsia="Calibri"/>
                <w:b/>
                <w:lang w:eastAsia="en-US"/>
              </w:rPr>
              <w:t>AquaNet HG360</w:t>
            </w:r>
          </w:p>
        </w:tc>
      </w:tr>
      <w:tr w:rsidR="001042DA" w:rsidRPr="006B1A5A" w14:paraId="7871F808" w14:textId="77777777" w:rsidTr="00AF2AEA">
        <w:tc>
          <w:tcPr>
            <w:tcW w:w="2547" w:type="dxa"/>
          </w:tcPr>
          <w:p w14:paraId="398DE42C" w14:textId="77777777" w:rsidR="001042DA" w:rsidRPr="006B1A5A" w:rsidRDefault="001042DA" w:rsidP="00AF2AEA">
            <w:pPr>
              <w:rPr>
                <w:rFonts w:eastAsia="Calibri"/>
                <w:lang w:eastAsia="en-US"/>
              </w:rPr>
            </w:pPr>
            <w:r w:rsidRPr="006B1A5A">
              <w:rPr>
                <w:rFonts w:eastAsia="Calibri"/>
                <w:lang w:eastAsia="en-US"/>
              </w:rPr>
              <w:t>Total copper</w:t>
            </w:r>
          </w:p>
        </w:tc>
        <w:tc>
          <w:tcPr>
            <w:tcW w:w="2977" w:type="dxa"/>
          </w:tcPr>
          <w:p w14:paraId="137739D7" w14:textId="77777777" w:rsidR="001042DA" w:rsidRPr="006B1A5A" w:rsidRDefault="001042DA" w:rsidP="00AF2AEA">
            <w:pPr>
              <w:rPr>
                <w:rFonts w:eastAsia="Calibri"/>
                <w:b/>
                <w:lang w:eastAsia="en-US"/>
              </w:rPr>
            </w:pPr>
            <w:r w:rsidRPr="006B1A5A">
              <w:rPr>
                <w:rFonts w:eastAsia="Calibri"/>
                <w:b/>
                <w:lang w:eastAsia="en-US"/>
              </w:rPr>
              <w:t>1.13</w:t>
            </w:r>
          </w:p>
        </w:tc>
        <w:tc>
          <w:tcPr>
            <w:tcW w:w="3680" w:type="dxa"/>
          </w:tcPr>
          <w:p w14:paraId="5FF29604" w14:textId="77777777" w:rsidR="001042DA" w:rsidRPr="006B1A5A" w:rsidRDefault="001042DA" w:rsidP="00AF2AEA">
            <w:pPr>
              <w:rPr>
                <w:rFonts w:eastAsia="Calibri"/>
                <w:lang w:eastAsia="en-US"/>
              </w:rPr>
            </w:pPr>
            <w:r w:rsidRPr="006B1A5A">
              <w:rPr>
                <w:rFonts w:eastAsia="Calibri"/>
                <w:lang w:eastAsia="en-US"/>
              </w:rPr>
              <w:t>0.42</w:t>
            </w:r>
          </w:p>
        </w:tc>
      </w:tr>
      <w:tr w:rsidR="001042DA" w:rsidRPr="006B1A5A" w14:paraId="78DB3122" w14:textId="77777777" w:rsidTr="00AF2AEA">
        <w:tc>
          <w:tcPr>
            <w:tcW w:w="2547" w:type="dxa"/>
          </w:tcPr>
          <w:p w14:paraId="47455047" w14:textId="77777777" w:rsidR="001042DA" w:rsidRPr="006B1A5A" w:rsidRDefault="001042DA" w:rsidP="00AF2AEA">
            <w:pPr>
              <w:rPr>
                <w:rFonts w:eastAsia="Calibri"/>
                <w:lang w:eastAsia="en-US"/>
              </w:rPr>
            </w:pPr>
            <w:r w:rsidRPr="006B1A5A">
              <w:rPr>
                <w:rFonts w:eastAsia="Calibri"/>
                <w:lang w:eastAsia="en-US"/>
              </w:rPr>
              <w:t>Thiocyanate</w:t>
            </w:r>
          </w:p>
        </w:tc>
        <w:tc>
          <w:tcPr>
            <w:tcW w:w="2977" w:type="dxa"/>
          </w:tcPr>
          <w:p w14:paraId="492599EC" w14:textId="77777777" w:rsidR="001042DA" w:rsidRPr="006B1A5A" w:rsidRDefault="001042DA" w:rsidP="00AF2AEA">
            <w:pPr>
              <w:rPr>
                <w:rFonts w:eastAsia="Calibri"/>
                <w:lang w:eastAsia="en-US"/>
              </w:rPr>
            </w:pPr>
            <w:r w:rsidRPr="006B1A5A">
              <w:rPr>
                <w:rFonts w:eastAsia="Calibri"/>
                <w:lang w:eastAsia="en-US"/>
              </w:rPr>
              <w:t>0.0043</w:t>
            </w:r>
          </w:p>
        </w:tc>
        <w:tc>
          <w:tcPr>
            <w:tcW w:w="3680" w:type="dxa"/>
          </w:tcPr>
          <w:p w14:paraId="428EBC50" w14:textId="77777777" w:rsidR="001042DA" w:rsidRPr="006B1A5A" w:rsidRDefault="001042DA" w:rsidP="00AF2AEA">
            <w:pPr>
              <w:rPr>
                <w:rFonts w:eastAsia="Calibri"/>
                <w:lang w:eastAsia="en-US"/>
              </w:rPr>
            </w:pPr>
            <w:r w:rsidRPr="006B1A5A">
              <w:rPr>
                <w:rFonts w:eastAsia="Calibri"/>
                <w:lang w:eastAsia="en-US"/>
              </w:rPr>
              <w:t>2.8E-04</w:t>
            </w:r>
          </w:p>
        </w:tc>
      </w:tr>
      <w:tr w:rsidR="001042DA" w:rsidRPr="006B1A5A" w14:paraId="5A069665" w14:textId="77777777" w:rsidTr="00AF2AEA">
        <w:tc>
          <w:tcPr>
            <w:tcW w:w="2547" w:type="dxa"/>
          </w:tcPr>
          <w:p w14:paraId="0BF8F105" w14:textId="77777777" w:rsidR="001042DA" w:rsidRPr="006B1A5A" w:rsidRDefault="001042DA" w:rsidP="00AF2AEA">
            <w:pPr>
              <w:rPr>
                <w:rFonts w:eastAsia="Calibri"/>
                <w:i/>
                <w:lang w:eastAsia="en-US"/>
              </w:rPr>
            </w:pPr>
            <w:r w:rsidRPr="006B1A5A">
              <w:rPr>
                <w:rFonts w:eastAsia="Calibri"/>
                <w:i/>
                <w:lang w:eastAsia="en-US"/>
              </w:rPr>
              <w:t>Combined</w:t>
            </w:r>
          </w:p>
        </w:tc>
        <w:tc>
          <w:tcPr>
            <w:tcW w:w="2977" w:type="dxa"/>
          </w:tcPr>
          <w:p w14:paraId="68431678" w14:textId="77777777" w:rsidR="001042DA" w:rsidRPr="006B1A5A" w:rsidRDefault="001042DA" w:rsidP="00AF2AEA">
            <w:pPr>
              <w:rPr>
                <w:rFonts w:eastAsia="Calibri"/>
                <w:b/>
                <w:lang w:eastAsia="en-US"/>
              </w:rPr>
            </w:pPr>
            <w:r w:rsidRPr="006B1A5A">
              <w:rPr>
                <w:rFonts w:eastAsia="Calibri"/>
                <w:b/>
                <w:lang w:eastAsia="en-US"/>
              </w:rPr>
              <w:t>1.13</w:t>
            </w:r>
          </w:p>
        </w:tc>
        <w:tc>
          <w:tcPr>
            <w:tcW w:w="3680" w:type="dxa"/>
          </w:tcPr>
          <w:p w14:paraId="70C1E8A3" w14:textId="77777777" w:rsidR="001042DA" w:rsidRPr="006B1A5A" w:rsidRDefault="001042DA" w:rsidP="00AF2AEA">
            <w:pPr>
              <w:rPr>
                <w:rFonts w:eastAsia="Calibri"/>
                <w:lang w:eastAsia="en-US"/>
              </w:rPr>
            </w:pPr>
            <w:r w:rsidRPr="006B1A5A">
              <w:rPr>
                <w:rFonts w:eastAsia="Calibri"/>
                <w:lang w:eastAsia="en-US"/>
              </w:rPr>
              <w:t>0.42</w:t>
            </w:r>
          </w:p>
        </w:tc>
      </w:tr>
      <w:tr w:rsidR="001042DA" w:rsidRPr="006B1A5A" w14:paraId="15019E06" w14:textId="77777777" w:rsidTr="00AF2AEA">
        <w:tc>
          <w:tcPr>
            <w:tcW w:w="9204" w:type="dxa"/>
            <w:gridSpan w:val="3"/>
          </w:tcPr>
          <w:p w14:paraId="49C49129" w14:textId="77777777" w:rsidR="001042DA" w:rsidRPr="006B1A5A" w:rsidRDefault="001042DA" w:rsidP="00AF2AEA">
            <w:pPr>
              <w:rPr>
                <w:rFonts w:eastAsia="Calibri"/>
                <w:b/>
                <w:lang w:eastAsia="en-US"/>
              </w:rPr>
            </w:pPr>
            <w:r w:rsidRPr="006B1A5A">
              <w:rPr>
                <w:rFonts w:eastAsia="Calibri"/>
                <w:b/>
                <w:lang w:eastAsia="en-US"/>
              </w:rPr>
              <w:t>AquaNet RFU360</w:t>
            </w:r>
          </w:p>
        </w:tc>
      </w:tr>
      <w:tr w:rsidR="001042DA" w:rsidRPr="006B1A5A" w14:paraId="2B55F266" w14:textId="77777777" w:rsidTr="00AF2AEA">
        <w:tc>
          <w:tcPr>
            <w:tcW w:w="2547" w:type="dxa"/>
          </w:tcPr>
          <w:p w14:paraId="7A1814A2" w14:textId="77777777" w:rsidR="001042DA" w:rsidRPr="006B1A5A" w:rsidRDefault="001042DA" w:rsidP="00AF2AEA">
            <w:pPr>
              <w:rPr>
                <w:rFonts w:eastAsia="Calibri"/>
                <w:lang w:eastAsia="en-US"/>
              </w:rPr>
            </w:pPr>
            <w:r w:rsidRPr="006B1A5A">
              <w:rPr>
                <w:rFonts w:eastAsia="Calibri"/>
                <w:lang w:eastAsia="en-US"/>
              </w:rPr>
              <w:t>Total copper</w:t>
            </w:r>
          </w:p>
        </w:tc>
        <w:tc>
          <w:tcPr>
            <w:tcW w:w="2977" w:type="dxa"/>
          </w:tcPr>
          <w:p w14:paraId="08DC7D7F" w14:textId="77777777" w:rsidR="001042DA" w:rsidRPr="006B1A5A" w:rsidRDefault="001042DA" w:rsidP="00AF2AEA">
            <w:pPr>
              <w:rPr>
                <w:rFonts w:eastAsia="Calibri"/>
                <w:b/>
                <w:lang w:eastAsia="en-US"/>
              </w:rPr>
            </w:pPr>
            <w:r w:rsidRPr="006B1A5A">
              <w:rPr>
                <w:rFonts w:eastAsia="Calibri"/>
                <w:b/>
                <w:lang w:eastAsia="en-US"/>
              </w:rPr>
              <w:t>1.08</w:t>
            </w:r>
          </w:p>
        </w:tc>
        <w:tc>
          <w:tcPr>
            <w:tcW w:w="3680" w:type="dxa"/>
          </w:tcPr>
          <w:p w14:paraId="0DC72152" w14:textId="77777777" w:rsidR="001042DA" w:rsidRPr="006B1A5A" w:rsidRDefault="001042DA" w:rsidP="00AF2AEA">
            <w:pPr>
              <w:rPr>
                <w:rFonts w:eastAsia="Calibri"/>
                <w:lang w:eastAsia="en-US"/>
              </w:rPr>
            </w:pPr>
            <w:r w:rsidRPr="006B1A5A">
              <w:rPr>
                <w:rFonts w:eastAsia="Calibri"/>
                <w:lang w:eastAsia="en-US"/>
              </w:rPr>
              <w:t>0.355</w:t>
            </w:r>
          </w:p>
        </w:tc>
      </w:tr>
      <w:tr w:rsidR="001042DA" w:rsidRPr="006B1A5A" w14:paraId="2BBEA678" w14:textId="77777777" w:rsidTr="00AF2AEA">
        <w:tc>
          <w:tcPr>
            <w:tcW w:w="2547" w:type="dxa"/>
          </w:tcPr>
          <w:p w14:paraId="1B4101F5" w14:textId="77777777" w:rsidR="001042DA" w:rsidRPr="006B1A5A" w:rsidRDefault="001042DA" w:rsidP="00AF2AEA">
            <w:pPr>
              <w:rPr>
                <w:rFonts w:eastAsia="Calibri"/>
                <w:lang w:eastAsia="en-US"/>
              </w:rPr>
            </w:pPr>
            <w:r w:rsidRPr="006B1A5A">
              <w:rPr>
                <w:rFonts w:eastAsia="Calibri"/>
                <w:lang w:eastAsia="en-US"/>
              </w:rPr>
              <w:t>Thiocyanate</w:t>
            </w:r>
          </w:p>
        </w:tc>
        <w:tc>
          <w:tcPr>
            <w:tcW w:w="2977" w:type="dxa"/>
          </w:tcPr>
          <w:p w14:paraId="27F4D1BF" w14:textId="77777777" w:rsidR="001042DA" w:rsidRPr="006B1A5A" w:rsidRDefault="001042DA" w:rsidP="00AF2AEA">
            <w:pPr>
              <w:rPr>
                <w:rFonts w:eastAsia="Calibri"/>
                <w:lang w:eastAsia="en-US"/>
              </w:rPr>
            </w:pPr>
            <w:r w:rsidRPr="006B1A5A">
              <w:rPr>
                <w:rFonts w:eastAsia="Calibri"/>
                <w:lang w:eastAsia="en-US"/>
              </w:rPr>
              <w:t>1.50E-03</w:t>
            </w:r>
          </w:p>
        </w:tc>
        <w:tc>
          <w:tcPr>
            <w:tcW w:w="3680" w:type="dxa"/>
          </w:tcPr>
          <w:p w14:paraId="761F59A3" w14:textId="77777777" w:rsidR="001042DA" w:rsidRPr="006B1A5A" w:rsidRDefault="001042DA" w:rsidP="00AF2AEA">
            <w:pPr>
              <w:rPr>
                <w:rFonts w:eastAsia="Calibri"/>
                <w:lang w:eastAsia="en-US"/>
              </w:rPr>
            </w:pPr>
            <w:r w:rsidRPr="006B1A5A">
              <w:rPr>
                <w:rFonts w:eastAsia="Calibri"/>
                <w:lang w:eastAsia="en-US"/>
              </w:rPr>
              <w:t>9.86E-03</w:t>
            </w:r>
          </w:p>
        </w:tc>
      </w:tr>
      <w:tr w:rsidR="001042DA" w:rsidRPr="006B1A5A" w14:paraId="0068E8E7" w14:textId="77777777" w:rsidTr="00AF2AEA">
        <w:tc>
          <w:tcPr>
            <w:tcW w:w="2547" w:type="dxa"/>
          </w:tcPr>
          <w:p w14:paraId="4C0524EE" w14:textId="77777777" w:rsidR="001042DA" w:rsidRPr="006B1A5A" w:rsidRDefault="001042DA" w:rsidP="00AF2AEA">
            <w:pPr>
              <w:rPr>
                <w:rFonts w:eastAsia="Calibri"/>
                <w:i/>
                <w:lang w:eastAsia="en-US"/>
              </w:rPr>
            </w:pPr>
            <w:r w:rsidRPr="006B1A5A">
              <w:rPr>
                <w:rFonts w:eastAsia="Calibri"/>
                <w:i/>
                <w:lang w:eastAsia="en-US"/>
              </w:rPr>
              <w:t>Combined</w:t>
            </w:r>
          </w:p>
        </w:tc>
        <w:tc>
          <w:tcPr>
            <w:tcW w:w="2977" w:type="dxa"/>
          </w:tcPr>
          <w:p w14:paraId="7C66A868" w14:textId="77777777" w:rsidR="001042DA" w:rsidRPr="006B1A5A" w:rsidRDefault="001042DA" w:rsidP="00AF2AEA">
            <w:pPr>
              <w:rPr>
                <w:rFonts w:eastAsia="Calibri"/>
                <w:b/>
                <w:lang w:eastAsia="en-US"/>
              </w:rPr>
            </w:pPr>
            <w:r w:rsidRPr="006B1A5A">
              <w:rPr>
                <w:rFonts w:eastAsia="Calibri"/>
                <w:b/>
                <w:lang w:eastAsia="en-US"/>
              </w:rPr>
              <w:t>1.08</w:t>
            </w:r>
          </w:p>
        </w:tc>
        <w:tc>
          <w:tcPr>
            <w:tcW w:w="3680" w:type="dxa"/>
          </w:tcPr>
          <w:p w14:paraId="095797D8" w14:textId="77777777" w:rsidR="001042DA" w:rsidRPr="006B1A5A" w:rsidRDefault="001042DA" w:rsidP="00AF2AEA">
            <w:pPr>
              <w:rPr>
                <w:rFonts w:eastAsia="Calibri"/>
                <w:lang w:eastAsia="en-US"/>
              </w:rPr>
            </w:pPr>
            <w:r w:rsidRPr="006B1A5A">
              <w:rPr>
                <w:rFonts w:eastAsia="Calibri"/>
                <w:lang w:eastAsia="en-US"/>
              </w:rPr>
              <w:t>0.355</w:t>
            </w:r>
          </w:p>
        </w:tc>
      </w:tr>
    </w:tbl>
    <w:bookmarkEnd w:id="1762"/>
    <w:p w14:paraId="53BB9892" w14:textId="77777777" w:rsidR="001042DA" w:rsidRPr="006B1A5A" w:rsidRDefault="001042DA" w:rsidP="001042DA">
      <w:pPr>
        <w:spacing w:line="260" w:lineRule="atLeast"/>
        <w:rPr>
          <w:rFonts w:eastAsia="Calibri"/>
          <w:sz w:val="18"/>
          <w:szCs w:val="18"/>
          <w:lang w:eastAsia="en-US"/>
        </w:rPr>
      </w:pPr>
      <w:r w:rsidRPr="006B1A5A">
        <w:rPr>
          <w:rFonts w:eastAsia="Calibri"/>
          <w:sz w:val="18"/>
          <w:szCs w:val="18"/>
          <w:lang w:eastAsia="en-US"/>
        </w:rPr>
        <w:t>*with background concentrations of copper</w:t>
      </w:r>
    </w:p>
    <w:p w14:paraId="5ED8EAC9" w14:textId="77777777" w:rsidR="001042DA" w:rsidRPr="006B1A5A" w:rsidRDefault="001042DA" w:rsidP="001042DA">
      <w:pPr>
        <w:spacing w:line="260" w:lineRule="atLeast"/>
        <w:rPr>
          <w:rFonts w:eastAsia="Calibri"/>
          <w:sz w:val="18"/>
          <w:szCs w:val="18"/>
          <w:lang w:eastAsia="en-US"/>
        </w:rPr>
      </w:pPr>
    </w:p>
    <w:p w14:paraId="42B40FC4" w14:textId="735CDF19" w:rsidR="001042DA" w:rsidRPr="006B1A5A" w:rsidRDefault="001042DA" w:rsidP="000545B2">
      <w:pPr>
        <w:spacing w:line="260" w:lineRule="atLeast"/>
      </w:pPr>
      <w:bookmarkStart w:id="1763" w:name="_Hlk51310750"/>
      <w:r w:rsidRPr="006B1A5A">
        <w:t>In the tier 1 calculations,</w:t>
      </w:r>
      <w:r w:rsidR="000545B2">
        <w:t xml:space="preserve"> there were minor </w:t>
      </w:r>
      <w:r w:rsidR="004C11E8">
        <w:t>exceedances</w:t>
      </w:r>
      <w:r w:rsidR="000545B2">
        <w:t xml:space="preserve"> of </w:t>
      </w:r>
      <w:r w:rsidR="000545B2" w:rsidRPr="006B1A5A">
        <w:t>PEC</w:t>
      </w:r>
      <w:r w:rsidR="000545B2" w:rsidRPr="006B1A5A">
        <w:rPr>
          <w:vertAlign w:val="subscript"/>
        </w:rPr>
        <w:t>dissolved</w:t>
      </w:r>
      <w:r w:rsidR="000545B2" w:rsidRPr="006B1A5A">
        <w:t>/PNEC</w:t>
      </w:r>
      <w:r w:rsidR="000545B2" w:rsidRPr="006B1A5A">
        <w:rPr>
          <w:vertAlign w:val="subscript"/>
        </w:rPr>
        <w:t>water</w:t>
      </w:r>
      <w:r w:rsidR="004C11E8">
        <w:t>&gt;</w:t>
      </w:r>
      <w:r w:rsidR="000545B2">
        <w:t>1.</w:t>
      </w:r>
      <w:r w:rsidR="004C11E8">
        <w:t xml:space="preserve"> </w:t>
      </w:r>
    </w:p>
    <w:bookmarkEnd w:id="1763"/>
    <w:p w14:paraId="6B2C6A77" w14:textId="77777777" w:rsidR="001042DA" w:rsidRPr="006B1A5A" w:rsidRDefault="001042DA" w:rsidP="001042DA">
      <w:pPr>
        <w:spacing w:line="260" w:lineRule="atLeast"/>
        <w:rPr>
          <w:rFonts w:eastAsia="Calibri"/>
          <w:lang w:eastAsia="en-US"/>
        </w:rPr>
      </w:pPr>
    </w:p>
    <w:p w14:paraId="21FD5842" w14:textId="77777777" w:rsidR="001042DA" w:rsidRPr="006B1A5A" w:rsidRDefault="001042DA" w:rsidP="001042DA">
      <w:pPr>
        <w:rPr>
          <w:b/>
        </w:rPr>
      </w:pPr>
    </w:p>
    <w:p w14:paraId="0F2FADBA" w14:textId="77777777" w:rsidR="001042DA" w:rsidRPr="006B1A5A" w:rsidRDefault="001042DA" w:rsidP="001042DA">
      <w:bookmarkStart w:id="1764" w:name="_Hlk22294079"/>
      <w:r w:rsidRPr="006B1A5A">
        <w:rPr>
          <w:b/>
        </w:rPr>
        <w:t>Risk characterisation for the Norwegian fish farm scenario (tier 2)</w:t>
      </w:r>
    </w:p>
    <w:p w14:paraId="33287291" w14:textId="77777777" w:rsidR="001042DA" w:rsidRPr="006B1A5A" w:rsidRDefault="001042DA" w:rsidP="001042DA"/>
    <w:p w14:paraId="31BFEEC8" w14:textId="77777777" w:rsidR="001042DA" w:rsidRPr="006B1A5A" w:rsidRDefault="001042DA" w:rsidP="001042DA">
      <w:pPr>
        <w:rPr>
          <w:rFonts w:eastAsia="Calibri"/>
          <w:b/>
          <w:i/>
          <w:sz w:val="22"/>
          <w:szCs w:val="22"/>
          <w:lang w:eastAsia="en-US"/>
        </w:rPr>
      </w:pPr>
      <w:r w:rsidRPr="006B1A5A">
        <w:t>The PEC/PNEC ratios based on PEC values calculated with the Norwegian fish farm scenario are summarised in the following table.</w:t>
      </w:r>
    </w:p>
    <w:bookmarkEnd w:id="1764"/>
    <w:p w14:paraId="2B383AC9" w14:textId="77777777" w:rsidR="001042DA" w:rsidRPr="006B1A5A" w:rsidRDefault="001042DA" w:rsidP="001042DA">
      <w:pPr>
        <w:spacing w:line="260" w:lineRule="atLeast"/>
        <w:rPr>
          <w:rFonts w:eastAsia="Calibri"/>
          <w:lang w:eastAsia="en-US"/>
        </w:rPr>
      </w:pPr>
    </w:p>
    <w:tbl>
      <w:tblPr>
        <w:tblStyle w:val="Tabellrutenett"/>
        <w:tblW w:w="0" w:type="auto"/>
        <w:tblLayout w:type="fixed"/>
        <w:tblLook w:val="04A0" w:firstRow="1" w:lastRow="0" w:firstColumn="1" w:lastColumn="0" w:noHBand="0" w:noVBand="1"/>
      </w:tblPr>
      <w:tblGrid>
        <w:gridCol w:w="2547"/>
        <w:gridCol w:w="2977"/>
        <w:gridCol w:w="3680"/>
      </w:tblGrid>
      <w:tr w:rsidR="001042DA" w:rsidRPr="006B1A5A" w14:paraId="000988FB" w14:textId="77777777" w:rsidTr="00AF2AEA">
        <w:tc>
          <w:tcPr>
            <w:tcW w:w="9204" w:type="dxa"/>
            <w:gridSpan w:val="3"/>
          </w:tcPr>
          <w:p w14:paraId="0FF6899A" w14:textId="0DDD346E" w:rsidR="001042DA" w:rsidRPr="00BC6C11" w:rsidRDefault="001042DA" w:rsidP="00AF2AEA">
            <w:pPr>
              <w:jc w:val="center"/>
              <w:rPr>
                <w:rFonts w:eastAsia="Calibri" w:cs="Arial"/>
                <w:b/>
                <w:color w:val="000000"/>
                <w:lang w:eastAsia="en-GB"/>
              </w:rPr>
            </w:pPr>
            <w:r w:rsidRPr="006B1A5A">
              <w:rPr>
                <w:rFonts w:eastAsia="Calibri" w:cs="Arial"/>
                <w:b/>
                <w:bCs/>
                <w:color w:val="000000"/>
                <w:lang w:eastAsia="en-GB"/>
              </w:rPr>
              <w:t>Summary table on calculated PEC/PNEC values*</w:t>
            </w:r>
            <w:r w:rsidR="00BC6C11">
              <w:rPr>
                <w:rFonts w:eastAsia="Calibri" w:cs="Arial"/>
                <w:b/>
                <w:bCs/>
                <w:color w:val="000000"/>
                <w:lang w:eastAsia="en-GB"/>
              </w:rPr>
              <w:t xml:space="preserve">, </w:t>
            </w:r>
            <w:r w:rsidRPr="006B1A5A">
              <w:rPr>
                <w:rFonts w:eastAsia="Calibri" w:cs="Arial"/>
                <w:b/>
                <w:bCs/>
                <w:color w:val="000000"/>
                <w:lang w:eastAsia="en-GB"/>
              </w:rPr>
              <w:t>Norwegian fish farm scenario</w:t>
            </w:r>
          </w:p>
        </w:tc>
      </w:tr>
      <w:tr w:rsidR="001042DA" w:rsidRPr="006B1A5A" w14:paraId="34449462" w14:textId="77777777" w:rsidTr="00AF2AEA">
        <w:tc>
          <w:tcPr>
            <w:tcW w:w="2547" w:type="dxa"/>
          </w:tcPr>
          <w:p w14:paraId="08D8A2DC" w14:textId="77777777" w:rsidR="001042DA" w:rsidRPr="006B1A5A" w:rsidRDefault="001042DA" w:rsidP="00AF2AEA">
            <w:pPr>
              <w:rPr>
                <w:rFonts w:eastAsia="Calibri"/>
                <w:b/>
                <w:i/>
                <w:highlight w:val="yellow"/>
                <w:lang w:eastAsia="en-US"/>
              </w:rPr>
            </w:pPr>
          </w:p>
        </w:tc>
        <w:tc>
          <w:tcPr>
            <w:tcW w:w="2977" w:type="dxa"/>
          </w:tcPr>
          <w:p w14:paraId="79EC82B3" w14:textId="77777777" w:rsidR="001042DA" w:rsidRPr="006B1A5A" w:rsidRDefault="001042DA" w:rsidP="00AF2AEA">
            <w:pPr>
              <w:autoSpaceDE w:val="0"/>
              <w:autoSpaceDN w:val="0"/>
              <w:adjustRightInd w:val="0"/>
              <w:spacing w:before="60" w:after="60" w:line="260" w:lineRule="atLeast"/>
              <w:jc w:val="center"/>
              <w:rPr>
                <w:rFonts w:eastAsia="Calibri"/>
                <w:b/>
                <w:i/>
                <w:lang w:eastAsia="en-US"/>
              </w:rPr>
            </w:pPr>
            <w:r w:rsidRPr="006B1A5A">
              <w:rPr>
                <w:rFonts w:eastAsia="Calibri" w:cs="Arial"/>
                <w:b/>
                <w:bCs/>
                <w:color w:val="000000"/>
                <w:lang w:eastAsia="en-GB"/>
              </w:rPr>
              <w:t>PEC</w:t>
            </w:r>
            <w:r w:rsidRPr="006B1A5A">
              <w:rPr>
                <w:rFonts w:eastAsia="Calibri" w:cs="Arial"/>
                <w:b/>
                <w:bCs/>
                <w:color w:val="000000"/>
                <w:vertAlign w:val="subscript"/>
                <w:lang w:eastAsia="en-GB"/>
              </w:rPr>
              <w:t>dissolved</w:t>
            </w:r>
            <w:r w:rsidRPr="006B1A5A">
              <w:rPr>
                <w:rFonts w:eastAsia="Calibri" w:cs="Arial"/>
                <w:b/>
                <w:bCs/>
                <w:color w:val="000000"/>
                <w:lang w:eastAsia="en-GB"/>
              </w:rPr>
              <w:t>/PNEC</w:t>
            </w:r>
            <w:r w:rsidRPr="006B1A5A">
              <w:rPr>
                <w:rFonts w:eastAsia="Calibri" w:cs="Arial"/>
                <w:b/>
                <w:bCs/>
                <w:color w:val="000000"/>
                <w:vertAlign w:val="subscript"/>
                <w:lang w:eastAsia="en-GB"/>
              </w:rPr>
              <w:t>water</w:t>
            </w:r>
          </w:p>
        </w:tc>
        <w:tc>
          <w:tcPr>
            <w:tcW w:w="3680" w:type="dxa"/>
          </w:tcPr>
          <w:p w14:paraId="015EFE0B" w14:textId="77777777" w:rsidR="001042DA" w:rsidRPr="006B1A5A" w:rsidRDefault="001042DA" w:rsidP="00AF2AEA">
            <w:pPr>
              <w:autoSpaceDE w:val="0"/>
              <w:autoSpaceDN w:val="0"/>
              <w:adjustRightInd w:val="0"/>
              <w:spacing w:before="60" w:after="60" w:line="260" w:lineRule="atLeast"/>
              <w:jc w:val="center"/>
              <w:rPr>
                <w:rFonts w:eastAsia="Calibri"/>
                <w:b/>
                <w:i/>
                <w:lang w:eastAsia="en-US"/>
              </w:rPr>
            </w:pPr>
            <w:r w:rsidRPr="006B1A5A">
              <w:rPr>
                <w:rFonts w:eastAsia="Calibri" w:cs="Arial"/>
                <w:b/>
                <w:color w:val="000000"/>
                <w:lang w:eastAsia="en-GB"/>
              </w:rPr>
              <w:t>PEC</w:t>
            </w:r>
            <w:r w:rsidRPr="006B1A5A">
              <w:rPr>
                <w:rFonts w:eastAsia="Calibri" w:cs="Arial"/>
                <w:b/>
                <w:color w:val="000000"/>
                <w:vertAlign w:val="subscript"/>
                <w:lang w:eastAsia="en-GB"/>
              </w:rPr>
              <w:t>suspended matter</w:t>
            </w:r>
            <w:r w:rsidRPr="006B1A5A">
              <w:rPr>
                <w:rFonts w:eastAsia="Calibri" w:cs="Arial"/>
                <w:b/>
                <w:color w:val="000000"/>
                <w:lang w:eastAsia="en-GB"/>
              </w:rPr>
              <w:t>/PNEC</w:t>
            </w:r>
            <w:r w:rsidRPr="006B1A5A">
              <w:rPr>
                <w:rFonts w:eastAsia="Calibri" w:cs="Arial"/>
                <w:b/>
                <w:color w:val="000000"/>
                <w:vertAlign w:val="subscript"/>
                <w:lang w:eastAsia="en-GB"/>
              </w:rPr>
              <w:t>sed</w:t>
            </w:r>
          </w:p>
        </w:tc>
      </w:tr>
      <w:tr w:rsidR="001042DA" w:rsidRPr="006B1A5A" w14:paraId="2103EB90" w14:textId="77777777" w:rsidTr="00AF2AEA">
        <w:tc>
          <w:tcPr>
            <w:tcW w:w="9204" w:type="dxa"/>
            <w:gridSpan w:val="3"/>
          </w:tcPr>
          <w:p w14:paraId="45FD49C5" w14:textId="77777777" w:rsidR="001042DA" w:rsidRPr="006B1A5A" w:rsidRDefault="001042DA" w:rsidP="00AF2AEA">
            <w:pPr>
              <w:rPr>
                <w:rFonts w:eastAsia="Calibri"/>
                <w:b/>
                <w:lang w:eastAsia="en-US"/>
              </w:rPr>
            </w:pPr>
            <w:r w:rsidRPr="006B1A5A">
              <w:rPr>
                <w:rFonts w:eastAsia="Calibri"/>
                <w:b/>
                <w:lang w:eastAsia="en-US"/>
              </w:rPr>
              <w:t>AquaNet LG360</w:t>
            </w:r>
          </w:p>
        </w:tc>
      </w:tr>
      <w:tr w:rsidR="001042DA" w:rsidRPr="006B1A5A" w14:paraId="610E1F71" w14:textId="77777777" w:rsidTr="00AF2AEA">
        <w:tc>
          <w:tcPr>
            <w:tcW w:w="2547" w:type="dxa"/>
          </w:tcPr>
          <w:p w14:paraId="2E70BF24" w14:textId="77777777" w:rsidR="001042DA" w:rsidRPr="006B1A5A" w:rsidRDefault="001042DA" w:rsidP="00AF2AEA">
            <w:pPr>
              <w:rPr>
                <w:rFonts w:eastAsia="Calibri"/>
                <w:lang w:eastAsia="en-US"/>
              </w:rPr>
            </w:pPr>
            <w:r w:rsidRPr="006B1A5A">
              <w:rPr>
                <w:rFonts w:eastAsia="Calibri"/>
                <w:lang w:eastAsia="en-US"/>
              </w:rPr>
              <w:t>Total copper</w:t>
            </w:r>
          </w:p>
        </w:tc>
        <w:tc>
          <w:tcPr>
            <w:tcW w:w="2977" w:type="dxa"/>
          </w:tcPr>
          <w:p w14:paraId="36619B06" w14:textId="77777777" w:rsidR="001042DA" w:rsidRPr="006B1A5A" w:rsidRDefault="001042DA" w:rsidP="00AF2AEA">
            <w:pPr>
              <w:rPr>
                <w:rFonts w:eastAsia="Calibri"/>
                <w:lang w:eastAsia="en-US"/>
              </w:rPr>
            </w:pPr>
            <w:r w:rsidRPr="006B1A5A">
              <w:rPr>
                <w:rFonts w:eastAsia="Calibri"/>
                <w:lang w:eastAsia="en-US"/>
              </w:rPr>
              <w:t>0.99</w:t>
            </w:r>
          </w:p>
        </w:tc>
        <w:tc>
          <w:tcPr>
            <w:tcW w:w="3680" w:type="dxa"/>
          </w:tcPr>
          <w:p w14:paraId="598511F1" w14:textId="77777777" w:rsidR="001042DA" w:rsidRPr="006B1A5A" w:rsidRDefault="001042DA" w:rsidP="00AF2AEA">
            <w:pPr>
              <w:rPr>
                <w:rFonts w:eastAsia="Calibri"/>
                <w:lang w:eastAsia="en-US"/>
              </w:rPr>
            </w:pPr>
            <w:r w:rsidRPr="006B1A5A">
              <w:rPr>
                <w:rFonts w:eastAsia="Calibri"/>
                <w:lang w:eastAsia="en-US"/>
              </w:rPr>
              <w:t>0.21</w:t>
            </w:r>
          </w:p>
        </w:tc>
      </w:tr>
      <w:tr w:rsidR="001042DA" w:rsidRPr="006B1A5A" w14:paraId="768F99DA" w14:textId="77777777" w:rsidTr="00AF2AEA">
        <w:tc>
          <w:tcPr>
            <w:tcW w:w="2547" w:type="dxa"/>
          </w:tcPr>
          <w:p w14:paraId="75D92A88" w14:textId="77777777" w:rsidR="001042DA" w:rsidRPr="006B1A5A" w:rsidRDefault="001042DA" w:rsidP="00AF2AEA">
            <w:pPr>
              <w:rPr>
                <w:rFonts w:eastAsia="Calibri"/>
                <w:lang w:eastAsia="en-US"/>
              </w:rPr>
            </w:pPr>
            <w:r w:rsidRPr="006B1A5A">
              <w:rPr>
                <w:rFonts w:eastAsia="Calibri"/>
                <w:lang w:eastAsia="en-US"/>
              </w:rPr>
              <w:t>Thiocyanate</w:t>
            </w:r>
          </w:p>
        </w:tc>
        <w:tc>
          <w:tcPr>
            <w:tcW w:w="2977" w:type="dxa"/>
          </w:tcPr>
          <w:p w14:paraId="2741A69C" w14:textId="77777777" w:rsidR="001042DA" w:rsidRPr="006B1A5A" w:rsidRDefault="001042DA" w:rsidP="00AF2AEA">
            <w:pPr>
              <w:rPr>
                <w:rFonts w:eastAsia="Calibri"/>
                <w:lang w:eastAsia="en-US"/>
              </w:rPr>
            </w:pPr>
            <w:r w:rsidRPr="006B1A5A">
              <w:rPr>
                <w:rFonts w:eastAsia="Calibri"/>
                <w:lang w:eastAsia="en-US"/>
              </w:rPr>
              <w:t>4.85E-04</w:t>
            </w:r>
          </w:p>
        </w:tc>
        <w:tc>
          <w:tcPr>
            <w:tcW w:w="3680" w:type="dxa"/>
          </w:tcPr>
          <w:p w14:paraId="1CA16440" w14:textId="77777777" w:rsidR="001042DA" w:rsidRPr="006B1A5A" w:rsidRDefault="001042DA" w:rsidP="00AF2AEA">
            <w:pPr>
              <w:rPr>
                <w:rFonts w:eastAsia="Calibri"/>
                <w:lang w:eastAsia="en-US"/>
              </w:rPr>
            </w:pPr>
            <w:r w:rsidRPr="006B1A5A">
              <w:rPr>
                <w:rFonts w:eastAsia="Calibri"/>
                <w:lang w:eastAsia="en-US"/>
              </w:rPr>
              <w:t>7.07E-05</w:t>
            </w:r>
          </w:p>
        </w:tc>
      </w:tr>
      <w:tr w:rsidR="001042DA" w:rsidRPr="006B1A5A" w14:paraId="18245554" w14:textId="77777777" w:rsidTr="00AF2AEA">
        <w:tc>
          <w:tcPr>
            <w:tcW w:w="2547" w:type="dxa"/>
          </w:tcPr>
          <w:p w14:paraId="7E0E3FA5" w14:textId="77777777" w:rsidR="001042DA" w:rsidRPr="006B1A5A" w:rsidRDefault="001042DA" w:rsidP="00AF2AEA">
            <w:pPr>
              <w:rPr>
                <w:rFonts w:eastAsia="Calibri"/>
                <w:lang w:eastAsia="en-US"/>
              </w:rPr>
            </w:pPr>
            <w:r w:rsidRPr="006B1A5A">
              <w:rPr>
                <w:rFonts w:eastAsia="Calibri"/>
                <w:lang w:eastAsia="en-US"/>
              </w:rPr>
              <w:t>Combined</w:t>
            </w:r>
          </w:p>
        </w:tc>
        <w:tc>
          <w:tcPr>
            <w:tcW w:w="2977" w:type="dxa"/>
          </w:tcPr>
          <w:p w14:paraId="03AC9C19" w14:textId="77777777" w:rsidR="001042DA" w:rsidRPr="006B1A5A" w:rsidRDefault="001042DA" w:rsidP="00AF2AEA">
            <w:pPr>
              <w:rPr>
                <w:lang w:eastAsia="en-GB"/>
              </w:rPr>
            </w:pPr>
            <w:r w:rsidRPr="006B1A5A">
              <w:rPr>
                <w:lang w:eastAsia="en-GB"/>
              </w:rPr>
              <w:t>0.99</w:t>
            </w:r>
          </w:p>
        </w:tc>
        <w:tc>
          <w:tcPr>
            <w:tcW w:w="3680" w:type="dxa"/>
          </w:tcPr>
          <w:p w14:paraId="0FED2801" w14:textId="77777777" w:rsidR="001042DA" w:rsidRPr="006B1A5A" w:rsidRDefault="001042DA" w:rsidP="00AF2AEA">
            <w:pPr>
              <w:rPr>
                <w:lang w:eastAsia="en-GB"/>
              </w:rPr>
            </w:pPr>
            <w:r w:rsidRPr="006B1A5A">
              <w:rPr>
                <w:lang w:eastAsia="en-GB"/>
              </w:rPr>
              <w:t>0.21</w:t>
            </w:r>
          </w:p>
        </w:tc>
      </w:tr>
      <w:tr w:rsidR="001042DA" w:rsidRPr="006B1A5A" w14:paraId="691B05F1" w14:textId="77777777" w:rsidTr="00AF2AEA">
        <w:tc>
          <w:tcPr>
            <w:tcW w:w="9204" w:type="dxa"/>
            <w:gridSpan w:val="3"/>
          </w:tcPr>
          <w:p w14:paraId="44EA3C60" w14:textId="77777777" w:rsidR="001042DA" w:rsidRPr="006B1A5A" w:rsidRDefault="001042DA" w:rsidP="00AF2AEA">
            <w:pPr>
              <w:rPr>
                <w:rFonts w:eastAsia="Calibri"/>
                <w:b/>
                <w:lang w:eastAsia="en-US"/>
              </w:rPr>
            </w:pPr>
            <w:r w:rsidRPr="006B1A5A">
              <w:rPr>
                <w:rFonts w:eastAsia="Calibri"/>
                <w:b/>
                <w:lang w:eastAsia="en-US"/>
              </w:rPr>
              <w:t>AquaNet HG360</w:t>
            </w:r>
          </w:p>
        </w:tc>
      </w:tr>
      <w:tr w:rsidR="001042DA" w:rsidRPr="006B1A5A" w14:paraId="7508EC85" w14:textId="77777777" w:rsidTr="00AF2AEA">
        <w:tc>
          <w:tcPr>
            <w:tcW w:w="2547" w:type="dxa"/>
          </w:tcPr>
          <w:p w14:paraId="4CBFCAF0" w14:textId="77777777" w:rsidR="001042DA" w:rsidRPr="006B1A5A" w:rsidRDefault="001042DA" w:rsidP="00AF2AEA">
            <w:pPr>
              <w:rPr>
                <w:rFonts w:eastAsia="Calibri"/>
                <w:lang w:eastAsia="en-US"/>
              </w:rPr>
            </w:pPr>
            <w:r w:rsidRPr="006B1A5A">
              <w:rPr>
                <w:rFonts w:eastAsia="Calibri"/>
                <w:lang w:eastAsia="en-US"/>
              </w:rPr>
              <w:t>Total copper</w:t>
            </w:r>
          </w:p>
        </w:tc>
        <w:tc>
          <w:tcPr>
            <w:tcW w:w="2977" w:type="dxa"/>
          </w:tcPr>
          <w:p w14:paraId="74D9319A" w14:textId="77777777" w:rsidR="001042DA" w:rsidRPr="006B1A5A" w:rsidRDefault="001042DA" w:rsidP="00AF2AEA">
            <w:pPr>
              <w:rPr>
                <w:rFonts w:eastAsia="Calibri"/>
                <w:lang w:eastAsia="en-US"/>
              </w:rPr>
            </w:pPr>
            <w:r w:rsidRPr="006B1A5A">
              <w:rPr>
                <w:rFonts w:eastAsia="Calibri"/>
                <w:lang w:eastAsia="en-US"/>
              </w:rPr>
              <w:t>1.02</w:t>
            </w:r>
          </w:p>
        </w:tc>
        <w:tc>
          <w:tcPr>
            <w:tcW w:w="3680" w:type="dxa"/>
          </w:tcPr>
          <w:p w14:paraId="4B50C7AC" w14:textId="77777777" w:rsidR="001042DA" w:rsidRPr="006B1A5A" w:rsidRDefault="001042DA" w:rsidP="00AF2AEA">
            <w:pPr>
              <w:rPr>
                <w:rFonts w:eastAsia="Calibri"/>
                <w:lang w:eastAsia="en-US"/>
              </w:rPr>
            </w:pPr>
            <w:r w:rsidRPr="006B1A5A">
              <w:rPr>
                <w:rFonts w:eastAsia="Calibri"/>
                <w:lang w:eastAsia="en-US"/>
              </w:rPr>
              <w:t>0.26</w:t>
            </w:r>
          </w:p>
        </w:tc>
      </w:tr>
      <w:tr w:rsidR="001042DA" w:rsidRPr="006B1A5A" w14:paraId="65C7FC03" w14:textId="77777777" w:rsidTr="00AF2AEA">
        <w:tc>
          <w:tcPr>
            <w:tcW w:w="2547" w:type="dxa"/>
          </w:tcPr>
          <w:p w14:paraId="72669EC1" w14:textId="77777777" w:rsidR="001042DA" w:rsidRPr="006B1A5A" w:rsidRDefault="001042DA" w:rsidP="00AF2AEA">
            <w:pPr>
              <w:rPr>
                <w:rFonts w:eastAsia="Calibri"/>
                <w:lang w:eastAsia="en-US"/>
              </w:rPr>
            </w:pPr>
            <w:r w:rsidRPr="006B1A5A">
              <w:rPr>
                <w:rFonts w:eastAsia="Calibri"/>
                <w:lang w:eastAsia="en-US"/>
              </w:rPr>
              <w:t>Thiocyanate</w:t>
            </w:r>
          </w:p>
        </w:tc>
        <w:tc>
          <w:tcPr>
            <w:tcW w:w="2977" w:type="dxa"/>
          </w:tcPr>
          <w:p w14:paraId="65E53671" w14:textId="77777777" w:rsidR="001042DA" w:rsidRPr="006B1A5A" w:rsidRDefault="001042DA" w:rsidP="00AF2AEA">
            <w:pPr>
              <w:rPr>
                <w:rFonts w:eastAsia="Calibri"/>
                <w:lang w:eastAsia="en-US"/>
              </w:rPr>
            </w:pPr>
            <w:r w:rsidRPr="006B1A5A">
              <w:rPr>
                <w:rFonts w:eastAsia="Calibri"/>
                <w:lang w:eastAsia="en-US"/>
              </w:rPr>
              <w:t>1.14E-03</w:t>
            </w:r>
          </w:p>
        </w:tc>
        <w:tc>
          <w:tcPr>
            <w:tcW w:w="3680" w:type="dxa"/>
          </w:tcPr>
          <w:p w14:paraId="25666F49" w14:textId="77777777" w:rsidR="001042DA" w:rsidRPr="006B1A5A" w:rsidRDefault="001042DA" w:rsidP="00AF2AEA">
            <w:pPr>
              <w:rPr>
                <w:rFonts w:eastAsia="Calibri"/>
                <w:lang w:eastAsia="en-US"/>
              </w:rPr>
            </w:pPr>
            <w:r w:rsidRPr="006B1A5A">
              <w:rPr>
                <w:rFonts w:eastAsia="Calibri"/>
                <w:lang w:eastAsia="en-US"/>
              </w:rPr>
              <w:t>1.66E-04</w:t>
            </w:r>
          </w:p>
        </w:tc>
      </w:tr>
      <w:tr w:rsidR="001042DA" w:rsidRPr="006B1A5A" w14:paraId="306DEB9B" w14:textId="77777777" w:rsidTr="00AF2AEA">
        <w:tc>
          <w:tcPr>
            <w:tcW w:w="2547" w:type="dxa"/>
          </w:tcPr>
          <w:p w14:paraId="441BFDA5" w14:textId="77777777" w:rsidR="001042DA" w:rsidRPr="006B1A5A" w:rsidRDefault="001042DA" w:rsidP="00AF2AEA">
            <w:pPr>
              <w:rPr>
                <w:rFonts w:eastAsia="Calibri"/>
                <w:i/>
                <w:lang w:eastAsia="en-US"/>
              </w:rPr>
            </w:pPr>
            <w:r w:rsidRPr="006B1A5A">
              <w:rPr>
                <w:rFonts w:eastAsia="Calibri"/>
                <w:i/>
                <w:lang w:eastAsia="en-US"/>
              </w:rPr>
              <w:t>Combined</w:t>
            </w:r>
          </w:p>
        </w:tc>
        <w:tc>
          <w:tcPr>
            <w:tcW w:w="2977" w:type="dxa"/>
          </w:tcPr>
          <w:p w14:paraId="00DE74C4" w14:textId="77777777" w:rsidR="001042DA" w:rsidRPr="006B1A5A" w:rsidRDefault="001042DA" w:rsidP="00AF2AEA">
            <w:pPr>
              <w:rPr>
                <w:rFonts w:eastAsia="Calibri"/>
                <w:lang w:eastAsia="en-US"/>
              </w:rPr>
            </w:pPr>
            <w:r w:rsidRPr="006B1A5A">
              <w:rPr>
                <w:rFonts w:eastAsia="Calibri"/>
                <w:lang w:eastAsia="en-US"/>
              </w:rPr>
              <w:t>1.02</w:t>
            </w:r>
          </w:p>
        </w:tc>
        <w:tc>
          <w:tcPr>
            <w:tcW w:w="3680" w:type="dxa"/>
          </w:tcPr>
          <w:p w14:paraId="7132442A" w14:textId="77777777" w:rsidR="001042DA" w:rsidRPr="006B1A5A" w:rsidRDefault="001042DA" w:rsidP="00AF2AEA">
            <w:pPr>
              <w:rPr>
                <w:rFonts w:eastAsia="Calibri"/>
                <w:lang w:eastAsia="en-US"/>
              </w:rPr>
            </w:pPr>
            <w:r w:rsidRPr="006B1A5A">
              <w:rPr>
                <w:rFonts w:eastAsia="Calibri"/>
                <w:lang w:eastAsia="en-US"/>
              </w:rPr>
              <w:t>0.26</w:t>
            </w:r>
          </w:p>
        </w:tc>
      </w:tr>
      <w:tr w:rsidR="001042DA" w:rsidRPr="006B1A5A" w14:paraId="53AD4D94" w14:textId="77777777" w:rsidTr="00AF2AEA">
        <w:tc>
          <w:tcPr>
            <w:tcW w:w="9204" w:type="dxa"/>
            <w:gridSpan w:val="3"/>
          </w:tcPr>
          <w:p w14:paraId="03F4715A" w14:textId="77777777" w:rsidR="001042DA" w:rsidRPr="006B1A5A" w:rsidRDefault="001042DA" w:rsidP="00AF2AEA">
            <w:pPr>
              <w:rPr>
                <w:rFonts w:eastAsia="Calibri"/>
                <w:b/>
                <w:lang w:eastAsia="en-US"/>
              </w:rPr>
            </w:pPr>
            <w:r w:rsidRPr="006B1A5A">
              <w:rPr>
                <w:rFonts w:eastAsia="Calibri"/>
                <w:b/>
                <w:lang w:eastAsia="en-US"/>
              </w:rPr>
              <w:t>AquaNet RFU360</w:t>
            </w:r>
          </w:p>
        </w:tc>
      </w:tr>
      <w:tr w:rsidR="001042DA" w:rsidRPr="006B1A5A" w14:paraId="2B78316E" w14:textId="77777777" w:rsidTr="00AF2AEA">
        <w:tc>
          <w:tcPr>
            <w:tcW w:w="2547" w:type="dxa"/>
          </w:tcPr>
          <w:p w14:paraId="3A861656" w14:textId="77777777" w:rsidR="001042DA" w:rsidRPr="006B1A5A" w:rsidRDefault="001042DA" w:rsidP="00AF2AEA">
            <w:pPr>
              <w:rPr>
                <w:rFonts w:eastAsia="Calibri"/>
                <w:lang w:eastAsia="en-US"/>
              </w:rPr>
            </w:pPr>
            <w:r w:rsidRPr="006B1A5A">
              <w:rPr>
                <w:rFonts w:eastAsia="Calibri"/>
                <w:lang w:eastAsia="en-US"/>
              </w:rPr>
              <w:t>Total copper</w:t>
            </w:r>
          </w:p>
        </w:tc>
        <w:tc>
          <w:tcPr>
            <w:tcW w:w="2977" w:type="dxa"/>
          </w:tcPr>
          <w:p w14:paraId="4513A67A" w14:textId="77777777" w:rsidR="001042DA" w:rsidRPr="006B1A5A" w:rsidRDefault="001042DA" w:rsidP="00AF2AEA">
            <w:pPr>
              <w:rPr>
                <w:rFonts w:eastAsia="Calibri"/>
                <w:lang w:eastAsia="en-US"/>
              </w:rPr>
            </w:pPr>
            <w:r w:rsidRPr="006B1A5A">
              <w:rPr>
                <w:rFonts w:eastAsia="Calibri"/>
                <w:lang w:eastAsia="en-US"/>
              </w:rPr>
              <w:t>1.00</w:t>
            </w:r>
          </w:p>
        </w:tc>
        <w:tc>
          <w:tcPr>
            <w:tcW w:w="3680" w:type="dxa"/>
          </w:tcPr>
          <w:p w14:paraId="1DE669DE" w14:textId="77777777" w:rsidR="001042DA" w:rsidRPr="006B1A5A" w:rsidRDefault="001042DA" w:rsidP="00AF2AEA">
            <w:pPr>
              <w:rPr>
                <w:rFonts w:eastAsia="Calibri"/>
                <w:lang w:eastAsia="en-US"/>
              </w:rPr>
            </w:pPr>
            <w:r w:rsidRPr="006B1A5A">
              <w:rPr>
                <w:rFonts w:eastAsia="Calibri"/>
                <w:lang w:eastAsia="en-US"/>
              </w:rPr>
              <w:t>0.23</w:t>
            </w:r>
          </w:p>
        </w:tc>
      </w:tr>
      <w:tr w:rsidR="001042DA" w:rsidRPr="006B1A5A" w14:paraId="295FF2D3" w14:textId="77777777" w:rsidTr="00AF2AEA">
        <w:tc>
          <w:tcPr>
            <w:tcW w:w="2547" w:type="dxa"/>
          </w:tcPr>
          <w:p w14:paraId="3D0D2340" w14:textId="77777777" w:rsidR="001042DA" w:rsidRPr="006B1A5A" w:rsidRDefault="001042DA" w:rsidP="00AF2AEA">
            <w:pPr>
              <w:rPr>
                <w:rFonts w:eastAsia="Calibri"/>
                <w:lang w:eastAsia="en-US"/>
              </w:rPr>
            </w:pPr>
            <w:r w:rsidRPr="006B1A5A">
              <w:rPr>
                <w:rFonts w:eastAsia="Calibri"/>
                <w:lang w:eastAsia="en-US"/>
              </w:rPr>
              <w:t>Thiocyanate</w:t>
            </w:r>
          </w:p>
        </w:tc>
        <w:tc>
          <w:tcPr>
            <w:tcW w:w="2977" w:type="dxa"/>
          </w:tcPr>
          <w:p w14:paraId="3C0E235E" w14:textId="77777777" w:rsidR="001042DA" w:rsidRPr="006B1A5A" w:rsidRDefault="001042DA" w:rsidP="00AF2AEA">
            <w:pPr>
              <w:rPr>
                <w:rFonts w:eastAsia="Calibri"/>
                <w:lang w:eastAsia="en-US"/>
              </w:rPr>
            </w:pPr>
            <w:r w:rsidRPr="006B1A5A">
              <w:rPr>
                <w:rFonts w:eastAsia="Calibri"/>
                <w:lang w:eastAsia="en-US"/>
              </w:rPr>
              <w:t>4.00E-04</w:t>
            </w:r>
          </w:p>
        </w:tc>
        <w:tc>
          <w:tcPr>
            <w:tcW w:w="3680" w:type="dxa"/>
          </w:tcPr>
          <w:p w14:paraId="056FB42E" w14:textId="77777777" w:rsidR="001042DA" w:rsidRPr="006B1A5A" w:rsidRDefault="001042DA" w:rsidP="00AF2AEA">
            <w:pPr>
              <w:rPr>
                <w:rFonts w:eastAsia="Calibri"/>
                <w:lang w:eastAsia="en-US"/>
              </w:rPr>
            </w:pPr>
            <w:r w:rsidRPr="006B1A5A">
              <w:rPr>
                <w:rFonts w:eastAsia="Calibri"/>
                <w:lang w:eastAsia="en-US"/>
              </w:rPr>
              <w:t>5.83E-05</w:t>
            </w:r>
          </w:p>
        </w:tc>
      </w:tr>
      <w:tr w:rsidR="001042DA" w:rsidRPr="006B1A5A" w14:paraId="679F58D5" w14:textId="77777777" w:rsidTr="00AF2AEA">
        <w:tc>
          <w:tcPr>
            <w:tcW w:w="2547" w:type="dxa"/>
          </w:tcPr>
          <w:p w14:paraId="60F33F46" w14:textId="77777777" w:rsidR="001042DA" w:rsidRPr="006B1A5A" w:rsidRDefault="001042DA" w:rsidP="00AF2AEA">
            <w:pPr>
              <w:rPr>
                <w:rFonts w:eastAsia="Calibri"/>
                <w:i/>
                <w:lang w:eastAsia="en-US"/>
              </w:rPr>
            </w:pPr>
            <w:r w:rsidRPr="006B1A5A">
              <w:rPr>
                <w:rFonts w:eastAsia="Calibri"/>
                <w:i/>
                <w:lang w:eastAsia="en-US"/>
              </w:rPr>
              <w:t>Combined</w:t>
            </w:r>
          </w:p>
        </w:tc>
        <w:tc>
          <w:tcPr>
            <w:tcW w:w="2977" w:type="dxa"/>
          </w:tcPr>
          <w:p w14:paraId="6ECF4A3A" w14:textId="77777777" w:rsidR="001042DA" w:rsidRPr="006B1A5A" w:rsidRDefault="001042DA" w:rsidP="00AF2AEA">
            <w:pPr>
              <w:rPr>
                <w:rFonts w:eastAsia="Calibri"/>
                <w:lang w:eastAsia="en-US"/>
              </w:rPr>
            </w:pPr>
            <w:r w:rsidRPr="006B1A5A">
              <w:rPr>
                <w:rFonts w:eastAsia="Calibri"/>
                <w:lang w:eastAsia="en-US"/>
              </w:rPr>
              <w:t>1.00</w:t>
            </w:r>
          </w:p>
        </w:tc>
        <w:tc>
          <w:tcPr>
            <w:tcW w:w="3680" w:type="dxa"/>
          </w:tcPr>
          <w:p w14:paraId="215F7F32" w14:textId="77777777" w:rsidR="001042DA" w:rsidRPr="006B1A5A" w:rsidRDefault="001042DA" w:rsidP="00AF2AEA">
            <w:pPr>
              <w:rPr>
                <w:rFonts w:eastAsia="Calibri"/>
                <w:lang w:eastAsia="en-US"/>
              </w:rPr>
            </w:pPr>
            <w:r w:rsidRPr="006B1A5A">
              <w:rPr>
                <w:rFonts w:eastAsia="Calibri"/>
                <w:lang w:eastAsia="en-US"/>
              </w:rPr>
              <w:t>0.23</w:t>
            </w:r>
          </w:p>
        </w:tc>
      </w:tr>
    </w:tbl>
    <w:p w14:paraId="671FE201" w14:textId="77777777" w:rsidR="001042DA" w:rsidRPr="006B1A5A" w:rsidRDefault="001042DA" w:rsidP="001042DA">
      <w:pPr>
        <w:spacing w:line="260" w:lineRule="atLeast"/>
        <w:rPr>
          <w:rFonts w:eastAsia="Calibri"/>
          <w:sz w:val="18"/>
          <w:szCs w:val="18"/>
          <w:lang w:eastAsia="en-US"/>
        </w:rPr>
      </w:pPr>
      <w:r w:rsidRPr="006B1A5A">
        <w:rPr>
          <w:rFonts w:eastAsia="Calibri"/>
          <w:sz w:val="18"/>
          <w:szCs w:val="18"/>
          <w:lang w:eastAsia="en-US"/>
        </w:rPr>
        <w:t>*with background concentrations of copper</w:t>
      </w:r>
    </w:p>
    <w:p w14:paraId="4D2E3F84" w14:textId="77777777" w:rsidR="001042DA" w:rsidRPr="006B1A5A" w:rsidRDefault="001042DA" w:rsidP="001042DA">
      <w:pPr>
        <w:spacing w:line="260" w:lineRule="atLeast"/>
        <w:rPr>
          <w:rFonts w:eastAsia="Calibri"/>
          <w:lang w:eastAsia="en-US"/>
        </w:rPr>
      </w:pPr>
    </w:p>
    <w:p w14:paraId="02478E2A" w14:textId="77777777" w:rsidR="001042DA" w:rsidRPr="006B1A5A" w:rsidRDefault="001042DA" w:rsidP="001042DA">
      <w:pPr>
        <w:spacing w:line="260" w:lineRule="atLeast"/>
      </w:pPr>
      <w:bookmarkStart w:id="1765" w:name="_Hlk22294229"/>
      <w:bookmarkStart w:id="1766" w:name="_Toc389729122"/>
      <w:bookmarkStart w:id="1767" w:name="_Toc403472806"/>
      <w:bookmarkStart w:id="1768" w:name="_Toc377651053"/>
      <w:r w:rsidRPr="006B1A5A">
        <w:t xml:space="preserve">For the Norwegian fish farm scenario, all PEC/PNEC ratios were found to be ≤ 1. </w:t>
      </w:r>
    </w:p>
    <w:bookmarkEnd w:id="1765"/>
    <w:p w14:paraId="4FDC6398" w14:textId="77777777" w:rsidR="001042DA" w:rsidRPr="006B1A5A" w:rsidRDefault="001042DA" w:rsidP="001042DA">
      <w:pPr>
        <w:rPr>
          <w:rFonts w:eastAsia="Calibri"/>
          <w:b/>
          <w:i/>
          <w:sz w:val="22"/>
          <w:szCs w:val="22"/>
          <w:lang w:eastAsia="en-US"/>
        </w:rPr>
      </w:pPr>
      <w:r w:rsidRPr="006B1A5A">
        <w:t xml:space="preserve"> </w:t>
      </w:r>
    </w:p>
    <w:p w14:paraId="6EDC7336" w14:textId="77777777" w:rsidR="002257BE" w:rsidRDefault="002257BE" w:rsidP="002257BE">
      <w:pPr>
        <w:rPr>
          <w:rFonts w:eastAsia="Calibri"/>
          <w:b/>
          <w:i/>
          <w:sz w:val="22"/>
          <w:szCs w:val="22"/>
          <w:lang w:val="en-US" w:eastAsia="en-US"/>
        </w:rPr>
      </w:pPr>
      <w:r>
        <w:rPr>
          <w:rFonts w:eastAsia="Calibri"/>
          <w:b/>
          <w:i/>
          <w:sz w:val="22"/>
          <w:szCs w:val="22"/>
          <w:lang w:val="en-US" w:eastAsia="en-US"/>
        </w:rPr>
        <w:t>Leaching behavior</w:t>
      </w:r>
    </w:p>
    <w:p w14:paraId="1A3CCF03" w14:textId="77777777" w:rsidR="002257BE" w:rsidRDefault="002257BE" w:rsidP="002257BE">
      <w:pPr>
        <w:rPr>
          <w:rFonts w:eastAsia="Calibri"/>
          <w:b/>
          <w:i/>
          <w:sz w:val="22"/>
          <w:szCs w:val="22"/>
          <w:lang w:val="en-US" w:eastAsia="en-US"/>
        </w:rPr>
      </w:pPr>
    </w:p>
    <w:p w14:paraId="29DE6B40" w14:textId="0A59296A" w:rsidR="002257BE" w:rsidRPr="00094F3D" w:rsidRDefault="001D1C64" w:rsidP="002257BE">
      <w:pPr>
        <w:jc w:val="both"/>
      </w:pPr>
      <w:r>
        <w:t>T</w:t>
      </w:r>
      <w:r w:rsidRPr="00094F3D">
        <w:t xml:space="preserve">he applicant </w:t>
      </w:r>
      <w:r>
        <w:t>has submitted f</w:t>
      </w:r>
      <w:r w:rsidR="002257BE" w:rsidRPr="00094F3D">
        <w:t>ield and farm studies to determine the release of</w:t>
      </w:r>
      <w:r w:rsidR="00BB5DA7">
        <w:t xml:space="preserve"> dicopper oxide</w:t>
      </w:r>
      <w:r w:rsidR="002257BE" w:rsidRPr="00094F3D">
        <w:t xml:space="preserve"> from aquaculture nets coated with </w:t>
      </w:r>
      <w:r w:rsidR="00AA4EF1">
        <w:t xml:space="preserve">Aquanet </w:t>
      </w:r>
      <w:r w:rsidR="002257BE" w:rsidRPr="00094F3D">
        <w:t>antifouling products. The</w:t>
      </w:r>
      <w:r w:rsidR="002257BE">
        <w:t>se</w:t>
      </w:r>
      <w:r w:rsidR="002257BE" w:rsidRPr="00094F3D">
        <w:t xml:space="preserve"> studies aim to determine the loss of biocide during commercial conditions with or without high water jetting (in-situ cleaning).</w:t>
      </w:r>
    </w:p>
    <w:p w14:paraId="54C542D3" w14:textId="77777777" w:rsidR="002257BE" w:rsidRPr="00094F3D" w:rsidRDefault="002257BE" w:rsidP="002257BE">
      <w:pPr>
        <w:jc w:val="both"/>
      </w:pPr>
    </w:p>
    <w:p w14:paraId="2EA18AEB" w14:textId="77777777" w:rsidR="002257BE" w:rsidRPr="00094F3D" w:rsidRDefault="002257BE" w:rsidP="002257BE">
      <w:pPr>
        <w:jc w:val="both"/>
        <w:rPr>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962"/>
        <w:gridCol w:w="3372"/>
        <w:gridCol w:w="2574"/>
      </w:tblGrid>
      <w:tr w:rsidR="002257BE" w:rsidRPr="005F5ECE" w14:paraId="1ACA6EE6" w14:textId="77777777" w:rsidTr="002257BE">
        <w:trPr>
          <w:trHeight w:val="297"/>
        </w:trPr>
        <w:tc>
          <w:tcPr>
            <w:tcW w:w="9209" w:type="dxa"/>
            <w:gridSpan w:val="4"/>
            <w:shd w:val="clear" w:color="auto" w:fill="FFFFCC"/>
          </w:tcPr>
          <w:p w14:paraId="065B334A" w14:textId="77777777" w:rsidR="002257BE" w:rsidRPr="00094F3D" w:rsidRDefault="002257BE" w:rsidP="002257BE">
            <w:pPr>
              <w:jc w:val="center"/>
              <w:rPr>
                <w:b/>
                <w:bCs/>
              </w:rPr>
            </w:pPr>
            <w:r w:rsidRPr="005F5ECE">
              <w:rPr>
                <w:b/>
                <w:bCs/>
              </w:rPr>
              <w:t>Study Overview</w:t>
            </w:r>
          </w:p>
          <w:p w14:paraId="73CB5028" w14:textId="77777777" w:rsidR="002257BE" w:rsidRPr="005F5ECE" w:rsidRDefault="002257BE" w:rsidP="002257BE">
            <w:pPr>
              <w:jc w:val="center"/>
            </w:pPr>
            <w:r w:rsidRPr="00094F3D">
              <w:rPr>
                <w:b/>
                <w:bCs/>
              </w:rPr>
              <w:t xml:space="preserve"> </w:t>
            </w:r>
            <w:bookmarkStart w:id="1769" w:name="_Hlk56770534"/>
            <w:r w:rsidRPr="00094F3D">
              <w:t>Biocide release from Aquaculture nets</w:t>
            </w:r>
          </w:p>
          <w:p w14:paraId="59CF0A29" w14:textId="77777777" w:rsidR="002257BE" w:rsidRPr="005F5ECE" w:rsidRDefault="002257BE" w:rsidP="002257BE">
            <w:pPr>
              <w:jc w:val="center"/>
              <w:rPr>
                <w:b/>
                <w:bCs/>
              </w:rPr>
            </w:pPr>
            <w:r w:rsidRPr="00094F3D">
              <w:t>DOKID-794567110-370</w:t>
            </w:r>
          </w:p>
          <w:bookmarkEnd w:id="1769"/>
          <w:p w14:paraId="76C5BC01" w14:textId="77777777" w:rsidR="002257BE" w:rsidRPr="00094F3D" w:rsidRDefault="002257BE" w:rsidP="002257BE">
            <w:pPr>
              <w:jc w:val="center"/>
              <w:rPr>
                <w:b/>
              </w:rPr>
            </w:pPr>
          </w:p>
        </w:tc>
      </w:tr>
      <w:tr w:rsidR="002257BE" w:rsidRPr="005F5ECE" w14:paraId="1F8FB961" w14:textId="77777777" w:rsidTr="002257BE">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rPr>
          <w:trHeight w:val="638"/>
        </w:trPr>
        <w:tc>
          <w:tcPr>
            <w:tcW w:w="1301" w:type="dxa"/>
            <w:tcBorders>
              <w:bottom w:val="single" w:sz="4" w:space="0" w:color="auto"/>
            </w:tcBorders>
            <w:shd w:val="clear" w:color="auto" w:fill="FFFFFF"/>
          </w:tcPr>
          <w:p w14:paraId="630D1CD5" w14:textId="77777777" w:rsidR="002257BE" w:rsidRPr="00094F3D" w:rsidRDefault="002257BE" w:rsidP="002257BE">
            <w:pPr>
              <w:keepNext/>
              <w:rPr>
                <w:rFonts w:eastAsia="Calibri"/>
                <w:b/>
                <w:color w:val="000000"/>
                <w:lang w:eastAsia="en-GB"/>
              </w:rPr>
            </w:pPr>
            <w:r w:rsidRPr="00094F3D">
              <w:rPr>
                <w:rFonts w:eastAsia="Calibri"/>
                <w:b/>
                <w:color w:val="000000"/>
                <w:lang w:eastAsia="en-GB"/>
              </w:rPr>
              <w:t>Test matrix and test substance</w:t>
            </w:r>
          </w:p>
        </w:tc>
        <w:tc>
          <w:tcPr>
            <w:tcW w:w="1962" w:type="dxa"/>
            <w:tcBorders>
              <w:bottom w:val="single" w:sz="4" w:space="0" w:color="auto"/>
            </w:tcBorders>
            <w:shd w:val="clear" w:color="auto" w:fill="FFFFFF"/>
          </w:tcPr>
          <w:p w14:paraId="091808D3" w14:textId="77777777" w:rsidR="002257BE" w:rsidRPr="00094F3D" w:rsidRDefault="002257BE" w:rsidP="002257BE">
            <w:pPr>
              <w:keepNext/>
              <w:rPr>
                <w:b/>
                <w:i/>
                <w:color w:val="000000"/>
              </w:rPr>
            </w:pPr>
            <w:r w:rsidRPr="00094F3D">
              <w:rPr>
                <w:rFonts w:eastAsia="Calibri"/>
                <w:b/>
                <w:color w:val="000000"/>
                <w:lang w:eastAsia="en-GB"/>
              </w:rPr>
              <w:t xml:space="preserve">Method </w:t>
            </w:r>
          </w:p>
        </w:tc>
        <w:tc>
          <w:tcPr>
            <w:tcW w:w="3372" w:type="dxa"/>
            <w:tcBorders>
              <w:bottom w:val="single" w:sz="4" w:space="0" w:color="auto"/>
            </w:tcBorders>
            <w:shd w:val="clear" w:color="auto" w:fill="FFFFFF"/>
          </w:tcPr>
          <w:p w14:paraId="7A173A46" w14:textId="77777777" w:rsidR="002257BE" w:rsidRPr="00094F3D" w:rsidRDefault="002257BE" w:rsidP="002257BE">
            <w:pPr>
              <w:keepNext/>
              <w:spacing w:line="260" w:lineRule="atLeast"/>
              <w:rPr>
                <w:rFonts w:eastAsia="Calibri"/>
                <w:b/>
                <w:color w:val="000000"/>
              </w:rPr>
            </w:pPr>
            <w:r w:rsidRPr="00094F3D">
              <w:rPr>
                <w:rFonts w:eastAsia="Calibri"/>
                <w:b/>
                <w:color w:val="000000"/>
              </w:rPr>
              <w:t xml:space="preserve">Compartment, </w:t>
            </w:r>
          </w:p>
          <w:p w14:paraId="68239566" w14:textId="77777777" w:rsidR="002257BE" w:rsidRPr="00094F3D" w:rsidRDefault="002257BE" w:rsidP="002257BE">
            <w:pPr>
              <w:keepNext/>
              <w:spacing w:line="260" w:lineRule="atLeast"/>
              <w:rPr>
                <w:rFonts w:eastAsia="Calibri"/>
                <w:b/>
                <w:color w:val="000000"/>
              </w:rPr>
            </w:pPr>
            <w:r w:rsidRPr="00094F3D">
              <w:rPr>
                <w:rFonts w:eastAsia="Calibri"/>
                <w:b/>
                <w:color w:val="000000"/>
              </w:rPr>
              <w:t xml:space="preserve">pH, </w:t>
            </w:r>
          </w:p>
          <w:p w14:paraId="38276191" w14:textId="77777777" w:rsidR="002257BE" w:rsidRPr="00094F3D" w:rsidRDefault="002257BE" w:rsidP="002257BE">
            <w:pPr>
              <w:keepNext/>
              <w:rPr>
                <w:b/>
                <w:color w:val="000000"/>
                <w:lang w:eastAsia="en-GB"/>
              </w:rPr>
            </w:pPr>
            <w:r w:rsidRPr="00094F3D">
              <w:rPr>
                <w:rFonts w:eastAsia="Calibri"/>
                <w:b/>
                <w:color w:val="000000"/>
              </w:rPr>
              <w:t xml:space="preserve">Temp [°C] </w:t>
            </w:r>
          </w:p>
        </w:tc>
        <w:tc>
          <w:tcPr>
            <w:tcW w:w="2574" w:type="dxa"/>
            <w:tcBorders>
              <w:bottom w:val="single" w:sz="4" w:space="0" w:color="auto"/>
            </w:tcBorders>
            <w:shd w:val="clear" w:color="auto" w:fill="FFFFFF"/>
          </w:tcPr>
          <w:p w14:paraId="59D6C6A6" w14:textId="77777777" w:rsidR="002257BE" w:rsidRPr="00094F3D" w:rsidRDefault="002257BE" w:rsidP="002257BE">
            <w:pPr>
              <w:keepNext/>
              <w:rPr>
                <w:b/>
                <w:color w:val="000000"/>
              </w:rPr>
            </w:pPr>
            <w:r w:rsidRPr="00094F3D">
              <w:rPr>
                <w:b/>
                <w:color w:val="000000"/>
              </w:rPr>
              <w:t>Reference</w:t>
            </w:r>
          </w:p>
        </w:tc>
      </w:tr>
      <w:tr w:rsidR="002257BE" w:rsidRPr="005F5ECE" w14:paraId="44577945" w14:textId="77777777" w:rsidTr="002257BE">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1301" w:type="dxa"/>
            <w:tcBorders>
              <w:top w:val="single" w:sz="4" w:space="0" w:color="auto"/>
              <w:bottom w:val="single" w:sz="4" w:space="0" w:color="auto"/>
              <w:right w:val="single" w:sz="4" w:space="0" w:color="auto"/>
            </w:tcBorders>
          </w:tcPr>
          <w:p w14:paraId="67C7875E" w14:textId="77777777" w:rsidR="002257BE" w:rsidRPr="00094F3D" w:rsidRDefault="002257BE" w:rsidP="002257BE">
            <w:pPr>
              <w:keepNext/>
              <w:spacing w:line="260" w:lineRule="atLeast"/>
              <w:rPr>
                <w:rFonts w:eastAsia="Calibri"/>
                <w:iCs/>
                <w:color w:val="000000"/>
              </w:rPr>
            </w:pPr>
            <w:r w:rsidRPr="00094F3D">
              <w:rPr>
                <w:rFonts w:eastAsia="Calibri"/>
                <w:iCs/>
                <w:color w:val="000000"/>
              </w:rPr>
              <w:t xml:space="preserve">Field Study </w:t>
            </w:r>
          </w:p>
          <w:p w14:paraId="6CA105C6" w14:textId="77777777" w:rsidR="002257BE" w:rsidRPr="00094F3D" w:rsidRDefault="002257BE" w:rsidP="002257BE">
            <w:pPr>
              <w:keepNext/>
              <w:spacing w:line="260" w:lineRule="atLeast"/>
              <w:rPr>
                <w:rFonts w:eastAsia="Calibri"/>
                <w:iCs/>
                <w:color w:val="000000"/>
              </w:rPr>
            </w:pPr>
            <w:r w:rsidRPr="00094F3D">
              <w:rPr>
                <w:rFonts w:eastAsia="Calibri"/>
                <w:iCs/>
                <w:color w:val="000000"/>
              </w:rPr>
              <w:t xml:space="preserve">AquaNet North Sea Ultra </w:t>
            </w:r>
          </w:p>
        </w:tc>
        <w:tc>
          <w:tcPr>
            <w:tcW w:w="1962" w:type="dxa"/>
            <w:tcBorders>
              <w:top w:val="single" w:sz="4" w:space="0" w:color="auto"/>
              <w:bottom w:val="single" w:sz="4" w:space="0" w:color="auto"/>
              <w:right w:val="single" w:sz="4" w:space="0" w:color="auto"/>
            </w:tcBorders>
          </w:tcPr>
          <w:p w14:paraId="78677AF5" w14:textId="77777777" w:rsidR="002257BE" w:rsidRPr="00094F3D" w:rsidRDefault="002257BE" w:rsidP="002257BE">
            <w:pPr>
              <w:keepNext/>
              <w:spacing w:line="260" w:lineRule="atLeast"/>
              <w:rPr>
                <w:rFonts w:eastAsia="Calibri"/>
                <w:iCs/>
                <w:color w:val="000000"/>
              </w:rPr>
            </w:pPr>
            <w:r w:rsidRPr="00094F3D">
              <w:rPr>
                <w:rFonts w:eastAsia="Calibri"/>
                <w:iCs/>
                <w:color w:val="000000"/>
              </w:rPr>
              <w:t xml:space="preserve">Bespoke method </w:t>
            </w:r>
          </w:p>
          <w:p w14:paraId="34E4F6ED" w14:textId="77777777" w:rsidR="002257BE" w:rsidRPr="00094F3D" w:rsidRDefault="002257BE" w:rsidP="002257BE">
            <w:pPr>
              <w:keepNext/>
              <w:spacing w:line="260" w:lineRule="atLeast"/>
              <w:rPr>
                <w:rFonts w:eastAsia="Calibri"/>
                <w:iCs/>
                <w:strike/>
                <w:color w:val="000000"/>
              </w:rPr>
            </w:pPr>
          </w:p>
        </w:tc>
        <w:tc>
          <w:tcPr>
            <w:tcW w:w="3372" w:type="dxa"/>
            <w:tcBorders>
              <w:top w:val="single" w:sz="4" w:space="0" w:color="auto"/>
              <w:left w:val="single" w:sz="4" w:space="0" w:color="auto"/>
              <w:bottom w:val="single" w:sz="4" w:space="0" w:color="auto"/>
              <w:right w:val="single" w:sz="4" w:space="0" w:color="auto"/>
            </w:tcBorders>
          </w:tcPr>
          <w:p w14:paraId="4EE1A78E" w14:textId="77777777" w:rsidR="002257BE" w:rsidRPr="00094F3D" w:rsidRDefault="002257BE" w:rsidP="002257BE">
            <w:pPr>
              <w:keepNext/>
              <w:spacing w:line="260" w:lineRule="atLeast"/>
              <w:rPr>
                <w:rFonts w:eastAsia="Calibri"/>
                <w:iCs/>
                <w:color w:val="000000"/>
              </w:rPr>
            </w:pPr>
            <w:r w:rsidRPr="00094F3D">
              <w:rPr>
                <w:rFonts w:eastAsia="Calibri"/>
                <w:iCs/>
                <w:color w:val="000000"/>
              </w:rPr>
              <w:t xml:space="preserve">Norwegian Coastal Seawater (submerged at 6 metres depth),  </w:t>
            </w:r>
          </w:p>
          <w:p w14:paraId="41E5DB09" w14:textId="77777777" w:rsidR="002257BE" w:rsidRPr="00094F3D" w:rsidRDefault="002257BE" w:rsidP="002257BE">
            <w:pPr>
              <w:keepNext/>
              <w:spacing w:line="260" w:lineRule="atLeast"/>
              <w:rPr>
                <w:rFonts w:eastAsia="Calibri"/>
                <w:iCs/>
                <w:color w:val="000000"/>
              </w:rPr>
            </w:pPr>
            <w:r w:rsidRPr="00094F3D">
              <w:rPr>
                <w:rFonts w:eastAsia="Calibri"/>
                <w:iCs/>
                <w:color w:val="000000"/>
              </w:rPr>
              <w:t>pH not measured,</w:t>
            </w:r>
          </w:p>
          <w:p w14:paraId="2A10CA0D" w14:textId="77777777" w:rsidR="002257BE" w:rsidRPr="00094F3D" w:rsidRDefault="002257BE" w:rsidP="002257BE">
            <w:pPr>
              <w:keepNext/>
              <w:spacing w:line="260" w:lineRule="atLeast"/>
              <w:rPr>
                <w:rFonts w:eastAsia="Calibri"/>
                <w:iCs/>
                <w:color w:val="000000"/>
              </w:rPr>
            </w:pPr>
            <w:r w:rsidRPr="00094F3D">
              <w:rPr>
                <w:rFonts w:eastAsia="Calibri"/>
                <w:iCs/>
                <w:color w:val="000000"/>
              </w:rPr>
              <w:t xml:space="preserve">8.7 to 17.8°C </w:t>
            </w:r>
          </w:p>
        </w:tc>
        <w:tc>
          <w:tcPr>
            <w:tcW w:w="2574" w:type="dxa"/>
            <w:tcBorders>
              <w:top w:val="single" w:sz="4" w:space="0" w:color="auto"/>
              <w:left w:val="single" w:sz="4" w:space="0" w:color="auto"/>
              <w:bottom w:val="single" w:sz="4" w:space="0" w:color="auto"/>
            </w:tcBorders>
          </w:tcPr>
          <w:p w14:paraId="61243022" w14:textId="77777777" w:rsidR="002257BE" w:rsidRPr="00094F3D" w:rsidRDefault="002257BE" w:rsidP="002257BE">
            <w:pPr>
              <w:keepNext/>
              <w:rPr>
                <w:iCs/>
                <w:color w:val="000000"/>
              </w:rPr>
            </w:pPr>
            <w:r w:rsidRPr="00094F3D">
              <w:rPr>
                <w:iCs/>
                <w:color w:val="000000"/>
              </w:rPr>
              <w:t>Ulriksen, U (2020)</w:t>
            </w:r>
          </w:p>
        </w:tc>
      </w:tr>
      <w:tr w:rsidR="002257BE" w:rsidRPr="009E3B3E" w14:paraId="4E0C99F4" w14:textId="77777777" w:rsidTr="002257BE">
        <w:tblPrEx>
          <w:tblBorders>
            <w:insideH w:val="single" w:sz="6" w:space="0" w:color="auto"/>
            <w:insideV w:val="single" w:sz="6" w:space="0" w:color="auto"/>
          </w:tblBorders>
          <w:tblCellMar>
            <w:left w:w="70" w:type="dxa"/>
            <w:right w:w="70" w:type="dxa"/>
          </w:tblCellMar>
          <w:tblLook w:val="0000" w:firstRow="0" w:lastRow="0" w:firstColumn="0" w:lastColumn="0" w:noHBand="0" w:noVBand="0"/>
        </w:tblPrEx>
        <w:tc>
          <w:tcPr>
            <w:tcW w:w="1301" w:type="dxa"/>
            <w:tcBorders>
              <w:top w:val="single" w:sz="4" w:space="0" w:color="auto"/>
              <w:bottom w:val="single" w:sz="4" w:space="0" w:color="auto"/>
              <w:right w:val="single" w:sz="4" w:space="0" w:color="auto"/>
            </w:tcBorders>
          </w:tcPr>
          <w:p w14:paraId="6AD41BA3" w14:textId="77777777" w:rsidR="002257BE" w:rsidRPr="00CC535E" w:rsidRDefault="002257BE" w:rsidP="002257BE">
            <w:pPr>
              <w:keepNext/>
              <w:spacing w:line="260" w:lineRule="atLeast"/>
              <w:rPr>
                <w:rFonts w:eastAsia="Calibri"/>
                <w:iCs/>
                <w:color w:val="000000"/>
              </w:rPr>
            </w:pPr>
            <w:r w:rsidRPr="00CC535E">
              <w:rPr>
                <w:rFonts w:eastAsia="Calibri"/>
                <w:iCs/>
                <w:color w:val="000000"/>
              </w:rPr>
              <w:t xml:space="preserve">Farm Study </w:t>
            </w:r>
          </w:p>
          <w:p w14:paraId="663538AB" w14:textId="77777777" w:rsidR="002257BE" w:rsidRPr="00CC535E" w:rsidRDefault="002257BE" w:rsidP="002257BE">
            <w:pPr>
              <w:keepNext/>
              <w:spacing w:line="260" w:lineRule="atLeast"/>
              <w:rPr>
                <w:rFonts w:eastAsia="Calibri"/>
                <w:iCs/>
                <w:color w:val="000000"/>
              </w:rPr>
            </w:pPr>
            <w:r w:rsidRPr="00CC535E">
              <w:rPr>
                <w:rFonts w:eastAsia="Calibri"/>
                <w:iCs/>
                <w:color w:val="000000"/>
              </w:rPr>
              <w:t xml:space="preserve">AquaNet North Sea Ultra </w:t>
            </w:r>
          </w:p>
        </w:tc>
        <w:tc>
          <w:tcPr>
            <w:tcW w:w="1962" w:type="dxa"/>
            <w:tcBorders>
              <w:top w:val="single" w:sz="4" w:space="0" w:color="auto"/>
              <w:bottom w:val="single" w:sz="4" w:space="0" w:color="auto"/>
              <w:right w:val="single" w:sz="4" w:space="0" w:color="auto"/>
            </w:tcBorders>
          </w:tcPr>
          <w:p w14:paraId="22CBED16" w14:textId="77777777" w:rsidR="002257BE" w:rsidRPr="00CC535E" w:rsidRDefault="002257BE" w:rsidP="002257BE">
            <w:pPr>
              <w:keepNext/>
              <w:spacing w:line="260" w:lineRule="atLeast"/>
              <w:rPr>
                <w:rFonts w:eastAsia="Calibri"/>
                <w:iCs/>
                <w:strike/>
                <w:color w:val="000000"/>
              </w:rPr>
            </w:pPr>
            <w:r w:rsidRPr="00CC535E">
              <w:rPr>
                <w:rFonts w:eastAsia="Calibri"/>
                <w:iCs/>
                <w:color w:val="000000"/>
              </w:rPr>
              <w:t>Bespoke method</w:t>
            </w:r>
          </w:p>
        </w:tc>
        <w:tc>
          <w:tcPr>
            <w:tcW w:w="3372" w:type="dxa"/>
            <w:tcBorders>
              <w:top w:val="single" w:sz="4" w:space="0" w:color="auto"/>
              <w:left w:val="single" w:sz="4" w:space="0" w:color="auto"/>
              <w:bottom w:val="single" w:sz="4" w:space="0" w:color="auto"/>
              <w:right w:val="single" w:sz="4" w:space="0" w:color="auto"/>
            </w:tcBorders>
          </w:tcPr>
          <w:p w14:paraId="04532D3A" w14:textId="77777777" w:rsidR="002257BE" w:rsidRPr="00CC535E" w:rsidRDefault="002257BE" w:rsidP="002257BE">
            <w:pPr>
              <w:keepNext/>
              <w:spacing w:line="260" w:lineRule="atLeast"/>
              <w:rPr>
                <w:rFonts w:eastAsia="Calibri"/>
                <w:iCs/>
                <w:color w:val="000000"/>
              </w:rPr>
            </w:pPr>
            <w:r w:rsidRPr="00CC535E">
              <w:rPr>
                <w:rFonts w:eastAsia="Calibri"/>
                <w:iCs/>
                <w:color w:val="000000"/>
              </w:rPr>
              <w:t>Nets deployed in Norwegian Coastal Seawater,</w:t>
            </w:r>
          </w:p>
          <w:p w14:paraId="05FAC172" w14:textId="77777777" w:rsidR="002257BE" w:rsidRPr="00CC535E" w:rsidRDefault="002257BE" w:rsidP="002257BE">
            <w:pPr>
              <w:keepNext/>
              <w:spacing w:line="260" w:lineRule="atLeast"/>
              <w:rPr>
                <w:rFonts w:eastAsia="Calibri"/>
                <w:iCs/>
                <w:color w:val="000000"/>
              </w:rPr>
            </w:pPr>
            <w:r w:rsidRPr="00CC535E">
              <w:rPr>
                <w:rFonts w:eastAsia="Calibri"/>
                <w:iCs/>
                <w:color w:val="000000"/>
              </w:rPr>
              <w:t>pH not measured,</w:t>
            </w:r>
          </w:p>
          <w:p w14:paraId="7FDBEECD" w14:textId="77777777" w:rsidR="002257BE" w:rsidRPr="00CC535E" w:rsidRDefault="002257BE" w:rsidP="002257BE">
            <w:pPr>
              <w:keepNext/>
              <w:spacing w:line="260" w:lineRule="atLeast"/>
              <w:rPr>
                <w:rFonts w:eastAsia="Calibri"/>
                <w:iCs/>
                <w:color w:val="000000"/>
              </w:rPr>
            </w:pPr>
            <w:r w:rsidRPr="00CC535E">
              <w:rPr>
                <w:rFonts w:eastAsia="Calibri"/>
                <w:iCs/>
                <w:color w:val="000000"/>
              </w:rPr>
              <w:t xml:space="preserve">Temperature not measured  </w:t>
            </w:r>
          </w:p>
        </w:tc>
        <w:tc>
          <w:tcPr>
            <w:tcW w:w="2574" w:type="dxa"/>
            <w:tcBorders>
              <w:top w:val="single" w:sz="4" w:space="0" w:color="auto"/>
              <w:left w:val="single" w:sz="4" w:space="0" w:color="auto"/>
              <w:bottom w:val="single" w:sz="4" w:space="0" w:color="auto"/>
            </w:tcBorders>
          </w:tcPr>
          <w:p w14:paraId="33653E1C" w14:textId="77777777" w:rsidR="002257BE" w:rsidRPr="00CC535E" w:rsidRDefault="002257BE" w:rsidP="002257BE">
            <w:pPr>
              <w:keepNext/>
              <w:rPr>
                <w:iCs/>
                <w:color w:val="000000"/>
              </w:rPr>
            </w:pPr>
            <w:r w:rsidRPr="00CC535E">
              <w:rPr>
                <w:iCs/>
                <w:color w:val="000000"/>
              </w:rPr>
              <w:t>Ulriksen, U (2020)</w:t>
            </w:r>
          </w:p>
        </w:tc>
      </w:tr>
    </w:tbl>
    <w:p w14:paraId="547B010D" w14:textId="77777777" w:rsidR="002257BE" w:rsidRDefault="002257BE" w:rsidP="002257BE">
      <w:pPr>
        <w:rPr>
          <w:rFonts w:eastAsia="Calibri"/>
          <w:highlight w:val="yellow"/>
        </w:rPr>
      </w:pPr>
      <w:r>
        <w:rPr>
          <w:rFonts w:eastAsia="Calibri"/>
          <w:highlight w:val="yellow"/>
        </w:rPr>
        <w:t xml:space="preserve"> </w:t>
      </w:r>
    </w:p>
    <w:p w14:paraId="0DE440A5" w14:textId="77777777" w:rsidR="002257BE" w:rsidRDefault="002257BE" w:rsidP="002257BE">
      <w:pPr>
        <w:rPr>
          <w:rFonts w:eastAsia="Calibri"/>
          <w:highlight w:val="yellow"/>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9326"/>
      </w:tblGrid>
      <w:tr w:rsidR="002257BE" w:rsidRPr="00B42BBB" w14:paraId="559B09DD" w14:textId="77777777" w:rsidTr="002257BE">
        <w:tc>
          <w:tcPr>
            <w:tcW w:w="5000" w:type="pct"/>
            <w:tcBorders>
              <w:top w:val="single" w:sz="4" w:space="0" w:color="auto"/>
              <w:left w:val="single" w:sz="4" w:space="0" w:color="auto"/>
              <w:bottom w:val="single" w:sz="4" w:space="0" w:color="auto"/>
              <w:right w:val="single" w:sz="6" w:space="0" w:color="auto"/>
            </w:tcBorders>
            <w:shd w:val="clear" w:color="auto" w:fill="CCFFCC"/>
          </w:tcPr>
          <w:p w14:paraId="0890A328" w14:textId="77777777" w:rsidR="002257BE" w:rsidRPr="00B42BBB" w:rsidRDefault="002257BE" w:rsidP="002257BE">
            <w:pPr>
              <w:spacing w:line="260" w:lineRule="atLeast"/>
              <w:jc w:val="center"/>
              <w:rPr>
                <w:b/>
                <w:bCs/>
                <w:highlight w:val="yellow"/>
              </w:rPr>
            </w:pPr>
            <w:r w:rsidRPr="00CC535E">
              <w:rPr>
                <w:rFonts w:eastAsia="Calibri"/>
                <w:b/>
              </w:rPr>
              <w:t>Study summaries</w:t>
            </w:r>
            <w:r w:rsidRPr="00CC535E">
              <w:rPr>
                <w:b/>
                <w:bCs/>
              </w:rPr>
              <w:t xml:space="preserve">  </w:t>
            </w:r>
          </w:p>
          <w:p w14:paraId="2FCFE543" w14:textId="77777777" w:rsidR="002257BE" w:rsidRPr="00B42BBB" w:rsidRDefault="002257BE" w:rsidP="002257BE">
            <w:pPr>
              <w:spacing w:line="260" w:lineRule="atLeast"/>
              <w:jc w:val="center"/>
              <w:rPr>
                <w:rFonts w:eastAsia="Calibri"/>
                <w:b/>
                <w:highlight w:val="yellow"/>
                <w:lang w:val="en-US" w:eastAsia="da-DK"/>
              </w:rPr>
            </w:pPr>
          </w:p>
        </w:tc>
      </w:tr>
      <w:tr w:rsidR="002257BE" w:rsidRPr="00A25311" w14:paraId="0112FC59" w14:textId="77777777" w:rsidTr="002257BE">
        <w:tc>
          <w:tcPr>
            <w:tcW w:w="5000" w:type="pct"/>
            <w:tcBorders>
              <w:top w:val="single" w:sz="4" w:space="0" w:color="auto"/>
              <w:left w:val="single" w:sz="4" w:space="0" w:color="auto"/>
              <w:bottom w:val="single" w:sz="4" w:space="0" w:color="auto"/>
              <w:right w:val="single" w:sz="4" w:space="0" w:color="auto"/>
            </w:tcBorders>
            <w:shd w:val="clear" w:color="auto" w:fill="auto"/>
          </w:tcPr>
          <w:p w14:paraId="37D64AE9" w14:textId="77777777" w:rsidR="002257BE" w:rsidRPr="00CC535E" w:rsidRDefault="002257BE" w:rsidP="002257BE">
            <w:pPr>
              <w:spacing w:line="260" w:lineRule="atLeast"/>
              <w:rPr>
                <w:b/>
                <w:bCs/>
                <w:color w:val="000000"/>
                <w:u w:val="single"/>
              </w:rPr>
            </w:pPr>
          </w:p>
          <w:p w14:paraId="3304AE81" w14:textId="77777777" w:rsidR="002257BE" w:rsidRPr="00CC535E" w:rsidRDefault="002257BE" w:rsidP="002257BE">
            <w:pPr>
              <w:spacing w:line="260" w:lineRule="atLeast"/>
              <w:rPr>
                <w:b/>
                <w:bCs/>
              </w:rPr>
            </w:pPr>
            <w:r w:rsidRPr="00CC535E">
              <w:rPr>
                <w:b/>
                <w:bCs/>
              </w:rPr>
              <w:t xml:space="preserve">Field Study - Ulriksen, U (2020) </w:t>
            </w:r>
          </w:p>
          <w:p w14:paraId="55A746E1" w14:textId="77777777" w:rsidR="002257BE" w:rsidRPr="00CC535E" w:rsidRDefault="002257BE" w:rsidP="002257BE">
            <w:pPr>
              <w:spacing w:line="260" w:lineRule="atLeast"/>
            </w:pPr>
            <w:r w:rsidRPr="00CC535E">
              <w:t xml:space="preserve">Egersund nylon net dipped in AquaNet Ultra was used to determine the amount of copper released into coastal waters by comparing nets deployed with Day 0 samples. </w:t>
            </w:r>
          </w:p>
          <w:p w14:paraId="0D57128A" w14:textId="77777777" w:rsidR="002257BE" w:rsidRPr="00CC535E" w:rsidRDefault="002257BE" w:rsidP="002257BE">
            <w:pPr>
              <w:spacing w:line="260" w:lineRule="atLeast"/>
            </w:pPr>
          </w:p>
          <w:p w14:paraId="606EE1B7" w14:textId="77777777" w:rsidR="002257BE" w:rsidRPr="00CC535E" w:rsidRDefault="002257BE" w:rsidP="002257BE">
            <w:pPr>
              <w:spacing w:line="260" w:lineRule="atLeast"/>
            </w:pPr>
            <w:r w:rsidRPr="00CC535E">
              <w:t>Using a destructive analysis technique (method SP5458) the remaining copper content in the nets was determined at different time points. The change in copper content was calculated, this represents the fraction of biocide release (F</w:t>
            </w:r>
            <w:r w:rsidRPr="00CC535E">
              <w:rPr>
                <w:vertAlign w:val="subscript"/>
              </w:rPr>
              <w:t>a.i.</w:t>
            </w:r>
            <w:r w:rsidRPr="00CC535E">
              <w:t xml:space="preserve">). </w:t>
            </w:r>
          </w:p>
          <w:p w14:paraId="18D6226B" w14:textId="77777777" w:rsidR="002257BE" w:rsidRPr="00CC535E" w:rsidRDefault="002257BE" w:rsidP="002257BE">
            <w:pPr>
              <w:spacing w:line="260" w:lineRule="atLeast"/>
            </w:pPr>
          </w:p>
          <w:p w14:paraId="69F31CCA" w14:textId="77777777" w:rsidR="002257BE" w:rsidRPr="00A25311" w:rsidRDefault="002257BE" w:rsidP="002257BE">
            <w:pPr>
              <w:spacing w:line="260" w:lineRule="atLeast"/>
            </w:pPr>
            <w:r w:rsidRPr="00CC535E">
              <w:t>The lack of triplicate data points and limited duration of the trial introduces some uncertainty regarding its results. There is a relatively good correlation with findings in the Farm study (see below).</w:t>
            </w:r>
          </w:p>
          <w:p w14:paraId="2EA45AE2" w14:textId="77777777" w:rsidR="002257BE" w:rsidRPr="00A25311" w:rsidRDefault="002257BE" w:rsidP="002257BE">
            <w:pPr>
              <w:spacing w:line="260" w:lineRule="atLeast"/>
            </w:pPr>
          </w:p>
          <w:p w14:paraId="723F6059" w14:textId="77777777" w:rsidR="002257BE" w:rsidRPr="00CC535E" w:rsidRDefault="002257BE" w:rsidP="002257BE">
            <w:pPr>
              <w:spacing w:line="260" w:lineRule="atLeast"/>
              <w:rPr>
                <w:b/>
                <w:bCs/>
              </w:rPr>
            </w:pPr>
            <w:r w:rsidRPr="00CC535E">
              <w:rPr>
                <w:b/>
                <w:bCs/>
              </w:rPr>
              <w:t>Farm Study - Ulriksen, U (2020)</w:t>
            </w:r>
          </w:p>
          <w:p w14:paraId="046024C8" w14:textId="77777777" w:rsidR="002257BE" w:rsidRPr="008607C6" w:rsidRDefault="002257BE" w:rsidP="002257BE">
            <w:pPr>
              <w:spacing w:line="260" w:lineRule="atLeast"/>
            </w:pPr>
            <w:r w:rsidRPr="00CC535E">
              <w:t xml:space="preserve">Commercial nets treated with North Sea Ultra were deployed throughout 2016 to 2019 in aquaculture farms in the West coast of Norway. Some of the nets were cleaned in-situ, some were not cleaned in-situ. </w:t>
            </w:r>
          </w:p>
          <w:p w14:paraId="776FB63D" w14:textId="77777777" w:rsidR="002257BE" w:rsidRPr="00A25311" w:rsidRDefault="002257BE" w:rsidP="002257BE">
            <w:pPr>
              <w:spacing w:line="260" w:lineRule="atLeast"/>
            </w:pPr>
            <w:r w:rsidRPr="00A25311">
              <w:t>The nets have been used for regular commercial farming. A majority of the nets ha</w:t>
            </w:r>
            <w:r w:rsidRPr="00987065">
              <w:t>ve been cleaned at sea</w:t>
            </w:r>
            <w:r w:rsidRPr="00A25311">
              <w:t xml:space="preserve"> using high pressure water jetting. Time to first cleaning has been on average 3 months, with subsequent cleanings averaging every 2 weeks for the net walls. The net bottom has been cleaned less efficiently due to machine limitations when cleaning the coned floor. Seasonal variation of cleaning includes a higher frequency from June to October and lesser with low sea temperatures. This is due to the variation of fouling pressure related to sea temperatures in the Norwegian coastal areas. The dataset consists of several types of high effect cleaning equipment all operated with pressure between 100 and 300 bar. Deployment data such as time in sea, cage id and location were recorded. </w:t>
            </w:r>
          </w:p>
          <w:p w14:paraId="13AF3B19" w14:textId="77777777" w:rsidR="002257BE" w:rsidRPr="008607C6" w:rsidRDefault="002257BE" w:rsidP="002257BE">
            <w:pPr>
              <w:spacing w:line="260" w:lineRule="atLeast"/>
            </w:pPr>
          </w:p>
          <w:p w14:paraId="447AE827" w14:textId="77777777" w:rsidR="002257BE" w:rsidRPr="008607C6" w:rsidRDefault="002257BE" w:rsidP="002257BE">
            <w:pPr>
              <w:spacing w:line="260" w:lineRule="atLeast"/>
            </w:pPr>
            <w:r w:rsidRPr="008607C6">
              <w:t xml:space="preserve">Samples of net were taken before and after use, dissolved in nitric acid and analysed for copper using ICP-MS (method NS-EN ISO r7294-2). </w:t>
            </w:r>
          </w:p>
          <w:p w14:paraId="3A28F13E" w14:textId="77777777" w:rsidR="002257BE" w:rsidRPr="008607C6" w:rsidRDefault="002257BE" w:rsidP="002257BE">
            <w:pPr>
              <w:spacing w:line="260" w:lineRule="atLeast"/>
            </w:pPr>
          </w:p>
          <w:p w14:paraId="4FBB9F87" w14:textId="77777777" w:rsidR="002257BE" w:rsidRPr="008607C6" w:rsidRDefault="002257BE" w:rsidP="002257BE">
            <w:pPr>
              <w:spacing w:line="260" w:lineRule="atLeast"/>
            </w:pPr>
            <w:r w:rsidRPr="008607C6">
              <w:t xml:space="preserve">Data for a total of 62 nets were analysed. Copper release was compared with nets cleaned in-situ and nets without cleaning at sea. </w:t>
            </w:r>
          </w:p>
          <w:p w14:paraId="6BE3ED3C" w14:textId="77777777" w:rsidR="002257BE" w:rsidRPr="008607C6" w:rsidRDefault="002257BE" w:rsidP="002257BE">
            <w:pPr>
              <w:spacing w:line="260" w:lineRule="atLeast"/>
            </w:pPr>
          </w:p>
          <w:p w14:paraId="221105EB" w14:textId="77777777" w:rsidR="002257BE" w:rsidRPr="008607C6" w:rsidRDefault="002257BE" w:rsidP="002257BE">
            <w:pPr>
              <w:spacing w:line="260" w:lineRule="atLeast"/>
              <w:rPr>
                <w:b/>
                <w:bCs/>
                <w:vertAlign w:val="subscript"/>
              </w:rPr>
            </w:pPr>
            <w:r w:rsidRPr="008607C6">
              <w:rPr>
                <w:b/>
                <w:bCs/>
              </w:rPr>
              <w:t>Rationale for refining F</w:t>
            </w:r>
            <w:r w:rsidRPr="008607C6">
              <w:rPr>
                <w:b/>
                <w:bCs/>
                <w:vertAlign w:val="subscript"/>
              </w:rPr>
              <w:t>a.i.</w:t>
            </w:r>
          </w:p>
          <w:p w14:paraId="021CCA3D" w14:textId="77777777" w:rsidR="002257BE" w:rsidRPr="008607C6" w:rsidRDefault="002257BE" w:rsidP="002257BE">
            <w:pPr>
              <w:spacing w:line="260" w:lineRule="atLeast"/>
            </w:pPr>
            <w:r w:rsidRPr="008607C6">
              <w:t>The rationale for refining F</w:t>
            </w:r>
            <w:r w:rsidRPr="008607C6">
              <w:rPr>
                <w:vertAlign w:val="subscript"/>
              </w:rPr>
              <w:t>a.i.</w:t>
            </w:r>
            <w:r w:rsidRPr="008607C6">
              <w:t xml:space="preserve"> in the environmental risk assessment with a ‘field and farm net’ study is:</w:t>
            </w:r>
          </w:p>
          <w:p w14:paraId="25872CAD" w14:textId="77777777" w:rsidR="002257BE" w:rsidRPr="008607C6" w:rsidRDefault="002257BE" w:rsidP="002257BE">
            <w:pPr>
              <w:spacing w:line="260" w:lineRule="atLeast"/>
            </w:pPr>
          </w:p>
          <w:p w14:paraId="4DC9AA43" w14:textId="77777777" w:rsidR="002257BE" w:rsidRPr="008607C6" w:rsidRDefault="002257BE" w:rsidP="002257BE">
            <w:pPr>
              <w:pStyle w:val="Listeavsnitt"/>
              <w:numPr>
                <w:ilvl w:val="0"/>
                <w:numId w:val="30"/>
              </w:numPr>
              <w:spacing w:line="260" w:lineRule="atLeast"/>
              <w:contextualSpacing/>
            </w:pPr>
            <w:r w:rsidRPr="008607C6">
              <w:t xml:space="preserve">The use of field and farm data for copper is preferable to laboratory derived leaching rates </w:t>
            </w:r>
          </w:p>
          <w:p w14:paraId="4C95ACC6" w14:textId="77777777" w:rsidR="002257BE" w:rsidRPr="008607C6" w:rsidRDefault="002257BE" w:rsidP="002257BE">
            <w:pPr>
              <w:pStyle w:val="Listeavsnitt"/>
              <w:numPr>
                <w:ilvl w:val="0"/>
                <w:numId w:val="30"/>
              </w:numPr>
              <w:spacing w:line="260" w:lineRule="atLeast"/>
              <w:contextualSpacing/>
            </w:pPr>
            <w:r w:rsidRPr="008607C6">
              <w:t>As copper is an element, destructive sample analysis is possible, therefore copper remaining in the aquaculture net can be accurately quantified over time deployed</w:t>
            </w:r>
          </w:p>
          <w:p w14:paraId="2511F901" w14:textId="5AD67CEE" w:rsidR="002257BE" w:rsidRPr="008607C6" w:rsidRDefault="002257BE" w:rsidP="002257BE">
            <w:pPr>
              <w:pStyle w:val="Listeavsnitt"/>
              <w:numPr>
                <w:ilvl w:val="0"/>
                <w:numId w:val="30"/>
              </w:numPr>
              <w:spacing w:line="260" w:lineRule="atLeast"/>
              <w:contextualSpacing/>
            </w:pPr>
            <w:r w:rsidRPr="008607C6">
              <w:t>Real life aquaculture conditions are used, representative for farmers in Norway with an operational practice including with and without in-situ cleaning of treated nets</w:t>
            </w:r>
          </w:p>
          <w:p w14:paraId="34665E45" w14:textId="0143BEAF" w:rsidR="002257BE" w:rsidRDefault="002257BE" w:rsidP="002257BE">
            <w:pPr>
              <w:pStyle w:val="Listeavsnitt"/>
              <w:numPr>
                <w:ilvl w:val="0"/>
                <w:numId w:val="30"/>
              </w:numPr>
              <w:spacing w:line="260" w:lineRule="atLeast"/>
              <w:contextualSpacing/>
            </w:pPr>
            <w:r w:rsidRPr="008607C6">
              <w:t xml:space="preserve">There is some uncertainty due to the small sample size for the nets that were not in-situ cleaned (farm study), (n = 13*) </w:t>
            </w:r>
          </w:p>
          <w:p w14:paraId="5AF67607" w14:textId="41C784A6" w:rsidR="001517FE" w:rsidRPr="001517FE" w:rsidRDefault="001517FE" w:rsidP="001517FE">
            <w:pPr>
              <w:pStyle w:val="Listeavsnitt"/>
              <w:numPr>
                <w:ilvl w:val="0"/>
                <w:numId w:val="30"/>
              </w:numPr>
            </w:pPr>
            <w:r w:rsidRPr="001517FE">
              <w:t xml:space="preserve">The farm and field studies use North Sea Ultra, this is the AquaNet product with the highest concentration of copper. It is therefore possible to use these values for Fa.i. as a surrogate in all AquaNet products as </w:t>
            </w:r>
            <w:r>
              <w:t>it</w:t>
            </w:r>
            <w:r w:rsidRPr="001517FE">
              <w:t xml:space="preserve"> represent</w:t>
            </w:r>
            <w:r w:rsidR="000E32AD">
              <w:t>s</w:t>
            </w:r>
            <w:r w:rsidRPr="001517FE">
              <w:t xml:space="preserve"> a worst-case scenario and worst-case leaching into the coastal waters.</w:t>
            </w:r>
          </w:p>
          <w:p w14:paraId="3D8A635F" w14:textId="68DAFE9B" w:rsidR="001517FE" w:rsidRPr="00A25311" w:rsidRDefault="001517FE" w:rsidP="009F65FE">
            <w:pPr>
              <w:pStyle w:val="Listeavsnitt"/>
              <w:spacing w:line="260" w:lineRule="atLeast"/>
              <w:contextualSpacing/>
            </w:pPr>
          </w:p>
        </w:tc>
      </w:tr>
    </w:tbl>
    <w:p w14:paraId="506784B9" w14:textId="77777777" w:rsidR="002257BE" w:rsidRPr="00917248" w:rsidRDefault="002257BE" w:rsidP="002257BE">
      <w:pPr>
        <w:jc w:val="both"/>
        <w:rPr>
          <w:sz w:val="18"/>
          <w:szCs w:val="18"/>
          <w:highlight w:val="yellow"/>
          <w:u w:val="single"/>
        </w:rPr>
      </w:pPr>
      <w:r w:rsidRPr="00E04BFD">
        <w:rPr>
          <w:sz w:val="18"/>
          <w:szCs w:val="18"/>
          <w:u w:val="single"/>
        </w:rPr>
        <w:t>*</w:t>
      </w:r>
      <w:r w:rsidRPr="00917248">
        <w:rPr>
          <w:sz w:val="18"/>
          <w:szCs w:val="18"/>
        </w:rPr>
        <w:t xml:space="preserve"> </w:t>
      </w:r>
      <w:r w:rsidRPr="00917248">
        <w:rPr>
          <w:sz w:val="18"/>
          <w:szCs w:val="18"/>
          <w:u w:val="single"/>
        </w:rPr>
        <w:t>Samples from 7 nets, 7 samples of the net bottom, 6 samples of the net wall</w:t>
      </w:r>
    </w:p>
    <w:p w14:paraId="2E5B955C" w14:textId="27B47F20" w:rsidR="002257BE" w:rsidRDefault="002257BE" w:rsidP="002257BE"/>
    <w:p w14:paraId="527DB5CE" w14:textId="3BB48F1B" w:rsidR="00AB66D2" w:rsidRDefault="00AB66D2" w:rsidP="002257BE"/>
    <w:p w14:paraId="18E2CE89" w14:textId="501A1B6F" w:rsidR="00AB66D2" w:rsidRDefault="00AB66D2" w:rsidP="002257BE"/>
    <w:p w14:paraId="149B5DF9" w14:textId="2770DB78" w:rsidR="00AB66D2" w:rsidRDefault="00AB66D2" w:rsidP="002257BE"/>
    <w:p w14:paraId="2FA06568" w14:textId="375F2651" w:rsidR="00AB66D2" w:rsidRDefault="00AB66D2" w:rsidP="002257BE"/>
    <w:p w14:paraId="584DBB9B" w14:textId="3922FC68" w:rsidR="00AB66D2" w:rsidRDefault="00AB66D2" w:rsidP="002257BE"/>
    <w:p w14:paraId="0E39E61F" w14:textId="77777777" w:rsidR="00AB66D2" w:rsidRDefault="00AB66D2" w:rsidP="002257BE"/>
    <w:p w14:paraId="64CE20E2" w14:textId="17CBA0A5" w:rsidR="00624EF5" w:rsidRDefault="00F72FB4" w:rsidP="001042DA">
      <w:pPr>
        <w:rPr>
          <w:rFonts w:eastAsia="Calibri"/>
          <w:b/>
          <w:i/>
          <w:sz w:val="22"/>
          <w:szCs w:val="22"/>
          <w:lang w:eastAsia="en-US"/>
        </w:rPr>
      </w:pPr>
      <w:r w:rsidRPr="00F72FB4">
        <w:t xml:space="preserve">The Norwegian Environment Agency has evaluated the Ulriksen, 2020 study and have re-calculated PEC values for the EU fish farm scenario using </w:t>
      </w:r>
      <w:r w:rsidR="00624EF5">
        <w:t>refined</w:t>
      </w:r>
      <w:r w:rsidRPr="00F72FB4">
        <w:t xml:space="preserve"> fraction of release a.i. per deployment time of nets (F a.i.)</w:t>
      </w:r>
      <w:r w:rsidR="00624EF5">
        <w:t>.</w:t>
      </w:r>
    </w:p>
    <w:p w14:paraId="782EB3BA" w14:textId="77777777" w:rsidR="006D733E" w:rsidRDefault="006D733E" w:rsidP="006D733E">
      <w:pPr>
        <w:keepNext/>
        <w:spacing w:line="260" w:lineRule="atLeast"/>
        <w:rPr>
          <w:rFonts w:eastAsia="Calibri"/>
          <w:b/>
          <w:lang w:eastAsia="en-US"/>
        </w:rPr>
      </w:pPr>
      <w:r>
        <w:rPr>
          <w:rFonts w:eastAsia="Calibri"/>
          <w:b/>
          <w:lang w:eastAsia="en-US"/>
        </w:rPr>
        <w:t>Parameters for refined emission (E</w:t>
      </w:r>
      <w:r w:rsidRPr="00C2372B">
        <w:rPr>
          <w:rFonts w:eastAsia="Calibri"/>
          <w:b/>
          <w:vertAlign w:val="subscript"/>
          <w:lang w:eastAsia="en-US"/>
        </w:rPr>
        <w:t>local</w:t>
      </w:r>
      <w:r>
        <w:rPr>
          <w:rFonts w:eastAsia="Calibri"/>
          <w:b/>
          <w:lang w:eastAsia="en-US"/>
        </w:rPr>
        <w:t>) and PEC calculations</w:t>
      </w:r>
    </w:p>
    <w:p w14:paraId="32B1ECFE" w14:textId="77777777" w:rsidR="006D733E" w:rsidRPr="008039A6" w:rsidRDefault="006D733E" w:rsidP="006D733E">
      <w:pPr>
        <w:keepNext/>
        <w:spacing w:line="260" w:lineRule="atLeast"/>
        <w:rPr>
          <w:rFonts w:eastAsia="Calibri"/>
          <w:b/>
          <w:lang w:eastAsia="en-US"/>
        </w:rPr>
      </w:pPr>
    </w:p>
    <w:tbl>
      <w:tblPr>
        <w:tblStyle w:val="Tabellrutenett"/>
        <w:tblW w:w="5000" w:type="pct"/>
        <w:tblLook w:val="04A0" w:firstRow="1" w:lastRow="0" w:firstColumn="1" w:lastColumn="0" w:noHBand="0" w:noVBand="1"/>
      </w:tblPr>
      <w:tblGrid>
        <w:gridCol w:w="3832"/>
        <w:gridCol w:w="1725"/>
        <w:gridCol w:w="1725"/>
        <w:gridCol w:w="1922"/>
      </w:tblGrid>
      <w:tr w:rsidR="006D733E" w:rsidRPr="00542F77" w14:paraId="7512360F" w14:textId="77777777" w:rsidTr="00DB2F69">
        <w:tc>
          <w:tcPr>
            <w:tcW w:w="2082" w:type="pct"/>
            <w:vAlign w:val="center"/>
          </w:tcPr>
          <w:p w14:paraId="6EDDA104" w14:textId="77777777" w:rsidR="006D733E" w:rsidRPr="0044072F" w:rsidRDefault="006D733E" w:rsidP="00DB2F69">
            <w:pPr>
              <w:pStyle w:val="Ingenmellomrom"/>
              <w:keepNext/>
              <w:spacing w:line="276" w:lineRule="auto"/>
              <w:rPr>
                <w:rFonts w:ascii="Verdana" w:hAnsi="Verdana"/>
                <w:b/>
                <w:bCs/>
                <w:sz w:val="18"/>
                <w:lang w:val="en-GB"/>
              </w:rPr>
            </w:pPr>
            <w:r>
              <w:rPr>
                <w:rFonts w:ascii="Verdana" w:hAnsi="Verdana"/>
                <w:b/>
                <w:bCs/>
                <w:sz w:val="18"/>
                <w:lang w:val="en-GB"/>
              </w:rPr>
              <w:t>Scenario</w:t>
            </w:r>
          </w:p>
        </w:tc>
        <w:tc>
          <w:tcPr>
            <w:tcW w:w="937" w:type="pct"/>
          </w:tcPr>
          <w:p w14:paraId="47770100" w14:textId="77777777" w:rsidR="006D733E" w:rsidRPr="00D810C3" w:rsidRDefault="006D733E" w:rsidP="00DB2F69">
            <w:pPr>
              <w:pStyle w:val="Ingenmellomrom"/>
              <w:keepNext/>
              <w:spacing w:line="276" w:lineRule="auto"/>
              <w:jc w:val="center"/>
              <w:rPr>
                <w:rFonts w:ascii="Verdana" w:hAnsi="Verdana"/>
                <w:b/>
                <w:bCs/>
                <w:sz w:val="18"/>
                <w:lang w:val="en-GB"/>
              </w:rPr>
            </w:pPr>
            <w:r>
              <w:rPr>
                <w:rFonts w:ascii="Verdana" w:hAnsi="Verdana"/>
                <w:b/>
                <w:bCs/>
                <w:sz w:val="18"/>
                <w:lang w:val="en-GB"/>
              </w:rPr>
              <w:t>Sample set</w:t>
            </w:r>
          </w:p>
        </w:tc>
        <w:tc>
          <w:tcPr>
            <w:tcW w:w="937" w:type="pct"/>
          </w:tcPr>
          <w:p w14:paraId="3B6E423B" w14:textId="77777777" w:rsidR="006D733E" w:rsidRPr="007247F7" w:rsidRDefault="006D733E" w:rsidP="00DB2F69">
            <w:pPr>
              <w:pStyle w:val="Ingenmellomrom"/>
              <w:keepNext/>
              <w:spacing w:line="276" w:lineRule="auto"/>
              <w:jc w:val="center"/>
              <w:rPr>
                <w:rFonts w:ascii="Verdana" w:hAnsi="Verdana"/>
                <w:b/>
                <w:sz w:val="18"/>
                <w:lang w:val="sv-SE"/>
              </w:rPr>
            </w:pPr>
            <w:r>
              <w:rPr>
                <w:rFonts w:ascii="Verdana" w:hAnsi="Verdana"/>
                <w:b/>
                <w:bCs/>
                <w:sz w:val="18"/>
                <w:lang w:val="en-GB"/>
              </w:rPr>
              <w:t>Refined</w:t>
            </w:r>
            <w:r w:rsidRPr="00D810C3">
              <w:rPr>
                <w:rFonts w:ascii="Verdana" w:hAnsi="Verdana"/>
                <w:b/>
                <w:bCs/>
                <w:sz w:val="18"/>
                <w:lang w:val="en-GB"/>
              </w:rPr>
              <w:t xml:space="preserve"> </w:t>
            </w:r>
            <w:bookmarkStart w:id="1770" w:name="_Hlk56786174"/>
            <w:r w:rsidRPr="00D810C3">
              <w:rPr>
                <w:rFonts w:ascii="Verdana" w:hAnsi="Verdana"/>
                <w:b/>
                <w:bCs/>
                <w:sz w:val="18"/>
                <w:lang w:val="en-GB"/>
              </w:rPr>
              <w:t>F</w:t>
            </w:r>
            <w:r w:rsidRPr="00D810C3">
              <w:rPr>
                <w:rFonts w:ascii="Verdana" w:hAnsi="Verdana"/>
                <w:b/>
                <w:bCs/>
                <w:sz w:val="18"/>
                <w:vertAlign w:val="subscript"/>
                <w:lang w:val="en-GB"/>
              </w:rPr>
              <w:t>a.i</w:t>
            </w:r>
            <w:bookmarkEnd w:id="1770"/>
          </w:p>
        </w:tc>
        <w:tc>
          <w:tcPr>
            <w:tcW w:w="1044" w:type="pct"/>
          </w:tcPr>
          <w:p w14:paraId="0FEF941F" w14:textId="77777777" w:rsidR="006D733E" w:rsidRPr="00542F77" w:rsidRDefault="006D733E" w:rsidP="00DB2F69">
            <w:pPr>
              <w:pStyle w:val="Ingenmellomrom"/>
              <w:keepNext/>
              <w:spacing w:line="276" w:lineRule="auto"/>
              <w:jc w:val="center"/>
              <w:rPr>
                <w:rFonts w:ascii="Verdana" w:hAnsi="Verdana"/>
                <w:b/>
                <w:sz w:val="18"/>
                <w:lang w:val="en-GB"/>
              </w:rPr>
            </w:pPr>
            <w:r>
              <w:rPr>
                <w:rFonts w:ascii="Verdana" w:hAnsi="Verdana"/>
                <w:b/>
                <w:sz w:val="18"/>
                <w:lang w:val="en-GB"/>
              </w:rPr>
              <w:t>Number of samples (n)</w:t>
            </w:r>
          </w:p>
        </w:tc>
      </w:tr>
      <w:tr w:rsidR="006D733E" w:rsidRPr="00542F77" w14:paraId="28B5B25B" w14:textId="77777777" w:rsidTr="00DB2F69">
        <w:tc>
          <w:tcPr>
            <w:tcW w:w="2082" w:type="pct"/>
          </w:tcPr>
          <w:p w14:paraId="56B0E49E" w14:textId="77777777" w:rsidR="006D733E" w:rsidRPr="00B523A7" w:rsidRDefault="006D733E" w:rsidP="00DB2F69">
            <w:pPr>
              <w:pStyle w:val="Ingenmellomrom"/>
              <w:keepNext/>
              <w:spacing w:line="276" w:lineRule="auto"/>
              <w:rPr>
                <w:rFonts w:ascii="Verdana" w:hAnsi="Verdana"/>
                <w:sz w:val="18"/>
                <w:lang w:val="en-GB"/>
              </w:rPr>
            </w:pPr>
            <w:r>
              <w:rPr>
                <w:rFonts w:ascii="Verdana" w:hAnsi="Verdana"/>
                <w:sz w:val="18"/>
                <w:lang w:val="en-GB"/>
              </w:rPr>
              <w:t>1: not in-situ cleaned nets</w:t>
            </w:r>
          </w:p>
        </w:tc>
        <w:tc>
          <w:tcPr>
            <w:tcW w:w="937" w:type="pct"/>
          </w:tcPr>
          <w:p w14:paraId="5B3F7550" w14:textId="77777777" w:rsidR="006D733E" w:rsidRPr="00B523A7" w:rsidDel="008D63B6" w:rsidRDefault="006D733E" w:rsidP="00DB2F69">
            <w:pPr>
              <w:pStyle w:val="Ingenmellomrom"/>
              <w:keepNext/>
              <w:spacing w:line="276" w:lineRule="auto"/>
              <w:jc w:val="center"/>
              <w:rPr>
                <w:rFonts w:ascii="Verdana" w:hAnsi="Verdana"/>
                <w:i/>
                <w:sz w:val="18"/>
                <w:lang w:val="en-GB"/>
              </w:rPr>
            </w:pPr>
            <w:r>
              <w:rPr>
                <w:rFonts w:ascii="Verdana" w:hAnsi="Verdana"/>
                <w:sz w:val="18"/>
                <w:lang w:val="en-GB"/>
              </w:rPr>
              <w:t>"Farm study:" 90</w:t>
            </w:r>
            <w:r w:rsidRPr="00D810C3">
              <w:rPr>
                <w:rFonts w:ascii="Verdana" w:hAnsi="Verdana"/>
                <w:sz w:val="18"/>
                <w:vertAlign w:val="superscript"/>
                <w:lang w:val="en-GB"/>
              </w:rPr>
              <w:t>th</w:t>
            </w:r>
            <w:r>
              <w:rPr>
                <w:rFonts w:ascii="Verdana" w:hAnsi="Verdana"/>
                <w:sz w:val="18"/>
                <w:lang w:val="en-GB"/>
              </w:rPr>
              <w:t xml:space="preserve"> percentile value from nets that were not in-situ cleaned</w:t>
            </w:r>
          </w:p>
        </w:tc>
        <w:tc>
          <w:tcPr>
            <w:tcW w:w="937" w:type="pct"/>
          </w:tcPr>
          <w:p w14:paraId="2C8457D4" w14:textId="77777777" w:rsidR="006D733E" w:rsidRPr="006266C2" w:rsidDel="008D63B6" w:rsidRDefault="006D733E" w:rsidP="00DB2F69">
            <w:pPr>
              <w:pStyle w:val="Ingenmellomrom"/>
              <w:keepNext/>
              <w:spacing w:line="276" w:lineRule="auto"/>
              <w:jc w:val="center"/>
              <w:rPr>
                <w:rFonts w:ascii="Verdana" w:hAnsi="Verdana"/>
                <w:iCs/>
                <w:sz w:val="18"/>
                <w:lang w:val="en-GB"/>
              </w:rPr>
            </w:pPr>
            <w:r w:rsidRPr="006266C2">
              <w:rPr>
                <w:rFonts w:ascii="Verdana" w:hAnsi="Verdana"/>
                <w:iCs/>
                <w:sz w:val="18"/>
                <w:lang w:val="en-GB"/>
              </w:rPr>
              <w:t>0.28</w:t>
            </w:r>
          </w:p>
        </w:tc>
        <w:tc>
          <w:tcPr>
            <w:tcW w:w="1044" w:type="pct"/>
          </w:tcPr>
          <w:p w14:paraId="6C2A2AB7" w14:textId="77777777" w:rsidR="006D733E" w:rsidRPr="00624EF5" w:rsidRDefault="006D733E" w:rsidP="00DB2F69">
            <w:pPr>
              <w:pStyle w:val="Ingenmellomrom"/>
              <w:keepNext/>
              <w:spacing w:line="276" w:lineRule="auto"/>
              <w:jc w:val="center"/>
              <w:rPr>
                <w:rFonts w:ascii="Verdana" w:hAnsi="Verdana"/>
                <w:bCs/>
                <w:sz w:val="18"/>
                <w:lang w:val="en-GB"/>
              </w:rPr>
            </w:pPr>
            <w:r w:rsidRPr="00624EF5">
              <w:rPr>
                <w:rFonts w:ascii="Verdana" w:hAnsi="Verdana"/>
                <w:bCs/>
                <w:sz w:val="18"/>
                <w:lang w:val="en-GB"/>
              </w:rPr>
              <w:t>13</w:t>
            </w:r>
          </w:p>
        </w:tc>
      </w:tr>
      <w:tr w:rsidR="006D733E" w:rsidRPr="00542F77" w14:paraId="7F5BFF6E" w14:textId="77777777" w:rsidTr="00DB2F69">
        <w:tc>
          <w:tcPr>
            <w:tcW w:w="2082" w:type="pct"/>
            <w:vAlign w:val="center"/>
          </w:tcPr>
          <w:p w14:paraId="5D881AE8" w14:textId="77777777" w:rsidR="006D733E" w:rsidRPr="00542F77" w:rsidRDefault="006D733E" w:rsidP="00DB2F69">
            <w:pPr>
              <w:pStyle w:val="Ingenmellomrom"/>
              <w:keepNext/>
              <w:spacing w:line="276" w:lineRule="auto"/>
              <w:rPr>
                <w:rFonts w:ascii="Verdana" w:hAnsi="Verdana"/>
                <w:sz w:val="18"/>
                <w:lang w:val="en-GB"/>
              </w:rPr>
            </w:pPr>
            <w:r>
              <w:rPr>
                <w:rFonts w:ascii="Verdana" w:hAnsi="Verdana"/>
                <w:sz w:val="18"/>
                <w:lang w:val="en-GB"/>
              </w:rPr>
              <w:t>2: both cleaned and not in-situ cleaned nets</w:t>
            </w:r>
          </w:p>
        </w:tc>
        <w:tc>
          <w:tcPr>
            <w:tcW w:w="937" w:type="pct"/>
          </w:tcPr>
          <w:p w14:paraId="497D2BEB" w14:textId="77777777" w:rsidR="006D733E" w:rsidRPr="00542F77" w:rsidRDefault="006D733E" w:rsidP="00DB2F69">
            <w:pPr>
              <w:pStyle w:val="Ingenmellomrom"/>
              <w:keepNext/>
              <w:spacing w:line="276" w:lineRule="auto"/>
              <w:jc w:val="center"/>
              <w:rPr>
                <w:rFonts w:ascii="Verdana" w:hAnsi="Verdana"/>
                <w:sz w:val="18"/>
                <w:lang w:val="en-GB"/>
              </w:rPr>
            </w:pPr>
            <w:r>
              <w:rPr>
                <w:rFonts w:ascii="Verdana" w:hAnsi="Verdana"/>
                <w:sz w:val="18"/>
                <w:lang w:val="en-GB"/>
              </w:rPr>
              <w:t>"Farm study:" Average of wall and bottom samples from all nets that were deployed at sea during summer months*</w:t>
            </w:r>
          </w:p>
        </w:tc>
        <w:tc>
          <w:tcPr>
            <w:tcW w:w="937" w:type="pct"/>
            <w:vAlign w:val="center"/>
          </w:tcPr>
          <w:p w14:paraId="620AB6F4" w14:textId="77777777" w:rsidR="006D733E" w:rsidRPr="00624EF5" w:rsidRDefault="006D733E" w:rsidP="00DB2F69">
            <w:pPr>
              <w:pStyle w:val="Ingenmellomrom"/>
              <w:keepNext/>
              <w:spacing w:line="276" w:lineRule="auto"/>
              <w:jc w:val="center"/>
              <w:rPr>
                <w:rFonts w:ascii="Verdana" w:hAnsi="Verdana"/>
                <w:b/>
                <w:bCs/>
                <w:sz w:val="18"/>
                <w:lang w:val="en-GB"/>
              </w:rPr>
            </w:pPr>
            <w:r w:rsidRPr="00624EF5">
              <w:rPr>
                <w:rFonts w:ascii="Verdana" w:hAnsi="Verdana"/>
                <w:b/>
                <w:bCs/>
                <w:sz w:val="18"/>
                <w:lang w:val="en-GB"/>
              </w:rPr>
              <w:t>0.44</w:t>
            </w:r>
          </w:p>
        </w:tc>
        <w:tc>
          <w:tcPr>
            <w:tcW w:w="1044" w:type="pct"/>
          </w:tcPr>
          <w:p w14:paraId="50198DA6" w14:textId="77777777" w:rsidR="006D733E" w:rsidRPr="00085380" w:rsidRDefault="006D733E" w:rsidP="00DB2F69">
            <w:pPr>
              <w:pStyle w:val="Ingenmellomrom"/>
              <w:keepNext/>
              <w:spacing w:line="276" w:lineRule="auto"/>
              <w:jc w:val="center"/>
              <w:rPr>
                <w:rFonts w:ascii="Verdana" w:hAnsi="Verdana" w:cstheme="minorHAnsi"/>
                <w:sz w:val="18"/>
                <w:szCs w:val="18"/>
                <w:lang w:val="en-GB"/>
              </w:rPr>
            </w:pPr>
            <w:r w:rsidRPr="00085380">
              <w:rPr>
                <w:rFonts w:ascii="Verdana" w:hAnsi="Verdana" w:cstheme="minorHAnsi"/>
                <w:sz w:val="18"/>
                <w:szCs w:val="18"/>
                <w:lang w:val="en-GB"/>
              </w:rPr>
              <w:t xml:space="preserve">113          </w:t>
            </w:r>
            <w:r w:rsidRPr="00085380">
              <w:rPr>
                <w:rFonts w:ascii="Verdana" w:hAnsi="Verdana" w:cstheme="minorHAnsi"/>
                <w:sz w:val="18"/>
                <w:szCs w:val="18"/>
              </w:rPr>
              <w:t>Samples from 58 nets, 58 samples of the net bottom, 55 samples of the net wall</w:t>
            </w:r>
          </w:p>
        </w:tc>
      </w:tr>
    </w:tbl>
    <w:p w14:paraId="07630EE8" w14:textId="434CF1E4" w:rsidR="006D733E" w:rsidRDefault="006D733E" w:rsidP="006D733E">
      <w:pPr>
        <w:rPr>
          <w:sz w:val="18"/>
          <w:szCs w:val="18"/>
        </w:rPr>
      </w:pPr>
      <w:r w:rsidRPr="00085380">
        <w:rPr>
          <w:sz w:val="18"/>
          <w:szCs w:val="18"/>
        </w:rPr>
        <w:t>*4 nets were excluded from the data set since they were only deployed at sea during winter months</w:t>
      </w:r>
      <w:r>
        <w:rPr>
          <w:sz w:val="18"/>
          <w:szCs w:val="18"/>
        </w:rPr>
        <w:t xml:space="preserve"> and are therefore not considered to represent realistic worst case conditions in terms of fouling.</w:t>
      </w:r>
    </w:p>
    <w:p w14:paraId="79E88D18" w14:textId="6979C6AE" w:rsidR="00AB66D2" w:rsidRDefault="00AB66D2" w:rsidP="006D733E">
      <w:pPr>
        <w:rPr>
          <w:sz w:val="18"/>
          <w:szCs w:val="18"/>
        </w:rPr>
      </w:pPr>
    </w:p>
    <w:p w14:paraId="344A6F71" w14:textId="77777777" w:rsidR="00AB66D2" w:rsidRDefault="00AB66D2" w:rsidP="00AB66D2">
      <w:pPr>
        <w:rPr>
          <w:sz w:val="18"/>
          <w:szCs w:val="18"/>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4"/>
        <w:gridCol w:w="1630"/>
        <w:gridCol w:w="1633"/>
        <w:gridCol w:w="1633"/>
        <w:gridCol w:w="1773"/>
      </w:tblGrid>
      <w:tr w:rsidR="00AB66D2" w:rsidRPr="006B1A5A" w14:paraId="3D21F408" w14:textId="77777777" w:rsidTr="00C51EF8">
        <w:trPr>
          <w:trHeight w:val="249"/>
        </w:trPr>
        <w:tc>
          <w:tcPr>
            <w:tcW w:w="5000" w:type="pct"/>
            <w:gridSpan w:val="5"/>
            <w:tcBorders>
              <w:top w:val="single" w:sz="4" w:space="0" w:color="auto"/>
              <w:left w:val="single" w:sz="4" w:space="0" w:color="auto"/>
              <w:bottom w:val="single" w:sz="4" w:space="0" w:color="auto"/>
            </w:tcBorders>
            <w:shd w:val="clear" w:color="auto" w:fill="FFFFCC"/>
            <w:vAlign w:val="center"/>
          </w:tcPr>
          <w:p w14:paraId="26A220B0" w14:textId="77777777" w:rsidR="00AB66D2" w:rsidRPr="006B1A5A" w:rsidRDefault="00AB66D2" w:rsidP="00C51EF8">
            <w:pPr>
              <w:keepNext/>
              <w:autoSpaceDE w:val="0"/>
              <w:autoSpaceDN w:val="0"/>
              <w:adjustRightInd w:val="0"/>
              <w:spacing w:before="60" w:after="60" w:line="260" w:lineRule="atLeast"/>
              <w:jc w:val="center"/>
              <w:rPr>
                <w:rFonts w:eastAsia="Calibri"/>
                <w:b/>
                <w:color w:val="000000" w:themeColor="text1"/>
                <w:sz w:val="18"/>
                <w:szCs w:val="18"/>
                <w:lang w:eastAsia="en-GB"/>
              </w:rPr>
            </w:pPr>
            <w:r w:rsidRPr="006B1A5A">
              <w:rPr>
                <w:rFonts w:eastAsia="Calibri"/>
                <w:b/>
                <w:bCs/>
                <w:color w:val="000000" w:themeColor="text1"/>
                <w:sz w:val="18"/>
                <w:szCs w:val="18"/>
                <w:lang w:eastAsia="en-GB"/>
              </w:rPr>
              <w:t>AquaNet</w:t>
            </w:r>
            <w:r w:rsidRPr="006B1A5A">
              <w:rPr>
                <w:rFonts w:eastAsia="Calibri"/>
                <w:b/>
                <w:color w:val="000000" w:themeColor="text1"/>
                <w:sz w:val="18"/>
                <w:szCs w:val="18"/>
                <w:lang w:eastAsia="en-GB"/>
              </w:rPr>
              <w:t xml:space="preserve"> </w:t>
            </w:r>
            <w:r>
              <w:rPr>
                <w:rFonts w:eastAsia="Calibri"/>
                <w:b/>
                <w:color w:val="000000" w:themeColor="text1"/>
                <w:sz w:val="18"/>
                <w:szCs w:val="18"/>
                <w:lang w:eastAsia="en-GB"/>
              </w:rPr>
              <w:t>L</w:t>
            </w:r>
            <w:r w:rsidRPr="006B1A5A">
              <w:rPr>
                <w:rFonts w:eastAsia="Calibri"/>
                <w:b/>
                <w:color w:val="000000" w:themeColor="text1"/>
                <w:sz w:val="18"/>
                <w:szCs w:val="18"/>
                <w:lang w:eastAsia="en-GB"/>
              </w:rPr>
              <w:t>G360</w:t>
            </w:r>
          </w:p>
          <w:p w14:paraId="34CCC339" w14:textId="77777777" w:rsidR="00AB66D2" w:rsidRPr="006B1A5A" w:rsidRDefault="00AB66D2" w:rsidP="00C51EF8">
            <w:pPr>
              <w:keepNext/>
              <w:autoSpaceDE w:val="0"/>
              <w:autoSpaceDN w:val="0"/>
              <w:adjustRightInd w:val="0"/>
              <w:spacing w:before="60" w:after="60" w:line="260" w:lineRule="atLeast"/>
              <w:jc w:val="center"/>
              <w:rPr>
                <w:rFonts w:eastAsia="Calibri"/>
                <w:b/>
                <w:color w:val="000000" w:themeColor="text1"/>
                <w:sz w:val="18"/>
                <w:szCs w:val="18"/>
                <w:lang w:eastAsia="en-GB"/>
              </w:rPr>
            </w:pPr>
            <w:r w:rsidRPr="006B1A5A">
              <w:rPr>
                <w:rFonts w:eastAsia="Calibri"/>
                <w:b/>
                <w:color w:val="000000" w:themeColor="text1"/>
                <w:sz w:val="18"/>
                <w:szCs w:val="18"/>
                <w:lang w:eastAsia="en-GB"/>
              </w:rPr>
              <w:t xml:space="preserve">Average PEC values calculated by MAMPEC v3.1 </w:t>
            </w:r>
          </w:p>
          <w:p w14:paraId="2E6A3FE5" w14:textId="77777777" w:rsidR="00AB66D2" w:rsidRPr="006B1A5A" w:rsidRDefault="00AB66D2" w:rsidP="00C51EF8">
            <w:pPr>
              <w:keepNext/>
              <w:shd w:val="clear" w:color="auto" w:fill="CCFFCC"/>
              <w:autoSpaceDE w:val="0"/>
              <w:autoSpaceDN w:val="0"/>
              <w:adjustRightInd w:val="0"/>
              <w:spacing w:before="60" w:after="60" w:line="260" w:lineRule="atLeast"/>
              <w:jc w:val="center"/>
              <w:rPr>
                <w:rFonts w:eastAsia="Calibri"/>
                <w:b/>
                <w:sz w:val="18"/>
                <w:szCs w:val="18"/>
                <w:lang w:eastAsia="en-GB"/>
              </w:rPr>
            </w:pPr>
            <w:r w:rsidRPr="006B1A5A">
              <w:rPr>
                <w:rFonts w:eastAsia="Calibri"/>
                <w:b/>
                <w:color w:val="000000" w:themeColor="text1"/>
                <w:sz w:val="18"/>
                <w:szCs w:val="18"/>
                <w:lang w:eastAsia="en-GB"/>
              </w:rPr>
              <w:t>(with background concentration for Cu)</w:t>
            </w:r>
          </w:p>
        </w:tc>
      </w:tr>
      <w:tr w:rsidR="00AB66D2" w:rsidRPr="006B1A5A" w14:paraId="2073F119" w14:textId="77777777" w:rsidTr="00C51EF8">
        <w:trPr>
          <w:trHeight w:val="249"/>
        </w:trPr>
        <w:tc>
          <w:tcPr>
            <w:tcW w:w="5000" w:type="pct"/>
            <w:gridSpan w:val="5"/>
            <w:tcBorders>
              <w:top w:val="single" w:sz="4" w:space="0" w:color="auto"/>
              <w:left w:val="single" w:sz="4" w:space="0" w:color="auto"/>
              <w:bottom w:val="single" w:sz="4" w:space="0" w:color="auto"/>
            </w:tcBorders>
            <w:shd w:val="clear" w:color="auto" w:fill="FFFFCC"/>
            <w:vAlign w:val="center"/>
          </w:tcPr>
          <w:p w14:paraId="5A9BA774" w14:textId="77777777" w:rsidR="00AB66D2" w:rsidRPr="006B1A5A" w:rsidRDefault="00AB66D2" w:rsidP="00C51EF8">
            <w:pPr>
              <w:keepNext/>
              <w:autoSpaceDE w:val="0"/>
              <w:autoSpaceDN w:val="0"/>
              <w:adjustRightInd w:val="0"/>
              <w:spacing w:before="60" w:after="60" w:line="260" w:lineRule="atLeast"/>
              <w:jc w:val="center"/>
              <w:rPr>
                <w:rFonts w:eastAsia="Calibri"/>
                <w:b/>
                <w:color w:val="000000" w:themeColor="text1"/>
                <w:sz w:val="18"/>
                <w:szCs w:val="18"/>
                <w:lang w:eastAsia="en-GB"/>
              </w:rPr>
            </w:pPr>
          </w:p>
        </w:tc>
      </w:tr>
      <w:tr w:rsidR="00AB66D2" w:rsidRPr="006B1A5A" w14:paraId="5CCFA281" w14:textId="77777777" w:rsidTr="00C51EF8">
        <w:trPr>
          <w:trHeight w:val="249"/>
        </w:trPr>
        <w:tc>
          <w:tcPr>
            <w:tcW w:w="1381" w:type="pct"/>
            <w:shd w:val="clear" w:color="auto" w:fill="FFFFFF"/>
            <w:vAlign w:val="center"/>
          </w:tcPr>
          <w:p w14:paraId="1AF50B66" w14:textId="77777777" w:rsidR="00AB66D2" w:rsidRPr="006B1A5A" w:rsidRDefault="00AB66D2" w:rsidP="00C51EF8">
            <w:pPr>
              <w:spacing w:before="60" w:after="60"/>
              <w:jc w:val="center"/>
              <w:rPr>
                <w:rFonts w:eastAsia="Calibri"/>
                <w:b/>
                <w:sz w:val="18"/>
                <w:szCs w:val="18"/>
                <w:lang w:eastAsia="en-GB"/>
              </w:rPr>
            </w:pPr>
            <w:r w:rsidRPr="006B1A5A">
              <w:rPr>
                <w:rFonts w:eastAsia="Calibri"/>
                <w:b/>
                <w:sz w:val="18"/>
                <w:szCs w:val="18"/>
                <w:lang w:eastAsia="en-GB"/>
              </w:rPr>
              <w:t>Copper</w:t>
            </w:r>
          </w:p>
          <w:p w14:paraId="45C30E30" w14:textId="77777777" w:rsidR="00AB66D2" w:rsidRPr="006B1A5A" w:rsidRDefault="00AB66D2" w:rsidP="00C51EF8">
            <w:pPr>
              <w:spacing w:before="60" w:after="60"/>
              <w:jc w:val="center"/>
              <w:rPr>
                <w:rFonts w:eastAsia="Calibri"/>
                <w:sz w:val="18"/>
                <w:szCs w:val="18"/>
                <w:lang w:eastAsia="en-GB"/>
              </w:rPr>
            </w:pPr>
            <w:r w:rsidRPr="006B1A5A">
              <w:rPr>
                <w:rFonts w:eastAsia="Calibri"/>
                <w:sz w:val="18"/>
                <w:szCs w:val="18"/>
                <w:lang w:eastAsia="en-GB"/>
              </w:rPr>
              <w:t>PNECsurrounding waters = 1.15 µg/L</w:t>
            </w:r>
          </w:p>
          <w:p w14:paraId="670421E0" w14:textId="77777777" w:rsidR="00AB66D2" w:rsidRPr="006B1A5A" w:rsidRDefault="00AB66D2" w:rsidP="00C51EF8">
            <w:pPr>
              <w:keepNext/>
              <w:spacing w:before="60" w:after="60"/>
              <w:jc w:val="center"/>
              <w:rPr>
                <w:rFonts w:eastAsia="Calibri"/>
                <w:sz w:val="18"/>
                <w:szCs w:val="18"/>
                <w:lang w:eastAsia="en-GB"/>
              </w:rPr>
            </w:pPr>
            <w:r w:rsidRPr="006B1A5A">
              <w:rPr>
                <w:rFonts w:eastAsia="Calibri"/>
                <w:sz w:val="18"/>
                <w:szCs w:val="18"/>
                <w:lang w:eastAsia="en-GB"/>
              </w:rPr>
              <w:t>PNEC</w:t>
            </w:r>
            <w:r w:rsidRPr="006B1A5A">
              <w:rPr>
                <w:rFonts w:eastAsia="Calibri"/>
                <w:sz w:val="18"/>
                <w:szCs w:val="18"/>
                <w:vertAlign w:val="subscript"/>
                <w:lang w:eastAsia="en-GB"/>
              </w:rPr>
              <w:t>sed</w:t>
            </w:r>
            <w:r w:rsidRPr="006B1A5A">
              <w:rPr>
                <w:rFonts w:eastAsia="Calibri"/>
                <w:sz w:val="18"/>
                <w:szCs w:val="18"/>
                <w:lang w:eastAsia="en-GB"/>
              </w:rPr>
              <w:t xml:space="preserve"> = 98.8 µg/g dw</w:t>
            </w:r>
          </w:p>
        </w:tc>
        <w:tc>
          <w:tcPr>
            <w:tcW w:w="885" w:type="pct"/>
            <w:shd w:val="clear" w:color="auto" w:fill="FFFFFF"/>
            <w:vAlign w:val="center"/>
          </w:tcPr>
          <w:p w14:paraId="2494716F" w14:textId="77777777" w:rsidR="00AB66D2" w:rsidRPr="006B1A5A" w:rsidRDefault="00AB66D2" w:rsidP="00C51EF8">
            <w:pPr>
              <w:autoSpaceDE w:val="0"/>
              <w:autoSpaceDN w:val="0"/>
              <w:adjustRightInd w:val="0"/>
              <w:spacing w:before="60" w:after="60" w:line="260" w:lineRule="atLeast"/>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dissolved</w:t>
            </w:r>
          </w:p>
          <w:p w14:paraId="6DD067BE" w14:textId="77777777" w:rsidR="00AB66D2" w:rsidRPr="006B1A5A" w:rsidRDefault="00AB66D2" w:rsidP="00C51EF8">
            <w:pPr>
              <w:keepNext/>
              <w:autoSpaceDE w:val="0"/>
              <w:autoSpaceDN w:val="0"/>
              <w:adjustRightInd w:val="0"/>
              <w:spacing w:before="60" w:after="60" w:line="260" w:lineRule="atLeast"/>
              <w:jc w:val="center"/>
              <w:rPr>
                <w:rFonts w:eastAsia="Calibri"/>
                <w:sz w:val="18"/>
                <w:szCs w:val="18"/>
                <w:lang w:eastAsia="en-GB"/>
              </w:rPr>
            </w:pPr>
            <w:r w:rsidRPr="006B1A5A">
              <w:rPr>
                <w:rFonts w:eastAsia="Calibri"/>
                <w:sz w:val="18"/>
                <w:szCs w:val="18"/>
                <w:lang w:eastAsia="en-GB"/>
              </w:rPr>
              <w:t>[µg/L]</w:t>
            </w:r>
          </w:p>
        </w:tc>
        <w:tc>
          <w:tcPr>
            <w:tcW w:w="886" w:type="pct"/>
            <w:shd w:val="clear" w:color="auto" w:fill="FFFFFF"/>
            <w:vAlign w:val="center"/>
          </w:tcPr>
          <w:p w14:paraId="6F28DB9B" w14:textId="77777777" w:rsidR="00AB66D2" w:rsidRPr="006B1A5A" w:rsidRDefault="00AB66D2" w:rsidP="00C51EF8">
            <w:pPr>
              <w:keepNext/>
              <w:autoSpaceDE w:val="0"/>
              <w:autoSpaceDN w:val="0"/>
              <w:adjustRightInd w:val="0"/>
              <w:spacing w:before="60" w:after="60" w:line="260" w:lineRule="atLeast"/>
              <w:jc w:val="center"/>
              <w:rPr>
                <w:rFonts w:eastAsia="Calibri"/>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 xml:space="preserve">dissolved </w:t>
            </w:r>
            <w:r w:rsidRPr="006B1A5A">
              <w:rPr>
                <w:rFonts w:eastAsia="Calibri"/>
                <w:b/>
                <w:sz w:val="18"/>
                <w:szCs w:val="18"/>
                <w:lang w:eastAsia="en-GB"/>
              </w:rPr>
              <w:t>/ PNEC</w:t>
            </w:r>
            <w:r w:rsidRPr="006B1A5A">
              <w:rPr>
                <w:rFonts w:eastAsia="Calibri"/>
                <w:b/>
                <w:sz w:val="18"/>
                <w:szCs w:val="18"/>
                <w:vertAlign w:val="subscript"/>
                <w:lang w:eastAsia="en-GB"/>
              </w:rPr>
              <w:t xml:space="preserve">water </w:t>
            </w:r>
            <w:r w:rsidRPr="006B1A5A">
              <w:rPr>
                <w:rFonts w:eastAsia="Calibri"/>
                <w:b/>
                <w:sz w:val="18"/>
                <w:szCs w:val="18"/>
                <w:vertAlign w:val="superscript"/>
                <w:lang w:eastAsia="en-GB"/>
              </w:rPr>
              <w:t>1</w:t>
            </w:r>
          </w:p>
        </w:tc>
        <w:tc>
          <w:tcPr>
            <w:tcW w:w="886" w:type="pct"/>
            <w:shd w:val="clear" w:color="auto" w:fill="FFFFFF"/>
            <w:vAlign w:val="center"/>
          </w:tcPr>
          <w:p w14:paraId="0D7DC59E" w14:textId="77777777" w:rsidR="00AB66D2" w:rsidRPr="006B1A5A" w:rsidRDefault="00AB66D2" w:rsidP="00C51EF8">
            <w:pPr>
              <w:spacing w:before="60" w:after="60"/>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suspended sediment</w:t>
            </w:r>
          </w:p>
          <w:p w14:paraId="2D12FF10" w14:textId="77777777" w:rsidR="00AB66D2" w:rsidRPr="006B1A5A" w:rsidRDefault="00AB66D2" w:rsidP="00C51EF8">
            <w:pPr>
              <w:keepNext/>
              <w:spacing w:before="60" w:after="60"/>
              <w:jc w:val="center"/>
              <w:rPr>
                <w:rFonts w:eastAsia="Calibri"/>
                <w:sz w:val="18"/>
                <w:szCs w:val="18"/>
                <w:lang w:eastAsia="en-GB"/>
              </w:rPr>
            </w:pPr>
            <w:r w:rsidRPr="006B1A5A">
              <w:rPr>
                <w:rFonts w:eastAsia="Calibri"/>
                <w:sz w:val="18"/>
                <w:szCs w:val="18"/>
                <w:lang w:eastAsia="en-GB"/>
              </w:rPr>
              <w:t>[µg/g dw]</w:t>
            </w:r>
          </w:p>
        </w:tc>
        <w:tc>
          <w:tcPr>
            <w:tcW w:w="961" w:type="pct"/>
            <w:shd w:val="clear" w:color="auto" w:fill="auto"/>
            <w:vAlign w:val="center"/>
          </w:tcPr>
          <w:p w14:paraId="4CCFD949" w14:textId="77777777" w:rsidR="00AB66D2" w:rsidRPr="006B1A5A" w:rsidRDefault="00AB66D2" w:rsidP="00C51EF8">
            <w:pPr>
              <w:keepNext/>
              <w:spacing w:before="60" w:after="60"/>
              <w:jc w:val="center"/>
              <w:rPr>
                <w:rFonts w:eastAsia="Calibri"/>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suspended sediment</w:t>
            </w:r>
            <w:r w:rsidRPr="006B1A5A">
              <w:rPr>
                <w:rFonts w:eastAsia="Calibri"/>
                <w:b/>
                <w:sz w:val="18"/>
                <w:szCs w:val="18"/>
                <w:lang w:eastAsia="en-GB"/>
              </w:rPr>
              <w:t>/ PNEC</w:t>
            </w:r>
            <w:r w:rsidRPr="006B1A5A">
              <w:rPr>
                <w:rFonts w:eastAsia="Calibri"/>
                <w:b/>
                <w:sz w:val="18"/>
                <w:szCs w:val="18"/>
                <w:vertAlign w:val="subscript"/>
                <w:lang w:eastAsia="en-GB"/>
              </w:rPr>
              <w:t xml:space="preserve">sediment </w:t>
            </w:r>
            <w:r w:rsidRPr="006B1A5A">
              <w:rPr>
                <w:rFonts w:eastAsia="Calibri"/>
                <w:b/>
                <w:sz w:val="18"/>
                <w:szCs w:val="18"/>
                <w:vertAlign w:val="superscript"/>
                <w:lang w:eastAsia="en-GB"/>
              </w:rPr>
              <w:t>1</w:t>
            </w:r>
          </w:p>
        </w:tc>
      </w:tr>
      <w:tr w:rsidR="00AB66D2" w:rsidRPr="006B1A5A" w14:paraId="39C7DEB8" w14:textId="77777777" w:rsidTr="00C51EF8">
        <w:trPr>
          <w:trHeight w:val="75"/>
        </w:trPr>
        <w:tc>
          <w:tcPr>
            <w:tcW w:w="1381" w:type="pct"/>
            <w:shd w:val="clear" w:color="auto" w:fill="FFFFFF"/>
          </w:tcPr>
          <w:p w14:paraId="249A18AA" w14:textId="77777777" w:rsidR="00AB66D2" w:rsidRPr="006B1A5A" w:rsidRDefault="00AB66D2" w:rsidP="00C51EF8">
            <w:pPr>
              <w:keepNext/>
              <w:spacing w:before="60" w:after="60"/>
              <w:rPr>
                <w:rFonts w:eastAsia="Calibri"/>
                <w:b/>
                <w:sz w:val="18"/>
                <w:szCs w:val="18"/>
                <w:lang w:eastAsia="en-GB"/>
              </w:rPr>
            </w:pPr>
            <w:r w:rsidRPr="006B1A5A">
              <w:rPr>
                <w:rFonts w:eastAsia="Calibri"/>
                <w:b/>
                <w:sz w:val="18"/>
                <w:szCs w:val="18"/>
                <w:lang w:eastAsia="en-GB"/>
              </w:rPr>
              <w:t>EU fish farm scenario</w:t>
            </w:r>
            <w:r w:rsidRPr="00CA2AE4">
              <w:rPr>
                <w:rFonts w:eastAsia="Calibri"/>
                <w:b/>
                <w:sz w:val="18"/>
                <w:szCs w:val="18"/>
                <w:vertAlign w:val="superscript"/>
                <w:lang w:eastAsia="en-GB"/>
              </w:rPr>
              <w:t>2</w:t>
            </w:r>
          </w:p>
        </w:tc>
        <w:tc>
          <w:tcPr>
            <w:tcW w:w="885" w:type="pct"/>
            <w:shd w:val="clear" w:color="auto" w:fill="FFFFFF"/>
            <w:vAlign w:val="center"/>
          </w:tcPr>
          <w:p w14:paraId="46B0F784" w14:textId="77777777" w:rsidR="00AB66D2" w:rsidRPr="006B1A5A" w:rsidRDefault="00AB66D2" w:rsidP="00C51EF8">
            <w:pPr>
              <w:pStyle w:val="Ingenmellomrom"/>
              <w:keepNext/>
              <w:jc w:val="center"/>
              <w:rPr>
                <w:rFonts w:ascii="Verdana" w:hAnsi="Verdana"/>
                <w:sz w:val="18"/>
                <w:szCs w:val="18"/>
                <w:lang w:val="en-GB" w:eastAsia="en-GB"/>
              </w:rPr>
            </w:pPr>
            <w:r w:rsidRPr="006B1A5A">
              <w:rPr>
                <w:rFonts w:ascii="Verdana" w:hAnsi="Verdana"/>
                <w:sz w:val="18"/>
                <w:szCs w:val="18"/>
                <w:lang w:val="en-GB" w:eastAsia="en-GB"/>
              </w:rPr>
              <w:t>1.</w:t>
            </w:r>
            <w:r>
              <w:rPr>
                <w:rFonts w:ascii="Verdana" w:hAnsi="Verdana"/>
                <w:sz w:val="18"/>
                <w:szCs w:val="18"/>
                <w:lang w:val="en-GB" w:eastAsia="en-GB"/>
              </w:rPr>
              <w:t>15</w:t>
            </w:r>
          </w:p>
        </w:tc>
        <w:tc>
          <w:tcPr>
            <w:tcW w:w="886" w:type="pct"/>
            <w:shd w:val="clear" w:color="auto" w:fill="FFFFFF"/>
            <w:vAlign w:val="center"/>
          </w:tcPr>
          <w:p w14:paraId="0E1460EB" w14:textId="77777777" w:rsidR="00AB66D2" w:rsidRPr="00D555AE" w:rsidRDefault="00AB66D2" w:rsidP="00C51EF8">
            <w:pPr>
              <w:pStyle w:val="Ingenmellomrom"/>
              <w:keepNext/>
              <w:jc w:val="center"/>
              <w:rPr>
                <w:rFonts w:ascii="Verdana" w:hAnsi="Verdana"/>
                <w:bCs/>
                <w:sz w:val="18"/>
                <w:szCs w:val="18"/>
                <w:lang w:val="en-GB" w:eastAsia="en-GB"/>
              </w:rPr>
            </w:pPr>
            <w:r w:rsidRPr="00D555AE">
              <w:rPr>
                <w:rFonts w:ascii="Verdana" w:hAnsi="Verdana"/>
                <w:bCs/>
                <w:sz w:val="18"/>
                <w:szCs w:val="18"/>
                <w:lang w:val="en-GB" w:eastAsia="en-GB"/>
              </w:rPr>
              <w:t>1.0</w:t>
            </w:r>
          </w:p>
        </w:tc>
        <w:tc>
          <w:tcPr>
            <w:tcW w:w="886" w:type="pct"/>
            <w:shd w:val="clear" w:color="auto" w:fill="FFFFFF"/>
            <w:vAlign w:val="center"/>
          </w:tcPr>
          <w:p w14:paraId="3ED6C24E" w14:textId="77777777" w:rsidR="00AB66D2" w:rsidRPr="006B1A5A" w:rsidRDefault="00AB66D2" w:rsidP="00C51EF8">
            <w:pPr>
              <w:pStyle w:val="Ingenmellomrom"/>
              <w:keepNext/>
              <w:jc w:val="center"/>
              <w:rPr>
                <w:rFonts w:ascii="Verdana" w:hAnsi="Verdana"/>
                <w:sz w:val="18"/>
                <w:szCs w:val="18"/>
                <w:lang w:val="en-GB" w:eastAsia="en-GB"/>
              </w:rPr>
            </w:pPr>
            <w:r>
              <w:rPr>
                <w:rFonts w:ascii="Verdana" w:hAnsi="Verdana"/>
                <w:sz w:val="18"/>
                <w:szCs w:val="18"/>
                <w:lang w:val="en-GB" w:eastAsia="en-GB"/>
              </w:rPr>
              <w:t>22.88</w:t>
            </w:r>
          </w:p>
        </w:tc>
        <w:tc>
          <w:tcPr>
            <w:tcW w:w="961" w:type="pct"/>
            <w:shd w:val="clear" w:color="auto" w:fill="FFFFFF"/>
            <w:vAlign w:val="center"/>
          </w:tcPr>
          <w:p w14:paraId="4FE9073F" w14:textId="77777777" w:rsidR="00AB66D2" w:rsidRPr="006B1A5A" w:rsidRDefault="00AB66D2" w:rsidP="00C51EF8">
            <w:pPr>
              <w:pStyle w:val="Ingenmellomrom"/>
              <w:keepNext/>
              <w:jc w:val="center"/>
              <w:rPr>
                <w:rFonts w:ascii="Verdana" w:hAnsi="Verdana"/>
                <w:sz w:val="18"/>
                <w:szCs w:val="18"/>
                <w:lang w:val="en-GB" w:eastAsia="en-GB"/>
              </w:rPr>
            </w:pPr>
            <w:r w:rsidRPr="006B1A5A">
              <w:rPr>
                <w:rFonts w:ascii="Verdana" w:hAnsi="Verdana"/>
                <w:sz w:val="18"/>
                <w:szCs w:val="18"/>
                <w:lang w:val="en-GB" w:eastAsia="en-GB"/>
              </w:rPr>
              <w:t>0.</w:t>
            </w:r>
            <w:r>
              <w:rPr>
                <w:rFonts w:ascii="Verdana" w:hAnsi="Verdana"/>
                <w:sz w:val="18"/>
                <w:szCs w:val="18"/>
                <w:lang w:val="en-GB" w:eastAsia="en-GB"/>
              </w:rPr>
              <w:t>23</w:t>
            </w:r>
          </w:p>
        </w:tc>
      </w:tr>
      <w:tr w:rsidR="00AB66D2" w:rsidRPr="006B1A5A" w14:paraId="6EDD8124" w14:textId="77777777" w:rsidTr="00C51EF8">
        <w:trPr>
          <w:trHeight w:val="75"/>
        </w:trPr>
        <w:tc>
          <w:tcPr>
            <w:tcW w:w="1381" w:type="pct"/>
            <w:shd w:val="clear" w:color="auto" w:fill="FFFFFF"/>
            <w:vAlign w:val="center"/>
          </w:tcPr>
          <w:p w14:paraId="43B802B9" w14:textId="77777777" w:rsidR="00AB66D2" w:rsidRPr="006B1A5A" w:rsidRDefault="00AB66D2" w:rsidP="00C51EF8">
            <w:pPr>
              <w:spacing w:before="60" w:after="60"/>
              <w:jc w:val="center"/>
              <w:rPr>
                <w:rFonts w:eastAsia="Calibri"/>
                <w:b/>
                <w:sz w:val="18"/>
                <w:szCs w:val="18"/>
                <w:lang w:eastAsia="en-GB"/>
              </w:rPr>
            </w:pPr>
            <w:r w:rsidRPr="006B1A5A">
              <w:rPr>
                <w:rFonts w:eastAsia="Calibri"/>
                <w:b/>
                <w:sz w:val="18"/>
                <w:szCs w:val="18"/>
                <w:lang w:eastAsia="en-GB"/>
              </w:rPr>
              <w:t>Thiocyanate</w:t>
            </w:r>
          </w:p>
          <w:p w14:paraId="054D50CC" w14:textId="77777777" w:rsidR="00AB66D2" w:rsidRPr="006B1A5A" w:rsidRDefault="00AB66D2" w:rsidP="00C51EF8">
            <w:pPr>
              <w:spacing w:before="60" w:after="60"/>
              <w:jc w:val="center"/>
              <w:rPr>
                <w:rFonts w:eastAsia="Calibri"/>
                <w:sz w:val="18"/>
                <w:szCs w:val="18"/>
                <w:lang w:eastAsia="en-GB"/>
              </w:rPr>
            </w:pPr>
            <w:r w:rsidRPr="006B1A5A">
              <w:rPr>
                <w:rFonts w:eastAsia="Calibri"/>
                <w:sz w:val="18"/>
                <w:szCs w:val="18"/>
                <w:lang w:eastAsia="en-GB"/>
              </w:rPr>
              <w:t>PNEC surrounding waters = 11 µg/L</w:t>
            </w:r>
          </w:p>
          <w:p w14:paraId="02215092" w14:textId="77777777" w:rsidR="00AB66D2" w:rsidRPr="006B1A5A" w:rsidRDefault="00AB66D2" w:rsidP="00C51EF8">
            <w:pPr>
              <w:keepNext/>
              <w:spacing w:before="60" w:after="60"/>
              <w:jc w:val="center"/>
              <w:rPr>
                <w:rFonts w:eastAsia="Calibri"/>
                <w:sz w:val="18"/>
                <w:szCs w:val="18"/>
                <w:lang w:eastAsia="en-GB"/>
              </w:rPr>
            </w:pPr>
            <w:r w:rsidRPr="006B1A5A">
              <w:rPr>
                <w:rFonts w:eastAsia="Calibri"/>
                <w:sz w:val="18"/>
                <w:szCs w:val="18"/>
                <w:lang w:eastAsia="en-GB"/>
              </w:rPr>
              <w:t>PNEC</w:t>
            </w:r>
            <w:r w:rsidRPr="006B1A5A">
              <w:rPr>
                <w:rFonts w:eastAsia="Calibri"/>
                <w:sz w:val="18"/>
                <w:szCs w:val="18"/>
                <w:vertAlign w:val="subscript"/>
                <w:lang w:eastAsia="en-GB"/>
              </w:rPr>
              <w:t>sed</w:t>
            </w:r>
            <w:r w:rsidRPr="006B1A5A">
              <w:rPr>
                <w:rFonts w:eastAsia="Calibri"/>
                <w:sz w:val="18"/>
                <w:szCs w:val="18"/>
                <w:lang w:eastAsia="en-GB"/>
              </w:rPr>
              <w:t xml:space="preserve"> = 0.045 µg/g dw</w:t>
            </w:r>
          </w:p>
        </w:tc>
        <w:tc>
          <w:tcPr>
            <w:tcW w:w="885" w:type="pct"/>
            <w:shd w:val="clear" w:color="auto" w:fill="FFFFFF"/>
            <w:vAlign w:val="center"/>
          </w:tcPr>
          <w:p w14:paraId="531C95D4" w14:textId="77777777" w:rsidR="00AB66D2" w:rsidRPr="006B1A5A" w:rsidRDefault="00AB66D2" w:rsidP="00C51EF8">
            <w:pPr>
              <w:autoSpaceDE w:val="0"/>
              <w:autoSpaceDN w:val="0"/>
              <w:adjustRightInd w:val="0"/>
              <w:spacing w:before="60" w:after="60" w:line="260" w:lineRule="atLeast"/>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dissolved</w:t>
            </w:r>
          </w:p>
          <w:p w14:paraId="0AACC6FB" w14:textId="77777777" w:rsidR="00AB66D2" w:rsidRPr="006B1A5A" w:rsidRDefault="00AB66D2" w:rsidP="00C51EF8">
            <w:pPr>
              <w:keepNext/>
              <w:autoSpaceDE w:val="0"/>
              <w:autoSpaceDN w:val="0"/>
              <w:adjustRightInd w:val="0"/>
              <w:spacing w:before="60" w:after="60" w:line="260" w:lineRule="atLeast"/>
              <w:jc w:val="center"/>
              <w:rPr>
                <w:rFonts w:eastAsia="Calibri"/>
                <w:sz w:val="18"/>
                <w:szCs w:val="18"/>
                <w:lang w:eastAsia="en-GB"/>
              </w:rPr>
            </w:pPr>
            <w:r w:rsidRPr="006B1A5A">
              <w:rPr>
                <w:rFonts w:eastAsia="Calibri"/>
                <w:sz w:val="18"/>
                <w:szCs w:val="18"/>
                <w:lang w:eastAsia="en-GB"/>
              </w:rPr>
              <w:t>[µg/L]</w:t>
            </w:r>
          </w:p>
        </w:tc>
        <w:tc>
          <w:tcPr>
            <w:tcW w:w="886" w:type="pct"/>
            <w:shd w:val="clear" w:color="auto" w:fill="FFFFFF"/>
            <w:vAlign w:val="center"/>
          </w:tcPr>
          <w:p w14:paraId="215A30F3" w14:textId="77777777" w:rsidR="00AB66D2" w:rsidRPr="006B1A5A" w:rsidRDefault="00AB66D2" w:rsidP="00C51EF8">
            <w:pPr>
              <w:keepNext/>
              <w:autoSpaceDE w:val="0"/>
              <w:autoSpaceDN w:val="0"/>
              <w:adjustRightInd w:val="0"/>
              <w:spacing w:before="60" w:after="60" w:line="260" w:lineRule="atLeast"/>
              <w:jc w:val="center"/>
              <w:rPr>
                <w:rFonts w:eastAsia="Calibri"/>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 xml:space="preserve">dissolved </w:t>
            </w:r>
            <w:r w:rsidRPr="006B1A5A">
              <w:rPr>
                <w:rFonts w:eastAsia="Calibri"/>
                <w:b/>
                <w:sz w:val="18"/>
                <w:szCs w:val="18"/>
                <w:lang w:eastAsia="en-GB"/>
              </w:rPr>
              <w:t>/ PNEC</w:t>
            </w:r>
            <w:r w:rsidRPr="006B1A5A">
              <w:rPr>
                <w:rFonts w:eastAsia="Calibri"/>
                <w:b/>
                <w:sz w:val="18"/>
                <w:szCs w:val="18"/>
                <w:vertAlign w:val="subscript"/>
                <w:lang w:eastAsia="en-GB"/>
              </w:rPr>
              <w:t xml:space="preserve">water </w:t>
            </w:r>
            <w:r w:rsidRPr="006B1A5A">
              <w:rPr>
                <w:rFonts w:eastAsia="Calibri"/>
                <w:b/>
                <w:sz w:val="18"/>
                <w:szCs w:val="18"/>
                <w:vertAlign w:val="superscript"/>
                <w:lang w:eastAsia="en-GB"/>
              </w:rPr>
              <w:t>1</w:t>
            </w:r>
          </w:p>
        </w:tc>
        <w:tc>
          <w:tcPr>
            <w:tcW w:w="886" w:type="pct"/>
            <w:shd w:val="clear" w:color="auto" w:fill="FFFFFF"/>
            <w:vAlign w:val="center"/>
          </w:tcPr>
          <w:p w14:paraId="1C14A2BC" w14:textId="77777777" w:rsidR="00AB66D2" w:rsidRPr="006B1A5A" w:rsidRDefault="00AB66D2" w:rsidP="00C51EF8">
            <w:pPr>
              <w:spacing w:before="60" w:after="60"/>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suspended sediment</w:t>
            </w:r>
          </w:p>
          <w:p w14:paraId="5EB3D293" w14:textId="77777777" w:rsidR="00AB66D2" w:rsidRPr="006B1A5A" w:rsidRDefault="00AB66D2" w:rsidP="00C51EF8">
            <w:pPr>
              <w:keepNext/>
              <w:spacing w:before="60" w:after="60"/>
              <w:jc w:val="center"/>
              <w:rPr>
                <w:rFonts w:eastAsia="Calibri"/>
                <w:sz w:val="18"/>
                <w:szCs w:val="18"/>
                <w:lang w:eastAsia="en-GB"/>
              </w:rPr>
            </w:pPr>
            <w:r w:rsidRPr="006B1A5A">
              <w:rPr>
                <w:rFonts w:eastAsia="Calibri"/>
                <w:sz w:val="18"/>
                <w:szCs w:val="18"/>
                <w:lang w:eastAsia="en-GB"/>
              </w:rPr>
              <w:t>[µg/g dw]</w:t>
            </w:r>
          </w:p>
        </w:tc>
        <w:tc>
          <w:tcPr>
            <w:tcW w:w="961" w:type="pct"/>
            <w:shd w:val="clear" w:color="auto" w:fill="FFFFFF"/>
            <w:vAlign w:val="center"/>
          </w:tcPr>
          <w:p w14:paraId="33A227CC" w14:textId="77777777" w:rsidR="00AB66D2" w:rsidRPr="006B1A5A" w:rsidRDefault="00AB66D2" w:rsidP="00C51EF8">
            <w:pPr>
              <w:keepNext/>
              <w:spacing w:before="60" w:after="60"/>
              <w:jc w:val="center"/>
              <w:rPr>
                <w:rFonts w:eastAsia="Calibri"/>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suspended sediment</w:t>
            </w:r>
            <w:r w:rsidRPr="006B1A5A">
              <w:rPr>
                <w:rFonts w:eastAsia="Calibri"/>
                <w:b/>
                <w:sz w:val="18"/>
                <w:szCs w:val="18"/>
                <w:lang w:eastAsia="en-GB"/>
              </w:rPr>
              <w:t>/ PNEC</w:t>
            </w:r>
            <w:r w:rsidRPr="006B1A5A">
              <w:rPr>
                <w:rFonts w:eastAsia="Calibri"/>
                <w:b/>
                <w:sz w:val="18"/>
                <w:szCs w:val="18"/>
                <w:vertAlign w:val="subscript"/>
                <w:lang w:eastAsia="en-GB"/>
              </w:rPr>
              <w:t xml:space="preserve">sediment </w:t>
            </w:r>
            <w:r w:rsidRPr="006B1A5A">
              <w:rPr>
                <w:rFonts w:eastAsia="Calibri"/>
                <w:b/>
                <w:sz w:val="18"/>
                <w:szCs w:val="18"/>
                <w:vertAlign w:val="superscript"/>
                <w:lang w:eastAsia="en-GB"/>
              </w:rPr>
              <w:t>1</w:t>
            </w:r>
          </w:p>
        </w:tc>
      </w:tr>
      <w:tr w:rsidR="00AB66D2" w:rsidRPr="006B1A5A" w14:paraId="14F2742F" w14:textId="77777777" w:rsidTr="00C51EF8">
        <w:trPr>
          <w:trHeight w:val="75"/>
        </w:trPr>
        <w:tc>
          <w:tcPr>
            <w:tcW w:w="1381" w:type="pct"/>
            <w:shd w:val="clear" w:color="auto" w:fill="FFFFFF"/>
          </w:tcPr>
          <w:p w14:paraId="42B03F95" w14:textId="77777777" w:rsidR="00AB66D2" w:rsidRPr="006B1A5A" w:rsidRDefault="00AB66D2" w:rsidP="00C51EF8">
            <w:pPr>
              <w:keepNext/>
              <w:spacing w:before="60" w:after="60"/>
              <w:rPr>
                <w:rFonts w:eastAsia="Calibri"/>
                <w:b/>
                <w:sz w:val="18"/>
                <w:szCs w:val="18"/>
                <w:lang w:eastAsia="en-GB"/>
              </w:rPr>
            </w:pPr>
            <w:r w:rsidRPr="006B1A5A">
              <w:rPr>
                <w:rFonts w:eastAsia="Calibri"/>
                <w:b/>
                <w:sz w:val="18"/>
                <w:szCs w:val="18"/>
                <w:lang w:eastAsia="en-GB"/>
              </w:rPr>
              <w:t>EU fish farm scenario</w:t>
            </w:r>
          </w:p>
        </w:tc>
        <w:tc>
          <w:tcPr>
            <w:tcW w:w="885" w:type="pct"/>
            <w:shd w:val="clear" w:color="auto" w:fill="FFFFFF"/>
            <w:vAlign w:val="center"/>
          </w:tcPr>
          <w:p w14:paraId="7E841A8E" w14:textId="77777777" w:rsidR="00AB66D2" w:rsidRPr="006B1A5A" w:rsidRDefault="00AB66D2" w:rsidP="00C51EF8">
            <w:pPr>
              <w:pStyle w:val="Ingenmellomrom"/>
              <w:keepNext/>
              <w:jc w:val="center"/>
              <w:rPr>
                <w:rFonts w:ascii="Verdana" w:hAnsi="Verdana"/>
                <w:sz w:val="18"/>
                <w:szCs w:val="18"/>
                <w:highlight w:val="yellow"/>
                <w:lang w:val="en-GB" w:eastAsia="en-GB"/>
              </w:rPr>
            </w:pPr>
            <w:r w:rsidRPr="006B1A5A">
              <w:rPr>
                <w:rFonts w:ascii="Verdana" w:hAnsi="Verdana"/>
                <w:sz w:val="18"/>
                <w:szCs w:val="18"/>
                <w:lang w:val="en-GB" w:eastAsia="en-GB"/>
              </w:rPr>
              <w:t>0.02</w:t>
            </w:r>
          </w:p>
        </w:tc>
        <w:tc>
          <w:tcPr>
            <w:tcW w:w="886" w:type="pct"/>
            <w:shd w:val="clear" w:color="auto" w:fill="FFFFFF"/>
            <w:vAlign w:val="center"/>
          </w:tcPr>
          <w:p w14:paraId="2CFBBB37" w14:textId="77777777" w:rsidR="00AB66D2" w:rsidRPr="006B1A5A" w:rsidRDefault="00AB66D2" w:rsidP="00C51EF8">
            <w:pPr>
              <w:pStyle w:val="Ingenmellomrom"/>
              <w:keepNext/>
              <w:jc w:val="center"/>
              <w:rPr>
                <w:rFonts w:ascii="Verdana" w:hAnsi="Verdana"/>
                <w:sz w:val="18"/>
                <w:szCs w:val="18"/>
                <w:highlight w:val="yellow"/>
                <w:lang w:val="en-GB" w:eastAsia="en-GB"/>
              </w:rPr>
            </w:pPr>
            <w:r w:rsidRPr="006B1A5A">
              <w:rPr>
                <w:rFonts w:ascii="Verdana" w:hAnsi="Verdana"/>
                <w:sz w:val="18"/>
                <w:szCs w:val="18"/>
                <w:lang w:val="en-GB" w:eastAsia="en-GB"/>
              </w:rPr>
              <w:t>1.83E-03</w:t>
            </w:r>
          </w:p>
        </w:tc>
        <w:tc>
          <w:tcPr>
            <w:tcW w:w="886" w:type="pct"/>
            <w:shd w:val="clear" w:color="auto" w:fill="FFFFFF"/>
            <w:vAlign w:val="center"/>
          </w:tcPr>
          <w:p w14:paraId="5049E9BF" w14:textId="77777777" w:rsidR="00AB66D2" w:rsidRPr="006B1A5A" w:rsidRDefault="00AB66D2" w:rsidP="00C51EF8">
            <w:pPr>
              <w:pStyle w:val="Ingenmellomrom"/>
              <w:keepNext/>
              <w:jc w:val="center"/>
              <w:rPr>
                <w:rFonts w:ascii="Verdana" w:hAnsi="Verdana"/>
                <w:sz w:val="18"/>
                <w:szCs w:val="18"/>
                <w:highlight w:val="yellow"/>
                <w:lang w:val="en-GB" w:eastAsia="en-GB"/>
              </w:rPr>
            </w:pPr>
            <w:r w:rsidRPr="006B1A5A">
              <w:rPr>
                <w:rFonts w:ascii="Verdana" w:hAnsi="Verdana"/>
                <w:sz w:val="18"/>
                <w:szCs w:val="18"/>
                <w:lang w:val="en-GB" w:eastAsia="en-GB"/>
              </w:rPr>
              <w:t>5.38E-06</w:t>
            </w:r>
          </w:p>
        </w:tc>
        <w:tc>
          <w:tcPr>
            <w:tcW w:w="961" w:type="pct"/>
            <w:shd w:val="clear" w:color="auto" w:fill="FFFFFF"/>
            <w:vAlign w:val="center"/>
          </w:tcPr>
          <w:p w14:paraId="3E992A24" w14:textId="77777777" w:rsidR="00AB66D2" w:rsidRPr="006B1A5A" w:rsidRDefault="00AB66D2" w:rsidP="00C51EF8">
            <w:pPr>
              <w:pStyle w:val="Ingenmellomrom"/>
              <w:keepNext/>
              <w:jc w:val="center"/>
              <w:rPr>
                <w:rFonts w:ascii="Verdana" w:hAnsi="Verdana"/>
                <w:sz w:val="18"/>
                <w:szCs w:val="18"/>
                <w:highlight w:val="yellow"/>
                <w:lang w:val="en-GB" w:eastAsia="en-GB"/>
              </w:rPr>
            </w:pPr>
            <w:r w:rsidRPr="006B1A5A">
              <w:rPr>
                <w:rFonts w:ascii="Verdana" w:hAnsi="Verdana"/>
                <w:sz w:val="18"/>
                <w:szCs w:val="18"/>
                <w:lang w:val="en-GB" w:eastAsia="en-GB"/>
              </w:rPr>
              <w:t>1.20E-04</w:t>
            </w:r>
          </w:p>
        </w:tc>
      </w:tr>
      <w:tr w:rsidR="00AB66D2" w:rsidRPr="006B1A5A" w14:paraId="5CFBF2F9" w14:textId="77777777" w:rsidTr="00C51EF8">
        <w:trPr>
          <w:trHeight w:val="75"/>
        </w:trPr>
        <w:tc>
          <w:tcPr>
            <w:tcW w:w="5000" w:type="pct"/>
            <w:gridSpan w:val="5"/>
            <w:tcBorders>
              <w:top w:val="single" w:sz="4" w:space="0" w:color="auto"/>
              <w:left w:val="nil"/>
              <w:bottom w:val="nil"/>
              <w:right w:val="nil"/>
            </w:tcBorders>
            <w:shd w:val="clear" w:color="auto" w:fill="FFFFFF"/>
          </w:tcPr>
          <w:p w14:paraId="345FDF08" w14:textId="77777777" w:rsidR="00AB66D2" w:rsidRPr="006B1A5A" w:rsidRDefault="00AB66D2" w:rsidP="00C51EF8">
            <w:pPr>
              <w:pStyle w:val="Ingenmellomrom"/>
              <w:keepNext/>
              <w:jc w:val="left"/>
              <w:rPr>
                <w:rFonts w:ascii="Verdana" w:hAnsi="Verdana"/>
                <w:b/>
                <w:sz w:val="18"/>
                <w:szCs w:val="20"/>
                <w:lang w:val="en-GB" w:eastAsia="en-GB"/>
              </w:rPr>
            </w:pPr>
            <w:r w:rsidRPr="006B1A5A">
              <w:rPr>
                <w:rFonts w:ascii="Verdana" w:hAnsi="Verdana"/>
                <w:sz w:val="18"/>
                <w:szCs w:val="20"/>
                <w:vertAlign w:val="superscript"/>
                <w:lang w:val="en-GB"/>
              </w:rPr>
              <w:t>1</w:t>
            </w:r>
            <w:r w:rsidRPr="006B1A5A">
              <w:rPr>
                <w:rFonts w:ascii="Verdana" w:hAnsi="Verdana"/>
                <w:sz w:val="18"/>
                <w:szCs w:val="20"/>
                <w:lang w:val="en-GB"/>
              </w:rPr>
              <w:t xml:space="preserve"> PEC/PNEC </w:t>
            </w:r>
            <w:r w:rsidRPr="006B1A5A">
              <w:rPr>
                <w:rFonts w:ascii="Verdana" w:hAnsi="Verdana"/>
                <w:sz w:val="18"/>
                <w:szCs w:val="18"/>
                <w:lang w:val="en-GB"/>
              </w:rPr>
              <w:t>ratios above</w:t>
            </w:r>
            <w:r w:rsidRPr="006B1A5A">
              <w:rPr>
                <w:rFonts w:ascii="Verdana" w:hAnsi="Verdana"/>
                <w:sz w:val="18"/>
                <w:szCs w:val="20"/>
                <w:lang w:val="en-GB"/>
              </w:rPr>
              <w:t xml:space="preserve"> 1 </w:t>
            </w:r>
            <w:r w:rsidRPr="006B1A5A">
              <w:rPr>
                <w:rFonts w:ascii="Verdana" w:hAnsi="Verdana"/>
                <w:sz w:val="18"/>
                <w:szCs w:val="18"/>
                <w:lang w:val="en-GB"/>
              </w:rPr>
              <w:t>(values</w:t>
            </w:r>
            <w:r w:rsidRPr="006B1A5A">
              <w:rPr>
                <w:rFonts w:ascii="Verdana" w:hAnsi="Verdana"/>
                <w:sz w:val="18"/>
                <w:szCs w:val="20"/>
                <w:lang w:val="en-GB"/>
              </w:rPr>
              <w:t xml:space="preserve"> in </w:t>
            </w:r>
            <w:r w:rsidRPr="006B1A5A">
              <w:rPr>
                <w:rFonts w:ascii="Verdana" w:hAnsi="Verdana"/>
                <w:b/>
                <w:sz w:val="18"/>
                <w:szCs w:val="20"/>
                <w:lang w:val="en-GB"/>
              </w:rPr>
              <w:t>bold</w:t>
            </w:r>
            <w:r w:rsidRPr="006B1A5A">
              <w:rPr>
                <w:rFonts w:ascii="Verdana" w:hAnsi="Verdana"/>
                <w:sz w:val="18"/>
                <w:szCs w:val="18"/>
                <w:lang w:val="en-GB"/>
              </w:rPr>
              <w:t>)</w:t>
            </w:r>
            <w:r w:rsidRPr="006B1A5A">
              <w:rPr>
                <w:rFonts w:ascii="Verdana" w:hAnsi="Verdana"/>
                <w:sz w:val="18"/>
                <w:szCs w:val="20"/>
                <w:lang w:val="en-GB"/>
              </w:rPr>
              <w:t xml:space="preserve"> </w:t>
            </w:r>
            <w:r w:rsidRPr="006B1A5A">
              <w:rPr>
                <w:rFonts w:ascii="Verdana" w:hAnsi="Verdana"/>
                <w:sz w:val="18"/>
                <w:szCs w:val="18"/>
                <w:lang w:val="en-GB"/>
              </w:rPr>
              <w:t>indicate</w:t>
            </w:r>
            <w:r w:rsidRPr="006B1A5A">
              <w:rPr>
                <w:rFonts w:ascii="Verdana" w:hAnsi="Verdana"/>
                <w:sz w:val="18"/>
                <w:szCs w:val="20"/>
                <w:lang w:val="en-GB"/>
              </w:rPr>
              <w:t xml:space="preserve"> unacceptable </w:t>
            </w:r>
            <w:r w:rsidRPr="006B1A5A">
              <w:rPr>
                <w:rFonts w:ascii="Verdana" w:hAnsi="Verdana"/>
                <w:sz w:val="18"/>
                <w:szCs w:val="18"/>
                <w:lang w:val="en-GB"/>
              </w:rPr>
              <w:t>environmental risks.</w:t>
            </w:r>
          </w:p>
        </w:tc>
      </w:tr>
      <w:tr w:rsidR="00AB66D2" w:rsidRPr="006B1A5A" w14:paraId="0F5B7479" w14:textId="77777777" w:rsidTr="00C51EF8">
        <w:trPr>
          <w:trHeight w:val="75"/>
        </w:trPr>
        <w:tc>
          <w:tcPr>
            <w:tcW w:w="5000" w:type="pct"/>
            <w:gridSpan w:val="5"/>
            <w:tcBorders>
              <w:top w:val="single" w:sz="4" w:space="0" w:color="auto"/>
              <w:left w:val="nil"/>
              <w:bottom w:val="nil"/>
              <w:right w:val="nil"/>
            </w:tcBorders>
            <w:shd w:val="clear" w:color="auto" w:fill="FFFFFF"/>
          </w:tcPr>
          <w:p w14:paraId="48A515B8" w14:textId="77777777" w:rsidR="00AB66D2" w:rsidRDefault="00AB66D2" w:rsidP="00C51EF8">
            <w:pPr>
              <w:pStyle w:val="Ingenmellomrom"/>
              <w:keepNext/>
              <w:jc w:val="left"/>
              <w:rPr>
                <w:rFonts w:ascii="Verdana" w:hAnsi="Verdana"/>
                <w:sz w:val="18"/>
                <w:szCs w:val="18"/>
                <w:lang w:val="en-GB"/>
              </w:rPr>
            </w:pPr>
            <w:r w:rsidRPr="0089235A">
              <w:rPr>
                <w:rFonts w:ascii="Verdana" w:hAnsi="Verdana"/>
                <w:sz w:val="18"/>
                <w:szCs w:val="20"/>
                <w:vertAlign w:val="superscript"/>
                <w:lang w:val="en-GB"/>
              </w:rPr>
              <w:t>2</w:t>
            </w:r>
            <w:r w:rsidRPr="006B1A5A">
              <w:rPr>
                <w:rFonts w:ascii="Verdana" w:hAnsi="Verdana"/>
                <w:sz w:val="18"/>
                <w:szCs w:val="20"/>
                <w:lang w:val="en-GB"/>
              </w:rPr>
              <w:t xml:space="preserve"> </w:t>
            </w:r>
            <w:r>
              <w:rPr>
                <w:rFonts w:ascii="Verdana" w:hAnsi="Verdana"/>
                <w:sz w:val="18"/>
                <w:szCs w:val="20"/>
                <w:lang w:val="en-GB"/>
              </w:rPr>
              <w:t>Refined based on field study data with both cleaned and not in-situ cleaned nets (Refined Fa.i. of 0.44)</w:t>
            </w:r>
          </w:p>
          <w:p w14:paraId="003F16D4" w14:textId="77777777" w:rsidR="00AB66D2" w:rsidRPr="006B1A5A" w:rsidRDefault="00AB66D2" w:rsidP="00C51EF8">
            <w:pPr>
              <w:pStyle w:val="Ingenmellomrom"/>
              <w:keepNext/>
              <w:jc w:val="left"/>
              <w:rPr>
                <w:rFonts w:ascii="Verdana" w:hAnsi="Verdana"/>
                <w:b/>
                <w:sz w:val="18"/>
                <w:szCs w:val="20"/>
                <w:lang w:val="en-GB" w:eastAsia="en-GB"/>
              </w:rPr>
            </w:pPr>
          </w:p>
        </w:tc>
      </w:tr>
    </w:tbl>
    <w:p w14:paraId="428FF4F0" w14:textId="77777777" w:rsidR="00AB66D2" w:rsidRDefault="00AB66D2" w:rsidP="00AB66D2">
      <w:pPr>
        <w:rPr>
          <w:sz w:val="18"/>
          <w:szCs w:val="18"/>
        </w:rPr>
      </w:pPr>
    </w:p>
    <w:p w14:paraId="7FC7EFE0" w14:textId="77777777" w:rsidR="00AB66D2" w:rsidRDefault="00AB66D2" w:rsidP="006D733E">
      <w:pPr>
        <w:rPr>
          <w:sz w:val="18"/>
          <w:szCs w:val="18"/>
        </w:rPr>
      </w:pPr>
    </w:p>
    <w:p w14:paraId="51270D34" w14:textId="62325915" w:rsidR="00F72FB4" w:rsidRDefault="00F72FB4" w:rsidP="006D733E">
      <w:pPr>
        <w:rPr>
          <w:sz w:val="18"/>
          <w:szCs w:val="18"/>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4"/>
        <w:gridCol w:w="1630"/>
        <w:gridCol w:w="1633"/>
        <w:gridCol w:w="1633"/>
        <w:gridCol w:w="1773"/>
      </w:tblGrid>
      <w:tr w:rsidR="00160166" w:rsidRPr="006B1A5A" w14:paraId="28B68F54" w14:textId="77777777" w:rsidTr="00CA2AE4">
        <w:trPr>
          <w:trHeight w:val="249"/>
        </w:trPr>
        <w:tc>
          <w:tcPr>
            <w:tcW w:w="5000" w:type="pct"/>
            <w:gridSpan w:val="5"/>
            <w:tcBorders>
              <w:top w:val="single" w:sz="4" w:space="0" w:color="auto"/>
              <w:left w:val="single" w:sz="4" w:space="0" w:color="auto"/>
              <w:bottom w:val="single" w:sz="4" w:space="0" w:color="auto"/>
            </w:tcBorders>
            <w:shd w:val="clear" w:color="auto" w:fill="FFFFCC"/>
            <w:vAlign w:val="center"/>
          </w:tcPr>
          <w:p w14:paraId="362A9D9A" w14:textId="77777777" w:rsidR="00160166" w:rsidRPr="006B1A5A" w:rsidRDefault="00160166" w:rsidP="00C51EF8">
            <w:pPr>
              <w:keepNext/>
              <w:autoSpaceDE w:val="0"/>
              <w:autoSpaceDN w:val="0"/>
              <w:adjustRightInd w:val="0"/>
              <w:spacing w:before="60" w:after="60" w:line="260" w:lineRule="atLeast"/>
              <w:jc w:val="center"/>
              <w:rPr>
                <w:rFonts w:eastAsia="Calibri"/>
                <w:b/>
                <w:color w:val="000000" w:themeColor="text1"/>
                <w:sz w:val="18"/>
                <w:szCs w:val="18"/>
                <w:lang w:eastAsia="en-GB"/>
              </w:rPr>
            </w:pPr>
            <w:r w:rsidRPr="006B1A5A">
              <w:rPr>
                <w:rFonts w:eastAsia="Calibri"/>
                <w:b/>
                <w:bCs/>
                <w:color w:val="000000" w:themeColor="text1"/>
                <w:sz w:val="18"/>
                <w:szCs w:val="18"/>
                <w:lang w:eastAsia="en-GB"/>
              </w:rPr>
              <w:t>AquaNet</w:t>
            </w:r>
            <w:r w:rsidRPr="006B1A5A">
              <w:rPr>
                <w:rFonts w:eastAsia="Calibri"/>
                <w:b/>
                <w:color w:val="000000" w:themeColor="text1"/>
                <w:sz w:val="18"/>
                <w:szCs w:val="18"/>
                <w:lang w:eastAsia="en-GB"/>
              </w:rPr>
              <w:t xml:space="preserve"> HG360</w:t>
            </w:r>
          </w:p>
          <w:p w14:paraId="1BECEC12" w14:textId="77777777" w:rsidR="00160166" w:rsidRPr="006B1A5A" w:rsidRDefault="00160166" w:rsidP="00C51EF8">
            <w:pPr>
              <w:keepNext/>
              <w:autoSpaceDE w:val="0"/>
              <w:autoSpaceDN w:val="0"/>
              <w:adjustRightInd w:val="0"/>
              <w:spacing w:before="60" w:after="60" w:line="260" w:lineRule="atLeast"/>
              <w:jc w:val="center"/>
              <w:rPr>
                <w:rFonts w:eastAsia="Calibri"/>
                <w:b/>
                <w:color w:val="000000" w:themeColor="text1"/>
                <w:sz w:val="18"/>
                <w:szCs w:val="18"/>
                <w:lang w:eastAsia="en-GB"/>
              </w:rPr>
            </w:pPr>
            <w:r w:rsidRPr="006B1A5A">
              <w:rPr>
                <w:rFonts w:eastAsia="Calibri"/>
                <w:b/>
                <w:color w:val="000000" w:themeColor="text1"/>
                <w:sz w:val="18"/>
                <w:szCs w:val="18"/>
                <w:lang w:eastAsia="en-GB"/>
              </w:rPr>
              <w:t xml:space="preserve">Average PEC values calculated by MAMPEC v3.1 </w:t>
            </w:r>
          </w:p>
          <w:p w14:paraId="6B29412F" w14:textId="77777777" w:rsidR="00160166" w:rsidRPr="006B1A5A" w:rsidRDefault="00160166" w:rsidP="00C51EF8">
            <w:pPr>
              <w:keepNext/>
              <w:shd w:val="clear" w:color="auto" w:fill="CCFFCC"/>
              <w:autoSpaceDE w:val="0"/>
              <w:autoSpaceDN w:val="0"/>
              <w:adjustRightInd w:val="0"/>
              <w:spacing w:before="60" w:after="60" w:line="260" w:lineRule="atLeast"/>
              <w:jc w:val="center"/>
              <w:rPr>
                <w:rFonts w:eastAsia="Calibri"/>
                <w:b/>
                <w:sz w:val="18"/>
                <w:szCs w:val="18"/>
                <w:lang w:eastAsia="en-GB"/>
              </w:rPr>
            </w:pPr>
            <w:r w:rsidRPr="006B1A5A">
              <w:rPr>
                <w:rFonts w:eastAsia="Calibri"/>
                <w:b/>
                <w:color w:val="000000" w:themeColor="text1"/>
                <w:sz w:val="18"/>
                <w:szCs w:val="18"/>
                <w:lang w:eastAsia="en-GB"/>
              </w:rPr>
              <w:t>(with background concentration for Cu)</w:t>
            </w:r>
          </w:p>
        </w:tc>
      </w:tr>
      <w:tr w:rsidR="00160166" w:rsidRPr="006B1A5A" w14:paraId="25E219C6" w14:textId="77777777" w:rsidTr="00CA2AE4">
        <w:trPr>
          <w:trHeight w:val="249"/>
        </w:trPr>
        <w:tc>
          <w:tcPr>
            <w:tcW w:w="5000" w:type="pct"/>
            <w:gridSpan w:val="5"/>
            <w:tcBorders>
              <w:top w:val="single" w:sz="4" w:space="0" w:color="auto"/>
              <w:left w:val="single" w:sz="4" w:space="0" w:color="auto"/>
              <w:bottom w:val="single" w:sz="4" w:space="0" w:color="auto"/>
            </w:tcBorders>
            <w:shd w:val="clear" w:color="auto" w:fill="FFFFCC"/>
            <w:vAlign w:val="center"/>
          </w:tcPr>
          <w:p w14:paraId="7EA548AD" w14:textId="77777777" w:rsidR="00160166" w:rsidRPr="006B1A5A" w:rsidRDefault="00160166" w:rsidP="00C51EF8">
            <w:pPr>
              <w:keepNext/>
              <w:autoSpaceDE w:val="0"/>
              <w:autoSpaceDN w:val="0"/>
              <w:adjustRightInd w:val="0"/>
              <w:spacing w:before="60" w:after="60" w:line="260" w:lineRule="atLeast"/>
              <w:jc w:val="center"/>
              <w:rPr>
                <w:rFonts w:eastAsia="Calibri"/>
                <w:b/>
                <w:color w:val="000000" w:themeColor="text1"/>
                <w:sz w:val="18"/>
                <w:szCs w:val="18"/>
                <w:lang w:eastAsia="en-GB"/>
              </w:rPr>
            </w:pPr>
          </w:p>
        </w:tc>
      </w:tr>
      <w:tr w:rsidR="00160166" w:rsidRPr="006B1A5A" w14:paraId="4E8B1E5A" w14:textId="77777777" w:rsidTr="00A20998">
        <w:trPr>
          <w:trHeight w:val="249"/>
        </w:trPr>
        <w:tc>
          <w:tcPr>
            <w:tcW w:w="1381" w:type="pct"/>
            <w:shd w:val="clear" w:color="auto" w:fill="FFFFFF"/>
            <w:vAlign w:val="center"/>
          </w:tcPr>
          <w:p w14:paraId="6E037D65" w14:textId="77777777" w:rsidR="00160166" w:rsidRPr="006B1A5A" w:rsidRDefault="00160166" w:rsidP="00C51EF8">
            <w:pPr>
              <w:spacing w:before="60" w:after="60"/>
              <w:jc w:val="center"/>
              <w:rPr>
                <w:rFonts w:eastAsia="Calibri"/>
                <w:b/>
                <w:sz w:val="18"/>
                <w:szCs w:val="18"/>
                <w:lang w:eastAsia="en-GB"/>
              </w:rPr>
            </w:pPr>
            <w:r w:rsidRPr="006B1A5A">
              <w:rPr>
                <w:rFonts w:eastAsia="Calibri"/>
                <w:b/>
                <w:sz w:val="18"/>
                <w:szCs w:val="18"/>
                <w:lang w:eastAsia="en-GB"/>
              </w:rPr>
              <w:t>Copper</w:t>
            </w:r>
          </w:p>
          <w:p w14:paraId="16EE7BF0" w14:textId="77777777" w:rsidR="00160166" w:rsidRPr="006B1A5A" w:rsidRDefault="00160166" w:rsidP="00C51EF8">
            <w:pPr>
              <w:spacing w:before="60" w:after="60"/>
              <w:jc w:val="center"/>
              <w:rPr>
                <w:rFonts w:eastAsia="Calibri"/>
                <w:sz w:val="18"/>
                <w:szCs w:val="18"/>
                <w:lang w:eastAsia="en-GB"/>
              </w:rPr>
            </w:pPr>
            <w:r w:rsidRPr="006B1A5A">
              <w:rPr>
                <w:rFonts w:eastAsia="Calibri"/>
                <w:sz w:val="18"/>
                <w:szCs w:val="18"/>
                <w:lang w:eastAsia="en-GB"/>
              </w:rPr>
              <w:t>PNECsurrounding waters = 1.15 µg/L</w:t>
            </w:r>
          </w:p>
          <w:p w14:paraId="56155D8F" w14:textId="77777777" w:rsidR="00160166" w:rsidRPr="006B1A5A" w:rsidRDefault="00160166" w:rsidP="00C51EF8">
            <w:pPr>
              <w:keepNext/>
              <w:spacing w:before="60" w:after="60"/>
              <w:jc w:val="center"/>
              <w:rPr>
                <w:rFonts w:eastAsia="Calibri"/>
                <w:sz w:val="18"/>
                <w:szCs w:val="18"/>
                <w:lang w:eastAsia="en-GB"/>
              </w:rPr>
            </w:pPr>
            <w:r w:rsidRPr="006B1A5A">
              <w:rPr>
                <w:rFonts w:eastAsia="Calibri"/>
                <w:sz w:val="18"/>
                <w:szCs w:val="18"/>
                <w:lang w:eastAsia="en-GB"/>
              </w:rPr>
              <w:t>PNEC</w:t>
            </w:r>
            <w:r w:rsidRPr="006B1A5A">
              <w:rPr>
                <w:rFonts w:eastAsia="Calibri"/>
                <w:sz w:val="18"/>
                <w:szCs w:val="18"/>
                <w:vertAlign w:val="subscript"/>
                <w:lang w:eastAsia="en-GB"/>
              </w:rPr>
              <w:t>sed</w:t>
            </w:r>
            <w:r w:rsidRPr="006B1A5A">
              <w:rPr>
                <w:rFonts w:eastAsia="Calibri"/>
                <w:sz w:val="18"/>
                <w:szCs w:val="18"/>
                <w:lang w:eastAsia="en-GB"/>
              </w:rPr>
              <w:t xml:space="preserve"> = 98.8 µg/g dw</w:t>
            </w:r>
          </w:p>
        </w:tc>
        <w:tc>
          <w:tcPr>
            <w:tcW w:w="885" w:type="pct"/>
            <w:shd w:val="clear" w:color="auto" w:fill="FFFFFF"/>
            <w:vAlign w:val="center"/>
          </w:tcPr>
          <w:p w14:paraId="0CB319B5" w14:textId="77777777" w:rsidR="00160166" w:rsidRPr="006B1A5A" w:rsidRDefault="00160166" w:rsidP="00C51EF8">
            <w:pPr>
              <w:autoSpaceDE w:val="0"/>
              <w:autoSpaceDN w:val="0"/>
              <w:adjustRightInd w:val="0"/>
              <w:spacing w:before="60" w:after="60" w:line="260" w:lineRule="atLeast"/>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dissolved</w:t>
            </w:r>
          </w:p>
          <w:p w14:paraId="4DEDF7AA" w14:textId="77777777" w:rsidR="00160166" w:rsidRPr="006B1A5A" w:rsidRDefault="00160166" w:rsidP="00C51EF8">
            <w:pPr>
              <w:keepNext/>
              <w:autoSpaceDE w:val="0"/>
              <w:autoSpaceDN w:val="0"/>
              <w:adjustRightInd w:val="0"/>
              <w:spacing w:before="60" w:after="60" w:line="260" w:lineRule="atLeast"/>
              <w:jc w:val="center"/>
              <w:rPr>
                <w:rFonts w:eastAsia="Calibri"/>
                <w:sz w:val="18"/>
                <w:szCs w:val="18"/>
                <w:lang w:eastAsia="en-GB"/>
              </w:rPr>
            </w:pPr>
            <w:r w:rsidRPr="006B1A5A">
              <w:rPr>
                <w:rFonts w:eastAsia="Calibri"/>
                <w:sz w:val="18"/>
                <w:szCs w:val="18"/>
                <w:lang w:eastAsia="en-GB"/>
              </w:rPr>
              <w:t>[µg/L]</w:t>
            </w:r>
          </w:p>
        </w:tc>
        <w:tc>
          <w:tcPr>
            <w:tcW w:w="886" w:type="pct"/>
            <w:shd w:val="clear" w:color="auto" w:fill="FFFFFF"/>
            <w:vAlign w:val="center"/>
          </w:tcPr>
          <w:p w14:paraId="3D431677" w14:textId="77777777" w:rsidR="00160166" w:rsidRPr="006B1A5A" w:rsidRDefault="00160166" w:rsidP="00C51EF8">
            <w:pPr>
              <w:keepNext/>
              <w:autoSpaceDE w:val="0"/>
              <w:autoSpaceDN w:val="0"/>
              <w:adjustRightInd w:val="0"/>
              <w:spacing w:before="60" w:after="60" w:line="260" w:lineRule="atLeast"/>
              <w:jc w:val="center"/>
              <w:rPr>
                <w:rFonts w:eastAsia="Calibri"/>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 xml:space="preserve">dissolved </w:t>
            </w:r>
            <w:r w:rsidRPr="006B1A5A">
              <w:rPr>
                <w:rFonts w:eastAsia="Calibri"/>
                <w:b/>
                <w:sz w:val="18"/>
                <w:szCs w:val="18"/>
                <w:lang w:eastAsia="en-GB"/>
              </w:rPr>
              <w:t>/ PNEC</w:t>
            </w:r>
            <w:r w:rsidRPr="006B1A5A">
              <w:rPr>
                <w:rFonts w:eastAsia="Calibri"/>
                <w:b/>
                <w:sz w:val="18"/>
                <w:szCs w:val="18"/>
                <w:vertAlign w:val="subscript"/>
                <w:lang w:eastAsia="en-GB"/>
              </w:rPr>
              <w:t xml:space="preserve">water </w:t>
            </w:r>
            <w:r w:rsidRPr="006B1A5A">
              <w:rPr>
                <w:rFonts w:eastAsia="Calibri"/>
                <w:b/>
                <w:sz w:val="18"/>
                <w:szCs w:val="18"/>
                <w:vertAlign w:val="superscript"/>
                <w:lang w:eastAsia="en-GB"/>
              </w:rPr>
              <w:t>1</w:t>
            </w:r>
          </w:p>
        </w:tc>
        <w:tc>
          <w:tcPr>
            <w:tcW w:w="886" w:type="pct"/>
            <w:shd w:val="clear" w:color="auto" w:fill="FFFFFF"/>
            <w:vAlign w:val="center"/>
          </w:tcPr>
          <w:p w14:paraId="51C1A7AD" w14:textId="77777777" w:rsidR="00160166" w:rsidRPr="006B1A5A" w:rsidRDefault="00160166" w:rsidP="00C51EF8">
            <w:pPr>
              <w:spacing w:before="60" w:after="60"/>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suspended sediment</w:t>
            </w:r>
          </w:p>
          <w:p w14:paraId="0D4A6687" w14:textId="77777777" w:rsidR="00160166" w:rsidRPr="006B1A5A" w:rsidRDefault="00160166" w:rsidP="00C51EF8">
            <w:pPr>
              <w:keepNext/>
              <w:spacing w:before="60" w:after="60"/>
              <w:jc w:val="center"/>
              <w:rPr>
                <w:rFonts w:eastAsia="Calibri"/>
                <w:sz w:val="18"/>
                <w:szCs w:val="18"/>
                <w:lang w:eastAsia="en-GB"/>
              </w:rPr>
            </w:pPr>
            <w:r w:rsidRPr="006B1A5A">
              <w:rPr>
                <w:rFonts w:eastAsia="Calibri"/>
                <w:sz w:val="18"/>
                <w:szCs w:val="18"/>
                <w:lang w:eastAsia="en-GB"/>
              </w:rPr>
              <w:t>[µg/g dw]</w:t>
            </w:r>
          </w:p>
        </w:tc>
        <w:tc>
          <w:tcPr>
            <w:tcW w:w="961" w:type="pct"/>
            <w:shd w:val="clear" w:color="auto" w:fill="auto"/>
            <w:vAlign w:val="center"/>
          </w:tcPr>
          <w:p w14:paraId="7A4BF1E0" w14:textId="77777777" w:rsidR="00160166" w:rsidRPr="006B1A5A" w:rsidRDefault="00160166" w:rsidP="00C51EF8">
            <w:pPr>
              <w:keepNext/>
              <w:spacing w:before="60" w:after="60"/>
              <w:jc w:val="center"/>
              <w:rPr>
                <w:rFonts w:eastAsia="Calibri"/>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suspended sediment</w:t>
            </w:r>
            <w:r w:rsidRPr="006B1A5A">
              <w:rPr>
                <w:rFonts w:eastAsia="Calibri"/>
                <w:b/>
                <w:sz w:val="18"/>
                <w:szCs w:val="18"/>
                <w:lang w:eastAsia="en-GB"/>
              </w:rPr>
              <w:t>/ PNEC</w:t>
            </w:r>
            <w:r w:rsidRPr="006B1A5A">
              <w:rPr>
                <w:rFonts w:eastAsia="Calibri"/>
                <w:b/>
                <w:sz w:val="18"/>
                <w:szCs w:val="18"/>
                <w:vertAlign w:val="subscript"/>
                <w:lang w:eastAsia="en-GB"/>
              </w:rPr>
              <w:t xml:space="preserve">sediment </w:t>
            </w:r>
            <w:r w:rsidRPr="006B1A5A">
              <w:rPr>
                <w:rFonts w:eastAsia="Calibri"/>
                <w:b/>
                <w:sz w:val="18"/>
                <w:szCs w:val="18"/>
                <w:vertAlign w:val="superscript"/>
                <w:lang w:eastAsia="en-GB"/>
              </w:rPr>
              <w:t>1</w:t>
            </w:r>
          </w:p>
        </w:tc>
      </w:tr>
      <w:tr w:rsidR="00160166" w:rsidRPr="006B1A5A" w14:paraId="41E7043C" w14:textId="77777777" w:rsidTr="00A20998">
        <w:trPr>
          <w:trHeight w:val="75"/>
        </w:trPr>
        <w:tc>
          <w:tcPr>
            <w:tcW w:w="1381" w:type="pct"/>
            <w:shd w:val="clear" w:color="auto" w:fill="FFFFFF"/>
          </w:tcPr>
          <w:p w14:paraId="4A1845D3" w14:textId="432C24FE" w:rsidR="00160166" w:rsidRPr="006B1A5A" w:rsidRDefault="00160166" w:rsidP="00C51EF8">
            <w:pPr>
              <w:keepNext/>
              <w:spacing w:before="60" w:after="60"/>
              <w:rPr>
                <w:rFonts w:eastAsia="Calibri"/>
                <w:b/>
                <w:sz w:val="18"/>
                <w:szCs w:val="18"/>
                <w:lang w:eastAsia="en-GB"/>
              </w:rPr>
            </w:pPr>
            <w:r w:rsidRPr="006B1A5A">
              <w:rPr>
                <w:rFonts w:eastAsia="Calibri"/>
                <w:b/>
                <w:sz w:val="18"/>
                <w:szCs w:val="18"/>
                <w:lang w:eastAsia="en-GB"/>
              </w:rPr>
              <w:t>EU fish farm scenario</w:t>
            </w:r>
            <w:r w:rsidR="00CA2AE4" w:rsidRPr="00CA2AE4">
              <w:rPr>
                <w:rFonts w:eastAsia="Calibri"/>
                <w:b/>
                <w:sz w:val="18"/>
                <w:szCs w:val="18"/>
                <w:vertAlign w:val="superscript"/>
                <w:lang w:eastAsia="en-GB"/>
              </w:rPr>
              <w:t>2</w:t>
            </w:r>
          </w:p>
        </w:tc>
        <w:tc>
          <w:tcPr>
            <w:tcW w:w="885" w:type="pct"/>
            <w:shd w:val="clear" w:color="auto" w:fill="FFFFFF"/>
            <w:vAlign w:val="center"/>
          </w:tcPr>
          <w:p w14:paraId="203B9568" w14:textId="28CE8357" w:rsidR="00160166" w:rsidRPr="006B1A5A" w:rsidRDefault="00160166" w:rsidP="00C51EF8">
            <w:pPr>
              <w:pStyle w:val="Ingenmellomrom"/>
              <w:keepNext/>
              <w:jc w:val="center"/>
              <w:rPr>
                <w:rFonts w:ascii="Verdana" w:hAnsi="Verdana"/>
                <w:sz w:val="18"/>
                <w:szCs w:val="18"/>
                <w:lang w:val="en-GB" w:eastAsia="en-GB"/>
              </w:rPr>
            </w:pPr>
            <w:r w:rsidRPr="006B1A5A">
              <w:rPr>
                <w:rFonts w:ascii="Verdana" w:hAnsi="Verdana"/>
                <w:sz w:val="18"/>
                <w:szCs w:val="18"/>
                <w:lang w:val="en-GB" w:eastAsia="en-GB"/>
              </w:rPr>
              <w:t>1.2</w:t>
            </w:r>
            <w:r>
              <w:rPr>
                <w:rFonts w:ascii="Verdana" w:hAnsi="Verdana"/>
                <w:sz w:val="18"/>
                <w:szCs w:val="18"/>
                <w:lang w:val="en-GB" w:eastAsia="en-GB"/>
              </w:rPr>
              <w:t>1</w:t>
            </w:r>
          </w:p>
        </w:tc>
        <w:tc>
          <w:tcPr>
            <w:tcW w:w="886" w:type="pct"/>
            <w:shd w:val="clear" w:color="auto" w:fill="FFFFFF"/>
            <w:vAlign w:val="center"/>
          </w:tcPr>
          <w:p w14:paraId="28DF83E2" w14:textId="75826749" w:rsidR="00160166" w:rsidRPr="00D555AE" w:rsidRDefault="00160166" w:rsidP="00C51EF8">
            <w:pPr>
              <w:pStyle w:val="Ingenmellomrom"/>
              <w:keepNext/>
              <w:jc w:val="center"/>
              <w:rPr>
                <w:rFonts w:ascii="Verdana" w:hAnsi="Verdana"/>
                <w:bCs/>
                <w:sz w:val="18"/>
                <w:szCs w:val="18"/>
                <w:lang w:val="en-GB" w:eastAsia="en-GB"/>
              </w:rPr>
            </w:pPr>
            <w:r w:rsidRPr="00D555AE">
              <w:rPr>
                <w:rFonts w:ascii="Verdana" w:hAnsi="Verdana"/>
                <w:bCs/>
                <w:sz w:val="18"/>
                <w:szCs w:val="18"/>
                <w:lang w:val="en-GB" w:eastAsia="en-GB"/>
              </w:rPr>
              <w:t>1.0</w:t>
            </w:r>
          </w:p>
        </w:tc>
        <w:tc>
          <w:tcPr>
            <w:tcW w:w="886" w:type="pct"/>
            <w:shd w:val="clear" w:color="auto" w:fill="FFFFFF"/>
            <w:vAlign w:val="center"/>
          </w:tcPr>
          <w:p w14:paraId="21D34B6C" w14:textId="506ECD39" w:rsidR="00160166" w:rsidRPr="006B1A5A" w:rsidRDefault="00160166" w:rsidP="00C51EF8">
            <w:pPr>
              <w:pStyle w:val="Ingenmellomrom"/>
              <w:keepNext/>
              <w:jc w:val="center"/>
              <w:rPr>
                <w:rFonts w:ascii="Verdana" w:hAnsi="Verdana"/>
                <w:sz w:val="18"/>
                <w:szCs w:val="18"/>
                <w:lang w:val="en-GB" w:eastAsia="en-GB"/>
              </w:rPr>
            </w:pPr>
            <w:r>
              <w:rPr>
                <w:rFonts w:ascii="Verdana" w:hAnsi="Verdana"/>
                <w:sz w:val="18"/>
                <w:szCs w:val="18"/>
                <w:lang w:val="en-GB" w:eastAsia="en-GB"/>
              </w:rPr>
              <w:t>30.07</w:t>
            </w:r>
          </w:p>
        </w:tc>
        <w:tc>
          <w:tcPr>
            <w:tcW w:w="961" w:type="pct"/>
            <w:shd w:val="clear" w:color="auto" w:fill="FFFFFF"/>
            <w:vAlign w:val="center"/>
          </w:tcPr>
          <w:p w14:paraId="42012B4D" w14:textId="1492DA49" w:rsidR="00160166" w:rsidRPr="006B1A5A" w:rsidRDefault="00160166" w:rsidP="00C51EF8">
            <w:pPr>
              <w:pStyle w:val="Ingenmellomrom"/>
              <w:keepNext/>
              <w:jc w:val="center"/>
              <w:rPr>
                <w:rFonts w:ascii="Verdana" w:hAnsi="Verdana"/>
                <w:sz w:val="18"/>
                <w:szCs w:val="18"/>
                <w:lang w:val="en-GB" w:eastAsia="en-GB"/>
              </w:rPr>
            </w:pPr>
            <w:r w:rsidRPr="006B1A5A">
              <w:rPr>
                <w:rFonts w:ascii="Verdana" w:hAnsi="Verdana"/>
                <w:sz w:val="18"/>
                <w:szCs w:val="18"/>
                <w:lang w:val="en-GB" w:eastAsia="en-GB"/>
              </w:rPr>
              <w:t>0.</w:t>
            </w:r>
            <w:r>
              <w:rPr>
                <w:rFonts w:ascii="Verdana" w:hAnsi="Verdana"/>
                <w:sz w:val="18"/>
                <w:szCs w:val="18"/>
                <w:lang w:val="en-GB" w:eastAsia="en-GB"/>
              </w:rPr>
              <w:t>30</w:t>
            </w:r>
          </w:p>
        </w:tc>
      </w:tr>
      <w:tr w:rsidR="00160166" w:rsidRPr="006B1A5A" w14:paraId="6B733D6B" w14:textId="77777777" w:rsidTr="00A20998">
        <w:trPr>
          <w:trHeight w:val="75"/>
        </w:trPr>
        <w:tc>
          <w:tcPr>
            <w:tcW w:w="1381" w:type="pct"/>
            <w:shd w:val="clear" w:color="auto" w:fill="FFFFFF"/>
            <w:vAlign w:val="center"/>
          </w:tcPr>
          <w:p w14:paraId="569A54C7" w14:textId="77777777" w:rsidR="00160166" w:rsidRPr="006B1A5A" w:rsidRDefault="00160166" w:rsidP="00C51EF8">
            <w:pPr>
              <w:spacing w:before="60" w:after="60"/>
              <w:jc w:val="center"/>
              <w:rPr>
                <w:rFonts w:eastAsia="Calibri"/>
                <w:b/>
                <w:sz w:val="18"/>
                <w:szCs w:val="18"/>
                <w:lang w:eastAsia="en-GB"/>
              </w:rPr>
            </w:pPr>
            <w:r w:rsidRPr="006B1A5A">
              <w:rPr>
                <w:rFonts w:eastAsia="Calibri"/>
                <w:b/>
                <w:sz w:val="18"/>
                <w:szCs w:val="18"/>
                <w:lang w:eastAsia="en-GB"/>
              </w:rPr>
              <w:t>Thiocyanate</w:t>
            </w:r>
          </w:p>
          <w:p w14:paraId="79B32E1B" w14:textId="77777777" w:rsidR="00160166" w:rsidRPr="006B1A5A" w:rsidRDefault="00160166" w:rsidP="00C51EF8">
            <w:pPr>
              <w:spacing w:before="60" w:after="60"/>
              <w:jc w:val="center"/>
              <w:rPr>
                <w:rFonts w:eastAsia="Calibri"/>
                <w:sz w:val="18"/>
                <w:szCs w:val="18"/>
                <w:lang w:eastAsia="en-GB"/>
              </w:rPr>
            </w:pPr>
            <w:r w:rsidRPr="006B1A5A">
              <w:rPr>
                <w:rFonts w:eastAsia="Calibri"/>
                <w:sz w:val="18"/>
                <w:szCs w:val="18"/>
                <w:lang w:eastAsia="en-GB"/>
              </w:rPr>
              <w:t>PNEC surrounding waters = 11 µg/L</w:t>
            </w:r>
          </w:p>
          <w:p w14:paraId="69FCBD83" w14:textId="77777777" w:rsidR="00160166" w:rsidRPr="006B1A5A" w:rsidRDefault="00160166" w:rsidP="00C51EF8">
            <w:pPr>
              <w:keepNext/>
              <w:spacing w:before="60" w:after="60"/>
              <w:jc w:val="center"/>
              <w:rPr>
                <w:rFonts w:eastAsia="Calibri"/>
                <w:sz w:val="18"/>
                <w:szCs w:val="18"/>
                <w:lang w:eastAsia="en-GB"/>
              </w:rPr>
            </w:pPr>
            <w:r w:rsidRPr="006B1A5A">
              <w:rPr>
                <w:rFonts w:eastAsia="Calibri"/>
                <w:sz w:val="18"/>
                <w:szCs w:val="18"/>
                <w:lang w:eastAsia="en-GB"/>
              </w:rPr>
              <w:t>PNEC</w:t>
            </w:r>
            <w:r w:rsidRPr="006B1A5A">
              <w:rPr>
                <w:rFonts w:eastAsia="Calibri"/>
                <w:sz w:val="18"/>
                <w:szCs w:val="18"/>
                <w:vertAlign w:val="subscript"/>
                <w:lang w:eastAsia="en-GB"/>
              </w:rPr>
              <w:t>sed</w:t>
            </w:r>
            <w:r w:rsidRPr="006B1A5A">
              <w:rPr>
                <w:rFonts w:eastAsia="Calibri"/>
                <w:sz w:val="18"/>
                <w:szCs w:val="18"/>
                <w:lang w:eastAsia="en-GB"/>
              </w:rPr>
              <w:t xml:space="preserve"> = 0.045 µg/g dw</w:t>
            </w:r>
          </w:p>
        </w:tc>
        <w:tc>
          <w:tcPr>
            <w:tcW w:w="885" w:type="pct"/>
            <w:shd w:val="clear" w:color="auto" w:fill="FFFFFF"/>
            <w:vAlign w:val="center"/>
          </w:tcPr>
          <w:p w14:paraId="1FFF4699" w14:textId="77777777" w:rsidR="00160166" w:rsidRPr="006B1A5A" w:rsidRDefault="00160166" w:rsidP="00C51EF8">
            <w:pPr>
              <w:autoSpaceDE w:val="0"/>
              <w:autoSpaceDN w:val="0"/>
              <w:adjustRightInd w:val="0"/>
              <w:spacing w:before="60" w:after="60" w:line="260" w:lineRule="atLeast"/>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dissolved</w:t>
            </w:r>
          </w:p>
          <w:p w14:paraId="1F4426AA" w14:textId="77777777" w:rsidR="00160166" w:rsidRPr="006B1A5A" w:rsidRDefault="00160166" w:rsidP="00C51EF8">
            <w:pPr>
              <w:keepNext/>
              <w:autoSpaceDE w:val="0"/>
              <w:autoSpaceDN w:val="0"/>
              <w:adjustRightInd w:val="0"/>
              <w:spacing w:before="60" w:after="60" w:line="260" w:lineRule="atLeast"/>
              <w:jc w:val="center"/>
              <w:rPr>
                <w:rFonts w:eastAsia="Calibri"/>
                <w:sz w:val="18"/>
                <w:szCs w:val="18"/>
                <w:lang w:eastAsia="en-GB"/>
              </w:rPr>
            </w:pPr>
            <w:r w:rsidRPr="006B1A5A">
              <w:rPr>
                <w:rFonts w:eastAsia="Calibri"/>
                <w:sz w:val="18"/>
                <w:szCs w:val="18"/>
                <w:lang w:eastAsia="en-GB"/>
              </w:rPr>
              <w:t>[µg/L]</w:t>
            </w:r>
          </w:p>
        </w:tc>
        <w:tc>
          <w:tcPr>
            <w:tcW w:w="886" w:type="pct"/>
            <w:shd w:val="clear" w:color="auto" w:fill="FFFFFF"/>
            <w:vAlign w:val="center"/>
          </w:tcPr>
          <w:p w14:paraId="148BFB63" w14:textId="77777777" w:rsidR="00160166" w:rsidRPr="006B1A5A" w:rsidRDefault="00160166" w:rsidP="00C51EF8">
            <w:pPr>
              <w:keepNext/>
              <w:autoSpaceDE w:val="0"/>
              <w:autoSpaceDN w:val="0"/>
              <w:adjustRightInd w:val="0"/>
              <w:spacing w:before="60" w:after="60" w:line="260" w:lineRule="atLeast"/>
              <w:jc w:val="center"/>
              <w:rPr>
                <w:rFonts w:eastAsia="Calibri"/>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 xml:space="preserve">dissolved </w:t>
            </w:r>
            <w:r w:rsidRPr="006B1A5A">
              <w:rPr>
                <w:rFonts w:eastAsia="Calibri"/>
                <w:b/>
                <w:sz w:val="18"/>
                <w:szCs w:val="18"/>
                <w:lang w:eastAsia="en-GB"/>
              </w:rPr>
              <w:t>/ PNEC</w:t>
            </w:r>
            <w:r w:rsidRPr="006B1A5A">
              <w:rPr>
                <w:rFonts w:eastAsia="Calibri"/>
                <w:b/>
                <w:sz w:val="18"/>
                <w:szCs w:val="18"/>
                <w:vertAlign w:val="subscript"/>
                <w:lang w:eastAsia="en-GB"/>
              </w:rPr>
              <w:t xml:space="preserve">water </w:t>
            </w:r>
            <w:r w:rsidRPr="006B1A5A">
              <w:rPr>
                <w:rFonts w:eastAsia="Calibri"/>
                <w:b/>
                <w:sz w:val="18"/>
                <w:szCs w:val="18"/>
                <w:vertAlign w:val="superscript"/>
                <w:lang w:eastAsia="en-GB"/>
              </w:rPr>
              <w:t>1</w:t>
            </w:r>
          </w:p>
        </w:tc>
        <w:tc>
          <w:tcPr>
            <w:tcW w:w="886" w:type="pct"/>
            <w:shd w:val="clear" w:color="auto" w:fill="FFFFFF"/>
            <w:vAlign w:val="center"/>
          </w:tcPr>
          <w:p w14:paraId="5937BE35" w14:textId="77777777" w:rsidR="00160166" w:rsidRPr="006B1A5A" w:rsidRDefault="00160166" w:rsidP="00C51EF8">
            <w:pPr>
              <w:spacing w:before="60" w:after="60"/>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suspended sediment</w:t>
            </w:r>
          </w:p>
          <w:p w14:paraId="4A88EEC4" w14:textId="77777777" w:rsidR="00160166" w:rsidRPr="006B1A5A" w:rsidRDefault="00160166" w:rsidP="00C51EF8">
            <w:pPr>
              <w:keepNext/>
              <w:spacing w:before="60" w:after="60"/>
              <w:jc w:val="center"/>
              <w:rPr>
                <w:rFonts w:eastAsia="Calibri"/>
                <w:sz w:val="18"/>
                <w:szCs w:val="18"/>
                <w:lang w:eastAsia="en-GB"/>
              </w:rPr>
            </w:pPr>
            <w:r w:rsidRPr="006B1A5A">
              <w:rPr>
                <w:rFonts w:eastAsia="Calibri"/>
                <w:sz w:val="18"/>
                <w:szCs w:val="18"/>
                <w:lang w:eastAsia="en-GB"/>
              </w:rPr>
              <w:t>[µg/g dw]</w:t>
            </w:r>
          </w:p>
        </w:tc>
        <w:tc>
          <w:tcPr>
            <w:tcW w:w="961" w:type="pct"/>
            <w:shd w:val="clear" w:color="auto" w:fill="FFFFFF"/>
            <w:vAlign w:val="center"/>
          </w:tcPr>
          <w:p w14:paraId="023CA42F" w14:textId="77777777" w:rsidR="00160166" w:rsidRPr="006B1A5A" w:rsidRDefault="00160166" w:rsidP="00C51EF8">
            <w:pPr>
              <w:keepNext/>
              <w:spacing w:before="60" w:after="60"/>
              <w:jc w:val="center"/>
              <w:rPr>
                <w:rFonts w:eastAsia="Calibri"/>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suspended sediment</w:t>
            </w:r>
            <w:r w:rsidRPr="006B1A5A">
              <w:rPr>
                <w:rFonts w:eastAsia="Calibri"/>
                <w:b/>
                <w:sz w:val="18"/>
                <w:szCs w:val="18"/>
                <w:lang w:eastAsia="en-GB"/>
              </w:rPr>
              <w:t>/ PNEC</w:t>
            </w:r>
            <w:r w:rsidRPr="006B1A5A">
              <w:rPr>
                <w:rFonts w:eastAsia="Calibri"/>
                <w:b/>
                <w:sz w:val="18"/>
                <w:szCs w:val="18"/>
                <w:vertAlign w:val="subscript"/>
                <w:lang w:eastAsia="en-GB"/>
              </w:rPr>
              <w:t xml:space="preserve">sediment </w:t>
            </w:r>
            <w:r w:rsidRPr="006B1A5A">
              <w:rPr>
                <w:rFonts w:eastAsia="Calibri"/>
                <w:b/>
                <w:sz w:val="18"/>
                <w:szCs w:val="18"/>
                <w:vertAlign w:val="superscript"/>
                <w:lang w:eastAsia="en-GB"/>
              </w:rPr>
              <w:t>1</w:t>
            </w:r>
          </w:p>
        </w:tc>
      </w:tr>
      <w:tr w:rsidR="00160166" w:rsidRPr="006B1A5A" w14:paraId="01111A1D" w14:textId="77777777" w:rsidTr="00A20998">
        <w:trPr>
          <w:trHeight w:val="75"/>
        </w:trPr>
        <w:tc>
          <w:tcPr>
            <w:tcW w:w="1381" w:type="pct"/>
            <w:shd w:val="clear" w:color="auto" w:fill="FFFFFF"/>
          </w:tcPr>
          <w:p w14:paraId="3F08215E" w14:textId="77777777" w:rsidR="00160166" w:rsidRPr="006B1A5A" w:rsidRDefault="00160166" w:rsidP="00C51EF8">
            <w:pPr>
              <w:keepNext/>
              <w:spacing w:before="60" w:after="60"/>
              <w:rPr>
                <w:rFonts w:eastAsia="Calibri"/>
                <w:b/>
                <w:sz w:val="18"/>
                <w:szCs w:val="18"/>
                <w:lang w:eastAsia="en-GB"/>
              </w:rPr>
            </w:pPr>
            <w:r w:rsidRPr="006B1A5A">
              <w:rPr>
                <w:rFonts w:eastAsia="Calibri"/>
                <w:b/>
                <w:sz w:val="18"/>
                <w:szCs w:val="18"/>
                <w:lang w:eastAsia="en-GB"/>
              </w:rPr>
              <w:t>EU fish farm scenario</w:t>
            </w:r>
          </w:p>
        </w:tc>
        <w:tc>
          <w:tcPr>
            <w:tcW w:w="885" w:type="pct"/>
            <w:shd w:val="clear" w:color="auto" w:fill="FFFFFF"/>
            <w:vAlign w:val="center"/>
          </w:tcPr>
          <w:p w14:paraId="35F4E87E" w14:textId="77777777" w:rsidR="00160166" w:rsidRPr="006B1A5A" w:rsidRDefault="00160166" w:rsidP="00C51EF8">
            <w:pPr>
              <w:pStyle w:val="Ingenmellomrom"/>
              <w:keepNext/>
              <w:jc w:val="center"/>
              <w:rPr>
                <w:rFonts w:ascii="Verdana" w:hAnsi="Verdana"/>
                <w:sz w:val="18"/>
                <w:szCs w:val="18"/>
                <w:highlight w:val="yellow"/>
                <w:lang w:val="en-GB" w:eastAsia="en-GB"/>
              </w:rPr>
            </w:pPr>
            <w:r w:rsidRPr="006B1A5A">
              <w:rPr>
                <w:rFonts w:ascii="Verdana" w:hAnsi="Verdana"/>
                <w:sz w:val="18"/>
                <w:szCs w:val="18"/>
                <w:lang w:val="en-GB" w:eastAsia="en-GB"/>
              </w:rPr>
              <w:t>0.05</w:t>
            </w:r>
          </w:p>
        </w:tc>
        <w:tc>
          <w:tcPr>
            <w:tcW w:w="886" w:type="pct"/>
            <w:shd w:val="clear" w:color="auto" w:fill="FFFFFF"/>
            <w:vAlign w:val="center"/>
          </w:tcPr>
          <w:p w14:paraId="0F87FF58" w14:textId="77777777" w:rsidR="00160166" w:rsidRPr="006B1A5A" w:rsidRDefault="00160166" w:rsidP="00C51EF8">
            <w:pPr>
              <w:pStyle w:val="Ingenmellomrom"/>
              <w:keepNext/>
              <w:jc w:val="center"/>
              <w:rPr>
                <w:rFonts w:ascii="Verdana" w:hAnsi="Verdana"/>
                <w:sz w:val="18"/>
                <w:szCs w:val="18"/>
                <w:highlight w:val="yellow"/>
                <w:lang w:val="en-GB" w:eastAsia="en-GB"/>
              </w:rPr>
            </w:pPr>
            <w:r w:rsidRPr="006B1A5A">
              <w:rPr>
                <w:rFonts w:ascii="Verdana" w:hAnsi="Verdana"/>
                <w:sz w:val="18"/>
                <w:szCs w:val="18"/>
                <w:lang w:val="en-GB" w:eastAsia="en-GB"/>
              </w:rPr>
              <w:t>0.0043</w:t>
            </w:r>
          </w:p>
        </w:tc>
        <w:tc>
          <w:tcPr>
            <w:tcW w:w="886" w:type="pct"/>
            <w:shd w:val="clear" w:color="auto" w:fill="FFFFFF"/>
            <w:vAlign w:val="center"/>
          </w:tcPr>
          <w:p w14:paraId="6F5B9713" w14:textId="77777777" w:rsidR="00160166" w:rsidRPr="006B1A5A" w:rsidRDefault="00160166" w:rsidP="00C51EF8">
            <w:pPr>
              <w:pStyle w:val="Ingenmellomrom"/>
              <w:keepNext/>
              <w:jc w:val="center"/>
              <w:rPr>
                <w:rFonts w:ascii="Verdana" w:hAnsi="Verdana"/>
                <w:sz w:val="18"/>
                <w:szCs w:val="18"/>
                <w:highlight w:val="yellow"/>
                <w:lang w:val="en-GB" w:eastAsia="en-GB"/>
              </w:rPr>
            </w:pPr>
            <w:r w:rsidRPr="006B1A5A">
              <w:rPr>
                <w:rFonts w:ascii="Verdana" w:hAnsi="Verdana"/>
                <w:sz w:val="18"/>
                <w:szCs w:val="18"/>
                <w:lang w:val="en-GB" w:eastAsia="en-GB"/>
              </w:rPr>
              <w:t>1.27E-</w:t>
            </w:r>
            <w:r w:rsidRPr="006B1A5A" w:rsidDel="00D336AA">
              <w:rPr>
                <w:rFonts w:ascii="Verdana" w:hAnsi="Verdana"/>
                <w:sz w:val="18"/>
                <w:szCs w:val="18"/>
                <w:lang w:val="en-GB" w:eastAsia="en-GB"/>
              </w:rPr>
              <w:t>05</w:t>
            </w:r>
          </w:p>
        </w:tc>
        <w:tc>
          <w:tcPr>
            <w:tcW w:w="961" w:type="pct"/>
            <w:shd w:val="clear" w:color="auto" w:fill="FFFFFF"/>
            <w:vAlign w:val="center"/>
          </w:tcPr>
          <w:p w14:paraId="27BFB861" w14:textId="77777777" w:rsidR="00160166" w:rsidRPr="006B1A5A" w:rsidRDefault="00160166" w:rsidP="00C51EF8">
            <w:pPr>
              <w:pStyle w:val="Ingenmellomrom"/>
              <w:keepNext/>
              <w:jc w:val="center"/>
              <w:rPr>
                <w:rFonts w:ascii="Verdana" w:hAnsi="Verdana"/>
                <w:sz w:val="18"/>
                <w:szCs w:val="18"/>
                <w:highlight w:val="yellow"/>
                <w:lang w:val="en-GB" w:eastAsia="en-GB"/>
              </w:rPr>
            </w:pPr>
            <w:r w:rsidRPr="006B1A5A">
              <w:rPr>
                <w:rFonts w:ascii="Verdana" w:hAnsi="Verdana"/>
                <w:sz w:val="18"/>
                <w:szCs w:val="18"/>
                <w:lang w:val="en-GB" w:eastAsia="en-GB"/>
              </w:rPr>
              <w:t>2.8E-</w:t>
            </w:r>
            <w:r w:rsidRPr="006B1A5A" w:rsidDel="00D336AA">
              <w:rPr>
                <w:rFonts w:ascii="Verdana" w:hAnsi="Verdana"/>
                <w:sz w:val="18"/>
                <w:szCs w:val="18"/>
                <w:lang w:val="en-GB" w:eastAsia="en-GB"/>
              </w:rPr>
              <w:t>04</w:t>
            </w:r>
          </w:p>
        </w:tc>
      </w:tr>
      <w:tr w:rsidR="00CA2AE4" w:rsidRPr="006B1A5A" w14:paraId="734BEA00" w14:textId="77777777" w:rsidTr="00C51EF8">
        <w:trPr>
          <w:trHeight w:val="75"/>
        </w:trPr>
        <w:tc>
          <w:tcPr>
            <w:tcW w:w="5000" w:type="pct"/>
            <w:gridSpan w:val="5"/>
            <w:tcBorders>
              <w:top w:val="single" w:sz="4" w:space="0" w:color="auto"/>
              <w:left w:val="nil"/>
              <w:bottom w:val="nil"/>
              <w:right w:val="nil"/>
            </w:tcBorders>
            <w:shd w:val="clear" w:color="auto" w:fill="FFFFFF"/>
          </w:tcPr>
          <w:p w14:paraId="3F17134B" w14:textId="77777777" w:rsidR="00CA2AE4" w:rsidRPr="006B1A5A" w:rsidRDefault="00CA2AE4" w:rsidP="00C51EF8">
            <w:pPr>
              <w:pStyle w:val="Ingenmellomrom"/>
              <w:keepNext/>
              <w:jc w:val="left"/>
              <w:rPr>
                <w:rFonts w:ascii="Verdana" w:hAnsi="Verdana"/>
                <w:b/>
                <w:sz w:val="18"/>
                <w:szCs w:val="20"/>
                <w:lang w:val="en-GB" w:eastAsia="en-GB"/>
              </w:rPr>
            </w:pPr>
            <w:r w:rsidRPr="006B1A5A">
              <w:rPr>
                <w:rFonts w:ascii="Verdana" w:hAnsi="Verdana"/>
                <w:sz w:val="18"/>
                <w:szCs w:val="20"/>
                <w:vertAlign w:val="superscript"/>
                <w:lang w:val="en-GB"/>
              </w:rPr>
              <w:t>1</w:t>
            </w:r>
            <w:r w:rsidRPr="006B1A5A">
              <w:rPr>
                <w:rFonts w:ascii="Verdana" w:hAnsi="Verdana"/>
                <w:sz w:val="18"/>
                <w:szCs w:val="20"/>
                <w:lang w:val="en-GB"/>
              </w:rPr>
              <w:t xml:space="preserve"> PEC/PNEC </w:t>
            </w:r>
            <w:r w:rsidRPr="006B1A5A">
              <w:rPr>
                <w:rFonts w:ascii="Verdana" w:hAnsi="Verdana"/>
                <w:sz w:val="18"/>
                <w:szCs w:val="18"/>
                <w:lang w:val="en-GB"/>
              </w:rPr>
              <w:t>ratios above</w:t>
            </w:r>
            <w:r w:rsidRPr="006B1A5A">
              <w:rPr>
                <w:rFonts w:ascii="Verdana" w:hAnsi="Verdana"/>
                <w:sz w:val="18"/>
                <w:szCs w:val="20"/>
                <w:lang w:val="en-GB"/>
              </w:rPr>
              <w:t xml:space="preserve"> 1 </w:t>
            </w:r>
            <w:r w:rsidRPr="006B1A5A">
              <w:rPr>
                <w:rFonts w:ascii="Verdana" w:hAnsi="Verdana"/>
                <w:sz w:val="18"/>
                <w:szCs w:val="18"/>
                <w:lang w:val="en-GB"/>
              </w:rPr>
              <w:t>(values</w:t>
            </w:r>
            <w:r w:rsidRPr="006B1A5A">
              <w:rPr>
                <w:rFonts w:ascii="Verdana" w:hAnsi="Verdana"/>
                <w:sz w:val="18"/>
                <w:szCs w:val="20"/>
                <w:lang w:val="en-GB"/>
              </w:rPr>
              <w:t xml:space="preserve"> in </w:t>
            </w:r>
            <w:r w:rsidRPr="006B1A5A">
              <w:rPr>
                <w:rFonts w:ascii="Verdana" w:hAnsi="Verdana"/>
                <w:b/>
                <w:sz w:val="18"/>
                <w:szCs w:val="20"/>
                <w:lang w:val="en-GB"/>
              </w:rPr>
              <w:t>bold</w:t>
            </w:r>
            <w:r w:rsidRPr="006B1A5A">
              <w:rPr>
                <w:rFonts w:ascii="Verdana" w:hAnsi="Verdana"/>
                <w:sz w:val="18"/>
                <w:szCs w:val="18"/>
                <w:lang w:val="en-GB"/>
              </w:rPr>
              <w:t>)</w:t>
            </w:r>
            <w:r w:rsidRPr="006B1A5A">
              <w:rPr>
                <w:rFonts w:ascii="Verdana" w:hAnsi="Verdana"/>
                <w:sz w:val="18"/>
                <w:szCs w:val="20"/>
                <w:lang w:val="en-GB"/>
              </w:rPr>
              <w:t xml:space="preserve"> </w:t>
            </w:r>
            <w:r w:rsidRPr="006B1A5A">
              <w:rPr>
                <w:rFonts w:ascii="Verdana" w:hAnsi="Verdana"/>
                <w:sz w:val="18"/>
                <w:szCs w:val="18"/>
                <w:lang w:val="en-GB"/>
              </w:rPr>
              <w:t>indicate</w:t>
            </w:r>
            <w:r w:rsidRPr="006B1A5A">
              <w:rPr>
                <w:rFonts w:ascii="Verdana" w:hAnsi="Verdana"/>
                <w:sz w:val="18"/>
                <w:szCs w:val="20"/>
                <w:lang w:val="en-GB"/>
              </w:rPr>
              <w:t xml:space="preserve"> unacceptable </w:t>
            </w:r>
            <w:r w:rsidRPr="006B1A5A">
              <w:rPr>
                <w:rFonts w:ascii="Verdana" w:hAnsi="Verdana"/>
                <w:sz w:val="18"/>
                <w:szCs w:val="18"/>
                <w:lang w:val="en-GB"/>
              </w:rPr>
              <w:t>environmental risks.</w:t>
            </w:r>
          </w:p>
        </w:tc>
      </w:tr>
      <w:tr w:rsidR="00160166" w:rsidRPr="006B1A5A" w14:paraId="53DFB3AF" w14:textId="77777777" w:rsidTr="00CA2AE4">
        <w:trPr>
          <w:trHeight w:val="75"/>
        </w:trPr>
        <w:tc>
          <w:tcPr>
            <w:tcW w:w="5000" w:type="pct"/>
            <w:gridSpan w:val="5"/>
            <w:tcBorders>
              <w:top w:val="single" w:sz="4" w:space="0" w:color="auto"/>
              <w:left w:val="nil"/>
              <w:bottom w:val="nil"/>
              <w:right w:val="nil"/>
            </w:tcBorders>
            <w:shd w:val="clear" w:color="auto" w:fill="FFFFFF"/>
          </w:tcPr>
          <w:p w14:paraId="15497B97" w14:textId="4098731F" w:rsidR="00160166" w:rsidRDefault="00CA2AE4" w:rsidP="00C51EF8">
            <w:pPr>
              <w:pStyle w:val="Ingenmellomrom"/>
              <w:keepNext/>
              <w:jc w:val="left"/>
              <w:rPr>
                <w:rFonts w:ascii="Verdana" w:hAnsi="Verdana"/>
                <w:sz w:val="18"/>
                <w:szCs w:val="18"/>
                <w:lang w:val="en-GB"/>
              </w:rPr>
            </w:pPr>
            <w:r w:rsidRPr="00D555AE">
              <w:rPr>
                <w:rFonts w:ascii="Verdana" w:hAnsi="Verdana"/>
                <w:sz w:val="18"/>
                <w:szCs w:val="20"/>
                <w:vertAlign w:val="superscript"/>
                <w:lang w:val="en-GB"/>
              </w:rPr>
              <w:t>2</w:t>
            </w:r>
            <w:r w:rsidR="00160166" w:rsidRPr="006B1A5A">
              <w:rPr>
                <w:rFonts w:ascii="Verdana" w:hAnsi="Verdana"/>
                <w:sz w:val="18"/>
                <w:szCs w:val="20"/>
                <w:lang w:val="en-GB"/>
              </w:rPr>
              <w:t xml:space="preserve"> </w:t>
            </w:r>
            <w:r>
              <w:rPr>
                <w:rFonts w:ascii="Verdana" w:hAnsi="Verdana"/>
                <w:sz w:val="18"/>
                <w:szCs w:val="20"/>
                <w:lang w:val="en-GB"/>
              </w:rPr>
              <w:t>Refined based on field study data with both cleaned and not in-situ cleaned nets (Refined Fa.i. of 0.44)</w:t>
            </w:r>
          </w:p>
          <w:p w14:paraId="082378D8" w14:textId="2448BB63" w:rsidR="00CA2AE4" w:rsidRPr="006B1A5A" w:rsidRDefault="00CA2AE4" w:rsidP="00C51EF8">
            <w:pPr>
              <w:pStyle w:val="Ingenmellomrom"/>
              <w:keepNext/>
              <w:jc w:val="left"/>
              <w:rPr>
                <w:rFonts w:ascii="Verdana" w:hAnsi="Verdana"/>
                <w:b/>
                <w:sz w:val="18"/>
                <w:szCs w:val="20"/>
                <w:lang w:val="en-GB" w:eastAsia="en-GB"/>
              </w:rPr>
            </w:pPr>
          </w:p>
        </w:tc>
      </w:tr>
    </w:tbl>
    <w:p w14:paraId="409068A0" w14:textId="77777777" w:rsidR="00F72FB4" w:rsidRDefault="00F72FB4" w:rsidP="006D733E">
      <w:pPr>
        <w:rPr>
          <w:sz w:val="18"/>
          <w:szCs w:val="18"/>
        </w:rPr>
      </w:pPr>
    </w:p>
    <w:p w14:paraId="725B95BC" w14:textId="77777777" w:rsidR="00A20998" w:rsidRDefault="00A20998" w:rsidP="00A20998">
      <w:pPr>
        <w:rPr>
          <w:sz w:val="18"/>
          <w:szCs w:val="18"/>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4"/>
        <w:gridCol w:w="1630"/>
        <w:gridCol w:w="1633"/>
        <w:gridCol w:w="1633"/>
        <w:gridCol w:w="1773"/>
      </w:tblGrid>
      <w:tr w:rsidR="00A20998" w:rsidRPr="006B1A5A" w14:paraId="272D86BC" w14:textId="77777777" w:rsidTr="00C51EF8">
        <w:trPr>
          <w:trHeight w:val="249"/>
        </w:trPr>
        <w:tc>
          <w:tcPr>
            <w:tcW w:w="5000" w:type="pct"/>
            <w:gridSpan w:val="5"/>
            <w:tcBorders>
              <w:top w:val="single" w:sz="4" w:space="0" w:color="auto"/>
              <w:left w:val="single" w:sz="4" w:space="0" w:color="auto"/>
              <w:bottom w:val="single" w:sz="4" w:space="0" w:color="auto"/>
            </w:tcBorders>
            <w:shd w:val="clear" w:color="auto" w:fill="FFFFCC"/>
            <w:vAlign w:val="center"/>
          </w:tcPr>
          <w:p w14:paraId="3E8C4EEC" w14:textId="1E29FA73" w:rsidR="00A20998" w:rsidRPr="006B1A5A" w:rsidRDefault="00A20998" w:rsidP="00C51EF8">
            <w:pPr>
              <w:keepNext/>
              <w:autoSpaceDE w:val="0"/>
              <w:autoSpaceDN w:val="0"/>
              <w:adjustRightInd w:val="0"/>
              <w:spacing w:before="60" w:after="60" w:line="260" w:lineRule="atLeast"/>
              <w:jc w:val="center"/>
              <w:rPr>
                <w:rFonts w:eastAsia="Calibri"/>
                <w:b/>
                <w:color w:val="000000" w:themeColor="text1"/>
                <w:sz w:val="18"/>
                <w:szCs w:val="18"/>
                <w:lang w:eastAsia="en-GB"/>
              </w:rPr>
            </w:pPr>
            <w:r w:rsidRPr="006B1A5A">
              <w:rPr>
                <w:rFonts w:eastAsia="Calibri"/>
                <w:b/>
                <w:bCs/>
                <w:color w:val="000000" w:themeColor="text1"/>
                <w:sz w:val="18"/>
                <w:szCs w:val="18"/>
                <w:lang w:eastAsia="en-GB"/>
              </w:rPr>
              <w:t>AquaNet</w:t>
            </w:r>
            <w:r w:rsidRPr="006B1A5A">
              <w:rPr>
                <w:rFonts w:eastAsia="Calibri"/>
                <w:b/>
                <w:color w:val="000000" w:themeColor="text1"/>
                <w:sz w:val="18"/>
                <w:szCs w:val="18"/>
                <w:lang w:eastAsia="en-GB"/>
              </w:rPr>
              <w:t xml:space="preserve"> </w:t>
            </w:r>
            <w:r>
              <w:rPr>
                <w:rFonts w:eastAsia="Calibri"/>
                <w:b/>
                <w:color w:val="000000" w:themeColor="text1"/>
                <w:sz w:val="18"/>
                <w:szCs w:val="18"/>
                <w:lang w:eastAsia="en-GB"/>
              </w:rPr>
              <w:t>RFU</w:t>
            </w:r>
            <w:r w:rsidRPr="006B1A5A">
              <w:rPr>
                <w:rFonts w:eastAsia="Calibri"/>
                <w:b/>
                <w:color w:val="000000" w:themeColor="text1"/>
                <w:sz w:val="18"/>
                <w:szCs w:val="18"/>
                <w:lang w:eastAsia="en-GB"/>
              </w:rPr>
              <w:t>360</w:t>
            </w:r>
          </w:p>
          <w:p w14:paraId="27BC96DE" w14:textId="77777777" w:rsidR="00A20998" w:rsidRPr="006B1A5A" w:rsidRDefault="00A20998" w:rsidP="00C51EF8">
            <w:pPr>
              <w:keepNext/>
              <w:autoSpaceDE w:val="0"/>
              <w:autoSpaceDN w:val="0"/>
              <w:adjustRightInd w:val="0"/>
              <w:spacing w:before="60" w:after="60" w:line="260" w:lineRule="atLeast"/>
              <w:jc w:val="center"/>
              <w:rPr>
                <w:rFonts w:eastAsia="Calibri"/>
                <w:b/>
                <w:color w:val="000000" w:themeColor="text1"/>
                <w:sz w:val="18"/>
                <w:szCs w:val="18"/>
                <w:lang w:eastAsia="en-GB"/>
              </w:rPr>
            </w:pPr>
            <w:r w:rsidRPr="006B1A5A">
              <w:rPr>
                <w:rFonts w:eastAsia="Calibri"/>
                <w:b/>
                <w:color w:val="000000" w:themeColor="text1"/>
                <w:sz w:val="18"/>
                <w:szCs w:val="18"/>
                <w:lang w:eastAsia="en-GB"/>
              </w:rPr>
              <w:t xml:space="preserve">Average PEC values calculated by MAMPEC v3.1 </w:t>
            </w:r>
          </w:p>
          <w:p w14:paraId="08F4820B" w14:textId="77777777" w:rsidR="00A20998" w:rsidRPr="006B1A5A" w:rsidRDefault="00A20998" w:rsidP="00C51EF8">
            <w:pPr>
              <w:keepNext/>
              <w:shd w:val="clear" w:color="auto" w:fill="CCFFCC"/>
              <w:autoSpaceDE w:val="0"/>
              <w:autoSpaceDN w:val="0"/>
              <w:adjustRightInd w:val="0"/>
              <w:spacing w:before="60" w:after="60" w:line="260" w:lineRule="atLeast"/>
              <w:jc w:val="center"/>
              <w:rPr>
                <w:rFonts w:eastAsia="Calibri"/>
                <w:b/>
                <w:sz w:val="18"/>
                <w:szCs w:val="18"/>
                <w:lang w:eastAsia="en-GB"/>
              </w:rPr>
            </w:pPr>
            <w:r w:rsidRPr="006B1A5A">
              <w:rPr>
                <w:rFonts w:eastAsia="Calibri"/>
                <w:b/>
                <w:color w:val="000000" w:themeColor="text1"/>
                <w:sz w:val="18"/>
                <w:szCs w:val="18"/>
                <w:lang w:eastAsia="en-GB"/>
              </w:rPr>
              <w:t>(with background concentration for Cu)</w:t>
            </w:r>
          </w:p>
        </w:tc>
      </w:tr>
      <w:tr w:rsidR="00A20998" w:rsidRPr="006B1A5A" w14:paraId="68025A76" w14:textId="77777777" w:rsidTr="00C51EF8">
        <w:trPr>
          <w:trHeight w:val="249"/>
        </w:trPr>
        <w:tc>
          <w:tcPr>
            <w:tcW w:w="5000" w:type="pct"/>
            <w:gridSpan w:val="5"/>
            <w:tcBorders>
              <w:top w:val="single" w:sz="4" w:space="0" w:color="auto"/>
              <w:left w:val="single" w:sz="4" w:space="0" w:color="auto"/>
              <w:bottom w:val="single" w:sz="4" w:space="0" w:color="auto"/>
            </w:tcBorders>
            <w:shd w:val="clear" w:color="auto" w:fill="FFFFCC"/>
            <w:vAlign w:val="center"/>
          </w:tcPr>
          <w:p w14:paraId="1896B09E" w14:textId="77777777" w:rsidR="00A20998" w:rsidRPr="006B1A5A" w:rsidRDefault="00A20998" w:rsidP="00C51EF8">
            <w:pPr>
              <w:keepNext/>
              <w:autoSpaceDE w:val="0"/>
              <w:autoSpaceDN w:val="0"/>
              <w:adjustRightInd w:val="0"/>
              <w:spacing w:before="60" w:after="60" w:line="260" w:lineRule="atLeast"/>
              <w:jc w:val="center"/>
              <w:rPr>
                <w:rFonts w:eastAsia="Calibri"/>
                <w:b/>
                <w:color w:val="000000" w:themeColor="text1"/>
                <w:sz w:val="18"/>
                <w:szCs w:val="18"/>
                <w:lang w:eastAsia="en-GB"/>
              </w:rPr>
            </w:pPr>
          </w:p>
        </w:tc>
      </w:tr>
      <w:tr w:rsidR="00A20998" w:rsidRPr="006B1A5A" w14:paraId="3F6DDA68" w14:textId="77777777" w:rsidTr="00E81ECC">
        <w:trPr>
          <w:trHeight w:val="249"/>
        </w:trPr>
        <w:tc>
          <w:tcPr>
            <w:tcW w:w="1381" w:type="pct"/>
            <w:shd w:val="clear" w:color="auto" w:fill="FFFFFF"/>
            <w:vAlign w:val="center"/>
          </w:tcPr>
          <w:p w14:paraId="3D55627E" w14:textId="77777777" w:rsidR="00A20998" w:rsidRPr="006B1A5A" w:rsidRDefault="00A20998" w:rsidP="00C51EF8">
            <w:pPr>
              <w:spacing w:before="60" w:after="60"/>
              <w:jc w:val="center"/>
              <w:rPr>
                <w:rFonts w:eastAsia="Calibri"/>
                <w:b/>
                <w:sz w:val="18"/>
                <w:szCs w:val="18"/>
                <w:lang w:eastAsia="en-GB"/>
              </w:rPr>
            </w:pPr>
            <w:r w:rsidRPr="006B1A5A">
              <w:rPr>
                <w:rFonts w:eastAsia="Calibri"/>
                <w:b/>
                <w:sz w:val="18"/>
                <w:szCs w:val="18"/>
                <w:lang w:eastAsia="en-GB"/>
              </w:rPr>
              <w:t>Copper</w:t>
            </w:r>
          </w:p>
          <w:p w14:paraId="0FB05EC2" w14:textId="77777777" w:rsidR="00A20998" w:rsidRPr="006B1A5A" w:rsidRDefault="00A20998" w:rsidP="00C51EF8">
            <w:pPr>
              <w:spacing w:before="60" w:after="60"/>
              <w:jc w:val="center"/>
              <w:rPr>
                <w:rFonts w:eastAsia="Calibri"/>
                <w:sz w:val="18"/>
                <w:szCs w:val="18"/>
                <w:lang w:eastAsia="en-GB"/>
              </w:rPr>
            </w:pPr>
            <w:r w:rsidRPr="006B1A5A">
              <w:rPr>
                <w:rFonts w:eastAsia="Calibri"/>
                <w:sz w:val="18"/>
                <w:szCs w:val="18"/>
                <w:lang w:eastAsia="en-GB"/>
              </w:rPr>
              <w:t>PNECsurrounding waters = 1.15 µg/L</w:t>
            </w:r>
          </w:p>
          <w:p w14:paraId="7C2FE9ED" w14:textId="77777777" w:rsidR="00A20998" w:rsidRPr="006B1A5A" w:rsidRDefault="00A20998" w:rsidP="00C51EF8">
            <w:pPr>
              <w:keepNext/>
              <w:spacing w:before="60" w:after="60"/>
              <w:jc w:val="center"/>
              <w:rPr>
                <w:rFonts w:eastAsia="Calibri"/>
                <w:sz w:val="18"/>
                <w:szCs w:val="18"/>
                <w:lang w:eastAsia="en-GB"/>
              </w:rPr>
            </w:pPr>
            <w:r w:rsidRPr="006B1A5A">
              <w:rPr>
                <w:rFonts w:eastAsia="Calibri"/>
                <w:sz w:val="18"/>
                <w:szCs w:val="18"/>
                <w:lang w:eastAsia="en-GB"/>
              </w:rPr>
              <w:t>PNEC</w:t>
            </w:r>
            <w:r w:rsidRPr="006B1A5A">
              <w:rPr>
                <w:rFonts w:eastAsia="Calibri"/>
                <w:sz w:val="18"/>
                <w:szCs w:val="18"/>
                <w:vertAlign w:val="subscript"/>
                <w:lang w:eastAsia="en-GB"/>
              </w:rPr>
              <w:t>sed</w:t>
            </w:r>
            <w:r w:rsidRPr="006B1A5A">
              <w:rPr>
                <w:rFonts w:eastAsia="Calibri"/>
                <w:sz w:val="18"/>
                <w:szCs w:val="18"/>
                <w:lang w:eastAsia="en-GB"/>
              </w:rPr>
              <w:t xml:space="preserve"> = 98.8 µg/g dw</w:t>
            </w:r>
          </w:p>
        </w:tc>
        <w:tc>
          <w:tcPr>
            <w:tcW w:w="885" w:type="pct"/>
            <w:shd w:val="clear" w:color="auto" w:fill="FFFFFF"/>
            <w:vAlign w:val="center"/>
          </w:tcPr>
          <w:p w14:paraId="552E24CE" w14:textId="77777777" w:rsidR="00A20998" w:rsidRPr="006B1A5A" w:rsidRDefault="00A20998" w:rsidP="00C51EF8">
            <w:pPr>
              <w:autoSpaceDE w:val="0"/>
              <w:autoSpaceDN w:val="0"/>
              <w:adjustRightInd w:val="0"/>
              <w:spacing w:before="60" w:after="60" w:line="260" w:lineRule="atLeast"/>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dissolved</w:t>
            </w:r>
          </w:p>
          <w:p w14:paraId="6646C87A" w14:textId="77777777" w:rsidR="00A20998" w:rsidRPr="006B1A5A" w:rsidRDefault="00A20998" w:rsidP="00C51EF8">
            <w:pPr>
              <w:keepNext/>
              <w:autoSpaceDE w:val="0"/>
              <w:autoSpaceDN w:val="0"/>
              <w:adjustRightInd w:val="0"/>
              <w:spacing w:before="60" w:after="60" w:line="260" w:lineRule="atLeast"/>
              <w:jc w:val="center"/>
              <w:rPr>
                <w:rFonts w:eastAsia="Calibri"/>
                <w:sz w:val="18"/>
                <w:szCs w:val="18"/>
                <w:lang w:eastAsia="en-GB"/>
              </w:rPr>
            </w:pPr>
            <w:r w:rsidRPr="006B1A5A">
              <w:rPr>
                <w:rFonts w:eastAsia="Calibri"/>
                <w:sz w:val="18"/>
                <w:szCs w:val="18"/>
                <w:lang w:eastAsia="en-GB"/>
              </w:rPr>
              <w:t>[µg/L]</w:t>
            </w:r>
          </w:p>
        </w:tc>
        <w:tc>
          <w:tcPr>
            <w:tcW w:w="886" w:type="pct"/>
            <w:shd w:val="clear" w:color="auto" w:fill="FFFFFF"/>
            <w:vAlign w:val="center"/>
          </w:tcPr>
          <w:p w14:paraId="4485E1C3" w14:textId="77777777" w:rsidR="00A20998" w:rsidRPr="006B1A5A" w:rsidRDefault="00A20998" w:rsidP="00C51EF8">
            <w:pPr>
              <w:keepNext/>
              <w:autoSpaceDE w:val="0"/>
              <w:autoSpaceDN w:val="0"/>
              <w:adjustRightInd w:val="0"/>
              <w:spacing w:before="60" w:after="60" w:line="260" w:lineRule="atLeast"/>
              <w:jc w:val="center"/>
              <w:rPr>
                <w:rFonts w:eastAsia="Calibri"/>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 xml:space="preserve">dissolved </w:t>
            </w:r>
            <w:r w:rsidRPr="006B1A5A">
              <w:rPr>
                <w:rFonts w:eastAsia="Calibri"/>
                <w:b/>
                <w:sz w:val="18"/>
                <w:szCs w:val="18"/>
                <w:lang w:eastAsia="en-GB"/>
              </w:rPr>
              <w:t>/ PNEC</w:t>
            </w:r>
            <w:r w:rsidRPr="006B1A5A">
              <w:rPr>
                <w:rFonts w:eastAsia="Calibri"/>
                <w:b/>
                <w:sz w:val="18"/>
                <w:szCs w:val="18"/>
                <w:vertAlign w:val="subscript"/>
                <w:lang w:eastAsia="en-GB"/>
              </w:rPr>
              <w:t xml:space="preserve">water </w:t>
            </w:r>
            <w:r w:rsidRPr="006B1A5A">
              <w:rPr>
                <w:rFonts w:eastAsia="Calibri"/>
                <w:b/>
                <w:sz w:val="18"/>
                <w:szCs w:val="18"/>
                <w:vertAlign w:val="superscript"/>
                <w:lang w:eastAsia="en-GB"/>
              </w:rPr>
              <w:t>1</w:t>
            </w:r>
          </w:p>
        </w:tc>
        <w:tc>
          <w:tcPr>
            <w:tcW w:w="886" w:type="pct"/>
            <w:shd w:val="clear" w:color="auto" w:fill="FFFFFF"/>
            <w:vAlign w:val="center"/>
          </w:tcPr>
          <w:p w14:paraId="5F32CFD4" w14:textId="77777777" w:rsidR="00A20998" w:rsidRPr="006B1A5A" w:rsidRDefault="00A20998" w:rsidP="00C51EF8">
            <w:pPr>
              <w:spacing w:before="60" w:after="60"/>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suspended sediment</w:t>
            </w:r>
          </w:p>
          <w:p w14:paraId="3B5BD7A0" w14:textId="77777777" w:rsidR="00A20998" w:rsidRPr="006B1A5A" w:rsidRDefault="00A20998" w:rsidP="00C51EF8">
            <w:pPr>
              <w:keepNext/>
              <w:spacing w:before="60" w:after="60"/>
              <w:jc w:val="center"/>
              <w:rPr>
                <w:rFonts w:eastAsia="Calibri"/>
                <w:sz w:val="18"/>
                <w:szCs w:val="18"/>
                <w:lang w:eastAsia="en-GB"/>
              </w:rPr>
            </w:pPr>
            <w:r w:rsidRPr="006B1A5A">
              <w:rPr>
                <w:rFonts w:eastAsia="Calibri"/>
                <w:sz w:val="18"/>
                <w:szCs w:val="18"/>
                <w:lang w:eastAsia="en-GB"/>
              </w:rPr>
              <w:t>[µg/g dw]</w:t>
            </w:r>
          </w:p>
        </w:tc>
        <w:tc>
          <w:tcPr>
            <w:tcW w:w="962" w:type="pct"/>
            <w:shd w:val="clear" w:color="auto" w:fill="auto"/>
            <w:vAlign w:val="center"/>
          </w:tcPr>
          <w:p w14:paraId="4D6BE646" w14:textId="77777777" w:rsidR="00A20998" w:rsidRPr="006B1A5A" w:rsidRDefault="00A20998" w:rsidP="00C51EF8">
            <w:pPr>
              <w:keepNext/>
              <w:spacing w:before="60" w:after="60"/>
              <w:jc w:val="center"/>
              <w:rPr>
                <w:rFonts w:eastAsia="Calibri"/>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suspended sediment</w:t>
            </w:r>
            <w:r w:rsidRPr="006B1A5A">
              <w:rPr>
                <w:rFonts w:eastAsia="Calibri"/>
                <w:b/>
                <w:sz w:val="18"/>
                <w:szCs w:val="18"/>
                <w:lang w:eastAsia="en-GB"/>
              </w:rPr>
              <w:t>/ PNEC</w:t>
            </w:r>
            <w:r w:rsidRPr="006B1A5A">
              <w:rPr>
                <w:rFonts w:eastAsia="Calibri"/>
                <w:b/>
                <w:sz w:val="18"/>
                <w:szCs w:val="18"/>
                <w:vertAlign w:val="subscript"/>
                <w:lang w:eastAsia="en-GB"/>
              </w:rPr>
              <w:t xml:space="preserve">sediment </w:t>
            </w:r>
            <w:r w:rsidRPr="006B1A5A">
              <w:rPr>
                <w:rFonts w:eastAsia="Calibri"/>
                <w:b/>
                <w:sz w:val="18"/>
                <w:szCs w:val="18"/>
                <w:vertAlign w:val="superscript"/>
                <w:lang w:eastAsia="en-GB"/>
              </w:rPr>
              <w:t>1</w:t>
            </w:r>
          </w:p>
        </w:tc>
      </w:tr>
      <w:tr w:rsidR="00A20998" w:rsidRPr="006B1A5A" w14:paraId="09EEA597" w14:textId="77777777" w:rsidTr="00E81ECC">
        <w:trPr>
          <w:trHeight w:val="75"/>
        </w:trPr>
        <w:tc>
          <w:tcPr>
            <w:tcW w:w="1381" w:type="pct"/>
            <w:shd w:val="clear" w:color="auto" w:fill="FFFFFF"/>
          </w:tcPr>
          <w:p w14:paraId="74608C7D" w14:textId="77777777" w:rsidR="00A20998" w:rsidRPr="006B1A5A" w:rsidRDefault="00A20998" w:rsidP="00C51EF8">
            <w:pPr>
              <w:keepNext/>
              <w:spacing w:before="60" w:after="60"/>
              <w:rPr>
                <w:rFonts w:eastAsia="Calibri"/>
                <w:b/>
                <w:sz w:val="18"/>
                <w:szCs w:val="18"/>
                <w:lang w:eastAsia="en-GB"/>
              </w:rPr>
            </w:pPr>
            <w:r w:rsidRPr="006B1A5A">
              <w:rPr>
                <w:rFonts w:eastAsia="Calibri"/>
                <w:b/>
                <w:sz w:val="18"/>
                <w:szCs w:val="18"/>
                <w:lang w:eastAsia="en-GB"/>
              </w:rPr>
              <w:t>EU fish farm scenario</w:t>
            </w:r>
            <w:r w:rsidRPr="00CA2AE4">
              <w:rPr>
                <w:rFonts w:eastAsia="Calibri"/>
                <w:b/>
                <w:sz w:val="18"/>
                <w:szCs w:val="18"/>
                <w:vertAlign w:val="superscript"/>
                <w:lang w:eastAsia="en-GB"/>
              </w:rPr>
              <w:t>2</w:t>
            </w:r>
          </w:p>
        </w:tc>
        <w:tc>
          <w:tcPr>
            <w:tcW w:w="885" w:type="pct"/>
            <w:shd w:val="clear" w:color="auto" w:fill="FFFFFF"/>
            <w:vAlign w:val="center"/>
          </w:tcPr>
          <w:p w14:paraId="36FA86E8" w14:textId="681C715A" w:rsidR="00A20998" w:rsidRPr="006B1A5A" w:rsidRDefault="00D555AE" w:rsidP="00C51EF8">
            <w:pPr>
              <w:pStyle w:val="Ingenmellomrom"/>
              <w:keepNext/>
              <w:jc w:val="center"/>
              <w:rPr>
                <w:rFonts w:ascii="Verdana" w:hAnsi="Verdana"/>
                <w:sz w:val="18"/>
                <w:szCs w:val="18"/>
                <w:lang w:val="en-GB" w:eastAsia="en-GB"/>
              </w:rPr>
            </w:pPr>
            <w:r>
              <w:rPr>
                <w:rFonts w:ascii="Verdana" w:hAnsi="Verdana"/>
                <w:sz w:val="18"/>
                <w:szCs w:val="18"/>
                <w:lang w:val="en-GB" w:eastAsia="en-GB"/>
              </w:rPr>
              <w:t>1.18</w:t>
            </w:r>
          </w:p>
        </w:tc>
        <w:tc>
          <w:tcPr>
            <w:tcW w:w="886" w:type="pct"/>
            <w:shd w:val="clear" w:color="auto" w:fill="FFFFFF"/>
            <w:vAlign w:val="center"/>
          </w:tcPr>
          <w:p w14:paraId="4416308C" w14:textId="11D44461" w:rsidR="00A20998" w:rsidRPr="00D555AE" w:rsidRDefault="00D555AE" w:rsidP="00C51EF8">
            <w:pPr>
              <w:pStyle w:val="Ingenmellomrom"/>
              <w:keepNext/>
              <w:jc w:val="center"/>
              <w:rPr>
                <w:rFonts w:ascii="Verdana" w:hAnsi="Verdana"/>
                <w:bCs/>
                <w:sz w:val="18"/>
                <w:szCs w:val="18"/>
                <w:lang w:val="en-GB" w:eastAsia="en-GB"/>
              </w:rPr>
            </w:pPr>
            <w:r w:rsidRPr="00D555AE">
              <w:rPr>
                <w:rFonts w:ascii="Verdana" w:hAnsi="Verdana"/>
                <w:bCs/>
                <w:sz w:val="18"/>
                <w:szCs w:val="18"/>
                <w:lang w:val="en-GB" w:eastAsia="en-GB"/>
              </w:rPr>
              <w:t>1.0</w:t>
            </w:r>
          </w:p>
        </w:tc>
        <w:tc>
          <w:tcPr>
            <w:tcW w:w="886" w:type="pct"/>
            <w:shd w:val="clear" w:color="auto" w:fill="FFFFFF"/>
            <w:vAlign w:val="center"/>
          </w:tcPr>
          <w:p w14:paraId="22514287" w14:textId="30DFEC45" w:rsidR="00A20998" w:rsidRPr="006B1A5A" w:rsidRDefault="00D555AE" w:rsidP="00C51EF8">
            <w:pPr>
              <w:pStyle w:val="Ingenmellomrom"/>
              <w:keepNext/>
              <w:jc w:val="center"/>
              <w:rPr>
                <w:rFonts w:ascii="Verdana" w:hAnsi="Verdana"/>
                <w:sz w:val="18"/>
                <w:szCs w:val="18"/>
                <w:lang w:val="en-GB" w:eastAsia="en-GB"/>
              </w:rPr>
            </w:pPr>
            <w:r>
              <w:rPr>
                <w:rFonts w:ascii="Verdana" w:hAnsi="Verdana"/>
                <w:sz w:val="18"/>
                <w:szCs w:val="18"/>
                <w:lang w:val="en-GB" w:eastAsia="en-GB"/>
              </w:rPr>
              <w:t>26.51</w:t>
            </w:r>
          </w:p>
        </w:tc>
        <w:tc>
          <w:tcPr>
            <w:tcW w:w="962" w:type="pct"/>
            <w:shd w:val="clear" w:color="auto" w:fill="FFFFFF"/>
            <w:vAlign w:val="center"/>
          </w:tcPr>
          <w:p w14:paraId="2271FC74" w14:textId="33420D7F" w:rsidR="00A20998" w:rsidRPr="006B1A5A" w:rsidRDefault="00D555AE" w:rsidP="00C51EF8">
            <w:pPr>
              <w:pStyle w:val="Ingenmellomrom"/>
              <w:keepNext/>
              <w:jc w:val="center"/>
              <w:rPr>
                <w:rFonts w:ascii="Verdana" w:hAnsi="Verdana"/>
                <w:sz w:val="18"/>
                <w:szCs w:val="18"/>
                <w:lang w:val="en-GB" w:eastAsia="en-GB"/>
              </w:rPr>
            </w:pPr>
            <w:r>
              <w:rPr>
                <w:rFonts w:ascii="Verdana" w:hAnsi="Verdana"/>
                <w:sz w:val="18"/>
                <w:szCs w:val="18"/>
                <w:lang w:val="en-GB" w:eastAsia="en-GB"/>
              </w:rPr>
              <w:t>0.27</w:t>
            </w:r>
          </w:p>
        </w:tc>
      </w:tr>
      <w:tr w:rsidR="00A20998" w:rsidRPr="006B1A5A" w14:paraId="7F01B334" w14:textId="77777777" w:rsidTr="00E81ECC">
        <w:trPr>
          <w:trHeight w:val="75"/>
        </w:trPr>
        <w:tc>
          <w:tcPr>
            <w:tcW w:w="1381" w:type="pct"/>
            <w:shd w:val="clear" w:color="auto" w:fill="FFFFFF"/>
            <w:vAlign w:val="center"/>
          </w:tcPr>
          <w:p w14:paraId="23535538" w14:textId="77777777" w:rsidR="00A20998" w:rsidRPr="006B1A5A" w:rsidRDefault="00A20998" w:rsidP="00C51EF8">
            <w:pPr>
              <w:spacing w:before="60" w:after="60"/>
              <w:jc w:val="center"/>
              <w:rPr>
                <w:rFonts w:eastAsia="Calibri"/>
                <w:b/>
                <w:sz w:val="18"/>
                <w:szCs w:val="18"/>
                <w:lang w:eastAsia="en-GB"/>
              </w:rPr>
            </w:pPr>
            <w:r w:rsidRPr="006B1A5A">
              <w:rPr>
                <w:rFonts w:eastAsia="Calibri"/>
                <w:b/>
                <w:sz w:val="18"/>
                <w:szCs w:val="18"/>
                <w:lang w:eastAsia="en-GB"/>
              </w:rPr>
              <w:t>Thiocyanate</w:t>
            </w:r>
          </w:p>
          <w:p w14:paraId="4EF90422" w14:textId="77777777" w:rsidR="00A20998" w:rsidRPr="006B1A5A" w:rsidRDefault="00A20998" w:rsidP="00C51EF8">
            <w:pPr>
              <w:spacing w:before="60" w:after="60"/>
              <w:jc w:val="center"/>
              <w:rPr>
                <w:rFonts w:eastAsia="Calibri"/>
                <w:sz w:val="18"/>
                <w:szCs w:val="18"/>
                <w:lang w:eastAsia="en-GB"/>
              </w:rPr>
            </w:pPr>
            <w:r w:rsidRPr="006B1A5A">
              <w:rPr>
                <w:rFonts w:eastAsia="Calibri"/>
                <w:sz w:val="18"/>
                <w:szCs w:val="18"/>
                <w:lang w:eastAsia="en-GB"/>
              </w:rPr>
              <w:t>PNEC surrounding waters = 11 µg/L</w:t>
            </w:r>
          </w:p>
          <w:p w14:paraId="42206E6F" w14:textId="77777777" w:rsidR="00A20998" w:rsidRPr="006B1A5A" w:rsidRDefault="00A20998" w:rsidP="00C51EF8">
            <w:pPr>
              <w:keepNext/>
              <w:spacing w:before="60" w:after="60"/>
              <w:jc w:val="center"/>
              <w:rPr>
                <w:rFonts w:eastAsia="Calibri"/>
                <w:sz w:val="18"/>
                <w:szCs w:val="18"/>
                <w:lang w:eastAsia="en-GB"/>
              </w:rPr>
            </w:pPr>
            <w:r w:rsidRPr="006B1A5A">
              <w:rPr>
                <w:rFonts w:eastAsia="Calibri"/>
                <w:sz w:val="18"/>
                <w:szCs w:val="18"/>
                <w:lang w:eastAsia="en-GB"/>
              </w:rPr>
              <w:t>PNEC</w:t>
            </w:r>
            <w:r w:rsidRPr="006B1A5A">
              <w:rPr>
                <w:rFonts w:eastAsia="Calibri"/>
                <w:sz w:val="18"/>
                <w:szCs w:val="18"/>
                <w:vertAlign w:val="subscript"/>
                <w:lang w:eastAsia="en-GB"/>
              </w:rPr>
              <w:t>sed</w:t>
            </w:r>
            <w:r w:rsidRPr="006B1A5A">
              <w:rPr>
                <w:rFonts w:eastAsia="Calibri"/>
                <w:sz w:val="18"/>
                <w:szCs w:val="18"/>
                <w:lang w:eastAsia="en-GB"/>
              </w:rPr>
              <w:t xml:space="preserve"> = 0.045 µg/g dw</w:t>
            </w:r>
          </w:p>
        </w:tc>
        <w:tc>
          <w:tcPr>
            <w:tcW w:w="885" w:type="pct"/>
            <w:shd w:val="clear" w:color="auto" w:fill="FFFFFF"/>
            <w:vAlign w:val="center"/>
          </w:tcPr>
          <w:p w14:paraId="7139693E" w14:textId="77777777" w:rsidR="00A20998" w:rsidRPr="006B1A5A" w:rsidRDefault="00A20998" w:rsidP="00C51EF8">
            <w:pPr>
              <w:autoSpaceDE w:val="0"/>
              <w:autoSpaceDN w:val="0"/>
              <w:adjustRightInd w:val="0"/>
              <w:spacing w:before="60" w:after="60" w:line="260" w:lineRule="atLeast"/>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dissolved</w:t>
            </w:r>
          </w:p>
          <w:p w14:paraId="42877652" w14:textId="77777777" w:rsidR="00A20998" w:rsidRPr="006B1A5A" w:rsidRDefault="00A20998" w:rsidP="00C51EF8">
            <w:pPr>
              <w:keepNext/>
              <w:autoSpaceDE w:val="0"/>
              <w:autoSpaceDN w:val="0"/>
              <w:adjustRightInd w:val="0"/>
              <w:spacing w:before="60" w:after="60" w:line="260" w:lineRule="atLeast"/>
              <w:jc w:val="center"/>
              <w:rPr>
                <w:rFonts w:eastAsia="Calibri"/>
                <w:sz w:val="18"/>
                <w:szCs w:val="18"/>
                <w:lang w:eastAsia="en-GB"/>
              </w:rPr>
            </w:pPr>
            <w:r w:rsidRPr="006B1A5A">
              <w:rPr>
                <w:rFonts w:eastAsia="Calibri"/>
                <w:sz w:val="18"/>
                <w:szCs w:val="18"/>
                <w:lang w:eastAsia="en-GB"/>
              </w:rPr>
              <w:t>[µg/L]</w:t>
            </w:r>
          </w:p>
        </w:tc>
        <w:tc>
          <w:tcPr>
            <w:tcW w:w="886" w:type="pct"/>
            <w:shd w:val="clear" w:color="auto" w:fill="FFFFFF"/>
            <w:vAlign w:val="center"/>
          </w:tcPr>
          <w:p w14:paraId="61D2F8EF" w14:textId="77777777" w:rsidR="00A20998" w:rsidRPr="006B1A5A" w:rsidRDefault="00A20998" w:rsidP="00C51EF8">
            <w:pPr>
              <w:keepNext/>
              <w:autoSpaceDE w:val="0"/>
              <w:autoSpaceDN w:val="0"/>
              <w:adjustRightInd w:val="0"/>
              <w:spacing w:before="60" w:after="60" w:line="260" w:lineRule="atLeast"/>
              <w:jc w:val="center"/>
              <w:rPr>
                <w:rFonts w:eastAsia="Calibri"/>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 xml:space="preserve">dissolved </w:t>
            </w:r>
            <w:r w:rsidRPr="006B1A5A">
              <w:rPr>
                <w:rFonts w:eastAsia="Calibri"/>
                <w:b/>
                <w:sz w:val="18"/>
                <w:szCs w:val="18"/>
                <w:lang w:eastAsia="en-GB"/>
              </w:rPr>
              <w:t>/ PNEC</w:t>
            </w:r>
            <w:r w:rsidRPr="006B1A5A">
              <w:rPr>
                <w:rFonts w:eastAsia="Calibri"/>
                <w:b/>
                <w:sz w:val="18"/>
                <w:szCs w:val="18"/>
                <w:vertAlign w:val="subscript"/>
                <w:lang w:eastAsia="en-GB"/>
              </w:rPr>
              <w:t xml:space="preserve">water </w:t>
            </w:r>
            <w:r w:rsidRPr="006B1A5A">
              <w:rPr>
                <w:rFonts w:eastAsia="Calibri"/>
                <w:b/>
                <w:sz w:val="18"/>
                <w:szCs w:val="18"/>
                <w:vertAlign w:val="superscript"/>
                <w:lang w:eastAsia="en-GB"/>
              </w:rPr>
              <w:t>1</w:t>
            </w:r>
          </w:p>
        </w:tc>
        <w:tc>
          <w:tcPr>
            <w:tcW w:w="886" w:type="pct"/>
            <w:shd w:val="clear" w:color="auto" w:fill="FFFFFF"/>
            <w:vAlign w:val="center"/>
          </w:tcPr>
          <w:p w14:paraId="75A4DE29" w14:textId="77777777" w:rsidR="00A20998" w:rsidRPr="006B1A5A" w:rsidRDefault="00A20998" w:rsidP="00C51EF8">
            <w:pPr>
              <w:spacing w:before="60" w:after="60"/>
              <w:jc w:val="center"/>
              <w:rPr>
                <w:rFonts w:eastAsia="Calibri"/>
                <w:b/>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suspended sediment</w:t>
            </w:r>
          </w:p>
          <w:p w14:paraId="50EBB5F7" w14:textId="77777777" w:rsidR="00A20998" w:rsidRPr="006B1A5A" w:rsidRDefault="00A20998" w:rsidP="00C51EF8">
            <w:pPr>
              <w:keepNext/>
              <w:spacing w:before="60" w:after="60"/>
              <w:jc w:val="center"/>
              <w:rPr>
                <w:rFonts w:eastAsia="Calibri"/>
                <w:sz w:val="18"/>
                <w:szCs w:val="18"/>
                <w:lang w:eastAsia="en-GB"/>
              </w:rPr>
            </w:pPr>
            <w:r w:rsidRPr="006B1A5A">
              <w:rPr>
                <w:rFonts w:eastAsia="Calibri"/>
                <w:sz w:val="18"/>
                <w:szCs w:val="18"/>
                <w:lang w:eastAsia="en-GB"/>
              </w:rPr>
              <w:t>[µg/g dw]</w:t>
            </w:r>
          </w:p>
        </w:tc>
        <w:tc>
          <w:tcPr>
            <w:tcW w:w="962" w:type="pct"/>
            <w:shd w:val="clear" w:color="auto" w:fill="FFFFFF"/>
            <w:vAlign w:val="center"/>
          </w:tcPr>
          <w:p w14:paraId="7DB0B44C" w14:textId="77777777" w:rsidR="00A20998" w:rsidRPr="006B1A5A" w:rsidRDefault="00A20998" w:rsidP="00C51EF8">
            <w:pPr>
              <w:keepNext/>
              <w:spacing w:before="60" w:after="60"/>
              <w:jc w:val="center"/>
              <w:rPr>
                <w:rFonts w:eastAsia="Calibri"/>
                <w:sz w:val="18"/>
                <w:szCs w:val="18"/>
                <w:vertAlign w:val="subscript"/>
                <w:lang w:eastAsia="en-GB"/>
              </w:rPr>
            </w:pPr>
            <w:r w:rsidRPr="006B1A5A">
              <w:rPr>
                <w:rFonts w:eastAsia="Calibri"/>
                <w:b/>
                <w:sz w:val="18"/>
                <w:szCs w:val="18"/>
                <w:lang w:eastAsia="en-GB"/>
              </w:rPr>
              <w:t>PEC</w:t>
            </w:r>
            <w:r w:rsidRPr="006B1A5A">
              <w:rPr>
                <w:rFonts w:eastAsia="Calibri"/>
                <w:b/>
                <w:sz w:val="18"/>
                <w:szCs w:val="18"/>
                <w:vertAlign w:val="subscript"/>
                <w:lang w:eastAsia="en-GB"/>
              </w:rPr>
              <w:t>suspended sediment</w:t>
            </w:r>
            <w:r w:rsidRPr="006B1A5A">
              <w:rPr>
                <w:rFonts w:eastAsia="Calibri"/>
                <w:b/>
                <w:sz w:val="18"/>
                <w:szCs w:val="18"/>
                <w:lang w:eastAsia="en-GB"/>
              </w:rPr>
              <w:t>/ PNEC</w:t>
            </w:r>
            <w:r w:rsidRPr="006B1A5A">
              <w:rPr>
                <w:rFonts w:eastAsia="Calibri"/>
                <w:b/>
                <w:sz w:val="18"/>
                <w:szCs w:val="18"/>
                <w:vertAlign w:val="subscript"/>
                <w:lang w:eastAsia="en-GB"/>
              </w:rPr>
              <w:t xml:space="preserve">sediment </w:t>
            </w:r>
            <w:r w:rsidRPr="006B1A5A">
              <w:rPr>
                <w:rFonts w:eastAsia="Calibri"/>
                <w:b/>
                <w:sz w:val="18"/>
                <w:szCs w:val="18"/>
                <w:vertAlign w:val="superscript"/>
                <w:lang w:eastAsia="en-GB"/>
              </w:rPr>
              <w:t>1</w:t>
            </w:r>
          </w:p>
        </w:tc>
      </w:tr>
      <w:tr w:rsidR="00E81ECC" w:rsidRPr="006B1A5A" w14:paraId="670B48A7" w14:textId="77777777" w:rsidTr="00E81ECC">
        <w:trPr>
          <w:trHeight w:val="75"/>
        </w:trPr>
        <w:tc>
          <w:tcPr>
            <w:tcW w:w="1381" w:type="pct"/>
            <w:shd w:val="clear" w:color="auto" w:fill="FFFFFF"/>
          </w:tcPr>
          <w:p w14:paraId="7F44CBCC" w14:textId="77777777" w:rsidR="00E81ECC" w:rsidRPr="006B1A5A" w:rsidRDefault="00E81ECC" w:rsidP="00E81ECC">
            <w:pPr>
              <w:keepNext/>
              <w:spacing w:before="60" w:after="60"/>
              <w:rPr>
                <w:rFonts w:eastAsia="Calibri"/>
                <w:b/>
                <w:sz w:val="18"/>
                <w:szCs w:val="18"/>
                <w:lang w:eastAsia="en-GB"/>
              </w:rPr>
            </w:pPr>
            <w:r w:rsidRPr="006B1A5A">
              <w:rPr>
                <w:rFonts w:eastAsia="Calibri"/>
                <w:b/>
                <w:sz w:val="18"/>
                <w:szCs w:val="18"/>
                <w:lang w:eastAsia="en-GB"/>
              </w:rPr>
              <w:t>EU fish farm scenario</w:t>
            </w:r>
          </w:p>
        </w:tc>
        <w:tc>
          <w:tcPr>
            <w:tcW w:w="885" w:type="pct"/>
            <w:shd w:val="clear" w:color="auto" w:fill="FFFFFF"/>
            <w:vAlign w:val="center"/>
          </w:tcPr>
          <w:p w14:paraId="0D4B3F55" w14:textId="2C4D8378" w:rsidR="00E81ECC" w:rsidRPr="006B1A5A" w:rsidRDefault="00E81ECC" w:rsidP="00E81ECC">
            <w:pPr>
              <w:pStyle w:val="Ingenmellomrom"/>
              <w:keepNext/>
              <w:jc w:val="center"/>
              <w:rPr>
                <w:rFonts w:ascii="Verdana" w:hAnsi="Verdana"/>
                <w:sz w:val="18"/>
                <w:szCs w:val="18"/>
                <w:highlight w:val="yellow"/>
                <w:lang w:val="en-GB" w:eastAsia="en-GB"/>
              </w:rPr>
            </w:pPr>
            <w:r w:rsidRPr="006B1A5A">
              <w:rPr>
                <w:rFonts w:ascii="Verdana" w:hAnsi="Verdana"/>
                <w:sz w:val="18"/>
                <w:szCs w:val="18"/>
                <w:lang w:val="en-GB" w:eastAsia="en-GB"/>
              </w:rPr>
              <w:t>0.</w:t>
            </w:r>
            <w:r w:rsidRPr="006B1A5A" w:rsidDel="00E6132D">
              <w:rPr>
                <w:rFonts w:ascii="Verdana" w:hAnsi="Verdana"/>
                <w:sz w:val="18"/>
                <w:szCs w:val="18"/>
                <w:lang w:val="en-GB" w:eastAsia="en-GB"/>
              </w:rPr>
              <w:t>02</w:t>
            </w:r>
          </w:p>
        </w:tc>
        <w:tc>
          <w:tcPr>
            <w:tcW w:w="886" w:type="pct"/>
            <w:shd w:val="clear" w:color="auto" w:fill="FFFFFF"/>
            <w:vAlign w:val="center"/>
          </w:tcPr>
          <w:p w14:paraId="1AC95ADA" w14:textId="34B94CD0" w:rsidR="00E81ECC" w:rsidRPr="006B1A5A" w:rsidRDefault="00E81ECC" w:rsidP="00E81ECC">
            <w:pPr>
              <w:pStyle w:val="Ingenmellomrom"/>
              <w:keepNext/>
              <w:jc w:val="center"/>
              <w:rPr>
                <w:rFonts w:ascii="Verdana" w:hAnsi="Verdana"/>
                <w:sz w:val="18"/>
                <w:szCs w:val="18"/>
                <w:highlight w:val="yellow"/>
                <w:lang w:val="en-GB" w:eastAsia="en-GB"/>
              </w:rPr>
            </w:pPr>
            <w:r w:rsidRPr="006B1A5A">
              <w:rPr>
                <w:rFonts w:ascii="Verdana" w:hAnsi="Verdana"/>
                <w:sz w:val="18"/>
                <w:szCs w:val="18"/>
                <w:lang w:val="en-GB" w:eastAsia="en-GB"/>
              </w:rPr>
              <w:t>1.50E-</w:t>
            </w:r>
            <w:r w:rsidRPr="006B1A5A" w:rsidDel="00E6132D">
              <w:rPr>
                <w:rFonts w:ascii="Verdana" w:hAnsi="Verdana"/>
                <w:sz w:val="18"/>
                <w:szCs w:val="18"/>
                <w:lang w:val="en-GB" w:eastAsia="en-GB"/>
              </w:rPr>
              <w:t>03</w:t>
            </w:r>
          </w:p>
        </w:tc>
        <w:tc>
          <w:tcPr>
            <w:tcW w:w="886" w:type="pct"/>
            <w:shd w:val="clear" w:color="auto" w:fill="FFFFFF"/>
            <w:vAlign w:val="center"/>
          </w:tcPr>
          <w:p w14:paraId="39AF0ECC" w14:textId="43C4A692" w:rsidR="00E81ECC" w:rsidRPr="006B1A5A" w:rsidRDefault="00E81ECC" w:rsidP="00E81ECC">
            <w:pPr>
              <w:pStyle w:val="Ingenmellomrom"/>
              <w:keepNext/>
              <w:jc w:val="center"/>
              <w:rPr>
                <w:rFonts w:ascii="Verdana" w:hAnsi="Verdana"/>
                <w:sz w:val="18"/>
                <w:szCs w:val="18"/>
                <w:highlight w:val="yellow"/>
                <w:lang w:val="en-GB" w:eastAsia="en-GB"/>
              </w:rPr>
            </w:pPr>
            <w:r w:rsidRPr="006B1A5A">
              <w:rPr>
                <w:rFonts w:ascii="Verdana" w:hAnsi="Verdana"/>
                <w:sz w:val="18"/>
                <w:szCs w:val="18"/>
                <w:lang w:val="en-GB" w:eastAsia="en-GB"/>
              </w:rPr>
              <w:t>4.44E-</w:t>
            </w:r>
            <w:r w:rsidRPr="006B1A5A" w:rsidDel="00E6132D">
              <w:rPr>
                <w:rFonts w:ascii="Verdana" w:hAnsi="Verdana"/>
                <w:sz w:val="18"/>
                <w:szCs w:val="18"/>
                <w:lang w:val="en-GB" w:eastAsia="en-GB"/>
              </w:rPr>
              <w:t>06</w:t>
            </w:r>
          </w:p>
        </w:tc>
        <w:tc>
          <w:tcPr>
            <w:tcW w:w="962" w:type="pct"/>
            <w:shd w:val="clear" w:color="auto" w:fill="FFFFFF"/>
            <w:vAlign w:val="center"/>
          </w:tcPr>
          <w:p w14:paraId="0BD78B65" w14:textId="6A37152A" w:rsidR="00E81ECC" w:rsidRPr="006B1A5A" w:rsidRDefault="00E81ECC" w:rsidP="00E81ECC">
            <w:pPr>
              <w:pStyle w:val="Ingenmellomrom"/>
              <w:keepNext/>
              <w:jc w:val="center"/>
              <w:rPr>
                <w:rFonts w:ascii="Verdana" w:hAnsi="Verdana"/>
                <w:sz w:val="18"/>
                <w:szCs w:val="18"/>
                <w:highlight w:val="yellow"/>
                <w:lang w:val="en-GB" w:eastAsia="en-GB"/>
              </w:rPr>
            </w:pPr>
            <w:r w:rsidRPr="006B1A5A">
              <w:rPr>
                <w:rFonts w:ascii="Verdana" w:hAnsi="Verdana"/>
                <w:sz w:val="18"/>
                <w:szCs w:val="18"/>
                <w:lang w:val="en-GB" w:eastAsia="en-GB"/>
              </w:rPr>
              <w:t>9.86E05</w:t>
            </w:r>
          </w:p>
        </w:tc>
      </w:tr>
      <w:tr w:rsidR="00A20998" w:rsidRPr="006B1A5A" w14:paraId="0DC116E6" w14:textId="77777777" w:rsidTr="00C51EF8">
        <w:trPr>
          <w:trHeight w:val="75"/>
        </w:trPr>
        <w:tc>
          <w:tcPr>
            <w:tcW w:w="5000" w:type="pct"/>
            <w:gridSpan w:val="5"/>
            <w:tcBorders>
              <w:top w:val="single" w:sz="4" w:space="0" w:color="auto"/>
              <w:left w:val="nil"/>
              <w:bottom w:val="nil"/>
              <w:right w:val="nil"/>
            </w:tcBorders>
            <w:shd w:val="clear" w:color="auto" w:fill="FFFFFF"/>
          </w:tcPr>
          <w:p w14:paraId="36EF19E4" w14:textId="77777777" w:rsidR="00A20998" w:rsidRPr="006B1A5A" w:rsidRDefault="00A20998" w:rsidP="00C51EF8">
            <w:pPr>
              <w:pStyle w:val="Ingenmellomrom"/>
              <w:keepNext/>
              <w:jc w:val="left"/>
              <w:rPr>
                <w:rFonts w:ascii="Verdana" w:hAnsi="Verdana"/>
                <w:b/>
                <w:sz w:val="18"/>
                <w:szCs w:val="20"/>
                <w:lang w:val="en-GB" w:eastAsia="en-GB"/>
              </w:rPr>
            </w:pPr>
            <w:r w:rsidRPr="006B1A5A">
              <w:rPr>
                <w:rFonts w:ascii="Verdana" w:hAnsi="Verdana"/>
                <w:sz w:val="18"/>
                <w:szCs w:val="20"/>
                <w:vertAlign w:val="superscript"/>
                <w:lang w:val="en-GB"/>
              </w:rPr>
              <w:t>1</w:t>
            </w:r>
            <w:r w:rsidRPr="006B1A5A">
              <w:rPr>
                <w:rFonts w:ascii="Verdana" w:hAnsi="Verdana"/>
                <w:sz w:val="18"/>
                <w:szCs w:val="20"/>
                <w:lang w:val="en-GB"/>
              </w:rPr>
              <w:t xml:space="preserve"> PEC/PNEC </w:t>
            </w:r>
            <w:r w:rsidRPr="006B1A5A">
              <w:rPr>
                <w:rFonts w:ascii="Verdana" w:hAnsi="Verdana"/>
                <w:sz w:val="18"/>
                <w:szCs w:val="18"/>
                <w:lang w:val="en-GB"/>
              </w:rPr>
              <w:t>ratios above</w:t>
            </w:r>
            <w:r w:rsidRPr="006B1A5A">
              <w:rPr>
                <w:rFonts w:ascii="Verdana" w:hAnsi="Verdana"/>
                <w:sz w:val="18"/>
                <w:szCs w:val="20"/>
                <w:lang w:val="en-GB"/>
              </w:rPr>
              <w:t xml:space="preserve"> 1 </w:t>
            </w:r>
            <w:r w:rsidRPr="006B1A5A">
              <w:rPr>
                <w:rFonts w:ascii="Verdana" w:hAnsi="Verdana"/>
                <w:sz w:val="18"/>
                <w:szCs w:val="18"/>
                <w:lang w:val="en-GB"/>
              </w:rPr>
              <w:t>(values</w:t>
            </w:r>
            <w:r w:rsidRPr="006B1A5A">
              <w:rPr>
                <w:rFonts w:ascii="Verdana" w:hAnsi="Verdana"/>
                <w:sz w:val="18"/>
                <w:szCs w:val="20"/>
                <w:lang w:val="en-GB"/>
              </w:rPr>
              <w:t xml:space="preserve"> in </w:t>
            </w:r>
            <w:r w:rsidRPr="006B1A5A">
              <w:rPr>
                <w:rFonts w:ascii="Verdana" w:hAnsi="Verdana"/>
                <w:b/>
                <w:sz w:val="18"/>
                <w:szCs w:val="20"/>
                <w:lang w:val="en-GB"/>
              </w:rPr>
              <w:t>bold</w:t>
            </w:r>
            <w:r w:rsidRPr="006B1A5A">
              <w:rPr>
                <w:rFonts w:ascii="Verdana" w:hAnsi="Verdana"/>
                <w:sz w:val="18"/>
                <w:szCs w:val="18"/>
                <w:lang w:val="en-GB"/>
              </w:rPr>
              <w:t>)</w:t>
            </w:r>
            <w:r w:rsidRPr="006B1A5A">
              <w:rPr>
                <w:rFonts w:ascii="Verdana" w:hAnsi="Verdana"/>
                <w:sz w:val="18"/>
                <w:szCs w:val="20"/>
                <w:lang w:val="en-GB"/>
              </w:rPr>
              <w:t xml:space="preserve"> </w:t>
            </w:r>
            <w:r w:rsidRPr="006B1A5A">
              <w:rPr>
                <w:rFonts w:ascii="Verdana" w:hAnsi="Verdana"/>
                <w:sz w:val="18"/>
                <w:szCs w:val="18"/>
                <w:lang w:val="en-GB"/>
              </w:rPr>
              <w:t>indicate</w:t>
            </w:r>
            <w:r w:rsidRPr="006B1A5A">
              <w:rPr>
                <w:rFonts w:ascii="Verdana" w:hAnsi="Verdana"/>
                <w:sz w:val="18"/>
                <w:szCs w:val="20"/>
                <w:lang w:val="en-GB"/>
              </w:rPr>
              <w:t xml:space="preserve"> unacceptable </w:t>
            </w:r>
            <w:r w:rsidRPr="006B1A5A">
              <w:rPr>
                <w:rFonts w:ascii="Verdana" w:hAnsi="Verdana"/>
                <w:sz w:val="18"/>
                <w:szCs w:val="18"/>
                <w:lang w:val="en-GB"/>
              </w:rPr>
              <w:t>environmental risks.</w:t>
            </w:r>
          </w:p>
        </w:tc>
      </w:tr>
      <w:tr w:rsidR="00A20998" w:rsidRPr="006B1A5A" w14:paraId="28E9BC70" w14:textId="77777777" w:rsidTr="00C51EF8">
        <w:trPr>
          <w:trHeight w:val="75"/>
        </w:trPr>
        <w:tc>
          <w:tcPr>
            <w:tcW w:w="5000" w:type="pct"/>
            <w:gridSpan w:val="5"/>
            <w:tcBorders>
              <w:top w:val="single" w:sz="4" w:space="0" w:color="auto"/>
              <w:left w:val="nil"/>
              <w:bottom w:val="nil"/>
              <w:right w:val="nil"/>
            </w:tcBorders>
            <w:shd w:val="clear" w:color="auto" w:fill="FFFFFF"/>
          </w:tcPr>
          <w:p w14:paraId="43982B94" w14:textId="77777777" w:rsidR="00A20998" w:rsidRDefault="00A20998" w:rsidP="00C51EF8">
            <w:pPr>
              <w:pStyle w:val="Ingenmellomrom"/>
              <w:keepNext/>
              <w:jc w:val="left"/>
              <w:rPr>
                <w:rFonts w:ascii="Verdana" w:hAnsi="Verdana"/>
                <w:sz w:val="18"/>
                <w:szCs w:val="18"/>
                <w:lang w:val="en-GB"/>
              </w:rPr>
            </w:pPr>
            <w:r w:rsidRPr="0089235A">
              <w:rPr>
                <w:rFonts w:ascii="Verdana" w:hAnsi="Verdana"/>
                <w:sz w:val="18"/>
                <w:szCs w:val="20"/>
                <w:vertAlign w:val="superscript"/>
                <w:lang w:val="en-GB"/>
              </w:rPr>
              <w:t>2</w:t>
            </w:r>
            <w:r w:rsidRPr="006B1A5A">
              <w:rPr>
                <w:rFonts w:ascii="Verdana" w:hAnsi="Verdana"/>
                <w:sz w:val="18"/>
                <w:szCs w:val="20"/>
                <w:lang w:val="en-GB"/>
              </w:rPr>
              <w:t xml:space="preserve"> </w:t>
            </w:r>
            <w:r>
              <w:rPr>
                <w:rFonts w:ascii="Verdana" w:hAnsi="Verdana"/>
                <w:sz w:val="18"/>
                <w:szCs w:val="20"/>
                <w:lang w:val="en-GB"/>
              </w:rPr>
              <w:t>Refined based on field study data with both cleaned and not in-situ cleaned nets (Refined Fa.i. of 0.44)</w:t>
            </w:r>
          </w:p>
          <w:p w14:paraId="3FCCA52E" w14:textId="77777777" w:rsidR="00A20998" w:rsidRPr="006B1A5A" w:rsidRDefault="00A20998" w:rsidP="00C51EF8">
            <w:pPr>
              <w:pStyle w:val="Ingenmellomrom"/>
              <w:keepNext/>
              <w:jc w:val="left"/>
              <w:rPr>
                <w:rFonts w:ascii="Verdana" w:hAnsi="Verdana"/>
                <w:b/>
                <w:sz w:val="18"/>
                <w:szCs w:val="20"/>
                <w:lang w:val="en-GB" w:eastAsia="en-GB"/>
              </w:rPr>
            </w:pPr>
          </w:p>
        </w:tc>
      </w:tr>
    </w:tbl>
    <w:p w14:paraId="7E3F9C24" w14:textId="5BF82A4B" w:rsidR="006D733E" w:rsidRDefault="006D733E" w:rsidP="006D733E">
      <w:pPr>
        <w:rPr>
          <w:sz w:val="18"/>
          <w:szCs w:val="18"/>
        </w:rPr>
      </w:pPr>
    </w:p>
    <w:p w14:paraId="5317297B" w14:textId="2FF46F0C" w:rsidR="00EC7CD8" w:rsidRPr="006B1A5A" w:rsidRDefault="00EC7CD8" w:rsidP="00EC7CD8">
      <w:r w:rsidRPr="006B1A5A">
        <w:rPr>
          <w:b/>
        </w:rPr>
        <w:t>R</w:t>
      </w:r>
      <w:r>
        <w:rPr>
          <w:b/>
        </w:rPr>
        <w:t>efined r</w:t>
      </w:r>
      <w:r w:rsidRPr="006B1A5A">
        <w:rPr>
          <w:b/>
        </w:rPr>
        <w:t xml:space="preserve">isk characterisation for the </w:t>
      </w:r>
      <w:r>
        <w:rPr>
          <w:b/>
        </w:rPr>
        <w:t>EU</w:t>
      </w:r>
      <w:r w:rsidRPr="006B1A5A">
        <w:rPr>
          <w:b/>
        </w:rPr>
        <w:t xml:space="preserve"> fish farm scenario (</w:t>
      </w:r>
      <w:r>
        <w:rPr>
          <w:b/>
        </w:rPr>
        <w:t>higher tier</w:t>
      </w:r>
      <w:r w:rsidRPr="006B1A5A">
        <w:rPr>
          <w:b/>
        </w:rPr>
        <w:t>)</w:t>
      </w:r>
    </w:p>
    <w:p w14:paraId="3A9F2D60" w14:textId="77777777" w:rsidR="00EC7CD8" w:rsidRPr="006B1A5A" w:rsidRDefault="00EC7CD8" w:rsidP="00EC7CD8"/>
    <w:p w14:paraId="079C7F9D" w14:textId="545F7C05" w:rsidR="00EC7CD8" w:rsidRPr="006B1A5A" w:rsidRDefault="00EC7CD8" w:rsidP="00EC7CD8">
      <w:pPr>
        <w:rPr>
          <w:rFonts w:eastAsia="Calibri"/>
          <w:b/>
          <w:i/>
          <w:sz w:val="22"/>
          <w:szCs w:val="22"/>
          <w:lang w:eastAsia="en-US"/>
        </w:rPr>
      </w:pPr>
      <w:r w:rsidRPr="006B1A5A">
        <w:t xml:space="preserve">The PEC/PNEC ratios based on PEC values calculated with the </w:t>
      </w:r>
      <w:r>
        <w:t>EU</w:t>
      </w:r>
      <w:r w:rsidRPr="006B1A5A">
        <w:t xml:space="preserve"> fish farm scenario are summarised in the following table.</w:t>
      </w:r>
    </w:p>
    <w:p w14:paraId="2B456A7B" w14:textId="77777777" w:rsidR="0045596D" w:rsidRPr="006B1A5A" w:rsidRDefault="0045596D" w:rsidP="0045596D">
      <w:pPr>
        <w:jc w:val="center"/>
        <w:rPr>
          <w:rFonts w:eastAsia="Calibri"/>
          <w:b/>
          <w:i/>
          <w:sz w:val="22"/>
          <w:szCs w:val="22"/>
          <w:lang w:eastAsia="en-US"/>
        </w:rPr>
      </w:pPr>
    </w:p>
    <w:tbl>
      <w:tblPr>
        <w:tblStyle w:val="Tabellrutenett"/>
        <w:tblW w:w="0" w:type="auto"/>
        <w:tblLayout w:type="fixed"/>
        <w:tblLook w:val="04A0" w:firstRow="1" w:lastRow="0" w:firstColumn="1" w:lastColumn="0" w:noHBand="0" w:noVBand="1"/>
      </w:tblPr>
      <w:tblGrid>
        <w:gridCol w:w="2547"/>
        <w:gridCol w:w="2977"/>
        <w:gridCol w:w="3680"/>
      </w:tblGrid>
      <w:tr w:rsidR="0045596D" w:rsidRPr="006B1A5A" w14:paraId="690A272F" w14:textId="77777777" w:rsidTr="00C51EF8">
        <w:tc>
          <w:tcPr>
            <w:tcW w:w="9204" w:type="dxa"/>
            <w:gridSpan w:val="3"/>
          </w:tcPr>
          <w:p w14:paraId="2112CB33" w14:textId="77777777" w:rsidR="0045596D" w:rsidRPr="00BC6C11" w:rsidRDefault="0045596D" w:rsidP="00C51EF8">
            <w:pPr>
              <w:jc w:val="center"/>
              <w:rPr>
                <w:rFonts w:eastAsia="Calibri" w:cs="Arial"/>
                <w:b/>
                <w:color w:val="000000"/>
                <w:lang w:eastAsia="en-GB"/>
              </w:rPr>
            </w:pPr>
            <w:r w:rsidRPr="006B1A5A">
              <w:rPr>
                <w:rFonts w:eastAsia="Calibri" w:cs="Arial"/>
                <w:b/>
                <w:bCs/>
                <w:color w:val="000000"/>
                <w:lang w:eastAsia="en-GB"/>
              </w:rPr>
              <w:t>Summary table on calculated PEC/PNEC values*</w:t>
            </w:r>
            <w:r>
              <w:rPr>
                <w:rFonts w:eastAsia="Calibri" w:cs="Arial"/>
                <w:b/>
                <w:bCs/>
                <w:color w:val="000000"/>
                <w:lang w:eastAsia="en-GB"/>
              </w:rPr>
              <w:t xml:space="preserve">, </w:t>
            </w:r>
            <w:r w:rsidRPr="006B1A5A">
              <w:rPr>
                <w:rFonts w:eastAsia="Calibri" w:cs="Arial"/>
                <w:b/>
                <w:bCs/>
                <w:color w:val="000000"/>
                <w:lang w:eastAsia="en-GB"/>
              </w:rPr>
              <w:t>EU fish farm scenario</w:t>
            </w:r>
          </w:p>
        </w:tc>
      </w:tr>
      <w:tr w:rsidR="0045596D" w:rsidRPr="006B1A5A" w14:paraId="01283539" w14:textId="77777777" w:rsidTr="00C51EF8">
        <w:tc>
          <w:tcPr>
            <w:tcW w:w="2547" w:type="dxa"/>
          </w:tcPr>
          <w:p w14:paraId="458E371A" w14:textId="77777777" w:rsidR="0045596D" w:rsidRPr="006B1A5A" w:rsidRDefault="0045596D" w:rsidP="00C51EF8">
            <w:pPr>
              <w:rPr>
                <w:rFonts w:eastAsia="Calibri"/>
                <w:b/>
                <w:i/>
                <w:highlight w:val="yellow"/>
                <w:lang w:eastAsia="en-US"/>
              </w:rPr>
            </w:pPr>
          </w:p>
        </w:tc>
        <w:tc>
          <w:tcPr>
            <w:tcW w:w="2977" w:type="dxa"/>
          </w:tcPr>
          <w:p w14:paraId="7BE4B20A" w14:textId="77777777" w:rsidR="0045596D" w:rsidRPr="006B1A5A" w:rsidRDefault="0045596D" w:rsidP="00C51EF8">
            <w:pPr>
              <w:autoSpaceDE w:val="0"/>
              <w:autoSpaceDN w:val="0"/>
              <w:adjustRightInd w:val="0"/>
              <w:spacing w:before="60" w:after="60" w:line="260" w:lineRule="atLeast"/>
              <w:jc w:val="center"/>
              <w:rPr>
                <w:rFonts w:eastAsia="Calibri"/>
                <w:b/>
                <w:i/>
                <w:lang w:eastAsia="en-US"/>
              </w:rPr>
            </w:pPr>
            <w:r w:rsidRPr="006B1A5A">
              <w:rPr>
                <w:rFonts w:eastAsia="Calibri" w:cs="Arial"/>
                <w:b/>
                <w:bCs/>
                <w:color w:val="000000"/>
                <w:lang w:eastAsia="en-GB"/>
              </w:rPr>
              <w:t>PEC</w:t>
            </w:r>
            <w:r w:rsidRPr="006B1A5A">
              <w:rPr>
                <w:rFonts w:eastAsia="Calibri" w:cs="Arial"/>
                <w:b/>
                <w:bCs/>
                <w:color w:val="000000"/>
                <w:vertAlign w:val="subscript"/>
                <w:lang w:eastAsia="en-GB"/>
              </w:rPr>
              <w:t>dissolved</w:t>
            </w:r>
            <w:r w:rsidRPr="006B1A5A">
              <w:rPr>
                <w:rFonts w:eastAsia="Calibri" w:cs="Arial"/>
                <w:b/>
                <w:bCs/>
                <w:color w:val="000000"/>
                <w:lang w:eastAsia="en-GB"/>
              </w:rPr>
              <w:t>/PNEC</w:t>
            </w:r>
            <w:r w:rsidRPr="006B1A5A">
              <w:rPr>
                <w:rFonts w:eastAsia="Calibri" w:cs="Arial"/>
                <w:b/>
                <w:bCs/>
                <w:color w:val="000000"/>
                <w:vertAlign w:val="subscript"/>
                <w:lang w:eastAsia="en-GB"/>
              </w:rPr>
              <w:t>water</w:t>
            </w:r>
          </w:p>
        </w:tc>
        <w:tc>
          <w:tcPr>
            <w:tcW w:w="3680" w:type="dxa"/>
          </w:tcPr>
          <w:p w14:paraId="0F8F226C" w14:textId="77777777" w:rsidR="0045596D" w:rsidRPr="006B1A5A" w:rsidRDefault="0045596D" w:rsidP="00C51EF8">
            <w:pPr>
              <w:autoSpaceDE w:val="0"/>
              <w:autoSpaceDN w:val="0"/>
              <w:adjustRightInd w:val="0"/>
              <w:spacing w:before="60" w:after="60" w:line="260" w:lineRule="atLeast"/>
              <w:jc w:val="center"/>
              <w:rPr>
                <w:rFonts w:eastAsia="Calibri"/>
                <w:b/>
                <w:i/>
                <w:lang w:eastAsia="en-US"/>
              </w:rPr>
            </w:pPr>
            <w:r w:rsidRPr="006B1A5A">
              <w:rPr>
                <w:rFonts w:eastAsia="Calibri" w:cs="Arial"/>
                <w:b/>
                <w:color w:val="000000"/>
                <w:lang w:eastAsia="en-GB"/>
              </w:rPr>
              <w:t>PEC</w:t>
            </w:r>
            <w:r w:rsidRPr="006B1A5A">
              <w:rPr>
                <w:rFonts w:eastAsia="Calibri" w:cs="Arial"/>
                <w:b/>
                <w:color w:val="000000"/>
                <w:vertAlign w:val="subscript"/>
                <w:lang w:eastAsia="en-GB"/>
              </w:rPr>
              <w:t>suspended matter</w:t>
            </w:r>
            <w:r w:rsidRPr="006B1A5A">
              <w:rPr>
                <w:rFonts w:eastAsia="Calibri" w:cs="Arial"/>
                <w:b/>
                <w:color w:val="000000"/>
                <w:lang w:eastAsia="en-GB"/>
              </w:rPr>
              <w:t>/PNEC</w:t>
            </w:r>
            <w:r w:rsidRPr="006B1A5A">
              <w:rPr>
                <w:rFonts w:eastAsia="Calibri" w:cs="Arial"/>
                <w:b/>
                <w:color w:val="000000"/>
                <w:vertAlign w:val="subscript"/>
                <w:lang w:eastAsia="en-GB"/>
              </w:rPr>
              <w:t>sed</w:t>
            </w:r>
          </w:p>
        </w:tc>
      </w:tr>
      <w:tr w:rsidR="0045596D" w:rsidRPr="006B1A5A" w14:paraId="398738B5" w14:textId="77777777" w:rsidTr="00C51EF8">
        <w:tc>
          <w:tcPr>
            <w:tcW w:w="9204" w:type="dxa"/>
            <w:gridSpan w:val="3"/>
          </w:tcPr>
          <w:p w14:paraId="7E8E70B8" w14:textId="77777777" w:rsidR="0045596D" w:rsidRPr="006B1A5A" w:rsidRDefault="0045596D" w:rsidP="00C51EF8">
            <w:pPr>
              <w:rPr>
                <w:rFonts w:eastAsia="Calibri"/>
                <w:b/>
                <w:lang w:eastAsia="en-US"/>
              </w:rPr>
            </w:pPr>
            <w:r w:rsidRPr="006B1A5A">
              <w:rPr>
                <w:rFonts w:eastAsia="Calibri"/>
                <w:b/>
                <w:lang w:eastAsia="en-US"/>
              </w:rPr>
              <w:t>AquaNet LG360</w:t>
            </w:r>
          </w:p>
        </w:tc>
      </w:tr>
      <w:tr w:rsidR="0045596D" w:rsidRPr="006B1A5A" w14:paraId="77BC5600" w14:textId="77777777" w:rsidTr="00C51EF8">
        <w:tc>
          <w:tcPr>
            <w:tcW w:w="2547" w:type="dxa"/>
          </w:tcPr>
          <w:p w14:paraId="1397527F" w14:textId="77777777" w:rsidR="0045596D" w:rsidRPr="006B1A5A" w:rsidRDefault="0045596D" w:rsidP="00C51EF8">
            <w:pPr>
              <w:rPr>
                <w:rFonts w:eastAsia="Calibri"/>
                <w:lang w:eastAsia="en-US"/>
              </w:rPr>
            </w:pPr>
            <w:r w:rsidRPr="006B1A5A">
              <w:rPr>
                <w:rFonts w:eastAsia="Calibri"/>
                <w:lang w:eastAsia="en-US"/>
              </w:rPr>
              <w:t>Total copper</w:t>
            </w:r>
          </w:p>
        </w:tc>
        <w:tc>
          <w:tcPr>
            <w:tcW w:w="2977" w:type="dxa"/>
          </w:tcPr>
          <w:p w14:paraId="2F448457" w14:textId="5B55326E" w:rsidR="0045596D" w:rsidRPr="006B1A5A" w:rsidRDefault="0027759D" w:rsidP="00C51EF8">
            <w:pPr>
              <w:rPr>
                <w:rFonts w:eastAsia="Calibri"/>
                <w:b/>
                <w:lang w:eastAsia="en-US"/>
              </w:rPr>
            </w:pPr>
            <w:r w:rsidRPr="00D555AE">
              <w:rPr>
                <w:bCs/>
                <w:sz w:val="18"/>
                <w:szCs w:val="18"/>
                <w:lang w:eastAsia="en-GB"/>
              </w:rPr>
              <w:t>1.0</w:t>
            </w:r>
          </w:p>
        </w:tc>
        <w:tc>
          <w:tcPr>
            <w:tcW w:w="3680" w:type="dxa"/>
          </w:tcPr>
          <w:p w14:paraId="7295CBE7" w14:textId="2786483F" w:rsidR="0045596D" w:rsidRPr="006B1A5A" w:rsidRDefault="0027759D" w:rsidP="00C51EF8">
            <w:pPr>
              <w:rPr>
                <w:rFonts w:eastAsia="Calibri"/>
                <w:lang w:eastAsia="en-US"/>
              </w:rPr>
            </w:pPr>
            <w:r>
              <w:rPr>
                <w:rFonts w:eastAsia="Calibri"/>
                <w:lang w:eastAsia="en-US"/>
              </w:rPr>
              <w:t>0.23</w:t>
            </w:r>
          </w:p>
        </w:tc>
      </w:tr>
      <w:tr w:rsidR="0045596D" w:rsidRPr="006B1A5A" w14:paraId="3E8A4BD8" w14:textId="77777777" w:rsidTr="00C51EF8">
        <w:tc>
          <w:tcPr>
            <w:tcW w:w="2547" w:type="dxa"/>
          </w:tcPr>
          <w:p w14:paraId="0F3C2C39" w14:textId="77777777" w:rsidR="0045596D" w:rsidRPr="006B1A5A" w:rsidRDefault="0045596D" w:rsidP="00C51EF8">
            <w:pPr>
              <w:rPr>
                <w:rFonts w:eastAsia="Calibri"/>
                <w:lang w:eastAsia="en-US"/>
              </w:rPr>
            </w:pPr>
            <w:r w:rsidRPr="006B1A5A">
              <w:rPr>
                <w:rFonts w:eastAsia="Calibri"/>
                <w:lang w:eastAsia="en-US"/>
              </w:rPr>
              <w:t>Thiocyanate</w:t>
            </w:r>
          </w:p>
        </w:tc>
        <w:tc>
          <w:tcPr>
            <w:tcW w:w="2977" w:type="dxa"/>
          </w:tcPr>
          <w:p w14:paraId="127941AE" w14:textId="77777777" w:rsidR="0045596D" w:rsidRPr="006B1A5A" w:rsidRDefault="0045596D" w:rsidP="00C51EF8">
            <w:pPr>
              <w:rPr>
                <w:rFonts w:eastAsia="Calibri"/>
                <w:lang w:eastAsia="en-US"/>
              </w:rPr>
            </w:pPr>
            <w:r w:rsidRPr="006B1A5A">
              <w:rPr>
                <w:rFonts w:eastAsia="Calibri"/>
                <w:lang w:eastAsia="en-US"/>
              </w:rPr>
              <w:t>1.83E-03</w:t>
            </w:r>
          </w:p>
        </w:tc>
        <w:tc>
          <w:tcPr>
            <w:tcW w:w="3680" w:type="dxa"/>
          </w:tcPr>
          <w:p w14:paraId="50D961D0" w14:textId="77777777" w:rsidR="0045596D" w:rsidRPr="006B1A5A" w:rsidRDefault="0045596D" w:rsidP="00C51EF8">
            <w:pPr>
              <w:rPr>
                <w:rFonts w:eastAsia="Calibri"/>
                <w:lang w:eastAsia="en-US"/>
              </w:rPr>
            </w:pPr>
            <w:r w:rsidRPr="006B1A5A">
              <w:rPr>
                <w:rFonts w:eastAsia="Calibri"/>
                <w:lang w:eastAsia="en-US"/>
              </w:rPr>
              <w:t>1.20E-04</w:t>
            </w:r>
          </w:p>
        </w:tc>
      </w:tr>
      <w:tr w:rsidR="0045596D" w:rsidRPr="006B1A5A" w14:paraId="3B75F648" w14:textId="77777777" w:rsidTr="00C51EF8">
        <w:tc>
          <w:tcPr>
            <w:tcW w:w="2547" w:type="dxa"/>
          </w:tcPr>
          <w:p w14:paraId="5A8C6ACB" w14:textId="77777777" w:rsidR="0045596D" w:rsidRPr="006B1A5A" w:rsidRDefault="0045596D" w:rsidP="00C51EF8">
            <w:pPr>
              <w:rPr>
                <w:rFonts w:eastAsia="Calibri"/>
                <w:lang w:eastAsia="en-US"/>
              </w:rPr>
            </w:pPr>
            <w:r w:rsidRPr="006B1A5A">
              <w:rPr>
                <w:rFonts w:eastAsia="Calibri"/>
                <w:lang w:eastAsia="en-US"/>
              </w:rPr>
              <w:t>Combined</w:t>
            </w:r>
          </w:p>
        </w:tc>
        <w:tc>
          <w:tcPr>
            <w:tcW w:w="2977" w:type="dxa"/>
          </w:tcPr>
          <w:p w14:paraId="57E9D8F8" w14:textId="453D6BF8" w:rsidR="0045596D" w:rsidRPr="0027759D" w:rsidRDefault="0027759D" w:rsidP="00C51EF8">
            <w:pPr>
              <w:rPr>
                <w:bCs/>
                <w:lang w:eastAsia="en-GB"/>
              </w:rPr>
            </w:pPr>
            <w:r w:rsidRPr="0027759D">
              <w:rPr>
                <w:bCs/>
                <w:lang w:eastAsia="en-GB"/>
              </w:rPr>
              <w:t>1.0</w:t>
            </w:r>
          </w:p>
        </w:tc>
        <w:tc>
          <w:tcPr>
            <w:tcW w:w="3680" w:type="dxa"/>
          </w:tcPr>
          <w:p w14:paraId="41357929" w14:textId="1497FDCC" w:rsidR="0045596D" w:rsidRPr="006B1A5A" w:rsidRDefault="0027759D" w:rsidP="00C51EF8">
            <w:pPr>
              <w:rPr>
                <w:lang w:eastAsia="en-GB"/>
              </w:rPr>
            </w:pPr>
            <w:r>
              <w:rPr>
                <w:rFonts w:eastAsia="Calibri"/>
                <w:lang w:eastAsia="en-US"/>
              </w:rPr>
              <w:t>0.23</w:t>
            </w:r>
          </w:p>
        </w:tc>
      </w:tr>
      <w:tr w:rsidR="0045596D" w:rsidRPr="006B1A5A" w14:paraId="4500C7C4" w14:textId="77777777" w:rsidTr="00C51EF8">
        <w:tc>
          <w:tcPr>
            <w:tcW w:w="9204" w:type="dxa"/>
            <w:gridSpan w:val="3"/>
          </w:tcPr>
          <w:p w14:paraId="37760093" w14:textId="77777777" w:rsidR="0045596D" w:rsidRPr="006B1A5A" w:rsidRDefault="0045596D" w:rsidP="00C51EF8">
            <w:pPr>
              <w:rPr>
                <w:rFonts w:eastAsia="Calibri"/>
                <w:b/>
                <w:lang w:eastAsia="en-US"/>
              </w:rPr>
            </w:pPr>
            <w:r w:rsidRPr="006B1A5A">
              <w:rPr>
                <w:rFonts w:eastAsia="Calibri"/>
                <w:b/>
                <w:lang w:eastAsia="en-US"/>
              </w:rPr>
              <w:t>AquaNet HG360</w:t>
            </w:r>
          </w:p>
        </w:tc>
      </w:tr>
      <w:tr w:rsidR="0045596D" w:rsidRPr="006B1A5A" w14:paraId="19CE1ADC" w14:textId="77777777" w:rsidTr="00C51EF8">
        <w:tc>
          <w:tcPr>
            <w:tcW w:w="2547" w:type="dxa"/>
          </w:tcPr>
          <w:p w14:paraId="49FC852A" w14:textId="77777777" w:rsidR="0045596D" w:rsidRPr="006B1A5A" w:rsidRDefault="0045596D" w:rsidP="00C51EF8">
            <w:pPr>
              <w:rPr>
                <w:rFonts w:eastAsia="Calibri"/>
                <w:lang w:eastAsia="en-US"/>
              </w:rPr>
            </w:pPr>
            <w:r w:rsidRPr="006B1A5A">
              <w:rPr>
                <w:rFonts w:eastAsia="Calibri"/>
                <w:lang w:eastAsia="en-US"/>
              </w:rPr>
              <w:t>Total copper</w:t>
            </w:r>
          </w:p>
        </w:tc>
        <w:tc>
          <w:tcPr>
            <w:tcW w:w="2977" w:type="dxa"/>
          </w:tcPr>
          <w:p w14:paraId="778D89BA" w14:textId="6A08A6B8" w:rsidR="0045596D" w:rsidRPr="006B1A5A" w:rsidRDefault="0027759D" w:rsidP="00C51EF8">
            <w:pPr>
              <w:rPr>
                <w:rFonts w:eastAsia="Calibri"/>
                <w:b/>
                <w:lang w:eastAsia="en-US"/>
              </w:rPr>
            </w:pPr>
            <w:r w:rsidRPr="00D555AE">
              <w:rPr>
                <w:bCs/>
                <w:sz w:val="18"/>
                <w:szCs w:val="18"/>
                <w:lang w:eastAsia="en-GB"/>
              </w:rPr>
              <w:t>1.0</w:t>
            </w:r>
          </w:p>
        </w:tc>
        <w:tc>
          <w:tcPr>
            <w:tcW w:w="3680" w:type="dxa"/>
          </w:tcPr>
          <w:p w14:paraId="0BE98CE0" w14:textId="0F41FCE5" w:rsidR="0045596D" w:rsidRPr="006B1A5A" w:rsidRDefault="0027759D" w:rsidP="00C51EF8">
            <w:pPr>
              <w:rPr>
                <w:rFonts w:eastAsia="Calibri"/>
                <w:lang w:eastAsia="en-US"/>
              </w:rPr>
            </w:pPr>
            <w:r>
              <w:rPr>
                <w:rFonts w:eastAsia="Calibri"/>
                <w:lang w:eastAsia="en-US"/>
              </w:rPr>
              <w:t>0.30</w:t>
            </w:r>
          </w:p>
        </w:tc>
      </w:tr>
      <w:tr w:rsidR="0045596D" w:rsidRPr="006B1A5A" w14:paraId="06D18929" w14:textId="77777777" w:rsidTr="00C51EF8">
        <w:tc>
          <w:tcPr>
            <w:tcW w:w="2547" w:type="dxa"/>
          </w:tcPr>
          <w:p w14:paraId="12E92737" w14:textId="77777777" w:rsidR="0045596D" w:rsidRPr="006B1A5A" w:rsidRDefault="0045596D" w:rsidP="00C51EF8">
            <w:pPr>
              <w:rPr>
                <w:rFonts w:eastAsia="Calibri"/>
                <w:lang w:eastAsia="en-US"/>
              </w:rPr>
            </w:pPr>
            <w:r w:rsidRPr="006B1A5A">
              <w:rPr>
                <w:rFonts w:eastAsia="Calibri"/>
                <w:lang w:eastAsia="en-US"/>
              </w:rPr>
              <w:t>Thiocyanate</w:t>
            </w:r>
          </w:p>
        </w:tc>
        <w:tc>
          <w:tcPr>
            <w:tcW w:w="2977" w:type="dxa"/>
          </w:tcPr>
          <w:p w14:paraId="159232CA" w14:textId="77777777" w:rsidR="0045596D" w:rsidRPr="006B1A5A" w:rsidRDefault="0045596D" w:rsidP="00C51EF8">
            <w:pPr>
              <w:rPr>
                <w:rFonts w:eastAsia="Calibri"/>
                <w:lang w:eastAsia="en-US"/>
              </w:rPr>
            </w:pPr>
            <w:r w:rsidRPr="006B1A5A">
              <w:rPr>
                <w:rFonts w:eastAsia="Calibri"/>
                <w:lang w:eastAsia="en-US"/>
              </w:rPr>
              <w:t>0.0043</w:t>
            </w:r>
          </w:p>
        </w:tc>
        <w:tc>
          <w:tcPr>
            <w:tcW w:w="3680" w:type="dxa"/>
          </w:tcPr>
          <w:p w14:paraId="24B31FA3" w14:textId="77777777" w:rsidR="0045596D" w:rsidRPr="006B1A5A" w:rsidRDefault="0045596D" w:rsidP="00C51EF8">
            <w:pPr>
              <w:rPr>
                <w:rFonts w:eastAsia="Calibri"/>
                <w:lang w:eastAsia="en-US"/>
              </w:rPr>
            </w:pPr>
            <w:r w:rsidRPr="006B1A5A">
              <w:rPr>
                <w:rFonts w:eastAsia="Calibri"/>
                <w:lang w:eastAsia="en-US"/>
              </w:rPr>
              <w:t>2.8E-04</w:t>
            </w:r>
          </w:p>
        </w:tc>
      </w:tr>
      <w:tr w:rsidR="0045596D" w:rsidRPr="006B1A5A" w14:paraId="49278DB3" w14:textId="77777777" w:rsidTr="00C51EF8">
        <w:tc>
          <w:tcPr>
            <w:tcW w:w="2547" w:type="dxa"/>
          </w:tcPr>
          <w:p w14:paraId="2F878E50" w14:textId="77777777" w:rsidR="0045596D" w:rsidRPr="006B1A5A" w:rsidRDefault="0045596D" w:rsidP="00C51EF8">
            <w:pPr>
              <w:rPr>
                <w:rFonts w:eastAsia="Calibri"/>
                <w:i/>
                <w:lang w:eastAsia="en-US"/>
              </w:rPr>
            </w:pPr>
            <w:r w:rsidRPr="006B1A5A">
              <w:rPr>
                <w:rFonts w:eastAsia="Calibri"/>
                <w:i/>
                <w:lang w:eastAsia="en-US"/>
              </w:rPr>
              <w:t>Combined</w:t>
            </w:r>
          </w:p>
        </w:tc>
        <w:tc>
          <w:tcPr>
            <w:tcW w:w="2977" w:type="dxa"/>
          </w:tcPr>
          <w:p w14:paraId="7E6B512D" w14:textId="25BAA226" w:rsidR="0045596D" w:rsidRPr="00CF3A98" w:rsidRDefault="0027759D" w:rsidP="00C51EF8">
            <w:pPr>
              <w:rPr>
                <w:rFonts w:eastAsia="Calibri"/>
                <w:bCs/>
                <w:lang w:eastAsia="en-US"/>
              </w:rPr>
            </w:pPr>
            <w:r w:rsidRPr="00CF3A98">
              <w:rPr>
                <w:rFonts w:eastAsia="Calibri"/>
                <w:bCs/>
                <w:lang w:eastAsia="en-US"/>
              </w:rPr>
              <w:t>1.05</w:t>
            </w:r>
          </w:p>
        </w:tc>
        <w:tc>
          <w:tcPr>
            <w:tcW w:w="3680" w:type="dxa"/>
          </w:tcPr>
          <w:p w14:paraId="76161B70" w14:textId="24150944" w:rsidR="0045596D" w:rsidRPr="006B1A5A" w:rsidRDefault="0027759D" w:rsidP="00C51EF8">
            <w:pPr>
              <w:rPr>
                <w:rFonts w:eastAsia="Calibri"/>
                <w:lang w:eastAsia="en-US"/>
              </w:rPr>
            </w:pPr>
            <w:r>
              <w:rPr>
                <w:rFonts w:eastAsia="Calibri"/>
                <w:lang w:eastAsia="en-US"/>
              </w:rPr>
              <w:t>0.30</w:t>
            </w:r>
          </w:p>
        </w:tc>
      </w:tr>
      <w:tr w:rsidR="0045596D" w:rsidRPr="006B1A5A" w14:paraId="32C4C1A2" w14:textId="77777777" w:rsidTr="00C51EF8">
        <w:tc>
          <w:tcPr>
            <w:tcW w:w="9204" w:type="dxa"/>
            <w:gridSpan w:val="3"/>
          </w:tcPr>
          <w:p w14:paraId="0D73E92B" w14:textId="77777777" w:rsidR="0045596D" w:rsidRPr="006B1A5A" w:rsidRDefault="0045596D" w:rsidP="00C51EF8">
            <w:pPr>
              <w:rPr>
                <w:rFonts w:eastAsia="Calibri"/>
                <w:b/>
                <w:lang w:eastAsia="en-US"/>
              </w:rPr>
            </w:pPr>
            <w:r w:rsidRPr="006B1A5A">
              <w:rPr>
                <w:rFonts w:eastAsia="Calibri"/>
                <w:b/>
                <w:lang w:eastAsia="en-US"/>
              </w:rPr>
              <w:t>AquaNet RFU360</w:t>
            </w:r>
          </w:p>
        </w:tc>
      </w:tr>
      <w:tr w:rsidR="0045596D" w:rsidRPr="006B1A5A" w14:paraId="7AEE4B68" w14:textId="77777777" w:rsidTr="00C51EF8">
        <w:tc>
          <w:tcPr>
            <w:tcW w:w="2547" w:type="dxa"/>
          </w:tcPr>
          <w:p w14:paraId="4145215E" w14:textId="77777777" w:rsidR="0045596D" w:rsidRPr="006B1A5A" w:rsidRDefault="0045596D" w:rsidP="00C51EF8">
            <w:pPr>
              <w:rPr>
                <w:rFonts w:eastAsia="Calibri"/>
                <w:lang w:eastAsia="en-US"/>
              </w:rPr>
            </w:pPr>
            <w:r w:rsidRPr="006B1A5A">
              <w:rPr>
                <w:rFonts w:eastAsia="Calibri"/>
                <w:lang w:eastAsia="en-US"/>
              </w:rPr>
              <w:t>Total copper</w:t>
            </w:r>
          </w:p>
        </w:tc>
        <w:tc>
          <w:tcPr>
            <w:tcW w:w="2977" w:type="dxa"/>
          </w:tcPr>
          <w:p w14:paraId="141DF1DC" w14:textId="14E7BB79" w:rsidR="0045596D" w:rsidRPr="00F5222E" w:rsidRDefault="00F5222E" w:rsidP="00C51EF8">
            <w:pPr>
              <w:rPr>
                <w:rFonts w:eastAsia="Calibri"/>
                <w:bCs/>
                <w:lang w:eastAsia="en-US"/>
              </w:rPr>
            </w:pPr>
            <w:r w:rsidRPr="00F5222E">
              <w:rPr>
                <w:rFonts w:eastAsia="Calibri"/>
                <w:bCs/>
                <w:lang w:eastAsia="en-US"/>
              </w:rPr>
              <w:t>1.0</w:t>
            </w:r>
          </w:p>
        </w:tc>
        <w:tc>
          <w:tcPr>
            <w:tcW w:w="3680" w:type="dxa"/>
          </w:tcPr>
          <w:p w14:paraId="5BD44F2D" w14:textId="79CB72D2" w:rsidR="0045596D" w:rsidRPr="006B1A5A" w:rsidRDefault="00F5222E" w:rsidP="00C51EF8">
            <w:pPr>
              <w:rPr>
                <w:rFonts w:eastAsia="Calibri"/>
                <w:lang w:eastAsia="en-US"/>
              </w:rPr>
            </w:pPr>
            <w:r>
              <w:rPr>
                <w:rFonts w:eastAsia="Calibri"/>
                <w:lang w:eastAsia="en-US"/>
              </w:rPr>
              <w:t>0.27</w:t>
            </w:r>
          </w:p>
        </w:tc>
      </w:tr>
      <w:tr w:rsidR="0045596D" w:rsidRPr="006B1A5A" w14:paraId="5D48F0E2" w14:textId="77777777" w:rsidTr="00C51EF8">
        <w:tc>
          <w:tcPr>
            <w:tcW w:w="2547" w:type="dxa"/>
          </w:tcPr>
          <w:p w14:paraId="22CFE1B9" w14:textId="77777777" w:rsidR="0045596D" w:rsidRPr="006B1A5A" w:rsidRDefault="0045596D" w:rsidP="00C51EF8">
            <w:pPr>
              <w:rPr>
                <w:rFonts w:eastAsia="Calibri"/>
                <w:lang w:eastAsia="en-US"/>
              </w:rPr>
            </w:pPr>
            <w:r w:rsidRPr="006B1A5A">
              <w:rPr>
                <w:rFonts w:eastAsia="Calibri"/>
                <w:lang w:eastAsia="en-US"/>
              </w:rPr>
              <w:t>Thiocyanate</w:t>
            </w:r>
          </w:p>
        </w:tc>
        <w:tc>
          <w:tcPr>
            <w:tcW w:w="2977" w:type="dxa"/>
          </w:tcPr>
          <w:p w14:paraId="1C134350" w14:textId="77777777" w:rsidR="0045596D" w:rsidRPr="006B1A5A" w:rsidRDefault="0045596D" w:rsidP="00C51EF8">
            <w:pPr>
              <w:rPr>
                <w:rFonts w:eastAsia="Calibri"/>
                <w:lang w:eastAsia="en-US"/>
              </w:rPr>
            </w:pPr>
            <w:r w:rsidRPr="006B1A5A">
              <w:rPr>
                <w:rFonts w:eastAsia="Calibri"/>
                <w:lang w:eastAsia="en-US"/>
              </w:rPr>
              <w:t>1.50E-03</w:t>
            </w:r>
          </w:p>
        </w:tc>
        <w:tc>
          <w:tcPr>
            <w:tcW w:w="3680" w:type="dxa"/>
          </w:tcPr>
          <w:p w14:paraId="2A0A0405" w14:textId="77777777" w:rsidR="0045596D" w:rsidRPr="006B1A5A" w:rsidRDefault="0045596D" w:rsidP="00C51EF8">
            <w:pPr>
              <w:rPr>
                <w:rFonts w:eastAsia="Calibri"/>
                <w:lang w:eastAsia="en-US"/>
              </w:rPr>
            </w:pPr>
            <w:r w:rsidRPr="006B1A5A">
              <w:rPr>
                <w:rFonts w:eastAsia="Calibri"/>
                <w:lang w:eastAsia="en-US"/>
              </w:rPr>
              <w:t>9.86E-03</w:t>
            </w:r>
          </w:p>
        </w:tc>
      </w:tr>
      <w:tr w:rsidR="0045596D" w:rsidRPr="006B1A5A" w14:paraId="0533FF2A" w14:textId="77777777" w:rsidTr="00C51EF8">
        <w:tc>
          <w:tcPr>
            <w:tcW w:w="2547" w:type="dxa"/>
          </w:tcPr>
          <w:p w14:paraId="524DE95D" w14:textId="77777777" w:rsidR="0045596D" w:rsidRPr="006B1A5A" w:rsidRDefault="0045596D" w:rsidP="00C51EF8">
            <w:pPr>
              <w:rPr>
                <w:rFonts w:eastAsia="Calibri"/>
                <w:i/>
                <w:lang w:eastAsia="en-US"/>
              </w:rPr>
            </w:pPr>
            <w:r w:rsidRPr="006B1A5A">
              <w:rPr>
                <w:rFonts w:eastAsia="Calibri"/>
                <w:i/>
                <w:lang w:eastAsia="en-US"/>
              </w:rPr>
              <w:t>Combined</w:t>
            </w:r>
          </w:p>
        </w:tc>
        <w:tc>
          <w:tcPr>
            <w:tcW w:w="2977" w:type="dxa"/>
          </w:tcPr>
          <w:p w14:paraId="11FE77C5" w14:textId="1DF42AB8" w:rsidR="0045596D" w:rsidRPr="00F5222E" w:rsidRDefault="00F5222E" w:rsidP="00C51EF8">
            <w:pPr>
              <w:rPr>
                <w:rFonts w:eastAsia="Calibri"/>
                <w:bCs/>
                <w:lang w:eastAsia="en-US"/>
              </w:rPr>
            </w:pPr>
            <w:r w:rsidRPr="00F5222E">
              <w:rPr>
                <w:rFonts w:eastAsia="Calibri"/>
                <w:bCs/>
                <w:lang w:eastAsia="en-US"/>
              </w:rPr>
              <w:t>1.0</w:t>
            </w:r>
          </w:p>
        </w:tc>
        <w:tc>
          <w:tcPr>
            <w:tcW w:w="3680" w:type="dxa"/>
          </w:tcPr>
          <w:p w14:paraId="6A457204" w14:textId="39B6A5FB" w:rsidR="0045596D" w:rsidRPr="006B1A5A" w:rsidRDefault="00F5222E" w:rsidP="00C51EF8">
            <w:pPr>
              <w:rPr>
                <w:rFonts w:eastAsia="Calibri"/>
                <w:lang w:eastAsia="en-US"/>
              </w:rPr>
            </w:pPr>
            <w:r>
              <w:rPr>
                <w:rFonts w:eastAsia="Calibri"/>
                <w:lang w:eastAsia="en-US"/>
              </w:rPr>
              <w:t>0.27</w:t>
            </w:r>
          </w:p>
        </w:tc>
      </w:tr>
    </w:tbl>
    <w:p w14:paraId="36D09D77" w14:textId="77777777" w:rsidR="0045596D" w:rsidRPr="006B1A5A" w:rsidRDefault="0045596D" w:rsidP="0045596D">
      <w:pPr>
        <w:spacing w:line="260" w:lineRule="atLeast"/>
        <w:rPr>
          <w:rFonts w:eastAsia="Calibri"/>
          <w:sz w:val="18"/>
          <w:szCs w:val="18"/>
          <w:lang w:eastAsia="en-US"/>
        </w:rPr>
      </w:pPr>
      <w:r w:rsidRPr="006B1A5A">
        <w:rPr>
          <w:rFonts w:eastAsia="Calibri"/>
          <w:sz w:val="18"/>
          <w:szCs w:val="18"/>
          <w:lang w:eastAsia="en-US"/>
        </w:rPr>
        <w:t>*with background concentrations of copper</w:t>
      </w:r>
    </w:p>
    <w:p w14:paraId="52920C29" w14:textId="77777777" w:rsidR="00EC7CD8" w:rsidRPr="006B1A5A" w:rsidRDefault="00EC7CD8" w:rsidP="00EC7CD8">
      <w:pPr>
        <w:spacing w:line="260" w:lineRule="atLeast"/>
        <w:rPr>
          <w:rFonts w:eastAsia="Calibri"/>
          <w:lang w:eastAsia="en-US"/>
        </w:rPr>
      </w:pPr>
    </w:p>
    <w:p w14:paraId="47E95EB4" w14:textId="0C2E772F" w:rsidR="00EC7CD8" w:rsidRPr="006B1A5A" w:rsidRDefault="00EC7CD8" w:rsidP="00EC7CD8">
      <w:pPr>
        <w:spacing w:line="260" w:lineRule="atLeast"/>
      </w:pPr>
      <w:r w:rsidRPr="006B1A5A">
        <w:t xml:space="preserve">For the </w:t>
      </w:r>
      <w:r w:rsidR="0045596D">
        <w:t>refined calculations,</w:t>
      </w:r>
      <w:r w:rsidRPr="006B1A5A">
        <w:t xml:space="preserve"> PEC/PNEC ratios were found to be ≤ 1</w:t>
      </w:r>
      <w:r w:rsidR="00125229">
        <w:t>,</w:t>
      </w:r>
      <w:r w:rsidR="00125229" w:rsidRPr="00125229">
        <w:t xml:space="preserve"> </w:t>
      </w:r>
      <w:r w:rsidR="00125229">
        <w:t xml:space="preserve">except for the Aquanet HG360 product where there is a minor exceedance of the </w:t>
      </w:r>
      <w:r w:rsidR="00377680">
        <w:t>threshold</w:t>
      </w:r>
      <w:r w:rsidR="00125229">
        <w:t xml:space="preserve"> </w:t>
      </w:r>
      <w:r w:rsidR="00377680">
        <w:t>(</w:t>
      </w:r>
      <w:r w:rsidR="00125229">
        <w:t xml:space="preserve">combined </w:t>
      </w:r>
      <w:r w:rsidR="00125229" w:rsidRPr="00125229">
        <w:rPr>
          <w:rFonts w:eastAsia="Calibri" w:cs="Arial"/>
          <w:color w:val="000000"/>
          <w:lang w:eastAsia="en-GB"/>
        </w:rPr>
        <w:t>PEC</w:t>
      </w:r>
      <w:r w:rsidR="00125229" w:rsidRPr="00125229">
        <w:rPr>
          <w:rFonts w:eastAsia="Calibri" w:cs="Arial"/>
          <w:color w:val="000000"/>
          <w:vertAlign w:val="subscript"/>
          <w:lang w:eastAsia="en-GB"/>
        </w:rPr>
        <w:t>dissolved</w:t>
      </w:r>
      <w:r w:rsidR="00125229" w:rsidRPr="00125229">
        <w:rPr>
          <w:rFonts w:eastAsia="Calibri" w:cs="Arial"/>
          <w:color w:val="000000"/>
          <w:lang w:eastAsia="en-GB"/>
        </w:rPr>
        <w:t>/PNEC</w:t>
      </w:r>
      <w:r w:rsidR="00125229" w:rsidRPr="00125229">
        <w:rPr>
          <w:rFonts w:eastAsia="Calibri" w:cs="Arial"/>
          <w:color w:val="000000"/>
          <w:vertAlign w:val="subscript"/>
          <w:lang w:eastAsia="en-GB"/>
        </w:rPr>
        <w:t>water</w:t>
      </w:r>
      <w:r w:rsidR="00377680" w:rsidRPr="0037222D">
        <w:rPr>
          <w:rFonts w:eastAsia="Calibri" w:cs="Arial"/>
          <w:color w:val="000000"/>
          <w:lang w:eastAsia="en-GB"/>
        </w:rPr>
        <w:t>)</w:t>
      </w:r>
      <w:r w:rsidRPr="006B1A5A">
        <w:t>.</w:t>
      </w:r>
      <w:r w:rsidR="00C93D48">
        <w:t xml:space="preserve"> </w:t>
      </w:r>
      <w:r w:rsidR="00C93D48" w:rsidRPr="00C93D48">
        <w:t>Therefore, further refinement of mixture toxicity is required.  Please see mixture toxicity section below for details</w:t>
      </w:r>
      <w:r w:rsidR="00EA3EB7">
        <w:t>.</w:t>
      </w:r>
    </w:p>
    <w:p w14:paraId="664A7FD6" w14:textId="77777777" w:rsidR="00EC7CD8" w:rsidRPr="009F65FE" w:rsidRDefault="00EC7CD8" w:rsidP="006D733E"/>
    <w:p w14:paraId="3A31B5E1" w14:textId="77777777" w:rsidR="00662D15" w:rsidRDefault="00662D15" w:rsidP="001042DA">
      <w:pPr>
        <w:rPr>
          <w:rFonts w:eastAsia="Calibri"/>
          <w:b/>
          <w:i/>
          <w:sz w:val="22"/>
          <w:szCs w:val="22"/>
          <w:lang w:eastAsia="en-US"/>
        </w:rPr>
      </w:pPr>
    </w:p>
    <w:p w14:paraId="54E5ABEA" w14:textId="7A3105DF" w:rsidR="001042DA" w:rsidRPr="00BC6C11" w:rsidRDefault="001042DA" w:rsidP="001042DA">
      <w:pPr>
        <w:rPr>
          <w:rFonts w:eastAsia="Calibri"/>
          <w:b/>
          <w:i/>
          <w:lang w:eastAsia="en-US"/>
        </w:rPr>
      </w:pPr>
      <w:r w:rsidRPr="00BC6C11">
        <w:rPr>
          <w:rFonts w:eastAsia="Calibri"/>
          <w:b/>
          <w:i/>
          <w:lang w:eastAsia="en-US"/>
        </w:rPr>
        <w:t>Terrestrial compartment</w:t>
      </w:r>
      <w:bookmarkEnd w:id="1766"/>
      <w:bookmarkEnd w:id="1767"/>
      <w:r w:rsidRPr="00BC6C11">
        <w:rPr>
          <w:rFonts w:eastAsia="Calibri"/>
          <w:b/>
          <w:i/>
          <w:lang w:eastAsia="en-US"/>
        </w:rPr>
        <w:t xml:space="preserve"> </w:t>
      </w:r>
      <w:bookmarkEnd w:id="1768"/>
    </w:p>
    <w:p w14:paraId="6470A0AD" w14:textId="77777777" w:rsidR="001042DA" w:rsidRPr="006B1A5A" w:rsidRDefault="001042DA" w:rsidP="001042DA">
      <w:pPr>
        <w:spacing w:before="60" w:line="276" w:lineRule="auto"/>
        <w:jc w:val="both"/>
        <w:rPr>
          <w:szCs w:val="22"/>
        </w:rPr>
      </w:pPr>
      <w:r w:rsidRPr="006B1A5A">
        <w:rPr>
          <w:szCs w:val="22"/>
        </w:rPr>
        <w:t xml:space="preserve">The proposed uses of the </w:t>
      </w:r>
      <w:r w:rsidRPr="006B1A5A">
        <w:rPr>
          <w:szCs w:val="22"/>
          <w:lang w:eastAsia="en-US"/>
        </w:rPr>
        <w:t xml:space="preserve">360 products </w:t>
      </w:r>
      <w:r w:rsidRPr="006B1A5A">
        <w:rPr>
          <w:szCs w:val="22"/>
        </w:rPr>
        <w:t xml:space="preserve">as antifouling coatings for nets used in aquaculture would not result in any direct or indirect exposure of the terrestrial environment. Hence the risks to the terrestrial compart are considered acceptable. </w:t>
      </w:r>
    </w:p>
    <w:p w14:paraId="4FD0F1A0" w14:textId="77777777" w:rsidR="001042DA" w:rsidRPr="006B1A5A" w:rsidRDefault="001042DA" w:rsidP="001042DA">
      <w:pPr>
        <w:autoSpaceDE w:val="0"/>
        <w:autoSpaceDN w:val="0"/>
        <w:adjustRightInd w:val="0"/>
        <w:jc w:val="both"/>
        <w:rPr>
          <w:rFonts w:ascii="Times New Roman" w:eastAsia="Calibri" w:hAnsi="Times New Roman"/>
          <w:i/>
          <w:lang w:eastAsia="en-US"/>
        </w:rPr>
      </w:pPr>
    </w:p>
    <w:p w14:paraId="1DD26CBB" w14:textId="77777777" w:rsidR="001042DA" w:rsidRPr="00BC6C11" w:rsidRDefault="001042DA" w:rsidP="001042DA">
      <w:pPr>
        <w:rPr>
          <w:rFonts w:eastAsia="Calibri"/>
          <w:b/>
          <w:i/>
          <w:szCs w:val="22"/>
          <w:lang w:eastAsia="en-US"/>
        </w:rPr>
      </w:pPr>
      <w:bookmarkStart w:id="1771" w:name="_Toc387245239"/>
      <w:bookmarkStart w:id="1772" w:name="_Toc387245240"/>
      <w:bookmarkStart w:id="1773" w:name="_Toc387245241"/>
      <w:bookmarkStart w:id="1774" w:name="_Toc387245244"/>
      <w:bookmarkStart w:id="1775" w:name="_Toc387245253"/>
      <w:bookmarkStart w:id="1776" w:name="_Toc389729123"/>
      <w:bookmarkStart w:id="1777" w:name="_Toc403472807"/>
      <w:bookmarkEnd w:id="1771"/>
      <w:bookmarkEnd w:id="1772"/>
      <w:bookmarkEnd w:id="1773"/>
      <w:bookmarkEnd w:id="1774"/>
      <w:bookmarkEnd w:id="1775"/>
      <w:r w:rsidRPr="00BC6C11">
        <w:rPr>
          <w:rFonts w:eastAsia="Calibri"/>
          <w:b/>
          <w:i/>
          <w:szCs w:val="22"/>
          <w:lang w:eastAsia="en-US"/>
        </w:rPr>
        <w:t>Groundwater</w:t>
      </w:r>
      <w:bookmarkEnd w:id="1776"/>
      <w:bookmarkEnd w:id="1777"/>
    </w:p>
    <w:p w14:paraId="5E10FAA4" w14:textId="77777777" w:rsidR="001042DA" w:rsidRPr="006B1A5A" w:rsidRDefault="001042DA" w:rsidP="001042DA">
      <w:pPr>
        <w:spacing w:before="60" w:line="276" w:lineRule="auto"/>
        <w:rPr>
          <w:szCs w:val="22"/>
        </w:rPr>
      </w:pPr>
      <w:r w:rsidRPr="006B1A5A">
        <w:rPr>
          <w:szCs w:val="22"/>
        </w:rPr>
        <w:t xml:space="preserve">The proposed uses of the </w:t>
      </w:r>
      <w:r w:rsidRPr="006B1A5A">
        <w:rPr>
          <w:szCs w:val="22"/>
          <w:lang w:eastAsia="en-US"/>
        </w:rPr>
        <w:t xml:space="preserve">360 products </w:t>
      </w:r>
      <w:r w:rsidRPr="006B1A5A">
        <w:rPr>
          <w:szCs w:val="22"/>
        </w:rPr>
        <w:t xml:space="preserve">as antifouling coatings for nets used in aquaculture would not result in any exposure to groundwater. Hence the risks to groundwater are considered acceptable. </w:t>
      </w:r>
    </w:p>
    <w:p w14:paraId="4C6C4842" w14:textId="77777777" w:rsidR="001042DA" w:rsidRPr="006B1A5A" w:rsidRDefault="001042DA" w:rsidP="001042DA">
      <w:pPr>
        <w:rPr>
          <w:rFonts w:eastAsia="Calibri"/>
          <w:b/>
          <w:i/>
          <w:sz w:val="22"/>
          <w:szCs w:val="22"/>
          <w:lang w:eastAsia="en-US"/>
        </w:rPr>
      </w:pPr>
    </w:p>
    <w:p w14:paraId="711CEE48" w14:textId="77777777" w:rsidR="001042DA" w:rsidRPr="006B1A5A" w:rsidRDefault="001042DA" w:rsidP="001042DA">
      <w:pPr>
        <w:rPr>
          <w:rFonts w:eastAsia="Calibri"/>
          <w:b/>
          <w:i/>
          <w:sz w:val="22"/>
          <w:szCs w:val="22"/>
          <w:lang w:eastAsia="en-US"/>
        </w:rPr>
      </w:pPr>
    </w:p>
    <w:p w14:paraId="7DEE25FB" w14:textId="77777777" w:rsidR="001042DA" w:rsidRPr="00BC6C11" w:rsidRDefault="001042DA" w:rsidP="001042DA">
      <w:pPr>
        <w:rPr>
          <w:rFonts w:eastAsia="Calibri"/>
          <w:b/>
          <w:i/>
          <w:szCs w:val="22"/>
          <w:lang w:eastAsia="en-US"/>
        </w:rPr>
      </w:pPr>
      <w:r w:rsidRPr="00BC6C11">
        <w:rPr>
          <w:rFonts w:eastAsia="Calibri"/>
          <w:b/>
          <w:i/>
          <w:szCs w:val="22"/>
          <w:lang w:eastAsia="en-US"/>
        </w:rPr>
        <w:t>Primary and secondary poisoning</w:t>
      </w:r>
    </w:p>
    <w:p w14:paraId="343408B1" w14:textId="77777777" w:rsidR="001042DA" w:rsidRPr="006B1A5A" w:rsidRDefault="001042DA" w:rsidP="001042DA">
      <w:pPr>
        <w:rPr>
          <w:rFonts w:eastAsia="Calibri"/>
          <w:sz w:val="22"/>
          <w:szCs w:val="22"/>
          <w:highlight w:val="yellow"/>
          <w:u w:val="single"/>
          <w:lang w:eastAsia="en-US"/>
        </w:rPr>
      </w:pPr>
    </w:p>
    <w:p w14:paraId="4B3E478A" w14:textId="77777777" w:rsidR="001042DA" w:rsidRPr="006B1A5A" w:rsidRDefault="001042DA" w:rsidP="001042DA">
      <w:pPr>
        <w:spacing w:line="276" w:lineRule="auto"/>
        <w:jc w:val="both"/>
        <w:rPr>
          <w:rFonts w:eastAsia="Calibri"/>
          <w:u w:val="single"/>
          <w:lang w:eastAsia="en-US"/>
        </w:rPr>
      </w:pPr>
      <w:r w:rsidRPr="006B1A5A">
        <w:rPr>
          <w:rFonts w:eastAsia="Calibri"/>
          <w:u w:val="single"/>
          <w:lang w:eastAsia="en-US"/>
        </w:rPr>
        <w:t>Dicopper oxide</w:t>
      </w:r>
    </w:p>
    <w:p w14:paraId="2F4B5FC9" w14:textId="77777777" w:rsidR="001042DA" w:rsidRPr="006B1A5A" w:rsidRDefault="001042DA" w:rsidP="001042DA">
      <w:pPr>
        <w:jc w:val="both"/>
      </w:pPr>
      <w:r w:rsidRPr="006B1A5A">
        <w:t>The CAR of the active substance dicopper oxide (PT21, 2016) states that because of the homeostasis of metals, BCF values are not indicative of the potential bioaccumulation. There is therefore limited evidence of accumulation and secondary poisoning of inorganic forms of metals, and biomagnification in food webs.</w:t>
      </w:r>
    </w:p>
    <w:p w14:paraId="79A67603" w14:textId="77777777" w:rsidR="001042DA" w:rsidRPr="006B1A5A" w:rsidRDefault="001042DA" w:rsidP="001042DA">
      <w:pPr>
        <w:jc w:val="both"/>
        <w:rPr>
          <w:u w:val="single"/>
        </w:rPr>
      </w:pPr>
    </w:p>
    <w:p w14:paraId="020A42AF" w14:textId="77777777" w:rsidR="001042DA" w:rsidRPr="006B1A5A" w:rsidRDefault="001042DA" w:rsidP="001042DA">
      <w:pPr>
        <w:jc w:val="both"/>
      </w:pPr>
      <w:r w:rsidRPr="006B1A5A">
        <w:rPr>
          <w:u w:val="single"/>
        </w:rPr>
        <w:t>Copper thiocyanate</w:t>
      </w:r>
      <w:r w:rsidRPr="006B1A5A">
        <w:t>:</w:t>
      </w:r>
    </w:p>
    <w:p w14:paraId="5EACF523" w14:textId="77777777" w:rsidR="001042DA" w:rsidRPr="006B1A5A" w:rsidRDefault="001042DA" w:rsidP="001042DA">
      <w:pPr>
        <w:jc w:val="both"/>
        <w:rPr>
          <w:highlight w:val="green"/>
        </w:rPr>
      </w:pPr>
    </w:p>
    <w:p w14:paraId="2C451716" w14:textId="77777777" w:rsidR="001042DA" w:rsidRPr="006B1A5A" w:rsidRDefault="001042DA" w:rsidP="001042DA">
      <w:pPr>
        <w:autoSpaceDE w:val="0"/>
        <w:autoSpaceDN w:val="0"/>
        <w:adjustRightInd w:val="0"/>
        <w:jc w:val="both"/>
        <w:rPr>
          <w:rFonts w:cs="Verdana"/>
          <w:lang w:eastAsia="en-US"/>
        </w:rPr>
      </w:pPr>
      <w:r w:rsidRPr="006B1A5A">
        <w:rPr>
          <w:rFonts w:cs="Verdana"/>
          <w:lang w:eastAsia="en-US"/>
        </w:rPr>
        <w:t>Concerning the bioaccumulation potential, the thiocyanate presents an estimated log Kow &lt; 3 (0.58), it can be stated that accumulation potential of the thiocyanate ion is low.</w:t>
      </w:r>
    </w:p>
    <w:p w14:paraId="71936987" w14:textId="77777777" w:rsidR="001042DA" w:rsidRPr="006B1A5A" w:rsidRDefault="001042DA" w:rsidP="001042DA">
      <w:pPr>
        <w:spacing w:line="260" w:lineRule="atLeast"/>
        <w:rPr>
          <w:rFonts w:eastAsia="Calibri"/>
          <w:sz w:val="22"/>
          <w:szCs w:val="22"/>
          <w:highlight w:val="yellow"/>
          <w:lang w:eastAsia="en-US"/>
        </w:rPr>
      </w:pPr>
    </w:p>
    <w:p w14:paraId="5977F804" w14:textId="77777777" w:rsidR="00FF50D4" w:rsidRDefault="00FF50D4" w:rsidP="001042DA">
      <w:pPr>
        <w:rPr>
          <w:rFonts w:eastAsia="Calibri"/>
          <w:b/>
          <w:i/>
          <w:sz w:val="22"/>
          <w:szCs w:val="22"/>
          <w:lang w:eastAsia="en-US"/>
        </w:rPr>
      </w:pPr>
      <w:bookmarkStart w:id="1778" w:name="_Toc403472809"/>
    </w:p>
    <w:p w14:paraId="3F444545" w14:textId="0E687C5F" w:rsidR="001042DA" w:rsidRPr="00BC6C11" w:rsidRDefault="001042DA" w:rsidP="001042DA">
      <w:pPr>
        <w:rPr>
          <w:rFonts w:eastAsia="Calibri"/>
          <w:b/>
          <w:i/>
          <w:szCs w:val="22"/>
          <w:lang w:eastAsia="en-US"/>
        </w:rPr>
      </w:pPr>
      <w:r w:rsidRPr="00BC6C11">
        <w:rPr>
          <w:rFonts w:eastAsia="Calibri"/>
          <w:b/>
          <w:i/>
          <w:szCs w:val="22"/>
          <w:lang w:eastAsia="en-US"/>
        </w:rPr>
        <w:t>Mixture toxicity</w:t>
      </w:r>
      <w:bookmarkEnd w:id="1778"/>
    </w:p>
    <w:p w14:paraId="74919891" w14:textId="2DF70833" w:rsidR="001042DA" w:rsidRPr="006B1A5A" w:rsidRDefault="001042DA" w:rsidP="001042DA">
      <w:pPr>
        <w:jc w:val="both"/>
        <w:rPr>
          <w:rFonts w:eastAsia="Calibri"/>
          <w:szCs w:val="22"/>
          <w:lang w:eastAsia="en-US"/>
        </w:rPr>
      </w:pPr>
      <w:r w:rsidRPr="006B1A5A">
        <w:rPr>
          <w:rFonts w:eastAsia="Calibri"/>
          <w:szCs w:val="22"/>
          <w:lang w:eastAsia="en-US"/>
        </w:rPr>
        <w:t>According to the PT 21 Product Authorisation manual, products that contain relevant mixtures of substances (e.g. multiple active substances) an assessment of mixture toxicity is triggered. At tier 1 this requires simple summation of individual PEC/PNEC ratios.</w:t>
      </w:r>
      <w:r w:rsidR="00FF50D4">
        <w:rPr>
          <w:rFonts w:eastAsia="Calibri"/>
          <w:szCs w:val="22"/>
          <w:lang w:eastAsia="en-US"/>
        </w:rPr>
        <w:t xml:space="preserve"> This approach has been followed, see the chapter on risk characterisation above.</w:t>
      </w:r>
    </w:p>
    <w:p w14:paraId="1096F5BB" w14:textId="77777777" w:rsidR="001042DA" w:rsidRPr="006B1A5A" w:rsidRDefault="001042DA" w:rsidP="001042DA">
      <w:pPr>
        <w:jc w:val="both"/>
        <w:rPr>
          <w:rFonts w:eastAsia="Calibri"/>
          <w:color w:val="000000"/>
          <w:sz w:val="22"/>
          <w:szCs w:val="22"/>
          <w:lang w:eastAsia="en-US"/>
        </w:rPr>
      </w:pPr>
    </w:p>
    <w:p w14:paraId="27925D27" w14:textId="45A8FE4D" w:rsidR="00781F9F" w:rsidRPr="00B337B5" w:rsidRDefault="00C66572" w:rsidP="00781F9F">
      <w:pPr>
        <w:jc w:val="both"/>
        <w:rPr>
          <w:rFonts w:eastAsia="Calibri"/>
          <w:bCs/>
          <w:iCs/>
        </w:rPr>
      </w:pPr>
      <w:bookmarkStart w:id="1779" w:name="_Toc367977022"/>
      <w:bookmarkStart w:id="1780" w:name="_Toc381283409"/>
      <w:bookmarkStart w:id="1781" w:name="_Toc389729130"/>
      <w:bookmarkStart w:id="1782" w:name="_Toc403472810"/>
      <w:r w:rsidRPr="00B337B5">
        <w:rPr>
          <w:rFonts w:eastAsia="Calibri"/>
          <w:bCs/>
          <w:iCs/>
        </w:rPr>
        <w:t>At tier 2 of the mixtures risk assessment (see ECHA, 2014</w:t>
      </w:r>
      <w:r w:rsidRPr="00B337B5">
        <w:rPr>
          <w:rStyle w:val="Fotnotereferanse"/>
          <w:rFonts w:eastAsia="Calibri"/>
          <w:bCs/>
          <w:iCs/>
        </w:rPr>
        <w:footnoteReference w:id="3"/>
      </w:r>
      <w:r w:rsidRPr="00B337B5">
        <w:rPr>
          <w:rFonts w:eastAsia="Calibri"/>
          <w:bCs/>
          <w:iCs/>
        </w:rPr>
        <w:t>), the RQ</w:t>
      </w:r>
      <w:r w:rsidRPr="00B337B5">
        <w:rPr>
          <w:rFonts w:eastAsia="Calibri"/>
          <w:bCs/>
          <w:iCs/>
          <w:vertAlign w:val="subscript"/>
        </w:rPr>
        <w:t>product</w:t>
      </w:r>
      <w:r w:rsidRPr="00B337B5">
        <w:rPr>
          <w:rFonts w:eastAsia="Calibri"/>
          <w:bCs/>
          <w:iCs/>
        </w:rPr>
        <w:t xml:space="preserve"> is determined by use of a modified toxic unit approach. This approach allows for the summation of toxic units across different active substances (or substances of concern) that have differing amounts of experimental data and therefore differing assessment factors used in the determination of the PNECs for each substance. </w:t>
      </w:r>
      <w:r w:rsidR="00781F9F" w:rsidRPr="00B337B5">
        <w:rPr>
          <w:rFonts w:eastAsia="Calibri"/>
          <w:bCs/>
          <w:iCs/>
        </w:rPr>
        <w:t>In this tier, the three trophic levels are assessed independently, using the same assessment factor used for calculating the PNEC of the respective substance at tier 1 and according to the following equation:</w:t>
      </w:r>
    </w:p>
    <w:p w14:paraId="350C64AE" w14:textId="77777777" w:rsidR="00781F9F" w:rsidRPr="00B337B5" w:rsidRDefault="00781F9F" w:rsidP="00781F9F">
      <w:pPr>
        <w:jc w:val="both"/>
        <w:rPr>
          <w:rFonts w:eastAsia="Calibri"/>
          <w:bCs/>
          <w:iCs/>
        </w:rPr>
      </w:pPr>
    </w:p>
    <w:p w14:paraId="377F33F0" w14:textId="77777777" w:rsidR="00781F9F" w:rsidRPr="00B337B5" w:rsidRDefault="00661DE6" w:rsidP="00781F9F">
      <w:pPr>
        <w:jc w:val="center"/>
        <w:rPr>
          <w:rFonts w:eastAsia="Calibri"/>
          <w:bCs/>
          <w:iCs/>
        </w:rPr>
      </w:pPr>
      <m:oMathPara>
        <m:oMath>
          <m:sSub>
            <m:sSubPr>
              <m:ctrlPr>
                <w:rPr>
                  <w:rFonts w:ascii="Cambria Math" w:eastAsia="Calibri" w:hAnsi="Cambria Math"/>
                  <w:bCs/>
                  <w:i/>
                  <w:iCs/>
                </w:rPr>
              </m:ctrlPr>
            </m:sSubPr>
            <m:e>
              <m:r>
                <w:rPr>
                  <w:rFonts w:ascii="Cambria Math" w:eastAsia="Calibri" w:hAnsi="Cambria Math"/>
                </w:rPr>
                <m:t>RQ</m:t>
              </m:r>
            </m:e>
            <m:sub>
              <m:r>
                <w:rPr>
                  <w:rFonts w:ascii="Cambria Math" w:eastAsia="Calibri" w:hAnsi="Cambria Math"/>
                </w:rPr>
                <m:t>Product</m:t>
              </m:r>
            </m:sub>
          </m:sSub>
          <m:r>
            <w:rPr>
              <w:rFonts w:ascii="Cambria Math" w:eastAsia="Calibri" w:hAnsi="Cambria Math"/>
            </w:rPr>
            <m:t xml:space="preserve"> = max</m:t>
          </m:r>
          <m:nary>
            <m:naryPr>
              <m:chr m:val="∑"/>
              <m:limLoc m:val="undOvr"/>
              <m:ctrlPr>
                <w:rPr>
                  <w:rFonts w:ascii="Cambria Math" w:eastAsia="Calibri" w:hAnsi="Cambria Math"/>
                  <w:bCs/>
                  <w:i/>
                  <w:iCs/>
                </w:rPr>
              </m:ctrlPr>
            </m:naryPr>
            <m:sub>
              <m:r>
                <w:rPr>
                  <w:rFonts w:ascii="Cambria Math" w:eastAsia="Calibri" w:hAnsi="Cambria Math"/>
                </w:rPr>
                <m:t>i=1</m:t>
              </m:r>
            </m:sub>
            <m:sup>
              <m:r>
                <w:rPr>
                  <w:rFonts w:ascii="Cambria Math" w:eastAsia="Calibri" w:hAnsi="Cambria Math"/>
                </w:rPr>
                <m:t>n</m:t>
              </m:r>
            </m:sup>
            <m:e>
              <m:sSub>
                <m:sSubPr>
                  <m:ctrlPr>
                    <w:rPr>
                      <w:rFonts w:ascii="Cambria Math" w:eastAsia="Calibri" w:hAnsi="Cambria Math"/>
                      <w:bCs/>
                      <w:i/>
                      <w:iCs/>
                    </w:rPr>
                  </m:ctrlPr>
                </m:sSubPr>
                <m:e>
                  <m:d>
                    <m:dPr>
                      <m:ctrlPr>
                        <w:rPr>
                          <w:rFonts w:ascii="Cambria Math" w:eastAsia="Calibri" w:hAnsi="Cambria Math"/>
                          <w:bCs/>
                          <w:i/>
                          <w:iCs/>
                        </w:rPr>
                      </m:ctrlPr>
                    </m:dPr>
                    <m:e>
                      <m:f>
                        <m:fPr>
                          <m:ctrlPr>
                            <w:rPr>
                              <w:rFonts w:ascii="Cambria Math" w:eastAsia="Calibri" w:hAnsi="Cambria Math"/>
                              <w:bCs/>
                              <w:i/>
                              <w:iCs/>
                            </w:rPr>
                          </m:ctrlPr>
                        </m:fPr>
                        <m:num>
                          <m:r>
                            <w:rPr>
                              <w:rFonts w:ascii="Cambria Math" w:eastAsia="Calibri" w:hAnsi="Cambria Math"/>
                            </w:rPr>
                            <m:t>PEC</m:t>
                          </m:r>
                        </m:num>
                        <m:den>
                          <m:f>
                            <m:fPr>
                              <m:type m:val="lin"/>
                              <m:ctrlPr>
                                <w:rPr>
                                  <w:rFonts w:ascii="Cambria Math" w:eastAsia="Calibri" w:hAnsi="Cambria Math"/>
                                  <w:bCs/>
                                  <w:i/>
                                  <w:iCs/>
                                </w:rPr>
                              </m:ctrlPr>
                            </m:fPr>
                            <m:num>
                              <m:r>
                                <w:rPr>
                                  <w:rFonts w:ascii="Cambria Math" w:eastAsia="Calibri" w:hAnsi="Cambria Math"/>
                                </w:rPr>
                                <m:t>ECx</m:t>
                              </m:r>
                            </m:num>
                            <m:den>
                              <m:r>
                                <w:rPr>
                                  <w:rFonts w:ascii="Cambria Math" w:eastAsia="Calibri" w:hAnsi="Cambria Math"/>
                                </w:rPr>
                                <m:t>AF</m:t>
                              </m:r>
                            </m:den>
                          </m:f>
                        </m:den>
                      </m:f>
                    </m:e>
                  </m:d>
                </m:e>
                <m:sub>
                  <m:r>
                    <w:rPr>
                      <w:rFonts w:ascii="Cambria Math" w:eastAsia="Calibri" w:hAnsi="Cambria Math"/>
                    </w:rPr>
                    <m:t>i</m:t>
                  </m:r>
                </m:sub>
              </m:sSub>
            </m:e>
          </m:nary>
        </m:oMath>
      </m:oMathPara>
    </w:p>
    <w:p w14:paraId="25F85807" w14:textId="77777777" w:rsidR="00781F9F" w:rsidRPr="00B337B5" w:rsidRDefault="00781F9F" w:rsidP="00781F9F">
      <w:pPr>
        <w:jc w:val="both"/>
        <w:rPr>
          <w:rFonts w:eastAsia="Calibri"/>
          <w:bCs/>
          <w:iCs/>
        </w:rPr>
      </w:pPr>
      <w:r w:rsidRPr="00B337B5">
        <w:rPr>
          <w:rFonts w:eastAsia="Calibri"/>
          <w:bCs/>
          <w:iCs/>
        </w:rPr>
        <w:t>where:</w:t>
      </w:r>
    </w:p>
    <w:p w14:paraId="4355D637" w14:textId="77777777" w:rsidR="00781F9F" w:rsidRPr="00B337B5" w:rsidRDefault="00781F9F" w:rsidP="00781F9F">
      <w:pPr>
        <w:pStyle w:val="Listeavsnitt"/>
        <w:numPr>
          <w:ilvl w:val="0"/>
          <w:numId w:val="33"/>
        </w:numPr>
        <w:contextualSpacing/>
        <w:jc w:val="both"/>
        <w:rPr>
          <w:rFonts w:eastAsia="Calibri"/>
          <w:bCs/>
          <w:iCs/>
        </w:rPr>
      </w:pPr>
      <w:r w:rsidRPr="00B337B5">
        <w:rPr>
          <w:rFonts w:eastAsia="Calibri"/>
          <w:bCs/>
          <w:iCs/>
        </w:rPr>
        <w:t>PEC = predicted environmental concentration</w:t>
      </w:r>
    </w:p>
    <w:p w14:paraId="4F07D55F" w14:textId="77777777" w:rsidR="00781F9F" w:rsidRPr="00B337B5" w:rsidRDefault="00781F9F" w:rsidP="00781F9F">
      <w:pPr>
        <w:pStyle w:val="Listeavsnitt"/>
        <w:numPr>
          <w:ilvl w:val="0"/>
          <w:numId w:val="33"/>
        </w:numPr>
        <w:contextualSpacing/>
        <w:jc w:val="both"/>
        <w:rPr>
          <w:rFonts w:eastAsia="Calibri"/>
          <w:bCs/>
          <w:iCs/>
        </w:rPr>
      </w:pPr>
      <w:r w:rsidRPr="00B337B5">
        <w:rPr>
          <w:rFonts w:eastAsia="Calibri"/>
          <w:bCs/>
          <w:iCs/>
        </w:rPr>
        <w:t>ECx = the lowest effect concentration affecting x% (may also be a NOEC) for the trophic level and substance</w:t>
      </w:r>
    </w:p>
    <w:p w14:paraId="7A916BBC" w14:textId="77777777" w:rsidR="00781F9F" w:rsidRPr="00B337B5" w:rsidRDefault="00781F9F" w:rsidP="00781F9F">
      <w:pPr>
        <w:pStyle w:val="Listeavsnitt"/>
        <w:numPr>
          <w:ilvl w:val="0"/>
          <w:numId w:val="33"/>
        </w:numPr>
        <w:contextualSpacing/>
        <w:jc w:val="both"/>
        <w:rPr>
          <w:rFonts w:eastAsia="Calibri"/>
          <w:bCs/>
          <w:iCs/>
        </w:rPr>
      </w:pPr>
      <w:r w:rsidRPr="00B337B5">
        <w:rPr>
          <w:rFonts w:eastAsia="Calibri"/>
          <w:bCs/>
          <w:iCs/>
        </w:rPr>
        <w:t>AF = Assessment factor used in the determination of the PNEC for the substance assessed individually</w:t>
      </w:r>
    </w:p>
    <w:p w14:paraId="37DEFD6A" w14:textId="77777777" w:rsidR="00781F9F" w:rsidRPr="00B337B5" w:rsidRDefault="00781F9F" w:rsidP="00781F9F">
      <w:pPr>
        <w:spacing w:before="60"/>
        <w:jc w:val="both"/>
      </w:pPr>
      <w:r w:rsidRPr="00B337B5">
        <w:rPr>
          <w:rFonts w:eastAsia="Calibri"/>
          <w:bCs/>
          <w:iCs/>
        </w:rPr>
        <w:t xml:space="preserve">The </w:t>
      </w:r>
      <w:r w:rsidRPr="00B337B5">
        <w:t>RQ</w:t>
      </w:r>
      <w:r w:rsidRPr="00B337B5">
        <w:rPr>
          <w:vertAlign w:val="subscript"/>
        </w:rPr>
        <w:t>Product</w:t>
      </w:r>
      <w:r w:rsidRPr="00B337B5">
        <w:t xml:space="preserve"> is the highest RQ of all the trophic levels.</w:t>
      </w:r>
    </w:p>
    <w:p w14:paraId="00AC9790" w14:textId="77777777" w:rsidR="00781F9F" w:rsidRPr="00B337B5" w:rsidRDefault="00781F9F" w:rsidP="00781F9F">
      <w:pPr>
        <w:spacing w:before="120" w:after="120"/>
        <w:jc w:val="both"/>
        <w:rPr>
          <w:b/>
          <w:bCs/>
        </w:rPr>
      </w:pPr>
      <w:r w:rsidRPr="00B337B5">
        <w:rPr>
          <w:b/>
          <w:bCs/>
        </w:rPr>
        <w:t>Lowest endpoints used in PNEC calculations</w:t>
      </w:r>
    </w:p>
    <w:p w14:paraId="783F30CC" w14:textId="77777777" w:rsidR="00781F9F" w:rsidRPr="00EF1966" w:rsidRDefault="00781F9F" w:rsidP="00781F9F">
      <w:pPr>
        <w:spacing w:before="120" w:after="120"/>
        <w:jc w:val="both"/>
      </w:pPr>
      <w:r w:rsidRPr="00B337B5">
        <w:t>The lowest endpoints and associated assessment factors used in the individual risk assessment for copper and thiocyanate ion are summarised in the following table:</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476"/>
        <w:gridCol w:w="2245"/>
        <w:gridCol w:w="1418"/>
        <w:gridCol w:w="1276"/>
        <w:gridCol w:w="1423"/>
      </w:tblGrid>
      <w:tr w:rsidR="00781F9F" w:rsidRPr="00B337B5" w14:paraId="1C383119" w14:textId="77777777" w:rsidTr="00B418C1">
        <w:trPr>
          <w:trHeight w:val="300"/>
        </w:trPr>
        <w:tc>
          <w:tcPr>
            <w:tcW w:w="1377" w:type="dxa"/>
            <w:shd w:val="clear" w:color="auto" w:fill="FFFFCC"/>
            <w:noWrap/>
            <w:vAlign w:val="center"/>
            <w:hideMark/>
          </w:tcPr>
          <w:p w14:paraId="2B3FF8E0" w14:textId="77777777" w:rsidR="00781F9F" w:rsidRPr="00B337B5" w:rsidRDefault="00781F9F" w:rsidP="00B418C1">
            <w:pPr>
              <w:jc w:val="center"/>
              <w:rPr>
                <w:rFonts w:cs="Calibri"/>
                <w:b/>
                <w:bCs/>
                <w:color w:val="000000"/>
                <w:sz w:val="18"/>
                <w:szCs w:val="18"/>
                <w:lang w:eastAsia="en-GB"/>
              </w:rPr>
            </w:pPr>
            <w:r w:rsidRPr="00B337B5">
              <w:rPr>
                <w:rFonts w:cs="Calibri"/>
                <w:b/>
                <w:bCs/>
                <w:color w:val="000000"/>
                <w:sz w:val="18"/>
                <w:szCs w:val="18"/>
                <w:lang w:eastAsia="en-GB"/>
              </w:rPr>
              <w:t>Substance</w:t>
            </w:r>
          </w:p>
        </w:tc>
        <w:tc>
          <w:tcPr>
            <w:tcW w:w="1476" w:type="dxa"/>
            <w:shd w:val="clear" w:color="auto" w:fill="FFFFCC"/>
            <w:noWrap/>
            <w:vAlign w:val="center"/>
            <w:hideMark/>
          </w:tcPr>
          <w:p w14:paraId="503B64A5" w14:textId="77777777" w:rsidR="00781F9F" w:rsidRPr="00B337B5" w:rsidRDefault="00781F9F" w:rsidP="00B418C1">
            <w:pPr>
              <w:jc w:val="center"/>
              <w:rPr>
                <w:rFonts w:cs="Calibri"/>
                <w:b/>
                <w:bCs/>
                <w:color w:val="000000"/>
                <w:sz w:val="18"/>
                <w:szCs w:val="18"/>
                <w:lang w:eastAsia="en-GB"/>
              </w:rPr>
            </w:pPr>
            <w:r w:rsidRPr="00B337B5">
              <w:rPr>
                <w:rFonts w:cs="Calibri"/>
                <w:b/>
                <w:bCs/>
                <w:color w:val="000000"/>
                <w:sz w:val="18"/>
                <w:szCs w:val="18"/>
                <w:lang w:eastAsia="en-GB"/>
              </w:rPr>
              <w:t>Taxa</w:t>
            </w:r>
          </w:p>
        </w:tc>
        <w:tc>
          <w:tcPr>
            <w:tcW w:w="2245" w:type="dxa"/>
            <w:shd w:val="clear" w:color="auto" w:fill="FFFFCC"/>
            <w:noWrap/>
            <w:vAlign w:val="center"/>
            <w:hideMark/>
          </w:tcPr>
          <w:p w14:paraId="1190DB6C" w14:textId="77777777" w:rsidR="00781F9F" w:rsidRPr="00B337B5" w:rsidRDefault="00781F9F" w:rsidP="00B418C1">
            <w:pPr>
              <w:jc w:val="center"/>
              <w:rPr>
                <w:rFonts w:cs="Calibri"/>
                <w:b/>
                <w:bCs/>
                <w:color w:val="000000"/>
                <w:sz w:val="18"/>
                <w:szCs w:val="18"/>
                <w:lang w:eastAsia="en-GB"/>
              </w:rPr>
            </w:pPr>
            <w:r w:rsidRPr="00B337B5">
              <w:rPr>
                <w:rFonts w:cs="Calibri"/>
                <w:b/>
                <w:bCs/>
                <w:color w:val="000000"/>
                <w:sz w:val="18"/>
                <w:szCs w:val="18"/>
                <w:lang w:eastAsia="en-GB"/>
              </w:rPr>
              <w:t>Species</w:t>
            </w:r>
          </w:p>
        </w:tc>
        <w:tc>
          <w:tcPr>
            <w:tcW w:w="1418" w:type="dxa"/>
            <w:shd w:val="clear" w:color="auto" w:fill="FFFFCC"/>
            <w:noWrap/>
            <w:vAlign w:val="center"/>
            <w:hideMark/>
          </w:tcPr>
          <w:p w14:paraId="7D3E6AAA" w14:textId="77777777" w:rsidR="00781F9F" w:rsidRPr="00B337B5" w:rsidRDefault="00781F9F" w:rsidP="00B418C1">
            <w:pPr>
              <w:jc w:val="center"/>
              <w:rPr>
                <w:rFonts w:cs="Calibri"/>
                <w:b/>
                <w:bCs/>
                <w:color w:val="000000"/>
                <w:sz w:val="18"/>
                <w:szCs w:val="18"/>
                <w:lang w:eastAsia="en-GB"/>
              </w:rPr>
            </w:pPr>
            <w:r w:rsidRPr="00B337B5">
              <w:rPr>
                <w:rFonts w:cs="Calibri"/>
                <w:b/>
                <w:bCs/>
                <w:color w:val="000000"/>
                <w:sz w:val="18"/>
                <w:szCs w:val="18"/>
                <w:lang w:eastAsia="en-GB"/>
              </w:rPr>
              <w:t>Chronic Endpoints</w:t>
            </w:r>
          </w:p>
        </w:tc>
        <w:tc>
          <w:tcPr>
            <w:tcW w:w="1276" w:type="dxa"/>
            <w:shd w:val="clear" w:color="auto" w:fill="FFFFCC"/>
            <w:noWrap/>
            <w:vAlign w:val="center"/>
            <w:hideMark/>
          </w:tcPr>
          <w:p w14:paraId="5E8EF0F2" w14:textId="77777777" w:rsidR="00781F9F" w:rsidRPr="00B337B5" w:rsidRDefault="00781F9F" w:rsidP="00B418C1">
            <w:pPr>
              <w:jc w:val="center"/>
              <w:rPr>
                <w:rFonts w:cs="Calibri"/>
                <w:b/>
                <w:bCs/>
                <w:color w:val="000000"/>
                <w:sz w:val="18"/>
                <w:szCs w:val="18"/>
                <w:lang w:eastAsia="en-GB"/>
              </w:rPr>
            </w:pPr>
            <w:r w:rsidRPr="00B337B5">
              <w:rPr>
                <w:rFonts w:cs="Calibri"/>
                <w:b/>
                <w:bCs/>
                <w:color w:val="000000"/>
                <w:sz w:val="18"/>
                <w:szCs w:val="18"/>
                <w:lang w:eastAsia="en-GB"/>
              </w:rPr>
              <w:t>Value (µg/L)</w:t>
            </w:r>
          </w:p>
        </w:tc>
        <w:tc>
          <w:tcPr>
            <w:tcW w:w="1423" w:type="dxa"/>
            <w:shd w:val="clear" w:color="auto" w:fill="FFFFCC"/>
            <w:noWrap/>
            <w:vAlign w:val="center"/>
            <w:hideMark/>
          </w:tcPr>
          <w:p w14:paraId="2CBE510D" w14:textId="77777777" w:rsidR="00781F9F" w:rsidRPr="00B337B5" w:rsidRDefault="00781F9F" w:rsidP="00B418C1">
            <w:pPr>
              <w:jc w:val="center"/>
              <w:rPr>
                <w:rFonts w:cs="Calibri"/>
                <w:b/>
                <w:bCs/>
                <w:color w:val="000000"/>
                <w:sz w:val="18"/>
                <w:szCs w:val="18"/>
                <w:lang w:eastAsia="en-GB"/>
              </w:rPr>
            </w:pPr>
            <w:r w:rsidRPr="00B337B5">
              <w:rPr>
                <w:rFonts w:cs="Calibri"/>
                <w:b/>
                <w:bCs/>
                <w:color w:val="000000"/>
                <w:sz w:val="18"/>
                <w:szCs w:val="18"/>
                <w:lang w:eastAsia="en-GB"/>
              </w:rPr>
              <w:t>Assessment factor*</w:t>
            </w:r>
          </w:p>
        </w:tc>
      </w:tr>
      <w:tr w:rsidR="00781F9F" w:rsidRPr="00B337B5" w14:paraId="3A6501E9" w14:textId="77777777" w:rsidTr="00B418C1">
        <w:trPr>
          <w:trHeight w:val="300"/>
        </w:trPr>
        <w:tc>
          <w:tcPr>
            <w:tcW w:w="1377" w:type="dxa"/>
            <w:vMerge w:val="restart"/>
            <w:shd w:val="clear" w:color="auto" w:fill="auto"/>
            <w:noWrap/>
            <w:vAlign w:val="center"/>
            <w:hideMark/>
          </w:tcPr>
          <w:p w14:paraId="32C04999" w14:textId="77777777" w:rsidR="00781F9F" w:rsidRPr="00B337B5" w:rsidRDefault="00781F9F" w:rsidP="00B418C1">
            <w:pPr>
              <w:jc w:val="center"/>
              <w:rPr>
                <w:rFonts w:cs="Calibri"/>
                <w:color w:val="000000"/>
                <w:sz w:val="18"/>
                <w:szCs w:val="18"/>
                <w:lang w:eastAsia="en-GB"/>
              </w:rPr>
            </w:pPr>
            <w:r w:rsidRPr="00B337B5">
              <w:rPr>
                <w:rFonts w:cs="Calibri"/>
                <w:color w:val="000000"/>
                <w:sz w:val="18"/>
                <w:szCs w:val="18"/>
                <w:lang w:eastAsia="en-GB"/>
              </w:rPr>
              <w:t>Copper</w:t>
            </w:r>
          </w:p>
        </w:tc>
        <w:tc>
          <w:tcPr>
            <w:tcW w:w="1476" w:type="dxa"/>
            <w:shd w:val="clear" w:color="auto" w:fill="auto"/>
            <w:noWrap/>
            <w:vAlign w:val="center"/>
            <w:hideMark/>
          </w:tcPr>
          <w:p w14:paraId="15D4514B" w14:textId="77777777" w:rsidR="00781F9F" w:rsidRPr="00B337B5" w:rsidRDefault="00781F9F" w:rsidP="00B418C1">
            <w:pPr>
              <w:jc w:val="center"/>
              <w:rPr>
                <w:rFonts w:cs="Calibri"/>
                <w:color w:val="000000"/>
                <w:sz w:val="18"/>
                <w:szCs w:val="18"/>
                <w:lang w:eastAsia="en-GB"/>
              </w:rPr>
            </w:pPr>
            <w:r w:rsidRPr="00B337B5">
              <w:rPr>
                <w:rFonts w:cs="Calibri"/>
                <w:color w:val="000000"/>
                <w:sz w:val="18"/>
                <w:szCs w:val="18"/>
                <w:lang w:eastAsia="en-GB"/>
              </w:rPr>
              <w:t>Fish</w:t>
            </w:r>
          </w:p>
        </w:tc>
        <w:tc>
          <w:tcPr>
            <w:tcW w:w="2245" w:type="dxa"/>
            <w:shd w:val="clear" w:color="auto" w:fill="auto"/>
            <w:noWrap/>
            <w:vAlign w:val="center"/>
            <w:hideMark/>
          </w:tcPr>
          <w:p w14:paraId="0D3F7481" w14:textId="77777777" w:rsidR="00781F9F" w:rsidRPr="00B337B5" w:rsidRDefault="00781F9F" w:rsidP="00B418C1">
            <w:pPr>
              <w:jc w:val="center"/>
              <w:rPr>
                <w:rFonts w:cs="Calibri"/>
                <w:i/>
                <w:iCs/>
                <w:color w:val="000000"/>
                <w:sz w:val="18"/>
                <w:szCs w:val="18"/>
                <w:lang w:eastAsia="en-GB"/>
              </w:rPr>
            </w:pPr>
            <w:r w:rsidRPr="00B337B5">
              <w:rPr>
                <w:rFonts w:cs="Calibri"/>
                <w:i/>
                <w:iCs/>
                <w:color w:val="000000"/>
                <w:sz w:val="18"/>
                <w:szCs w:val="18"/>
                <w:lang w:eastAsia="en-GB"/>
              </w:rPr>
              <w:t>Atherinops affinis</w:t>
            </w:r>
          </w:p>
        </w:tc>
        <w:tc>
          <w:tcPr>
            <w:tcW w:w="1418" w:type="dxa"/>
            <w:shd w:val="clear" w:color="auto" w:fill="auto"/>
            <w:noWrap/>
            <w:vAlign w:val="center"/>
            <w:hideMark/>
          </w:tcPr>
          <w:p w14:paraId="56652C90" w14:textId="77777777" w:rsidR="00781F9F" w:rsidRPr="00B337B5" w:rsidRDefault="00781F9F" w:rsidP="00B418C1">
            <w:pPr>
              <w:jc w:val="center"/>
              <w:rPr>
                <w:rFonts w:cs="Calibri"/>
                <w:color w:val="000000"/>
                <w:sz w:val="18"/>
                <w:szCs w:val="18"/>
                <w:lang w:eastAsia="en-GB"/>
              </w:rPr>
            </w:pPr>
            <w:r w:rsidRPr="00B337B5">
              <w:rPr>
                <w:rFonts w:cs="Calibri"/>
                <w:color w:val="000000"/>
                <w:sz w:val="18"/>
                <w:szCs w:val="18"/>
                <w:lang w:eastAsia="en-GB"/>
              </w:rPr>
              <w:t>NOEC</w:t>
            </w:r>
          </w:p>
        </w:tc>
        <w:tc>
          <w:tcPr>
            <w:tcW w:w="1276" w:type="dxa"/>
            <w:shd w:val="clear" w:color="auto" w:fill="auto"/>
            <w:noWrap/>
            <w:vAlign w:val="center"/>
            <w:hideMark/>
          </w:tcPr>
          <w:p w14:paraId="026B76E5" w14:textId="77777777" w:rsidR="00781F9F" w:rsidRPr="00B337B5" w:rsidRDefault="00781F9F" w:rsidP="00B418C1">
            <w:pPr>
              <w:jc w:val="center"/>
              <w:rPr>
                <w:rFonts w:cs="Calibri"/>
                <w:color w:val="000000"/>
                <w:sz w:val="18"/>
                <w:szCs w:val="18"/>
                <w:lang w:eastAsia="en-GB"/>
              </w:rPr>
            </w:pPr>
            <w:r w:rsidRPr="00B337B5">
              <w:rPr>
                <w:rFonts w:cs="Calibri"/>
                <w:color w:val="000000"/>
                <w:sz w:val="18"/>
                <w:szCs w:val="18"/>
                <w:lang w:eastAsia="en-GB"/>
              </w:rPr>
              <w:t>55</w:t>
            </w:r>
          </w:p>
        </w:tc>
        <w:tc>
          <w:tcPr>
            <w:tcW w:w="1423" w:type="dxa"/>
            <w:shd w:val="clear" w:color="auto" w:fill="auto"/>
            <w:noWrap/>
            <w:vAlign w:val="center"/>
            <w:hideMark/>
          </w:tcPr>
          <w:p w14:paraId="6FBCD5DA" w14:textId="77777777" w:rsidR="00781F9F" w:rsidRPr="00B337B5" w:rsidRDefault="00781F9F" w:rsidP="00B418C1">
            <w:pPr>
              <w:jc w:val="center"/>
              <w:rPr>
                <w:rFonts w:cs="Calibri"/>
                <w:color w:val="000000"/>
                <w:sz w:val="18"/>
                <w:szCs w:val="18"/>
                <w:lang w:eastAsia="en-GB"/>
              </w:rPr>
            </w:pPr>
            <w:r w:rsidRPr="00B337B5">
              <w:rPr>
                <w:rFonts w:cs="Calibri"/>
                <w:color w:val="000000"/>
                <w:sz w:val="18"/>
                <w:szCs w:val="18"/>
                <w:lang w:eastAsia="en-GB"/>
              </w:rPr>
              <w:t>2</w:t>
            </w:r>
          </w:p>
        </w:tc>
      </w:tr>
      <w:tr w:rsidR="00781F9F" w:rsidRPr="00B337B5" w14:paraId="695D89F4" w14:textId="77777777" w:rsidTr="00B418C1">
        <w:trPr>
          <w:trHeight w:val="300"/>
        </w:trPr>
        <w:tc>
          <w:tcPr>
            <w:tcW w:w="1377" w:type="dxa"/>
            <w:vMerge/>
            <w:shd w:val="clear" w:color="auto" w:fill="auto"/>
            <w:noWrap/>
            <w:vAlign w:val="center"/>
            <w:hideMark/>
          </w:tcPr>
          <w:p w14:paraId="50071FD6" w14:textId="77777777" w:rsidR="00781F9F" w:rsidRPr="00B337B5" w:rsidRDefault="00781F9F" w:rsidP="00B418C1">
            <w:pPr>
              <w:jc w:val="center"/>
              <w:rPr>
                <w:rFonts w:cs="Calibri"/>
                <w:color w:val="000000"/>
                <w:sz w:val="18"/>
                <w:szCs w:val="18"/>
                <w:lang w:eastAsia="en-GB"/>
              </w:rPr>
            </w:pPr>
          </w:p>
        </w:tc>
        <w:tc>
          <w:tcPr>
            <w:tcW w:w="1476" w:type="dxa"/>
            <w:shd w:val="clear" w:color="auto" w:fill="auto"/>
            <w:noWrap/>
            <w:vAlign w:val="center"/>
            <w:hideMark/>
          </w:tcPr>
          <w:p w14:paraId="3C5D2690" w14:textId="77777777" w:rsidR="00781F9F" w:rsidRPr="00B337B5" w:rsidRDefault="00781F9F" w:rsidP="00B418C1">
            <w:pPr>
              <w:jc w:val="center"/>
              <w:rPr>
                <w:rFonts w:cs="Calibri"/>
                <w:color w:val="000000"/>
                <w:sz w:val="18"/>
                <w:szCs w:val="18"/>
                <w:lang w:eastAsia="en-GB"/>
              </w:rPr>
            </w:pPr>
            <w:r w:rsidRPr="00B337B5">
              <w:rPr>
                <w:rFonts w:cs="Calibri"/>
                <w:color w:val="000000"/>
                <w:sz w:val="18"/>
                <w:szCs w:val="18"/>
                <w:lang w:eastAsia="en-GB"/>
              </w:rPr>
              <w:t>Invertebrate</w:t>
            </w:r>
          </w:p>
        </w:tc>
        <w:tc>
          <w:tcPr>
            <w:tcW w:w="2245" w:type="dxa"/>
            <w:shd w:val="clear" w:color="auto" w:fill="auto"/>
            <w:noWrap/>
            <w:vAlign w:val="center"/>
            <w:hideMark/>
          </w:tcPr>
          <w:p w14:paraId="5C9D49A3" w14:textId="77777777" w:rsidR="00781F9F" w:rsidRPr="00B337B5" w:rsidRDefault="00781F9F" w:rsidP="00B418C1">
            <w:pPr>
              <w:jc w:val="center"/>
              <w:rPr>
                <w:rFonts w:cs="Calibri"/>
                <w:i/>
                <w:iCs/>
                <w:color w:val="000000"/>
                <w:sz w:val="18"/>
                <w:szCs w:val="18"/>
                <w:lang w:eastAsia="en-GB"/>
              </w:rPr>
            </w:pPr>
            <w:r w:rsidRPr="00B337B5">
              <w:rPr>
                <w:rFonts w:cs="Calibri"/>
                <w:i/>
                <w:iCs/>
                <w:color w:val="000000"/>
                <w:sz w:val="18"/>
                <w:szCs w:val="18"/>
                <w:lang w:eastAsia="en-GB"/>
              </w:rPr>
              <w:t>Ceriodaphnia dubia</w:t>
            </w:r>
          </w:p>
        </w:tc>
        <w:tc>
          <w:tcPr>
            <w:tcW w:w="1418" w:type="dxa"/>
            <w:shd w:val="clear" w:color="auto" w:fill="auto"/>
            <w:noWrap/>
            <w:vAlign w:val="center"/>
            <w:hideMark/>
          </w:tcPr>
          <w:p w14:paraId="191EDE90" w14:textId="77777777" w:rsidR="00781F9F" w:rsidRPr="00B337B5" w:rsidRDefault="00781F9F" w:rsidP="00B418C1">
            <w:pPr>
              <w:jc w:val="center"/>
              <w:rPr>
                <w:rFonts w:cs="Calibri"/>
                <w:color w:val="000000"/>
                <w:sz w:val="18"/>
                <w:szCs w:val="18"/>
                <w:lang w:eastAsia="en-GB"/>
              </w:rPr>
            </w:pPr>
            <w:r w:rsidRPr="00B337B5">
              <w:rPr>
                <w:rFonts w:cs="Calibri"/>
                <w:color w:val="000000"/>
                <w:sz w:val="18"/>
                <w:szCs w:val="18"/>
                <w:lang w:eastAsia="en-GB"/>
              </w:rPr>
              <w:t>NOEC</w:t>
            </w:r>
          </w:p>
        </w:tc>
        <w:tc>
          <w:tcPr>
            <w:tcW w:w="1276" w:type="dxa"/>
            <w:shd w:val="clear" w:color="auto" w:fill="auto"/>
            <w:noWrap/>
            <w:vAlign w:val="center"/>
            <w:hideMark/>
          </w:tcPr>
          <w:p w14:paraId="504D06D0" w14:textId="77777777" w:rsidR="00781F9F" w:rsidRPr="00B337B5" w:rsidRDefault="00781F9F" w:rsidP="00B418C1">
            <w:pPr>
              <w:jc w:val="center"/>
              <w:rPr>
                <w:rFonts w:cs="Calibri"/>
                <w:color w:val="000000"/>
                <w:sz w:val="18"/>
                <w:szCs w:val="18"/>
                <w:lang w:eastAsia="en-GB"/>
              </w:rPr>
            </w:pPr>
            <w:r w:rsidRPr="00B337B5">
              <w:rPr>
                <w:rFonts w:cs="Calibri"/>
                <w:color w:val="000000"/>
                <w:sz w:val="18"/>
                <w:szCs w:val="18"/>
                <w:lang w:eastAsia="en-GB"/>
              </w:rPr>
              <w:t>4</w:t>
            </w:r>
          </w:p>
        </w:tc>
        <w:tc>
          <w:tcPr>
            <w:tcW w:w="1423" w:type="dxa"/>
            <w:shd w:val="clear" w:color="auto" w:fill="auto"/>
            <w:noWrap/>
            <w:vAlign w:val="center"/>
            <w:hideMark/>
          </w:tcPr>
          <w:p w14:paraId="360B44DC" w14:textId="77777777" w:rsidR="00781F9F" w:rsidRPr="00B337B5" w:rsidRDefault="00781F9F" w:rsidP="00B418C1">
            <w:pPr>
              <w:jc w:val="center"/>
              <w:rPr>
                <w:rFonts w:cs="Calibri"/>
                <w:color w:val="000000"/>
                <w:sz w:val="18"/>
                <w:szCs w:val="18"/>
                <w:lang w:eastAsia="en-GB"/>
              </w:rPr>
            </w:pPr>
            <w:r w:rsidRPr="00B337B5">
              <w:rPr>
                <w:rFonts w:cs="Calibri"/>
                <w:color w:val="000000"/>
                <w:sz w:val="18"/>
                <w:szCs w:val="18"/>
                <w:lang w:eastAsia="en-GB"/>
              </w:rPr>
              <w:t>2</w:t>
            </w:r>
          </w:p>
        </w:tc>
      </w:tr>
      <w:tr w:rsidR="00781F9F" w:rsidRPr="00B337B5" w14:paraId="62D12718" w14:textId="77777777" w:rsidTr="00B418C1">
        <w:trPr>
          <w:trHeight w:val="300"/>
        </w:trPr>
        <w:tc>
          <w:tcPr>
            <w:tcW w:w="1377" w:type="dxa"/>
            <w:vMerge/>
            <w:shd w:val="clear" w:color="auto" w:fill="auto"/>
            <w:noWrap/>
            <w:vAlign w:val="center"/>
            <w:hideMark/>
          </w:tcPr>
          <w:p w14:paraId="44825445" w14:textId="77777777" w:rsidR="00781F9F" w:rsidRPr="00B337B5" w:rsidRDefault="00781F9F" w:rsidP="00B418C1">
            <w:pPr>
              <w:jc w:val="center"/>
              <w:rPr>
                <w:rFonts w:cs="Calibri"/>
                <w:color w:val="000000"/>
                <w:sz w:val="18"/>
                <w:szCs w:val="18"/>
                <w:lang w:eastAsia="en-GB"/>
              </w:rPr>
            </w:pPr>
          </w:p>
        </w:tc>
        <w:tc>
          <w:tcPr>
            <w:tcW w:w="1476" w:type="dxa"/>
            <w:shd w:val="clear" w:color="auto" w:fill="auto"/>
            <w:noWrap/>
            <w:vAlign w:val="center"/>
            <w:hideMark/>
          </w:tcPr>
          <w:p w14:paraId="56E7B3DB" w14:textId="77777777" w:rsidR="00781F9F" w:rsidRPr="00B337B5" w:rsidRDefault="00781F9F" w:rsidP="00B418C1">
            <w:pPr>
              <w:jc w:val="center"/>
              <w:rPr>
                <w:rFonts w:cs="Calibri"/>
                <w:color w:val="000000"/>
                <w:sz w:val="18"/>
                <w:szCs w:val="18"/>
                <w:lang w:eastAsia="en-GB"/>
              </w:rPr>
            </w:pPr>
            <w:r w:rsidRPr="00B337B5">
              <w:rPr>
                <w:rFonts w:cs="Calibri"/>
                <w:color w:val="000000"/>
                <w:sz w:val="18"/>
                <w:szCs w:val="18"/>
                <w:lang w:eastAsia="en-GB"/>
              </w:rPr>
              <w:t>Algae</w:t>
            </w:r>
          </w:p>
        </w:tc>
        <w:tc>
          <w:tcPr>
            <w:tcW w:w="2245" w:type="dxa"/>
            <w:shd w:val="clear" w:color="auto" w:fill="auto"/>
            <w:noWrap/>
            <w:vAlign w:val="center"/>
            <w:hideMark/>
          </w:tcPr>
          <w:p w14:paraId="11EBBBC4" w14:textId="77777777" w:rsidR="00781F9F" w:rsidRPr="00B337B5" w:rsidRDefault="00781F9F" w:rsidP="00B418C1">
            <w:pPr>
              <w:jc w:val="center"/>
              <w:rPr>
                <w:rFonts w:cs="Calibri"/>
                <w:i/>
                <w:iCs/>
                <w:color w:val="000000"/>
                <w:sz w:val="18"/>
                <w:szCs w:val="18"/>
                <w:lang w:eastAsia="en-GB"/>
              </w:rPr>
            </w:pPr>
            <w:r w:rsidRPr="00B337B5">
              <w:rPr>
                <w:rFonts w:cs="Calibri"/>
                <w:i/>
                <w:iCs/>
                <w:color w:val="000000"/>
                <w:sz w:val="18"/>
                <w:szCs w:val="18"/>
                <w:lang w:eastAsia="en-GB"/>
              </w:rPr>
              <w:t>Phaeodactylum tricornutum</w:t>
            </w:r>
          </w:p>
        </w:tc>
        <w:tc>
          <w:tcPr>
            <w:tcW w:w="1418" w:type="dxa"/>
            <w:shd w:val="clear" w:color="auto" w:fill="auto"/>
            <w:noWrap/>
            <w:vAlign w:val="center"/>
            <w:hideMark/>
          </w:tcPr>
          <w:p w14:paraId="1B8F1490" w14:textId="77777777" w:rsidR="00781F9F" w:rsidRPr="00B337B5" w:rsidRDefault="00781F9F" w:rsidP="00B418C1">
            <w:pPr>
              <w:jc w:val="center"/>
              <w:rPr>
                <w:rFonts w:cs="Calibri"/>
                <w:color w:val="000000"/>
                <w:sz w:val="18"/>
                <w:szCs w:val="18"/>
                <w:lang w:eastAsia="en-GB"/>
              </w:rPr>
            </w:pPr>
            <w:r w:rsidRPr="00B337B5">
              <w:rPr>
                <w:rFonts w:cs="Calibri"/>
                <w:color w:val="000000"/>
                <w:sz w:val="18"/>
                <w:szCs w:val="18"/>
                <w:lang w:eastAsia="en-GB"/>
              </w:rPr>
              <w:t>NOEC</w:t>
            </w:r>
          </w:p>
        </w:tc>
        <w:tc>
          <w:tcPr>
            <w:tcW w:w="1276" w:type="dxa"/>
            <w:shd w:val="clear" w:color="auto" w:fill="auto"/>
            <w:noWrap/>
            <w:vAlign w:val="center"/>
            <w:hideMark/>
          </w:tcPr>
          <w:p w14:paraId="5B14A14B" w14:textId="77777777" w:rsidR="00781F9F" w:rsidRPr="00B337B5" w:rsidRDefault="00781F9F" w:rsidP="00B418C1">
            <w:pPr>
              <w:jc w:val="center"/>
              <w:rPr>
                <w:rFonts w:cs="Calibri"/>
                <w:color w:val="000000"/>
                <w:sz w:val="18"/>
                <w:szCs w:val="18"/>
                <w:lang w:eastAsia="en-GB"/>
              </w:rPr>
            </w:pPr>
            <w:r w:rsidRPr="00B337B5">
              <w:rPr>
                <w:rFonts w:cs="Calibri"/>
                <w:color w:val="000000"/>
                <w:sz w:val="18"/>
                <w:szCs w:val="18"/>
                <w:lang w:eastAsia="en-GB"/>
              </w:rPr>
              <w:t>2.9</w:t>
            </w:r>
          </w:p>
        </w:tc>
        <w:tc>
          <w:tcPr>
            <w:tcW w:w="1423" w:type="dxa"/>
            <w:shd w:val="clear" w:color="auto" w:fill="auto"/>
            <w:noWrap/>
            <w:vAlign w:val="center"/>
            <w:hideMark/>
          </w:tcPr>
          <w:p w14:paraId="417C90F0" w14:textId="77777777" w:rsidR="00781F9F" w:rsidRPr="00B337B5" w:rsidRDefault="00781F9F" w:rsidP="00B418C1">
            <w:pPr>
              <w:jc w:val="center"/>
              <w:rPr>
                <w:rFonts w:cs="Calibri"/>
                <w:color w:val="000000"/>
                <w:sz w:val="18"/>
                <w:szCs w:val="18"/>
                <w:lang w:eastAsia="en-GB"/>
              </w:rPr>
            </w:pPr>
            <w:r w:rsidRPr="00B337B5">
              <w:rPr>
                <w:rFonts w:cs="Calibri"/>
                <w:color w:val="000000"/>
                <w:sz w:val="18"/>
                <w:szCs w:val="18"/>
                <w:lang w:eastAsia="en-GB"/>
              </w:rPr>
              <w:t>2</w:t>
            </w:r>
          </w:p>
        </w:tc>
      </w:tr>
      <w:tr w:rsidR="00781F9F" w:rsidRPr="00B337B5" w14:paraId="17E2FED3" w14:textId="77777777" w:rsidTr="00B418C1">
        <w:trPr>
          <w:trHeight w:val="300"/>
        </w:trPr>
        <w:tc>
          <w:tcPr>
            <w:tcW w:w="1377" w:type="dxa"/>
            <w:vMerge w:val="restart"/>
            <w:shd w:val="clear" w:color="auto" w:fill="auto"/>
            <w:noWrap/>
            <w:vAlign w:val="center"/>
            <w:hideMark/>
          </w:tcPr>
          <w:p w14:paraId="0CD5B0BE" w14:textId="77777777" w:rsidR="00781F9F" w:rsidRPr="00B337B5" w:rsidRDefault="00781F9F" w:rsidP="00B418C1">
            <w:pPr>
              <w:jc w:val="center"/>
              <w:rPr>
                <w:rFonts w:cs="Calibri"/>
                <w:color w:val="000000"/>
                <w:sz w:val="18"/>
                <w:szCs w:val="18"/>
                <w:lang w:eastAsia="en-GB"/>
              </w:rPr>
            </w:pPr>
            <w:r w:rsidRPr="00B337B5">
              <w:rPr>
                <w:rFonts w:cs="Calibri"/>
                <w:color w:val="000000"/>
                <w:sz w:val="18"/>
                <w:szCs w:val="18"/>
                <w:lang w:eastAsia="en-GB"/>
              </w:rPr>
              <w:t>Thiocyanate ion</w:t>
            </w:r>
          </w:p>
        </w:tc>
        <w:tc>
          <w:tcPr>
            <w:tcW w:w="1476" w:type="dxa"/>
            <w:shd w:val="clear" w:color="auto" w:fill="auto"/>
            <w:noWrap/>
            <w:vAlign w:val="center"/>
            <w:hideMark/>
          </w:tcPr>
          <w:p w14:paraId="7CEA2783" w14:textId="77777777" w:rsidR="00781F9F" w:rsidRPr="00B337B5" w:rsidRDefault="00781F9F" w:rsidP="00B418C1">
            <w:pPr>
              <w:jc w:val="center"/>
              <w:rPr>
                <w:rFonts w:cs="Calibri"/>
                <w:color w:val="000000"/>
                <w:sz w:val="18"/>
                <w:szCs w:val="18"/>
                <w:lang w:eastAsia="en-GB"/>
              </w:rPr>
            </w:pPr>
            <w:r w:rsidRPr="00B337B5">
              <w:rPr>
                <w:rFonts w:cs="Calibri"/>
                <w:color w:val="000000"/>
                <w:sz w:val="18"/>
                <w:szCs w:val="18"/>
                <w:lang w:eastAsia="en-GB"/>
              </w:rPr>
              <w:t>Fish</w:t>
            </w:r>
          </w:p>
        </w:tc>
        <w:tc>
          <w:tcPr>
            <w:tcW w:w="2245" w:type="dxa"/>
            <w:shd w:val="clear" w:color="auto" w:fill="auto"/>
            <w:noWrap/>
            <w:vAlign w:val="center"/>
            <w:hideMark/>
          </w:tcPr>
          <w:p w14:paraId="3DFAB929" w14:textId="77777777" w:rsidR="00781F9F" w:rsidRPr="00B337B5" w:rsidRDefault="00781F9F" w:rsidP="00B418C1">
            <w:pPr>
              <w:jc w:val="center"/>
              <w:rPr>
                <w:rFonts w:cs="Calibri"/>
                <w:i/>
                <w:iCs/>
                <w:color w:val="000000"/>
                <w:sz w:val="18"/>
                <w:szCs w:val="18"/>
                <w:lang w:eastAsia="en-GB"/>
              </w:rPr>
            </w:pPr>
            <w:r w:rsidRPr="00B337B5">
              <w:rPr>
                <w:rFonts w:cs="Calibri"/>
                <w:i/>
                <w:iCs/>
                <w:color w:val="000000"/>
                <w:sz w:val="18"/>
                <w:szCs w:val="18"/>
                <w:lang w:eastAsia="en-GB"/>
              </w:rPr>
              <w:t>Pimephales</w:t>
            </w:r>
          </w:p>
          <w:p w14:paraId="569E3B60" w14:textId="5D953DD3" w:rsidR="00781F9F" w:rsidRPr="00B337B5" w:rsidRDefault="00470A0A" w:rsidP="00B418C1">
            <w:pPr>
              <w:jc w:val="center"/>
              <w:rPr>
                <w:rFonts w:cs="Calibri"/>
                <w:i/>
                <w:iCs/>
                <w:color w:val="000000"/>
                <w:sz w:val="18"/>
                <w:szCs w:val="18"/>
                <w:lang w:eastAsia="en-GB"/>
              </w:rPr>
            </w:pPr>
            <w:r w:rsidRPr="00B337B5">
              <w:rPr>
                <w:rFonts w:cs="Calibri"/>
                <w:i/>
                <w:iCs/>
                <w:color w:val="000000"/>
                <w:sz w:val="18"/>
                <w:szCs w:val="18"/>
                <w:lang w:eastAsia="en-GB"/>
              </w:rPr>
              <w:t>P</w:t>
            </w:r>
            <w:r w:rsidR="00781F9F" w:rsidRPr="00B337B5">
              <w:rPr>
                <w:rFonts w:cs="Calibri"/>
                <w:i/>
                <w:iCs/>
                <w:color w:val="000000"/>
                <w:sz w:val="18"/>
                <w:szCs w:val="18"/>
                <w:lang w:eastAsia="en-GB"/>
              </w:rPr>
              <w:t>romelas</w:t>
            </w:r>
          </w:p>
        </w:tc>
        <w:tc>
          <w:tcPr>
            <w:tcW w:w="1418" w:type="dxa"/>
            <w:shd w:val="clear" w:color="auto" w:fill="auto"/>
            <w:noWrap/>
            <w:vAlign w:val="center"/>
            <w:hideMark/>
          </w:tcPr>
          <w:p w14:paraId="0F58B7C8" w14:textId="77777777" w:rsidR="00781F9F" w:rsidRPr="00B337B5" w:rsidRDefault="00781F9F" w:rsidP="00B418C1">
            <w:pPr>
              <w:jc w:val="center"/>
              <w:rPr>
                <w:rFonts w:cs="Calibri"/>
                <w:color w:val="000000"/>
                <w:sz w:val="18"/>
                <w:szCs w:val="18"/>
                <w:lang w:eastAsia="en-GB"/>
              </w:rPr>
            </w:pPr>
            <w:r w:rsidRPr="00B337B5">
              <w:rPr>
                <w:rFonts w:cs="Calibri"/>
                <w:color w:val="000000"/>
                <w:sz w:val="18"/>
                <w:szCs w:val="18"/>
                <w:lang w:eastAsia="en-GB"/>
              </w:rPr>
              <w:t>NOEC</w:t>
            </w:r>
          </w:p>
        </w:tc>
        <w:tc>
          <w:tcPr>
            <w:tcW w:w="1276" w:type="dxa"/>
            <w:shd w:val="clear" w:color="auto" w:fill="auto"/>
            <w:noWrap/>
            <w:vAlign w:val="center"/>
            <w:hideMark/>
          </w:tcPr>
          <w:p w14:paraId="598F2854" w14:textId="77777777" w:rsidR="00781F9F" w:rsidRPr="00B337B5" w:rsidRDefault="00781F9F" w:rsidP="00B418C1">
            <w:pPr>
              <w:jc w:val="center"/>
              <w:rPr>
                <w:rFonts w:cs="Calibri"/>
                <w:color w:val="000000"/>
                <w:sz w:val="18"/>
                <w:szCs w:val="18"/>
                <w:lang w:eastAsia="en-GB"/>
              </w:rPr>
            </w:pPr>
            <w:r w:rsidRPr="00B337B5">
              <w:rPr>
                <w:rFonts w:cs="Calibri"/>
                <w:color w:val="000000"/>
                <w:sz w:val="18"/>
                <w:szCs w:val="18"/>
                <w:lang w:eastAsia="en-GB"/>
              </w:rPr>
              <w:t>1100</w:t>
            </w:r>
          </w:p>
        </w:tc>
        <w:tc>
          <w:tcPr>
            <w:tcW w:w="1423" w:type="dxa"/>
            <w:shd w:val="clear" w:color="auto" w:fill="auto"/>
            <w:noWrap/>
            <w:vAlign w:val="center"/>
            <w:hideMark/>
          </w:tcPr>
          <w:p w14:paraId="640B12F4" w14:textId="77777777" w:rsidR="00781F9F" w:rsidRPr="00B337B5" w:rsidRDefault="00781F9F" w:rsidP="00B418C1">
            <w:pPr>
              <w:jc w:val="center"/>
              <w:rPr>
                <w:rFonts w:cs="Calibri"/>
                <w:color w:val="000000"/>
                <w:sz w:val="18"/>
                <w:szCs w:val="18"/>
                <w:lang w:eastAsia="en-GB"/>
              </w:rPr>
            </w:pPr>
            <w:r w:rsidRPr="00B337B5">
              <w:rPr>
                <w:rFonts w:cs="Calibri"/>
                <w:color w:val="000000"/>
                <w:sz w:val="18"/>
                <w:szCs w:val="18"/>
                <w:lang w:eastAsia="en-GB"/>
              </w:rPr>
              <w:t>1000</w:t>
            </w:r>
          </w:p>
        </w:tc>
      </w:tr>
      <w:tr w:rsidR="00781F9F" w:rsidRPr="00B337B5" w14:paraId="46943F41" w14:textId="77777777" w:rsidTr="00B418C1">
        <w:trPr>
          <w:trHeight w:val="300"/>
        </w:trPr>
        <w:tc>
          <w:tcPr>
            <w:tcW w:w="1377" w:type="dxa"/>
            <w:vMerge/>
            <w:shd w:val="clear" w:color="auto" w:fill="auto"/>
            <w:noWrap/>
            <w:vAlign w:val="center"/>
            <w:hideMark/>
          </w:tcPr>
          <w:p w14:paraId="7A569281" w14:textId="77777777" w:rsidR="00781F9F" w:rsidRPr="00B337B5" w:rsidRDefault="00781F9F" w:rsidP="00B418C1">
            <w:pPr>
              <w:jc w:val="center"/>
              <w:rPr>
                <w:rFonts w:cs="Calibri"/>
                <w:color w:val="000000"/>
                <w:sz w:val="18"/>
                <w:szCs w:val="18"/>
                <w:lang w:eastAsia="en-GB"/>
              </w:rPr>
            </w:pPr>
          </w:p>
        </w:tc>
        <w:tc>
          <w:tcPr>
            <w:tcW w:w="1476" w:type="dxa"/>
            <w:shd w:val="clear" w:color="auto" w:fill="auto"/>
            <w:noWrap/>
            <w:vAlign w:val="center"/>
            <w:hideMark/>
          </w:tcPr>
          <w:p w14:paraId="663F655C" w14:textId="77777777" w:rsidR="00781F9F" w:rsidRPr="00B337B5" w:rsidRDefault="00781F9F" w:rsidP="00B418C1">
            <w:pPr>
              <w:jc w:val="center"/>
              <w:rPr>
                <w:rFonts w:cs="Calibri"/>
                <w:color w:val="000000"/>
                <w:sz w:val="18"/>
                <w:szCs w:val="18"/>
                <w:lang w:eastAsia="en-GB"/>
              </w:rPr>
            </w:pPr>
            <w:r w:rsidRPr="00B337B5">
              <w:rPr>
                <w:rFonts w:cs="Calibri"/>
                <w:color w:val="000000"/>
                <w:sz w:val="18"/>
                <w:szCs w:val="18"/>
                <w:lang w:eastAsia="en-GB"/>
              </w:rPr>
              <w:t>Invertebrate</w:t>
            </w:r>
          </w:p>
        </w:tc>
        <w:tc>
          <w:tcPr>
            <w:tcW w:w="2245" w:type="dxa"/>
            <w:shd w:val="clear" w:color="auto" w:fill="auto"/>
            <w:noWrap/>
            <w:vAlign w:val="center"/>
            <w:hideMark/>
          </w:tcPr>
          <w:p w14:paraId="29205610" w14:textId="77777777" w:rsidR="00781F9F" w:rsidRPr="00B337B5" w:rsidRDefault="00781F9F" w:rsidP="00B418C1">
            <w:pPr>
              <w:jc w:val="center"/>
              <w:rPr>
                <w:rFonts w:cs="Calibri"/>
                <w:i/>
                <w:iCs/>
                <w:color w:val="000000"/>
                <w:sz w:val="18"/>
                <w:szCs w:val="18"/>
                <w:lang w:eastAsia="en-GB"/>
              </w:rPr>
            </w:pPr>
            <w:r w:rsidRPr="00B337B5">
              <w:rPr>
                <w:rFonts w:cs="Calibri"/>
                <w:i/>
                <w:iCs/>
                <w:color w:val="000000"/>
                <w:sz w:val="18"/>
                <w:szCs w:val="18"/>
                <w:lang w:eastAsia="en-GB"/>
              </w:rPr>
              <w:t>Daphnia magna</w:t>
            </w:r>
          </w:p>
        </w:tc>
        <w:tc>
          <w:tcPr>
            <w:tcW w:w="1418" w:type="dxa"/>
            <w:shd w:val="clear" w:color="auto" w:fill="auto"/>
            <w:noWrap/>
            <w:vAlign w:val="center"/>
            <w:hideMark/>
          </w:tcPr>
          <w:p w14:paraId="58925CE8" w14:textId="77777777" w:rsidR="00781F9F" w:rsidRPr="00B337B5" w:rsidRDefault="00781F9F" w:rsidP="00B418C1">
            <w:pPr>
              <w:jc w:val="center"/>
              <w:rPr>
                <w:rFonts w:cs="Calibri"/>
                <w:color w:val="000000"/>
                <w:sz w:val="18"/>
                <w:szCs w:val="18"/>
                <w:lang w:eastAsia="en-GB"/>
              </w:rPr>
            </w:pPr>
            <w:r w:rsidRPr="00B337B5">
              <w:rPr>
                <w:rFonts w:cs="Calibri"/>
                <w:color w:val="000000"/>
                <w:sz w:val="18"/>
                <w:szCs w:val="18"/>
                <w:lang w:eastAsia="en-GB"/>
              </w:rPr>
              <w:t>NOEC</w:t>
            </w:r>
          </w:p>
        </w:tc>
        <w:tc>
          <w:tcPr>
            <w:tcW w:w="1276" w:type="dxa"/>
            <w:shd w:val="clear" w:color="auto" w:fill="auto"/>
            <w:noWrap/>
            <w:vAlign w:val="center"/>
            <w:hideMark/>
          </w:tcPr>
          <w:p w14:paraId="020319DC" w14:textId="77777777" w:rsidR="00781F9F" w:rsidRPr="00B337B5" w:rsidRDefault="00781F9F" w:rsidP="00B418C1">
            <w:pPr>
              <w:jc w:val="center"/>
              <w:rPr>
                <w:rFonts w:cs="Calibri"/>
                <w:color w:val="000000"/>
                <w:sz w:val="18"/>
                <w:szCs w:val="18"/>
                <w:lang w:eastAsia="en-GB"/>
              </w:rPr>
            </w:pPr>
            <w:r w:rsidRPr="00B337B5">
              <w:rPr>
                <w:rFonts w:cs="Calibri"/>
                <w:color w:val="000000"/>
                <w:sz w:val="18"/>
                <w:szCs w:val="18"/>
                <w:lang w:eastAsia="en-GB"/>
              </w:rPr>
              <w:t>1250</w:t>
            </w:r>
          </w:p>
        </w:tc>
        <w:tc>
          <w:tcPr>
            <w:tcW w:w="1423" w:type="dxa"/>
            <w:shd w:val="clear" w:color="auto" w:fill="auto"/>
            <w:noWrap/>
            <w:vAlign w:val="center"/>
            <w:hideMark/>
          </w:tcPr>
          <w:p w14:paraId="4C03BDC6" w14:textId="77777777" w:rsidR="00781F9F" w:rsidRPr="00B337B5" w:rsidRDefault="00781F9F" w:rsidP="00B418C1">
            <w:pPr>
              <w:jc w:val="center"/>
              <w:rPr>
                <w:rFonts w:cs="Calibri"/>
                <w:color w:val="000000"/>
                <w:sz w:val="18"/>
                <w:szCs w:val="18"/>
                <w:lang w:eastAsia="en-GB"/>
              </w:rPr>
            </w:pPr>
            <w:r w:rsidRPr="00B337B5">
              <w:rPr>
                <w:rFonts w:cs="Calibri"/>
                <w:color w:val="000000"/>
                <w:sz w:val="18"/>
                <w:szCs w:val="18"/>
                <w:lang w:eastAsia="en-GB"/>
              </w:rPr>
              <w:t>1000</w:t>
            </w:r>
          </w:p>
        </w:tc>
      </w:tr>
      <w:tr w:rsidR="00781F9F" w:rsidRPr="00B337B5" w14:paraId="69D14CB2" w14:textId="77777777" w:rsidTr="00B418C1">
        <w:trPr>
          <w:trHeight w:val="300"/>
        </w:trPr>
        <w:tc>
          <w:tcPr>
            <w:tcW w:w="1377" w:type="dxa"/>
            <w:vMerge/>
            <w:tcBorders>
              <w:bottom w:val="single" w:sz="4" w:space="0" w:color="auto"/>
            </w:tcBorders>
            <w:shd w:val="clear" w:color="auto" w:fill="auto"/>
            <w:noWrap/>
            <w:vAlign w:val="center"/>
            <w:hideMark/>
          </w:tcPr>
          <w:p w14:paraId="404B87CA" w14:textId="77777777" w:rsidR="00781F9F" w:rsidRPr="00B337B5" w:rsidRDefault="00781F9F" w:rsidP="00B418C1">
            <w:pPr>
              <w:jc w:val="center"/>
              <w:rPr>
                <w:rFonts w:cs="Calibri"/>
                <w:color w:val="000000"/>
                <w:sz w:val="18"/>
                <w:szCs w:val="18"/>
                <w:lang w:eastAsia="en-GB"/>
              </w:rPr>
            </w:pPr>
          </w:p>
        </w:tc>
        <w:tc>
          <w:tcPr>
            <w:tcW w:w="1476" w:type="dxa"/>
            <w:tcBorders>
              <w:bottom w:val="single" w:sz="4" w:space="0" w:color="auto"/>
            </w:tcBorders>
            <w:shd w:val="clear" w:color="auto" w:fill="auto"/>
            <w:noWrap/>
            <w:vAlign w:val="center"/>
            <w:hideMark/>
          </w:tcPr>
          <w:p w14:paraId="2CA52ECB" w14:textId="77777777" w:rsidR="00781F9F" w:rsidRPr="00B337B5" w:rsidRDefault="00781F9F" w:rsidP="00B418C1">
            <w:pPr>
              <w:jc w:val="center"/>
              <w:rPr>
                <w:rFonts w:cs="Calibri"/>
                <w:color w:val="000000"/>
                <w:sz w:val="18"/>
                <w:szCs w:val="18"/>
                <w:lang w:eastAsia="en-GB"/>
              </w:rPr>
            </w:pPr>
            <w:r w:rsidRPr="00B337B5">
              <w:rPr>
                <w:rFonts w:cs="Calibri"/>
                <w:color w:val="000000"/>
                <w:sz w:val="18"/>
                <w:szCs w:val="18"/>
                <w:lang w:eastAsia="en-GB"/>
              </w:rPr>
              <w:t>Algae</w:t>
            </w:r>
          </w:p>
        </w:tc>
        <w:tc>
          <w:tcPr>
            <w:tcW w:w="2245" w:type="dxa"/>
            <w:tcBorders>
              <w:bottom w:val="single" w:sz="4" w:space="0" w:color="auto"/>
            </w:tcBorders>
            <w:shd w:val="clear" w:color="auto" w:fill="auto"/>
            <w:noWrap/>
            <w:vAlign w:val="center"/>
            <w:hideMark/>
          </w:tcPr>
          <w:p w14:paraId="5800F67D" w14:textId="77777777" w:rsidR="00781F9F" w:rsidRPr="00B337B5" w:rsidRDefault="00781F9F" w:rsidP="00B418C1">
            <w:pPr>
              <w:jc w:val="center"/>
              <w:rPr>
                <w:rFonts w:cs="Calibri"/>
                <w:i/>
                <w:iCs/>
                <w:color w:val="000000"/>
                <w:sz w:val="18"/>
                <w:szCs w:val="18"/>
                <w:lang w:eastAsia="en-GB"/>
              </w:rPr>
            </w:pPr>
            <w:r w:rsidRPr="00B337B5">
              <w:rPr>
                <w:rFonts w:cs="Calibri"/>
                <w:i/>
                <w:iCs/>
                <w:color w:val="000000"/>
                <w:sz w:val="18"/>
                <w:szCs w:val="18"/>
                <w:lang w:eastAsia="en-GB"/>
              </w:rPr>
              <w:t>Selenastrum</w:t>
            </w:r>
          </w:p>
          <w:p w14:paraId="37FD03F6" w14:textId="77777777" w:rsidR="00781F9F" w:rsidRPr="00B337B5" w:rsidRDefault="00781F9F" w:rsidP="00B418C1">
            <w:pPr>
              <w:jc w:val="center"/>
              <w:rPr>
                <w:rFonts w:cs="Calibri"/>
                <w:i/>
                <w:iCs/>
                <w:color w:val="000000"/>
                <w:sz w:val="18"/>
                <w:szCs w:val="18"/>
                <w:lang w:eastAsia="en-GB"/>
              </w:rPr>
            </w:pPr>
            <w:r w:rsidRPr="00B337B5">
              <w:rPr>
                <w:rFonts w:cs="Calibri"/>
                <w:i/>
                <w:iCs/>
                <w:color w:val="000000"/>
                <w:sz w:val="18"/>
                <w:szCs w:val="18"/>
                <w:lang w:eastAsia="en-GB"/>
              </w:rPr>
              <w:t>capricornutum</w:t>
            </w:r>
          </w:p>
        </w:tc>
        <w:tc>
          <w:tcPr>
            <w:tcW w:w="1418" w:type="dxa"/>
            <w:tcBorders>
              <w:bottom w:val="single" w:sz="4" w:space="0" w:color="auto"/>
            </w:tcBorders>
            <w:shd w:val="clear" w:color="auto" w:fill="auto"/>
            <w:noWrap/>
            <w:vAlign w:val="center"/>
            <w:hideMark/>
          </w:tcPr>
          <w:p w14:paraId="008DB316" w14:textId="77777777" w:rsidR="00781F9F" w:rsidRPr="00B337B5" w:rsidRDefault="00781F9F" w:rsidP="00B418C1">
            <w:pPr>
              <w:jc w:val="center"/>
              <w:rPr>
                <w:rFonts w:cs="Calibri"/>
                <w:color w:val="000000"/>
                <w:sz w:val="18"/>
                <w:szCs w:val="18"/>
                <w:lang w:eastAsia="en-GB"/>
              </w:rPr>
            </w:pPr>
            <w:r w:rsidRPr="00B337B5">
              <w:rPr>
                <w:rFonts w:cs="Calibri"/>
                <w:color w:val="000000"/>
                <w:sz w:val="18"/>
                <w:szCs w:val="18"/>
                <w:lang w:eastAsia="en-GB"/>
              </w:rPr>
              <w:t>NOEC</w:t>
            </w:r>
          </w:p>
        </w:tc>
        <w:tc>
          <w:tcPr>
            <w:tcW w:w="1276" w:type="dxa"/>
            <w:tcBorders>
              <w:bottom w:val="single" w:sz="4" w:space="0" w:color="auto"/>
            </w:tcBorders>
            <w:shd w:val="clear" w:color="auto" w:fill="auto"/>
            <w:noWrap/>
            <w:vAlign w:val="center"/>
            <w:hideMark/>
          </w:tcPr>
          <w:p w14:paraId="571C07BE" w14:textId="77777777" w:rsidR="00781F9F" w:rsidRPr="00B337B5" w:rsidRDefault="00781F9F" w:rsidP="00B418C1">
            <w:pPr>
              <w:jc w:val="center"/>
              <w:rPr>
                <w:rFonts w:cs="Calibri"/>
                <w:color w:val="000000"/>
                <w:sz w:val="18"/>
                <w:szCs w:val="18"/>
                <w:lang w:eastAsia="en-GB"/>
              </w:rPr>
            </w:pPr>
            <w:r w:rsidRPr="00B337B5">
              <w:rPr>
                <w:rFonts w:cs="Calibri"/>
                <w:color w:val="000000"/>
                <w:sz w:val="18"/>
                <w:szCs w:val="18"/>
                <w:lang w:eastAsia="en-GB"/>
              </w:rPr>
              <w:t>2200</w:t>
            </w:r>
          </w:p>
        </w:tc>
        <w:tc>
          <w:tcPr>
            <w:tcW w:w="1423" w:type="dxa"/>
            <w:tcBorders>
              <w:bottom w:val="single" w:sz="4" w:space="0" w:color="auto"/>
            </w:tcBorders>
            <w:shd w:val="clear" w:color="auto" w:fill="auto"/>
            <w:noWrap/>
            <w:vAlign w:val="center"/>
            <w:hideMark/>
          </w:tcPr>
          <w:p w14:paraId="6961D911" w14:textId="77777777" w:rsidR="00781F9F" w:rsidRPr="00B337B5" w:rsidRDefault="00781F9F" w:rsidP="00B418C1">
            <w:pPr>
              <w:jc w:val="center"/>
              <w:rPr>
                <w:rFonts w:cs="Calibri"/>
                <w:color w:val="000000"/>
                <w:sz w:val="18"/>
                <w:szCs w:val="18"/>
                <w:lang w:eastAsia="en-GB"/>
              </w:rPr>
            </w:pPr>
            <w:r w:rsidRPr="00B337B5">
              <w:rPr>
                <w:rFonts w:cs="Calibri"/>
                <w:color w:val="000000"/>
                <w:sz w:val="18"/>
                <w:szCs w:val="18"/>
                <w:lang w:eastAsia="en-GB"/>
              </w:rPr>
              <w:t>1000</w:t>
            </w:r>
          </w:p>
        </w:tc>
      </w:tr>
      <w:tr w:rsidR="00781F9F" w:rsidRPr="00CF10DE" w14:paraId="3C047288" w14:textId="77777777" w:rsidTr="00B418C1">
        <w:trPr>
          <w:trHeight w:val="300"/>
        </w:trPr>
        <w:tc>
          <w:tcPr>
            <w:tcW w:w="9215" w:type="dxa"/>
            <w:gridSpan w:val="6"/>
            <w:tcBorders>
              <w:top w:val="single" w:sz="4" w:space="0" w:color="auto"/>
              <w:left w:val="nil"/>
              <w:bottom w:val="nil"/>
              <w:right w:val="nil"/>
            </w:tcBorders>
            <w:shd w:val="clear" w:color="auto" w:fill="auto"/>
            <w:noWrap/>
            <w:vAlign w:val="center"/>
          </w:tcPr>
          <w:p w14:paraId="1D783B9B" w14:textId="088027F7" w:rsidR="00781F9F" w:rsidRPr="00EF1966" w:rsidRDefault="00781F9F" w:rsidP="00B418C1">
            <w:pPr>
              <w:rPr>
                <w:rFonts w:cs="Calibri"/>
                <w:color w:val="000000"/>
                <w:sz w:val="16"/>
                <w:szCs w:val="16"/>
                <w:lang w:eastAsia="en-GB"/>
              </w:rPr>
            </w:pPr>
            <w:r w:rsidRPr="00B337B5">
              <w:rPr>
                <w:rFonts w:cs="Calibri"/>
                <w:color w:val="000000"/>
                <w:sz w:val="16"/>
                <w:szCs w:val="16"/>
                <w:lang w:eastAsia="en-GB"/>
              </w:rPr>
              <w:t>*</w:t>
            </w:r>
            <w:r w:rsidRPr="00B337B5">
              <w:rPr>
                <w:rFonts w:cs="Calibri"/>
                <w:b/>
                <w:bCs/>
                <w:color w:val="000000"/>
                <w:sz w:val="16"/>
                <w:szCs w:val="16"/>
                <w:lang w:eastAsia="en-GB"/>
              </w:rPr>
              <w:t>Copper</w:t>
            </w:r>
            <w:r w:rsidRPr="00B337B5">
              <w:rPr>
                <w:rFonts w:cs="Calibri"/>
                <w:color w:val="000000"/>
                <w:sz w:val="16"/>
                <w:szCs w:val="16"/>
                <w:lang w:eastAsia="en-GB"/>
              </w:rPr>
              <w:t xml:space="preserve"> assessment factor (AF) used based on 56 chronic NOEC/EC10 values for the marine compartment, resulting in 24 different species-specific NOEC values covering different trophic levels (fish, invertebrates, algae). These species-specific NOECs were used for the derivation of species sensitivity distributions (SSD) and HC5-50 values, using statistical extrapolation methods. PNECs were derived using an </w:t>
            </w:r>
            <w:r w:rsidR="00484535">
              <w:rPr>
                <w:rFonts w:cs="Calibri"/>
                <w:color w:val="000000"/>
                <w:sz w:val="16"/>
                <w:szCs w:val="16"/>
                <w:lang w:eastAsia="en-GB"/>
              </w:rPr>
              <w:t>a</w:t>
            </w:r>
            <w:r w:rsidRPr="00B337B5">
              <w:rPr>
                <w:rFonts w:cs="Calibri"/>
                <w:color w:val="000000"/>
                <w:sz w:val="16"/>
                <w:szCs w:val="16"/>
                <w:lang w:eastAsia="en-GB"/>
              </w:rPr>
              <w:t>ssessment factor of 2.</w:t>
            </w:r>
          </w:p>
          <w:p w14:paraId="28937536" w14:textId="77777777" w:rsidR="00781F9F" w:rsidRPr="008F3534" w:rsidRDefault="00781F9F" w:rsidP="00B418C1">
            <w:pPr>
              <w:rPr>
                <w:rFonts w:cs="Calibri"/>
                <w:color w:val="000000"/>
                <w:sz w:val="18"/>
                <w:szCs w:val="18"/>
                <w:lang w:eastAsia="en-GB"/>
              </w:rPr>
            </w:pPr>
            <w:r w:rsidRPr="00B337B5">
              <w:rPr>
                <w:rFonts w:cs="Calibri"/>
                <w:b/>
                <w:bCs/>
                <w:color w:val="000000"/>
                <w:sz w:val="16"/>
                <w:szCs w:val="16"/>
                <w:lang w:eastAsia="en-GB"/>
              </w:rPr>
              <w:t>Thiocyanate</w:t>
            </w:r>
            <w:r w:rsidRPr="00B337B5">
              <w:rPr>
                <w:rFonts w:cs="Calibri"/>
                <w:color w:val="000000"/>
                <w:sz w:val="16"/>
                <w:szCs w:val="16"/>
                <w:lang w:eastAsia="en-GB"/>
              </w:rPr>
              <w:t xml:space="preserve"> ion assessment factor (AF) of 1000 comprised of an AF of 10 (based upon a full base set of freshwater data: fish, invertebrate and algae) plus an additional AF of 100 to account for freshwater/marine conversion in the absence of marine ecotoxicity data.</w:t>
            </w:r>
          </w:p>
        </w:tc>
      </w:tr>
    </w:tbl>
    <w:p w14:paraId="4FAB5C96" w14:textId="77777777" w:rsidR="00781F9F" w:rsidRDefault="00781F9F" w:rsidP="00C66572">
      <w:pPr>
        <w:jc w:val="both"/>
        <w:rPr>
          <w:rFonts w:eastAsia="Calibri"/>
          <w:szCs w:val="22"/>
          <w:lang w:eastAsia="en-US"/>
        </w:rPr>
      </w:pPr>
    </w:p>
    <w:p w14:paraId="0174D407" w14:textId="77777777" w:rsidR="002900EE" w:rsidRPr="00DE7D7C" w:rsidRDefault="002900EE" w:rsidP="002900EE">
      <w:pPr>
        <w:rPr>
          <w:b/>
          <w:bCs/>
        </w:rPr>
      </w:pPr>
      <w:r w:rsidRPr="00DE7D7C">
        <w:rPr>
          <w:b/>
          <w:bCs/>
        </w:rPr>
        <w:t xml:space="preserve">Tier 2 calculations for EU scenario </w:t>
      </w:r>
    </w:p>
    <w:tbl>
      <w:tblPr>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1350"/>
        <w:gridCol w:w="1309"/>
        <w:gridCol w:w="907"/>
        <w:gridCol w:w="1423"/>
        <w:gridCol w:w="1156"/>
        <w:gridCol w:w="969"/>
        <w:gridCol w:w="1396"/>
        <w:gridCol w:w="1118"/>
      </w:tblGrid>
      <w:tr w:rsidR="002900EE" w:rsidRPr="00884E25" w14:paraId="4F874414" w14:textId="77777777" w:rsidTr="002900EE">
        <w:trPr>
          <w:trHeight w:val="300"/>
        </w:trPr>
        <w:tc>
          <w:tcPr>
            <w:tcW w:w="1003" w:type="dxa"/>
            <w:shd w:val="clear" w:color="auto" w:fill="FFF2CC" w:themeFill="accent4" w:themeFillTint="33"/>
            <w:vAlign w:val="center"/>
          </w:tcPr>
          <w:p w14:paraId="79F6C1C5" w14:textId="77777777" w:rsidR="002900EE" w:rsidRPr="00DE7D7C" w:rsidRDefault="002900EE" w:rsidP="00B418C1">
            <w:pPr>
              <w:jc w:val="center"/>
              <w:rPr>
                <w:rFonts w:cstheme="minorHAnsi"/>
                <w:b/>
                <w:bCs/>
                <w:sz w:val="18"/>
                <w:szCs w:val="18"/>
                <w:lang w:eastAsia="en-GB"/>
              </w:rPr>
            </w:pPr>
            <w:r w:rsidRPr="00DE7D7C">
              <w:rPr>
                <w:rFonts w:cstheme="minorHAnsi"/>
                <w:b/>
                <w:bCs/>
                <w:sz w:val="18"/>
                <w:szCs w:val="18"/>
                <w:lang w:eastAsia="en-GB"/>
              </w:rPr>
              <w:t>Product</w:t>
            </w:r>
          </w:p>
        </w:tc>
        <w:tc>
          <w:tcPr>
            <w:tcW w:w="1350" w:type="dxa"/>
            <w:shd w:val="clear" w:color="auto" w:fill="FFF2CC" w:themeFill="accent4" w:themeFillTint="33"/>
            <w:noWrap/>
            <w:vAlign w:val="center"/>
            <w:hideMark/>
          </w:tcPr>
          <w:p w14:paraId="6C0B3DB2" w14:textId="77777777" w:rsidR="002900EE" w:rsidRPr="00DE7D7C" w:rsidRDefault="002900EE" w:rsidP="00B418C1">
            <w:pPr>
              <w:jc w:val="center"/>
              <w:rPr>
                <w:rFonts w:cstheme="minorHAnsi"/>
                <w:b/>
                <w:bCs/>
                <w:sz w:val="18"/>
                <w:szCs w:val="18"/>
                <w:lang w:eastAsia="en-GB"/>
              </w:rPr>
            </w:pPr>
            <w:r w:rsidRPr="00DE7D7C">
              <w:rPr>
                <w:rFonts w:cstheme="minorHAnsi"/>
                <w:b/>
                <w:bCs/>
                <w:sz w:val="18"/>
                <w:szCs w:val="18"/>
                <w:lang w:eastAsia="en-GB"/>
              </w:rPr>
              <w:t>Trophic level</w:t>
            </w:r>
          </w:p>
        </w:tc>
        <w:tc>
          <w:tcPr>
            <w:tcW w:w="1309" w:type="dxa"/>
            <w:shd w:val="clear" w:color="auto" w:fill="FFF2CC" w:themeFill="accent4" w:themeFillTint="33"/>
            <w:noWrap/>
            <w:vAlign w:val="center"/>
            <w:hideMark/>
          </w:tcPr>
          <w:p w14:paraId="064ACFE0" w14:textId="77777777" w:rsidR="002900EE" w:rsidRPr="00DE7D7C" w:rsidRDefault="002900EE" w:rsidP="00B418C1">
            <w:pPr>
              <w:jc w:val="center"/>
              <w:rPr>
                <w:rFonts w:cstheme="minorHAnsi"/>
                <w:b/>
                <w:bCs/>
                <w:color w:val="000000"/>
                <w:sz w:val="18"/>
                <w:szCs w:val="18"/>
                <w:lang w:eastAsia="en-GB"/>
              </w:rPr>
            </w:pPr>
            <w:r w:rsidRPr="00DE7D7C">
              <w:rPr>
                <w:rFonts w:cstheme="minorHAnsi"/>
                <w:b/>
                <w:bCs/>
                <w:color w:val="000000"/>
                <w:sz w:val="18"/>
                <w:szCs w:val="18"/>
                <w:lang w:eastAsia="en-GB"/>
              </w:rPr>
              <w:t>Substance</w:t>
            </w:r>
          </w:p>
        </w:tc>
        <w:tc>
          <w:tcPr>
            <w:tcW w:w="907" w:type="dxa"/>
            <w:shd w:val="clear" w:color="auto" w:fill="FFF2CC" w:themeFill="accent4" w:themeFillTint="33"/>
            <w:noWrap/>
            <w:vAlign w:val="center"/>
            <w:hideMark/>
          </w:tcPr>
          <w:p w14:paraId="7F1581BD" w14:textId="77777777" w:rsidR="002900EE" w:rsidRPr="00DE7D7C" w:rsidRDefault="002900EE" w:rsidP="00B418C1">
            <w:pPr>
              <w:jc w:val="center"/>
              <w:rPr>
                <w:rFonts w:cstheme="minorHAnsi"/>
                <w:b/>
                <w:bCs/>
                <w:color w:val="000000"/>
                <w:sz w:val="18"/>
                <w:szCs w:val="18"/>
                <w:lang w:eastAsia="en-GB"/>
              </w:rPr>
            </w:pPr>
            <w:r w:rsidRPr="00DE7D7C">
              <w:rPr>
                <w:rFonts w:cstheme="minorHAnsi"/>
                <w:b/>
                <w:bCs/>
                <w:color w:val="000000"/>
                <w:sz w:val="18"/>
                <w:szCs w:val="18"/>
                <w:lang w:eastAsia="en-GB"/>
              </w:rPr>
              <w:t>NOEC (µg/L)</w:t>
            </w:r>
          </w:p>
        </w:tc>
        <w:tc>
          <w:tcPr>
            <w:tcW w:w="1423" w:type="dxa"/>
            <w:shd w:val="clear" w:color="auto" w:fill="FFF2CC" w:themeFill="accent4" w:themeFillTint="33"/>
            <w:noWrap/>
            <w:vAlign w:val="center"/>
            <w:hideMark/>
          </w:tcPr>
          <w:p w14:paraId="771F26CB" w14:textId="77777777" w:rsidR="002900EE" w:rsidRPr="00DE7D7C" w:rsidRDefault="002900EE" w:rsidP="00B418C1">
            <w:pPr>
              <w:jc w:val="center"/>
              <w:rPr>
                <w:rFonts w:cstheme="minorHAnsi"/>
                <w:b/>
                <w:bCs/>
                <w:color w:val="000000"/>
                <w:sz w:val="18"/>
                <w:szCs w:val="18"/>
                <w:lang w:eastAsia="en-GB"/>
              </w:rPr>
            </w:pPr>
            <w:r w:rsidRPr="00DE7D7C">
              <w:rPr>
                <w:rFonts w:cstheme="minorHAnsi"/>
                <w:b/>
                <w:bCs/>
                <w:color w:val="000000"/>
                <w:sz w:val="18"/>
                <w:szCs w:val="18"/>
                <w:lang w:eastAsia="en-GB"/>
              </w:rPr>
              <w:t>Assessment factor (AF)</w:t>
            </w:r>
          </w:p>
        </w:tc>
        <w:tc>
          <w:tcPr>
            <w:tcW w:w="1156" w:type="dxa"/>
            <w:shd w:val="clear" w:color="auto" w:fill="FFF2CC" w:themeFill="accent4" w:themeFillTint="33"/>
            <w:noWrap/>
            <w:vAlign w:val="center"/>
            <w:hideMark/>
          </w:tcPr>
          <w:p w14:paraId="012032C2" w14:textId="77777777" w:rsidR="002900EE" w:rsidRPr="00DE7D7C" w:rsidRDefault="002900EE" w:rsidP="00B418C1">
            <w:pPr>
              <w:jc w:val="center"/>
              <w:rPr>
                <w:rFonts w:cstheme="minorHAnsi"/>
                <w:b/>
                <w:bCs/>
                <w:color w:val="000000"/>
                <w:sz w:val="18"/>
                <w:szCs w:val="18"/>
                <w:lang w:eastAsia="en-GB"/>
              </w:rPr>
            </w:pPr>
            <w:r w:rsidRPr="00DE7D7C">
              <w:rPr>
                <w:rFonts w:cstheme="minorHAnsi"/>
                <w:b/>
                <w:bCs/>
                <w:color w:val="000000"/>
                <w:sz w:val="18"/>
                <w:szCs w:val="18"/>
                <w:lang w:eastAsia="en-GB"/>
              </w:rPr>
              <w:t>NOEC/AF</w:t>
            </w:r>
          </w:p>
        </w:tc>
        <w:tc>
          <w:tcPr>
            <w:tcW w:w="969" w:type="dxa"/>
            <w:shd w:val="clear" w:color="auto" w:fill="FFF2CC" w:themeFill="accent4" w:themeFillTint="33"/>
            <w:vAlign w:val="center"/>
          </w:tcPr>
          <w:p w14:paraId="4B47FD70" w14:textId="77777777" w:rsidR="002900EE" w:rsidRPr="00DE7D7C" w:rsidRDefault="002900EE" w:rsidP="00B418C1">
            <w:pPr>
              <w:jc w:val="center"/>
              <w:rPr>
                <w:rFonts w:cstheme="minorHAnsi"/>
                <w:b/>
                <w:bCs/>
                <w:color w:val="000000"/>
                <w:sz w:val="18"/>
                <w:szCs w:val="18"/>
                <w:lang w:eastAsia="en-GB"/>
              </w:rPr>
            </w:pPr>
            <w:r w:rsidRPr="00DE7D7C">
              <w:rPr>
                <w:rFonts w:cstheme="minorHAnsi"/>
                <w:b/>
                <w:bCs/>
                <w:color w:val="000000"/>
                <w:sz w:val="18"/>
                <w:szCs w:val="18"/>
                <w:lang w:eastAsia="en-GB"/>
              </w:rPr>
              <w:t>PEC</w:t>
            </w:r>
          </w:p>
          <w:p w14:paraId="23D29E09" w14:textId="77777777" w:rsidR="002900EE" w:rsidRPr="00DE7D7C" w:rsidRDefault="002900EE" w:rsidP="00B418C1">
            <w:pPr>
              <w:jc w:val="center"/>
              <w:rPr>
                <w:rFonts w:cstheme="minorHAnsi"/>
                <w:b/>
                <w:bCs/>
                <w:color w:val="000000"/>
                <w:sz w:val="18"/>
                <w:szCs w:val="18"/>
                <w:lang w:eastAsia="en-GB"/>
              </w:rPr>
            </w:pPr>
            <w:r w:rsidRPr="00DE7D7C">
              <w:rPr>
                <w:rFonts w:cstheme="minorHAnsi"/>
                <w:b/>
                <w:bCs/>
                <w:color w:val="000000"/>
                <w:sz w:val="18"/>
                <w:szCs w:val="18"/>
                <w:lang w:eastAsia="en-GB"/>
              </w:rPr>
              <w:t>(</w:t>
            </w:r>
            <w:r w:rsidRPr="00DE7D7C">
              <w:rPr>
                <w:rFonts w:cs="Calibri"/>
                <w:b/>
                <w:bCs/>
                <w:color w:val="000000"/>
                <w:sz w:val="18"/>
                <w:szCs w:val="18"/>
                <w:lang w:eastAsia="en-GB"/>
              </w:rPr>
              <w:t>µg/L)</w:t>
            </w:r>
          </w:p>
        </w:tc>
        <w:tc>
          <w:tcPr>
            <w:tcW w:w="1396" w:type="dxa"/>
            <w:shd w:val="clear" w:color="auto" w:fill="FFF2CC" w:themeFill="accent4" w:themeFillTint="33"/>
            <w:noWrap/>
            <w:vAlign w:val="center"/>
            <w:hideMark/>
          </w:tcPr>
          <w:p w14:paraId="6205973C" w14:textId="77777777" w:rsidR="002900EE" w:rsidRPr="00DE7D7C" w:rsidRDefault="002900EE" w:rsidP="00B418C1">
            <w:pPr>
              <w:jc w:val="center"/>
              <w:rPr>
                <w:rFonts w:cstheme="minorHAnsi"/>
                <w:b/>
                <w:bCs/>
                <w:color w:val="000000"/>
                <w:sz w:val="18"/>
                <w:szCs w:val="18"/>
                <w:lang w:eastAsia="en-GB"/>
              </w:rPr>
            </w:pPr>
            <w:r w:rsidRPr="00DE7D7C">
              <w:rPr>
                <w:rFonts w:cstheme="minorHAnsi"/>
                <w:b/>
                <w:bCs/>
                <w:color w:val="000000"/>
                <w:sz w:val="18"/>
                <w:szCs w:val="18"/>
                <w:lang w:eastAsia="en-GB"/>
              </w:rPr>
              <w:t>PEC/</w:t>
            </w:r>
          </w:p>
          <w:p w14:paraId="0B87BC15" w14:textId="77777777" w:rsidR="002900EE" w:rsidRPr="00DE7D7C" w:rsidRDefault="002900EE" w:rsidP="00B418C1">
            <w:pPr>
              <w:jc w:val="center"/>
              <w:rPr>
                <w:rFonts w:cstheme="minorHAnsi"/>
                <w:b/>
                <w:bCs/>
                <w:color w:val="000000"/>
                <w:sz w:val="18"/>
                <w:szCs w:val="18"/>
                <w:lang w:eastAsia="en-GB"/>
              </w:rPr>
            </w:pPr>
            <w:r w:rsidRPr="00DE7D7C">
              <w:rPr>
                <w:rFonts w:cstheme="minorHAnsi"/>
                <w:b/>
                <w:bCs/>
                <w:color w:val="000000"/>
                <w:sz w:val="18"/>
                <w:szCs w:val="18"/>
                <w:lang w:eastAsia="en-GB"/>
              </w:rPr>
              <w:t>(NOEC/AF)</w:t>
            </w:r>
          </w:p>
        </w:tc>
        <w:tc>
          <w:tcPr>
            <w:tcW w:w="1118" w:type="dxa"/>
            <w:shd w:val="clear" w:color="auto" w:fill="FFF2CC" w:themeFill="accent4" w:themeFillTint="33"/>
            <w:noWrap/>
            <w:vAlign w:val="center"/>
            <w:hideMark/>
          </w:tcPr>
          <w:p w14:paraId="71471897" w14:textId="77777777" w:rsidR="002900EE" w:rsidRPr="00DE7D7C" w:rsidRDefault="002900EE" w:rsidP="00B418C1">
            <w:pPr>
              <w:jc w:val="center"/>
              <w:rPr>
                <w:rFonts w:cstheme="minorHAnsi"/>
                <w:b/>
                <w:bCs/>
                <w:color w:val="000000"/>
                <w:sz w:val="18"/>
                <w:szCs w:val="18"/>
                <w:lang w:eastAsia="en-GB"/>
              </w:rPr>
            </w:pPr>
            <w:r w:rsidRPr="00DE7D7C">
              <w:rPr>
                <w:rFonts w:cstheme="minorHAnsi"/>
                <w:b/>
                <w:bCs/>
                <w:color w:val="000000"/>
                <w:sz w:val="18"/>
                <w:szCs w:val="18"/>
                <w:lang w:eastAsia="en-GB"/>
              </w:rPr>
              <w:t>RQ</w:t>
            </w:r>
            <w:r w:rsidRPr="00DE7D7C">
              <w:rPr>
                <w:rFonts w:cstheme="minorHAnsi"/>
                <w:b/>
                <w:bCs/>
                <w:color w:val="000000"/>
                <w:sz w:val="18"/>
                <w:szCs w:val="18"/>
                <w:vertAlign w:val="subscript"/>
                <w:lang w:eastAsia="en-GB"/>
              </w:rPr>
              <w:t>Product</w:t>
            </w:r>
          </w:p>
        </w:tc>
      </w:tr>
      <w:tr w:rsidR="002900EE" w:rsidRPr="00884E25" w14:paraId="30657379" w14:textId="77777777" w:rsidTr="002900EE">
        <w:trPr>
          <w:trHeight w:val="300"/>
        </w:trPr>
        <w:tc>
          <w:tcPr>
            <w:tcW w:w="1003" w:type="dxa"/>
            <w:vMerge w:val="restart"/>
            <w:vAlign w:val="center"/>
          </w:tcPr>
          <w:p w14:paraId="134B8A69" w14:textId="77777777" w:rsidR="002900EE" w:rsidRPr="00884E25" w:rsidRDefault="002900EE" w:rsidP="00B418C1">
            <w:pPr>
              <w:jc w:val="center"/>
              <w:rPr>
                <w:rFonts w:eastAsia="Calibri"/>
                <w:bCs/>
                <w:sz w:val="18"/>
                <w:szCs w:val="18"/>
                <w:highlight w:val="yellow"/>
              </w:rPr>
            </w:pPr>
            <w:r w:rsidRPr="00AB5AB0">
              <w:rPr>
                <w:rFonts w:eastAsia="Calibri"/>
                <w:bCs/>
                <w:sz w:val="18"/>
                <w:szCs w:val="18"/>
              </w:rPr>
              <w:t>HG360</w:t>
            </w:r>
          </w:p>
        </w:tc>
        <w:tc>
          <w:tcPr>
            <w:tcW w:w="1350" w:type="dxa"/>
            <w:vMerge w:val="restart"/>
            <w:shd w:val="clear" w:color="auto" w:fill="auto"/>
            <w:noWrap/>
            <w:vAlign w:val="center"/>
          </w:tcPr>
          <w:p w14:paraId="110A1576" w14:textId="77777777" w:rsidR="002900EE" w:rsidRPr="00884E25" w:rsidRDefault="002900EE" w:rsidP="00B418C1">
            <w:pPr>
              <w:jc w:val="center"/>
              <w:rPr>
                <w:rFonts w:cstheme="minorHAnsi"/>
                <w:color w:val="000000"/>
                <w:sz w:val="18"/>
                <w:szCs w:val="18"/>
                <w:highlight w:val="yellow"/>
                <w:lang w:eastAsia="en-GB"/>
              </w:rPr>
            </w:pPr>
            <w:r w:rsidRPr="00AB5AB0">
              <w:rPr>
                <w:rFonts w:cstheme="minorHAnsi"/>
                <w:color w:val="000000"/>
                <w:sz w:val="18"/>
                <w:szCs w:val="18"/>
                <w:lang w:eastAsia="en-GB"/>
              </w:rPr>
              <w:t>Fish</w:t>
            </w:r>
          </w:p>
        </w:tc>
        <w:tc>
          <w:tcPr>
            <w:tcW w:w="1309" w:type="dxa"/>
            <w:shd w:val="clear" w:color="auto" w:fill="auto"/>
            <w:noWrap/>
            <w:vAlign w:val="center"/>
          </w:tcPr>
          <w:p w14:paraId="4AE6025E" w14:textId="77777777" w:rsidR="002900EE" w:rsidRPr="00884E25" w:rsidRDefault="002900EE" w:rsidP="00B418C1">
            <w:pPr>
              <w:jc w:val="center"/>
              <w:rPr>
                <w:rFonts w:cstheme="minorHAnsi"/>
                <w:color w:val="000000"/>
                <w:sz w:val="18"/>
                <w:szCs w:val="18"/>
                <w:highlight w:val="yellow"/>
                <w:lang w:eastAsia="en-GB"/>
              </w:rPr>
            </w:pPr>
            <w:r w:rsidRPr="00AB5AB0">
              <w:rPr>
                <w:rFonts w:cstheme="minorHAnsi"/>
                <w:color w:val="000000"/>
                <w:sz w:val="18"/>
                <w:szCs w:val="18"/>
                <w:lang w:eastAsia="en-GB"/>
              </w:rPr>
              <w:t>Copper</w:t>
            </w:r>
          </w:p>
        </w:tc>
        <w:tc>
          <w:tcPr>
            <w:tcW w:w="907" w:type="dxa"/>
            <w:shd w:val="clear" w:color="auto" w:fill="auto"/>
            <w:noWrap/>
            <w:vAlign w:val="center"/>
          </w:tcPr>
          <w:p w14:paraId="74F5BA52" w14:textId="77777777" w:rsidR="002900EE" w:rsidRPr="00884E25" w:rsidRDefault="002900EE" w:rsidP="00B418C1">
            <w:pPr>
              <w:jc w:val="center"/>
              <w:rPr>
                <w:rFonts w:cstheme="minorHAnsi"/>
                <w:color w:val="000000"/>
                <w:sz w:val="18"/>
                <w:szCs w:val="18"/>
                <w:highlight w:val="yellow"/>
                <w:lang w:eastAsia="en-GB"/>
              </w:rPr>
            </w:pPr>
            <w:r w:rsidRPr="00AB5AB0">
              <w:rPr>
                <w:rFonts w:cs="Calibri"/>
                <w:color w:val="000000"/>
                <w:sz w:val="18"/>
                <w:szCs w:val="18"/>
              </w:rPr>
              <w:t>55</w:t>
            </w:r>
          </w:p>
        </w:tc>
        <w:tc>
          <w:tcPr>
            <w:tcW w:w="1423" w:type="dxa"/>
            <w:shd w:val="clear" w:color="auto" w:fill="auto"/>
            <w:noWrap/>
            <w:vAlign w:val="center"/>
          </w:tcPr>
          <w:p w14:paraId="11F9C464" w14:textId="77777777" w:rsidR="002900EE" w:rsidRPr="00884E25" w:rsidRDefault="002900EE" w:rsidP="00B418C1">
            <w:pPr>
              <w:jc w:val="center"/>
              <w:rPr>
                <w:rFonts w:cstheme="minorHAnsi"/>
                <w:color w:val="000000"/>
                <w:sz w:val="18"/>
                <w:szCs w:val="18"/>
                <w:highlight w:val="yellow"/>
                <w:lang w:eastAsia="en-GB"/>
              </w:rPr>
            </w:pPr>
            <w:r w:rsidRPr="00AB5AB0">
              <w:rPr>
                <w:rFonts w:cs="Calibri"/>
                <w:color w:val="000000"/>
                <w:sz w:val="18"/>
                <w:szCs w:val="18"/>
              </w:rPr>
              <w:t>2</w:t>
            </w:r>
          </w:p>
        </w:tc>
        <w:tc>
          <w:tcPr>
            <w:tcW w:w="1156" w:type="dxa"/>
            <w:shd w:val="clear" w:color="auto" w:fill="auto"/>
            <w:noWrap/>
            <w:vAlign w:val="center"/>
          </w:tcPr>
          <w:p w14:paraId="35EFF9AF" w14:textId="77777777" w:rsidR="002900EE" w:rsidRPr="00884E25" w:rsidRDefault="002900EE" w:rsidP="00B418C1">
            <w:pPr>
              <w:jc w:val="center"/>
              <w:rPr>
                <w:rFonts w:cstheme="minorHAnsi"/>
                <w:color w:val="000000"/>
                <w:sz w:val="18"/>
                <w:szCs w:val="18"/>
                <w:highlight w:val="yellow"/>
                <w:lang w:eastAsia="en-GB"/>
              </w:rPr>
            </w:pPr>
            <w:r w:rsidRPr="00AB5AB0">
              <w:rPr>
                <w:rFonts w:cs="Calibri"/>
                <w:color w:val="000000"/>
                <w:sz w:val="18"/>
                <w:szCs w:val="18"/>
              </w:rPr>
              <w:t>27.5</w:t>
            </w:r>
          </w:p>
        </w:tc>
        <w:tc>
          <w:tcPr>
            <w:tcW w:w="969" w:type="dxa"/>
            <w:shd w:val="clear" w:color="auto" w:fill="auto"/>
            <w:vAlign w:val="center"/>
          </w:tcPr>
          <w:p w14:paraId="524A81BE" w14:textId="08F93D26" w:rsidR="002900EE" w:rsidRPr="00884E25" w:rsidRDefault="002900EE" w:rsidP="00B418C1">
            <w:pPr>
              <w:jc w:val="center"/>
              <w:rPr>
                <w:rFonts w:cstheme="minorHAnsi"/>
                <w:color w:val="000000"/>
                <w:sz w:val="18"/>
                <w:szCs w:val="18"/>
                <w:highlight w:val="yellow"/>
                <w:lang w:eastAsia="en-GB"/>
              </w:rPr>
            </w:pPr>
            <w:r w:rsidRPr="00AB5AB0">
              <w:rPr>
                <w:rFonts w:cs="Calibri"/>
                <w:color w:val="000000"/>
                <w:sz w:val="18"/>
                <w:szCs w:val="18"/>
              </w:rPr>
              <w:t>1.21</w:t>
            </w:r>
            <w:r>
              <w:rPr>
                <w:rFonts w:cs="Calibri"/>
                <w:color w:val="000000"/>
                <w:sz w:val="18"/>
                <w:szCs w:val="18"/>
              </w:rPr>
              <w:t>*</w:t>
            </w:r>
          </w:p>
        </w:tc>
        <w:tc>
          <w:tcPr>
            <w:tcW w:w="1396" w:type="dxa"/>
            <w:shd w:val="clear" w:color="auto" w:fill="auto"/>
            <w:noWrap/>
            <w:vAlign w:val="center"/>
          </w:tcPr>
          <w:p w14:paraId="0F6047B1" w14:textId="77777777" w:rsidR="002900EE" w:rsidRPr="00884E25" w:rsidRDefault="002900EE" w:rsidP="00B418C1">
            <w:pPr>
              <w:jc w:val="center"/>
              <w:rPr>
                <w:rFonts w:cstheme="minorHAnsi"/>
                <w:color w:val="000000"/>
                <w:sz w:val="18"/>
                <w:szCs w:val="18"/>
                <w:highlight w:val="yellow"/>
                <w:lang w:eastAsia="en-GB"/>
              </w:rPr>
            </w:pPr>
            <w:r w:rsidRPr="00AB5AB0">
              <w:rPr>
                <w:rFonts w:cs="Calibri"/>
                <w:color w:val="000000"/>
                <w:sz w:val="18"/>
                <w:szCs w:val="18"/>
              </w:rPr>
              <w:t>0.04</w:t>
            </w:r>
          </w:p>
        </w:tc>
        <w:tc>
          <w:tcPr>
            <w:tcW w:w="1118" w:type="dxa"/>
            <w:vMerge w:val="restart"/>
            <w:shd w:val="clear" w:color="auto" w:fill="auto"/>
            <w:noWrap/>
            <w:vAlign w:val="center"/>
          </w:tcPr>
          <w:p w14:paraId="7BAB19D4" w14:textId="77777777" w:rsidR="002900EE" w:rsidRPr="00AB5AB0" w:rsidRDefault="002900EE" w:rsidP="00B418C1">
            <w:pPr>
              <w:jc w:val="center"/>
              <w:rPr>
                <w:rFonts w:cstheme="minorHAnsi"/>
                <w:sz w:val="18"/>
                <w:szCs w:val="18"/>
                <w:lang w:eastAsia="en-GB"/>
              </w:rPr>
            </w:pPr>
            <w:r w:rsidRPr="00AB5AB0">
              <w:rPr>
                <w:rFonts w:cs="Calibri"/>
                <w:color w:val="000000"/>
                <w:sz w:val="18"/>
                <w:szCs w:val="18"/>
              </w:rPr>
              <w:t>0.09</w:t>
            </w:r>
          </w:p>
          <w:p w14:paraId="6E0AD39F" w14:textId="77777777" w:rsidR="002900EE" w:rsidRPr="00884E25" w:rsidRDefault="002900EE" w:rsidP="00B418C1">
            <w:pPr>
              <w:jc w:val="center"/>
              <w:rPr>
                <w:rFonts w:cstheme="minorHAnsi"/>
                <w:b/>
                <w:bCs/>
                <w:sz w:val="18"/>
                <w:szCs w:val="18"/>
                <w:highlight w:val="yellow"/>
                <w:lang w:eastAsia="en-GB"/>
              </w:rPr>
            </w:pPr>
          </w:p>
        </w:tc>
      </w:tr>
      <w:tr w:rsidR="002900EE" w:rsidRPr="00884E25" w14:paraId="4167CBF6" w14:textId="77777777" w:rsidTr="002900EE">
        <w:trPr>
          <w:trHeight w:val="300"/>
        </w:trPr>
        <w:tc>
          <w:tcPr>
            <w:tcW w:w="1003" w:type="dxa"/>
            <w:vMerge/>
            <w:vAlign w:val="center"/>
          </w:tcPr>
          <w:p w14:paraId="3F0BB469" w14:textId="77777777" w:rsidR="002900EE" w:rsidRPr="00884E25" w:rsidRDefault="002900EE" w:rsidP="00B418C1">
            <w:pPr>
              <w:jc w:val="center"/>
              <w:rPr>
                <w:rFonts w:cstheme="minorHAnsi"/>
                <w:color w:val="006100"/>
                <w:sz w:val="18"/>
                <w:szCs w:val="18"/>
                <w:highlight w:val="yellow"/>
                <w:lang w:eastAsia="en-GB"/>
              </w:rPr>
            </w:pPr>
          </w:p>
        </w:tc>
        <w:tc>
          <w:tcPr>
            <w:tcW w:w="1350" w:type="dxa"/>
            <w:vMerge/>
            <w:shd w:val="clear" w:color="auto" w:fill="auto"/>
            <w:noWrap/>
            <w:vAlign w:val="center"/>
          </w:tcPr>
          <w:p w14:paraId="667F42A7" w14:textId="77777777" w:rsidR="002900EE" w:rsidRPr="00884E25" w:rsidRDefault="002900EE" w:rsidP="00B418C1">
            <w:pPr>
              <w:jc w:val="center"/>
              <w:rPr>
                <w:rFonts w:cstheme="minorHAnsi"/>
                <w:color w:val="006100"/>
                <w:sz w:val="18"/>
                <w:szCs w:val="18"/>
                <w:highlight w:val="yellow"/>
                <w:lang w:eastAsia="en-GB"/>
              </w:rPr>
            </w:pPr>
          </w:p>
        </w:tc>
        <w:tc>
          <w:tcPr>
            <w:tcW w:w="1309" w:type="dxa"/>
            <w:shd w:val="clear" w:color="auto" w:fill="auto"/>
            <w:noWrap/>
            <w:vAlign w:val="center"/>
          </w:tcPr>
          <w:p w14:paraId="3B2CE466" w14:textId="77777777" w:rsidR="002900EE" w:rsidRPr="00884E25" w:rsidRDefault="002900EE" w:rsidP="00B418C1">
            <w:pPr>
              <w:jc w:val="center"/>
              <w:rPr>
                <w:rFonts w:cstheme="minorHAnsi"/>
                <w:color w:val="000000"/>
                <w:sz w:val="18"/>
                <w:szCs w:val="18"/>
                <w:highlight w:val="yellow"/>
                <w:lang w:eastAsia="en-GB"/>
              </w:rPr>
            </w:pPr>
            <w:r w:rsidRPr="00AB5AB0">
              <w:rPr>
                <w:rFonts w:cstheme="minorHAnsi"/>
                <w:color w:val="000000"/>
                <w:sz w:val="18"/>
                <w:szCs w:val="18"/>
                <w:lang w:eastAsia="en-GB"/>
              </w:rPr>
              <w:t>Thiocyanate</w:t>
            </w:r>
          </w:p>
        </w:tc>
        <w:tc>
          <w:tcPr>
            <w:tcW w:w="907" w:type="dxa"/>
            <w:shd w:val="clear" w:color="auto" w:fill="auto"/>
            <w:noWrap/>
            <w:vAlign w:val="center"/>
          </w:tcPr>
          <w:p w14:paraId="4442EDD4" w14:textId="77777777" w:rsidR="002900EE" w:rsidRPr="00884E25" w:rsidRDefault="002900EE" w:rsidP="00B418C1">
            <w:pPr>
              <w:jc w:val="center"/>
              <w:rPr>
                <w:rFonts w:cstheme="minorHAnsi"/>
                <w:color w:val="000000"/>
                <w:sz w:val="18"/>
                <w:szCs w:val="18"/>
                <w:highlight w:val="yellow"/>
                <w:lang w:eastAsia="en-GB"/>
              </w:rPr>
            </w:pPr>
            <w:r w:rsidRPr="00AB5AB0">
              <w:rPr>
                <w:rFonts w:cs="Calibri"/>
                <w:color w:val="000000"/>
                <w:sz w:val="18"/>
                <w:szCs w:val="18"/>
              </w:rPr>
              <w:t>1100</w:t>
            </w:r>
          </w:p>
        </w:tc>
        <w:tc>
          <w:tcPr>
            <w:tcW w:w="1423" w:type="dxa"/>
            <w:shd w:val="clear" w:color="auto" w:fill="auto"/>
            <w:noWrap/>
            <w:vAlign w:val="center"/>
          </w:tcPr>
          <w:p w14:paraId="56AAB083" w14:textId="77777777" w:rsidR="002900EE" w:rsidRPr="00884E25" w:rsidRDefault="002900EE" w:rsidP="00B418C1">
            <w:pPr>
              <w:jc w:val="center"/>
              <w:rPr>
                <w:rFonts w:cstheme="minorHAnsi"/>
                <w:color w:val="000000"/>
                <w:sz w:val="18"/>
                <w:szCs w:val="18"/>
                <w:highlight w:val="yellow"/>
                <w:lang w:eastAsia="en-GB"/>
              </w:rPr>
            </w:pPr>
            <w:r w:rsidRPr="00AB5AB0">
              <w:rPr>
                <w:rFonts w:cs="Calibri"/>
                <w:color w:val="000000"/>
                <w:sz w:val="18"/>
                <w:szCs w:val="18"/>
              </w:rPr>
              <w:t>1000</w:t>
            </w:r>
          </w:p>
        </w:tc>
        <w:tc>
          <w:tcPr>
            <w:tcW w:w="1156" w:type="dxa"/>
            <w:shd w:val="clear" w:color="auto" w:fill="auto"/>
            <w:noWrap/>
            <w:vAlign w:val="center"/>
          </w:tcPr>
          <w:p w14:paraId="6D426AE7" w14:textId="77777777" w:rsidR="002900EE" w:rsidRPr="00884E25" w:rsidRDefault="002900EE" w:rsidP="00B418C1">
            <w:pPr>
              <w:jc w:val="center"/>
              <w:rPr>
                <w:rFonts w:cstheme="minorHAnsi"/>
                <w:color w:val="000000"/>
                <w:sz w:val="18"/>
                <w:szCs w:val="18"/>
                <w:highlight w:val="yellow"/>
                <w:lang w:eastAsia="en-GB"/>
              </w:rPr>
            </w:pPr>
            <w:r w:rsidRPr="00AB5AB0">
              <w:rPr>
                <w:rFonts w:cs="Calibri"/>
                <w:color w:val="000000"/>
                <w:sz w:val="18"/>
                <w:szCs w:val="18"/>
              </w:rPr>
              <w:t>1.1</w:t>
            </w:r>
          </w:p>
        </w:tc>
        <w:tc>
          <w:tcPr>
            <w:tcW w:w="969" w:type="dxa"/>
            <w:shd w:val="clear" w:color="auto" w:fill="auto"/>
            <w:vAlign w:val="center"/>
          </w:tcPr>
          <w:p w14:paraId="280C0D8A" w14:textId="77777777" w:rsidR="002900EE" w:rsidRPr="00884E25" w:rsidRDefault="002900EE" w:rsidP="00B418C1">
            <w:pPr>
              <w:jc w:val="center"/>
              <w:rPr>
                <w:rFonts w:cstheme="minorHAnsi"/>
                <w:color w:val="000000"/>
                <w:sz w:val="18"/>
                <w:szCs w:val="18"/>
                <w:highlight w:val="yellow"/>
                <w:lang w:eastAsia="en-GB"/>
              </w:rPr>
            </w:pPr>
            <w:r w:rsidRPr="00AB5AB0">
              <w:rPr>
                <w:rFonts w:cs="Calibri"/>
                <w:color w:val="000000"/>
                <w:sz w:val="18"/>
                <w:szCs w:val="18"/>
              </w:rPr>
              <w:t>0.05000</w:t>
            </w:r>
          </w:p>
        </w:tc>
        <w:tc>
          <w:tcPr>
            <w:tcW w:w="1396" w:type="dxa"/>
            <w:shd w:val="clear" w:color="auto" w:fill="auto"/>
            <w:noWrap/>
            <w:vAlign w:val="center"/>
          </w:tcPr>
          <w:p w14:paraId="71703714" w14:textId="77777777" w:rsidR="002900EE" w:rsidRPr="00884E25" w:rsidRDefault="002900EE" w:rsidP="00B418C1">
            <w:pPr>
              <w:jc w:val="center"/>
              <w:rPr>
                <w:rFonts w:cstheme="minorHAnsi"/>
                <w:color w:val="000000"/>
                <w:sz w:val="18"/>
                <w:szCs w:val="18"/>
                <w:highlight w:val="yellow"/>
                <w:lang w:eastAsia="en-GB"/>
              </w:rPr>
            </w:pPr>
            <w:r w:rsidRPr="00AB5AB0">
              <w:rPr>
                <w:rFonts w:cs="Calibri"/>
                <w:color w:val="000000"/>
                <w:sz w:val="18"/>
                <w:szCs w:val="18"/>
              </w:rPr>
              <w:t>0.05</w:t>
            </w:r>
          </w:p>
        </w:tc>
        <w:tc>
          <w:tcPr>
            <w:tcW w:w="1118" w:type="dxa"/>
            <w:vMerge/>
            <w:shd w:val="clear" w:color="auto" w:fill="auto"/>
            <w:noWrap/>
            <w:vAlign w:val="center"/>
          </w:tcPr>
          <w:p w14:paraId="78FDF332" w14:textId="77777777" w:rsidR="002900EE" w:rsidRPr="00884E25" w:rsidRDefault="002900EE" w:rsidP="00B418C1">
            <w:pPr>
              <w:jc w:val="center"/>
              <w:rPr>
                <w:rFonts w:cstheme="minorHAnsi"/>
                <w:b/>
                <w:bCs/>
                <w:sz w:val="18"/>
                <w:szCs w:val="18"/>
                <w:highlight w:val="yellow"/>
                <w:lang w:eastAsia="en-GB"/>
              </w:rPr>
            </w:pPr>
          </w:p>
        </w:tc>
      </w:tr>
      <w:tr w:rsidR="002900EE" w:rsidRPr="00884E25" w14:paraId="4D7064B0" w14:textId="77777777" w:rsidTr="002900EE">
        <w:trPr>
          <w:trHeight w:val="300"/>
        </w:trPr>
        <w:tc>
          <w:tcPr>
            <w:tcW w:w="1003" w:type="dxa"/>
            <w:vMerge/>
            <w:vAlign w:val="center"/>
          </w:tcPr>
          <w:p w14:paraId="46086D84" w14:textId="77777777" w:rsidR="002900EE" w:rsidRPr="00884E25" w:rsidRDefault="002900EE" w:rsidP="00B418C1">
            <w:pPr>
              <w:jc w:val="center"/>
              <w:rPr>
                <w:rFonts w:cstheme="minorHAnsi"/>
                <w:color w:val="000000"/>
                <w:sz w:val="18"/>
                <w:szCs w:val="18"/>
                <w:highlight w:val="yellow"/>
                <w:lang w:eastAsia="en-GB"/>
              </w:rPr>
            </w:pPr>
          </w:p>
        </w:tc>
        <w:tc>
          <w:tcPr>
            <w:tcW w:w="1350" w:type="dxa"/>
            <w:vMerge w:val="restart"/>
            <w:shd w:val="clear" w:color="auto" w:fill="auto"/>
            <w:noWrap/>
            <w:vAlign w:val="center"/>
          </w:tcPr>
          <w:p w14:paraId="3BCB9B1D" w14:textId="77777777" w:rsidR="002900EE" w:rsidRPr="00884E25" w:rsidRDefault="002900EE" w:rsidP="00B418C1">
            <w:pPr>
              <w:jc w:val="center"/>
              <w:rPr>
                <w:rFonts w:cstheme="minorHAnsi"/>
                <w:color w:val="000000"/>
                <w:sz w:val="18"/>
                <w:szCs w:val="18"/>
                <w:highlight w:val="yellow"/>
                <w:lang w:eastAsia="en-GB"/>
              </w:rPr>
            </w:pPr>
            <w:r w:rsidRPr="00AB5AB0">
              <w:rPr>
                <w:rFonts w:cstheme="minorHAnsi"/>
                <w:color w:val="000000"/>
                <w:sz w:val="18"/>
                <w:szCs w:val="18"/>
                <w:lang w:eastAsia="en-GB"/>
              </w:rPr>
              <w:t>Invertebrate</w:t>
            </w:r>
          </w:p>
        </w:tc>
        <w:tc>
          <w:tcPr>
            <w:tcW w:w="1309" w:type="dxa"/>
            <w:shd w:val="clear" w:color="auto" w:fill="auto"/>
            <w:noWrap/>
            <w:vAlign w:val="center"/>
          </w:tcPr>
          <w:p w14:paraId="0D0A8C2B" w14:textId="77777777" w:rsidR="002900EE" w:rsidRPr="00884E25" w:rsidRDefault="002900EE" w:rsidP="00B418C1">
            <w:pPr>
              <w:jc w:val="center"/>
              <w:rPr>
                <w:rFonts w:cstheme="minorHAnsi"/>
                <w:color w:val="000000"/>
                <w:sz w:val="18"/>
                <w:szCs w:val="18"/>
                <w:highlight w:val="yellow"/>
                <w:lang w:eastAsia="en-GB"/>
              </w:rPr>
            </w:pPr>
            <w:r w:rsidRPr="00AB5AB0">
              <w:rPr>
                <w:rFonts w:cstheme="minorHAnsi"/>
                <w:color w:val="000000"/>
                <w:sz w:val="18"/>
                <w:szCs w:val="18"/>
                <w:lang w:eastAsia="en-GB"/>
              </w:rPr>
              <w:t>Copper</w:t>
            </w:r>
          </w:p>
        </w:tc>
        <w:tc>
          <w:tcPr>
            <w:tcW w:w="907" w:type="dxa"/>
            <w:shd w:val="clear" w:color="auto" w:fill="auto"/>
            <w:noWrap/>
            <w:vAlign w:val="center"/>
          </w:tcPr>
          <w:p w14:paraId="68AFFEEC" w14:textId="77777777" w:rsidR="002900EE" w:rsidRPr="00884E25" w:rsidRDefault="002900EE" w:rsidP="00B418C1">
            <w:pPr>
              <w:jc w:val="center"/>
              <w:rPr>
                <w:rFonts w:cstheme="minorHAnsi"/>
                <w:color w:val="000000"/>
                <w:sz w:val="18"/>
                <w:szCs w:val="18"/>
                <w:highlight w:val="yellow"/>
                <w:lang w:eastAsia="en-GB"/>
              </w:rPr>
            </w:pPr>
            <w:r w:rsidRPr="00AB5AB0">
              <w:rPr>
                <w:rFonts w:cs="Calibri"/>
                <w:color w:val="000000"/>
                <w:sz w:val="18"/>
                <w:szCs w:val="18"/>
              </w:rPr>
              <w:t>4</w:t>
            </w:r>
          </w:p>
        </w:tc>
        <w:tc>
          <w:tcPr>
            <w:tcW w:w="1423" w:type="dxa"/>
            <w:shd w:val="clear" w:color="auto" w:fill="auto"/>
            <w:noWrap/>
            <w:vAlign w:val="center"/>
          </w:tcPr>
          <w:p w14:paraId="42D39181" w14:textId="77777777" w:rsidR="002900EE" w:rsidRPr="00884E25" w:rsidRDefault="002900EE" w:rsidP="00B418C1">
            <w:pPr>
              <w:jc w:val="center"/>
              <w:rPr>
                <w:rFonts w:cstheme="minorHAnsi"/>
                <w:color w:val="000000"/>
                <w:sz w:val="18"/>
                <w:szCs w:val="18"/>
                <w:highlight w:val="yellow"/>
                <w:lang w:eastAsia="en-GB"/>
              </w:rPr>
            </w:pPr>
            <w:r w:rsidRPr="00AB5AB0">
              <w:rPr>
                <w:rFonts w:cs="Calibri"/>
                <w:color w:val="000000"/>
                <w:sz w:val="18"/>
                <w:szCs w:val="18"/>
              </w:rPr>
              <w:t>2</w:t>
            </w:r>
          </w:p>
        </w:tc>
        <w:tc>
          <w:tcPr>
            <w:tcW w:w="1156" w:type="dxa"/>
            <w:shd w:val="clear" w:color="auto" w:fill="auto"/>
            <w:noWrap/>
            <w:vAlign w:val="center"/>
          </w:tcPr>
          <w:p w14:paraId="4981DFAC" w14:textId="77777777" w:rsidR="002900EE" w:rsidRPr="00884E25" w:rsidRDefault="002900EE" w:rsidP="00B418C1">
            <w:pPr>
              <w:jc w:val="center"/>
              <w:rPr>
                <w:rFonts w:cstheme="minorHAnsi"/>
                <w:color w:val="000000"/>
                <w:sz w:val="18"/>
                <w:szCs w:val="18"/>
                <w:highlight w:val="yellow"/>
                <w:lang w:eastAsia="en-GB"/>
              </w:rPr>
            </w:pPr>
            <w:r w:rsidRPr="00AB5AB0">
              <w:rPr>
                <w:rFonts w:cs="Calibri"/>
                <w:color w:val="000000"/>
                <w:sz w:val="18"/>
                <w:szCs w:val="18"/>
              </w:rPr>
              <w:t>2</w:t>
            </w:r>
          </w:p>
        </w:tc>
        <w:tc>
          <w:tcPr>
            <w:tcW w:w="969" w:type="dxa"/>
            <w:shd w:val="clear" w:color="auto" w:fill="auto"/>
            <w:vAlign w:val="center"/>
          </w:tcPr>
          <w:p w14:paraId="166EB336" w14:textId="77777777" w:rsidR="002900EE" w:rsidRPr="00884E25" w:rsidRDefault="002900EE" w:rsidP="00B418C1">
            <w:pPr>
              <w:jc w:val="center"/>
              <w:rPr>
                <w:rFonts w:cstheme="minorHAnsi"/>
                <w:color w:val="000000"/>
                <w:sz w:val="18"/>
                <w:szCs w:val="18"/>
                <w:highlight w:val="yellow"/>
                <w:lang w:eastAsia="en-GB"/>
              </w:rPr>
            </w:pPr>
            <w:r w:rsidRPr="00AB5AB0">
              <w:rPr>
                <w:rFonts w:cs="Calibri"/>
                <w:color w:val="000000"/>
                <w:sz w:val="18"/>
                <w:szCs w:val="18"/>
              </w:rPr>
              <w:t>1.21</w:t>
            </w:r>
          </w:p>
        </w:tc>
        <w:tc>
          <w:tcPr>
            <w:tcW w:w="1396" w:type="dxa"/>
            <w:shd w:val="clear" w:color="auto" w:fill="auto"/>
            <w:noWrap/>
            <w:vAlign w:val="center"/>
          </w:tcPr>
          <w:p w14:paraId="2FDDDD69" w14:textId="77777777" w:rsidR="002900EE" w:rsidRPr="00884E25" w:rsidRDefault="002900EE" w:rsidP="00B418C1">
            <w:pPr>
              <w:jc w:val="center"/>
              <w:rPr>
                <w:rFonts w:cstheme="minorHAnsi"/>
                <w:color w:val="000000"/>
                <w:sz w:val="18"/>
                <w:szCs w:val="18"/>
                <w:highlight w:val="yellow"/>
                <w:lang w:eastAsia="en-GB"/>
              </w:rPr>
            </w:pPr>
            <w:r w:rsidRPr="00AB5AB0">
              <w:rPr>
                <w:rFonts w:cs="Calibri"/>
                <w:color w:val="000000"/>
                <w:sz w:val="18"/>
                <w:szCs w:val="18"/>
              </w:rPr>
              <w:t>0.61</w:t>
            </w:r>
          </w:p>
        </w:tc>
        <w:tc>
          <w:tcPr>
            <w:tcW w:w="1118" w:type="dxa"/>
            <w:vMerge w:val="restart"/>
            <w:shd w:val="clear" w:color="auto" w:fill="auto"/>
            <w:noWrap/>
            <w:vAlign w:val="center"/>
          </w:tcPr>
          <w:p w14:paraId="6D83C0DC" w14:textId="77777777" w:rsidR="002900EE" w:rsidRPr="00AB5AB0" w:rsidRDefault="002900EE" w:rsidP="00B418C1">
            <w:pPr>
              <w:jc w:val="center"/>
              <w:rPr>
                <w:rFonts w:cstheme="minorHAnsi"/>
                <w:sz w:val="18"/>
                <w:szCs w:val="18"/>
                <w:lang w:eastAsia="en-GB"/>
              </w:rPr>
            </w:pPr>
            <w:r w:rsidRPr="00AB5AB0">
              <w:rPr>
                <w:rFonts w:cs="Calibri"/>
                <w:color w:val="000000"/>
                <w:sz w:val="18"/>
                <w:szCs w:val="18"/>
              </w:rPr>
              <w:t>0.65</w:t>
            </w:r>
          </w:p>
          <w:p w14:paraId="728AAF34" w14:textId="77777777" w:rsidR="002900EE" w:rsidRPr="00884E25" w:rsidRDefault="002900EE" w:rsidP="00B418C1">
            <w:pPr>
              <w:jc w:val="center"/>
              <w:rPr>
                <w:rFonts w:cstheme="minorHAnsi"/>
                <w:b/>
                <w:bCs/>
                <w:sz w:val="18"/>
                <w:szCs w:val="18"/>
                <w:highlight w:val="yellow"/>
                <w:lang w:eastAsia="en-GB"/>
              </w:rPr>
            </w:pPr>
          </w:p>
        </w:tc>
      </w:tr>
      <w:tr w:rsidR="002900EE" w:rsidRPr="00884E25" w14:paraId="21676644" w14:textId="77777777" w:rsidTr="002900EE">
        <w:trPr>
          <w:trHeight w:val="300"/>
        </w:trPr>
        <w:tc>
          <w:tcPr>
            <w:tcW w:w="1003" w:type="dxa"/>
            <w:vMerge/>
            <w:vAlign w:val="center"/>
          </w:tcPr>
          <w:p w14:paraId="6BD38515" w14:textId="77777777" w:rsidR="002900EE" w:rsidRPr="00884E25" w:rsidRDefault="002900EE" w:rsidP="00B418C1">
            <w:pPr>
              <w:jc w:val="center"/>
              <w:rPr>
                <w:rFonts w:cstheme="minorHAnsi"/>
                <w:color w:val="006100"/>
                <w:sz w:val="18"/>
                <w:szCs w:val="18"/>
                <w:highlight w:val="yellow"/>
                <w:lang w:eastAsia="en-GB"/>
              </w:rPr>
            </w:pPr>
          </w:p>
        </w:tc>
        <w:tc>
          <w:tcPr>
            <w:tcW w:w="1350" w:type="dxa"/>
            <w:vMerge/>
            <w:shd w:val="clear" w:color="auto" w:fill="auto"/>
            <w:noWrap/>
            <w:vAlign w:val="center"/>
          </w:tcPr>
          <w:p w14:paraId="6888E0B5" w14:textId="77777777" w:rsidR="002900EE" w:rsidRPr="00884E25" w:rsidRDefault="002900EE" w:rsidP="00B418C1">
            <w:pPr>
              <w:jc w:val="center"/>
              <w:rPr>
                <w:rFonts w:cstheme="minorHAnsi"/>
                <w:color w:val="006100"/>
                <w:sz w:val="18"/>
                <w:szCs w:val="18"/>
                <w:highlight w:val="yellow"/>
                <w:lang w:eastAsia="en-GB"/>
              </w:rPr>
            </w:pPr>
          </w:p>
        </w:tc>
        <w:tc>
          <w:tcPr>
            <w:tcW w:w="1309" w:type="dxa"/>
            <w:shd w:val="clear" w:color="auto" w:fill="auto"/>
            <w:noWrap/>
            <w:vAlign w:val="center"/>
          </w:tcPr>
          <w:p w14:paraId="66215C23" w14:textId="77777777" w:rsidR="002900EE" w:rsidRPr="00884E25" w:rsidRDefault="002900EE" w:rsidP="00B418C1">
            <w:pPr>
              <w:jc w:val="center"/>
              <w:rPr>
                <w:rFonts w:cstheme="minorHAnsi"/>
                <w:color w:val="000000"/>
                <w:sz w:val="18"/>
                <w:szCs w:val="18"/>
                <w:highlight w:val="yellow"/>
                <w:lang w:eastAsia="en-GB"/>
              </w:rPr>
            </w:pPr>
            <w:r w:rsidRPr="00AB5AB0">
              <w:rPr>
                <w:rFonts w:cstheme="minorHAnsi"/>
                <w:color w:val="000000"/>
                <w:sz w:val="18"/>
                <w:szCs w:val="18"/>
                <w:lang w:eastAsia="en-GB"/>
              </w:rPr>
              <w:t>Thiocyanate</w:t>
            </w:r>
          </w:p>
        </w:tc>
        <w:tc>
          <w:tcPr>
            <w:tcW w:w="907" w:type="dxa"/>
            <w:shd w:val="clear" w:color="auto" w:fill="auto"/>
            <w:noWrap/>
            <w:vAlign w:val="center"/>
          </w:tcPr>
          <w:p w14:paraId="28D8A97F" w14:textId="77777777" w:rsidR="002900EE" w:rsidRPr="00884E25" w:rsidRDefault="002900EE" w:rsidP="00B418C1">
            <w:pPr>
              <w:jc w:val="center"/>
              <w:rPr>
                <w:rFonts w:cstheme="minorHAnsi"/>
                <w:color w:val="000000"/>
                <w:sz w:val="18"/>
                <w:szCs w:val="18"/>
                <w:highlight w:val="yellow"/>
                <w:lang w:eastAsia="en-GB"/>
              </w:rPr>
            </w:pPr>
            <w:r w:rsidRPr="00AB5AB0">
              <w:rPr>
                <w:rFonts w:cs="Calibri"/>
                <w:color w:val="000000"/>
                <w:sz w:val="18"/>
                <w:szCs w:val="18"/>
              </w:rPr>
              <w:t>1250</w:t>
            </w:r>
          </w:p>
        </w:tc>
        <w:tc>
          <w:tcPr>
            <w:tcW w:w="1423" w:type="dxa"/>
            <w:shd w:val="clear" w:color="auto" w:fill="auto"/>
            <w:noWrap/>
            <w:vAlign w:val="center"/>
          </w:tcPr>
          <w:p w14:paraId="1AEB2D81" w14:textId="77777777" w:rsidR="002900EE" w:rsidRPr="00884E25" w:rsidRDefault="002900EE" w:rsidP="00B418C1">
            <w:pPr>
              <w:jc w:val="center"/>
              <w:rPr>
                <w:rFonts w:cstheme="minorHAnsi"/>
                <w:color w:val="000000"/>
                <w:sz w:val="18"/>
                <w:szCs w:val="18"/>
                <w:highlight w:val="yellow"/>
                <w:lang w:eastAsia="en-GB"/>
              </w:rPr>
            </w:pPr>
            <w:r w:rsidRPr="00AB5AB0">
              <w:rPr>
                <w:rFonts w:cs="Calibri"/>
                <w:color w:val="000000"/>
                <w:sz w:val="18"/>
                <w:szCs w:val="18"/>
              </w:rPr>
              <w:t>1000</w:t>
            </w:r>
          </w:p>
        </w:tc>
        <w:tc>
          <w:tcPr>
            <w:tcW w:w="1156" w:type="dxa"/>
            <w:shd w:val="clear" w:color="auto" w:fill="auto"/>
            <w:noWrap/>
            <w:vAlign w:val="center"/>
          </w:tcPr>
          <w:p w14:paraId="4B3D6276" w14:textId="77777777" w:rsidR="002900EE" w:rsidRPr="00884E25" w:rsidRDefault="002900EE" w:rsidP="00B418C1">
            <w:pPr>
              <w:jc w:val="center"/>
              <w:rPr>
                <w:rFonts w:cstheme="minorHAnsi"/>
                <w:color w:val="000000"/>
                <w:sz w:val="18"/>
                <w:szCs w:val="18"/>
                <w:highlight w:val="yellow"/>
                <w:lang w:eastAsia="en-GB"/>
              </w:rPr>
            </w:pPr>
            <w:r w:rsidRPr="00AB5AB0">
              <w:rPr>
                <w:rFonts w:cs="Calibri"/>
                <w:color w:val="000000"/>
                <w:sz w:val="18"/>
                <w:szCs w:val="18"/>
              </w:rPr>
              <w:t>1.25</w:t>
            </w:r>
          </w:p>
        </w:tc>
        <w:tc>
          <w:tcPr>
            <w:tcW w:w="969" w:type="dxa"/>
            <w:shd w:val="clear" w:color="auto" w:fill="auto"/>
            <w:vAlign w:val="center"/>
          </w:tcPr>
          <w:p w14:paraId="0CF73657" w14:textId="77777777" w:rsidR="002900EE" w:rsidRPr="00884E25" w:rsidRDefault="002900EE" w:rsidP="00B418C1">
            <w:pPr>
              <w:jc w:val="center"/>
              <w:rPr>
                <w:rFonts w:cstheme="minorHAnsi"/>
                <w:color w:val="000000"/>
                <w:sz w:val="18"/>
                <w:szCs w:val="18"/>
                <w:highlight w:val="yellow"/>
                <w:lang w:eastAsia="en-GB"/>
              </w:rPr>
            </w:pPr>
            <w:r w:rsidRPr="00AB5AB0">
              <w:rPr>
                <w:rFonts w:cs="Calibri"/>
                <w:color w:val="000000"/>
                <w:sz w:val="18"/>
                <w:szCs w:val="18"/>
              </w:rPr>
              <w:t>0.05000</w:t>
            </w:r>
          </w:p>
        </w:tc>
        <w:tc>
          <w:tcPr>
            <w:tcW w:w="1396" w:type="dxa"/>
            <w:shd w:val="clear" w:color="auto" w:fill="auto"/>
            <w:noWrap/>
            <w:vAlign w:val="center"/>
          </w:tcPr>
          <w:p w14:paraId="02EC698C" w14:textId="77777777" w:rsidR="002900EE" w:rsidRPr="00884E25" w:rsidRDefault="002900EE" w:rsidP="00B418C1">
            <w:pPr>
              <w:jc w:val="center"/>
              <w:rPr>
                <w:rFonts w:cstheme="minorHAnsi"/>
                <w:color w:val="000000"/>
                <w:sz w:val="18"/>
                <w:szCs w:val="18"/>
                <w:highlight w:val="yellow"/>
                <w:lang w:eastAsia="en-GB"/>
              </w:rPr>
            </w:pPr>
            <w:r w:rsidRPr="00AB5AB0">
              <w:rPr>
                <w:rFonts w:cs="Calibri"/>
                <w:color w:val="000000"/>
                <w:sz w:val="18"/>
                <w:szCs w:val="18"/>
              </w:rPr>
              <w:t>0.04</w:t>
            </w:r>
          </w:p>
        </w:tc>
        <w:tc>
          <w:tcPr>
            <w:tcW w:w="1118" w:type="dxa"/>
            <w:vMerge/>
            <w:shd w:val="clear" w:color="auto" w:fill="auto"/>
            <w:noWrap/>
            <w:vAlign w:val="center"/>
          </w:tcPr>
          <w:p w14:paraId="4299CD57" w14:textId="77777777" w:rsidR="002900EE" w:rsidRPr="00884E25" w:rsidRDefault="002900EE" w:rsidP="00B418C1">
            <w:pPr>
              <w:jc w:val="center"/>
              <w:rPr>
                <w:rFonts w:cstheme="minorHAnsi"/>
                <w:b/>
                <w:bCs/>
                <w:sz w:val="18"/>
                <w:szCs w:val="18"/>
                <w:highlight w:val="yellow"/>
                <w:lang w:eastAsia="en-GB"/>
              </w:rPr>
            </w:pPr>
          </w:p>
        </w:tc>
      </w:tr>
      <w:tr w:rsidR="002900EE" w:rsidRPr="00884E25" w14:paraId="15153110" w14:textId="77777777" w:rsidTr="002900EE">
        <w:trPr>
          <w:trHeight w:val="300"/>
        </w:trPr>
        <w:tc>
          <w:tcPr>
            <w:tcW w:w="1003" w:type="dxa"/>
            <w:vMerge/>
            <w:vAlign w:val="center"/>
          </w:tcPr>
          <w:p w14:paraId="16CAF926" w14:textId="77777777" w:rsidR="002900EE" w:rsidRPr="00884E25" w:rsidRDefault="002900EE" w:rsidP="00B418C1">
            <w:pPr>
              <w:jc w:val="center"/>
              <w:rPr>
                <w:rFonts w:cstheme="minorHAnsi"/>
                <w:color w:val="000000"/>
                <w:sz w:val="18"/>
                <w:szCs w:val="18"/>
                <w:highlight w:val="yellow"/>
                <w:lang w:eastAsia="en-GB"/>
              </w:rPr>
            </w:pPr>
          </w:p>
        </w:tc>
        <w:tc>
          <w:tcPr>
            <w:tcW w:w="1350" w:type="dxa"/>
            <w:vMerge w:val="restart"/>
            <w:shd w:val="clear" w:color="auto" w:fill="auto"/>
            <w:noWrap/>
            <w:vAlign w:val="center"/>
          </w:tcPr>
          <w:p w14:paraId="4BFB095B" w14:textId="77777777" w:rsidR="002900EE" w:rsidRPr="00884E25" w:rsidRDefault="002900EE" w:rsidP="00B418C1">
            <w:pPr>
              <w:jc w:val="center"/>
              <w:rPr>
                <w:rFonts w:cstheme="minorHAnsi"/>
                <w:color w:val="000000"/>
                <w:sz w:val="18"/>
                <w:szCs w:val="18"/>
                <w:highlight w:val="yellow"/>
                <w:lang w:eastAsia="en-GB"/>
              </w:rPr>
            </w:pPr>
            <w:r w:rsidRPr="00AB5AB0">
              <w:rPr>
                <w:rFonts w:cstheme="minorHAnsi"/>
                <w:color w:val="000000"/>
                <w:sz w:val="18"/>
                <w:szCs w:val="18"/>
                <w:lang w:eastAsia="en-GB"/>
              </w:rPr>
              <w:t>Algae</w:t>
            </w:r>
          </w:p>
        </w:tc>
        <w:tc>
          <w:tcPr>
            <w:tcW w:w="1309" w:type="dxa"/>
            <w:shd w:val="clear" w:color="auto" w:fill="auto"/>
            <w:noWrap/>
            <w:vAlign w:val="center"/>
          </w:tcPr>
          <w:p w14:paraId="78A2C591" w14:textId="77777777" w:rsidR="002900EE" w:rsidRPr="00884E25" w:rsidRDefault="002900EE" w:rsidP="00B418C1">
            <w:pPr>
              <w:jc w:val="center"/>
              <w:rPr>
                <w:rFonts w:cstheme="minorHAnsi"/>
                <w:color w:val="000000"/>
                <w:sz w:val="18"/>
                <w:szCs w:val="18"/>
                <w:highlight w:val="yellow"/>
                <w:lang w:eastAsia="en-GB"/>
              </w:rPr>
            </w:pPr>
            <w:r w:rsidRPr="00AB5AB0">
              <w:rPr>
                <w:rFonts w:cstheme="minorHAnsi"/>
                <w:color w:val="000000"/>
                <w:sz w:val="18"/>
                <w:szCs w:val="18"/>
                <w:lang w:eastAsia="en-GB"/>
              </w:rPr>
              <w:t>Copper</w:t>
            </w:r>
          </w:p>
        </w:tc>
        <w:tc>
          <w:tcPr>
            <w:tcW w:w="907" w:type="dxa"/>
            <w:shd w:val="clear" w:color="auto" w:fill="auto"/>
            <w:noWrap/>
            <w:vAlign w:val="center"/>
          </w:tcPr>
          <w:p w14:paraId="17823FE4" w14:textId="77777777" w:rsidR="002900EE" w:rsidRPr="00884E25" w:rsidRDefault="002900EE" w:rsidP="00B418C1">
            <w:pPr>
              <w:jc w:val="center"/>
              <w:rPr>
                <w:rFonts w:cstheme="minorHAnsi"/>
                <w:color w:val="000000"/>
                <w:sz w:val="18"/>
                <w:szCs w:val="18"/>
                <w:highlight w:val="yellow"/>
                <w:lang w:eastAsia="en-GB"/>
              </w:rPr>
            </w:pPr>
            <w:r w:rsidRPr="00AB5AB0">
              <w:rPr>
                <w:rFonts w:cs="Calibri"/>
                <w:color w:val="000000"/>
                <w:sz w:val="18"/>
                <w:szCs w:val="18"/>
              </w:rPr>
              <w:t>2.9</w:t>
            </w:r>
          </w:p>
        </w:tc>
        <w:tc>
          <w:tcPr>
            <w:tcW w:w="1423" w:type="dxa"/>
            <w:shd w:val="clear" w:color="auto" w:fill="auto"/>
            <w:noWrap/>
            <w:vAlign w:val="center"/>
          </w:tcPr>
          <w:p w14:paraId="7AD9DD2D" w14:textId="77777777" w:rsidR="002900EE" w:rsidRPr="00884E25" w:rsidRDefault="002900EE" w:rsidP="00B418C1">
            <w:pPr>
              <w:jc w:val="center"/>
              <w:rPr>
                <w:rFonts w:cstheme="minorHAnsi"/>
                <w:color w:val="000000"/>
                <w:sz w:val="18"/>
                <w:szCs w:val="18"/>
                <w:highlight w:val="yellow"/>
                <w:lang w:eastAsia="en-GB"/>
              </w:rPr>
            </w:pPr>
            <w:r w:rsidRPr="00AB5AB0">
              <w:rPr>
                <w:rFonts w:cs="Calibri"/>
                <w:color w:val="000000"/>
                <w:sz w:val="18"/>
                <w:szCs w:val="18"/>
              </w:rPr>
              <w:t>2</w:t>
            </w:r>
          </w:p>
        </w:tc>
        <w:tc>
          <w:tcPr>
            <w:tcW w:w="1156" w:type="dxa"/>
            <w:shd w:val="clear" w:color="auto" w:fill="auto"/>
            <w:noWrap/>
            <w:vAlign w:val="center"/>
          </w:tcPr>
          <w:p w14:paraId="1306EEE7" w14:textId="77777777" w:rsidR="002900EE" w:rsidRPr="00884E25" w:rsidRDefault="002900EE" w:rsidP="00B418C1">
            <w:pPr>
              <w:jc w:val="center"/>
              <w:rPr>
                <w:rFonts w:cstheme="minorHAnsi"/>
                <w:color w:val="000000"/>
                <w:sz w:val="18"/>
                <w:szCs w:val="18"/>
                <w:highlight w:val="yellow"/>
                <w:lang w:eastAsia="en-GB"/>
              </w:rPr>
            </w:pPr>
            <w:r w:rsidRPr="00AB5AB0">
              <w:rPr>
                <w:rFonts w:cs="Calibri"/>
                <w:color w:val="000000"/>
                <w:sz w:val="18"/>
                <w:szCs w:val="18"/>
              </w:rPr>
              <w:t>1.45</w:t>
            </w:r>
          </w:p>
        </w:tc>
        <w:tc>
          <w:tcPr>
            <w:tcW w:w="969" w:type="dxa"/>
            <w:shd w:val="clear" w:color="auto" w:fill="auto"/>
            <w:vAlign w:val="center"/>
          </w:tcPr>
          <w:p w14:paraId="0C07C899" w14:textId="77777777" w:rsidR="002900EE" w:rsidRPr="00884E25" w:rsidRDefault="002900EE" w:rsidP="00B418C1">
            <w:pPr>
              <w:jc w:val="center"/>
              <w:rPr>
                <w:rFonts w:cstheme="minorHAnsi"/>
                <w:color w:val="000000"/>
                <w:sz w:val="18"/>
                <w:szCs w:val="18"/>
                <w:highlight w:val="yellow"/>
                <w:lang w:eastAsia="en-GB"/>
              </w:rPr>
            </w:pPr>
            <w:r w:rsidRPr="00AB5AB0">
              <w:rPr>
                <w:rFonts w:cs="Calibri"/>
                <w:color w:val="000000"/>
                <w:sz w:val="18"/>
                <w:szCs w:val="18"/>
              </w:rPr>
              <w:t>1.21</w:t>
            </w:r>
          </w:p>
        </w:tc>
        <w:tc>
          <w:tcPr>
            <w:tcW w:w="1396" w:type="dxa"/>
            <w:shd w:val="clear" w:color="auto" w:fill="auto"/>
            <w:noWrap/>
            <w:vAlign w:val="center"/>
          </w:tcPr>
          <w:p w14:paraId="21A73D4C" w14:textId="77777777" w:rsidR="002900EE" w:rsidRPr="00884E25" w:rsidRDefault="002900EE" w:rsidP="00B418C1">
            <w:pPr>
              <w:jc w:val="center"/>
              <w:rPr>
                <w:rFonts w:cstheme="minorHAnsi"/>
                <w:color w:val="000000"/>
                <w:sz w:val="18"/>
                <w:szCs w:val="18"/>
                <w:highlight w:val="yellow"/>
                <w:lang w:eastAsia="en-GB"/>
              </w:rPr>
            </w:pPr>
            <w:r w:rsidRPr="00AB5AB0">
              <w:rPr>
                <w:rFonts w:cs="Calibri"/>
                <w:color w:val="000000"/>
                <w:sz w:val="18"/>
                <w:szCs w:val="18"/>
              </w:rPr>
              <w:t>0.83</w:t>
            </w:r>
          </w:p>
        </w:tc>
        <w:tc>
          <w:tcPr>
            <w:tcW w:w="1118" w:type="dxa"/>
            <w:vMerge w:val="restart"/>
            <w:shd w:val="clear" w:color="auto" w:fill="auto"/>
            <w:noWrap/>
            <w:vAlign w:val="center"/>
          </w:tcPr>
          <w:p w14:paraId="27E74A6D" w14:textId="77777777" w:rsidR="002900EE" w:rsidRPr="00AB5AB0" w:rsidRDefault="002900EE" w:rsidP="00B418C1">
            <w:pPr>
              <w:jc w:val="center"/>
              <w:rPr>
                <w:rFonts w:cstheme="minorHAnsi"/>
                <w:sz w:val="18"/>
                <w:szCs w:val="18"/>
                <w:lang w:eastAsia="en-GB"/>
              </w:rPr>
            </w:pPr>
            <w:r w:rsidRPr="00AB5AB0">
              <w:rPr>
                <w:rFonts w:cs="Calibri"/>
                <w:color w:val="000000"/>
                <w:sz w:val="18"/>
                <w:szCs w:val="18"/>
              </w:rPr>
              <w:t>0.86</w:t>
            </w:r>
          </w:p>
          <w:p w14:paraId="6F1F0BD1" w14:textId="77777777" w:rsidR="002900EE" w:rsidRPr="00884E25" w:rsidRDefault="002900EE" w:rsidP="00B418C1">
            <w:pPr>
              <w:jc w:val="center"/>
              <w:rPr>
                <w:rFonts w:cstheme="minorHAnsi"/>
                <w:b/>
                <w:bCs/>
                <w:sz w:val="18"/>
                <w:szCs w:val="18"/>
                <w:highlight w:val="yellow"/>
                <w:lang w:eastAsia="en-GB"/>
              </w:rPr>
            </w:pPr>
          </w:p>
        </w:tc>
      </w:tr>
      <w:tr w:rsidR="002900EE" w:rsidRPr="00884E25" w14:paraId="67E19485" w14:textId="77777777" w:rsidTr="002900EE">
        <w:trPr>
          <w:trHeight w:val="300"/>
        </w:trPr>
        <w:tc>
          <w:tcPr>
            <w:tcW w:w="1003" w:type="dxa"/>
            <w:vMerge/>
            <w:tcBorders>
              <w:bottom w:val="single" w:sz="4" w:space="0" w:color="auto"/>
            </w:tcBorders>
            <w:vAlign w:val="center"/>
          </w:tcPr>
          <w:p w14:paraId="6907E816" w14:textId="77777777" w:rsidR="002900EE" w:rsidRPr="00884E25" w:rsidRDefault="002900EE" w:rsidP="00B418C1">
            <w:pPr>
              <w:jc w:val="center"/>
              <w:rPr>
                <w:rFonts w:cstheme="minorHAnsi"/>
                <w:color w:val="006100"/>
                <w:sz w:val="18"/>
                <w:szCs w:val="18"/>
                <w:highlight w:val="yellow"/>
                <w:lang w:eastAsia="en-GB"/>
              </w:rPr>
            </w:pPr>
          </w:p>
        </w:tc>
        <w:tc>
          <w:tcPr>
            <w:tcW w:w="1350" w:type="dxa"/>
            <w:vMerge/>
            <w:tcBorders>
              <w:bottom w:val="single" w:sz="4" w:space="0" w:color="auto"/>
            </w:tcBorders>
            <w:shd w:val="clear" w:color="auto" w:fill="auto"/>
            <w:noWrap/>
            <w:vAlign w:val="center"/>
          </w:tcPr>
          <w:p w14:paraId="25640FFD" w14:textId="77777777" w:rsidR="002900EE" w:rsidRPr="00884E25" w:rsidRDefault="002900EE" w:rsidP="00B418C1">
            <w:pPr>
              <w:jc w:val="center"/>
              <w:rPr>
                <w:rFonts w:cstheme="minorHAnsi"/>
                <w:color w:val="006100"/>
                <w:sz w:val="18"/>
                <w:szCs w:val="18"/>
                <w:highlight w:val="yellow"/>
                <w:lang w:eastAsia="en-GB"/>
              </w:rPr>
            </w:pPr>
          </w:p>
        </w:tc>
        <w:tc>
          <w:tcPr>
            <w:tcW w:w="1309" w:type="dxa"/>
            <w:tcBorders>
              <w:bottom w:val="single" w:sz="4" w:space="0" w:color="auto"/>
            </w:tcBorders>
            <w:shd w:val="clear" w:color="auto" w:fill="auto"/>
            <w:noWrap/>
            <w:vAlign w:val="center"/>
          </w:tcPr>
          <w:p w14:paraId="0AC627D8" w14:textId="77777777" w:rsidR="002900EE" w:rsidRPr="00884E25" w:rsidRDefault="002900EE" w:rsidP="00B418C1">
            <w:pPr>
              <w:jc w:val="center"/>
              <w:rPr>
                <w:rFonts w:cstheme="minorHAnsi"/>
                <w:color w:val="000000"/>
                <w:sz w:val="18"/>
                <w:szCs w:val="18"/>
                <w:highlight w:val="yellow"/>
                <w:lang w:eastAsia="en-GB"/>
              </w:rPr>
            </w:pPr>
            <w:r w:rsidRPr="00AB5AB0">
              <w:rPr>
                <w:rFonts w:cstheme="minorHAnsi"/>
                <w:color w:val="000000"/>
                <w:sz w:val="18"/>
                <w:szCs w:val="18"/>
                <w:lang w:eastAsia="en-GB"/>
              </w:rPr>
              <w:t>Thiocyanate</w:t>
            </w:r>
          </w:p>
        </w:tc>
        <w:tc>
          <w:tcPr>
            <w:tcW w:w="907" w:type="dxa"/>
            <w:tcBorders>
              <w:bottom w:val="single" w:sz="4" w:space="0" w:color="auto"/>
            </w:tcBorders>
            <w:shd w:val="clear" w:color="auto" w:fill="auto"/>
            <w:noWrap/>
            <w:vAlign w:val="center"/>
          </w:tcPr>
          <w:p w14:paraId="6EF32F28" w14:textId="77777777" w:rsidR="002900EE" w:rsidRPr="00884E25" w:rsidRDefault="002900EE" w:rsidP="00B418C1">
            <w:pPr>
              <w:jc w:val="center"/>
              <w:rPr>
                <w:rFonts w:cstheme="minorHAnsi"/>
                <w:color w:val="000000"/>
                <w:sz w:val="18"/>
                <w:szCs w:val="18"/>
                <w:highlight w:val="yellow"/>
                <w:lang w:eastAsia="en-GB"/>
              </w:rPr>
            </w:pPr>
            <w:r w:rsidRPr="00AB5AB0">
              <w:rPr>
                <w:rFonts w:cs="Calibri"/>
                <w:color w:val="000000"/>
                <w:sz w:val="18"/>
                <w:szCs w:val="18"/>
              </w:rPr>
              <w:t>2200</w:t>
            </w:r>
          </w:p>
        </w:tc>
        <w:tc>
          <w:tcPr>
            <w:tcW w:w="1423" w:type="dxa"/>
            <w:tcBorders>
              <w:bottom w:val="single" w:sz="4" w:space="0" w:color="auto"/>
            </w:tcBorders>
            <w:shd w:val="clear" w:color="auto" w:fill="auto"/>
            <w:noWrap/>
            <w:vAlign w:val="center"/>
          </w:tcPr>
          <w:p w14:paraId="0264F963" w14:textId="77777777" w:rsidR="002900EE" w:rsidRPr="00884E25" w:rsidRDefault="002900EE" w:rsidP="00B418C1">
            <w:pPr>
              <w:jc w:val="center"/>
              <w:rPr>
                <w:rFonts w:cstheme="minorHAnsi"/>
                <w:color w:val="000000"/>
                <w:sz w:val="18"/>
                <w:szCs w:val="18"/>
                <w:highlight w:val="yellow"/>
                <w:lang w:eastAsia="en-GB"/>
              </w:rPr>
            </w:pPr>
            <w:r w:rsidRPr="00AB5AB0">
              <w:rPr>
                <w:rFonts w:cs="Calibri"/>
                <w:color w:val="000000"/>
                <w:sz w:val="18"/>
                <w:szCs w:val="18"/>
              </w:rPr>
              <w:t>1000</w:t>
            </w:r>
          </w:p>
        </w:tc>
        <w:tc>
          <w:tcPr>
            <w:tcW w:w="1156" w:type="dxa"/>
            <w:tcBorders>
              <w:bottom w:val="single" w:sz="4" w:space="0" w:color="auto"/>
            </w:tcBorders>
            <w:shd w:val="clear" w:color="auto" w:fill="auto"/>
            <w:noWrap/>
            <w:vAlign w:val="center"/>
          </w:tcPr>
          <w:p w14:paraId="76BFF525" w14:textId="77777777" w:rsidR="002900EE" w:rsidRPr="00884E25" w:rsidRDefault="002900EE" w:rsidP="00B418C1">
            <w:pPr>
              <w:jc w:val="center"/>
              <w:rPr>
                <w:rFonts w:cstheme="minorHAnsi"/>
                <w:color w:val="000000"/>
                <w:sz w:val="18"/>
                <w:szCs w:val="18"/>
                <w:highlight w:val="yellow"/>
                <w:lang w:eastAsia="en-GB"/>
              </w:rPr>
            </w:pPr>
            <w:r w:rsidRPr="00AB5AB0">
              <w:rPr>
                <w:rFonts w:cs="Calibri"/>
                <w:color w:val="000000"/>
                <w:sz w:val="18"/>
                <w:szCs w:val="18"/>
              </w:rPr>
              <w:t>2.2</w:t>
            </w:r>
          </w:p>
        </w:tc>
        <w:tc>
          <w:tcPr>
            <w:tcW w:w="969" w:type="dxa"/>
            <w:tcBorders>
              <w:bottom w:val="single" w:sz="4" w:space="0" w:color="auto"/>
            </w:tcBorders>
            <w:shd w:val="clear" w:color="auto" w:fill="auto"/>
            <w:vAlign w:val="center"/>
          </w:tcPr>
          <w:p w14:paraId="3D2C96C3" w14:textId="77777777" w:rsidR="002900EE" w:rsidRPr="00884E25" w:rsidRDefault="002900EE" w:rsidP="00B418C1">
            <w:pPr>
              <w:jc w:val="center"/>
              <w:rPr>
                <w:rFonts w:cstheme="minorHAnsi"/>
                <w:color w:val="000000"/>
                <w:sz w:val="18"/>
                <w:szCs w:val="18"/>
                <w:highlight w:val="yellow"/>
                <w:lang w:eastAsia="en-GB"/>
              </w:rPr>
            </w:pPr>
            <w:r w:rsidRPr="00AB5AB0">
              <w:rPr>
                <w:rFonts w:cs="Calibri"/>
                <w:color w:val="000000"/>
                <w:sz w:val="18"/>
                <w:szCs w:val="18"/>
              </w:rPr>
              <w:t>0.05000</w:t>
            </w:r>
          </w:p>
        </w:tc>
        <w:tc>
          <w:tcPr>
            <w:tcW w:w="1396" w:type="dxa"/>
            <w:tcBorders>
              <w:bottom w:val="single" w:sz="4" w:space="0" w:color="auto"/>
            </w:tcBorders>
            <w:shd w:val="clear" w:color="auto" w:fill="auto"/>
            <w:noWrap/>
            <w:vAlign w:val="center"/>
          </w:tcPr>
          <w:p w14:paraId="72A08D3B" w14:textId="77777777" w:rsidR="002900EE" w:rsidRPr="00884E25" w:rsidRDefault="002900EE" w:rsidP="00B418C1">
            <w:pPr>
              <w:jc w:val="center"/>
              <w:rPr>
                <w:rFonts w:cstheme="minorHAnsi"/>
                <w:color w:val="000000"/>
                <w:sz w:val="18"/>
                <w:szCs w:val="18"/>
                <w:highlight w:val="yellow"/>
                <w:lang w:eastAsia="en-GB"/>
              </w:rPr>
            </w:pPr>
            <w:r w:rsidRPr="00AB5AB0">
              <w:rPr>
                <w:rFonts w:cs="Calibri"/>
                <w:color w:val="000000"/>
                <w:sz w:val="18"/>
                <w:szCs w:val="18"/>
              </w:rPr>
              <w:t>0.02</w:t>
            </w:r>
          </w:p>
        </w:tc>
        <w:tc>
          <w:tcPr>
            <w:tcW w:w="1118" w:type="dxa"/>
            <w:vMerge/>
            <w:tcBorders>
              <w:bottom w:val="single" w:sz="4" w:space="0" w:color="auto"/>
            </w:tcBorders>
            <w:shd w:val="clear" w:color="auto" w:fill="auto"/>
            <w:noWrap/>
            <w:vAlign w:val="center"/>
          </w:tcPr>
          <w:p w14:paraId="1456FAD6" w14:textId="77777777" w:rsidR="002900EE" w:rsidRPr="00884E25" w:rsidRDefault="002900EE" w:rsidP="00B418C1">
            <w:pPr>
              <w:jc w:val="center"/>
              <w:rPr>
                <w:rFonts w:cstheme="minorHAnsi"/>
                <w:color w:val="000000"/>
                <w:sz w:val="18"/>
                <w:szCs w:val="18"/>
                <w:highlight w:val="yellow"/>
                <w:lang w:eastAsia="en-GB"/>
              </w:rPr>
            </w:pPr>
          </w:p>
        </w:tc>
      </w:tr>
      <w:tr w:rsidR="002900EE" w:rsidRPr="00884E25" w14:paraId="6E2E2F91" w14:textId="77777777" w:rsidTr="002900EE">
        <w:trPr>
          <w:trHeight w:val="300"/>
        </w:trPr>
        <w:tc>
          <w:tcPr>
            <w:tcW w:w="1003" w:type="dxa"/>
            <w:tcBorders>
              <w:top w:val="single" w:sz="4" w:space="0" w:color="auto"/>
              <w:left w:val="nil"/>
              <w:bottom w:val="single" w:sz="4" w:space="0" w:color="auto"/>
              <w:right w:val="nil"/>
            </w:tcBorders>
            <w:vAlign w:val="center"/>
          </w:tcPr>
          <w:p w14:paraId="540B95AC" w14:textId="77777777" w:rsidR="002900EE" w:rsidRPr="00884E25" w:rsidRDefault="002900EE" w:rsidP="00B418C1">
            <w:pPr>
              <w:jc w:val="center"/>
              <w:rPr>
                <w:rFonts w:eastAsia="Calibri"/>
                <w:bCs/>
                <w:sz w:val="18"/>
                <w:szCs w:val="18"/>
                <w:highlight w:val="yellow"/>
              </w:rPr>
            </w:pPr>
          </w:p>
        </w:tc>
        <w:tc>
          <w:tcPr>
            <w:tcW w:w="1350" w:type="dxa"/>
            <w:tcBorders>
              <w:top w:val="single" w:sz="4" w:space="0" w:color="auto"/>
              <w:left w:val="nil"/>
              <w:bottom w:val="single" w:sz="4" w:space="0" w:color="auto"/>
              <w:right w:val="nil"/>
            </w:tcBorders>
            <w:shd w:val="clear" w:color="auto" w:fill="auto"/>
            <w:noWrap/>
            <w:vAlign w:val="center"/>
          </w:tcPr>
          <w:p w14:paraId="07BA0223" w14:textId="77777777" w:rsidR="002900EE" w:rsidRPr="00884E25" w:rsidRDefault="002900EE" w:rsidP="00B418C1">
            <w:pPr>
              <w:jc w:val="center"/>
              <w:rPr>
                <w:rFonts w:cstheme="minorHAnsi"/>
                <w:color w:val="000000"/>
                <w:sz w:val="18"/>
                <w:szCs w:val="18"/>
                <w:highlight w:val="yellow"/>
                <w:lang w:eastAsia="en-GB"/>
              </w:rPr>
            </w:pPr>
          </w:p>
        </w:tc>
        <w:tc>
          <w:tcPr>
            <w:tcW w:w="1309" w:type="dxa"/>
            <w:tcBorders>
              <w:top w:val="single" w:sz="4" w:space="0" w:color="auto"/>
              <w:left w:val="nil"/>
              <w:bottom w:val="single" w:sz="4" w:space="0" w:color="auto"/>
              <w:right w:val="nil"/>
            </w:tcBorders>
            <w:shd w:val="clear" w:color="auto" w:fill="auto"/>
            <w:noWrap/>
            <w:vAlign w:val="center"/>
          </w:tcPr>
          <w:p w14:paraId="05F0AB38" w14:textId="77777777" w:rsidR="002900EE" w:rsidRPr="00884E25" w:rsidRDefault="002900EE" w:rsidP="00B418C1">
            <w:pPr>
              <w:jc w:val="center"/>
              <w:rPr>
                <w:rFonts w:cstheme="minorHAnsi"/>
                <w:color w:val="000000"/>
                <w:sz w:val="18"/>
                <w:szCs w:val="18"/>
                <w:highlight w:val="yellow"/>
                <w:lang w:eastAsia="en-GB"/>
              </w:rPr>
            </w:pPr>
          </w:p>
        </w:tc>
        <w:tc>
          <w:tcPr>
            <w:tcW w:w="907" w:type="dxa"/>
            <w:tcBorders>
              <w:top w:val="single" w:sz="4" w:space="0" w:color="auto"/>
              <w:left w:val="nil"/>
              <w:bottom w:val="single" w:sz="4" w:space="0" w:color="auto"/>
              <w:right w:val="nil"/>
            </w:tcBorders>
            <w:shd w:val="clear" w:color="auto" w:fill="auto"/>
            <w:noWrap/>
            <w:vAlign w:val="center"/>
          </w:tcPr>
          <w:p w14:paraId="7CE54727" w14:textId="77777777" w:rsidR="002900EE" w:rsidRPr="00884E25" w:rsidRDefault="002900EE" w:rsidP="00B418C1">
            <w:pPr>
              <w:jc w:val="center"/>
              <w:rPr>
                <w:rFonts w:cstheme="minorHAnsi"/>
                <w:color w:val="000000"/>
                <w:sz w:val="18"/>
                <w:szCs w:val="18"/>
                <w:highlight w:val="yellow"/>
                <w:lang w:eastAsia="en-GB"/>
              </w:rPr>
            </w:pPr>
          </w:p>
        </w:tc>
        <w:tc>
          <w:tcPr>
            <w:tcW w:w="1423" w:type="dxa"/>
            <w:tcBorders>
              <w:top w:val="single" w:sz="4" w:space="0" w:color="auto"/>
              <w:left w:val="nil"/>
              <w:bottom w:val="single" w:sz="4" w:space="0" w:color="auto"/>
              <w:right w:val="nil"/>
            </w:tcBorders>
            <w:shd w:val="clear" w:color="auto" w:fill="auto"/>
            <w:noWrap/>
            <w:vAlign w:val="center"/>
          </w:tcPr>
          <w:p w14:paraId="02E78BC6" w14:textId="77777777" w:rsidR="002900EE" w:rsidRPr="00884E25" w:rsidRDefault="002900EE" w:rsidP="00B418C1">
            <w:pPr>
              <w:jc w:val="center"/>
              <w:rPr>
                <w:rFonts w:cstheme="minorHAnsi"/>
                <w:color w:val="000000"/>
                <w:sz w:val="18"/>
                <w:szCs w:val="18"/>
                <w:highlight w:val="yellow"/>
                <w:lang w:eastAsia="en-GB"/>
              </w:rPr>
            </w:pPr>
          </w:p>
        </w:tc>
        <w:tc>
          <w:tcPr>
            <w:tcW w:w="1156" w:type="dxa"/>
            <w:tcBorders>
              <w:top w:val="single" w:sz="4" w:space="0" w:color="auto"/>
              <w:left w:val="nil"/>
              <w:bottom w:val="single" w:sz="4" w:space="0" w:color="auto"/>
              <w:right w:val="nil"/>
            </w:tcBorders>
            <w:shd w:val="clear" w:color="auto" w:fill="auto"/>
            <w:noWrap/>
            <w:vAlign w:val="center"/>
          </w:tcPr>
          <w:p w14:paraId="07E9CDED" w14:textId="77777777" w:rsidR="002900EE" w:rsidRPr="00884E25" w:rsidRDefault="002900EE" w:rsidP="00B418C1">
            <w:pPr>
              <w:jc w:val="center"/>
              <w:rPr>
                <w:rFonts w:cstheme="minorHAnsi"/>
                <w:color w:val="000000"/>
                <w:sz w:val="18"/>
                <w:szCs w:val="18"/>
                <w:highlight w:val="yellow"/>
                <w:lang w:eastAsia="en-GB"/>
              </w:rPr>
            </w:pPr>
          </w:p>
        </w:tc>
        <w:tc>
          <w:tcPr>
            <w:tcW w:w="969" w:type="dxa"/>
            <w:tcBorders>
              <w:top w:val="single" w:sz="4" w:space="0" w:color="auto"/>
              <w:left w:val="nil"/>
              <w:bottom w:val="single" w:sz="4" w:space="0" w:color="auto"/>
              <w:right w:val="nil"/>
            </w:tcBorders>
            <w:shd w:val="clear" w:color="auto" w:fill="auto"/>
            <w:vAlign w:val="center"/>
          </w:tcPr>
          <w:p w14:paraId="2F8DA9E9" w14:textId="77777777" w:rsidR="002900EE" w:rsidRPr="00884E25" w:rsidRDefault="002900EE" w:rsidP="00B418C1">
            <w:pPr>
              <w:jc w:val="center"/>
              <w:rPr>
                <w:rFonts w:cstheme="minorHAnsi"/>
                <w:color w:val="000000"/>
                <w:sz w:val="18"/>
                <w:szCs w:val="18"/>
                <w:highlight w:val="yellow"/>
                <w:lang w:eastAsia="en-GB"/>
              </w:rPr>
            </w:pPr>
          </w:p>
        </w:tc>
        <w:tc>
          <w:tcPr>
            <w:tcW w:w="1396" w:type="dxa"/>
            <w:tcBorders>
              <w:top w:val="single" w:sz="4" w:space="0" w:color="auto"/>
              <w:left w:val="nil"/>
              <w:bottom w:val="single" w:sz="4" w:space="0" w:color="auto"/>
              <w:right w:val="nil"/>
            </w:tcBorders>
            <w:shd w:val="clear" w:color="auto" w:fill="auto"/>
            <w:noWrap/>
            <w:vAlign w:val="center"/>
          </w:tcPr>
          <w:p w14:paraId="68BC0B93" w14:textId="77777777" w:rsidR="002900EE" w:rsidRPr="00884E25" w:rsidRDefault="002900EE" w:rsidP="00B418C1">
            <w:pPr>
              <w:jc w:val="center"/>
              <w:rPr>
                <w:rFonts w:cstheme="minorHAnsi"/>
                <w:color w:val="000000"/>
                <w:sz w:val="18"/>
                <w:szCs w:val="18"/>
                <w:highlight w:val="yellow"/>
                <w:lang w:eastAsia="en-GB"/>
              </w:rPr>
            </w:pPr>
          </w:p>
        </w:tc>
        <w:tc>
          <w:tcPr>
            <w:tcW w:w="1118" w:type="dxa"/>
            <w:tcBorders>
              <w:top w:val="single" w:sz="4" w:space="0" w:color="auto"/>
              <w:left w:val="nil"/>
              <w:bottom w:val="single" w:sz="4" w:space="0" w:color="auto"/>
              <w:right w:val="nil"/>
            </w:tcBorders>
            <w:shd w:val="clear" w:color="auto" w:fill="auto"/>
            <w:noWrap/>
            <w:vAlign w:val="center"/>
          </w:tcPr>
          <w:p w14:paraId="11150359" w14:textId="77777777" w:rsidR="002900EE" w:rsidRPr="00884E25" w:rsidRDefault="002900EE" w:rsidP="00B418C1">
            <w:pPr>
              <w:jc w:val="center"/>
              <w:rPr>
                <w:rFonts w:cstheme="minorHAnsi"/>
                <w:sz w:val="18"/>
                <w:szCs w:val="18"/>
                <w:highlight w:val="yellow"/>
                <w:lang w:eastAsia="en-GB"/>
              </w:rPr>
            </w:pPr>
          </w:p>
        </w:tc>
      </w:tr>
    </w:tbl>
    <w:p w14:paraId="73371639" w14:textId="28F138FD" w:rsidR="00316009" w:rsidRDefault="002900EE" w:rsidP="00C66572">
      <w:pPr>
        <w:jc w:val="both"/>
        <w:rPr>
          <w:rFonts w:eastAsia="Calibri"/>
          <w:szCs w:val="22"/>
          <w:lang w:eastAsia="en-US"/>
        </w:rPr>
      </w:pPr>
      <w:r w:rsidRPr="00B337B5">
        <w:rPr>
          <w:rFonts w:cs="Calibri"/>
          <w:color w:val="000000"/>
          <w:sz w:val="16"/>
          <w:szCs w:val="16"/>
          <w:lang w:eastAsia="en-GB"/>
        </w:rPr>
        <w:t>*</w:t>
      </w:r>
      <w:r w:rsidRPr="00B337B5">
        <w:rPr>
          <w:rFonts w:cs="Calibri"/>
          <w:b/>
          <w:bCs/>
          <w:color w:val="000000"/>
          <w:sz w:val="16"/>
          <w:szCs w:val="16"/>
          <w:lang w:eastAsia="en-GB"/>
        </w:rPr>
        <w:t>Copper</w:t>
      </w:r>
      <w:r>
        <w:rPr>
          <w:rFonts w:cs="Calibri"/>
          <w:b/>
          <w:bCs/>
          <w:color w:val="000000"/>
          <w:sz w:val="16"/>
          <w:szCs w:val="16"/>
          <w:lang w:eastAsia="en-GB"/>
        </w:rPr>
        <w:t xml:space="preserve"> refined PEC</w:t>
      </w:r>
    </w:p>
    <w:p w14:paraId="48424350" w14:textId="78765313" w:rsidR="00FF50D4" w:rsidRDefault="00FF50D4" w:rsidP="001042DA">
      <w:pPr>
        <w:rPr>
          <w:rFonts w:eastAsia="Calibri"/>
          <w:b/>
          <w:i/>
          <w:sz w:val="22"/>
          <w:szCs w:val="22"/>
          <w:lang w:eastAsia="en-US"/>
        </w:rPr>
      </w:pPr>
    </w:p>
    <w:p w14:paraId="57CE10C5" w14:textId="77777777" w:rsidR="004C3148" w:rsidRDefault="004C3148" w:rsidP="00E8076A">
      <w:pPr>
        <w:spacing w:line="260" w:lineRule="atLeast"/>
        <w:jc w:val="both"/>
      </w:pPr>
    </w:p>
    <w:p w14:paraId="769F8A59" w14:textId="77777777" w:rsidR="00576205" w:rsidRDefault="0028223B" w:rsidP="00E8076A">
      <w:pPr>
        <w:spacing w:line="260" w:lineRule="atLeast"/>
        <w:jc w:val="both"/>
      </w:pPr>
      <w:r w:rsidRPr="007446DD">
        <w:t>RQ</w:t>
      </w:r>
      <w:r w:rsidRPr="007446DD">
        <w:rPr>
          <w:vertAlign w:val="subscript"/>
        </w:rPr>
        <w:t>Product</w:t>
      </w:r>
      <w:r w:rsidRPr="007446DD">
        <w:t xml:space="preserve"> calculated in the mixtures risk assessment (tier 2) falls below the trigger of 1 </w:t>
      </w:r>
      <w:r>
        <w:t>for the Aquanet HG360 product</w:t>
      </w:r>
      <w:r w:rsidRPr="007446DD">
        <w:t xml:space="preserve">. </w:t>
      </w:r>
    </w:p>
    <w:p w14:paraId="3C5FEB2E" w14:textId="77777777" w:rsidR="00576205" w:rsidRDefault="00576205" w:rsidP="00E8076A">
      <w:pPr>
        <w:spacing w:line="260" w:lineRule="atLeast"/>
        <w:jc w:val="both"/>
      </w:pPr>
    </w:p>
    <w:p w14:paraId="24347296" w14:textId="68AA45EC" w:rsidR="0028223B" w:rsidRDefault="00576205" w:rsidP="00E8076A">
      <w:pPr>
        <w:spacing w:line="260" w:lineRule="atLeast"/>
        <w:jc w:val="both"/>
        <w:rPr>
          <w:rFonts w:eastAsia="Calibri"/>
          <w:szCs w:val="22"/>
          <w:lang w:eastAsia="en-US"/>
        </w:rPr>
      </w:pPr>
      <w:r>
        <w:t>A</w:t>
      </w:r>
      <w:r w:rsidR="0028223B" w:rsidRPr="007446DD">
        <w:t>ll AquaNet 360 products show acceptable risk to the aquatic environment</w:t>
      </w:r>
      <w:r w:rsidR="0028223B" w:rsidRPr="007446DD">
        <w:rPr>
          <w:rFonts w:eastAsia="Calibri"/>
          <w:szCs w:val="22"/>
          <w:lang w:eastAsia="en-US"/>
        </w:rPr>
        <w:t>.</w:t>
      </w:r>
    </w:p>
    <w:p w14:paraId="6E5DEBB9" w14:textId="77777777" w:rsidR="0028223B" w:rsidRDefault="0028223B" w:rsidP="001042DA">
      <w:pPr>
        <w:rPr>
          <w:rFonts w:eastAsia="Calibri"/>
          <w:b/>
          <w:i/>
          <w:sz w:val="22"/>
          <w:szCs w:val="22"/>
          <w:lang w:eastAsia="en-US"/>
        </w:rPr>
      </w:pPr>
    </w:p>
    <w:p w14:paraId="0A5DAE93" w14:textId="6A72916F" w:rsidR="001042DA" w:rsidRPr="00BC6C11" w:rsidRDefault="001042DA" w:rsidP="001042DA">
      <w:pPr>
        <w:rPr>
          <w:rFonts w:eastAsia="Calibri"/>
          <w:b/>
          <w:i/>
          <w:szCs w:val="22"/>
          <w:lang w:eastAsia="en-US"/>
        </w:rPr>
      </w:pPr>
      <w:r w:rsidRPr="00BC6C11">
        <w:rPr>
          <w:rFonts w:eastAsia="Calibri"/>
          <w:b/>
          <w:i/>
          <w:szCs w:val="22"/>
          <w:lang w:eastAsia="en-US"/>
        </w:rPr>
        <w:t>Aggregated exposure</w:t>
      </w:r>
      <w:bookmarkEnd w:id="1779"/>
      <w:r w:rsidRPr="00BC6C11">
        <w:rPr>
          <w:rFonts w:eastAsia="Calibri"/>
          <w:b/>
          <w:i/>
          <w:szCs w:val="22"/>
          <w:lang w:eastAsia="en-US"/>
        </w:rPr>
        <w:t xml:space="preserve"> (combined with relevant emission sources)</w:t>
      </w:r>
      <w:bookmarkEnd w:id="1780"/>
      <w:bookmarkEnd w:id="1781"/>
      <w:bookmarkEnd w:id="1782"/>
    </w:p>
    <w:p w14:paraId="3DED1397" w14:textId="7798C3E3" w:rsidR="001042DA" w:rsidRDefault="001042DA" w:rsidP="001042DA">
      <w:pPr>
        <w:jc w:val="both"/>
        <w:rPr>
          <w:szCs w:val="22"/>
          <w:lang w:eastAsia="en-US"/>
        </w:rPr>
      </w:pPr>
      <w:r w:rsidRPr="006B1A5A">
        <w:rPr>
          <w:szCs w:val="22"/>
          <w:lang w:eastAsia="en-US"/>
        </w:rPr>
        <w:t>Article 19(2) and Annex VI of the Biocidal Products Regulation (EC) 528/2012 (BPR) state that the evaluation shall consider cumulative and synergistic effects associated with the relevant individual components of the biocidal product. According to the provisions given in the BPR, aggregated risk assessments shall not be carried out routinely in the Review Programme but only where relevant.</w:t>
      </w:r>
    </w:p>
    <w:p w14:paraId="3A9FCF28" w14:textId="77777777" w:rsidR="00081607" w:rsidRDefault="00081607" w:rsidP="001042DA">
      <w:pPr>
        <w:jc w:val="both"/>
        <w:rPr>
          <w:szCs w:val="22"/>
          <w:lang w:eastAsia="en-US"/>
        </w:rPr>
      </w:pPr>
    </w:p>
    <w:p w14:paraId="43460B1B" w14:textId="2485F0CD" w:rsidR="00081607" w:rsidRDefault="00081607" w:rsidP="001042DA">
      <w:pPr>
        <w:jc w:val="both"/>
        <w:rPr>
          <w:szCs w:val="22"/>
          <w:lang w:eastAsia="en-US"/>
        </w:rPr>
      </w:pPr>
    </w:p>
    <w:p w14:paraId="104E701C" w14:textId="77777777" w:rsidR="00081607" w:rsidRPr="006B1A5A" w:rsidRDefault="00081607" w:rsidP="00081607">
      <w:pPr>
        <w:pStyle w:val="Overskrift3"/>
        <w:rPr>
          <w:lang w:val="en-GB"/>
        </w:rPr>
      </w:pPr>
      <w:bookmarkStart w:id="1783" w:name="_Toc66448840"/>
      <w:bookmarkStart w:id="1784" w:name="_Hlk54280899"/>
      <w:r w:rsidRPr="006B1A5A">
        <w:rPr>
          <w:lang w:val="en-GB"/>
        </w:rPr>
        <w:t>Measures to protect man, animals and the environment</w:t>
      </w:r>
      <w:bookmarkEnd w:id="1783"/>
    </w:p>
    <w:bookmarkEnd w:id="1784"/>
    <w:p w14:paraId="4173BE0A" w14:textId="6A5EEA24" w:rsidR="00081607" w:rsidRPr="00916E44" w:rsidRDefault="00351C40" w:rsidP="00916E44">
      <w:pPr>
        <w:jc w:val="both"/>
        <w:rPr>
          <w:szCs w:val="22"/>
          <w:lang w:eastAsia="en-US"/>
        </w:rPr>
      </w:pPr>
      <w:r w:rsidRPr="00916E44">
        <w:rPr>
          <w:szCs w:val="22"/>
          <w:lang w:eastAsia="en-US"/>
        </w:rPr>
        <w:t>Please refer to summary of the product assessment and to the relevant sections of the assessment report.</w:t>
      </w:r>
    </w:p>
    <w:p w14:paraId="4B15679D" w14:textId="77777777" w:rsidR="001042DA" w:rsidRPr="006B1A5A" w:rsidRDefault="001042DA" w:rsidP="001042DA">
      <w:pPr>
        <w:rPr>
          <w:sz w:val="22"/>
          <w:szCs w:val="22"/>
          <w:highlight w:val="yellow"/>
          <w:lang w:eastAsia="en-US"/>
        </w:rPr>
      </w:pPr>
    </w:p>
    <w:p w14:paraId="0F34D11F" w14:textId="77777777" w:rsidR="001042DA" w:rsidRPr="006B1A5A" w:rsidRDefault="001042DA" w:rsidP="001042DA">
      <w:pPr>
        <w:pStyle w:val="Overskrift3"/>
        <w:rPr>
          <w:lang w:val="en-GB"/>
        </w:rPr>
      </w:pPr>
      <w:bookmarkStart w:id="1785" w:name="_Toc389729181"/>
      <w:bookmarkStart w:id="1786" w:name="_Toc403472819"/>
      <w:bookmarkStart w:id="1787" w:name="_Toc403566591"/>
      <w:bookmarkEnd w:id="1756"/>
      <w:r w:rsidRPr="006B1A5A">
        <w:rPr>
          <w:lang w:val="en-GB"/>
        </w:rPr>
        <w:t xml:space="preserve"> </w:t>
      </w:r>
      <w:bookmarkStart w:id="1788" w:name="_Toc66448841"/>
      <w:r w:rsidRPr="006B1A5A">
        <w:rPr>
          <w:lang w:val="en-GB"/>
        </w:rPr>
        <w:t>Assessment of a combination of biocidal products</w:t>
      </w:r>
      <w:bookmarkEnd w:id="1785"/>
      <w:bookmarkEnd w:id="1786"/>
      <w:bookmarkEnd w:id="1787"/>
      <w:bookmarkEnd w:id="1788"/>
    </w:p>
    <w:p w14:paraId="784758FE" w14:textId="77777777" w:rsidR="001042DA" w:rsidRPr="006B1A5A" w:rsidRDefault="001042DA" w:rsidP="001042DA">
      <w:pPr>
        <w:spacing w:line="260" w:lineRule="atLeast"/>
        <w:rPr>
          <w:rFonts w:eastAsia="Calibri"/>
          <w:iCs/>
          <w:szCs w:val="22"/>
          <w:lang w:eastAsia="en-US"/>
        </w:rPr>
      </w:pPr>
      <w:r w:rsidRPr="006B1A5A">
        <w:rPr>
          <w:rFonts w:eastAsia="Calibri"/>
          <w:iCs/>
          <w:szCs w:val="22"/>
          <w:lang w:eastAsia="en-US"/>
        </w:rPr>
        <w:t>Not relevant.</w:t>
      </w:r>
    </w:p>
    <w:p w14:paraId="642DF418" w14:textId="77777777" w:rsidR="001042DA" w:rsidRPr="006B1A5A" w:rsidRDefault="001042DA" w:rsidP="001042DA">
      <w:pPr>
        <w:spacing w:line="260" w:lineRule="atLeast"/>
        <w:rPr>
          <w:rFonts w:eastAsia="Calibri"/>
          <w:lang w:eastAsia="en-US"/>
        </w:rPr>
      </w:pPr>
    </w:p>
    <w:p w14:paraId="51FA253E" w14:textId="77777777" w:rsidR="001042DA" w:rsidRPr="006B1A5A" w:rsidRDefault="001042DA" w:rsidP="001042DA">
      <w:pPr>
        <w:pStyle w:val="Overskrift3"/>
        <w:rPr>
          <w:lang w:val="en-GB"/>
        </w:rPr>
      </w:pPr>
      <w:bookmarkStart w:id="1789" w:name="_Toc378685456"/>
      <w:bookmarkStart w:id="1790" w:name="_Toc378685592"/>
      <w:bookmarkStart w:id="1791" w:name="_Toc378691801"/>
      <w:bookmarkStart w:id="1792" w:name="_Toc378692259"/>
      <w:bookmarkStart w:id="1793" w:name="_Toc378692396"/>
      <w:bookmarkStart w:id="1794" w:name="_Toc378692533"/>
      <w:bookmarkStart w:id="1795" w:name="_Toc389729182"/>
      <w:bookmarkStart w:id="1796" w:name="_Toc403472820"/>
      <w:bookmarkStart w:id="1797" w:name="_Toc403566592"/>
      <w:bookmarkEnd w:id="1789"/>
      <w:bookmarkEnd w:id="1790"/>
      <w:bookmarkEnd w:id="1791"/>
      <w:bookmarkEnd w:id="1792"/>
      <w:bookmarkEnd w:id="1793"/>
      <w:bookmarkEnd w:id="1794"/>
      <w:r w:rsidRPr="006B1A5A">
        <w:rPr>
          <w:lang w:val="en-GB"/>
        </w:rPr>
        <w:t xml:space="preserve"> </w:t>
      </w:r>
      <w:bookmarkStart w:id="1798" w:name="_Toc66448842"/>
      <w:r w:rsidRPr="006B1A5A">
        <w:rPr>
          <w:lang w:val="en-GB"/>
        </w:rPr>
        <w:t>Comparative assessment</w:t>
      </w:r>
      <w:bookmarkEnd w:id="1795"/>
      <w:bookmarkEnd w:id="1796"/>
      <w:bookmarkEnd w:id="1797"/>
      <w:bookmarkEnd w:id="1798"/>
    </w:p>
    <w:p w14:paraId="0473A447" w14:textId="77777777" w:rsidR="001042DA" w:rsidRPr="006B1A5A" w:rsidRDefault="001042DA" w:rsidP="001042DA">
      <w:pPr>
        <w:spacing w:line="260" w:lineRule="atLeast"/>
        <w:rPr>
          <w:rFonts w:eastAsia="Calibri"/>
          <w:iCs/>
          <w:szCs w:val="22"/>
          <w:lang w:eastAsia="en-US"/>
        </w:rPr>
      </w:pPr>
      <w:r w:rsidRPr="006B1A5A">
        <w:rPr>
          <w:rFonts w:eastAsia="Calibri"/>
          <w:iCs/>
          <w:szCs w:val="22"/>
          <w:lang w:eastAsia="en-US"/>
        </w:rPr>
        <w:t>Not relevant.</w:t>
      </w:r>
    </w:p>
    <w:p w14:paraId="6371E8B8" w14:textId="77777777" w:rsidR="001042DA" w:rsidRPr="006B1A5A" w:rsidRDefault="001042DA" w:rsidP="001042DA">
      <w:pPr>
        <w:spacing w:line="260" w:lineRule="atLeast"/>
        <w:rPr>
          <w:rFonts w:ascii="Times New Roman" w:eastAsia="Calibri" w:hAnsi="Times New Roman"/>
          <w:i/>
          <w:iCs/>
          <w:lang w:eastAsia="en-US"/>
        </w:rPr>
      </w:pPr>
    </w:p>
    <w:p w14:paraId="23F9CC23" w14:textId="77777777" w:rsidR="001042DA" w:rsidRPr="006B1A5A" w:rsidRDefault="001042DA" w:rsidP="001042DA">
      <w:pPr>
        <w:rPr>
          <w:rFonts w:eastAsia="Calibri"/>
          <w:lang w:eastAsia="en-US"/>
        </w:rPr>
      </w:pPr>
    </w:p>
    <w:p w14:paraId="411926C4" w14:textId="77777777" w:rsidR="001042DA" w:rsidRPr="006B1A5A" w:rsidRDefault="001042DA" w:rsidP="001042DA">
      <w:pPr>
        <w:rPr>
          <w:rFonts w:eastAsia="Calibri"/>
          <w:b/>
          <w:caps/>
          <w:sz w:val="28"/>
        </w:rPr>
      </w:pPr>
      <w:r w:rsidRPr="006B1A5A">
        <w:rPr>
          <w:rFonts w:eastAsia="Calibri"/>
        </w:rPr>
        <w:br w:type="page"/>
      </w:r>
    </w:p>
    <w:p w14:paraId="7CF1150D" w14:textId="77777777" w:rsidR="001042DA" w:rsidRPr="006B1A5A" w:rsidRDefault="001042DA" w:rsidP="001042DA">
      <w:pPr>
        <w:pStyle w:val="Overskrift1"/>
        <w:rPr>
          <w:rFonts w:eastAsia="Calibri"/>
          <w:lang w:val="en-GB"/>
        </w:rPr>
      </w:pPr>
      <w:bookmarkStart w:id="1799" w:name="_Toc66448843"/>
      <w:r w:rsidRPr="006B1A5A">
        <w:rPr>
          <w:rFonts w:eastAsia="Calibri"/>
          <w:lang w:val="en-GB"/>
        </w:rPr>
        <w:t>Annexes</w:t>
      </w:r>
      <w:bookmarkEnd w:id="20"/>
      <w:bookmarkEnd w:id="21"/>
      <w:bookmarkEnd w:id="1799"/>
    </w:p>
    <w:p w14:paraId="47C18A7C" w14:textId="77777777" w:rsidR="001042DA" w:rsidRPr="006B1A5A" w:rsidRDefault="001042DA" w:rsidP="00E25F93">
      <w:pPr>
        <w:pStyle w:val="Overskrift2"/>
      </w:pPr>
      <w:bookmarkStart w:id="1800" w:name="_Toc389729189"/>
      <w:bookmarkStart w:id="1801" w:name="_Toc403472827"/>
      <w:bookmarkStart w:id="1802" w:name="_Toc66448844"/>
      <w:r w:rsidRPr="006B1A5A">
        <w:t>List of studies for the biocidal product</w:t>
      </w:r>
      <w:bookmarkEnd w:id="1800"/>
      <w:r w:rsidRPr="006B1A5A">
        <w:t xml:space="preserve"> (FAMILY)</w:t>
      </w:r>
      <w:bookmarkEnd w:id="1801"/>
      <w:bookmarkEnd w:id="1802"/>
    </w:p>
    <w:p w14:paraId="66EA8D23" w14:textId="77777777" w:rsidR="001042DA" w:rsidRPr="006B1A5A" w:rsidRDefault="001042DA" w:rsidP="001042DA">
      <w:pPr>
        <w:pStyle w:val="Absatz"/>
        <w:rPr>
          <w:lang w:eastAsia="en-US"/>
        </w:rPr>
      </w:pPr>
    </w:p>
    <w:tbl>
      <w:tblPr>
        <w:tblStyle w:val="Tabellrutenett"/>
        <w:tblW w:w="9337" w:type="dxa"/>
        <w:tblInd w:w="108" w:type="dxa"/>
        <w:tblLook w:val="04A0" w:firstRow="1" w:lastRow="0" w:firstColumn="1" w:lastColumn="0" w:noHBand="0" w:noVBand="1"/>
      </w:tblPr>
      <w:tblGrid>
        <w:gridCol w:w="1541"/>
        <w:gridCol w:w="1540"/>
        <w:gridCol w:w="4716"/>
        <w:gridCol w:w="1540"/>
      </w:tblGrid>
      <w:tr w:rsidR="001042DA" w:rsidRPr="006B1A5A" w14:paraId="22C6AB7D" w14:textId="77777777" w:rsidTr="00AF2AEA">
        <w:tc>
          <w:tcPr>
            <w:tcW w:w="1541" w:type="dxa"/>
          </w:tcPr>
          <w:p w14:paraId="4F356C9A" w14:textId="77777777" w:rsidR="001042DA" w:rsidRPr="006B1A5A" w:rsidRDefault="001042DA" w:rsidP="00AF2AEA">
            <w:pPr>
              <w:rPr>
                <w:rFonts w:eastAsia="Calibri"/>
                <w:b/>
              </w:rPr>
            </w:pPr>
            <w:r w:rsidRPr="006B1A5A">
              <w:rPr>
                <w:rFonts w:eastAsia="Calibri"/>
                <w:b/>
              </w:rPr>
              <w:t>Author</w:t>
            </w:r>
          </w:p>
        </w:tc>
        <w:tc>
          <w:tcPr>
            <w:tcW w:w="1540" w:type="dxa"/>
          </w:tcPr>
          <w:p w14:paraId="4F943792" w14:textId="77777777" w:rsidR="001042DA" w:rsidRPr="006B1A5A" w:rsidRDefault="001042DA" w:rsidP="00AF2AEA">
            <w:pPr>
              <w:rPr>
                <w:rFonts w:eastAsia="Calibri"/>
                <w:b/>
              </w:rPr>
            </w:pPr>
            <w:r w:rsidRPr="006B1A5A">
              <w:rPr>
                <w:rFonts w:eastAsia="Calibri"/>
                <w:b/>
              </w:rPr>
              <w:t>Year</w:t>
            </w:r>
          </w:p>
        </w:tc>
        <w:tc>
          <w:tcPr>
            <w:tcW w:w="4716" w:type="dxa"/>
          </w:tcPr>
          <w:p w14:paraId="0424BDE6" w14:textId="77777777" w:rsidR="001042DA" w:rsidRPr="006B1A5A" w:rsidRDefault="001042DA" w:rsidP="00AF2AEA">
            <w:pPr>
              <w:rPr>
                <w:rFonts w:eastAsia="Calibri"/>
                <w:b/>
              </w:rPr>
            </w:pPr>
            <w:r w:rsidRPr="006B1A5A">
              <w:rPr>
                <w:rFonts w:eastAsia="Calibri"/>
                <w:b/>
              </w:rPr>
              <w:t>Title</w:t>
            </w:r>
          </w:p>
          <w:p w14:paraId="1095DC93" w14:textId="77777777" w:rsidR="001042DA" w:rsidRPr="006B1A5A" w:rsidRDefault="001042DA" w:rsidP="00AF2AEA">
            <w:pPr>
              <w:rPr>
                <w:rFonts w:eastAsia="Calibri"/>
                <w:b/>
              </w:rPr>
            </w:pPr>
            <w:r w:rsidRPr="006B1A5A">
              <w:rPr>
                <w:rFonts w:eastAsia="Calibri"/>
                <w:b/>
              </w:rPr>
              <w:t>Report No.</w:t>
            </w:r>
          </w:p>
          <w:p w14:paraId="603BB9D5" w14:textId="77777777" w:rsidR="001042DA" w:rsidRPr="006B1A5A" w:rsidRDefault="001042DA" w:rsidP="00AF2AEA">
            <w:pPr>
              <w:rPr>
                <w:rFonts w:eastAsia="Calibri"/>
                <w:b/>
              </w:rPr>
            </w:pPr>
            <w:r w:rsidRPr="006B1A5A">
              <w:rPr>
                <w:rFonts w:eastAsia="Calibri"/>
                <w:b/>
              </w:rPr>
              <w:t>Laboratory</w:t>
            </w:r>
          </w:p>
          <w:p w14:paraId="6E5516B0" w14:textId="77777777" w:rsidR="001042DA" w:rsidRPr="006B1A5A" w:rsidRDefault="001042DA" w:rsidP="00AF2AEA">
            <w:pPr>
              <w:rPr>
                <w:rFonts w:eastAsia="Calibri"/>
                <w:b/>
              </w:rPr>
            </w:pPr>
            <w:r w:rsidRPr="006B1A5A">
              <w:rPr>
                <w:rFonts w:eastAsia="Calibri"/>
                <w:b/>
              </w:rPr>
              <w:t>GLP</w:t>
            </w:r>
          </w:p>
          <w:p w14:paraId="515456DF" w14:textId="77777777" w:rsidR="001042DA" w:rsidRPr="006B1A5A" w:rsidRDefault="001042DA" w:rsidP="00AF2AEA">
            <w:pPr>
              <w:rPr>
                <w:rFonts w:eastAsia="Calibri"/>
                <w:b/>
              </w:rPr>
            </w:pPr>
            <w:r w:rsidRPr="006B1A5A">
              <w:rPr>
                <w:rFonts w:eastAsia="Calibri"/>
                <w:b/>
              </w:rPr>
              <w:t>Published</w:t>
            </w:r>
          </w:p>
        </w:tc>
        <w:tc>
          <w:tcPr>
            <w:tcW w:w="1540" w:type="dxa"/>
          </w:tcPr>
          <w:p w14:paraId="2B958972" w14:textId="77777777" w:rsidR="001042DA" w:rsidRPr="006B1A5A" w:rsidRDefault="001042DA" w:rsidP="00AF2AEA">
            <w:pPr>
              <w:rPr>
                <w:rFonts w:eastAsia="Calibri"/>
                <w:b/>
              </w:rPr>
            </w:pPr>
            <w:r w:rsidRPr="006B1A5A">
              <w:rPr>
                <w:rFonts w:eastAsia="Calibri"/>
                <w:b/>
              </w:rPr>
              <w:t>Owner</w:t>
            </w:r>
          </w:p>
        </w:tc>
      </w:tr>
      <w:tr w:rsidR="005B034A" w:rsidRPr="006B1A5A" w14:paraId="50F56604" w14:textId="77777777" w:rsidTr="00AF2AEA">
        <w:tc>
          <w:tcPr>
            <w:tcW w:w="1541" w:type="dxa"/>
          </w:tcPr>
          <w:p w14:paraId="33874C00" w14:textId="06863095" w:rsidR="005B034A" w:rsidRPr="006B1A5A" w:rsidRDefault="005B034A" w:rsidP="005B034A">
            <w:pPr>
              <w:autoSpaceDE w:val="0"/>
              <w:autoSpaceDN w:val="0"/>
              <w:adjustRightInd w:val="0"/>
              <w:rPr>
                <w:rFonts w:eastAsiaTheme="minorHAnsi" w:cs="Calibri-Bold"/>
                <w:bCs/>
                <w:lang w:eastAsia="en-US"/>
              </w:rPr>
            </w:pPr>
            <w:r w:rsidRPr="009E77D7">
              <w:t xml:space="preserve">Bernal, J. </w:t>
            </w:r>
          </w:p>
        </w:tc>
        <w:tc>
          <w:tcPr>
            <w:tcW w:w="1540" w:type="dxa"/>
          </w:tcPr>
          <w:p w14:paraId="687B6607" w14:textId="65026A57" w:rsidR="005B034A" w:rsidRPr="006B1A5A" w:rsidRDefault="005B034A" w:rsidP="005B034A">
            <w:pPr>
              <w:autoSpaceDE w:val="0"/>
              <w:autoSpaceDN w:val="0"/>
              <w:adjustRightInd w:val="0"/>
              <w:rPr>
                <w:rFonts w:eastAsiaTheme="minorHAnsi" w:cs="Calibri-Bold"/>
                <w:bCs/>
                <w:lang w:eastAsia="en-US"/>
              </w:rPr>
            </w:pPr>
            <w:r w:rsidRPr="009E77D7">
              <w:t>2018a</w:t>
            </w:r>
          </w:p>
        </w:tc>
        <w:tc>
          <w:tcPr>
            <w:tcW w:w="4716" w:type="dxa"/>
          </w:tcPr>
          <w:p w14:paraId="3EAF2975" w14:textId="0F2E6906" w:rsidR="00660CAC" w:rsidRDefault="005B034A" w:rsidP="005B034A">
            <w:pPr>
              <w:autoSpaceDE w:val="0"/>
              <w:autoSpaceDN w:val="0"/>
              <w:adjustRightInd w:val="0"/>
            </w:pPr>
            <w:r w:rsidRPr="009E77D7">
              <w:t>In-vitro human skin penetration of total copper in AquaNet LG 360 PT21 Biocide product</w:t>
            </w:r>
            <w:r w:rsidR="00660CAC">
              <w:t>.</w:t>
            </w:r>
          </w:p>
          <w:p w14:paraId="027FD2F7" w14:textId="1AE6F72A" w:rsidR="00660CAC" w:rsidRDefault="00660CAC" w:rsidP="005B034A">
            <w:pPr>
              <w:autoSpaceDE w:val="0"/>
              <w:autoSpaceDN w:val="0"/>
              <w:adjustRightInd w:val="0"/>
            </w:pPr>
            <w:r>
              <w:t>Report no. S17-08530</w:t>
            </w:r>
          </w:p>
          <w:p w14:paraId="40202EAE" w14:textId="7DF76C20" w:rsidR="005B034A" w:rsidRDefault="00660CAC" w:rsidP="005B034A">
            <w:pPr>
              <w:autoSpaceDE w:val="0"/>
              <w:autoSpaceDN w:val="0"/>
              <w:adjustRightInd w:val="0"/>
            </w:pPr>
            <w:r>
              <w:t xml:space="preserve">Eurofins </w:t>
            </w:r>
            <w:r w:rsidR="001525A8">
              <w:t>agroscience services Chem SAS</w:t>
            </w:r>
          </w:p>
          <w:p w14:paraId="2C617DFC" w14:textId="639BD639" w:rsidR="005B034A" w:rsidRDefault="00660CAC" w:rsidP="005B034A">
            <w:pPr>
              <w:autoSpaceDE w:val="0"/>
              <w:autoSpaceDN w:val="0"/>
              <w:adjustRightInd w:val="0"/>
            </w:pPr>
            <w:r>
              <w:t>Yes</w:t>
            </w:r>
          </w:p>
          <w:p w14:paraId="61060610" w14:textId="556B9639" w:rsidR="005B034A" w:rsidRPr="006B1A5A" w:rsidRDefault="00660CAC" w:rsidP="005B034A">
            <w:pPr>
              <w:autoSpaceDE w:val="0"/>
              <w:autoSpaceDN w:val="0"/>
              <w:adjustRightInd w:val="0"/>
              <w:rPr>
                <w:rFonts w:eastAsiaTheme="minorHAnsi" w:cs="Calibri-Bold"/>
                <w:bCs/>
                <w:lang w:eastAsia="en-US"/>
              </w:rPr>
            </w:pPr>
            <w:r>
              <w:t>No</w:t>
            </w:r>
          </w:p>
        </w:tc>
        <w:tc>
          <w:tcPr>
            <w:tcW w:w="1540" w:type="dxa"/>
          </w:tcPr>
          <w:p w14:paraId="3F2386C1" w14:textId="21E12186" w:rsidR="005B034A" w:rsidRPr="006B1A5A" w:rsidRDefault="005B034A" w:rsidP="005B034A">
            <w:pPr>
              <w:autoSpaceDE w:val="0"/>
              <w:autoSpaceDN w:val="0"/>
              <w:adjustRightInd w:val="0"/>
              <w:rPr>
                <w:lang w:eastAsia="en-US"/>
              </w:rPr>
            </w:pPr>
            <w:r w:rsidRPr="006B1A5A">
              <w:rPr>
                <w:lang w:eastAsia="en-US"/>
              </w:rPr>
              <w:t>Steen-Hansen</w:t>
            </w:r>
          </w:p>
        </w:tc>
      </w:tr>
      <w:tr w:rsidR="005B034A" w:rsidRPr="006B1A5A" w14:paraId="651FFEFA" w14:textId="77777777" w:rsidTr="00AF2AEA">
        <w:tc>
          <w:tcPr>
            <w:tcW w:w="1541" w:type="dxa"/>
          </w:tcPr>
          <w:p w14:paraId="29914B31" w14:textId="49226901" w:rsidR="005B034A" w:rsidRPr="006B1A5A" w:rsidRDefault="005B034A" w:rsidP="005B034A">
            <w:pPr>
              <w:autoSpaceDE w:val="0"/>
              <w:autoSpaceDN w:val="0"/>
              <w:adjustRightInd w:val="0"/>
              <w:rPr>
                <w:rFonts w:eastAsiaTheme="minorHAnsi" w:cs="Calibri-Bold"/>
                <w:bCs/>
                <w:lang w:eastAsia="en-US"/>
              </w:rPr>
            </w:pPr>
            <w:r w:rsidRPr="009E77D7">
              <w:t>Bernal, J.</w:t>
            </w:r>
          </w:p>
        </w:tc>
        <w:tc>
          <w:tcPr>
            <w:tcW w:w="1540" w:type="dxa"/>
          </w:tcPr>
          <w:p w14:paraId="45FE4E8D" w14:textId="11CBBA10" w:rsidR="005B034A" w:rsidRPr="006B1A5A" w:rsidRDefault="005B034A" w:rsidP="005B034A">
            <w:pPr>
              <w:autoSpaceDE w:val="0"/>
              <w:autoSpaceDN w:val="0"/>
              <w:adjustRightInd w:val="0"/>
              <w:rPr>
                <w:rFonts w:eastAsiaTheme="minorHAnsi" w:cs="Calibri-Bold"/>
                <w:bCs/>
                <w:lang w:eastAsia="en-US"/>
              </w:rPr>
            </w:pPr>
            <w:r w:rsidRPr="009E77D7">
              <w:t>2018b</w:t>
            </w:r>
          </w:p>
        </w:tc>
        <w:tc>
          <w:tcPr>
            <w:tcW w:w="4716" w:type="dxa"/>
          </w:tcPr>
          <w:p w14:paraId="0FAA4ECD" w14:textId="77777777" w:rsidR="005B034A" w:rsidRDefault="005B034A" w:rsidP="005B034A">
            <w:pPr>
              <w:autoSpaceDE w:val="0"/>
              <w:autoSpaceDN w:val="0"/>
              <w:adjustRightInd w:val="0"/>
            </w:pPr>
            <w:r w:rsidRPr="009E77D7">
              <w:t xml:space="preserve">In-vitro human skin penetration of total copper in AquaNet premium PT21 Biocide product </w:t>
            </w:r>
          </w:p>
          <w:p w14:paraId="0D95AF4F" w14:textId="7A5F1449" w:rsidR="001525A8" w:rsidRDefault="001525A8" w:rsidP="001525A8">
            <w:pPr>
              <w:autoSpaceDE w:val="0"/>
              <w:autoSpaceDN w:val="0"/>
              <w:adjustRightInd w:val="0"/>
            </w:pPr>
            <w:r>
              <w:t>Report no. S17-08528</w:t>
            </w:r>
          </w:p>
          <w:p w14:paraId="427334B4" w14:textId="588C21DD" w:rsidR="001525A8" w:rsidRDefault="001525A8" w:rsidP="001525A8">
            <w:pPr>
              <w:autoSpaceDE w:val="0"/>
              <w:autoSpaceDN w:val="0"/>
              <w:adjustRightInd w:val="0"/>
            </w:pPr>
            <w:r>
              <w:t>Eurofins agroscience services Chem SAS</w:t>
            </w:r>
            <w:r w:rsidRPr="009E77D7">
              <w:t xml:space="preserve"> </w:t>
            </w:r>
          </w:p>
          <w:p w14:paraId="58B9B069" w14:textId="77777777" w:rsidR="001525A8" w:rsidRDefault="001525A8" w:rsidP="001525A8">
            <w:pPr>
              <w:autoSpaceDE w:val="0"/>
              <w:autoSpaceDN w:val="0"/>
              <w:adjustRightInd w:val="0"/>
            </w:pPr>
            <w:r>
              <w:t>Yes</w:t>
            </w:r>
          </w:p>
          <w:p w14:paraId="28D839EA" w14:textId="66B18FDF" w:rsidR="005B034A" w:rsidRDefault="001525A8" w:rsidP="001525A8">
            <w:pPr>
              <w:autoSpaceDE w:val="0"/>
              <w:autoSpaceDN w:val="0"/>
              <w:adjustRightInd w:val="0"/>
            </w:pPr>
            <w:r>
              <w:t>No</w:t>
            </w:r>
          </w:p>
          <w:p w14:paraId="48184719" w14:textId="139DD3EF" w:rsidR="005B034A" w:rsidRPr="006B1A5A" w:rsidRDefault="005B034A" w:rsidP="005B034A">
            <w:pPr>
              <w:autoSpaceDE w:val="0"/>
              <w:autoSpaceDN w:val="0"/>
              <w:adjustRightInd w:val="0"/>
              <w:rPr>
                <w:rFonts w:eastAsiaTheme="minorHAnsi" w:cs="Calibri-Bold"/>
                <w:bCs/>
                <w:lang w:eastAsia="en-US"/>
              </w:rPr>
            </w:pPr>
          </w:p>
        </w:tc>
        <w:tc>
          <w:tcPr>
            <w:tcW w:w="1540" w:type="dxa"/>
          </w:tcPr>
          <w:p w14:paraId="666C55AF" w14:textId="54CFC60E" w:rsidR="005B034A" w:rsidRPr="006B1A5A" w:rsidRDefault="005B034A" w:rsidP="005B034A">
            <w:pPr>
              <w:autoSpaceDE w:val="0"/>
              <w:autoSpaceDN w:val="0"/>
              <w:adjustRightInd w:val="0"/>
              <w:rPr>
                <w:lang w:eastAsia="en-US"/>
              </w:rPr>
            </w:pPr>
            <w:r w:rsidRPr="006B1A5A">
              <w:rPr>
                <w:lang w:eastAsia="en-US"/>
              </w:rPr>
              <w:t>Steen-Hansen</w:t>
            </w:r>
          </w:p>
        </w:tc>
      </w:tr>
      <w:tr w:rsidR="001042DA" w:rsidRPr="006B1A5A" w14:paraId="1C9F1F8D" w14:textId="77777777" w:rsidTr="00AF2AEA">
        <w:tc>
          <w:tcPr>
            <w:tcW w:w="1541" w:type="dxa"/>
          </w:tcPr>
          <w:p w14:paraId="40D286E8" w14:textId="23D054AA" w:rsidR="001042DA" w:rsidRPr="006B1A5A" w:rsidRDefault="001042DA" w:rsidP="00AF2AEA">
            <w:pPr>
              <w:autoSpaceDE w:val="0"/>
              <w:autoSpaceDN w:val="0"/>
              <w:adjustRightInd w:val="0"/>
              <w:rPr>
                <w:rFonts w:eastAsiaTheme="minorHAnsi" w:cs="Calibri-Bold"/>
                <w:bCs/>
                <w:lang w:eastAsia="en-US"/>
              </w:rPr>
            </w:pPr>
            <w:r w:rsidRPr="006B1A5A">
              <w:rPr>
                <w:rFonts w:eastAsiaTheme="minorHAnsi" w:cs="Calibri-Bold"/>
                <w:bCs/>
                <w:lang w:eastAsia="en-US"/>
              </w:rPr>
              <w:t>Fagerlid, S.</w:t>
            </w:r>
          </w:p>
        </w:tc>
        <w:tc>
          <w:tcPr>
            <w:tcW w:w="1540" w:type="dxa"/>
          </w:tcPr>
          <w:p w14:paraId="678E485F" w14:textId="0A4CC432" w:rsidR="001042DA" w:rsidRPr="006B1A5A" w:rsidRDefault="001042DA" w:rsidP="00AF2AEA">
            <w:pPr>
              <w:pStyle w:val="Absatz"/>
              <w:ind w:left="0"/>
              <w:rPr>
                <w:rFonts w:ascii="Berlin Sans FB" w:hAnsi="Berlin Sans FB"/>
                <w:lang w:eastAsia="en-US"/>
              </w:rPr>
            </w:pPr>
            <w:r w:rsidRPr="006B1A5A">
              <w:rPr>
                <w:rFonts w:ascii="Verdana" w:eastAsiaTheme="minorHAnsi" w:hAnsi="Verdana" w:cs="Calibri-Bold"/>
                <w:bCs/>
                <w:lang w:eastAsia="en-US"/>
              </w:rPr>
              <w:t>2017</w:t>
            </w:r>
            <w:r w:rsidR="0052404B">
              <w:rPr>
                <w:rFonts w:ascii="Verdana" w:eastAsiaTheme="minorHAnsi" w:hAnsi="Verdana" w:cs="Calibri-Bold"/>
                <w:bCs/>
                <w:lang w:eastAsia="en-US"/>
              </w:rPr>
              <w:t>a</w:t>
            </w:r>
          </w:p>
        </w:tc>
        <w:tc>
          <w:tcPr>
            <w:tcW w:w="4716" w:type="dxa"/>
          </w:tcPr>
          <w:p w14:paraId="587B5966" w14:textId="77777777" w:rsidR="001042DA" w:rsidRPr="006B1A5A" w:rsidRDefault="001042DA" w:rsidP="00AF2AEA">
            <w:pPr>
              <w:autoSpaceDE w:val="0"/>
              <w:autoSpaceDN w:val="0"/>
              <w:adjustRightInd w:val="0"/>
              <w:rPr>
                <w:rFonts w:eastAsiaTheme="minorHAnsi" w:cs="Calibri-Bold"/>
                <w:bCs/>
                <w:lang w:eastAsia="en-US"/>
              </w:rPr>
            </w:pPr>
            <w:r w:rsidRPr="006B1A5A">
              <w:rPr>
                <w:rFonts w:eastAsiaTheme="minorHAnsi" w:cs="Calibri-Bold"/>
                <w:bCs/>
                <w:lang w:eastAsia="en-US"/>
              </w:rPr>
              <w:t>AquaNet HG360 Greece 2017</w:t>
            </w:r>
          </w:p>
          <w:p w14:paraId="0F2185AF" w14:textId="77777777" w:rsidR="001042DA" w:rsidRPr="006B1A5A" w:rsidRDefault="001042DA" w:rsidP="00AF2AEA">
            <w:pPr>
              <w:autoSpaceDE w:val="0"/>
              <w:autoSpaceDN w:val="0"/>
              <w:adjustRightInd w:val="0"/>
              <w:rPr>
                <w:rFonts w:eastAsiaTheme="minorHAnsi" w:cs="Calibri-Bold"/>
                <w:bCs/>
                <w:lang w:eastAsia="en-US"/>
              </w:rPr>
            </w:pPr>
            <w:r w:rsidRPr="006B1A5A">
              <w:rPr>
                <w:rFonts w:eastAsiaTheme="minorHAnsi" w:cs="Calibri-Bold"/>
                <w:bCs/>
                <w:lang w:eastAsia="en-US"/>
              </w:rPr>
              <w:t>Report No. DOKID-1294561088-222</w:t>
            </w:r>
          </w:p>
          <w:p w14:paraId="14124612" w14:textId="77777777" w:rsidR="001042DA" w:rsidRPr="006B1A5A" w:rsidRDefault="001042DA" w:rsidP="00AF2AEA">
            <w:pPr>
              <w:autoSpaceDE w:val="0"/>
              <w:autoSpaceDN w:val="0"/>
              <w:adjustRightInd w:val="0"/>
              <w:rPr>
                <w:rFonts w:eastAsiaTheme="minorHAnsi" w:cs="Calibri-Bold"/>
                <w:bCs/>
                <w:lang w:eastAsia="en-US"/>
              </w:rPr>
            </w:pPr>
            <w:r w:rsidRPr="006B1A5A">
              <w:rPr>
                <w:rFonts w:eastAsiaTheme="minorHAnsi" w:cs="Calibri-Bold"/>
                <w:bCs/>
                <w:lang w:eastAsia="en-US"/>
              </w:rPr>
              <w:t>No</w:t>
            </w:r>
          </w:p>
          <w:p w14:paraId="1C16DC8F" w14:textId="77777777" w:rsidR="001042DA" w:rsidRPr="006B1A5A" w:rsidRDefault="001042DA" w:rsidP="00AF2AEA">
            <w:pPr>
              <w:pStyle w:val="Absatz"/>
              <w:ind w:left="0"/>
              <w:rPr>
                <w:rFonts w:ascii="Verdana" w:hAnsi="Verdana"/>
                <w:lang w:eastAsia="en-US"/>
              </w:rPr>
            </w:pPr>
            <w:r w:rsidRPr="006B1A5A">
              <w:rPr>
                <w:rFonts w:ascii="Verdana" w:eastAsiaTheme="minorHAnsi" w:hAnsi="Verdana" w:cs="Calibri-Bold"/>
                <w:bCs/>
                <w:lang w:eastAsia="en-US"/>
              </w:rPr>
              <w:t>No</w:t>
            </w:r>
          </w:p>
        </w:tc>
        <w:tc>
          <w:tcPr>
            <w:tcW w:w="1540" w:type="dxa"/>
          </w:tcPr>
          <w:p w14:paraId="34182062" w14:textId="77777777" w:rsidR="001042DA" w:rsidRPr="006B1A5A" w:rsidRDefault="001042DA" w:rsidP="00AF2AEA">
            <w:pPr>
              <w:pStyle w:val="Absatz"/>
              <w:ind w:left="0"/>
              <w:rPr>
                <w:rFonts w:ascii="Berlin Sans FB" w:hAnsi="Berlin Sans FB"/>
                <w:lang w:eastAsia="en-US"/>
              </w:rPr>
            </w:pPr>
            <w:r w:rsidRPr="006B1A5A">
              <w:rPr>
                <w:rFonts w:ascii="Verdana" w:hAnsi="Verdana"/>
                <w:lang w:eastAsia="en-US"/>
              </w:rPr>
              <w:t>Steen-Hansen</w:t>
            </w:r>
          </w:p>
        </w:tc>
      </w:tr>
      <w:tr w:rsidR="001042DA" w:rsidRPr="006B1A5A" w14:paraId="43C9FF61" w14:textId="77777777" w:rsidTr="00AF2AEA">
        <w:tc>
          <w:tcPr>
            <w:tcW w:w="1541" w:type="dxa"/>
          </w:tcPr>
          <w:p w14:paraId="1F8A36CC" w14:textId="65FC86E8" w:rsidR="001042DA" w:rsidRPr="006B1A5A" w:rsidRDefault="001042DA" w:rsidP="00AF2AEA">
            <w:pPr>
              <w:pStyle w:val="Absatz"/>
              <w:ind w:left="0"/>
              <w:rPr>
                <w:rFonts w:ascii="Berlin Sans FB" w:hAnsi="Berlin Sans FB"/>
                <w:lang w:eastAsia="en-US"/>
              </w:rPr>
            </w:pPr>
            <w:r w:rsidRPr="006B1A5A">
              <w:rPr>
                <w:rFonts w:ascii="Verdana" w:eastAsiaTheme="minorHAnsi" w:hAnsi="Verdana" w:cs="Calibri-Bold"/>
                <w:bCs/>
                <w:lang w:eastAsia="en-US"/>
              </w:rPr>
              <w:t>Fagerlid, S.</w:t>
            </w:r>
          </w:p>
        </w:tc>
        <w:tc>
          <w:tcPr>
            <w:tcW w:w="1540" w:type="dxa"/>
          </w:tcPr>
          <w:p w14:paraId="1464EA08" w14:textId="3E0F5BC0" w:rsidR="001042DA" w:rsidRPr="006B1A5A" w:rsidRDefault="001042DA" w:rsidP="00AF2AEA">
            <w:pPr>
              <w:pStyle w:val="Absatz"/>
              <w:ind w:left="0"/>
              <w:rPr>
                <w:rFonts w:ascii="Berlin Sans FB" w:hAnsi="Berlin Sans FB"/>
                <w:lang w:eastAsia="en-US"/>
              </w:rPr>
            </w:pPr>
            <w:r w:rsidRPr="006B1A5A">
              <w:rPr>
                <w:rFonts w:ascii="Verdana" w:eastAsiaTheme="minorHAnsi" w:hAnsi="Verdana" w:cs="Calibri-Bold"/>
                <w:bCs/>
                <w:lang w:eastAsia="en-US"/>
              </w:rPr>
              <w:t>2017</w:t>
            </w:r>
            <w:r w:rsidR="0052404B">
              <w:rPr>
                <w:rFonts w:ascii="Verdana" w:eastAsiaTheme="minorHAnsi" w:hAnsi="Verdana" w:cs="Calibri-Bold"/>
                <w:bCs/>
                <w:lang w:eastAsia="en-US"/>
              </w:rPr>
              <w:t>b</w:t>
            </w:r>
          </w:p>
        </w:tc>
        <w:tc>
          <w:tcPr>
            <w:tcW w:w="4716" w:type="dxa"/>
          </w:tcPr>
          <w:p w14:paraId="7E72F80A" w14:textId="77777777" w:rsidR="001042DA" w:rsidRPr="006B1A5A" w:rsidRDefault="001042DA" w:rsidP="00AF2AEA">
            <w:pPr>
              <w:autoSpaceDE w:val="0"/>
              <w:autoSpaceDN w:val="0"/>
              <w:adjustRightInd w:val="0"/>
              <w:rPr>
                <w:rFonts w:eastAsiaTheme="minorHAnsi" w:cs="Calibri-Bold"/>
                <w:bCs/>
                <w:lang w:eastAsia="en-US"/>
              </w:rPr>
            </w:pPr>
            <w:r w:rsidRPr="006B1A5A">
              <w:rPr>
                <w:rFonts w:eastAsiaTheme="minorHAnsi" w:cs="Calibri-Bold"/>
                <w:bCs/>
                <w:lang w:eastAsia="en-US"/>
              </w:rPr>
              <w:t>AquaNet LG360 Greece 2017</w:t>
            </w:r>
          </w:p>
          <w:p w14:paraId="1BA28E3F" w14:textId="77777777" w:rsidR="001042DA" w:rsidRPr="006B1A5A" w:rsidRDefault="001042DA" w:rsidP="00AF2AEA">
            <w:pPr>
              <w:autoSpaceDE w:val="0"/>
              <w:autoSpaceDN w:val="0"/>
              <w:adjustRightInd w:val="0"/>
              <w:rPr>
                <w:rFonts w:eastAsiaTheme="minorHAnsi" w:cs="Calibri-Bold"/>
                <w:bCs/>
                <w:lang w:eastAsia="en-US"/>
              </w:rPr>
            </w:pPr>
            <w:r w:rsidRPr="006B1A5A">
              <w:rPr>
                <w:rFonts w:eastAsiaTheme="minorHAnsi" w:cs="Calibri-Bold"/>
                <w:bCs/>
                <w:lang w:eastAsia="en-US"/>
              </w:rPr>
              <w:t>Report No. DOKID-1294561088-223</w:t>
            </w:r>
          </w:p>
          <w:p w14:paraId="4637CF0B" w14:textId="77777777" w:rsidR="001042DA" w:rsidRPr="006B1A5A" w:rsidRDefault="001042DA" w:rsidP="00AF2AEA">
            <w:pPr>
              <w:autoSpaceDE w:val="0"/>
              <w:autoSpaceDN w:val="0"/>
              <w:adjustRightInd w:val="0"/>
              <w:rPr>
                <w:rFonts w:eastAsiaTheme="minorHAnsi" w:cs="Calibri-Bold"/>
                <w:bCs/>
                <w:lang w:eastAsia="en-US"/>
              </w:rPr>
            </w:pPr>
            <w:r w:rsidRPr="006B1A5A">
              <w:rPr>
                <w:rFonts w:eastAsiaTheme="minorHAnsi" w:cs="Calibri-Bold"/>
                <w:bCs/>
                <w:lang w:eastAsia="en-US"/>
              </w:rPr>
              <w:t>No</w:t>
            </w:r>
          </w:p>
          <w:p w14:paraId="660EAFC3" w14:textId="77777777" w:rsidR="001042DA" w:rsidRPr="006B1A5A" w:rsidRDefault="001042DA" w:rsidP="00AF2AEA">
            <w:pPr>
              <w:pStyle w:val="Absatz"/>
              <w:ind w:left="0"/>
              <w:rPr>
                <w:rFonts w:ascii="Berlin Sans FB" w:hAnsi="Berlin Sans FB"/>
                <w:lang w:eastAsia="en-US"/>
              </w:rPr>
            </w:pPr>
            <w:r w:rsidRPr="006B1A5A">
              <w:rPr>
                <w:rFonts w:ascii="Verdana" w:eastAsiaTheme="minorHAnsi" w:hAnsi="Verdana" w:cs="Calibri-Bold"/>
                <w:bCs/>
                <w:lang w:eastAsia="en-US"/>
              </w:rPr>
              <w:t>No</w:t>
            </w:r>
          </w:p>
        </w:tc>
        <w:tc>
          <w:tcPr>
            <w:tcW w:w="1540" w:type="dxa"/>
          </w:tcPr>
          <w:p w14:paraId="5C79B2B7" w14:textId="77777777" w:rsidR="001042DA" w:rsidRPr="006B1A5A" w:rsidRDefault="001042DA" w:rsidP="00AF2AEA">
            <w:pPr>
              <w:pStyle w:val="Absatz"/>
              <w:ind w:left="0"/>
              <w:rPr>
                <w:rFonts w:ascii="Verdana" w:hAnsi="Verdana"/>
                <w:lang w:eastAsia="en-US"/>
              </w:rPr>
            </w:pPr>
            <w:r w:rsidRPr="006B1A5A">
              <w:rPr>
                <w:rFonts w:ascii="Verdana" w:hAnsi="Verdana"/>
                <w:lang w:eastAsia="en-US"/>
              </w:rPr>
              <w:t>Steen-Hansen</w:t>
            </w:r>
          </w:p>
        </w:tc>
      </w:tr>
      <w:tr w:rsidR="001C66C7" w:rsidRPr="006B1A5A" w14:paraId="07276163" w14:textId="77777777" w:rsidTr="00FB1998">
        <w:tc>
          <w:tcPr>
            <w:tcW w:w="1541" w:type="dxa"/>
          </w:tcPr>
          <w:p w14:paraId="2D0C3FDF" w14:textId="77777777" w:rsidR="001C66C7" w:rsidRPr="006B1A5A" w:rsidRDefault="001C66C7" w:rsidP="00FB1998">
            <w:pPr>
              <w:autoSpaceDE w:val="0"/>
              <w:autoSpaceDN w:val="0"/>
              <w:adjustRightInd w:val="0"/>
              <w:rPr>
                <w:rFonts w:eastAsiaTheme="minorHAnsi" w:cs="Calibri-Bold"/>
                <w:bCs/>
                <w:lang w:eastAsia="en-US"/>
              </w:rPr>
            </w:pPr>
            <w:r w:rsidRPr="006B1A5A">
              <w:rPr>
                <w:lang w:eastAsia="en-US"/>
              </w:rPr>
              <w:t>Fischer, A</w:t>
            </w:r>
          </w:p>
        </w:tc>
        <w:tc>
          <w:tcPr>
            <w:tcW w:w="1540" w:type="dxa"/>
          </w:tcPr>
          <w:p w14:paraId="49FB1232" w14:textId="77777777" w:rsidR="001C66C7" w:rsidRPr="006B1A5A" w:rsidRDefault="001C66C7" w:rsidP="00FB1998">
            <w:pPr>
              <w:autoSpaceDE w:val="0"/>
              <w:autoSpaceDN w:val="0"/>
              <w:adjustRightInd w:val="0"/>
              <w:rPr>
                <w:rFonts w:eastAsiaTheme="minorHAnsi" w:cs="Calibri-Bold"/>
                <w:bCs/>
                <w:lang w:eastAsia="en-US"/>
              </w:rPr>
            </w:pPr>
            <w:r w:rsidRPr="006B1A5A">
              <w:rPr>
                <w:rFonts w:eastAsiaTheme="minorHAnsi" w:cs="Calibri-Bold"/>
                <w:bCs/>
                <w:lang w:eastAsia="en-US"/>
              </w:rPr>
              <w:t>2017</w:t>
            </w:r>
          </w:p>
        </w:tc>
        <w:tc>
          <w:tcPr>
            <w:tcW w:w="4716" w:type="dxa"/>
          </w:tcPr>
          <w:p w14:paraId="3FF5ED3E" w14:textId="77777777" w:rsidR="001C66C7" w:rsidRPr="006B1A5A" w:rsidRDefault="001C66C7" w:rsidP="00FB1998">
            <w:pPr>
              <w:pStyle w:val="Absatz"/>
              <w:keepNext/>
              <w:ind w:left="0"/>
              <w:rPr>
                <w:rFonts w:ascii="Verdana" w:hAnsi="Verdana"/>
                <w:lang w:eastAsia="en-US"/>
              </w:rPr>
            </w:pPr>
            <w:r w:rsidRPr="006B1A5A">
              <w:rPr>
                <w:rFonts w:ascii="Verdana" w:hAnsi="Verdana"/>
                <w:lang w:eastAsia="en-US"/>
              </w:rPr>
              <w:t>Interim report 3 months AquaNet HG360</w:t>
            </w:r>
          </w:p>
          <w:p w14:paraId="589B3EA3" w14:textId="77777777" w:rsidR="001C66C7" w:rsidRPr="006B1A5A" w:rsidRDefault="001C66C7" w:rsidP="00FB1998">
            <w:pPr>
              <w:pStyle w:val="Absatz"/>
              <w:keepNext/>
              <w:ind w:left="0"/>
              <w:rPr>
                <w:rFonts w:ascii="Verdana" w:hAnsi="Verdana"/>
                <w:lang w:eastAsia="en-US"/>
              </w:rPr>
            </w:pPr>
            <w:r w:rsidRPr="006B1A5A">
              <w:rPr>
                <w:rFonts w:ascii="Verdana" w:hAnsi="Verdana"/>
                <w:lang w:eastAsia="en-US"/>
              </w:rPr>
              <w:t>7PO4987-02</w:t>
            </w:r>
          </w:p>
          <w:p w14:paraId="56BEC842" w14:textId="77777777" w:rsidR="001C66C7" w:rsidRPr="006B1A5A" w:rsidRDefault="001C66C7" w:rsidP="00FB1998">
            <w:pPr>
              <w:pStyle w:val="Absatz"/>
              <w:keepNext/>
              <w:ind w:left="0"/>
              <w:rPr>
                <w:rFonts w:ascii="Verdana" w:hAnsi="Verdana"/>
                <w:lang w:eastAsia="en-US"/>
              </w:rPr>
            </w:pPr>
            <w:r w:rsidRPr="006B1A5A">
              <w:rPr>
                <w:rFonts w:ascii="Verdana" w:hAnsi="Verdana"/>
                <w:lang w:eastAsia="en-US"/>
              </w:rPr>
              <w:t>RISE, Sweden</w:t>
            </w:r>
          </w:p>
          <w:p w14:paraId="70156C08" w14:textId="77777777" w:rsidR="001C66C7" w:rsidRPr="006B1A5A" w:rsidRDefault="001C66C7" w:rsidP="00FB1998">
            <w:pPr>
              <w:pStyle w:val="Absatz"/>
              <w:keepNext/>
              <w:ind w:left="0"/>
              <w:rPr>
                <w:rFonts w:ascii="Verdana" w:hAnsi="Verdana"/>
                <w:lang w:eastAsia="en-US"/>
              </w:rPr>
            </w:pPr>
            <w:r w:rsidRPr="006B1A5A">
              <w:rPr>
                <w:rFonts w:ascii="Verdana" w:hAnsi="Verdana"/>
                <w:lang w:eastAsia="en-US"/>
              </w:rPr>
              <w:t>No</w:t>
            </w:r>
          </w:p>
          <w:p w14:paraId="00DE69DE" w14:textId="77777777" w:rsidR="001C66C7" w:rsidRPr="006B1A5A" w:rsidRDefault="001C66C7" w:rsidP="00FB1998">
            <w:pPr>
              <w:autoSpaceDE w:val="0"/>
              <w:autoSpaceDN w:val="0"/>
              <w:adjustRightInd w:val="0"/>
              <w:rPr>
                <w:rFonts w:eastAsiaTheme="minorHAnsi" w:cs="Calibri-Bold"/>
                <w:bCs/>
                <w:lang w:eastAsia="en-US"/>
              </w:rPr>
            </w:pPr>
            <w:r w:rsidRPr="006B1A5A">
              <w:rPr>
                <w:lang w:eastAsia="en-US"/>
              </w:rPr>
              <w:t>No</w:t>
            </w:r>
          </w:p>
        </w:tc>
        <w:tc>
          <w:tcPr>
            <w:tcW w:w="1540" w:type="dxa"/>
          </w:tcPr>
          <w:p w14:paraId="6F901FF8" w14:textId="77777777" w:rsidR="001C66C7" w:rsidRPr="006B1A5A" w:rsidRDefault="001C66C7" w:rsidP="00FB1998">
            <w:pPr>
              <w:autoSpaceDE w:val="0"/>
              <w:autoSpaceDN w:val="0"/>
              <w:adjustRightInd w:val="0"/>
              <w:rPr>
                <w:lang w:eastAsia="en-US"/>
              </w:rPr>
            </w:pPr>
            <w:r w:rsidRPr="006B1A5A">
              <w:rPr>
                <w:lang w:eastAsia="en-US"/>
              </w:rPr>
              <w:t>Steen-Hansen</w:t>
            </w:r>
          </w:p>
        </w:tc>
      </w:tr>
      <w:tr w:rsidR="001C66C7" w:rsidRPr="006B1A5A" w14:paraId="682E53F2" w14:textId="77777777" w:rsidTr="00FB1998">
        <w:tc>
          <w:tcPr>
            <w:tcW w:w="1541" w:type="dxa"/>
          </w:tcPr>
          <w:p w14:paraId="44A010BD" w14:textId="77777777" w:rsidR="001C66C7" w:rsidRPr="000E5A33" w:rsidRDefault="001C66C7" w:rsidP="00FB1998">
            <w:pPr>
              <w:autoSpaceDE w:val="0"/>
              <w:autoSpaceDN w:val="0"/>
              <w:adjustRightInd w:val="0"/>
              <w:rPr>
                <w:lang w:eastAsia="en-US"/>
              </w:rPr>
            </w:pPr>
            <w:r w:rsidRPr="000E5A33">
              <w:rPr>
                <w:lang w:eastAsia="en-US"/>
              </w:rPr>
              <w:t>Fischer, A</w:t>
            </w:r>
          </w:p>
        </w:tc>
        <w:tc>
          <w:tcPr>
            <w:tcW w:w="1540" w:type="dxa"/>
          </w:tcPr>
          <w:p w14:paraId="4BAEF874" w14:textId="235C0ECE" w:rsidR="001C66C7" w:rsidRPr="000E5A33" w:rsidRDefault="001C66C7" w:rsidP="00FB1998">
            <w:pPr>
              <w:autoSpaceDE w:val="0"/>
              <w:autoSpaceDN w:val="0"/>
              <w:adjustRightInd w:val="0"/>
              <w:rPr>
                <w:rFonts w:eastAsiaTheme="minorHAnsi" w:cs="Calibri-Bold"/>
                <w:bCs/>
                <w:lang w:eastAsia="en-US"/>
              </w:rPr>
            </w:pPr>
            <w:r w:rsidRPr="000E5A33">
              <w:rPr>
                <w:rFonts w:eastAsiaTheme="minorHAnsi" w:cs="Calibri-Bold"/>
                <w:bCs/>
                <w:lang w:eastAsia="en-US"/>
              </w:rPr>
              <w:t>2018a</w:t>
            </w:r>
          </w:p>
        </w:tc>
        <w:tc>
          <w:tcPr>
            <w:tcW w:w="4716" w:type="dxa"/>
          </w:tcPr>
          <w:p w14:paraId="127E5329" w14:textId="77777777" w:rsidR="001C66C7" w:rsidRPr="000E5A33" w:rsidRDefault="001C66C7" w:rsidP="00FB1998">
            <w:pPr>
              <w:pStyle w:val="Absatz"/>
              <w:keepNext/>
              <w:ind w:left="0"/>
              <w:rPr>
                <w:rFonts w:ascii="Verdana" w:hAnsi="Verdana"/>
                <w:lang w:eastAsia="en-US"/>
              </w:rPr>
            </w:pPr>
            <w:r w:rsidRPr="000E5A33">
              <w:rPr>
                <w:rFonts w:ascii="Verdana" w:hAnsi="Verdana"/>
                <w:lang w:eastAsia="en-US"/>
              </w:rPr>
              <w:t>Interim report 6 months AquaNet HG360</w:t>
            </w:r>
          </w:p>
          <w:p w14:paraId="1348F748" w14:textId="77777777" w:rsidR="001C66C7" w:rsidRPr="000E5A33" w:rsidRDefault="001C66C7" w:rsidP="00FB1998">
            <w:pPr>
              <w:pStyle w:val="Absatz"/>
              <w:keepNext/>
              <w:ind w:left="0"/>
              <w:rPr>
                <w:rFonts w:ascii="Verdana" w:hAnsi="Verdana"/>
                <w:lang w:eastAsia="en-US"/>
              </w:rPr>
            </w:pPr>
            <w:r w:rsidRPr="000E5A33">
              <w:rPr>
                <w:rFonts w:ascii="Verdana" w:hAnsi="Verdana"/>
                <w:lang w:eastAsia="en-US"/>
              </w:rPr>
              <w:t>7PO4987-02</w:t>
            </w:r>
          </w:p>
          <w:p w14:paraId="71433F26" w14:textId="77777777" w:rsidR="001C66C7" w:rsidRPr="000E5A33" w:rsidRDefault="001C66C7" w:rsidP="00FB1998">
            <w:pPr>
              <w:pStyle w:val="Absatz"/>
              <w:keepNext/>
              <w:ind w:left="0"/>
              <w:rPr>
                <w:rFonts w:ascii="Verdana" w:hAnsi="Verdana"/>
                <w:lang w:eastAsia="en-US"/>
              </w:rPr>
            </w:pPr>
            <w:r w:rsidRPr="000E5A33">
              <w:rPr>
                <w:rFonts w:ascii="Verdana" w:hAnsi="Verdana"/>
                <w:lang w:eastAsia="en-US"/>
              </w:rPr>
              <w:t>RISE, Sweden</w:t>
            </w:r>
          </w:p>
          <w:p w14:paraId="3BDA8546" w14:textId="77777777" w:rsidR="001C66C7" w:rsidRPr="000E5A33" w:rsidRDefault="001C66C7" w:rsidP="00FB1998">
            <w:pPr>
              <w:pStyle w:val="Absatz"/>
              <w:keepNext/>
              <w:ind w:left="0"/>
              <w:rPr>
                <w:rFonts w:ascii="Verdana" w:hAnsi="Verdana"/>
                <w:lang w:eastAsia="en-US"/>
              </w:rPr>
            </w:pPr>
            <w:r w:rsidRPr="000E5A33">
              <w:rPr>
                <w:rFonts w:ascii="Verdana" w:hAnsi="Verdana"/>
                <w:lang w:eastAsia="en-US"/>
              </w:rPr>
              <w:t>No</w:t>
            </w:r>
          </w:p>
          <w:p w14:paraId="49379AA2" w14:textId="77777777" w:rsidR="001C66C7" w:rsidRPr="000E5A33" w:rsidRDefault="001C66C7" w:rsidP="00FB1998">
            <w:pPr>
              <w:autoSpaceDE w:val="0"/>
              <w:autoSpaceDN w:val="0"/>
              <w:adjustRightInd w:val="0"/>
              <w:rPr>
                <w:rFonts w:eastAsiaTheme="minorHAnsi" w:cs="Calibri-Bold"/>
                <w:bCs/>
                <w:lang w:eastAsia="en-US"/>
              </w:rPr>
            </w:pPr>
            <w:r w:rsidRPr="000E5A33">
              <w:rPr>
                <w:lang w:eastAsia="en-US"/>
              </w:rPr>
              <w:t>No</w:t>
            </w:r>
          </w:p>
        </w:tc>
        <w:tc>
          <w:tcPr>
            <w:tcW w:w="1540" w:type="dxa"/>
          </w:tcPr>
          <w:p w14:paraId="75340846" w14:textId="77777777" w:rsidR="001C66C7" w:rsidRPr="000E5A33" w:rsidRDefault="001C66C7" w:rsidP="00FB1998">
            <w:pPr>
              <w:pStyle w:val="Absatz"/>
              <w:ind w:left="0"/>
              <w:rPr>
                <w:rFonts w:ascii="Verdana" w:hAnsi="Verdana"/>
                <w:lang w:eastAsia="en-US"/>
              </w:rPr>
            </w:pPr>
            <w:r w:rsidRPr="000E5A33">
              <w:rPr>
                <w:rFonts w:ascii="Verdana" w:hAnsi="Verdana"/>
                <w:lang w:eastAsia="en-US"/>
              </w:rPr>
              <w:t>Steen-Hansen</w:t>
            </w:r>
          </w:p>
        </w:tc>
      </w:tr>
      <w:tr w:rsidR="001C66C7" w:rsidRPr="006B1A5A" w14:paraId="4F9CDA95" w14:textId="77777777" w:rsidTr="00FB1998">
        <w:tc>
          <w:tcPr>
            <w:tcW w:w="1541" w:type="dxa"/>
          </w:tcPr>
          <w:p w14:paraId="5457681E" w14:textId="77777777" w:rsidR="001C66C7" w:rsidRPr="000E5A33" w:rsidRDefault="001C66C7" w:rsidP="00FB1998">
            <w:pPr>
              <w:autoSpaceDE w:val="0"/>
              <w:autoSpaceDN w:val="0"/>
              <w:adjustRightInd w:val="0"/>
              <w:rPr>
                <w:lang w:eastAsia="en-US"/>
              </w:rPr>
            </w:pPr>
            <w:r w:rsidRPr="000E5A33">
              <w:rPr>
                <w:lang w:eastAsia="en-US"/>
              </w:rPr>
              <w:t>Fischer, A</w:t>
            </w:r>
          </w:p>
        </w:tc>
        <w:tc>
          <w:tcPr>
            <w:tcW w:w="1540" w:type="dxa"/>
          </w:tcPr>
          <w:p w14:paraId="384234BE" w14:textId="4F7A56AD" w:rsidR="001C66C7" w:rsidRPr="000E5A33" w:rsidRDefault="001C66C7" w:rsidP="00FB1998">
            <w:pPr>
              <w:autoSpaceDE w:val="0"/>
              <w:autoSpaceDN w:val="0"/>
              <w:adjustRightInd w:val="0"/>
              <w:rPr>
                <w:rFonts w:eastAsiaTheme="minorHAnsi" w:cs="Calibri-Bold"/>
                <w:bCs/>
                <w:lang w:eastAsia="en-US"/>
              </w:rPr>
            </w:pPr>
            <w:r w:rsidRPr="000E5A33">
              <w:rPr>
                <w:rFonts w:eastAsiaTheme="minorHAnsi" w:cs="Calibri-Bold"/>
                <w:bCs/>
                <w:lang w:eastAsia="en-US"/>
              </w:rPr>
              <w:t>2018b</w:t>
            </w:r>
          </w:p>
        </w:tc>
        <w:tc>
          <w:tcPr>
            <w:tcW w:w="4716" w:type="dxa"/>
          </w:tcPr>
          <w:p w14:paraId="5EEE41CD" w14:textId="77777777" w:rsidR="001C66C7" w:rsidRPr="000E5A33" w:rsidRDefault="001C66C7" w:rsidP="00FB1998">
            <w:pPr>
              <w:pStyle w:val="Absatz"/>
              <w:keepNext/>
              <w:ind w:left="0"/>
              <w:rPr>
                <w:rFonts w:ascii="Verdana" w:hAnsi="Verdana"/>
                <w:lang w:eastAsia="en-US"/>
              </w:rPr>
            </w:pPr>
            <w:r w:rsidRPr="000E5A33">
              <w:rPr>
                <w:rFonts w:ascii="Verdana" w:hAnsi="Verdana"/>
                <w:lang w:eastAsia="en-US"/>
              </w:rPr>
              <w:t>Final report 12 months AquaNet HG360</w:t>
            </w:r>
          </w:p>
          <w:p w14:paraId="755F3B13" w14:textId="77777777" w:rsidR="001C66C7" w:rsidRPr="000E5A33" w:rsidRDefault="001C66C7" w:rsidP="00FB1998">
            <w:pPr>
              <w:pStyle w:val="Absatz"/>
              <w:keepNext/>
              <w:ind w:left="0"/>
              <w:rPr>
                <w:rFonts w:ascii="Verdana" w:hAnsi="Verdana"/>
                <w:lang w:eastAsia="en-US"/>
              </w:rPr>
            </w:pPr>
            <w:r w:rsidRPr="000E5A33">
              <w:rPr>
                <w:rFonts w:ascii="Verdana" w:hAnsi="Verdana"/>
                <w:lang w:eastAsia="en-US"/>
              </w:rPr>
              <w:t>7PO4987-02b</w:t>
            </w:r>
          </w:p>
          <w:p w14:paraId="616A2D6E" w14:textId="77777777" w:rsidR="001C66C7" w:rsidRPr="000E5A33" w:rsidRDefault="001C66C7" w:rsidP="00FB1998">
            <w:pPr>
              <w:pStyle w:val="Absatz"/>
              <w:keepNext/>
              <w:ind w:left="0"/>
              <w:rPr>
                <w:rFonts w:ascii="Verdana" w:hAnsi="Verdana"/>
                <w:lang w:eastAsia="en-US"/>
              </w:rPr>
            </w:pPr>
            <w:r w:rsidRPr="000E5A33">
              <w:rPr>
                <w:rFonts w:ascii="Verdana" w:hAnsi="Verdana"/>
                <w:lang w:eastAsia="en-US"/>
              </w:rPr>
              <w:t>RISE, Sweden</w:t>
            </w:r>
          </w:p>
          <w:p w14:paraId="415DB398" w14:textId="77777777" w:rsidR="001C66C7" w:rsidRPr="000E5A33" w:rsidRDefault="001C66C7" w:rsidP="00FB1998">
            <w:pPr>
              <w:pStyle w:val="Absatz"/>
              <w:keepNext/>
              <w:ind w:left="0"/>
              <w:rPr>
                <w:rFonts w:ascii="Verdana" w:hAnsi="Verdana"/>
                <w:lang w:eastAsia="en-US"/>
              </w:rPr>
            </w:pPr>
            <w:r w:rsidRPr="000E5A33">
              <w:rPr>
                <w:rFonts w:ascii="Verdana" w:hAnsi="Verdana"/>
                <w:lang w:eastAsia="en-US"/>
              </w:rPr>
              <w:t>No</w:t>
            </w:r>
          </w:p>
          <w:p w14:paraId="42BFB7DE" w14:textId="77777777" w:rsidR="001C66C7" w:rsidRPr="000E5A33" w:rsidRDefault="001C66C7" w:rsidP="00FB1998">
            <w:pPr>
              <w:autoSpaceDE w:val="0"/>
              <w:autoSpaceDN w:val="0"/>
              <w:adjustRightInd w:val="0"/>
              <w:rPr>
                <w:rFonts w:eastAsiaTheme="minorHAnsi" w:cs="Calibri-Bold"/>
                <w:bCs/>
                <w:lang w:eastAsia="en-US"/>
              </w:rPr>
            </w:pPr>
            <w:r w:rsidRPr="000E5A33">
              <w:rPr>
                <w:lang w:eastAsia="en-US"/>
              </w:rPr>
              <w:t>No</w:t>
            </w:r>
          </w:p>
        </w:tc>
        <w:tc>
          <w:tcPr>
            <w:tcW w:w="1540" w:type="dxa"/>
          </w:tcPr>
          <w:p w14:paraId="4FFD9DD5" w14:textId="77777777" w:rsidR="001C66C7" w:rsidRPr="000E5A33" w:rsidRDefault="001C66C7" w:rsidP="00FB1998">
            <w:pPr>
              <w:pStyle w:val="Absatz"/>
              <w:ind w:left="0"/>
              <w:rPr>
                <w:rFonts w:ascii="Verdana" w:hAnsi="Verdana"/>
                <w:lang w:eastAsia="en-US"/>
              </w:rPr>
            </w:pPr>
            <w:r w:rsidRPr="000E5A33">
              <w:rPr>
                <w:rFonts w:ascii="Verdana" w:hAnsi="Verdana"/>
                <w:lang w:eastAsia="en-US"/>
              </w:rPr>
              <w:t>Steen-Hansen</w:t>
            </w:r>
          </w:p>
        </w:tc>
      </w:tr>
      <w:tr w:rsidR="001042DA" w:rsidRPr="006B1A5A" w14:paraId="0E48451A" w14:textId="77777777" w:rsidTr="00AF2AEA">
        <w:tc>
          <w:tcPr>
            <w:tcW w:w="1541" w:type="dxa"/>
          </w:tcPr>
          <w:p w14:paraId="37571178" w14:textId="60422E71" w:rsidR="001042DA" w:rsidRPr="006B1A5A" w:rsidRDefault="001042DA" w:rsidP="00AF2AEA">
            <w:pPr>
              <w:autoSpaceDE w:val="0"/>
              <w:autoSpaceDN w:val="0"/>
              <w:adjustRightInd w:val="0"/>
              <w:rPr>
                <w:rFonts w:eastAsiaTheme="minorHAnsi" w:cs="Calibri-Bold"/>
                <w:bCs/>
                <w:lang w:eastAsia="en-US"/>
              </w:rPr>
            </w:pPr>
            <w:r w:rsidRPr="006B1A5A">
              <w:rPr>
                <w:lang w:eastAsia="en-US"/>
              </w:rPr>
              <w:t>Hope, B</w:t>
            </w:r>
          </w:p>
        </w:tc>
        <w:tc>
          <w:tcPr>
            <w:tcW w:w="1540" w:type="dxa"/>
          </w:tcPr>
          <w:p w14:paraId="2245EB48" w14:textId="6E3FA752" w:rsidR="001042DA" w:rsidRPr="006B1A5A" w:rsidRDefault="001042DA" w:rsidP="00AF2AEA">
            <w:pPr>
              <w:autoSpaceDE w:val="0"/>
              <w:autoSpaceDN w:val="0"/>
              <w:adjustRightInd w:val="0"/>
              <w:rPr>
                <w:rFonts w:eastAsiaTheme="minorHAnsi" w:cs="Calibri-Bold"/>
                <w:bCs/>
                <w:lang w:eastAsia="en-US"/>
              </w:rPr>
            </w:pPr>
            <w:r w:rsidRPr="006B1A5A">
              <w:rPr>
                <w:rFonts w:eastAsiaTheme="minorHAnsi" w:cs="Calibri-Bold"/>
                <w:bCs/>
                <w:lang w:eastAsia="en-US"/>
              </w:rPr>
              <w:t>2017</w:t>
            </w:r>
            <w:r w:rsidR="0052404B">
              <w:rPr>
                <w:rFonts w:eastAsiaTheme="minorHAnsi" w:cs="Calibri-Bold"/>
                <w:bCs/>
                <w:lang w:eastAsia="en-US"/>
              </w:rPr>
              <w:t>a</w:t>
            </w:r>
          </w:p>
        </w:tc>
        <w:tc>
          <w:tcPr>
            <w:tcW w:w="4716" w:type="dxa"/>
          </w:tcPr>
          <w:p w14:paraId="6F5FF5F5" w14:textId="77777777" w:rsidR="001042DA" w:rsidRPr="006B1A5A" w:rsidRDefault="001042DA" w:rsidP="00AF2AEA">
            <w:pPr>
              <w:autoSpaceDE w:val="0"/>
              <w:autoSpaceDN w:val="0"/>
              <w:adjustRightInd w:val="0"/>
              <w:rPr>
                <w:rFonts w:eastAsiaTheme="minorHAnsi" w:cs="Calibri-Bold"/>
                <w:bCs/>
                <w:lang w:eastAsia="en-US"/>
              </w:rPr>
            </w:pPr>
            <w:r w:rsidRPr="006B1A5A">
              <w:rPr>
                <w:rFonts w:eastAsiaTheme="minorHAnsi" w:cs="Calibri-Bold"/>
                <w:bCs/>
                <w:lang w:eastAsia="en-US"/>
              </w:rPr>
              <w:t>AquaNet HG360 Norway Trial 2 2017</w:t>
            </w:r>
          </w:p>
          <w:p w14:paraId="4F6B98D0" w14:textId="77777777" w:rsidR="001042DA" w:rsidRPr="006B1A5A" w:rsidRDefault="001042DA" w:rsidP="00AF2AEA">
            <w:pPr>
              <w:autoSpaceDE w:val="0"/>
              <w:autoSpaceDN w:val="0"/>
              <w:adjustRightInd w:val="0"/>
              <w:rPr>
                <w:rFonts w:eastAsiaTheme="minorHAnsi" w:cs="Calibri-Bold"/>
                <w:bCs/>
                <w:lang w:eastAsia="en-US"/>
              </w:rPr>
            </w:pPr>
            <w:r w:rsidRPr="006B1A5A">
              <w:rPr>
                <w:rFonts w:eastAsiaTheme="minorHAnsi" w:cs="Calibri-Bold"/>
                <w:bCs/>
                <w:lang w:eastAsia="en-US"/>
              </w:rPr>
              <w:t>Report No. DOKI D-1294561088-97</w:t>
            </w:r>
          </w:p>
          <w:p w14:paraId="6DD2311C" w14:textId="77777777" w:rsidR="001042DA" w:rsidRPr="006B1A5A" w:rsidRDefault="001042DA" w:rsidP="00AF2AEA">
            <w:pPr>
              <w:autoSpaceDE w:val="0"/>
              <w:autoSpaceDN w:val="0"/>
              <w:adjustRightInd w:val="0"/>
              <w:rPr>
                <w:rFonts w:eastAsiaTheme="minorHAnsi" w:cs="Calibri-Bold"/>
                <w:bCs/>
                <w:lang w:eastAsia="en-US"/>
              </w:rPr>
            </w:pPr>
            <w:r w:rsidRPr="006B1A5A">
              <w:rPr>
                <w:rFonts w:eastAsiaTheme="minorHAnsi" w:cs="Calibri-Bold"/>
                <w:bCs/>
                <w:lang w:eastAsia="en-US"/>
              </w:rPr>
              <w:t>No</w:t>
            </w:r>
          </w:p>
          <w:p w14:paraId="33B2FF4D" w14:textId="77777777" w:rsidR="001042DA" w:rsidRPr="006B1A5A" w:rsidRDefault="001042DA" w:rsidP="00AF2AEA">
            <w:pPr>
              <w:autoSpaceDE w:val="0"/>
              <w:autoSpaceDN w:val="0"/>
              <w:adjustRightInd w:val="0"/>
              <w:rPr>
                <w:rFonts w:eastAsiaTheme="minorHAnsi" w:cs="Calibri-Bold"/>
                <w:bCs/>
                <w:lang w:eastAsia="en-US"/>
              </w:rPr>
            </w:pPr>
            <w:r w:rsidRPr="006B1A5A">
              <w:rPr>
                <w:rFonts w:eastAsiaTheme="minorHAnsi" w:cs="Calibri-Bold"/>
                <w:bCs/>
                <w:lang w:eastAsia="en-US"/>
              </w:rPr>
              <w:t>No</w:t>
            </w:r>
          </w:p>
        </w:tc>
        <w:tc>
          <w:tcPr>
            <w:tcW w:w="1540" w:type="dxa"/>
          </w:tcPr>
          <w:p w14:paraId="74F8F7D3" w14:textId="77777777" w:rsidR="001042DA" w:rsidRPr="006B1A5A" w:rsidRDefault="001042DA" w:rsidP="00AF2AEA">
            <w:pPr>
              <w:pStyle w:val="Absatz"/>
              <w:ind w:left="0"/>
              <w:rPr>
                <w:rFonts w:ascii="Verdana" w:hAnsi="Verdana"/>
                <w:lang w:eastAsia="en-US"/>
              </w:rPr>
            </w:pPr>
            <w:r w:rsidRPr="006B1A5A">
              <w:rPr>
                <w:rFonts w:ascii="Verdana" w:hAnsi="Verdana"/>
                <w:lang w:eastAsia="en-US"/>
              </w:rPr>
              <w:t>Steen-Hansen</w:t>
            </w:r>
          </w:p>
        </w:tc>
      </w:tr>
      <w:tr w:rsidR="001042DA" w:rsidRPr="006B1A5A" w14:paraId="77BA9A5E" w14:textId="77777777" w:rsidTr="00AF2AEA">
        <w:tc>
          <w:tcPr>
            <w:tcW w:w="1541" w:type="dxa"/>
          </w:tcPr>
          <w:p w14:paraId="058FBC35" w14:textId="3AD03306" w:rsidR="001042DA" w:rsidRPr="006B1A5A" w:rsidRDefault="001042DA" w:rsidP="00AF2AEA">
            <w:pPr>
              <w:autoSpaceDE w:val="0"/>
              <w:autoSpaceDN w:val="0"/>
              <w:adjustRightInd w:val="0"/>
              <w:rPr>
                <w:rFonts w:eastAsiaTheme="minorHAnsi" w:cs="Calibri-Bold"/>
                <w:bCs/>
                <w:lang w:eastAsia="en-US"/>
              </w:rPr>
            </w:pPr>
            <w:r w:rsidRPr="006B1A5A">
              <w:rPr>
                <w:lang w:eastAsia="en-US"/>
              </w:rPr>
              <w:t>Hope, B</w:t>
            </w:r>
          </w:p>
        </w:tc>
        <w:tc>
          <w:tcPr>
            <w:tcW w:w="1540" w:type="dxa"/>
          </w:tcPr>
          <w:p w14:paraId="7633F4D9" w14:textId="1B02D513" w:rsidR="001042DA" w:rsidRPr="006B1A5A" w:rsidRDefault="001042DA" w:rsidP="00AF2AEA">
            <w:pPr>
              <w:autoSpaceDE w:val="0"/>
              <w:autoSpaceDN w:val="0"/>
              <w:adjustRightInd w:val="0"/>
              <w:rPr>
                <w:rFonts w:eastAsiaTheme="minorHAnsi" w:cs="Calibri-Bold"/>
                <w:bCs/>
                <w:lang w:eastAsia="en-US"/>
              </w:rPr>
            </w:pPr>
            <w:r w:rsidRPr="006B1A5A">
              <w:rPr>
                <w:rFonts w:eastAsiaTheme="minorHAnsi" w:cs="Calibri-Bold"/>
                <w:bCs/>
                <w:lang w:eastAsia="en-US"/>
              </w:rPr>
              <w:t>2017</w:t>
            </w:r>
            <w:r w:rsidR="0052404B">
              <w:rPr>
                <w:rFonts w:eastAsiaTheme="minorHAnsi" w:cs="Calibri-Bold"/>
                <w:bCs/>
                <w:lang w:eastAsia="en-US"/>
              </w:rPr>
              <w:t>b</w:t>
            </w:r>
          </w:p>
        </w:tc>
        <w:tc>
          <w:tcPr>
            <w:tcW w:w="4716" w:type="dxa"/>
          </w:tcPr>
          <w:p w14:paraId="4245207E" w14:textId="77777777" w:rsidR="001042DA" w:rsidRPr="006B1A5A" w:rsidRDefault="001042DA" w:rsidP="00AF2AEA">
            <w:pPr>
              <w:autoSpaceDE w:val="0"/>
              <w:autoSpaceDN w:val="0"/>
              <w:adjustRightInd w:val="0"/>
              <w:rPr>
                <w:rFonts w:eastAsiaTheme="minorHAnsi" w:cs="Calibri-Bold"/>
                <w:bCs/>
                <w:lang w:eastAsia="en-US"/>
              </w:rPr>
            </w:pPr>
            <w:r w:rsidRPr="006B1A5A">
              <w:rPr>
                <w:rFonts w:eastAsiaTheme="minorHAnsi" w:cs="Calibri-Bold"/>
                <w:bCs/>
                <w:lang w:eastAsia="en-US"/>
              </w:rPr>
              <w:t>AquaNet LG360 Norway Trial 2 2017</w:t>
            </w:r>
          </w:p>
          <w:p w14:paraId="70FC5EC2" w14:textId="77777777" w:rsidR="001042DA" w:rsidRPr="006B1A5A" w:rsidRDefault="001042DA" w:rsidP="00AF2AEA">
            <w:pPr>
              <w:autoSpaceDE w:val="0"/>
              <w:autoSpaceDN w:val="0"/>
              <w:adjustRightInd w:val="0"/>
              <w:rPr>
                <w:rFonts w:eastAsiaTheme="minorHAnsi" w:cs="Calibri-Bold"/>
                <w:bCs/>
                <w:lang w:eastAsia="en-US"/>
              </w:rPr>
            </w:pPr>
            <w:r w:rsidRPr="006B1A5A">
              <w:rPr>
                <w:rFonts w:eastAsiaTheme="minorHAnsi" w:cs="Calibri-Bold"/>
                <w:bCs/>
                <w:lang w:eastAsia="en-US"/>
              </w:rPr>
              <w:t>Report No. DO Kl D-1294561088-97</w:t>
            </w:r>
          </w:p>
          <w:p w14:paraId="1CCC2247" w14:textId="77777777" w:rsidR="001042DA" w:rsidRPr="006B1A5A" w:rsidRDefault="001042DA" w:rsidP="00AF2AEA">
            <w:pPr>
              <w:autoSpaceDE w:val="0"/>
              <w:autoSpaceDN w:val="0"/>
              <w:adjustRightInd w:val="0"/>
              <w:rPr>
                <w:rFonts w:eastAsiaTheme="minorHAnsi" w:cs="Calibri-Bold"/>
                <w:bCs/>
                <w:lang w:eastAsia="en-US"/>
              </w:rPr>
            </w:pPr>
            <w:r w:rsidRPr="006B1A5A">
              <w:rPr>
                <w:rFonts w:eastAsiaTheme="minorHAnsi" w:cs="Calibri-Bold"/>
                <w:bCs/>
                <w:lang w:eastAsia="en-US"/>
              </w:rPr>
              <w:t>No</w:t>
            </w:r>
          </w:p>
          <w:p w14:paraId="5E4BC38D" w14:textId="77777777" w:rsidR="001042DA" w:rsidRPr="006B1A5A" w:rsidRDefault="001042DA" w:rsidP="00AF2AEA">
            <w:pPr>
              <w:pStyle w:val="Absatz"/>
              <w:ind w:left="0"/>
              <w:rPr>
                <w:rFonts w:ascii="Verdana" w:eastAsiaTheme="minorHAnsi" w:hAnsi="Verdana" w:cs="Calibri-Bold"/>
                <w:bCs/>
                <w:lang w:eastAsia="en-US"/>
              </w:rPr>
            </w:pPr>
            <w:r w:rsidRPr="006B1A5A">
              <w:rPr>
                <w:rFonts w:ascii="Verdana" w:eastAsiaTheme="minorHAnsi" w:hAnsi="Verdana" w:cs="Calibri-Bold"/>
                <w:bCs/>
                <w:lang w:eastAsia="en-US"/>
              </w:rPr>
              <w:t>No</w:t>
            </w:r>
          </w:p>
        </w:tc>
        <w:tc>
          <w:tcPr>
            <w:tcW w:w="1540" w:type="dxa"/>
          </w:tcPr>
          <w:p w14:paraId="1B99D62F" w14:textId="77777777" w:rsidR="001042DA" w:rsidRPr="006B1A5A" w:rsidRDefault="001042DA" w:rsidP="00AF2AEA">
            <w:pPr>
              <w:pStyle w:val="Absatz"/>
              <w:ind w:left="0"/>
              <w:rPr>
                <w:rFonts w:ascii="Verdana" w:hAnsi="Verdana"/>
                <w:lang w:eastAsia="en-US"/>
              </w:rPr>
            </w:pPr>
            <w:r w:rsidRPr="006B1A5A">
              <w:rPr>
                <w:rFonts w:ascii="Verdana" w:hAnsi="Verdana"/>
                <w:lang w:eastAsia="en-US"/>
              </w:rPr>
              <w:t>Steen-Hansen</w:t>
            </w:r>
          </w:p>
        </w:tc>
      </w:tr>
      <w:tr w:rsidR="001525A8" w:rsidRPr="006B1A5A" w14:paraId="434B6FDA" w14:textId="77777777" w:rsidTr="00AF2AEA">
        <w:tc>
          <w:tcPr>
            <w:tcW w:w="1541" w:type="dxa"/>
          </w:tcPr>
          <w:p w14:paraId="74507EEC" w14:textId="6A1BF152" w:rsidR="001525A8" w:rsidRPr="006B1A5A" w:rsidRDefault="001525A8" w:rsidP="00AF2AEA">
            <w:pPr>
              <w:autoSpaceDE w:val="0"/>
              <w:autoSpaceDN w:val="0"/>
              <w:adjustRightInd w:val="0"/>
              <w:rPr>
                <w:lang w:eastAsia="en-US"/>
              </w:rPr>
            </w:pPr>
            <w:r w:rsidRPr="006B1A5A">
              <w:rPr>
                <w:lang w:eastAsia="en-US"/>
              </w:rPr>
              <w:t>Hope, B</w:t>
            </w:r>
          </w:p>
        </w:tc>
        <w:tc>
          <w:tcPr>
            <w:tcW w:w="1540" w:type="dxa"/>
          </w:tcPr>
          <w:p w14:paraId="4F22207D" w14:textId="56B4FD1D" w:rsidR="001525A8" w:rsidRPr="006B1A5A" w:rsidRDefault="001525A8" w:rsidP="00AF2AEA">
            <w:pPr>
              <w:autoSpaceDE w:val="0"/>
              <w:autoSpaceDN w:val="0"/>
              <w:adjustRightInd w:val="0"/>
              <w:rPr>
                <w:rFonts w:eastAsiaTheme="minorHAnsi" w:cs="Calibri-Bold"/>
                <w:bCs/>
                <w:lang w:eastAsia="en-US"/>
              </w:rPr>
            </w:pPr>
            <w:r>
              <w:rPr>
                <w:rFonts w:eastAsiaTheme="minorHAnsi" w:cs="Calibri-Bold"/>
                <w:bCs/>
                <w:lang w:eastAsia="en-US"/>
              </w:rPr>
              <w:t>2018</w:t>
            </w:r>
            <w:r w:rsidR="0052404B">
              <w:rPr>
                <w:rFonts w:eastAsiaTheme="minorHAnsi" w:cs="Calibri-Bold"/>
                <w:bCs/>
                <w:lang w:eastAsia="en-US"/>
              </w:rPr>
              <w:t>a</w:t>
            </w:r>
          </w:p>
        </w:tc>
        <w:tc>
          <w:tcPr>
            <w:tcW w:w="4716" w:type="dxa"/>
          </w:tcPr>
          <w:p w14:paraId="34208A69" w14:textId="77777777" w:rsidR="001525A8" w:rsidRDefault="00B7737D" w:rsidP="00AF2AEA">
            <w:pPr>
              <w:autoSpaceDE w:val="0"/>
              <w:autoSpaceDN w:val="0"/>
              <w:adjustRightInd w:val="0"/>
              <w:rPr>
                <w:rFonts w:eastAsiaTheme="minorHAnsi" w:cs="Calibri-Bold"/>
                <w:bCs/>
                <w:lang w:eastAsia="en-US"/>
              </w:rPr>
            </w:pPr>
            <w:r>
              <w:rPr>
                <w:rFonts w:eastAsiaTheme="minorHAnsi" w:cs="Calibri-Bold"/>
                <w:bCs/>
                <w:lang w:eastAsia="en-US"/>
              </w:rPr>
              <w:t>AquaNet HG360 Norway 2018</w:t>
            </w:r>
          </w:p>
          <w:p w14:paraId="6DF42DBA" w14:textId="77777777" w:rsidR="00B7737D" w:rsidRDefault="00B7737D" w:rsidP="00AF2AEA">
            <w:pPr>
              <w:autoSpaceDE w:val="0"/>
              <w:autoSpaceDN w:val="0"/>
              <w:adjustRightInd w:val="0"/>
              <w:rPr>
                <w:rFonts w:eastAsiaTheme="minorHAnsi" w:cs="Calibri-Bold"/>
                <w:bCs/>
                <w:lang w:eastAsia="en-US"/>
              </w:rPr>
            </w:pPr>
            <w:r>
              <w:rPr>
                <w:rFonts w:eastAsiaTheme="minorHAnsi" w:cs="Calibri-Bold"/>
                <w:bCs/>
                <w:lang w:eastAsia="en-US"/>
              </w:rPr>
              <w:t>Report number. DOKID-1294561088-97</w:t>
            </w:r>
          </w:p>
          <w:p w14:paraId="6F8BECAE" w14:textId="77777777" w:rsidR="00B7737D" w:rsidRDefault="00B7737D" w:rsidP="00AF2AEA">
            <w:pPr>
              <w:autoSpaceDE w:val="0"/>
              <w:autoSpaceDN w:val="0"/>
              <w:adjustRightInd w:val="0"/>
              <w:rPr>
                <w:rFonts w:eastAsiaTheme="minorHAnsi" w:cs="Calibri-Bold"/>
                <w:bCs/>
                <w:lang w:eastAsia="en-US"/>
              </w:rPr>
            </w:pPr>
            <w:r>
              <w:rPr>
                <w:rFonts w:eastAsiaTheme="minorHAnsi" w:cs="Calibri-Bold"/>
                <w:bCs/>
                <w:lang w:eastAsia="en-US"/>
              </w:rPr>
              <w:t>No</w:t>
            </w:r>
          </w:p>
          <w:p w14:paraId="6B4545E2" w14:textId="3B3BC70D" w:rsidR="00B7737D" w:rsidRPr="006B1A5A" w:rsidRDefault="00B7737D" w:rsidP="00AF2AEA">
            <w:pPr>
              <w:autoSpaceDE w:val="0"/>
              <w:autoSpaceDN w:val="0"/>
              <w:adjustRightInd w:val="0"/>
              <w:rPr>
                <w:rFonts w:eastAsiaTheme="minorHAnsi" w:cs="Calibri-Bold"/>
                <w:bCs/>
                <w:lang w:eastAsia="en-US"/>
              </w:rPr>
            </w:pPr>
            <w:r>
              <w:rPr>
                <w:rFonts w:eastAsiaTheme="minorHAnsi" w:cs="Calibri-Bold"/>
                <w:bCs/>
                <w:lang w:eastAsia="en-US"/>
              </w:rPr>
              <w:t>No</w:t>
            </w:r>
          </w:p>
        </w:tc>
        <w:tc>
          <w:tcPr>
            <w:tcW w:w="1540" w:type="dxa"/>
          </w:tcPr>
          <w:p w14:paraId="5B96CD36" w14:textId="6D72AA0B" w:rsidR="001525A8" w:rsidRPr="006B1A5A" w:rsidRDefault="001525A8" w:rsidP="00AF2AEA">
            <w:pPr>
              <w:pStyle w:val="Absatz"/>
              <w:ind w:left="0"/>
              <w:rPr>
                <w:rFonts w:ascii="Verdana" w:hAnsi="Verdana"/>
                <w:lang w:eastAsia="en-US"/>
              </w:rPr>
            </w:pPr>
            <w:r w:rsidRPr="006B1A5A">
              <w:rPr>
                <w:rFonts w:ascii="Verdana" w:hAnsi="Verdana"/>
                <w:lang w:eastAsia="en-US"/>
              </w:rPr>
              <w:t>Steen-Hansen</w:t>
            </w:r>
          </w:p>
        </w:tc>
      </w:tr>
      <w:tr w:rsidR="001525A8" w:rsidRPr="006B1A5A" w14:paraId="79A44095" w14:textId="77777777" w:rsidTr="00AF2AEA">
        <w:tc>
          <w:tcPr>
            <w:tcW w:w="1541" w:type="dxa"/>
          </w:tcPr>
          <w:p w14:paraId="400ED2DD" w14:textId="4D05B3ED" w:rsidR="001525A8" w:rsidRPr="006B1A5A" w:rsidRDefault="001525A8" w:rsidP="00AF2AEA">
            <w:pPr>
              <w:autoSpaceDE w:val="0"/>
              <w:autoSpaceDN w:val="0"/>
              <w:adjustRightInd w:val="0"/>
              <w:rPr>
                <w:lang w:eastAsia="en-US"/>
              </w:rPr>
            </w:pPr>
            <w:r w:rsidRPr="006B1A5A">
              <w:rPr>
                <w:lang w:eastAsia="en-US"/>
              </w:rPr>
              <w:t>Hope, B</w:t>
            </w:r>
          </w:p>
        </w:tc>
        <w:tc>
          <w:tcPr>
            <w:tcW w:w="1540" w:type="dxa"/>
          </w:tcPr>
          <w:p w14:paraId="13BC4BDE" w14:textId="785F18C0" w:rsidR="001525A8" w:rsidRPr="006B1A5A" w:rsidRDefault="001525A8" w:rsidP="00AF2AEA">
            <w:pPr>
              <w:autoSpaceDE w:val="0"/>
              <w:autoSpaceDN w:val="0"/>
              <w:adjustRightInd w:val="0"/>
              <w:rPr>
                <w:rFonts w:eastAsiaTheme="minorHAnsi" w:cs="Calibri-Bold"/>
                <w:bCs/>
                <w:lang w:eastAsia="en-US"/>
              </w:rPr>
            </w:pPr>
            <w:r>
              <w:rPr>
                <w:rFonts w:eastAsiaTheme="minorHAnsi" w:cs="Calibri-Bold"/>
                <w:bCs/>
                <w:lang w:eastAsia="en-US"/>
              </w:rPr>
              <w:t>2018</w:t>
            </w:r>
            <w:r w:rsidR="0052404B">
              <w:rPr>
                <w:rFonts w:eastAsiaTheme="minorHAnsi" w:cs="Calibri-Bold"/>
                <w:bCs/>
                <w:lang w:eastAsia="en-US"/>
              </w:rPr>
              <w:t>b</w:t>
            </w:r>
          </w:p>
        </w:tc>
        <w:tc>
          <w:tcPr>
            <w:tcW w:w="4716" w:type="dxa"/>
          </w:tcPr>
          <w:p w14:paraId="7C435959" w14:textId="77777777" w:rsidR="00B7737D" w:rsidRDefault="00B7737D" w:rsidP="00AF2AEA">
            <w:pPr>
              <w:autoSpaceDE w:val="0"/>
              <w:autoSpaceDN w:val="0"/>
              <w:adjustRightInd w:val="0"/>
              <w:rPr>
                <w:rFonts w:eastAsiaTheme="minorHAnsi" w:cs="Calibri-Bold"/>
                <w:bCs/>
                <w:lang w:eastAsia="en-US"/>
              </w:rPr>
            </w:pPr>
            <w:r>
              <w:rPr>
                <w:rFonts w:eastAsiaTheme="minorHAnsi" w:cs="Calibri-Bold"/>
                <w:bCs/>
                <w:lang w:eastAsia="en-US"/>
              </w:rPr>
              <w:t>AquaNet LG360 Norway 2018</w:t>
            </w:r>
          </w:p>
          <w:p w14:paraId="568A7397" w14:textId="77777777" w:rsidR="00B7737D" w:rsidRDefault="00B7737D" w:rsidP="00AF2AEA">
            <w:pPr>
              <w:autoSpaceDE w:val="0"/>
              <w:autoSpaceDN w:val="0"/>
              <w:adjustRightInd w:val="0"/>
              <w:rPr>
                <w:rFonts w:eastAsiaTheme="minorHAnsi" w:cs="Calibri-Bold"/>
                <w:bCs/>
                <w:lang w:eastAsia="en-US"/>
              </w:rPr>
            </w:pPr>
            <w:r>
              <w:rPr>
                <w:rFonts w:eastAsiaTheme="minorHAnsi" w:cs="Calibri-Bold"/>
                <w:bCs/>
                <w:lang w:eastAsia="en-US"/>
              </w:rPr>
              <w:t>Document ID. Not provided</w:t>
            </w:r>
          </w:p>
          <w:p w14:paraId="37FE933F" w14:textId="77777777" w:rsidR="00B7737D" w:rsidRDefault="00B7737D" w:rsidP="00AF2AEA">
            <w:pPr>
              <w:autoSpaceDE w:val="0"/>
              <w:autoSpaceDN w:val="0"/>
              <w:adjustRightInd w:val="0"/>
              <w:rPr>
                <w:rFonts w:eastAsiaTheme="minorHAnsi" w:cs="Calibri-Bold"/>
                <w:bCs/>
                <w:lang w:eastAsia="en-US"/>
              </w:rPr>
            </w:pPr>
            <w:r>
              <w:rPr>
                <w:rFonts w:eastAsiaTheme="minorHAnsi" w:cs="Calibri-Bold"/>
                <w:bCs/>
                <w:lang w:eastAsia="en-US"/>
              </w:rPr>
              <w:t>No</w:t>
            </w:r>
          </w:p>
          <w:p w14:paraId="39B7467C" w14:textId="5918CD8F" w:rsidR="00B7737D" w:rsidRPr="006B1A5A" w:rsidRDefault="00B7737D" w:rsidP="00AF2AEA">
            <w:pPr>
              <w:autoSpaceDE w:val="0"/>
              <w:autoSpaceDN w:val="0"/>
              <w:adjustRightInd w:val="0"/>
              <w:rPr>
                <w:rFonts w:eastAsiaTheme="minorHAnsi" w:cs="Calibri-Bold"/>
                <w:bCs/>
                <w:lang w:eastAsia="en-US"/>
              </w:rPr>
            </w:pPr>
            <w:r>
              <w:rPr>
                <w:rFonts w:eastAsiaTheme="minorHAnsi" w:cs="Calibri-Bold"/>
                <w:bCs/>
                <w:lang w:eastAsia="en-US"/>
              </w:rPr>
              <w:t>No</w:t>
            </w:r>
          </w:p>
        </w:tc>
        <w:tc>
          <w:tcPr>
            <w:tcW w:w="1540" w:type="dxa"/>
          </w:tcPr>
          <w:p w14:paraId="4717DDC9" w14:textId="62F25BE9" w:rsidR="001525A8" w:rsidRPr="006B1A5A" w:rsidRDefault="001525A8" w:rsidP="00AF2AEA">
            <w:pPr>
              <w:pStyle w:val="Absatz"/>
              <w:ind w:left="0"/>
              <w:rPr>
                <w:rFonts w:ascii="Verdana" w:hAnsi="Verdana"/>
                <w:lang w:eastAsia="en-US"/>
              </w:rPr>
            </w:pPr>
            <w:r w:rsidRPr="006B1A5A">
              <w:rPr>
                <w:rFonts w:ascii="Verdana" w:hAnsi="Verdana"/>
                <w:lang w:eastAsia="en-US"/>
              </w:rPr>
              <w:t>Steen-Hansen</w:t>
            </w:r>
          </w:p>
        </w:tc>
      </w:tr>
      <w:tr w:rsidR="001C66C7" w:rsidRPr="006B1A5A" w14:paraId="20D7571A" w14:textId="77777777" w:rsidTr="00FB1998">
        <w:tc>
          <w:tcPr>
            <w:tcW w:w="1541" w:type="dxa"/>
          </w:tcPr>
          <w:p w14:paraId="2376A9E3" w14:textId="77777777" w:rsidR="001C66C7" w:rsidRPr="006B1A5A" w:rsidRDefault="001C66C7" w:rsidP="00FB1998">
            <w:pPr>
              <w:autoSpaceDE w:val="0"/>
              <w:autoSpaceDN w:val="0"/>
              <w:adjustRightInd w:val="0"/>
              <w:rPr>
                <w:rFonts w:eastAsiaTheme="minorHAnsi" w:cs="Calibri-Bold"/>
                <w:bCs/>
                <w:lang w:eastAsia="en-US"/>
              </w:rPr>
            </w:pPr>
            <w:r w:rsidRPr="006B1A5A">
              <w:rPr>
                <w:rFonts w:eastAsiaTheme="minorHAnsi" w:cs="Calibri-Bold"/>
                <w:bCs/>
                <w:lang w:eastAsia="en-US"/>
              </w:rPr>
              <w:t>Younis S.</w:t>
            </w:r>
          </w:p>
        </w:tc>
        <w:tc>
          <w:tcPr>
            <w:tcW w:w="1540" w:type="dxa"/>
          </w:tcPr>
          <w:p w14:paraId="1A604149" w14:textId="77777777" w:rsidR="001C66C7" w:rsidRPr="006B1A5A" w:rsidRDefault="001C66C7" w:rsidP="00FB1998">
            <w:pPr>
              <w:autoSpaceDE w:val="0"/>
              <w:autoSpaceDN w:val="0"/>
              <w:adjustRightInd w:val="0"/>
              <w:rPr>
                <w:rFonts w:eastAsiaTheme="minorHAnsi" w:cs="Calibri-Bold"/>
                <w:bCs/>
                <w:lang w:eastAsia="en-US"/>
              </w:rPr>
            </w:pPr>
            <w:r w:rsidRPr="006B1A5A">
              <w:rPr>
                <w:rFonts w:eastAsiaTheme="minorHAnsi" w:cs="Calibri-Bold"/>
                <w:bCs/>
                <w:lang w:eastAsia="en-US"/>
              </w:rPr>
              <w:t>2017</w:t>
            </w:r>
          </w:p>
        </w:tc>
        <w:tc>
          <w:tcPr>
            <w:tcW w:w="4716" w:type="dxa"/>
          </w:tcPr>
          <w:p w14:paraId="79B53C7F" w14:textId="77777777" w:rsidR="001C66C7" w:rsidRPr="006B1A5A" w:rsidRDefault="001C66C7" w:rsidP="00FB1998">
            <w:pPr>
              <w:autoSpaceDE w:val="0"/>
              <w:autoSpaceDN w:val="0"/>
              <w:adjustRightInd w:val="0"/>
              <w:rPr>
                <w:rFonts w:eastAsiaTheme="minorHAnsi" w:cs="Calibri-Bold"/>
                <w:bCs/>
                <w:lang w:eastAsia="en-US"/>
              </w:rPr>
            </w:pPr>
            <w:r w:rsidRPr="006B1A5A">
              <w:rPr>
                <w:rFonts w:eastAsiaTheme="minorHAnsi" w:cs="Calibri-Bold"/>
                <w:bCs/>
                <w:lang w:eastAsia="en-US"/>
              </w:rPr>
              <w:t>Hazardous Properties Testing on a Sample of Aqua Net HG360</w:t>
            </w:r>
          </w:p>
          <w:p w14:paraId="38DED012" w14:textId="77777777" w:rsidR="001C66C7" w:rsidRPr="006B1A5A" w:rsidRDefault="001C66C7" w:rsidP="00FB1998">
            <w:pPr>
              <w:autoSpaceDE w:val="0"/>
              <w:autoSpaceDN w:val="0"/>
              <w:adjustRightInd w:val="0"/>
              <w:rPr>
                <w:rFonts w:eastAsiaTheme="minorHAnsi" w:cs="Calibri-Bold"/>
                <w:bCs/>
                <w:lang w:eastAsia="en-US"/>
              </w:rPr>
            </w:pPr>
            <w:r w:rsidRPr="006B1A5A">
              <w:rPr>
                <w:rFonts w:eastAsiaTheme="minorHAnsi" w:cs="Calibri-Bold"/>
                <w:bCs/>
                <w:lang w:eastAsia="en-US"/>
              </w:rPr>
              <w:t>Report No. GLP3016001671BR1V1/2017</w:t>
            </w:r>
          </w:p>
          <w:p w14:paraId="56E106CC" w14:textId="77777777" w:rsidR="001C66C7" w:rsidRPr="006B1A5A" w:rsidRDefault="001C66C7" w:rsidP="00FB1998">
            <w:pPr>
              <w:autoSpaceDE w:val="0"/>
              <w:autoSpaceDN w:val="0"/>
              <w:adjustRightInd w:val="0"/>
              <w:rPr>
                <w:rFonts w:eastAsiaTheme="minorHAnsi" w:cs="Calibri-Bold"/>
                <w:bCs/>
                <w:lang w:eastAsia="en-US"/>
              </w:rPr>
            </w:pPr>
            <w:r w:rsidRPr="006B1A5A">
              <w:rPr>
                <w:rFonts w:eastAsiaTheme="minorHAnsi" w:cs="Calibri-Bold"/>
                <w:bCs/>
                <w:lang w:eastAsia="en-US"/>
              </w:rPr>
              <w:t>Yes</w:t>
            </w:r>
          </w:p>
          <w:p w14:paraId="11CEAC29" w14:textId="77777777" w:rsidR="001C66C7" w:rsidRPr="006B1A5A" w:rsidRDefault="001C66C7" w:rsidP="00FB1998">
            <w:pPr>
              <w:autoSpaceDE w:val="0"/>
              <w:autoSpaceDN w:val="0"/>
              <w:adjustRightInd w:val="0"/>
              <w:rPr>
                <w:rFonts w:eastAsiaTheme="minorHAnsi" w:cs="Calibri-Bold"/>
                <w:bCs/>
                <w:lang w:eastAsia="en-US"/>
              </w:rPr>
            </w:pPr>
            <w:r w:rsidRPr="006B1A5A">
              <w:rPr>
                <w:rFonts w:eastAsiaTheme="minorHAnsi" w:cs="Calibri-Bold"/>
                <w:bCs/>
                <w:lang w:eastAsia="en-US"/>
              </w:rPr>
              <w:t>No</w:t>
            </w:r>
          </w:p>
        </w:tc>
        <w:tc>
          <w:tcPr>
            <w:tcW w:w="1540" w:type="dxa"/>
          </w:tcPr>
          <w:p w14:paraId="40AF5186" w14:textId="77777777" w:rsidR="001C66C7" w:rsidRPr="006B1A5A" w:rsidRDefault="001C66C7" w:rsidP="00FB1998">
            <w:pPr>
              <w:autoSpaceDE w:val="0"/>
              <w:autoSpaceDN w:val="0"/>
              <w:adjustRightInd w:val="0"/>
              <w:rPr>
                <w:rFonts w:eastAsiaTheme="minorHAnsi" w:cs="Calibri-Bold"/>
                <w:bCs/>
                <w:lang w:eastAsia="en-US"/>
              </w:rPr>
            </w:pPr>
            <w:r w:rsidRPr="006B1A5A">
              <w:rPr>
                <w:lang w:eastAsia="en-US"/>
              </w:rPr>
              <w:t>Steen-Hansen</w:t>
            </w:r>
          </w:p>
        </w:tc>
      </w:tr>
      <w:tr w:rsidR="00CD5149" w:rsidRPr="006B1A5A" w14:paraId="22AC88DB" w14:textId="77777777" w:rsidTr="00FB1998">
        <w:tc>
          <w:tcPr>
            <w:tcW w:w="1541" w:type="dxa"/>
          </w:tcPr>
          <w:p w14:paraId="131FB6EA" w14:textId="4EDD7D92" w:rsidR="00CD5149" w:rsidRPr="00CD5149" w:rsidRDefault="00CD5149" w:rsidP="00FB1998">
            <w:pPr>
              <w:autoSpaceDE w:val="0"/>
              <w:autoSpaceDN w:val="0"/>
              <w:adjustRightInd w:val="0"/>
              <w:rPr>
                <w:rFonts w:eastAsiaTheme="minorHAnsi" w:cs="Calibri-Bold"/>
                <w:bCs/>
                <w:lang w:eastAsia="en-US"/>
              </w:rPr>
            </w:pPr>
            <w:bookmarkStart w:id="1803" w:name="_Hlk53014476"/>
            <w:r w:rsidRPr="00CD5149">
              <w:rPr>
                <w:rFonts w:eastAsia="Calibri"/>
                <w:iCs/>
                <w:color w:val="000000"/>
                <w:lang w:eastAsia="en-GB"/>
              </w:rPr>
              <w:t xml:space="preserve">Wallace, J. </w:t>
            </w:r>
            <w:bookmarkEnd w:id="1803"/>
          </w:p>
        </w:tc>
        <w:tc>
          <w:tcPr>
            <w:tcW w:w="1540" w:type="dxa"/>
          </w:tcPr>
          <w:p w14:paraId="42B8E8B4" w14:textId="0CB9BF36" w:rsidR="00CD5149" w:rsidRPr="00CD5149" w:rsidRDefault="00CD5149" w:rsidP="00FB1998">
            <w:pPr>
              <w:autoSpaceDE w:val="0"/>
              <w:autoSpaceDN w:val="0"/>
              <w:adjustRightInd w:val="0"/>
              <w:rPr>
                <w:rFonts w:eastAsiaTheme="minorHAnsi" w:cs="Calibri-Bold"/>
                <w:bCs/>
                <w:lang w:eastAsia="en-US"/>
              </w:rPr>
            </w:pPr>
            <w:r w:rsidRPr="00CD5149">
              <w:rPr>
                <w:rFonts w:eastAsiaTheme="minorHAnsi" w:cs="Calibri-Bold"/>
                <w:bCs/>
                <w:lang w:eastAsia="en-US"/>
              </w:rPr>
              <w:t>2020</w:t>
            </w:r>
          </w:p>
        </w:tc>
        <w:tc>
          <w:tcPr>
            <w:tcW w:w="4716" w:type="dxa"/>
          </w:tcPr>
          <w:p w14:paraId="500AED8F" w14:textId="70B5DBDC" w:rsidR="00CD5149" w:rsidRPr="00EA3686" w:rsidRDefault="00CD5149" w:rsidP="00EA3686">
            <w:pPr>
              <w:autoSpaceDE w:val="0"/>
              <w:autoSpaceDN w:val="0"/>
              <w:adjustRightInd w:val="0"/>
              <w:rPr>
                <w:rFonts w:eastAsiaTheme="minorHAnsi" w:cs="Calibri-Bold"/>
                <w:bCs/>
                <w:lang w:eastAsia="en-US"/>
              </w:rPr>
            </w:pPr>
            <w:bookmarkStart w:id="1804" w:name="_Hlk53014383"/>
            <w:r w:rsidRPr="00EA3686">
              <w:rPr>
                <w:rFonts w:eastAsiaTheme="minorHAnsi" w:cs="Calibri-Bold"/>
                <w:bCs/>
                <w:lang w:eastAsia="en-US"/>
              </w:rPr>
              <w:t xml:space="preserve">The </w:t>
            </w:r>
            <w:r w:rsidRPr="00824D3D">
              <w:rPr>
                <w:rFonts w:eastAsiaTheme="minorHAnsi" w:cs="Calibri-Bold"/>
                <w:bCs/>
                <w:i/>
                <w:iCs/>
                <w:lang w:eastAsia="en-US"/>
              </w:rPr>
              <w:t>In Vitro</w:t>
            </w:r>
            <w:r w:rsidRPr="00EA3686">
              <w:rPr>
                <w:rFonts w:eastAsiaTheme="minorHAnsi" w:cs="Calibri-Bold"/>
                <w:bCs/>
                <w:lang w:eastAsia="en-US"/>
              </w:rPr>
              <w:t xml:space="preserve"> Percutaneous Absorption of Dicopper Oxide in AquaNet Premium Paint Formulation through Human Split-Thickness Skin </w:t>
            </w:r>
          </w:p>
          <w:p w14:paraId="79CC3B0F" w14:textId="7F85A38A" w:rsidR="00824D3D" w:rsidRPr="00824D3D" w:rsidRDefault="00824D3D" w:rsidP="00824D3D">
            <w:pPr>
              <w:rPr>
                <w:bCs/>
                <w:color w:val="000000" w:themeColor="text1"/>
              </w:rPr>
            </w:pPr>
            <w:r w:rsidRPr="00824D3D">
              <w:rPr>
                <w:bCs/>
                <w:color w:val="000000" w:themeColor="text1"/>
              </w:rPr>
              <w:t>Report number 786208</w:t>
            </w:r>
          </w:p>
          <w:p w14:paraId="26186A57" w14:textId="6FB784F9" w:rsidR="004711E5" w:rsidRPr="00824D3D" w:rsidRDefault="004711E5" w:rsidP="00824D3D">
            <w:pPr>
              <w:rPr>
                <w:bCs/>
                <w:color w:val="000000" w:themeColor="text1"/>
              </w:rPr>
            </w:pPr>
            <w:r>
              <w:rPr>
                <w:bCs/>
                <w:color w:val="000000" w:themeColor="text1"/>
              </w:rPr>
              <w:t>(Report amendment 1)</w:t>
            </w:r>
          </w:p>
          <w:p w14:paraId="487CC564" w14:textId="237C3498" w:rsidR="00824D3D" w:rsidRDefault="00824D3D" w:rsidP="00EA3686">
            <w:pPr>
              <w:autoSpaceDE w:val="0"/>
              <w:autoSpaceDN w:val="0"/>
              <w:adjustRightInd w:val="0"/>
              <w:rPr>
                <w:rFonts w:eastAsiaTheme="minorHAnsi" w:cs="Calibri-Bold"/>
                <w:bCs/>
                <w:lang w:eastAsia="en-US"/>
              </w:rPr>
            </w:pPr>
            <w:r>
              <w:rPr>
                <w:rFonts w:eastAsiaTheme="minorHAnsi" w:cs="Calibri-Bold"/>
                <w:bCs/>
                <w:lang w:eastAsia="en-US"/>
              </w:rPr>
              <w:t>Charles River</w:t>
            </w:r>
          </w:p>
          <w:bookmarkEnd w:id="1804"/>
          <w:p w14:paraId="3F3255FC" w14:textId="4E70626D" w:rsidR="00CD5149" w:rsidRPr="00EA3686" w:rsidRDefault="00CD5149" w:rsidP="00EA3686">
            <w:pPr>
              <w:autoSpaceDE w:val="0"/>
              <w:autoSpaceDN w:val="0"/>
              <w:adjustRightInd w:val="0"/>
              <w:rPr>
                <w:rFonts w:eastAsiaTheme="minorHAnsi" w:cs="Calibri-Bold"/>
                <w:bCs/>
                <w:lang w:eastAsia="en-US"/>
              </w:rPr>
            </w:pPr>
            <w:r w:rsidRPr="00EA3686">
              <w:rPr>
                <w:rFonts w:eastAsiaTheme="minorHAnsi" w:cs="Calibri-Bold"/>
                <w:bCs/>
                <w:lang w:eastAsia="en-US"/>
              </w:rPr>
              <w:t>Yes</w:t>
            </w:r>
          </w:p>
          <w:p w14:paraId="4AC415FC" w14:textId="69764BA1" w:rsidR="00CD5149" w:rsidRPr="00CD5149" w:rsidRDefault="00CD5149" w:rsidP="00EA3686">
            <w:pPr>
              <w:autoSpaceDE w:val="0"/>
              <w:autoSpaceDN w:val="0"/>
              <w:adjustRightInd w:val="0"/>
              <w:rPr>
                <w:rFonts w:eastAsiaTheme="minorHAnsi" w:cs="Calibri-Bold"/>
                <w:bCs/>
                <w:lang w:eastAsia="en-US"/>
              </w:rPr>
            </w:pPr>
            <w:r w:rsidRPr="00EA3686">
              <w:rPr>
                <w:rFonts w:eastAsiaTheme="minorHAnsi" w:cs="Calibri-Bold"/>
                <w:bCs/>
                <w:lang w:eastAsia="en-US"/>
              </w:rPr>
              <w:t>No</w:t>
            </w:r>
          </w:p>
        </w:tc>
        <w:tc>
          <w:tcPr>
            <w:tcW w:w="1540" w:type="dxa"/>
          </w:tcPr>
          <w:p w14:paraId="5F8C4128" w14:textId="21DBF493" w:rsidR="00CD5149" w:rsidRPr="006B1A5A" w:rsidRDefault="00CD5149" w:rsidP="00FB1998">
            <w:pPr>
              <w:autoSpaceDE w:val="0"/>
              <w:autoSpaceDN w:val="0"/>
              <w:adjustRightInd w:val="0"/>
              <w:rPr>
                <w:lang w:eastAsia="en-US"/>
              </w:rPr>
            </w:pPr>
            <w:r>
              <w:rPr>
                <w:lang w:eastAsia="en-US"/>
              </w:rPr>
              <w:t>Steen Hansen</w:t>
            </w:r>
          </w:p>
        </w:tc>
      </w:tr>
    </w:tbl>
    <w:p w14:paraId="304045E6" w14:textId="77777777" w:rsidR="001042DA" w:rsidRPr="006B1A5A" w:rsidRDefault="001042DA" w:rsidP="001042DA">
      <w:pPr>
        <w:rPr>
          <w:rFonts w:eastAsia="Calibri"/>
          <w:b/>
          <w:caps/>
          <w:sz w:val="28"/>
          <w:szCs w:val="28"/>
          <w:lang w:eastAsia="en-US"/>
        </w:rPr>
      </w:pPr>
    </w:p>
    <w:p w14:paraId="2CC65429" w14:textId="77777777" w:rsidR="001042DA" w:rsidRPr="006B1A5A" w:rsidRDefault="001042DA">
      <w:pPr>
        <w:pStyle w:val="Overskrift2"/>
      </w:pPr>
      <w:bookmarkStart w:id="1805" w:name="_Toc389729190"/>
      <w:bookmarkStart w:id="1806" w:name="_Toc403472828"/>
      <w:r w:rsidRPr="006B1A5A">
        <w:br w:type="page"/>
      </w:r>
      <w:bookmarkStart w:id="1807" w:name="_Toc66448845"/>
      <w:r w:rsidRPr="006B1A5A">
        <w:t>Output tables from exposure assessment tools</w:t>
      </w:r>
      <w:bookmarkEnd w:id="1805"/>
      <w:bookmarkEnd w:id="1806"/>
      <w:bookmarkEnd w:id="1807"/>
    </w:p>
    <w:p w14:paraId="4F9766EF" w14:textId="77777777" w:rsidR="001042DA" w:rsidRPr="006B1A5A" w:rsidRDefault="001042DA" w:rsidP="001042DA">
      <w:pPr>
        <w:pStyle w:val="Absatz"/>
        <w:ind w:left="0"/>
        <w:rPr>
          <w:rFonts w:ascii="Verdana" w:hAnsi="Verdana"/>
          <w:lang w:eastAsia="en-US"/>
        </w:rPr>
      </w:pPr>
    </w:p>
    <w:p w14:paraId="7E54C7F2" w14:textId="77777777" w:rsidR="001042DA" w:rsidRPr="006B1A5A" w:rsidRDefault="001042DA" w:rsidP="001042DA">
      <w:pPr>
        <w:pStyle w:val="Overskrift3"/>
        <w:rPr>
          <w:lang w:val="en-GB" w:eastAsia="en-US"/>
        </w:rPr>
      </w:pPr>
      <w:bookmarkStart w:id="1808" w:name="_Toc66448846"/>
      <w:r w:rsidRPr="006B1A5A">
        <w:rPr>
          <w:lang w:val="en-GB" w:eastAsia="en-US"/>
        </w:rPr>
        <w:t>Output tables from the environmental exposure assessments</w:t>
      </w:r>
      <w:bookmarkEnd w:id="1808"/>
    </w:p>
    <w:p w14:paraId="1587890D" w14:textId="77777777" w:rsidR="001042DA" w:rsidRPr="006B1A5A" w:rsidRDefault="001042DA" w:rsidP="001042DA">
      <w:pPr>
        <w:pStyle w:val="Absatz"/>
        <w:ind w:left="0"/>
        <w:rPr>
          <w:rFonts w:ascii="Verdana" w:hAnsi="Verdana"/>
          <w:lang w:eastAsia="en-US"/>
        </w:rPr>
      </w:pPr>
    </w:p>
    <w:p w14:paraId="0BA16E33" w14:textId="77777777" w:rsidR="001042DA" w:rsidRPr="006B1A5A" w:rsidRDefault="001042DA" w:rsidP="001042DA">
      <w:pPr>
        <w:pStyle w:val="Absatz"/>
        <w:ind w:left="0"/>
        <w:rPr>
          <w:rFonts w:ascii="Verdana" w:hAnsi="Verdana"/>
          <w:b/>
          <w:lang w:eastAsia="en-US"/>
        </w:rPr>
      </w:pPr>
      <w:r w:rsidRPr="006B1A5A">
        <w:rPr>
          <w:rFonts w:ascii="Verdana" w:hAnsi="Verdana"/>
          <w:b/>
          <w:lang w:eastAsia="en-US"/>
        </w:rPr>
        <w:t>Environmental exposure assessment, EU fish farm scenario (tier 1)</w:t>
      </w:r>
    </w:p>
    <w:p w14:paraId="24B3F450" w14:textId="77777777" w:rsidR="00A70862" w:rsidRDefault="00A70862" w:rsidP="001042DA">
      <w:pPr>
        <w:pStyle w:val="Absatz"/>
        <w:ind w:left="0"/>
        <w:rPr>
          <w:rFonts w:ascii="Verdana" w:hAnsi="Verdana"/>
          <w:lang w:eastAsia="en-US"/>
        </w:rPr>
      </w:pPr>
    </w:p>
    <w:p w14:paraId="4B0D5007" w14:textId="30EB30F8" w:rsidR="001042DA" w:rsidRDefault="00A70862" w:rsidP="001042DA">
      <w:pPr>
        <w:pStyle w:val="Absatz"/>
        <w:ind w:left="0"/>
        <w:rPr>
          <w:rFonts w:ascii="Verdana" w:hAnsi="Verdana"/>
          <w:lang w:eastAsia="en-US"/>
        </w:rPr>
      </w:pPr>
      <w:r>
        <w:rPr>
          <w:rFonts w:ascii="Verdana" w:hAnsi="Verdana"/>
          <w:lang w:eastAsia="en-US"/>
        </w:rPr>
        <w:t>The following excel-files ha</w:t>
      </w:r>
      <w:r w:rsidR="002758CF">
        <w:rPr>
          <w:rFonts w:ascii="Verdana" w:hAnsi="Verdana"/>
          <w:lang w:eastAsia="en-US"/>
        </w:rPr>
        <w:t>ve</w:t>
      </w:r>
      <w:r>
        <w:rPr>
          <w:rFonts w:ascii="Verdana" w:hAnsi="Verdana"/>
          <w:lang w:eastAsia="en-US"/>
        </w:rPr>
        <w:t xml:space="preserve"> been uploaded to R4BP3 separately:</w:t>
      </w:r>
    </w:p>
    <w:p w14:paraId="592007B1" w14:textId="1EB6B1EA" w:rsidR="00A70862" w:rsidRDefault="00A70862" w:rsidP="001042DA">
      <w:pPr>
        <w:pStyle w:val="Absatz"/>
        <w:ind w:left="0"/>
        <w:rPr>
          <w:rFonts w:ascii="Verdana" w:hAnsi="Verdana"/>
          <w:lang w:eastAsia="en-US"/>
        </w:rPr>
      </w:pPr>
      <w:r w:rsidRPr="00A70862">
        <w:rPr>
          <w:rFonts w:ascii="Verdana" w:hAnsi="Verdana"/>
          <w:lang w:eastAsia="en-US"/>
        </w:rPr>
        <w:t>MAMPEC_aquanet_HG360_EU2</w:t>
      </w:r>
      <w:r>
        <w:rPr>
          <w:rFonts w:ascii="Verdana" w:hAnsi="Verdana"/>
          <w:lang w:eastAsia="en-US"/>
        </w:rPr>
        <w:t>.xlsx</w:t>
      </w:r>
    </w:p>
    <w:p w14:paraId="23AEE5AE" w14:textId="3C4DFB35" w:rsidR="00A70862" w:rsidRPr="006B1A5A" w:rsidRDefault="00A70862" w:rsidP="00A70862">
      <w:pPr>
        <w:pStyle w:val="Absatz"/>
        <w:ind w:left="0"/>
        <w:rPr>
          <w:rFonts w:ascii="Verdana" w:hAnsi="Verdana"/>
          <w:lang w:eastAsia="en-US"/>
        </w:rPr>
      </w:pPr>
      <w:r w:rsidRPr="00A70862">
        <w:rPr>
          <w:rFonts w:ascii="Verdana" w:hAnsi="Verdana"/>
          <w:lang w:eastAsia="en-US"/>
        </w:rPr>
        <w:t>MAMPEC_aquanet_</w:t>
      </w:r>
      <w:r>
        <w:rPr>
          <w:rFonts w:ascii="Verdana" w:hAnsi="Verdana"/>
          <w:lang w:eastAsia="en-US"/>
        </w:rPr>
        <w:t>L</w:t>
      </w:r>
      <w:r w:rsidRPr="00A70862">
        <w:rPr>
          <w:rFonts w:ascii="Verdana" w:hAnsi="Verdana"/>
          <w:lang w:eastAsia="en-US"/>
        </w:rPr>
        <w:t>G360_EU2</w:t>
      </w:r>
      <w:r>
        <w:rPr>
          <w:rFonts w:ascii="Verdana" w:hAnsi="Verdana"/>
          <w:lang w:eastAsia="en-US"/>
        </w:rPr>
        <w:t>.xlsx</w:t>
      </w:r>
    </w:p>
    <w:p w14:paraId="16AAF84C" w14:textId="5C75F36F" w:rsidR="00A70862" w:rsidRPr="006B1A5A" w:rsidRDefault="00A70862" w:rsidP="00A70862">
      <w:pPr>
        <w:pStyle w:val="Absatz"/>
        <w:ind w:left="0"/>
        <w:rPr>
          <w:rFonts w:ascii="Verdana" w:hAnsi="Verdana"/>
          <w:lang w:eastAsia="en-US"/>
        </w:rPr>
      </w:pPr>
      <w:r w:rsidRPr="00A70862">
        <w:rPr>
          <w:rFonts w:ascii="Verdana" w:hAnsi="Verdana"/>
          <w:lang w:eastAsia="en-US"/>
        </w:rPr>
        <w:t>MAMPEC_aquanet_</w:t>
      </w:r>
      <w:r>
        <w:rPr>
          <w:rFonts w:ascii="Verdana" w:hAnsi="Verdana"/>
          <w:lang w:eastAsia="en-US"/>
        </w:rPr>
        <w:t>RFU</w:t>
      </w:r>
      <w:r w:rsidRPr="00A70862">
        <w:rPr>
          <w:rFonts w:ascii="Verdana" w:hAnsi="Verdana"/>
          <w:lang w:eastAsia="en-US"/>
        </w:rPr>
        <w:t>360_EU2</w:t>
      </w:r>
      <w:r>
        <w:rPr>
          <w:rFonts w:ascii="Verdana" w:hAnsi="Verdana"/>
          <w:lang w:eastAsia="en-US"/>
        </w:rPr>
        <w:t>.xlsx</w:t>
      </w:r>
    </w:p>
    <w:p w14:paraId="61D42C28" w14:textId="77777777" w:rsidR="00A70862" w:rsidRPr="006B1A5A" w:rsidRDefault="00A70862" w:rsidP="001042DA">
      <w:pPr>
        <w:pStyle w:val="Absatz"/>
        <w:ind w:left="0"/>
        <w:rPr>
          <w:rFonts w:ascii="Verdana" w:hAnsi="Verdana"/>
          <w:lang w:eastAsia="en-US"/>
        </w:rPr>
      </w:pPr>
    </w:p>
    <w:p w14:paraId="58C3EA8B" w14:textId="77777777" w:rsidR="001042DA" w:rsidRPr="006B1A5A" w:rsidRDefault="001042DA" w:rsidP="001042DA">
      <w:pPr>
        <w:pStyle w:val="Absatz"/>
        <w:ind w:left="0"/>
        <w:rPr>
          <w:rFonts w:ascii="Verdana" w:hAnsi="Verdana"/>
          <w:lang w:eastAsia="en-US"/>
        </w:rPr>
      </w:pPr>
    </w:p>
    <w:p w14:paraId="6F09B3B4" w14:textId="77777777" w:rsidR="001042DA" w:rsidRPr="006B1A5A" w:rsidRDefault="001042DA" w:rsidP="001042DA">
      <w:pPr>
        <w:pStyle w:val="Absatz"/>
        <w:ind w:left="0"/>
        <w:rPr>
          <w:rFonts w:ascii="Verdana" w:hAnsi="Verdana"/>
          <w:lang w:eastAsia="en-US"/>
        </w:rPr>
      </w:pPr>
    </w:p>
    <w:p w14:paraId="623FFF18" w14:textId="77F9DCB3" w:rsidR="001042DA" w:rsidRDefault="001042DA" w:rsidP="001042DA">
      <w:pPr>
        <w:pStyle w:val="Absatz"/>
        <w:ind w:left="0"/>
        <w:rPr>
          <w:rFonts w:ascii="Verdana" w:hAnsi="Verdana"/>
          <w:b/>
          <w:lang w:eastAsia="en-US"/>
        </w:rPr>
      </w:pPr>
      <w:r w:rsidRPr="006B1A5A">
        <w:rPr>
          <w:rFonts w:ascii="Verdana" w:hAnsi="Verdana"/>
          <w:b/>
          <w:lang w:eastAsia="en-US"/>
        </w:rPr>
        <w:t>Environmental exposure assessment, Norwegian fish farm scenario (tier 2)</w:t>
      </w:r>
    </w:p>
    <w:p w14:paraId="4794B09E" w14:textId="77777777" w:rsidR="00336571" w:rsidRPr="006B1A5A" w:rsidRDefault="00336571" w:rsidP="001042DA">
      <w:pPr>
        <w:pStyle w:val="Absatz"/>
        <w:ind w:left="0"/>
        <w:rPr>
          <w:rFonts w:ascii="Verdana" w:hAnsi="Verdana"/>
          <w:b/>
          <w:lang w:eastAsia="en-US"/>
        </w:rPr>
      </w:pPr>
    </w:p>
    <w:p w14:paraId="108586FD" w14:textId="49C26B8A" w:rsidR="00A70862" w:rsidRDefault="00A70862" w:rsidP="00A70862">
      <w:pPr>
        <w:pStyle w:val="Absatz"/>
        <w:ind w:left="0"/>
        <w:rPr>
          <w:rFonts w:ascii="Verdana" w:hAnsi="Verdana"/>
          <w:lang w:eastAsia="en-US"/>
        </w:rPr>
      </w:pPr>
      <w:r>
        <w:rPr>
          <w:rFonts w:ascii="Verdana" w:hAnsi="Verdana"/>
          <w:lang w:eastAsia="en-US"/>
        </w:rPr>
        <w:t>The following excel-files ha</w:t>
      </w:r>
      <w:r w:rsidR="002758CF">
        <w:rPr>
          <w:rFonts w:ascii="Verdana" w:hAnsi="Verdana"/>
          <w:lang w:eastAsia="en-US"/>
        </w:rPr>
        <w:t>ve</w:t>
      </w:r>
      <w:r>
        <w:rPr>
          <w:rFonts w:ascii="Verdana" w:hAnsi="Verdana"/>
          <w:lang w:eastAsia="en-US"/>
        </w:rPr>
        <w:t xml:space="preserve"> been uploaded to R4BP3 separately:</w:t>
      </w:r>
    </w:p>
    <w:p w14:paraId="6D984E88" w14:textId="4114E1E0" w:rsidR="00A70862" w:rsidRDefault="00A70862" w:rsidP="00A70862">
      <w:pPr>
        <w:pStyle w:val="Absatz"/>
        <w:ind w:left="0"/>
        <w:rPr>
          <w:rFonts w:ascii="Verdana" w:hAnsi="Verdana"/>
          <w:lang w:eastAsia="en-US"/>
        </w:rPr>
      </w:pPr>
      <w:r w:rsidRPr="00A70862">
        <w:rPr>
          <w:rFonts w:ascii="Verdana" w:hAnsi="Verdana"/>
          <w:lang w:eastAsia="en-US"/>
        </w:rPr>
        <w:t>MAMPEC_aquanet_HG360_</w:t>
      </w:r>
      <w:r>
        <w:rPr>
          <w:rFonts w:ascii="Verdana" w:hAnsi="Verdana"/>
          <w:lang w:eastAsia="en-US"/>
        </w:rPr>
        <w:t>NO</w:t>
      </w:r>
      <w:r w:rsidRPr="00A70862">
        <w:rPr>
          <w:rFonts w:ascii="Verdana" w:hAnsi="Verdana"/>
          <w:lang w:eastAsia="en-US"/>
        </w:rPr>
        <w:t>2</w:t>
      </w:r>
      <w:r>
        <w:rPr>
          <w:rFonts w:ascii="Verdana" w:hAnsi="Verdana"/>
          <w:lang w:eastAsia="en-US"/>
        </w:rPr>
        <w:t>.xlsx</w:t>
      </w:r>
    </w:p>
    <w:p w14:paraId="0709A135" w14:textId="451EB9F1" w:rsidR="00A70862" w:rsidRPr="006B1A5A" w:rsidRDefault="00A70862" w:rsidP="00A70862">
      <w:pPr>
        <w:pStyle w:val="Absatz"/>
        <w:ind w:left="0"/>
        <w:rPr>
          <w:rFonts w:ascii="Verdana" w:hAnsi="Verdana"/>
          <w:lang w:eastAsia="en-US"/>
        </w:rPr>
      </w:pPr>
      <w:r w:rsidRPr="00A70862">
        <w:rPr>
          <w:rFonts w:ascii="Verdana" w:hAnsi="Verdana"/>
          <w:lang w:eastAsia="en-US"/>
        </w:rPr>
        <w:t>MAMPEC_aquanet_</w:t>
      </w:r>
      <w:r>
        <w:rPr>
          <w:rFonts w:ascii="Verdana" w:hAnsi="Verdana"/>
          <w:lang w:eastAsia="en-US"/>
        </w:rPr>
        <w:t>L</w:t>
      </w:r>
      <w:r w:rsidRPr="00A70862">
        <w:rPr>
          <w:rFonts w:ascii="Verdana" w:hAnsi="Verdana"/>
          <w:lang w:eastAsia="en-US"/>
        </w:rPr>
        <w:t>G360_</w:t>
      </w:r>
      <w:r>
        <w:rPr>
          <w:rFonts w:ascii="Verdana" w:hAnsi="Verdana"/>
          <w:lang w:eastAsia="en-US"/>
        </w:rPr>
        <w:t>NO.xlsx</w:t>
      </w:r>
    </w:p>
    <w:p w14:paraId="177A3404" w14:textId="05B5481F" w:rsidR="00A70862" w:rsidRPr="006B1A5A" w:rsidRDefault="00A70862" w:rsidP="00A70862">
      <w:pPr>
        <w:pStyle w:val="Absatz"/>
        <w:ind w:left="0"/>
        <w:rPr>
          <w:rFonts w:ascii="Verdana" w:hAnsi="Verdana"/>
          <w:lang w:eastAsia="en-US"/>
        </w:rPr>
      </w:pPr>
      <w:r w:rsidRPr="00A70862">
        <w:rPr>
          <w:rFonts w:ascii="Verdana" w:hAnsi="Verdana"/>
          <w:lang w:eastAsia="en-US"/>
        </w:rPr>
        <w:t>MAMPEC_aquanet_</w:t>
      </w:r>
      <w:r>
        <w:rPr>
          <w:rFonts w:ascii="Verdana" w:hAnsi="Verdana"/>
          <w:lang w:eastAsia="en-US"/>
        </w:rPr>
        <w:t>RFU</w:t>
      </w:r>
      <w:r w:rsidRPr="00A70862">
        <w:rPr>
          <w:rFonts w:ascii="Verdana" w:hAnsi="Verdana"/>
          <w:lang w:eastAsia="en-US"/>
        </w:rPr>
        <w:t>360_</w:t>
      </w:r>
      <w:r>
        <w:rPr>
          <w:rFonts w:ascii="Verdana" w:hAnsi="Verdana"/>
          <w:lang w:eastAsia="en-US"/>
        </w:rPr>
        <w:t>NO</w:t>
      </w:r>
      <w:r w:rsidRPr="00A70862">
        <w:rPr>
          <w:rFonts w:ascii="Verdana" w:hAnsi="Verdana"/>
          <w:lang w:eastAsia="en-US"/>
        </w:rPr>
        <w:t>2</w:t>
      </w:r>
      <w:r>
        <w:rPr>
          <w:rFonts w:ascii="Verdana" w:hAnsi="Verdana"/>
          <w:lang w:eastAsia="en-US"/>
        </w:rPr>
        <w:t>.xlsx</w:t>
      </w:r>
    </w:p>
    <w:p w14:paraId="4C2A1B8D" w14:textId="77777777" w:rsidR="001042DA" w:rsidRPr="006B1A5A" w:rsidRDefault="001042DA" w:rsidP="001042DA">
      <w:pPr>
        <w:pStyle w:val="Absatz"/>
        <w:ind w:left="0"/>
        <w:rPr>
          <w:rFonts w:ascii="Verdana" w:hAnsi="Verdana"/>
          <w:lang w:eastAsia="en-US"/>
        </w:rPr>
      </w:pPr>
    </w:p>
    <w:p w14:paraId="066FD647" w14:textId="0913D242" w:rsidR="001042DA" w:rsidRPr="006B1A5A" w:rsidRDefault="001042DA" w:rsidP="001042DA">
      <w:pPr>
        <w:pStyle w:val="Absatz"/>
        <w:ind w:left="0"/>
        <w:rPr>
          <w:rFonts w:ascii="Verdana" w:hAnsi="Verdana"/>
          <w:lang w:eastAsia="en-US"/>
        </w:rPr>
      </w:pPr>
    </w:p>
    <w:p w14:paraId="30FFBEF7" w14:textId="77777777" w:rsidR="001042DA" w:rsidRPr="006B1A5A" w:rsidRDefault="001042DA" w:rsidP="001042DA">
      <w:pPr>
        <w:pStyle w:val="Absatz"/>
        <w:ind w:left="0"/>
        <w:rPr>
          <w:rFonts w:ascii="Verdana" w:hAnsi="Verdana"/>
          <w:lang w:eastAsia="en-US"/>
        </w:rPr>
      </w:pPr>
    </w:p>
    <w:p w14:paraId="5E4DD6E8" w14:textId="5D078226" w:rsidR="001042DA" w:rsidRPr="006B1A5A" w:rsidRDefault="001042DA" w:rsidP="001042DA">
      <w:pPr>
        <w:pStyle w:val="Overskrift3"/>
        <w:rPr>
          <w:lang w:val="en-GB" w:eastAsia="en-US"/>
        </w:rPr>
      </w:pPr>
      <w:bookmarkStart w:id="1809" w:name="_Toc66448847"/>
      <w:r w:rsidRPr="006B1A5A">
        <w:rPr>
          <w:lang w:val="en-GB" w:eastAsia="en-US"/>
        </w:rPr>
        <w:t>Output tables from the human exposure assessments</w:t>
      </w:r>
      <w:bookmarkEnd w:id="1809"/>
    </w:p>
    <w:p w14:paraId="66C1C493" w14:textId="2A40E7A0" w:rsidR="002758CF" w:rsidRDefault="002758CF" w:rsidP="002758CF">
      <w:pPr>
        <w:pStyle w:val="Absatz"/>
        <w:ind w:left="0"/>
        <w:rPr>
          <w:rFonts w:ascii="Verdana" w:hAnsi="Verdana"/>
          <w:lang w:eastAsia="en-US"/>
        </w:rPr>
      </w:pPr>
      <w:r w:rsidRPr="002758CF">
        <w:rPr>
          <w:rFonts w:ascii="Verdana" w:hAnsi="Verdana"/>
          <w:lang w:eastAsia="en-US"/>
        </w:rPr>
        <w:t>The following excel-file has been uploaded to RBP3 separately</w:t>
      </w:r>
      <w:r>
        <w:rPr>
          <w:rFonts w:ascii="Verdana" w:hAnsi="Verdana"/>
          <w:lang w:eastAsia="en-US"/>
        </w:rPr>
        <w:t>:</w:t>
      </w:r>
    </w:p>
    <w:p w14:paraId="17029FA6" w14:textId="477B6D89" w:rsidR="002758CF" w:rsidRPr="002758CF" w:rsidRDefault="00D33180" w:rsidP="002758CF">
      <w:pPr>
        <w:pStyle w:val="Absatz"/>
        <w:ind w:left="0"/>
        <w:rPr>
          <w:rFonts w:ascii="Verdana" w:hAnsi="Verdana"/>
          <w:lang w:eastAsia="en-US"/>
        </w:rPr>
      </w:pPr>
      <w:r w:rsidRPr="00D33180">
        <w:rPr>
          <w:rFonts w:ascii="Verdana" w:hAnsi="Verdana"/>
          <w:lang w:eastAsia="en-US"/>
        </w:rPr>
        <w:t>HH_Exposure_aquanet_360.xlsx</w:t>
      </w:r>
    </w:p>
    <w:p w14:paraId="3BF6443E" w14:textId="77777777" w:rsidR="001042DA" w:rsidRPr="006B1A5A" w:rsidRDefault="001042DA" w:rsidP="001042DA">
      <w:pPr>
        <w:pStyle w:val="Absatz"/>
        <w:rPr>
          <w:lang w:eastAsia="en-US"/>
        </w:rPr>
      </w:pPr>
    </w:p>
    <w:p w14:paraId="71A4DE34" w14:textId="77777777" w:rsidR="001042DA" w:rsidRPr="006B1A5A" w:rsidRDefault="001042DA" w:rsidP="00E25F93">
      <w:pPr>
        <w:pStyle w:val="Overskrift2"/>
      </w:pPr>
      <w:bookmarkStart w:id="1810" w:name="_Toc389729191"/>
      <w:bookmarkStart w:id="1811" w:name="_Toc403472829"/>
      <w:bookmarkStart w:id="1812" w:name="_Toc66448848"/>
      <w:r w:rsidRPr="006B1A5A">
        <w:t>New information on the active substance</w:t>
      </w:r>
      <w:bookmarkEnd w:id="1810"/>
      <w:bookmarkEnd w:id="1811"/>
      <w:r w:rsidRPr="006B1A5A">
        <w:t>s</w:t>
      </w:r>
      <w:bookmarkEnd w:id="1812"/>
    </w:p>
    <w:p w14:paraId="5CED6F5E" w14:textId="1FDD98EA" w:rsidR="001042DA" w:rsidRDefault="001042DA" w:rsidP="001042DA">
      <w:r w:rsidRPr="006B1A5A">
        <w:t>None.</w:t>
      </w:r>
    </w:p>
    <w:p w14:paraId="133FFA17" w14:textId="2EE1DCB6" w:rsidR="00334944" w:rsidRDefault="00334944" w:rsidP="001042DA">
      <w:r>
        <w:t xml:space="preserve">  </w:t>
      </w:r>
    </w:p>
    <w:p w14:paraId="29DD05AA" w14:textId="77777777" w:rsidR="00B45B75" w:rsidRPr="006B1A5A" w:rsidRDefault="00B45B75" w:rsidP="001042DA"/>
    <w:p w14:paraId="1BD65A5E" w14:textId="77777777" w:rsidR="001042DA" w:rsidRPr="006B1A5A" w:rsidRDefault="001042DA" w:rsidP="00E25F93">
      <w:pPr>
        <w:pStyle w:val="Overskrift2"/>
      </w:pPr>
      <w:bookmarkStart w:id="1813" w:name="_Toc389729192"/>
      <w:bookmarkStart w:id="1814" w:name="_Toc403472830"/>
      <w:bookmarkStart w:id="1815" w:name="_Toc66448849"/>
      <w:r w:rsidRPr="006B1A5A">
        <w:t>Residue behaviour</w:t>
      </w:r>
      <w:bookmarkEnd w:id="1813"/>
      <w:bookmarkEnd w:id="1814"/>
      <w:bookmarkEnd w:id="1815"/>
    </w:p>
    <w:p w14:paraId="09558D3C" w14:textId="14D6B930" w:rsidR="001042DA" w:rsidRPr="006B1A5A" w:rsidRDefault="001042DA" w:rsidP="001042DA">
      <w:pPr>
        <w:jc w:val="both"/>
      </w:pPr>
      <w:r w:rsidRPr="006B1A5A">
        <w:t>AquaNet 360 BPF is only to be used as antifouling paint applied to aquaculture nets, and it is not expectable residues of the active substances or its degradation products. Therefore, it is not required complying with the obligations under the Biocides Regulation (BPR).</w:t>
      </w:r>
    </w:p>
    <w:p w14:paraId="3217FC68" w14:textId="77777777" w:rsidR="001042DA" w:rsidRPr="006B1A5A" w:rsidRDefault="001042DA" w:rsidP="001042DA"/>
    <w:p w14:paraId="5D3AF1CE" w14:textId="77777777" w:rsidR="001042DA" w:rsidRPr="006B1A5A" w:rsidRDefault="001042DA" w:rsidP="00E25F93">
      <w:pPr>
        <w:pStyle w:val="Overskrift2"/>
      </w:pPr>
      <w:bookmarkStart w:id="1816" w:name="_Toc389729193"/>
      <w:bookmarkStart w:id="1817" w:name="_Toc403472831"/>
      <w:bookmarkStart w:id="1818" w:name="_Toc66448850"/>
      <w:r w:rsidRPr="006B1A5A">
        <w:t>Summaries of the efficacy studies (B.5.10.1-xx)</w:t>
      </w:r>
      <w:bookmarkEnd w:id="1816"/>
      <w:bookmarkEnd w:id="1817"/>
      <w:r w:rsidRPr="006B1A5A">
        <w:rPr>
          <w:rStyle w:val="Fotnotereferanse"/>
        </w:rPr>
        <w:footnoteReference w:id="4"/>
      </w:r>
      <w:bookmarkEnd w:id="1818"/>
    </w:p>
    <w:p w14:paraId="7E8C4300" w14:textId="77777777" w:rsidR="00081607" w:rsidRDefault="00081607" w:rsidP="001042DA">
      <w:pPr>
        <w:jc w:val="both"/>
      </w:pPr>
    </w:p>
    <w:p w14:paraId="411AD205" w14:textId="77777777" w:rsidR="00081607" w:rsidRDefault="00081607" w:rsidP="001042DA">
      <w:pPr>
        <w:jc w:val="both"/>
      </w:pPr>
    </w:p>
    <w:p w14:paraId="3FCA7F3E" w14:textId="64086124" w:rsidR="001042DA" w:rsidRPr="006B1A5A" w:rsidRDefault="00081607" w:rsidP="001F19D6">
      <w:pPr>
        <w:jc w:val="both"/>
      </w:pPr>
      <w:r>
        <w:t>Please see section 2.2.5.5 and IUCLID.</w:t>
      </w:r>
    </w:p>
    <w:p w14:paraId="56804E54" w14:textId="77777777" w:rsidR="001042DA" w:rsidRPr="006B1A5A" w:rsidRDefault="001042DA" w:rsidP="001042DA">
      <w:pPr>
        <w:jc w:val="both"/>
      </w:pPr>
    </w:p>
    <w:p w14:paraId="1349E06F" w14:textId="77777777" w:rsidR="001042DA" w:rsidRPr="006B1A5A" w:rsidRDefault="001042DA" w:rsidP="00E25F93">
      <w:pPr>
        <w:pStyle w:val="Overskrift2"/>
      </w:pPr>
      <w:bookmarkStart w:id="1819" w:name="_Toc389729199"/>
      <w:bookmarkStart w:id="1820" w:name="_Toc403472832"/>
      <w:bookmarkStart w:id="1821" w:name="_Toc66448851"/>
      <w:r w:rsidRPr="006B1A5A">
        <w:t>Confidential annex</w:t>
      </w:r>
      <w:bookmarkEnd w:id="1819"/>
      <w:bookmarkEnd w:id="1820"/>
      <w:bookmarkEnd w:id="1821"/>
      <w:r w:rsidRPr="006B1A5A">
        <w:t xml:space="preserve"> </w:t>
      </w:r>
    </w:p>
    <w:p w14:paraId="1433B5BA" w14:textId="77777777" w:rsidR="001042DA" w:rsidRPr="006B1A5A" w:rsidRDefault="001042DA" w:rsidP="001042DA">
      <w:pPr>
        <w:rPr>
          <w:rFonts w:eastAsia="Calibri"/>
          <w:b/>
          <w:caps/>
          <w:sz w:val="28"/>
          <w:szCs w:val="28"/>
          <w:lang w:eastAsia="en-US"/>
        </w:rPr>
      </w:pPr>
      <w:r w:rsidRPr="006B1A5A">
        <w:rPr>
          <w:rFonts w:eastAsia="Calibri"/>
          <w:b/>
          <w:caps/>
          <w:sz w:val="28"/>
          <w:szCs w:val="28"/>
          <w:lang w:eastAsia="en-US"/>
        </w:rPr>
        <w:t xml:space="preserve"> </w:t>
      </w:r>
      <w:bookmarkStart w:id="1822" w:name="_Toc389729202"/>
      <w:bookmarkStart w:id="1823" w:name="_Toc403472836"/>
    </w:p>
    <w:p w14:paraId="22449F57" w14:textId="1569477D" w:rsidR="001042DA" w:rsidRDefault="00FB2F40" w:rsidP="001042DA">
      <w:pPr>
        <w:rPr>
          <w:rFonts w:eastAsia="Calibri"/>
          <w:sz w:val="24"/>
          <w:szCs w:val="24"/>
        </w:rPr>
      </w:pPr>
      <w:bookmarkStart w:id="1824" w:name="_Toc403472839"/>
      <w:bookmarkEnd w:id="1822"/>
      <w:bookmarkEnd w:id="1823"/>
      <w:r>
        <w:t>Please see the separate confidential annex.</w:t>
      </w:r>
    </w:p>
    <w:p w14:paraId="75EF8A6C" w14:textId="1EF60E34" w:rsidR="001042DA" w:rsidRPr="00B45B75" w:rsidRDefault="001042DA" w:rsidP="00B45B75">
      <w:pPr>
        <w:spacing w:after="160" w:line="259" w:lineRule="auto"/>
        <w:rPr>
          <w:rFonts w:eastAsia="Calibri"/>
          <w:sz w:val="24"/>
          <w:szCs w:val="24"/>
        </w:rPr>
      </w:pPr>
      <w:bookmarkStart w:id="1825" w:name="_Toc389729200"/>
      <w:bookmarkStart w:id="1826" w:name="_Toc403472833"/>
      <w:bookmarkEnd w:id="1824"/>
    </w:p>
    <w:p w14:paraId="019E58DC" w14:textId="63E52CDE" w:rsidR="001042DA" w:rsidRDefault="001042DA" w:rsidP="00E25F93">
      <w:pPr>
        <w:pStyle w:val="Overskrift2"/>
      </w:pPr>
      <w:bookmarkStart w:id="1827" w:name="_Toc66448852"/>
      <w:r w:rsidRPr="006B1A5A">
        <w:t>Other</w:t>
      </w:r>
      <w:bookmarkEnd w:id="1825"/>
      <w:bookmarkEnd w:id="1826"/>
      <w:bookmarkEnd w:id="1827"/>
    </w:p>
    <w:p w14:paraId="69F719A9" w14:textId="47A06081" w:rsidR="00550CA0" w:rsidRDefault="00550CA0" w:rsidP="00550CA0">
      <w:pPr>
        <w:pStyle w:val="Absatz"/>
        <w:rPr>
          <w:lang w:eastAsia="en-US"/>
        </w:rPr>
      </w:pPr>
    </w:p>
    <w:p w14:paraId="4DCD6225" w14:textId="77777777" w:rsidR="00550CA0" w:rsidRPr="00550CA0" w:rsidRDefault="00550CA0" w:rsidP="00550CA0">
      <w:pPr>
        <w:pStyle w:val="Absatz"/>
        <w:ind w:left="0"/>
        <w:rPr>
          <w:lang w:eastAsia="en-US"/>
        </w:rPr>
      </w:pPr>
    </w:p>
    <w:p w14:paraId="69B8E869" w14:textId="115C3393" w:rsidR="001042DA" w:rsidRPr="006B1A5A" w:rsidRDefault="001042DA" w:rsidP="001042DA">
      <w:pPr>
        <w:pStyle w:val="Default"/>
        <w:spacing w:before="360"/>
        <w:outlineLvl w:val="0"/>
        <w:rPr>
          <w:rFonts w:ascii="Verdana" w:eastAsia="Calibri" w:hAnsi="Verdana"/>
          <w:b/>
          <w:color w:val="auto"/>
          <w:lang w:eastAsia="en-US"/>
        </w:rPr>
      </w:pPr>
      <w:bookmarkStart w:id="1828" w:name="_Toc66448853"/>
      <w:r w:rsidRPr="006B1A5A">
        <w:rPr>
          <w:rFonts w:ascii="Verdana" w:eastAsia="Calibri" w:hAnsi="Verdana"/>
          <w:b/>
          <w:color w:val="auto"/>
          <w:lang w:eastAsia="en-US"/>
        </w:rPr>
        <w:t>REFERENCES</w:t>
      </w:r>
      <w:bookmarkEnd w:id="1828"/>
    </w:p>
    <w:p w14:paraId="75B8EE6D" w14:textId="77777777" w:rsidR="001042DA" w:rsidRPr="006B1A5A" w:rsidRDefault="001042DA" w:rsidP="001042DA">
      <w:pPr>
        <w:spacing w:after="120" w:line="259" w:lineRule="auto"/>
        <w:ind w:right="142"/>
        <w:jc w:val="both"/>
        <w:rPr>
          <w:color w:val="000000"/>
        </w:rPr>
      </w:pPr>
      <w:bookmarkStart w:id="1829" w:name="_Hlk501102503"/>
    </w:p>
    <w:p w14:paraId="10CD50F4" w14:textId="77777777" w:rsidR="001042DA" w:rsidRPr="006B1A5A" w:rsidRDefault="001042DA" w:rsidP="00793864">
      <w:pPr>
        <w:pStyle w:val="Listeavsnitt"/>
        <w:numPr>
          <w:ilvl w:val="0"/>
          <w:numId w:val="8"/>
        </w:numPr>
        <w:spacing w:after="120" w:line="259" w:lineRule="auto"/>
        <w:ind w:left="426" w:right="142" w:hanging="426"/>
        <w:rPr>
          <w:color w:val="000000"/>
        </w:rPr>
      </w:pPr>
      <w:r w:rsidRPr="006B1A5A">
        <w:t>Bloecher N, Floerl O, Sunde LM. 2015. Amplified recruitment pressure of biofouling organisms in commercial salmon farms: potential causes and implications for farm management. Biofouling 31:163-172.</w:t>
      </w:r>
    </w:p>
    <w:p w14:paraId="2FA75936" w14:textId="3D817A76" w:rsidR="001042DA" w:rsidRPr="006B1A5A" w:rsidRDefault="001042DA" w:rsidP="00793864">
      <w:pPr>
        <w:pStyle w:val="Listeavsnitt"/>
        <w:numPr>
          <w:ilvl w:val="0"/>
          <w:numId w:val="8"/>
        </w:numPr>
        <w:spacing w:after="120" w:line="259" w:lineRule="auto"/>
        <w:ind w:left="426" w:right="142" w:hanging="426"/>
        <w:rPr>
          <w:color w:val="000000"/>
        </w:rPr>
      </w:pPr>
      <w:bookmarkStart w:id="1830" w:name="_Hlk23782480"/>
      <w:bookmarkEnd w:id="1829"/>
      <w:r w:rsidRPr="006B1A5A">
        <w:rPr>
          <w:rFonts w:cs="Arial"/>
        </w:rPr>
        <w:t>Cherrie, J. 2017</w:t>
      </w:r>
      <w:bookmarkEnd w:id="1830"/>
      <w:r w:rsidRPr="006B1A5A">
        <w:rPr>
          <w:rFonts w:cs="Arial"/>
        </w:rPr>
        <w:t xml:space="preserve">. COPD and low toxicity dust. IOM Working for a Healthier Future. Institute of Occupational Medicine. Edinburg. Available at </w:t>
      </w:r>
      <w:hyperlink r:id="rId31" w:history="1">
        <w:r w:rsidRPr="006B1A5A">
          <w:rPr>
            <w:rStyle w:val="Hyperkobling"/>
            <w:rFonts w:cs="Arial"/>
          </w:rPr>
          <w:t>www.iom-world.org</w:t>
        </w:r>
      </w:hyperlink>
      <w:r w:rsidRPr="006B1A5A">
        <w:rPr>
          <w:rFonts w:cs="Arial"/>
        </w:rPr>
        <w:t>.</w:t>
      </w:r>
    </w:p>
    <w:p w14:paraId="42164BC7" w14:textId="77777777" w:rsidR="001042DA" w:rsidRPr="006B1A5A" w:rsidRDefault="001042DA" w:rsidP="00793864">
      <w:pPr>
        <w:pStyle w:val="Listeavsnitt"/>
        <w:numPr>
          <w:ilvl w:val="0"/>
          <w:numId w:val="8"/>
        </w:numPr>
        <w:spacing w:after="120" w:line="259" w:lineRule="auto"/>
        <w:ind w:left="426" w:right="142" w:hanging="426"/>
        <w:rPr>
          <w:color w:val="000000"/>
        </w:rPr>
      </w:pPr>
      <w:r w:rsidRPr="006B1A5A">
        <w:rPr>
          <w:rFonts w:eastAsia="Calibri"/>
          <w:noProof/>
          <w:lang w:eastAsia="en-US"/>
        </w:rPr>
        <w:t>Committee on Biocidal Products (2013). Regulation (EU) n°528/2012 concerning the making available on the market and use of biocidal products. Evaluation of active substances. Assessment Report. Iodine (including PVP-iodine) Product types 1, 3, 4, 22 Finalised in the Standing Committee on Biocidal Products at its meeting on 13 December 2013, Sweden.</w:t>
      </w:r>
    </w:p>
    <w:p w14:paraId="6C65DEFE" w14:textId="77777777" w:rsidR="001042DA" w:rsidRPr="007D47B5" w:rsidRDefault="001042DA" w:rsidP="00793864">
      <w:pPr>
        <w:pStyle w:val="Listeavsnitt"/>
        <w:numPr>
          <w:ilvl w:val="0"/>
          <w:numId w:val="8"/>
        </w:numPr>
        <w:spacing w:after="120" w:line="259" w:lineRule="auto"/>
        <w:ind w:left="426" w:right="142" w:hanging="426"/>
      </w:pPr>
      <w:bookmarkStart w:id="1831" w:name="_Hlk23246285"/>
      <w:r w:rsidRPr="006B1A5A">
        <w:t>Dürr S, Watson DI 2010. Biofouling and antifouling in aquaculture. In: Dürr S, Thomason JC, editors. Biofouling. West Sussex (UK): Wiley-Blackwell; p. 267-287</w:t>
      </w:r>
    </w:p>
    <w:bookmarkEnd w:id="1831"/>
    <w:p w14:paraId="1B289DFA" w14:textId="1F42BF41" w:rsidR="001042DA" w:rsidRDefault="001042DA" w:rsidP="00793864">
      <w:pPr>
        <w:pStyle w:val="Listeavsnitt"/>
        <w:numPr>
          <w:ilvl w:val="0"/>
          <w:numId w:val="8"/>
        </w:numPr>
        <w:spacing w:after="120" w:line="259" w:lineRule="auto"/>
        <w:ind w:left="426" w:right="142" w:hanging="426"/>
        <w:rPr>
          <w:color w:val="000000"/>
        </w:rPr>
      </w:pPr>
      <w:r w:rsidRPr="006B1A5A">
        <w:rPr>
          <w:color w:val="000000"/>
        </w:rPr>
        <w:t>European Chemicals Agency</w:t>
      </w:r>
      <w:r w:rsidR="00E20C66">
        <w:rPr>
          <w:color w:val="000000"/>
        </w:rPr>
        <w:t xml:space="preserve"> (</w:t>
      </w:r>
      <w:r w:rsidRPr="006B1A5A">
        <w:rPr>
          <w:color w:val="000000"/>
        </w:rPr>
        <w:t>ECHA</w:t>
      </w:r>
      <w:r w:rsidR="00E20C66">
        <w:rPr>
          <w:color w:val="000000"/>
        </w:rPr>
        <w:t>),</w:t>
      </w:r>
      <w:r w:rsidRPr="006B1A5A">
        <w:rPr>
          <w:color w:val="000000"/>
        </w:rPr>
        <w:t xml:space="preserve"> 2015. Biocides human health exposure methodology. Version 1. Helsinki.</w:t>
      </w:r>
    </w:p>
    <w:p w14:paraId="6298A26A" w14:textId="77777777" w:rsidR="001042DA" w:rsidRPr="006B1A5A" w:rsidRDefault="001042DA" w:rsidP="00793864">
      <w:pPr>
        <w:pStyle w:val="Listeavsnitt"/>
        <w:numPr>
          <w:ilvl w:val="0"/>
          <w:numId w:val="8"/>
        </w:numPr>
        <w:spacing w:after="120" w:line="259" w:lineRule="auto"/>
        <w:ind w:left="426" w:right="142" w:hanging="426"/>
        <w:rPr>
          <w:color w:val="000000"/>
        </w:rPr>
      </w:pPr>
      <w:bookmarkStart w:id="1832" w:name="_Hlk23613932"/>
      <w:r w:rsidRPr="006B1A5A">
        <w:rPr>
          <w:rFonts w:eastAsia="Calibri"/>
          <w:lang w:eastAsia="en-US"/>
        </w:rPr>
        <w:t>European Chemicals Agency (</w:t>
      </w:r>
      <w:r w:rsidRPr="006B1A5A">
        <w:rPr>
          <w:rFonts w:eastAsia="Calibri"/>
          <w:noProof/>
          <w:lang w:eastAsia="en-US"/>
        </w:rPr>
        <w:t>ECHA), 2014a. Committee for Risk Assessment; RAC opinion proposing harmonised classification and labelling at EU level of Dicopper oxide. Adopted 4 December 2014</w:t>
      </w:r>
    </w:p>
    <w:bookmarkEnd w:id="1832"/>
    <w:p w14:paraId="149BA9AF" w14:textId="77777777" w:rsidR="001042DA" w:rsidRPr="006B1A5A" w:rsidRDefault="001042DA" w:rsidP="00793864">
      <w:pPr>
        <w:pStyle w:val="Listeavsnitt"/>
        <w:numPr>
          <w:ilvl w:val="0"/>
          <w:numId w:val="8"/>
        </w:numPr>
        <w:spacing w:after="120" w:line="259" w:lineRule="auto"/>
        <w:ind w:left="426" w:right="142" w:hanging="426"/>
      </w:pPr>
      <w:r w:rsidRPr="006B1A5A">
        <w:t xml:space="preserve">European Chemicals Agency (ECHA), 2014b. Committee for Risk Assessment, RAC Opinion proposing harmonised classification and labelling at EU level of copper thiocyanate. </w:t>
      </w:r>
      <w:r w:rsidRPr="006B1A5A">
        <w:rPr>
          <w:rFonts w:eastAsia="Calibri"/>
          <w:noProof/>
          <w:lang w:eastAsia="en-US"/>
        </w:rPr>
        <w:t>Adopted 4 December 2014</w:t>
      </w:r>
    </w:p>
    <w:p w14:paraId="1658DACC" w14:textId="288F0EEF" w:rsidR="002421A2" w:rsidRPr="002421A2" w:rsidRDefault="002421A2" w:rsidP="00793864">
      <w:pPr>
        <w:pStyle w:val="Listeavsnitt"/>
        <w:numPr>
          <w:ilvl w:val="0"/>
          <w:numId w:val="8"/>
        </w:numPr>
        <w:spacing w:before="240" w:after="120" w:line="259" w:lineRule="auto"/>
        <w:ind w:left="426" w:right="142" w:hanging="426"/>
      </w:pPr>
      <w:bookmarkStart w:id="1833" w:name="_Hlk23592604"/>
      <w:r w:rsidRPr="006B1A5A">
        <w:rPr>
          <w:rFonts w:eastAsia="Calibri"/>
          <w:noProof/>
          <w:lang w:eastAsia="en-US"/>
        </w:rPr>
        <w:t>European Chemicals Agency (ECHA)</w:t>
      </w:r>
      <w:r w:rsidR="00E20C66">
        <w:rPr>
          <w:rFonts w:eastAsia="Calibri"/>
          <w:noProof/>
          <w:lang w:eastAsia="en-US"/>
        </w:rPr>
        <w:t>,</w:t>
      </w:r>
      <w:r w:rsidRPr="006B1A5A">
        <w:rPr>
          <w:rFonts w:eastAsia="Calibri"/>
          <w:noProof/>
          <w:lang w:eastAsia="en-US"/>
        </w:rPr>
        <w:t xml:space="preserve"> </w:t>
      </w:r>
      <w:r>
        <w:t>2016a</w:t>
      </w:r>
      <w:r w:rsidRPr="006B1A5A">
        <w:t xml:space="preserve">. </w:t>
      </w:r>
      <w:r w:rsidRPr="002421A2">
        <w:t xml:space="preserve">Assessment Report. Evaluation of the active substance Dicopper oxide. Product type 21. Regulation (EU) No 528/2012 concerning the making available on the market and use of biocidal products. France </w:t>
      </w:r>
    </w:p>
    <w:bookmarkEnd w:id="1833"/>
    <w:p w14:paraId="69BFF2A8" w14:textId="133C9F8C" w:rsidR="001042DA" w:rsidRPr="00F35D8D" w:rsidRDefault="002421A2" w:rsidP="00793864">
      <w:pPr>
        <w:pStyle w:val="Listeavsnitt"/>
        <w:numPr>
          <w:ilvl w:val="0"/>
          <w:numId w:val="8"/>
        </w:numPr>
        <w:spacing w:after="120" w:line="259" w:lineRule="auto"/>
        <w:ind w:left="426" w:right="142" w:hanging="426"/>
        <w:rPr>
          <w:rFonts w:eastAsia="Calibri"/>
          <w:lang w:eastAsia="en-US"/>
        </w:rPr>
      </w:pPr>
      <w:r w:rsidRPr="006B1A5A">
        <w:rPr>
          <w:rFonts w:eastAsia="Calibri"/>
          <w:noProof/>
          <w:lang w:eastAsia="en-US"/>
        </w:rPr>
        <w:t>European Chemicals Agency (ECHA)</w:t>
      </w:r>
      <w:r w:rsidR="00E20C66">
        <w:rPr>
          <w:rFonts w:eastAsia="Calibri"/>
          <w:noProof/>
          <w:lang w:eastAsia="en-US"/>
        </w:rPr>
        <w:t>,</w:t>
      </w:r>
      <w:r>
        <w:rPr>
          <w:rFonts w:eastAsia="Calibri"/>
          <w:noProof/>
          <w:lang w:eastAsia="en-US"/>
        </w:rPr>
        <w:t xml:space="preserve"> 2016b</w:t>
      </w:r>
      <w:r w:rsidRPr="002421A2">
        <w:t>. Assessment Report. Evaluation of the active substance Copper Thiocyanate. Product type 21. Regulation (EU) No 528/2012 concerning the making available</w:t>
      </w:r>
      <w:r w:rsidRPr="006B1A5A">
        <w:rPr>
          <w:color w:val="000000"/>
        </w:rPr>
        <w:t xml:space="preserve"> on the market and use of biocidal products. France </w:t>
      </w:r>
    </w:p>
    <w:p w14:paraId="03CD10A5" w14:textId="020158E2" w:rsidR="001042DA" w:rsidRPr="006B1A5A" w:rsidRDefault="001042DA" w:rsidP="00793864">
      <w:pPr>
        <w:pStyle w:val="Default"/>
        <w:numPr>
          <w:ilvl w:val="0"/>
          <w:numId w:val="13"/>
        </w:numPr>
        <w:ind w:left="426" w:hanging="426"/>
        <w:rPr>
          <w:rFonts w:ascii="Verdana" w:eastAsia="Calibri" w:hAnsi="Verdana"/>
          <w:color w:val="auto"/>
          <w:sz w:val="20"/>
          <w:szCs w:val="20"/>
          <w:lang w:eastAsia="en-US"/>
        </w:rPr>
      </w:pPr>
      <w:bookmarkStart w:id="1834" w:name="_Hlk23592738"/>
      <w:r w:rsidRPr="006B1A5A">
        <w:rPr>
          <w:rFonts w:ascii="Verdana" w:eastAsia="Calibri" w:hAnsi="Verdana"/>
          <w:color w:val="auto"/>
          <w:sz w:val="20"/>
          <w:szCs w:val="20"/>
          <w:lang w:eastAsia="en-US"/>
        </w:rPr>
        <w:t>European Chemicals Agenc</w:t>
      </w:r>
      <w:r w:rsidR="004561C2">
        <w:rPr>
          <w:rFonts w:ascii="Verdana" w:eastAsia="Calibri" w:hAnsi="Verdana"/>
          <w:color w:val="auto"/>
          <w:sz w:val="20"/>
          <w:szCs w:val="20"/>
          <w:lang w:eastAsia="en-US"/>
        </w:rPr>
        <w:t>y</w:t>
      </w:r>
      <w:r w:rsidRPr="006B1A5A">
        <w:rPr>
          <w:rFonts w:ascii="Verdana" w:eastAsia="Calibri" w:hAnsi="Verdana"/>
          <w:color w:val="auto"/>
          <w:sz w:val="20"/>
          <w:szCs w:val="20"/>
          <w:lang w:eastAsia="en-US"/>
        </w:rPr>
        <w:t xml:space="preserve"> (ECHA)</w:t>
      </w:r>
      <w:r w:rsidR="00E20C66">
        <w:rPr>
          <w:rFonts w:ascii="Verdana" w:eastAsia="Calibri" w:hAnsi="Verdana"/>
          <w:color w:val="auto"/>
          <w:sz w:val="20"/>
          <w:szCs w:val="20"/>
          <w:lang w:eastAsia="en-US"/>
        </w:rPr>
        <w:t>,</w:t>
      </w:r>
      <w:r w:rsidRPr="006B1A5A">
        <w:rPr>
          <w:rFonts w:ascii="Verdana" w:eastAsia="Calibri" w:hAnsi="Verdana"/>
          <w:color w:val="auto"/>
          <w:sz w:val="20"/>
          <w:szCs w:val="20"/>
          <w:lang w:eastAsia="en-US"/>
        </w:rPr>
        <w:t xml:space="preserve"> 2016</w:t>
      </w:r>
      <w:r w:rsidR="0003486C">
        <w:rPr>
          <w:rFonts w:ascii="Verdana" w:eastAsia="Calibri" w:hAnsi="Verdana"/>
          <w:color w:val="auto"/>
          <w:sz w:val="20"/>
          <w:szCs w:val="20"/>
          <w:lang w:eastAsia="en-US"/>
        </w:rPr>
        <w:t>c</w:t>
      </w:r>
      <w:r w:rsidR="00E20C66">
        <w:rPr>
          <w:rFonts w:ascii="Verdana" w:eastAsia="Calibri" w:hAnsi="Verdana"/>
          <w:color w:val="auto"/>
          <w:sz w:val="20"/>
          <w:szCs w:val="20"/>
          <w:lang w:eastAsia="en-US"/>
        </w:rPr>
        <w:t>.</w:t>
      </w:r>
      <w:r w:rsidRPr="006B1A5A">
        <w:rPr>
          <w:rFonts w:ascii="Verdana" w:eastAsia="Calibri" w:hAnsi="Verdana"/>
          <w:color w:val="auto"/>
          <w:sz w:val="20"/>
          <w:szCs w:val="20"/>
          <w:lang w:eastAsia="en-US"/>
        </w:rPr>
        <w:t xml:space="preserve"> “Dermal absorption from antifouling products and other matrices that form a dry film during testing” Report of workshop held in Berlin 19 May 2016</w:t>
      </w:r>
      <w:r w:rsidRPr="006B1A5A">
        <w:rPr>
          <w:rFonts w:ascii="Verdana" w:hAnsi="Verdana"/>
          <w:sz w:val="20"/>
          <w:szCs w:val="20"/>
        </w:rPr>
        <w:t xml:space="preserve"> Date of report 19 August 2016.</w:t>
      </w:r>
    </w:p>
    <w:bookmarkEnd w:id="1834"/>
    <w:p w14:paraId="6D0435D9" w14:textId="77777777" w:rsidR="001042DA" w:rsidRPr="006B1A5A" w:rsidRDefault="001042DA" w:rsidP="00793864">
      <w:pPr>
        <w:pStyle w:val="Default"/>
        <w:ind w:left="426" w:hanging="426"/>
        <w:rPr>
          <w:rFonts w:ascii="Verdana" w:eastAsia="Calibri" w:hAnsi="Verdana"/>
          <w:noProof/>
          <w:color w:val="auto"/>
          <w:sz w:val="20"/>
          <w:szCs w:val="20"/>
          <w:lang w:eastAsia="en-US"/>
        </w:rPr>
      </w:pPr>
    </w:p>
    <w:p w14:paraId="2467EF70" w14:textId="0A42DC53" w:rsidR="00EC7702" w:rsidRDefault="00EC7702" w:rsidP="00793864">
      <w:pPr>
        <w:pStyle w:val="Listeavsnitt"/>
        <w:numPr>
          <w:ilvl w:val="0"/>
          <w:numId w:val="9"/>
        </w:numPr>
        <w:spacing w:after="120" w:line="259" w:lineRule="auto"/>
        <w:ind w:left="426" w:right="142" w:hanging="426"/>
        <w:rPr>
          <w:rFonts w:eastAsia="Calibri"/>
          <w:noProof/>
          <w:lang w:eastAsia="en-US"/>
        </w:rPr>
      </w:pPr>
      <w:r w:rsidRPr="00BE2098">
        <w:rPr>
          <w:rFonts w:eastAsia="Calibri"/>
          <w:lang w:eastAsia="en-US"/>
        </w:rPr>
        <w:t>European</w:t>
      </w:r>
      <w:r w:rsidR="00793864">
        <w:rPr>
          <w:rFonts w:eastAsia="Calibri"/>
          <w:lang w:eastAsia="en-US"/>
        </w:rPr>
        <w:t xml:space="preserve"> </w:t>
      </w:r>
      <w:r w:rsidRPr="00BE2098">
        <w:rPr>
          <w:rFonts w:eastAsia="Calibri"/>
          <w:lang w:eastAsia="en-US"/>
        </w:rPr>
        <w:t>Chemicals Agency (ECHA)</w:t>
      </w:r>
      <w:r w:rsidR="00E20C66">
        <w:rPr>
          <w:rFonts w:eastAsia="Calibri"/>
          <w:lang w:eastAsia="en-US"/>
        </w:rPr>
        <w:t xml:space="preserve">, </w:t>
      </w:r>
      <w:r w:rsidRPr="00BE2098">
        <w:rPr>
          <w:rFonts w:eastAsia="Calibri"/>
          <w:lang w:eastAsia="en-US"/>
        </w:rPr>
        <w:t>201</w:t>
      </w:r>
      <w:r>
        <w:rPr>
          <w:rFonts w:eastAsia="Calibri"/>
          <w:lang w:eastAsia="en-US"/>
        </w:rPr>
        <w:t>7</w:t>
      </w:r>
      <w:r w:rsidRPr="00BE2098">
        <w:rPr>
          <w:rFonts w:eastAsia="Calibri"/>
          <w:lang w:eastAsia="en-US"/>
        </w:rPr>
        <w:t xml:space="preserve">. Guidance </w:t>
      </w:r>
      <w:r>
        <w:rPr>
          <w:rFonts w:eastAsia="Calibri"/>
          <w:lang w:eastAsia="en-US"/>
        </w:rPr>
        <w:t>on the Biocidal Products Regulation. Volume III. H</w:t>
      </w:r>
      <w:r w:rsidRPr="00BE2098">
        <w:rPr>
          <w:rFonts w:eastAsia="Calibri"/>
          <w:lang w:eastAsia="en-US"/>
        </w:rPr>
        <w:t xml:space="preserve">uman </w:t>
      </w:r>
      <w:r>
        <w:rPr>
          <w:rFonts w:eastAsia="Calibri"/>
          <w:lang w:eastAsia="en-US"/>
        </w:rPr>
        <w:t>H</w:t>
      </w:r>
      <w:r w:rsidRPr="00BE2098">
        <w:rPr>
          <w:rFonts w:eastAsia="Calibri"/>
          <w:lang w:eastAsia="en-US"/>
        </w:rPr>
        <w:t xml:space="preserve">ealth. </w:t>
      </w:r>
      <w:r w:rsidRPr="004360A7">
        <w:rPr>
          <w:rFonts w:eastAsia="Calibri"/>
          <w:lang w:eastAsia="en-US"/>
        </w:rPr>
        <w:t>Assessment &amp; Evaluation</w:t>
      </w:r>
      <w:r>
        <w:rPr>
          <w:rFonts w:eastAsia="Calibri"/>
          <w:lang w:eastAsia="en-US"/>
        </w:rPr>
        <w:t xml:space="preserve"> (Part B+C)</w:t>
      </w:r>
      <w:r w:rsidRPr="00BE2098">
        <w:rPr>
          <w:rFonts w:eastAsia="Calibri"/>
          <w:lang w:eastAsia="en-US"/>
        </w:rPr>
        <w:t xml:space="preserve">, version </w:t>
      </w:r>
      <w:r>
        <w:rPr>
          <w:rFonts w:eastAsia="Calibri"/>
          <w:lang w:eastAsia="en-US"/>
        </w:rPr>
        <w:t>4.0</w:t>
      </w:r>
      <w:r w:rsidRPr="00BE2098">
        <w:rPr>
          <w:rFonts w:eastAsia="Calibri"/>
          <w:lang w:eastAsia="en-US"/>
        </w:rPr>
        <w:t>, Helsinki</w:t>
      </w:r>
      <w:r>
        <w:rPr>
          <w:rFonts w:eastAsia="Calibri"/>
          <w:lang w:eastAsia="en-US"/>
        </w:rPr>
        <w:t>.</w:t>
      </w:r>
    </w:p>
    <w:p w14:paraId="425953F5" w14:textId="77F972A8" w:rsidR="00EC7702" w:rsidRDefault="00EC7702" w:rsidP="00793864">
      <w:pPr>
        <w:pStyle w:val="Listeavsnitt"/>
        <w:numPr>
          <w:ilvl w:val="0"/>
          <w:numId w:val="9"/>
        </w:numPr>
        <w:spacing w:after="120" w:line="259" w:lineRule="auto"/>
        <w:ind w:left="426" w:right="142" w:hanging="426"/>
        <w:rPr>
          <w:rFonts w:eastAsia="Calibri"/>
          <w:noProof/>
          <w:lang w:eastAsia="en-US"/>
        </w:rPr>
      </w:pPr>
      <w:r w:rsidRPr="00BE2098">
        <w:rPr>
          <w:rFonts w:eastAsia="Calibri"/>
          <w:lang w:eastAsia="en-US"/>
        </w:rPr>
        <w:t>European Chemicals Agency (ECHA)</w:t>
      </w:r>
      <w:r w:rsidR="00E20C66">
        <w:rPr>
          <w:rFonts w:eastAsia="Calibri"/>
          <w:lang w:eastAsia="en-US"/>
        </w:rPr>
        <w:t>,</w:t>
      </w:r>
      <w:r w:rsidRPr="00BE2098">
        <w:rPr>
          <w:rFonts w:eastAsia="Calibri"/>
          <w:lang w:eastAsia="en-US"/>
        </w:rPr>
        <w:t xml:space="preserve"> 201</w:t>
      </w:r>
      <w:r>
        <w:rPr>
          <w:rFonts w:eastAsia="Calibri"/>
          <w:lang w:eastAsia="en-US"/>
        </w:rPr>
        <w:t>8</w:t>
      </w:r>
      <w:r w:rsidRPr="00BE2098">
        <w:rPr>
          <w:rFonts w:eastAsia="Calibri"/>
          <w:lang w:eastAsia="en-US"/>
        </w:rPr>
        <w:t xml:space="preserve">. Guidance </w:t>
      </w:r>
      <w:r>
        <w:rPr>
          <w:rFonts w:eastAsia="Calibri"/>
          <w:lang w:eastAsia="en-US"/>
        </w:rPr>
        <w:t>on the Biocidal Products Regulation. Volume III. H</w:t>
      </w:r>
      <w:r w:rsidRPr="00BE2098">
        <w:rPr>
          <w:rFonts w:eastAsia="Calibri"/>
          <w:lang w:eastAsia="en-US"/>
        </w:rPr>
        <w:t xml:space="preserve">uman </w:t>
      </w:r>
      <w:r>
        <w:rPr>
          <w:rFonts w:eastAsia="Calibri"/>
          <w:lang w:eastAsia="en-US"/>
        </w:rPr>
        <w:t>H</w:t>
      </w:r>
      <w:r w:rsidRPr="00BE2098">
        <w:rPr>
          <w:rFonts w:eastAsia="Calibri"/>
          <w:lang w:eastAsia="en-US"/>
        </w:rPr>
        <w:t>ealth</w:t>
      </w:r>
      <w:r>
        <w:rPr>
          <w:rFonts w:eastAsia="Calibri"/>
          <w:lang w:eastAsia="en-US"/>
        </w:rPr>
        <w:t>.</w:t>
      </w:r>
      <w:r w:rsidRPr="00BE2098">
        <w:rPr>
          <w:rFonts w:eastAsia="Calibri"/>
          <w:lang w:eastAsia="en-US"/>
        </w:rPr>
        <w:t xml:space="preserve"> Information requirements</w:t>
      </w:r>
      <w:r>
        <w:rPr>
          <w:rFonts w:eastAsia="Calibri"/>
          <w:lang w:eastAsia="en-US"/>
        </w:rPr>
        <w:t xml:space="preserve"> (Part A)</w:t>
      </w:r>
      <w:r w:rsidRPr="00BE2098">
        <w:rPr>
          <w:rFonts w:eastAsia="Calibri"/>
          <w:lang w:eastAsia="en-US"/>
        </w:rPr>
        <w:t>, version 1.</w:t>
      </w:r>
      <w:r>
        <w:rPr>
          <w:rFonts w:eastAsia="Calibri"/>
          <w:lang w:eastAsia="en-US"/>
        </w:rPr>
        <w:t>2</w:t>
      </w:r>
      <w:r w:rsidRPr="00BE2098">
        <w:rPr>
          <w:rFonts w:eastAsia="Calibri"/>
          <w:lang w:eastAsia="en-US"/>
        </w:rPr>
        <w:t>, Helsinki</w:t>
      </w:r>
      <w:r>
        <w:rPr>
          <w:rFonts w:eastAsia="Calibri"/>
          <w:lang w:eastAsia="en-US"/>
        </w:rPr>
        <w:t>.</w:t>
      </w:r>
    </w:p>
    <w:p w14:paraId="74B74CC5" w14:textId="37B08BD8" w:rsidR="00647843" w:rsidRPr="00E135B9" w:rsidRDefault="00647843" w:rsidP="00793864">
      <w:pPr>
        <w:pStyle w:val="Listeavsnitt"/>
        <w:numPr>
          <w:ilvl w:val="0"/>
          <w:numId w:val="9"/>
        </w:numPr>
        <w:spacing w:after="120" w:line="259" w:lineRule="auto"/>
        <w:ind w:left="426" w:right="142" w:hanging="426"/>
        <w:rPr>
          <w:rFonts w:eastAsia="Calibri"/>
          <w:noProof/>
          <w:lang w:eastAsia="en-US"/>
        </w:rPr>
      </w:pPr>
      <w:bookmarkStart w:id="1835" w:name="_Hlk23781523"/>
      <w:r w:rsidRPr="00E135B9">
        <w:rPr>
          <w:rFonts w:eastAsia="Calibri"/>
          <w:lang w:eastAsia="en-US"/>
        </w:rPr>
        <w:t>European Chemicals Agency (ECHA)</w:t>
      </w:r>
      <w:r w:rsidR="00E20C66">
        <w:rPr>
          <w:rFonts w:eastAsia="Calibri"/>
          <w:lang w:eastAsia="en-US"/>
        </w:rPr>
        <w:t>,</w:t>
      </w:r>
      <w:r w:rsidRPr="00E135B9">
        <w:rPr>
          <w:rFonts w:eastAsia="Calibri"/>
          <w:lang w:eastAsia="en-US"/>
        </w:rPr>
        <w:t xml:space="preserve"> 2019</w:t>
      </w:r>
      <w:bookmarkEnd w:id="1835"/>
      <w:r w:rsidRPr="00E135B9">
        <w:rPr>
          <w:rFonts w:eastAsia="Calibri"/>
          <w:lang w:eastAsia="en-US"/>
        </w:rPr>
        <w:t xml:space="preserve">. </w:t>
      </w:r>
      <w:r>
        <w:rPr>
          <w:rFonts w:eastAsia="Calibri"/>
          <w:lang w:eastAsia="en-US"/>
        </w:rPr>
        <w:t>Draft proposal: "</w:t>
      </w:r>
      <w:r w:rsidRPr="00E135B9">
        <w:rPr>
          <w:iCs/>
          <w:lang w:val="en-029"/>
        </w:rPr>
        <w:t>Practical approach for the assessment of ED properties of a biocidal product by rMS/eCA</w:t>
      </w:r>
      <w:r>
        <w:rPr>
          <w:iCs/>
        </w:rPr>
        <w:t>".</w:t>
      </w:r>
    </w:p>
    <w:p w14:paraId="3AC15B78" w14:textId="77777777" w:rsidR="00793864" w:rsidRDefault="00793864" w:rsidP="00793864">
      <w:pPr>
        <w:pStyle w:val="Default"/>
        <w:ind w:left="426"/>
        <w:rPr>
          <w:rFonts w:ascii="Verdana" w:hAnsi="Verdana"/>
          <w:sz w:val="20"/>
          <w:szCs w:val="20"/>
        </w:rPr>
      </w:pPr>
    </w:p>
    <w:p w14:paraId="7EC82EA3" w14:textId="141DC4B8" w:rsidR="00D1382B" w:rsidRDefault="00D1382B" w:rsidP="00793864">
      <w:pPr>
        <w:pStyle w:val="Default"/>
        <w:numPr>
          <w:ilvl w:val="0"/>
          <w:numId w:val="9"/>
        </w:numPr>
        <w:ind w:left="426" w:hanging="426"/>
        <w:rPr>
          <w:rFonts w:ascii="Verdana" w:hAnsi="Verdana"/>
          <w:sz w:val="20"/>
          <w:szCs w:val="20"/>
        </w:rPr>
      </w:pPr>
      <w:r w:rsidRPr="006B1A5A">
        <w:rPr>
          <w:rFonts w:ascii="Verdana" w:hAnsi="Verdana"/>
          <w:sz w:val="20"/>
          <w:szCs w:val="20"/>
        </w:rPr>
        <w:t>European Commission 2003. Technical guidance document on risk assessment. Institute of Health and Consumer Protection. European Chemicals Bureau. TGD Part1.Italy, 302p.</w:t>
      </w:r>
      <w:r w:rsidR="00B047E9">
        <w:rPr>
          <w:rFonts w:ascii="Verdana" w:hAnsi="Verdana"/>
          <w:sz w:val="20"/>
          <w:szCs w:val="20"/>
        </w:rPr>
        <w:t>-</w:t>
      </w:r>
    </w:p>
    <w:p w14:paraId="5510736D" w14:textId="77777777" w:rsidR="00793864" w:rsidRDefault="00793864" w:rsidP="00793864">
      <w:pPr>
        <w:pStyle w:val="Default"/>
        <w:ind w:left="426"/>
        <w:rPr>
          <w:rFonts w:ascii="Verdana" w:eastAsia="Calibri" w:hAnsi="Verdana"/>
          <w:sz w:val="20"/>
          <w:szCs w:val="20"/>
        </w:rPr>
      </w:pPr>
    </w:p>
    <w:p w14:paraId="11AB5EC2" w14:textId="77777777" w:rsidR="00793864" w:rsidRPr="00D1382B" w:rsidRDefault="00793864" w:rsidP="00793864">
      <w:pPr>
        <w:pStyle w:val="Default"/>
        <w:numPr>
          <w:ilvl w:val="0"/>
          <w:numId w:val="9"/>
        </w:numPr>
        <w:ind w:left="426" w:hanging="426"/>
      </w:pPr>
      <w:r w:rsidRPr="00FD1306">
        <w:rPr>
          <w:rFonts w:ascii="Verdana" w:eastAsia="Calibri" w:hAnsi="Verdana"/>
          <w:sz w:val="20"/>
          <w:szCs w:val="20"/>
        </w:rPr>
        <w:t xml:space="preserve">European Commission (2008). Regulation (EC) No 1272/2008 of the European Parliament and of the Council of 16 December 2008 on classification, labelling and packaging of substances and mixtures, amending and repealing Directives 67/548/EEC and 1999/45/EC, and amending Regulation (EC) No 1907/2006. Official Journal of the European Union, L 353, 1-1355 </w:t>
      </w:r>
    </w:p>
    <w:p w14:paraId="5B7B4160" w14:textId="77777777" w:rsidR="00FD1306" w:rsidRDefault="00FD1306" w:rsidP="00793864">
      <w:pPr>
        <w:pStyle w:val="Listeavsnitt"/>
        <w:ind w:hanging="426"/>
      </w:pPr>
    </w:p>
    <w:p w14:paraId="1C853687" w14:textId="4865524A" w:rsidR="00D1382B" w:rsidRPr="002D3E85" w:rsidRDefault="00D1382B" w:rsidP="00793864">
      <w:pPr>
        <w:pStyle w:val="Default"/>
        <w:numPr>
          <w:ilvl w:val="0"/>
          <w:numId w:val="9"/>
        </w:numPr>
        <w:ind w:left="426" w:hanging="426"/>
        <w:rPr>
          <w:rFonts w:ascii="Verdana" w:eastAsia="Calibri" w:hAnsi="Verdana"/>
          <w:sz w:val="20"/>
          <w:szCs w:val="20"/>
        </w:rPr>
      </w:pPr>
      <w:r w:rsidRPr="00FD1306">
        <w:rPr>
          <w:rFonts w:ascii="Verdana" w:hAnsi="Verdana"/>
          <w:sz w:val="20"/>
          <w:szCs w:val="20"/>
        </w:rPr>
        <w:t xml:space="preserve">European </w:t>
      </w:r>
      <w:r w:rsidRPr="00FD1306">
        <w:rPr>
          <w:rFonts w:ascii="Verdana" w:eastAsia="Calibri" w:hAnsi="Verdana"/>
          <w:sz w:val="20"/>
          <w:szCs w:val="20"/>
        </w:rPr>
        <w:t>Commission</w:t>
      </w:r>
      <w:r w:rsidRPr="00FD1306">
        <w:rPr>
          <w:rFonts w:ascii="Verdana" w:hAnsi="Verdana"/>
          <w:sz w:val="20"/>
          <w:szCs w:val="20"/>
        </w:rPr>
        <w:t>. 2016. Proposal for a Directive of the European Parliament and of the Council. Amending Directive 2004/37/EC on the protection of workers from the risks related to exposure to carcinogens or mutagens at work. Brussels 13.5.2016. COM (2016) 248 final. 2016/0130 (COD).</w:t>
      </w:r>
    </w:p>
    <w:p w14:paraId="547532A9" w14:textId="77777777" w:rsidR="002D3E85" w:rsidRDefault="002D3E85" w:rsidP="00793864">
      <w:pPr>
        <w:pStyle w:val="Listeavsnitt"/>
        <w:ind w:hanging="426"/>
      </w:pPr>
    </w:p>
    <w:p w14:paraId="671E9D05" w14:textId="77777777" w:rsidR="00D1382B" w:rsidRPr="00542D01" w:rsidRDefault="00D1382B" w:rsidP="00793864">
      <w:pPr>
        <w:pStyle w:val="Default"/>
        <w:numPr>
          <w:ilvl w:val="0"/>
          <w:numId w:val="9"/>
        </w:numPr>
        <w:ind w:left="426" w:hanging="426"/>
        <w:rPr>
          <w:rFonts w:ascii="Verdana" w:hAnsi="Verdana"/>
          <w:sz w:val="20"/>
          <w:szCs w:val="20"/>
        </w:rPr>
      </w:pPr>
      <w:bookmarkStart w:id="1836" w:name="_Hlk23612241"/>
      <w:r w:rsidRPr="00D1382B">
        <w:rPr>
          <w:rFonts w:ascii="Verdana" w:hAnsi="Verdana"/>
          <w:sz w:val="20"/>
          <w:szCs w:val="20"/>
        </w:rPr>
        <w:t>European Fo</w:t>
      </w:r>
      <w:r w:rsidRPr="00542D01">
        <w:rPr>
          <w:rFonts w:ascii="Verdana" w:hAnsi="Verdana"/>
          <w:sz w:val="20"/>
          <w:szCs w:val="20"/>
        </w:rPr>
        <w:t>od Safety Authority (EFSA): Guidance on dermal absorption. Harrie Buist, H. et al. 2017. EFSA Journal, Volume 15, Issue 6, June 2017.</w:t>
      </w:r>
    </w:p>
    <w:bookmarkEnd w:id="1836"/>
    <w:p w14:paraId="5958D246" w14:textId="77777777" w:rsidR="001042DA" w:rsidRDefault="001042DA" w:rsidP="00793864">
      <w:pPr>
        <w:pStyle w:val="Listeavsnitt"/>
        <w:ind w:hanging="426"/>
        <w:rPr>
          <w:rFonts w:eastAsia="Calibri"/>
        </w:rPr>
      </w:pPr>
    </w:p>
    <w:p w14:paraId="44114FB7" w14:textId="3F87A983" w:rsidR="001042DA" w:rsidRPr="006B1A5A" w:rsidRDefault="001042DA" w:rsidP="00793864">
      <w:pPr>
        <w:pStyle w:val="Default"/>
        <w:numPr>
          <w:ilvl w:val="0"/>
          <w:numId w:val="9"/>
        </w:numPr>
        <w:ind w:left="426" w:hanging="426"/>
        <w:rPr>
          <w:rFonts w:ascii="Verdana" w:eastAsia="Calibri" w:hAnsi="Verdana"/>
          <w:noProof/>
          <w:color w:val="auto"/>
          <w:sz w:val="20"/>
          <w:szCs w:val="20"/>
          <w:lang w:eastAsia="en-US"/>
        </w:rPr>
      </w:pPr>
      <w:r w:rsidRPr="006B1A5A">
        <w:rPr>
          <w:rFonts w:ascii="Verdana" w:hAnsi="Verdana"/>
          <w:sz w:val="20"/>
          <w:szCs w:val="20"/>
        </w:rPr>
        <w:t>European</w:t>
      </w:r>
      <w:r w:rsidRPr="006B1A5A">
        <w:rPr>
          <w:rFonts w:ascii="Verdana" w:hAnsi="Verdana" w:cs="Helvetica 45 Light"/>
          <w:sz w:val="20"/>
          <w:szCs w:val="20"/>
        </w:rPr>
        <w:t xml:space="preserve"> Journal of the European Union. 2004. Directive 2004/37/EC of the European Parliament and of the Council of </w:t>
      </w:r>
      <w:r w:rsidRPr="006B1A5A">
        <w:rPr>
          <w:rFonts w:ascii="Verdana" w:hAnsi="Verdana" w:cs="Helvetica 45 Light"/>
          <w:noProof/>
          <w:sz w:val="20"/>
          <w:szCs w:val="20"/>
        </w:rPr>
        <w:t>29 April</w:t>
      </w:r>
      <w:r w:rsidRPr="006B1A5A">
        <w:rPr>
          <w:rFonts w:ascii="Verdana" w:hAnsi="Verdana" w:cs="Helvetica 45 Light"/>
          <w:sz w:val="20"/>
          <w:szCs w:val="20"/>
        </w:rPr>
        <w:t xml:space="preserve"> 2004 on the protection of workers from the risks related to exposure to carcinogens or mutagens at work. (Sixth individual Directive within the meaning of Article 16(1) of Council Directive 89/391/EEC.  L158/50-76.</w:t>
      </w:r>
    </w:p>
    <w:p w14:paraId="672BFF76" w14:textId="77777777" w:rsidR="001042DA" w:rsidRPr="006B1A5A" w:rsidRDefault="001042DA" w:rsidP="00793864">
      <w:pPr>
        <w:pStyle w:val="Default"/>
        <w:spacing w:line="120" w:lineRule="auto"/>
        <w:ind w:hanging="426"/>
        <w:rPr>
          <w:rFonts w:ascii="Verdana" w:eastAsia="Calibri" w:hAnsi="Verdana"/>
          <w:noProof/>
          <w:color w:val="auto"/>
          <w:sz w:val="20"/>
          <w:szCs w:val="20"/>
          <w:lang w:eastAsia="en-US"/>
        </w:rPr>
      </w:pPr>
    </w:p>
    <w:p w14:paraId="55DB4835" w14:textId="1EF63175" w:rsidR="00542D01" w:rsidRPr="00524AF3" w:rsidRDefault="00542D01" w:rsidP="00793864">
      <w:pPr>
        <w:pStyle w:val="Default"/>
        <w:numPr>
          <w:ilvl w:val="0"/>
          <w:numId w:val="9"/>
        </w:numPr>
        <w:ind w:left="426" w:hanging="426"/>
        <w:rPr>
          <w:rFonts w:ascii="Verdana" w:eastAsia="Calibri" w:hAnsi="Verdana"/>
          <w:sz w:val="20"/>
          <w:szCs w:val="20"/>
        </w:rPr>
      </w:pPr>
      <w:r w:rsidRPr="00A926F8">
        <w:rPr>
          <w:rFonts w:ascii="Verdana" w:hAnsi="Verdana"/>
          <w:sz w:val="20"/>
          <w:szCs w:val="20"/>
        </w:rPr>
        <w:t>Human Exposure Expert Group (HEEG). 2010. Opinion 9. Default protection factors for protective clothing and gloves. Ispra</w:t>
      </w:r>
      <w:r>
        <w:rPr>
          <w:rFonts w:ascii="Verdana" w:hAnsi="Verdana"/>
          <w:sz w:val="20"/>
          <w:szCs w:val="20"/>
        </w:rPr>
        <w:t>, 27.01.2010</w:t>
      </w:r>
      <w:r w:rsidRPr="00A926F8">
        <w:rPr>
          <w:rFonts w:ascii="Verdana" w:hAnsi="Verdana"/>
          <w:sz w:val="20"/>
          <w:szCs w:val="20"/>
        </w:rPr>
        <w:t>.</w:t>
      </w:r>
    </w:p>
    <w:p w14:paraId="586E0872" w14:textId="77777777" w:rsidR="00542D01" w:rsidRPr="00A926F8" w:rsidRDefault="00542D01" w:rsidP="00793864">
      <w:pPr>
        <w:pStyle w:val="Default"/>
        <w:ind w:left="426" w:hanging="426"/>
        <w:rPr>
          <w:rFonts w:ascii="Verdana" w:hAnsi="Verdana"/>
          <w:sz w:val="20"/>
          <w:szCs w:val="20"/>
        </w:rPr>
      </w:pPr>
    </w:p>
    <w:p w14:paraId="1046EC89" w14:textId="65D41E8F" w:rsidR="00542D01" w:rsidRPr="008F6F54" w:rsidRDefault="00542D01" w:rsidP="00793864">
      <w:pPr>
        <w:pStyle w:val="Default"/>
        <w:numPr>
          <w:ilvl w:val="0"/>
          <w:numId w:val="9"/>
        </w:numPr>
        <w:ind w:left="426" w:hanging="426"/>
        <w:rPr>
          <w:rFonts w:ascii="Verdana" w:hAnsi="Verdana"/>
          <w:iCs/>
          <w:sz w:val="20"/>
          <w:szCs w:val="20"/>
        </w:rPr>
      </w:pPr>
      <w:r w:rsidRPr="00A926F8">
        <w:rPr>
          <w:rFonts w:ascii="Verdana" w:hAnsi="Verdana"/>
          <w:sz w:val="20"/>
          <w:szCs w:val="20"/>
        </w:rPr>
        <w:t>Human Exposure Expert Group</w:t>
      </w:r>
      <w:r w:rsidRPr="00524AF3">
        <w:rPr>
          <w:rFonts w:ascii="Verdana" w:hAnsi="Verdana"/>
          <w:sz w:val="20"/>
          <w:szCs w:val="20"/>
        </w:rPr>
        <w:t xml:space="preserve"> </w:t>
      </w:r>
      <w:r>
        <w:rPr>
          <w:rFonts w:ascii="Verdana" w:hAnsi="Verdana"/>
          <w:sz w:val="20"/>
          <w:szCs w:val="20"/>
        </w:rPr>
        <w:t>(</w:t>
      </w:r>
      <w:r w:rsidRPr="00524AF3">
        <w:rPr>
          <w:rFonts w:ascii="Verdana" w:hAnsi="Verdana"/>
          <w:sz w:val="20"/>
          <w:szCs w:val="20"/>
        </w:rPr>
        <w:t>HEEG</w:t>
      </w:r>
      <w:r>
        <w:rPr>
          <w:rFonts w:ascii="Verdana" w:hAnsi="Verdana"/>
          <w:sz w:val="20"/>
          <w:szCs w:val="20"/>
        </w:rPr>
        <w:t>)</w:t>
      </w:r>
      <w:r w:rsidRPr="00524AF3">
        <w:rPr>
          <w:rFonts w:ascii="Verdana" w:hAnsi="Verdana"/>
          <w:sz w:val="20"/>
          <w:szCs w:val="20"/>
        </w:rPr>
        <w:t xml:space="preserve"> opinion 17</w:t>
      </w:r>
      <w:r>
        <w:rPr>
          <w:rFonts w:ascii="Verdana" w:hAnsi="Verdana"/>
          <w:sz w:val="20"/>
          <w:szCs w:val="20"/>
        </w:rPr>
        <w:t>. D</w:t>
      </w:r>
      <w:r w:rsidRPr="00524AF3">
        <w:rPr>
          <w:rFonts w:ascii="Verdana" w:hAnsi="Verdana"/>
          <w:sz w:val="20"/>
          <w:szCs w:val="20"/>
        </w:rPr>
        <w:t>efault human factor values for use in exposure assessment for biocidal products</w:t>
      </w:r>
      <w:r>
        <w:rPr>
          <w:rFonts w:ascii="Verdana" w:hAnsi="Verdana"/>
          <w:sz w:val="20"/>
          <w:szCs w:val="20"/>
        </w:rPr>
        <w:t xml:space="preserve">. </w:t>
      </w:r>
      <w:r w:rsidRPr="008F6F54">
        <w:rPr>
          <w:rFonts w:ascii="Verdana" w:hAnsi="Verdana"/>
          <w:bCs/>
          <w:sz w:val="20"/>
          <w:szCs w:val="20"/>
          <w:lang w:val="nb-NO" w:eastAsia="en-US"/>
        </w:rPr>
        <w:t>Endorsed at TM II 2013</w:t>
      </w:r>
      <w:r>
        <w:rPr>
          <w:rFonts w:ascii="Verdana" w:hAnsi="Verdana"/>
          <w:bCs/>
          <w:sz w:val="20"/>
          <w:szCs w:val="20"/>
          <w:lang w:val="nb-NO" w:eastAsia="en-US"/>
        </w:rPr>
        <w:t>.</w:t>
      </w:r>
    </w:p>
    <w:p w14:paraId="2F4FD4E7" w14:textId="77777777" w:rsidR="001042DA" w:rsidRPr="006B1A5A" w:rsidRDefault="001042DA" w:rsidP="00793864">
      <w:pPr>
        <w:pStyle w:val="Listeavsnitt"/>
        <w:ind w:hanging="426"/>
        <w:rPr>
          <w:color w:val="000000"/>
          <w:lang w:eastAsia="en-GB"/>
        </w:rPr>
      </w:pPr>
    </w:p>
    <w:p w14:paraId="24A76C40" w14:textId="77777777" w:rsidR="001042DA" w:rsidRPr="006B1A5A" w:rsidRDefault="001042DA" w:rsidP="00793864">
      <w:pPr>
        <w:pStyle w:val="Merknadstekst"/>
        <w:numPr>
          <w:ilvl w:val="0"/>
          <w:numId w:val="13"/>
        </w:numPr>
        <w:ind w:left="426" w:hanging="426"/>
      </w:pPr>
      <w:bookmarkStart w:id="1837" w:name="_Hlk23246054"/>
      <w:r w:rsidRPr="006B1A5A">
        <w:t>Human Health Working Group meeting WG-V-2016: Dermal absorption of PT 21 active substances 9 December 2016.</w:t>
      </w:r>
    </w:p>
    <w:p w14:paraId="54535C6A" w14:textId="77777777" w:rsidR="001042DA" w:rsidRPr="004561C2" w:rsidRDefault="001042DA" w:rsidP="00793864">
      <w:pPr>
        <w:pStyle w:val="Default"/>
        <w:numPr>
          <w:ilvl w:val="0"/>
          <w:numId w:val="9"/>
        </w:numPr>
        <w:spacing w:before="120"/>
        <w:ind w:left="426" w:hanging="426"/>
        <w:rPr>
          <w:rFonts w:ascii="Verdana" w:hAnsi="Verdana"/>
          <w:sz w:val="20"/>
          <w:szCs w:val="20"/>
        </w:rPr>
      </w:pPr>
      <w:bookmarkStart w:id="1838" w:name="_Hlk23246072"/>
      <w:bookmarkEnd w:id="1837"/>
      <w:r w:rsidRPr="004561C2">
        <w:rPr>
          <w:rFonts w:ascii="Verdana" w:hAnsi="Verdana"/>
          <w:sz w:val="20"/>
          <w:szCs w:val="20"/>
        </w:rPr>
        <w:t>Lane A, Willemsen PR 2004. Collaborative effort looks into biofouling. Fish Farming int. 2004:34-35</w:t>
      </w:r>
    </w:p>
    <w:bookmarkEnd w:id="1838"/>
    <w:p w14:paraId="1D0D40B3" w14:textId="77777777" w:rsidR="001042DA" w:rsidRPr="006B1A5A" w:rsidRDefault="001042DA" w:rsidP="00793864">
      <w:pPr>
        <w:pStyle w:val="Default"/>
        <w:spacing w:line="120" w:lineRule="auto"/>
        <w:ind w:hanging="426"/>
        <w:rPr>
          <w:rFonts w:ascii="Verdana" w:eastAsia="Calibri" w:hAnsi="Verdana"/>
          <w:noProof/>
          <w:color w:val="auto"/>
          <w:sz w:val="20"/>
          <w:szCs w:val="20"/>
          <w:lang w:eastAsia="en-US"/>
        </w:rPr>
      </w:pPr>
    </w:p>
    <w:p w14:paraId="2077E5FA" w14:textId="77777777" w:rsidR="001042DA" w:rsidRPr="006B1A5A" w:rsidRDefault="001042DA" w:rsidP="00793864">
      <w:pPr>
        <w:pStyle w:val="Default"/>
        <w:numPr>
          <w:ilvl w:val="0"/>
          <w:numId w:val="9"/>
        </w:numPr>
        <w:ind w:left="426" w:hanging="426"/>
        <w:rPr>
          <w:rFonts w:ascii="Verdana" w:eastAsia="Calibri" w:hAnsi="Verdana"/>
          <w:noProof/>
          <w:color w:val="auto"/>
          <w:sz w:val="20"/>
          <w:szCs w:val="20"/>
          <w:lang w:eastAsia="en-US"/>
        </w:rPr>
      </w:pPr>
      <w:bookmarkStart w:id="1839" w:name="_Hlk23780993"/>
      <w:r w:rsidRPr="009D246F">
        <w:rPr>
          <w:rFonts w:ascii="Verdana" w:eastAsia="Calibri" w:hAnsi="Verdana"/>
          <w:noProof/>
          <w:color w:val="auto"/>
          <w:sz w:val="20"/>
          <w:szCs w:val="20"/>
          <w:lang w:val="nb-NO" w:eastAsia="en-US"/>
        </w:rPr>
        <w:t xml:space="preserve">Lundebye, A-K, et al (2017). </w:t>
      </w:r>
      <w:r w:rsidRPr="006B1A5A">
        <w:rPr>
          <w:rFonts w:ascii="Verdana" w:eastAsia="Calibri" w:hAnsi="Verdana"/>
          <w:noProof/>
          <w:color w:val="auto"/>
          <w:sz w:val="20"/>
          <w:szCs w:val="20"/>
          <w:lang w:eastAsia="en-US"/>
        </w:rPr>
        <w:t xml:space="preserve">Lower levels of Persistent Organic Pollutants, metals and the marine omega 3-fatty acid DHA in farmed compared to wild Atlantic salmon (Salmo salar), </w:t>
      </w:r>
      <w:r w:rsidRPr="0003486C">
        <w:rPr>
          <w:rFonts w:ascii="Verdana" w:eastAsia="Calibri" w:hAnsi="Verdana"/>
          <w:noProof/>
          <w:color w:val="auto"/>
          <w:sz w:val="20"/>
          <w:szCs w:val="20"/>
          <w:lang w:eastAsia="en-US"/>
        </w:rPr>
        <w:t>Environmental Research 155 (2017) 49–59.</w:t>
      </w:r>
    </w:p>
    <w:bookmarkEnd w:id="1839"/>
    <w:p w14:paraId="2BEBB5F1" w14:textId="4BC5211E" w:rsidR="00121458" w:rsidRPr="002758CF" w:rsidRDefault="00121458" w:rsidP="00793864">
      <w:pPr>
        <w:pStyle w:val="Default"/>
        <w:numPr>
          <w:ilvl w:val="0"/>
          <w:numId w:val="9"/>
        </w:numPr>
        <w:spacing w:before="120"/>
        <w:ind w:left="426" w:hanging="426"/>
        <w:rPr>
          <w:rFonts w:ascii="Verdana" w:eastAsia="Calibri" w:hAnsi="Verdana"/>
          <w:sz w:val="20"/>
          <w:szCs w:val="20"/>
        </w:rPr>
      </w:pPr>
      <w:r w:rsidRPr="002758CF">
        <w:rPr>
          <w:rFonts w:ascii="Verdana" w:eastAsia="Calibri" w:hAnsi="Verdana"/>
          <w:sz w:val="20"/>
          <w:szCs w:val="20"/>
        </w:rPr>
        <w:t xml:space="preserve">NO, 2019. A Norwegian environmental emission scenario for nets used in fish farms – Adjustment of the EU scenario (2015) to better reflect national conditions (Norwegian Environment Agency, 2019) </w:t>
      </w:r>
      <w:hyperlink r:id="rId32" w:history="1">
        <w:r w:rsidRPr="002758CF">
          <w:rPr>
            <w:rFonts w:ascii="Verdana" w:eastAsia="Calibri" w:hAnsi="Verdana"/>
            <w:sz w:val="20"/>
            <w:szCs w:val="20"/>
          </w:rPr>
          <w:t>https://www.miljodirektoratet.no/sharepoint/downloaditem?id=01FM3LD2R5JRIODQDGLRGYVLQ536GBGTVY</w:t>
        </w:r>
      </w:hyperlink>
    </w:p>
    <w:p w14:paraId="4C315F3D" w14:textId="08F7F7D7" w:rsidR="001042DA" w:rsidRPr="002758CF" w:rsidRDefault="001042DA" w:rsidP="00793864">
      <w:pPr>
        <w:pStyle w:val="Default"/>
        <w:numPr>
          <w:ilvl w:val="0"/>
          <w:numId w:val="9"/>
        </w:numPr>
        <w:spacing w:before="120"/>
        <w:ind w:left="426" w:hanging="426"/>
        <w:rPr>
          <w:rFonts w:ascii="Verdana" w:eastAsia="Calibri" w:hAnsi="Verdana"/>
          <w:sz w:val="20"/>
          <w:szCs w:val="20"/>
        </w:rPr>
      </w:pPr>
      <w:r w:rsidRPr="006B1A5A">
        <w:rPr>
          <w:rFonts w:ascii="Verdana" w:hAnsi="Verdana" w:cs="Helvetica 45 Light"/>
          <w:sz w:val="20"/>
          <w:szCs w:val="20"/>
        </w:rPr>
        <w:t>Official Journal of the European Communities. Council Directive 98/24/EC of 7 April 1998 on the protection of the health and safety of workers from the risks related to chemical agents at work (fourteenth individual Directive within the meaning of Article 16(1) of Directive 89/391/EEC. L 131/11-23.</w:t>
      </w:r>
    </w:p>
    <w:p w14:paraId="5B7C9BFE" w14:textId="5278BF03" w:rsidR="001042DA" w:rsidRPr="002758CF" w:rsidRDefault="001042DA" w:rsidP="00793864">
      <w:pPr>
        <w:pStyle w:val="Default"/>
        <w:numPr>
          <w:ilvl w:val="0"/>
          <w:numId w:val="9"/>
        </w:numPr>
        <w:spacing w:before="120"/>
        <w:ind w:left="426" w:hanging="426"/>
        <w:rPr>
          <w:rFonts w:ascii="Verdana" w:eastAsia="Calibri" w:hAnsi="Verdana"/>
          <w:sz w:val="20"/>
          <w:szCs w:val="20"/>
        </w:rPr>
      </w:pPr>
      <w:r w:rsidRPr="006B1A5A">
        <w:rPr>
          <w:rFonts w:ascii="Verdana" w:hAnsi="Verdana" w:cs="Helvetica 45 Light"/>
          <w:sz w:val="20"/>
          <w:szCs w:val="20"/>
        </w:rPr>
        <w:t>Official Journal of the European Union. 2014. Commission Implementing Regulation (EU) N. 408/2014 of 23 April 2014 approving synthetic amorphous silicon dioxide as an existing active substance for use in biocidal products for product-type 18. L121/17.</w:t>
      </w:r>
    </w:p>
    <w:p w14:paraId="1CA4DA1D" w14:textId="2BF51EC7" w:rsidR="00121458" w:rsidRPr="002758CF" w:rsidRDefault="00121458" w:rsidP="00793864">
      <w:pPr>
        <w:pStyle w:val="Default"/>
        <w:numPr>
          <w:ilvl w:val="0"/>
          <w:numId w:val="9"/>
        </w:numPr>
        <w:spacing w:before="120"/>
        <w:ind w:left="426" w:hanging="426"/>
        <w:rPr>
          <w:rFonts w:ascii="Verdana" w:hAnsi="Verdana"/>
          <w:sz w:val="20"/>
          <w:szCs w:val="20"/>
        </w:rPr>
      </w:pPr>
      <w:r w:rsidRPr="002758CF">
        <w:rPr>
          <w:rFonts w:ascii="Verdana" w:eastAsia="Calibri" w:hAnsi="Verdana"/>
          <w:sz w:val="20"/>
          <w:szCs w:val="20"/>
        </w:rPr>
        <w:t xml:space="preserve">SINTEF. Proposed guidance document for efficacy testing of antifouling coatings for nets in field trials, developed by SINTEF ocean for the Norwegian Environment Agency. </w:t>
      </w:r>
      <w:hyperlink r:id="rId33" w:history="1">
        <w:r w:rsidRPr="002758CF">
          <w:rPr>
            <w:rFonts w:ascii="Verdana" w:hAnsi="Verdana"/>
            <w:sz w:val="20"/>
            <w:szCs w:val="20"/>
          </w:rPr>
          <w:t>https://www.miljodirektoratet.no/sharepoint/downloaditem?id=01FM3LD2XMKICN7YW4LNG2PMFDDGEPXCOB</w:t>
        </w:r>
      </w:hyperlink>
      <w:r w:rsidRPr="002758CF">
        <w:rPr>
          <w:rFonts w:ascii="Verdana" w:hAnsi="Verdana"/>
          <w:sz w:val="20"/>
          <w:szCs w:val="20"/>
        </w:rPr>
        <w:t xml:space="preserve"> </w:t>
      </w:r>
    </w:p>
    <w:p w14:paraId="7D44B76B" w14:textId="77777777" w:rsidR="00121458" w:rsidRPr="006B1A5A" w:rsidRDefault="00121458" w:rsidP="00793864">
      <w:pPr>
        <w:pStyle w:val="Default"/>
        <w:ind w:left="426" w:hanging="426"/>
        <w:rPr>
          <w:rFonts w:ascii="Verdana" w:eastAsia="Calibri" w:hAnsi="Verdana"/>
          <w:noProof/>
          <w:color w:val="auto"/>
          <w:sz w:val="20"/>
          <w:szCs w:val="20"/>
          <w:lang w:eastAsia="en-US"/>
        </w:rPr>
      </w:pPr>
    </w:p>
    <w:p w14:paraId="56793B22" w14:textId="77777777" w:rsidR="001042DA" w:rsidRPr="006B1A5A" w:rsidRDefault="001042DA" w:rsidP="00793864">
      <w:pPr>
        <w:pStyle w:val="Listeavsnitt"/>
        <w:spacing w:line="120" w:lineRule="auto"/>
        <w:ind w:left="426" w:hanging="426"/>
        <w:rPr>
          <w:rFonts w:eastAsia="Calibri"/>
          <w:noProof/>
          <w:lang w:eastAsia="en-US"/>
        </w:rPr>
      </w:pPr>
    </w:p>
    <w:p w14:paraId="5F528740" w14:textId="77777777" w:rsidR="001042DA" w:rsidRPr="006B1A5A" w:rsidRDefault="001042DA" w:rsidP="00793864">
      <w:pPr>
        <w:ind w:hanging="426"/>
      </w:pPr>
    </w:p>
    <w:p w14:paraId="7C1B8501" w14:textId="77777777" w:rsidR="00F40703" w:rsidRPr="006B1A5A" w:rsidRDefault="00F40703" w:rsidP="00793864">
      <w:pPr>
        <w:ind w:hanging="426"/>
      </w:pPr>
    </w:p>
    <w:p w14:paraId="3FBA6A6B" w14:textId="77777777" w:rsidR="001B6D77" w:rsidRDefault="001B6D77" w:rsidP="00793864">
      <w:pPr>
        <w:ind w:hanging="426"/>
      </w:pPr>
    </w:p>
    <w:sectPr w:rsidR="001B6D77" w:rsidSect="00AF2AEA">
      <w:footnotePr>
        <w:pos w:val="beneathText"/>
        <w:numRestart w:val="eachSect"/>
      </w:footnotePr>
      <w:endnotePr>
        <w:numFmt w:val="decimal"/>
      </w:endnotePr>
      <w:pgSz w:w="11907" w:h="16840" w:code="9"/>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3B56C" w14:textId="77777777" w:rsidR="00AC16DB" w:rsidRDefault="00AC16DB">
      <w:r>
        <w:separator/>
      </w:r>
    </w:p>
  </w:endnote>
  <w:endnote w:type="continuationSeparator" w:id="0">
    <w:p w14:paraId="09062154" w14:textId="77777777" w:rsidR="00AC16DB" w:rsidRDefault="00AC16DB">
      <w:r>
        <w:continuationSeparator/>
      </w:r>
    </w:p>
  </w:endnote>
  <w:endnote w:type="continuationNotice" w:id="1">
    <w:p w14:paraId="6D57479C" w14:textId="77777777" w:rsidR="00AC16DB" w:rsidRDefault="00AC1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55 Roman">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Verdana,Bold">
    <w:altName w:val="Verdana"/>
    <w:panose1 w:val="00000000000000000000"/>
    <w:charset w:val="00"/>
    <w:family w:val="swiss"/>
    <w:notTrueType/>
    <w:pitch w:val="default"/>
    <w:sig w:usb0="00000003" w:usb1="00000000" w:usb2="00000000" w:usb3="00000000" w:csb0="00000001" w:csb1="00000000"/>
  </w:font>
  <w:font w:name="ArialUnicodeMS">
    <w:altName w:val="Batang"/>
    <w:panose1 w:val="00000000000000000000"/>
    <w:charset w:val="81"/>
    <w:family w:val="auto"/>
    <w:notTrueType/>
    <w:pitch w:val="default"/>
    <w:sig w:usb0="00000001" w:usb1="09060000" w:usb2="00000010" w:usb3="00000000" w:csb0="00080000" w:csb1="00000000"/>
  </w:font>
  <w:font w:name="CIDFont+F2">
    <w:altName w:val="Calibri"/>
    <w:charset w:val="00"/>
    <w:family w:val="auto"/>
    <w:pitch w:val="default"/>
  </w:font>
  <w:font w:name="TimesNewRoman">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A4A1" w14:textId="77777777" w:rsidR="0007191E" w:rsidRPr="004E5875" w:rsidRDefault="0007191E">
    <w:pPr>
      <w:pStyle w:val="Bunntekst"/>
      <w:jc w:val="right"/>
      <w:rPr>
        <w:rFonts w:ascii="Verdana" w:hAnsi="Verdana"/>
        <w:sz w:val="18"/>
      </w:rPr>
    </w:pPr>
    <w:r w:rsidRPr="004E5875">
      <w:rPr>
        <w:rFonts w:ascii="Verdana" w:hAnsi="Verdana"/>
        <w:sz w:val="18"/>
      </w:rPr>
      <w:fldChar w:fldCharType="begin"/>
    </w:r>
    <w:r w:rsidRPr="004E5875">
      <w:rPr>
        <w:rFonts w:ascii="Verdana" w:hAnsi="Verdana"/>
        <w:sz w:val="18"/>
      </w:rPr>
      <w:instrText xml:space="preserve"> PAGE   \* MERGEFORMAT </w:instrText>
    </w:r>
    <w:r w:rsidRPr="004E5875">
      <w:rPr>
        <w:rFonts w:ascii="Verdana" w:hAnsi="Verdana"/>
        <w:sz w:val="18"/>
      </w:rPr>
      <w:fldChar w:fldCharType="separate"/>
    </w:r>
    <w:r>
      <w:rPr>
        <w:rFonts w:ascii="Verdana" w:hAnsi="Verdana"/>
        <w:noProof/>
        <w:sz w:val="18"/>
      </w:rPr>
      <w:t>3</w:t>
    </w:r>
    <w:r w:rsidRPr="004E5875">
      <w:rPr>
        <w:rFonts w:ascii="Verdana" w:hAnsi="Verdana"/>
        <w:noProof/>
        <w:sz w:val="18"/>
      </w:rPr>
      <w:fldChar w:fldCharType="end"/>
    </w:r>
  </w:p>
  <w:p w14:paraId="07B19E37" w14:textId="77777777" w:rsidR="0007191E" w:rsidRDefault="0007191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7464" w14:textId="77777777" w:rsidR="0007191E" w:rsidRPr="004E5875" w:rsidRDefault="0007191E">
    <w:pPr>
      <w:pStyle w:val="Bunntekst"/>
      <w:jc w:val="right"/>
      <w:rPr>
        <w:rFonts w:ascii="Verdana" w:hAnsi="Verdana"/>
        <w:sz w:val="18"/>
      </w:rPr>
    </w:pPr>
    <w:r w:rsidRPr="004E5875">
      <w:rPr>
        <w:rFonts w:ascii="Verdana" w:hAnsi="Verdana"/>
        <w:sz w:val="18"/>
      </w:rPr>
      <w:fldChar w:fldCharType="begin"/>
    </w:r>
    <w:r w:rsidRPr="004E5875">
      <w:rPr>
        <w:rFonts w:ascii="Verdana" w:hAnsi="Verdana"/>
        <w:sz w:val="18"/>
      </w:rPr>
      <w:instrText xml:space="preserve"> PAGE   \* MERGEFORMAT </w:instrText>
    </w:r>
    <w:r w:rsidRPr="004E5875">
      <w:rPr>
        <w:rFonts w:ascii="Verdana" w:hAnsi="Verdana"/>
        <w:sz w:val="18"/>
      </w:rPr>
      <w:fldChar w:fldCharType="separate"/>
    </w:r>
    <w:r>
      <w:rPr>
        <w:rFonts w:ascii="Verdana" w:hAnsi="Verdana"/>
        <w:noProof/>
        <w:sz w:val="18"/>
      </w:rPr>
      <w:t>73</w:t>
    </w:r>
    <w:r w:rsidRPr="004E5875">
      <w:rPr>
        <w:rFonts w:ascii="Verdana" w:hAnsi="Verdana"/>
        <w:noProof/>
        <w:sz w:val="18"/>
      </w:rPr>
      <w:fldChar w:fldCharType="end"/>
    </w:r>
  </w:p>
  <w:p w14:paraId="1EF4087B" w14:textId="77777777" w:rsidR="0007191E" w:rsidRDefault="0007191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07D97" w14:textId="77777777" w:rsidR="00AC16DB" w:rsidRDefault="00AC16DB">
      <w:r>
        <w:separator/>
      </w:r>
    </w:p>
  </w:footnote>
  <w:footnote w:type="continuationSeparator" w:id="0">
    <w:p w14:paraId="3DD7F58B" w14:textId="77777777" w:rsidR="00AC16DB" w:rsidRDefault="00AC16DB">
      <w:r>
        <w:continuationSeparator/>
      </w:r>
    </w:p>
  </w:footnote>
  <w:footnote w:type="continuationNotice" w:id="1">
    <w:p w14:paraId="3E8EF3F1" w14:textId="77777777" w:rsidR="00AC16DB" w:rsidRDefault="00AC16DB"/>
  </w:footnote>
  <w:footnote w:id="2">
    <w:p w14:paraId="543EF226" w14:textId="77777777" w:rsidR="0007191E" w:rsidRDefault="0007191E"/>
    <w:p w14:paraId="5CA632DC" w14:textId="77777777" w:rsidR="0007191E" w:rsidRDefault="0007191E"/>
  </w:footnote>
  <w:footnote w:id="3">
    <w:p w14:paraId="22A84344" w14:textId="77777777" w:rsidR="0007191E" w:rsidRDefault="0007191E" w:rsidP="00C66572">
      <w:pPr>
        <w:pStyle w:val="Fotnotetekst"/>
      </w:pPr>
      <w:r w:rsidRPr="00C66572">
        <w:rPr>
          <w:rStyle w:val="Fotnotereferanse"/>
          <w:sz w:val="14"/>
          <w:szCs w:val="18"/>
        </w:rPr>
        <w:footnoteRef/>
      </w:r>
      <w:r w:rsidRPr="00C66572">
        <w:rPr>
          <w:sz w:val="18"/>
          <w:szCs w:val="18"/>
        </w:rPr>
        <w:t xml:space="preserve"> ECHA, (2014). Transitional Guidance on mixture toxicity assessment for biocidal products for the environment.</w:t>
      </w:r>
      <w:r w:rsidRPr="00884E25">
        <w:rPr>
          <w:sz w:val="18"/>
          <w:szCs w:val="18"/>
        </w:rPr>
        <w:t xml:space="preserve">  </w:t>
      </w:r>
    </w:p>
  </w:footnote>
  <w:footnote w:id="4">
    <w:p w14:paraId="750A105C" w14:textId="77777777" w:rsidR="0007191E" w:rsidRDefault="0007191E"/>
    <w:p w14:paraId="3753F6DC" w14:textId="77777777" w:rsidR="0007191E" w:rsidRDefault="000719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Layout w:type="fixed"/>
      <w:tblCellMar>
        <w:left w:w="0" w:type="dxa"/>
        <w:right w:w="0" w:type="dxa"/>
      </w:tblCellMar>
      <w:tblLook w:val="0000" w:firstRow="0" w:lastRow="0" w:firstColumn="0" w:lastColumn="0" w:noHBand="0" w:noVBand="0"/>
    </w:tblPr>
    <w:tblGrid>
      <w:gridCol w:w="1276"/>
      <w:gridCol w:w="5528"/>
      <w:gridCol w:w="2552"/>
    </w:tblGrid>
    <w:tr w:rsidR="0007191E" w:rsidRPr="00A53BD0" w14:paraId="2937D85B" w14:textId="77777777" w:rsidTr="00AF2AEA">
      <w:tc>
        <w:tcPr>
          <w:tcW w:w="1276" w:type="dxa"/>
          <w:tcBorders>
            <w:top w:val="nil"/>
            <w:left w:val="nil"/>
            <w:bottom w:val="single" w:sz="4" w:space="0" w:color="000000"/>
            <w:right w:val="nil"/>
          </w:tcBorders>
          <w:vAlign w:val="center"/>
        </w:tcPr>
        <w:p w14:paraId="4EA39C3E" w14:textId="77777777" w:rsidR="0007191E" w:rsidRPr="00A53BD0" w:rsidRDefault="0007191E" w:rsidP="00AF2AEA">
          <w:pPr>
            <w:widowControl w:val="0"/>
            <w:autoSpaceDE w:val="0"/>
            <w:autoSpaceDN w:val="0"/>
            <w:adjustRightInd w:val="0"/>
            <w:jc w:val="center"/>
            <w:rPr>
              <w:rFonts w:cs="Times"/>
              <w:sz w:val="18"/>
              <w:szCs w:val="18"/>
            </w:rPr>
          </w:pPr>
          <w:r>
            <w:rPr>
              <w:rFonts w:cs="Times"/>
              <w:color w:val="000000"/>
              <w:sz w:val="18"/>
              <w:szCs w:val="18"/>
            </w:rPr>
            <w:t>Norway</w:t>
          </w:r>
        </w:p>
      </w:tc>
      <w:tc>
        <w:tcPr>
          <w:tcW w:w="5528" w:type="dxa"/>
          <w:tcBorders>
            <w:top w:val="nil"/>
            <w:left w:val="nil"/>
            <w:bottom w:val="single" w:sz="4" w:space="0" w:color="000000"/>
            <w:right w:val="nil"/>
          </w:tcBorders>
          <w:vAlign w:val="center"/>
        </w:tcPr>
        <w:p w14:paraId="75ADCF76" w14:textId="77777777" w:rsidR="0007191E" w:rsidRPr="00A53BD0" w:rsidRDefault="0007191E" w:rsidP="00AF2AEA">
          <w:pPr>
            <w:widowControl w:val="0"/>
            <w:autoSpaceDE w:val="0"/>
            <w:autoSpaceDN w:val="0"/>
            <w:adjustRightInd w:val="0"/>
            <w:jc w:val="center"/>
            <w:rPr>
              <w:rFonts w:cs="Times"/>
              <w:sz w:val="18"/>
              <w:szCs w:val="18"/>
            </w:rPr>
          </w:pPr>
          <w:r>
            <w:rPr>
              <w:rFonts w:cs="Times"/>
              <w:color w:val="000000"/>
              <w:sz w:val="18"/>
              <w:szCs w:val="18"/>
            </w:rPr>
            <w:t>AquaNet 360 BPF</w:t>
          </w:r>
        </w:p>
      </w:tc>
      <w:tc>
        <w:tcPr>
          <w:tcW w:w="2552" w:type="dxa"/>
          <w:tcBorders>
            <w:top w:val="nil"/>
            <w:left w:val="nil"/>
            <w:bottom w:val="single" w:sz="4" w:space="0" w:color="000000"/>
            <w:right w:val="nil"/>
          </w:tcBorders>
          <w:vAlign w:val="center"/>
        </w:tcPr>
        <w:p w14:paraId="27FCD303" w14:textId="77777777" w:rsidR="0007191E" w:rsidRPr="00A53BD0" w:rsidRDefault="0007191E" w:rsidP="00AF2AEA">
          <w:pPr>
            <w:widowControl w:val="0"/>
            <w:autoSpaceDE w:val="0"/>
            <w:autoSpaceDN w:val="0"/>
            <w:adjustRightInd w:val="0"/>
            <w:jc w:val="center"/>
            <w:rPr>
              <w:rFonts w:cs="Times"/>
              <w:sz w:val="18"/>
              <w:szCs w:val="18"/>
            </w:rPr>
          </w:pPr>
          <w:r w:rsidRPr="00A53BD0">
            <w:rPr>
              <w:rFonts w:cs="Times"/>
              <w:color w:val="000000"/>
              <w:sz w:val="18"/>
              <w:szCs w:val="18"/>
            </w:rPr>
            <w:t>PT</w:t>
          </w:r>
          <w:r>
            <w:rPr>
              <w:rFonts w:cs="Times"/>
              <w:color w:val="000000"/>
              <w:sz w:val="18"/>
              <w:szCs w:val="18"/>
            </w:rPr>
            <w:t xml:space="preserve"> 21</w:t>
          </w:r>
        </w:p>
      </w:tc>
    </w:tr>
  </w:tbl>
  <w:p w14:paraId="5E73F2B9" w14:textId="77777777" w:rsidR="0007191E" w:rsidRDefault="0007191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Layout w:type="fixed"/>
      <w:tblCellMar>
        <w:left w:w="0" w:type="dxa"/>
        <w:right w:w="0" w:type="dxa"/>
      </w:tblCellMar>
      <w:tblLook w:val="0000" w:firstRow="0" w:lastRow="0" w:firstColumn="0" w:lastColumn="0" w:noHBand="0" w:noVBand="0"/>
    </w:tblPr>
    <w:tblGrid>
      <w:gridCol w:w="1276"/>
      <w:gridCol w:w="5528"/>
      <w:gridCol w:w="2552"/>
    </w:tblGrid>
    <w:tr w:rsidR="0007191E" w:rsidRPr="00A53BD0" w14:paraId="6709D0EF" w14:textId="77777777" w:rsidTr="00AF2AEA">
      <w:tc>
        <w:tcPr>
          <w:tcW w:w="1276" w:type="dxa"/>
          <w:tcBorders>
            <w:top w:val="nil"/>
            <w:left w:val="nil"/>
            <w:bottom w:val="single" w:sz="4" w:space="0" w:color="000000"/>
            <w:right w:val="nil"/>
          </w:tcBorders>
          <w:vAlign w:val="center"/>
        </w:tcPr>
        <w:p w14:paraId="1D4D01A6" w14:textId="77777777" w:rsidR="0007191E" w:rsidRPr="00A53BD0" w:rsidRDefault="0007191E" w:rsidP="00AF2AEA">
          <w:pPr>
            <w:widowControl w:val="0"/>
            <w:autoSpaceDE w:val="0"/>
            <w:autoSpaceDN w:val="0"/>
            <w:adjustRightInd w:val="0"/>
            <w:jc w:val="center"/>
            <w:rPr>
              <w:rFonts w:cs="Times"/>
              <w:sz w:val="18"/>
              <w:szCs w:val="18"/>
            </w:rPr>
          </w:pPr>
          <w:r>
            <w:rPr>
              <w:rFonts w:cs="Times"/>
              <w:sz w:val="18"/>
              <w:szCs w:val="18"/>
            </w:rPr>
            <w:t>Norway</w:t>
          </w:r>
        </w:p>
      </w:tc>
      <w:tc>
        <w:tcPr>
          <w:tcW w:w="5528" w:type="dxa"/>
          <w:tcBorders>
            <w:top w:val="nil"/>
            <w:left w:val="nil"/>
            <w:bottom w:val="single" w:sz="4" w:space="0" w:color="000000"/>
            <w:right w:val="nil"/>
          </w:tcBorders>
          <w:vAlign w:val="center"/>
        </w:tcPr>
        <w:p w14:paraId="2E450E3B" w14:textId="77777777" w:rsidR="0007191E" w:rsidRPr="00DA0A8B" w:rsidRDefault="0007191E" w:rsidP="00AF2AEA">
          <w:pPr>
            <w:widowControl w:val="0"/>
            <w:autoSpaceDE w:val="0"/>
            <w:autoSpaceDN w:val="0"/>
            <w:adjustRightInd w:val="0"/>
            <w:jc w:val="center"/>
            <w:rPr>
              <w:rFonts w:cs="Times"/>
              <w:sz w:val="18"/>
              <w:szCs w:val="18"/>
            </w:rPr>
          </w:pPr>
          <w:r>
            <w:rPr>
              <w:rFonts w:cs="Times"/>
              <w:color w:val="000000"/>
              <w:sz w:val="18"/>
              <w:szCs w:val="18"/>
            </w:rPr>
            <w:t>360 Biocidal Product Family</w:t>
          </w:r>
        </w:p>
      </w:tc>
      <w:tc>
        <w:tcPr>
          <w:tcW w:w="2552" w:type="dxa"/>
          <w:tcBorders>
            <w:top w:val="nil"/>
            <w:left w:val="nil"/>
            <w:bottom w:val="single" w:sz="4" w:space="0" w:color="000000"/>
            <w:right w:val="nil"/>
          </w:tcBorders>
          <w:vAlign w:val="center"/>
        </w:tcPr>
        <w:p w14:paraId="2A3FA781" w14:textId="77777777" w:rsidR="0007191E" w:rsidRPr="00A53BD0" w:rsidRDefault="0007191E" w:rsidP="00AF2AEA">
          <w:pPr>
            <w:widowControl w:val="0"/>
            <w:autoSpaceDE w:val="0"/>
            <w:autoSpaceDN w:val="0"/>
            <w:adjustRightInd w:val="0"/>
            <w:jc w:val="center"/>
            <w:rPr>
              <w:rFonts w:cs="Times"/>
              <w:sz w:val="18"/>
              <w:szCs w:val="18"/>
            </w:rPr>
          </w:pPr>
          <w:r>
            <w:t>PT 21</w:t>
          </w:r>
        </w:p>
      </w:tc>
    </w:tr>
  </w:tbl>
  <w:p w14:paraId="7EA14F31" w14:textId="77777777" w:rsidR="0007191E" w:rsidRDefault="0007191E" w:rsidP="00AF2AE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pStyle w:val="SFHeader2101"/>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1" w15:restartNumberingAfterBreak="0">
    <w:nsid w:val="0C5C627F"/>
    <w:multiLevelType w:val="hybridMultilevel"/>
    <w:tmpl w:val="F69EA6E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01B0576"/>
    <w:multiLevelType w:val="hybridMultilevel"/>
    <w:tmpl w:val="D4CA0356"/>
    <w:lvl w:ilvl="0" w:tplc="853EFF18">
      <w:start w:val="3"/>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51238D"/>
    <w:multiLevelType w:val="hybridMultilevel"/>
    <w:tmpl w:val="E0C8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505E0"/>
    <w:multiLevelType w:val="hybridMultilevel"/>
    <w:tmpl w:val="72BAA9B2"/>
    <w:lvl w:ilvl="0" w:tplc="B628C260">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B39187E"/>
    <w:multiLevelType w:val="hybridMultilevel"/>
    <w:tmpl w:val="862817AC"/>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2DA4430"/>
    <w:multiLevelType w:val="hybridMultilevel"/>
    <w:tmpl w:val="462EC6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40B67A6"/>
    <w:multiLevelType w:val="hybridMultilevel"/>
    <w:tmpl w:val="218C424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2AC87F85"/>
    <w:multiLevelType w:val="hybridMultilevel"/>
    <w:tmpl w:val="B5BC6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E7C6F"/>
    <w:multiLevelType w:val="hybridMultilevel"/>
    <w:tmpl w:val="FB8E22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2EE1520"/>
    <w:multiLevelType w:val="hybridMultilevel"/>
    <w:tmpl w:val="0AF0DEF6"/>
    <w:lvl w:ilvl="0" w:tplc="041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1346BA"/>
    <w:multiLevelType w:val="multilevel"/>
    <w:tmpl w:val="250C9C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29E662A"/>
    <w:multiLevelType w:val="multilevel"/>
    <w:tmpl w:val="8DF435AA"/>
    <w:name w:val="ListNumber2Numbering"/>
    <w:lvl w:ilvl="0">
      <w:start w:val="1"/>
      <w:numFmt w:val="lowerLetter"/>
      <w:pStyle w:val="ListNumber1"/>
      <w:lvlText w:val="(%1)"/>
      <w:lvlJc w:val="left"/>
      <w:pPr>
        <w:tabs>
          <w:tab w:val="num" w:pos="1191"/>
        </w:tabs>
        <w:ind w:left="1191" w:hanging="709"/>
      </w:pPr>
      <w:rPr>
        <w:i w:val="0"/>
      </w:rPr>
    </w:lvl>
    <w:lvl w:ilvl="1">
      <w:start w:val="1"/>
      <w:numFmt w:val="lowerLetter"/>
      <w:pStyle w:val="ListNumber1Level2"/>
      <w:lvlText w:val="(%2)"/>
      <w:lvlJc w:val="left"/>
      <w:pPr>
        <w:tabs>
          <w:tab w:val="num" w:pos="1984"/>
        </w:tabs>
        <w:ind w:left="1984" w:hanging="708"/>
      </w:pPr>
      <w:rPr>
        <w:b w:val="0"/>
      </w:r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3" w15:restartNumberingAfterBreak="0">
    <w:nsid w:val="46CF4151"/>
    <w:multiLevelType w:val="hybridMultilevel"/>
    <w:tmpl w:val="F2204950"/>
    <w:lvl w:ilvl="0" w:tplc="99C45E5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9447BB7"/>
    <w:multiLevelType w:val="hybridMultilevel"/>
    <w:tmpl w:val="2AEACEE0"/>
    <w:lvl w:ilvl="0" w:tplc="C21C5C10">
      <w:start w:val="1"/>
      <w:numFmt w:val="bullet"/>
      <w:pStyle w:val="Liste-Zeichen2"/>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5" w15:restartNumberingAfterBreak="0">
    <w:nsid w:val="4A124E2B"/>
    <w:multiLevelType w:val="hybridMultilevel"/>
    <w:tmpl w:val="95DE13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C17499F"/>
    <w:multiLevelType w:val="hybridMultilevel"/>
    <w:tmpl w:val="26C25C54"/>
    <w:lvl w:ilvl="0" w:tplc="1FE4D62A">
      <w:start w:val="1"/>
      <w:numFmt w:val="bullet"/>
      <w:pStyle w:val="Liste-Zeichen"/>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0311FEA"/>
    <w:multiLevelType w:val="multilevel"/>
    <w:tmpl w:val="FC9A5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44098D"/>
    <w:multiLevelType w:val="hybridMultilevel"/>
    <w:tmpl w:val="13448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BE6147"/>
    <w:multiLevelType w:val="hybridMultilevel"/>
    <w:tmpl w:val="6AB4D3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0F56A70"/>
    <w:multiLevelType w:val="hybridMultilevel"/>
    <w:tmpl w:val="BA0AB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F94AD6"/>
    <w:multiLevelType w:val="multilevel"/>
    <w:tmpl w:val="D160D39C"/>
    <w:lvl w:ilvl="0">
      <w:start w:val="1"/>
      <w:numFmt w:val="decimal"/>
      <w:pStyle w:val="Overskrift1"/>
      <w:lvlText w:val="%1"/>
      <w:lvlJc w:val="left"/>
      <w:pPr>
        <w:ind w:left="432" w:hanging="432"/>
      </w:pPr>
      <w:rPr>
        <w:rFonts w:cs="Times New Roman" w:hint="default"/>
        <w:b/>
        <w:bCs w:val="0"/>
        <w:i w:val="0"/>
        <w:iCs w:val="0"/>
        <w:caps w:val="0"/>
        <w:smallCaps w:val="0"/>
        <w:strike w:val="0"/>
        <w:dstrike w:val="0"/>
        <w:noProof w:val="0"/>
        <w:vanish w:val="0"/>
        <w:color w:val="000000"/>
        <w:spacing w:val="0"/>
        <w:kern w:val="0"/>
        <w:position w:val="0"/>
        <w:sz w:val="28"/>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ind w:left="1144" w:hanging="576"/>
      </w:pPr>
      <w:rPr>
        <w:b w:val="0"/>
        <w:sz w:val="24"/>
        <w:lang w:val="de-DE"/>
      </w:rPr>
    </w:lvl>
    <w:lvl w:ilvl="2">
      <w:start w:val="1"/>
      <w:numFmt w:val="decimal"/>
      <w:pStyle w:val="Overskrift3"/>
      <w:lvlText w:val="%1.%2.%3"/>
      <w:lvlJc w:val="left"/>
      <w:pPr>
        <w:ind w:left="9368"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Overskrift4"/>
      <w:lvlText w:val="%1.%2.%3.%4"/>
      <w:lvlJc w:val="left"/>
      <w:pPr>
        <w:ind w:left="8803"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2" w15:restartNumberingAfterBreak="0">
    <w:nsid w:val="66314462"/>
    <w:multiLevelType w:val="hybridMultilevel"/>
    <w:tmpl w:val="D00876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B54FB2"/>
    <w:multiLevelType w:val="hybridMultilevel"/>
    <w:tmpl w:val="13448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num w:numId="1" w16cid:durableId="2049256935">
    <w:abstractNumId w:val="24"/>
  </w:num>
  <w:num w:numId="2" w16cid:durableId="24135718">
    <w:abstractNumId w:val="0"/>
  </w:num>
  <w:num w:numId="3" w16cid:durableId="732316030">
    <w:abstractNumId w:val="21"/>
  </w:num>
  <w:num w:numId="4" w16cid:durableId="1307786082">
    <w:abstractNumId w:val="14"/>
  </w:num>
  <w:num w:numId="5" w16cid:durableId="1972128491">
    <w:abstractNumId w:val="16"/>
  </w:num>
  <w:num w:numId="6" w16cid:durableId="1457138522">
    <w:abstractNumId w:val="18"/>
  </w:num>
  <w:num w:numId="7" w16cid:durableId="142624474">
    <w:abstractNumId w:val="23"/>
  </w:num>
  <w:num w:numId="8" w16cid:durableId="1449084913">
    <w:abstractNumId w:val="8"/>
  </w:num>
  <w:num w:numId="9" w16cid:durableId="1865357960">
    <w:abstractNumId w:val="10"/>
  </w:num>
  <w:num w:numId="10" w16cid:durableId="862130350">
    <w:abstractNumId w:val="19"/>
  </w:num>
  <w:num w:numId="11" w16cid:durableId="2021078875">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12" w16cid:durableId="565846989">
    <w:abstractNumId w:val="5"/>
  </w:num>
  <w:num w:numId="13" w16cid:durableId="1173841037">
    <w:abstractNumId w:val="1"/>
  </w:num>
  <w:num w:numId="14" w16cid:durableId="1895970369">
    <w:abstractNumId w:val="13"/>
  </w:num>
  <w:num w:numId="15" w16cid:durableId="1672755972">
    <w:abstractNumId w:val="15"/>
  </w:num>
  <w:num w:numId="16" w16cid:durableId="801731396">
    <w:abstractNumId w:val="6"/>
  </w:num>
  <w:num w:numId="17" w16cid:durableId="1317567873">
    <w:abstractNumId w:val="11"/>
  </w:num>
  <w:num w:numId="18" w16cid:durableId="5427195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725032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425604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250427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230406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039495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95725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20027819">
    <w:abstractNumId w:val="7"/>
  </w:num>
  <w:num w:numId="26" w16cid:durableId="951208260">
    <w:abstractNumId w:val="9"/>
  </w:num>
  <w:num w:numId="27" w16cid:durableId="1980763197">
    <w:abstractNumId w:val="17"/>
  </w:num>
  <w:num w:numId="28" w16cid:durableId="1211108191">
    <w:abstractNumId w:val="4"/>
  </w:num>
  <w:num w:numId="29" w16cid:durableId="586380086">
    <w:abstractNumId w:val="21"/>
  </w:num>
  <w:num w:numId="30" w16cid:durableId="319887879">
    <w:abstractNumId w:val="22"/>
  </w:num>
  <w:num w:numId="31" w16cid:durableId="6916856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07589940">
    <w:abstractNumId w:val="3"/>
  </w:num>
  <w:num w:numId="33" w16cid:durableId="332995279">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2DA"/>
    <w:rsid w:val="00001A9B"/>
    <w:rsid w:val="000043AC"/>
    <w:rsid w:val="0000474A"/>
    <w:rsid w:val="00005017"/>
    <w:rsid w:val="00005E1B"/>
    <w:rsid w:val="00007C10"/>
    <w:rsid w:val="0001061B"/>
    <w:rsid w:val="00013746"/>
    <w:rsid w:val="00017672"/>
    <w:rsid w:val="00021394"/>
    <w:rsid w:val="00022054"/>
    <w:rsid w:val="00022ACA"/>
    <w:rsid w:val="00023079"/>
    <w:rsid w:val="00031DC0"/>
    <w:rsid w:val="000322DE"/>
    <w:rsid w:val="0003486C"/>
    <w:rsid w:val="00037248"/>
    <w:rsid w:val="000378EC"/>
    <w:rsid w:val="000468C1"/>
    <w:rsid w:val="00047356"/>
    <w:rsid w:val="000513BF"/>
    <w:rsid w:val="00051AE7"/>
    <w:rsid w:val="000545B2"/>
    <w:rsid w:val="0005709B"/>
    <w:rsid w:val="000579B2"/>
    <w:rsid w:val="0006373E"/>
    <w:rsid w:val="00065700"/>
    <w:rsid w:val="00070B3C"/>
    <w:rsid w:val="0007137F"/>
    <w:rsid w:val="00071909"/>
    <w:rsid w:val="0007191E"/>
    <w:rsid w:val="000808A6"/>
    <w:rsid w:val="00081607"/>
    <w:rsid w:val="00084638"/>
    <w:rsid w:val="0008498F"/>
    <w:rsid w:val="000912C4"/>
    <w:rsid w:val="000A184C"/>
    <w:rsid w:val="000A1F01"/>
    <w:rsid w:val="000A29EC"/>
    <w:rsid w:val="000B2E60"/>
    <w:rsid w:val="000B605F"/>
    <w:rsid w:val="000C6C7E"/>
    <w:rsid w:val="000D225E"/>
    <w:rsid w:val="000E0D05"/>
    <w:rsid w:val="000E1A40"/>
    <w:rsid w:val="000E1C55"/>
    <w:rsid w:val="000E2401"/>
    <w:rsid w:val="000E283A"/>
    <w:rsid w:val="000E32AD"/>
    <w:rsid w:val="000E4414"/>
    <w:rsid w:val="000E5A33"/>
    <w:rsid w:val="000E66AC"/>
    <w:rsid w:val="000F239C"/>
    <w:rsid w:val="000F6314"/>
    <w:rsid w:val="001038F1"/>
    <w:rsid w:val="001042DA"/>
    <w:rsid w:val="00104B42"/>
    <w:rsid w:val="00111FB3"/>
    <w:rsid w:val="00112D98"/>
    <w:rsid w:val="0011482B"/>
    <w:rsid w:val="001169A0"/>
    <w:rsid w:val="00117C35"/>
    <w:rsid w:val="00120678"/>
    <w:rsid w:val="00121458"/>
    <w:rsid w:val="00124115"/>
    <w:rsid w:val="001241AB"/>
    <w:rsid w:val="00124CDC"/>
    <w:rsid w:val="00125229"/>
    <w:rsid w:val="00125E27"/>
    <w:rsid w:val="00126F7E"/>
    <w:rsid w:val="00127322"/>
    <w:rsid w:val="00131F78"/>
    <w:rsid w:val="00133FDA"/>
    <w:rsid w:val="00135171"/>
    <w:rsid w:val="00135D7C"/>
    <w:rsid w:val="00137AA9"/>
    <w:rsid w:val="001404D9"/>
    <w:rsid w:val="00142B22"/>
    <w:rsid w:val="00145400"/>
    <w:rsid w:val="00147B5D"/>
    <w:rsid w:val="00150C74"/>
    <w:rsid w:val="001517FE"/>
    <w:rsid w:val="001525A8"/>
    <w:rsid w:val="00153CCB"/>
    <w:rsid w:val="00154C82"/>
    <w:rsid w:val="00156301"/>
    <w:rsid w:val="00157AD9"/>
    <w:rsid w:val="00160166"/>
    <w:rsid w:val="00160A25"/>
    <w:rsid w:val="00160DEF"/>
    <w:rsid w:val="001612AF"/>
    <w:rsid w:val="00161E9F"/>
    <w:rsid w:val="00163286"/>
    <w:rsid w:val="00163289"/>
    <w:rsid w:val="00164BA4"/>
    <w:rsid w:val="0016738C"/>
    <w:rsid w:val="001703D1"/>
    <w:rsid w:val="00175791"/>
    <w:rsid w:val="00176002"/>
    <w:rsid w:val="00182198"/>
    <w:rsid w:val="00182256"/>
    <w:rsid w:val="001823F7"/>
    <w:rsid w:val="001A2A23"/>
    <w:rsid w:val="001A530E"/>
    <w:rsid w:val="001B0088"/>
    <w:rsid w:val="001B54F2"/>
    <w:rsid w:val="001B6D77"/>
    <w:rsid w:val="001B741F"/>
    <w:rsid w:val="001C656C"/>
    <w:rsid w:val="001C66C7"/>
    <w:rsid w:val="001D1C64"/>
    <w:rsid w:val="001D1F94"/>
    <w:rsid w:val="001E2BD2"/>
    <w:rsid w:val="001F19D6"/>
    <w:rsid w:val="001F1F8D"/>
    <w:rsid w:val="001F2921"/>
    <w:rsid w:val="001F2DDD"/>
    <w:rsid w:val="001F4C48"/>
    <w:rsid w:val="001F4F3A"/>
    <w:rsid w:val="001F727C"/>
    <w:rsid w:val="0020277C"/>
    <w:rsid w:val="002065FC"/>
    <w:rsid w:val="002107C6"/>
    <w:rsid w:val="002126B4"/>
    <w:rsid w:val="002162C7"/>
    <w:rsid w:val="002163EE"/>
    <w:rsid w:val="002200B2"/>
    <w:rsid w:val="00224BD9"/>
    <w:rsid w:val="002257BE"/>
    <w:rsid w:val="00225B0C"/>
    <w:rsid w:val="00225D2D"/>
    <w:rsid w:val="00227B2E"/>
    <w:rsid w:val="00227D6D"/>
    <w:rsid w:val="0023635B"/>
    <w:rsid w:val="00241C9A"/>
    <w:rsid w:val="002421A2"/>
    <w:rsid w:val="00242DE5"/>
    <w:rsid w:val="002444AD"/>
    <w:rsid w:val="002456FB"/>
    <w:rsid w:val="00250871"/>
    <w:rsid w:val="002514FD"/>
    <w:rsid w:val="0025231E"/>
    <w:rsid w:val="002550B5"/>
    <w:rsid w:val="00257B42"/>
    <w:rsid w:val="002600BB"/>
    <w:rsid w:val="0027359F"/>
    <w:rsid w:val="002748DA"/>
    <w:rsid w:val="00274CF9"/>
    <w:rsid w:val="00275720"/>
    <w:rsid w:val="002758CF"/>
    <w:rsid w:val="0027759D"/>
    <w:rsid w:val="00280DA7"/>
    <w:rsid w:val="0028223B"/>
    <w:rsid w:val="002824F4"/>
    <w:rsid w:val="00282FA1"/>
    <w:rsid w:val="002845FC"/>
    <w:rsid w:val="002900EE"/>
    <w:rsid w:val="002A7B47"/>
    <w:rsid w:val="002B0D35"/>
    <w:rsid w:val="002C0996"/>
    <w:rsid w:val="002C3F89"/>
    <w:rsid w:val="002C52F5"/>
    <w:rsid w:val="002C7D4D"/>
    <w:rsid w:val="002D0B65"/>
    <w:rsid w:val="002D2B0F"/>
    <w:rsid w:val="002D3E85"/>
    <w:rsid w:val="002D7036"/>
    <w:rsid w:val="002E017C"/>
    <w:rsid w:val="002E10E7"/>
    <w:rsid w:val="002E1892"/>
    <w:rsid w:val="002E5F6D"/>
    <w:rsid w:val="002E6D4D"/>
    <w:rsid w:val="002F6080"/>
    <w:rsid w:val="00300383"/>
    <w:rsid w:val="00306961"/>
    <w:rsid w:val="0031080C"/>
    <w:rsid w:val="00316009"/>
    <w:rsid w:val="00320C31"/>
    <w:rsid w:val="00324C13"/>
    <w:rsid w:val="003319FF"/>
    <w:rsid w:val="003338E4"/>
    <w:rsid w:val="00334944"/>
    <w:rsid w:val="003351BA"/>
    <w:rsid w:val="00336571"/>
    <w:rsid w:val="00336FE8"/>
    <w:rsid w:val="003403D3"/>
    <w:rsid w:val="00344934"/>
    <w:rsid w:val="00351C40"/>
    <w:rsid w:val="0035371E"/>
    <w:rsid w:val="00353B60"/>
    <w:rsid w:val="00363F46"/>
    <w:rsid w:val="003675E6"/>
    <w:rsid w:val="0037222D"/>
    <w:rsid w:val="00375520"/>
    <w:rsid w:val="00377680"/>
    <w:rsid w:val="00390594"/>
    <w:rsid w:val="003906E4"/>
    <w:rsid w:val="003A1941"/>
    <w:rsid w:val="003A5EDF"/>
    <w:rsid w:val="003B07D2"/>
    <w:rsid w:val="003B27D4"/>
    <w:rsid w:val="003B60EE"/>
    <w:rsid w:val="003B732F"/>
    <w:rsid w:val="003C0377"/>
    <w:rsid w:val="003C54AA"/>
    <w:rsid w:val="003C5FE0"/>
    <w:rsid w:val="003C6100"/>
    <w:rsid w:val="003D05A5"/>
    <w:rsid w:val="003D2B97"/>
    <w:rsid w:val="003E2FA3"/>
    <w:rsid w:val="003E3608"/>
    <w:rsid w:val="003E4CA6"/>
    <w:rsid w:val="003E50B5"/>
    <w:rsid w:val="003E6919"/>
    <w:rsid w:val="003F1F3C"/>
    <w:rsid w:val="003F45C1"/>
    <w:rsid w:val="003F5275"/>
    <w:rsid w:val="003F5E07"/>
    <w:rsid w:val="00406552"/>
    <w:rsid w:val="00407EAB"/>
    <w:rsid w:val="0041307D"/>
    <w:rsid w:val="004137BD"/>
    <w:rsid w:val="00415D09"/>
    <w:rsid w:val="00424B24"/>
    <w:rsid w:val="004271EF"/>
    <w:rsid w:val="00430E3F"/>
    <w:rsid w:val="00432269"/>
    <w:rsid w:val="00432499"/>
    <w:rsid w:val="00432F9B"/>
    <w:rsid w:val="0044049A"/>
    <w:rsid w:val="00440A2E"/>
    <w:rsid w:val="00441714"/>
    <w:rsid w:val="004420DC"/>
    <w:rsid w:val="00442720"/>
    <w:rsid w:val="004433D8"/>
    <w:rsid w:val="0044541A"/>
    <w:rsid w:val="00446C69"/>
    <w:rsid w:val="0045103C"/>
    <w:rsid w:val="0045596D"/>
    <w:rsid w:val="004561C2"/>
    <w:rsid w:val="00464C24"/>
    <w:rsid w:val="00470A0A"/>
    <w:rsid w:val="004711E5"/>
    <w:rsid w:val="00471A6D"/>
    <w:rsid w:val="00473325"/>
    <w:rsid w:val="00484535"/>
    <w:rsid w:val="00485B29"/>
    <w:rsid w:val="0048639A"/>
    <w:rsid w:val="004867FE"/>
    <w:rsid w:val="00486E76"/>
    <w:rsid w:val="0049059F"/>
    <w:rsid w:val="00490CC1"/>
    <w:rsid w:val="004952F7"/>
    <w:rsid w:val="0049776D"/>
    <w:rsid w:val="004A10AD"/>
    <w:rsid w:val="004A534C"/>
    <w:rsid w:val="004C11E8"/>
    <w:rsid w:val="004C2C86"/>
    <w:rsid w:val="004C3148"/>
    <w:rsid w:val="004C3211"/>
    <w:rsid w:val="004C66F9"/>
    <w:rsid w:val="004D1465"/>
    <w:rsid w:val="004D4AF7"/>
    <w:rsid w:val="004D5421"/>
    <w:rsid w:val="004D7069"/>
    <w:rsid w:val="004E0171"/>
    <w:rsid w:val="004E1DB6"/>
    <w:rsid w:val="004E2362"/>
    <w:rsid w:val="004E362E"/>
    <w:rsid w:val="004F43A6"/>
    <w:rsid w:val="004F5324"/>
    <w:rsid w:val="005003A1"/>
    <w:rsid w:val="00503894"/>
    <w:rsid w:val="00505D24"/>
    <w:rsid w:val="00506F7C"/>
    <w:rsid w:val="00516E25"/>
    <w:rsid w:val="005178C5"/>
    <w:rsid w:val="00521D15"/>
    <w:rsid w:val="0052404B"/>
    <w:rsid w:val="00526AC6"/>
    <w:rsid w:val="005277C8"/>
    <w:rsid w:val="00531A5D"/>
    <w:rsid w:val="00535334"/>
    <w:rsid w:val="00541917"/>
    <w:rsid w:val="00542654"/>
    <w:rsid w:val="00542D01"/>
    <w:rsid w:val="00544E73"/>
    <w:rsid w:val="00546846"/>
    <w:rsid w:val="00550242"/>
    <w:rsid w:val="00550CA0"/>
    <w:rsid w:val="00551787"/>
    <w:rsid w:val="00552D70"/>
    <w:rsid w:val="00553042"/>
    <w:rsid w:val="0055417B"/>
    <w:rsid w:val="0055465C"/>
    <w:rsid w:val="00564633"/>
    <w:rsid w:val="005711F9"/>
    <w:rsid w:val="00573992"/>
    <w:rsid w:val="00574C52"/>
    <w:rsid w:val="00576205"/>
    <w:rsid w:val="00585F21"/>
    <w:rsid w:val="005A1812"/>
    <w:rsid w:val="005A58AD"/>
    <w:rsid w:val="005B034A"/>
    <w:rsid w:val="005B0DD0"/>
    <w:rsid w:val="005B1044"/>
    <w:rsid w:val="005B3203"/>
    <w:rsid w:val="005C11C7"/>
    <w:rsid w:val="005C589C"/>
    <w:rsid w:val="005D2346"/>
    <w:rsid w:val="005E3023"/>
    <w:rsid w:val="005E36DE"/>
    <w:rsid w:val="005E3959"/>
    <w:rsid w:val="005E3CC9"/>
    <w:rsid w:val="005E66AA"/>
    <w:rsid w:val="005F25D0"/>
    <w:rsid w:val="005F4606"/>
    <w:rsid w:val="00602623"/>
    <w:rsid w:val="00605AA5"/>
    <w:rsid w:val="0060729D"/>
    <w:rsid w:val="006117B6"/>
    <w:rsid w:val="00612605"/>
    <w:rsid w:val="006176A8"/>
    <w:rsid w:val="00620F12"/>
    <w:rsid w:val="00623254"/>
    <w:rsid w:val="00624EF5"/>
    <w:rsid w:val="00625299"/>
    <w:rsid w:val="006260C6"/>
    <w:rsid w:val="00627E64"/>
    <w:rsid w:val="00630A6D"/>
    <w:rsid w:val="006336DE"/>
    <w:rsid w:val="00642630"/>
    <w:rsid w:val="00647843"/>
    <w:rsid w:val="00655B7F"/>
    <w:rsid w:val="00657097"/>
    <w:rsid w:val="00660CAC"/>
    <w:rsid w:val="006613B7"/>
    <w:rsid w:val="00661DE6"/>
    <w:rsid w:val="00662D15"/>
    <w:rsid w:val="006634ED"/>
    <w:rsid w:val="00665185"/>
    <w:rsid w:val="00667A9F"/>
    <w:rsid w:val="0067134B"/>
    <w:rsid w:val="00677E3F"/>
    <w:rsid w:val="00680193"/>
    <w:rsid w:val="00682F7E"/>
    <w:rsid w:val="00687789"/>
    <w:rsid w:val="00693066"/>
    <w:rsid w:val="006B0022"/>
    <w:rsid w:val="006B1A5A"/>
    <w:rsid w:val="006B45EA"/>
    <w:rsid w:val="006C0AAA"/>
    <w:rsid w:val="006C276B"/>
    <w:rsid w:val="006C322E"/>
    <w:rsid w:val="006C5869"/>
    <w:rsid w:val="006D0006"/>
    <w:rsid w:val="006D33FB"/>
    <w:rsid w:val="006D733E"/>
    <w:rsid w:val="006E0AFB"/>
    <w:rsid w:val="006E273F"/>
    <w:rsid w:val="006E356B"/>
    <w:rsid w:val="006E3E58"/>
    <w:rsid w:val="006E4D74"/>
    <w:rsid w:val="006E51D1"/>
    <w:rsid w:val="006F0953"/>
    <w:rsid w:val="006F30CF"/>
    <w:rsid w:val="006F468A"/>
    <w:rsid w:val="00700550"/>
    <w:rsid w:val="00702A9E"/>
    <w:rsid w:val="00710367"/>
    <w:rsid w:val="00710B33"/>
    <w:rsid w:val="00723B94"/>
    <w:rsid w:val="00730B85"/>
    <w:rsid w:val="007326A6"/>
    <w:rsid w:val="00732C7F"/>
    <w:rsid w:val="00742F00"/>
    <w:rsid w:val="0075674D"/>
    <w:rsid w:val="00760BFA"/>
    <w:rsid w:val="0076481A"/>
    <w:rsid w:val="00771DC3"/>
    <w:rsid w:val="0077562F"/>
    <w:rsid w:val="00776D6D"/>
    <w:rsid w:val="00781392"/>
    <w:rsid w:val="00781F9F"/>
    <w:rsid w:val="0078502C"/>
    <w:rsid w:val="00787F7E"/>
    <w:rsid w:val="007910D6"/>
    <w:rsid w:val="00791394"/>
    <w:rsid w:val="00791FBA"/>
    <w:rsid w:val="00792505"/>
    <w:rsid w:val="00793864"/>
    <w:rsid w:val="00796478"/>
    <w:rsid w:val="007A5D77"/>
    <w:rsid w:val="007A6533"/>
    <w:rsid w:val="007A6AEF"/>
    <w:rsid w:val="007B791A"/>
    <w:rsid w:val="007D137A"/>
    <w:rsid w:val="007D2EFB"/>
    <w:rsid w:val="007D47B5"/>
    <w:rsid w:val="007D514A"/>
    <w:rsid w:val="007E093B"/>
    <w:rsid w:val="007E1AA2"/>
    <w:rsid w:val="007E1E36"/>
    <w:rsid w:val="007E2958"/>
    <w:rsid w:val="007E2A10"/>
    <w:rsid w:val="007E3C0F"/>
    <w:rsid w:val="007E65EF"/>
    <w:rsid w:val="007F1E8E"/>
    <w:rsid w:val="007F4488"/>
    <w:rsid w:val="007F48B5"/>
    <w:rsid w:val="007F75B9"/>
    <w:rsid w:val="00800965"/>
    <w:rsid w:val="008019FB"/>
    <w:rsid w:val="00802733"/>
    <w:rsid w:val="00803FE0"/>
    <w:rsid w:val="00804938"/>
    <w:rsid w:val="0080649D"/>
    <w:rsid w:val="0081233B"/>
    <w:rsid w:val="008157B0"/>
    <w:rsid w:val="008163BA"/>
    <w:rsid w:val="0081795C"/>
    <w:rsid w:val="00821D3B"/>
    <w:rsid w:val="00823463"/>
    <w:rsid w:val="00824D3D"/>
    <w:rsid w:val="00825938"/>
    <w:rsid w:val="0082663F"/>
    <w:rsid w:val="008369B6"/>
    <w:rsid w:val="008427AD"/>
    <w:rsid w:val="008433EB"/>
    <w:rsid w:val="008606EA"/>
    <w:rsid w:val="00863002"/>
    <w:rsid w:val="00865A14"/>
    <w:rsid w:val="00872E04"/>
    <w:rsid w:val="00877571"/>
    <w:rsid w:val="00886538"/>
    <w:rsid w:val="00886A6B"/>
    <w:rsid w:val="00891346"/>
    <w:rsid w:val="00892317"/>
    <w:rsid w:val="00892DDD"/>
    <w:rsid w:val="0089392D"/>
    <w:rsid w:val="008940F7"/>
    <w:rsid w:val="008978E2"/>
    <w:rsid w:val="008B6ADA"/>
    <w:rsid w:val="008B7493"/>
    <w:rsid w:val="008B7D38"/>
    <w:rsid w:val="008C30DB"/>
    <w:rsid w:val="008C6B04"/>
    <w:rsid w:val="008D029C"/>
    <w:rsid w:val="008D05E9"/>
    <w:rsid w:val="008D1330"/>
    <w:rsid w:val="008D3914"/>
    <w:rsid w:val="008D391E"/>
    <w:rsid w:val="008D597A"/>
    <w:rsid w:val="008D6F26"/>
    <w:rsid w:val="008D71B0"/>
    <w:rsid w:val="008E2321"/>
    <w:rsid w:val="008E378D"/>
    <w:rsid w:val="008E48AD"/>
    <w:rsid w:val="008E4D33"/>
    <w:rsid w:val="008F46F5"/>
    <w:rsid w:val="008F4B09"/>
    <w:rsid w:val="008F5A0E"/>
    <w:rsid w:val="008F5C8B"/>
    <w:rsid w:val="00905886"/>
    <w:rsid w:val="00911A99"/>
    <w:rsid w:val="00911FFD"/>
    <w:rsid w:val="00916E44"/>
    <w:rsid w:val="009203B6"/>
    <w:rsid w:val="00923002"/>
    <w:rsid w:val="00924524"/>
    <w:rsid w:val="00924EF8"/>
    <w:rsid w:val="00927E60"/>
    <w:rsid w:val="009305E5"/>
    <w:rsid w:val="00932B58"/>
    <w:rsid w:val="00933468"/>
    <w:rsid w:val="009343AE"/>
    <w:rsid w:val="00937468"/>
    <w:rsid w:val="00937933"/>
    <w:rsid w:val="0094374C"/>
    <w:rsid w:val="009440D8"/>
    <w:rsid w:val="00946323"/>
    <w:rsid w:val="0095150D"/>
    <w:rsid w:val="009535F0"/>
    <w:rsid w:val="00954C66"/>
    <w:rsid w:val="00955A18"/>
    <w:rsid w:val="00971125"/>
    <w:rsid w:val="00975F27"/>
    <w:rsid w:val="00984056"/>
    <w:rsid w:val="00990556"/>
    <w:rsid w:val="009A0CE7"/>
    <w:rsid w:val="009A4042"/>
    <w:rsid w:val="009A6BA6"/>
    <w:rsid w:val="009B0022"/>
    <w:rsid w:val="009B02BC"/>
    <w:rsid w:val="009B0C9B"/>
    <w:rsid w:val="009B3707"/>
    <w:rsid w:val="009B3B3E"/>
    <w:rsid w:val="009B4DE6"/>
    <w:rsid w:val="009B61EA"/>
    <w:rsid w:val="009B6913"/>
    <w:rsid w:val="009B74DF"/>
    <w:rsid w:val="009C1DD9"/>
    <w:rsid w:val="009C3A50"/>
    <w:rsid w:val="009C4962"/>
    <w:rsid w:val="009D246F"/>
    <w:rsid w:val="009D2A98"/>
    <w:rsid w:val="009D3042"/>
    <w:rsid w:val="009D5290"/>
    <w:rsid w:val="009E2C3B"/>
    <w:rsid w:val="009E60E3"/>
    <w:rsid w:val="009E7035"/>
    <w:rsid w:val="009F65FE"/>
    <w:rsid w:val="00A00492"/>
    <w:rsid w:val="00A01011"/>
    <w:rsid w:val="00A02197"/>
    <w:rsid w:val="00A02DB5"/>
    <w:rsid w:val="00A04C54"/>
    <w:rsid w:val="00A05A5A"/>
    <w:rsid w:val="00A10B46"/>
    <w:rsid w:val="00A14CD6"/>
    <w:rsid w:val="00A15668"/>
    <w:rsid w:val="00A20998"/>
    <w:rsid w:val="00A25BAE"/>
    <w:rsid w:val="00A2650B"/>
    <w:rsid w:val="00A2656D"/>
    <w:rsid w:val="00A31F84"/>
    <w:rsid w:val="00A32578"/>
    <w:rsid w:val="00A34B2F"/>
    <w:rsid w:val="00A350C5"/>
    <w:rsid w:val="00A352E0"/>
    <w:rsid w:val="00A35A99"/>
    <w:rsid w:val="00A4165F"/>
    <w:rsid w:val="00A4320B"/>
    <w:rsid w:val="00A43C95"/>
    <w:rsid w:val="00A43D0C"/>
    <w:rsid w:val="00A45C30"/>
    <w:rsid w:val="00A4653B"/>
    <w:rsid w:val="00A567F5"/>
    <w:rsid w:val="00A56906"/>
    <w:rsid w:val="00A60496"/>
    <w:rsid w:val="00A63B35"/>
    <w:rsid w:val="00A6584E"/>
    <w:rsid w:val="00A70281"/>
    <w:rsid w:val="00A70862"/>
    <w:rsid w:val="00A77FAB"/>
    <w:rsid w:val="00A86EF0"/>
    <w:rsid w:val="00A92F55"/>
    <w:rsid w:val="00A969E7"/>
    <w:rsid w:val="00AA48C4"/>
    <w:rsid w:val="00AA4EF1"/>
    <w:rsid w:val="00AB66D2"/>
    <w:rsid w:val="00AC16DB"/>
    <w:rsid w:val="00AC36F7"/>
    <w:rsid w:val="00AC4252"/>
    <w:rsid w:val="00AD2AAF"/>
    <w:rsid w:val="00AD7701"/>
    <w:rsid w:val="00AE00C7"/>
    <w:rsid w:val="00AE168A"/>
    <w:rsid w:val="00AE3C08"/>
    <w:rsid w:val="00AE4197"/>
    <w:rsid w:val="00AF0C61"/>
    <w:rsid w:val="00AF2AEA"/>
    <w:rsid w:val="00AF3954"/>
    <w:rsid w:val="00B0116C"/>
    <w:rsid w:val="00B04451"/>
    <w:rsid w:val="00B047E9"/>
    <w:rsid w:val="00B12109"/>
    <w:rsid w:val="00B15238"/>
    <w:rsid w:val="00B174CA"/>
    <w:rsid w:val="00B23985"/>
    <w:rsid w:val="00B25FFE"/>
    <w:rsid w:val="00B418C1"/>
    <w:rsid w:val="00B43ECC"/>
    <w:rsid w:val="00B457C4"/>
    <w:rsid w:val="00B45B75"/>
    <w:rsid w:val="00B464FA"/>
    <w:rsid w:val="00B52D55"/>
    <w:rsid w:val="00B55D2A"/>
    <w:rsid w:val="00B562AF"/>
    <w:rsid w:val="00B64BCE"/>
    <w:rsid w:val="00B64D54"/>
    <w:rsid w:val="00B65425"/>
    <w:rsid w:val="00B70B2A"/>
    <w:rsid w:val="00B7534A"/>
    <w:rsid w:val="00B7737D"/>
    <w:rsid w:val="00B80ADC"/>
    <w:rsid w:val="00B81B45"/>
    <w:rsid w:val="00B83155"/>
    <w:rsid w:val="00B86170"/>
    <w:rsid w:val="00BA59EA"/>
    <w:rsid w:val="00BA7337"/>
    <w:rsid w:val="00BB191E"/>
    <w:rsid w:val="00BB5DA7"/>
    <w:rsid w:val="00BB67FD"/>
    <w:rsid w:val="00BB6CD3"/>
    <w:rsid w:val="00BC0318"/>
    <w:rsid w:val="00BC6C11"/>
    <w:rsid w:val="00BE0E79"/>
    <w:rsid w:val="00BE1C34"/>
    <w:rsid w:val="00BE1DAC"/>
    <w:rsid w:val="00BE6BE9"/>
    <w:rsid w:val="00BF36B3"/>
    <w:rsid w:val="00BF3990"/>
    <w:rsid w:val="00BF75EC"/>
    <w:rsid w:val="00BF785B"/>
    <w:rsid w:val="00C01A84"/>
    <w:rsid w:val="00C04F48"/>
    <w:rsid w:val="00C05D83"/>
    <w:rsid w:val="00C06C02"/>
    <w:rsid w:val="00C075A8"/>
    <w:rsid w:val="00C17B26"/>
    <w:rsid w:val="00C267F4"/>
    <w:rsid w:val="00C304CC"/>
    <w:rsid w:val="00C30D0E"/>
    <w:rsid w:val="00C35AAF"/>
    <w:rsid w:val="00C3612A"/>
    <w:rsid w:val="00C408D8"/>
    <w:rsid w:val="00C4240A"/>
    <w:rsid w:val="00C42688"/>
    <w:rsid w:val="00C44A07"/>
    <w:rsid w:val="00C454B9"/>
    <w:rsid w:val="00C4574C"/>
    <w:rsid w:val="00C47CD4"/>
    <w:rsid w:val="00C50683"/>
    <w:rsid w:val="00C51EF8"/>
    <w:rsid w:val="00C528EB"/>
    <w:rsid w:val="00C54EDC"/>
    <w:rsid w:val="00C60395"/>
    <w:rsid w:val="00C608A3"/>
    <w:rsid w:val="00C642C7"/>
    <w:rsid w:val="00C644AD"/>
    <w:rsid w:val="00C65109"/>
    <w:rsid w:val="00C66572"/>
    <w:rsid w:val="00C678BE"/>
    <w:rsid w:val="00C73157"/>
    <w:rsid w:val="00C73CEE"/>
    <w:rsid w:val="00C80FE6"/>
    <w:rsid w:val="00C8271D"/>
    <w:rsid w:val="00C8310A"/>
    <w:rsid w:val="00C84F36"/>
    <w:rsid w:val="00C920FE"/>
    <w:rsid w:val="00C93D48"/>
    <w:rsid w:val="00C95FD1"/>
    <w:rsid w:val="00C969E6"/>
    <w:rsid w:val="00C96A99"/>
    <w:rsid w:val="00CA27F7"/>
    <w:rsid w:val="00CA2AE4"/>
    <w:rsid w:val="00CA3B7C"/>
    <w:rsid w:val="00CA4727"/>
    <w:rsid w:val="00CA7F99"/>
    <w:rsid w:val="00CB612F"/>
    <w:rsid w:val="00CC2890"/>
    <w:rsid w:val="00CC2CC7"/>
    <w:rsid w:val="00CD1C54"/>
    <w:rsid w:val="00CD2FA3"/>
    <w:rsid w:val="00CD3206"/>
    <w:rsid w:val="00CD5149"/>
    <w:rsid w:val="00CE0D61"/>
    <w:rsid w:val="00CE2CBB"/>
    <w:rsid w:val="00CE3D55"/>
    <w:rsid w:val="00CE68F7"/>
    <w:rsid w:val="00CE7CFB"/>
    <w:rsid w:val="00CE7F7B"/>
    <w:rsid w:val="00CF059E"/>
    <w:rsid w:val="00CF3A98"/>
    <w:rsid w:val="00CF7BAB"/>
    <w:rsid w:val="00D0379C"/>
    <w:rsid w:val="00D066FB"/>
    <w:rsid w:val="00D0759E"/>
    <w:rsid w:val="00D1382B"/>
    <w:rsid w:val="00D16D41"/>
    <w:rsid w:val="00D17AC7"/>
    <w:rsid w:val="00D221B4"/>
    <w:rsid w:val="00D24C38"/>
    <w:rsid w:val="00D33180"/>
    <w:rsid w:val="00D34075"/>
    <w:rsid w:val="00D3654F"/>
    <w:rsid w:val="00D373A9"/>
    <w:rsid w:val="00D42FF7"/>
    <w:rsid w:val="00D50B77"/>
    <w:rsid w:val="00D52E75"/>
    <w:rsid w:val="00D555AE"/>
    <w:rsid w:val="00D57296"/>
    <w:rsid w:val="00D60A48"/>
    <w:rsid w:val="00D63842"/>
    <w:rsid w:val="00D659F2"/>
    <w:rsid w:val="00D6636B"/>
    <w:rsid w:val="00D704B4"/>
    <w:rsid w:val="00D726E8"/>
    <w:rsid w:val="00D74EC8"/>
    <w:rsid w:val="00D75709"/>
    <w:rsid w:val="00D8521A"/>
    <w:rsid w:val="00D85EB4"/>
    <w:rsid w:val="00D86354"/>
    <w:rsid w:val="00D91F71"/>
    <w:rsid w:val="00D92DD3"/>
    <w:rsid w:val="00D969E4"/>
    <w:rsid w:val="00D97CAC"/>
    <w:rsid w:val="00DA0F27"/>
    <w:rsid w:val="00DA2C54"/>
    <w:rsid w:val="00DA4C07"/>
    <w:rsid w:val="00DA6C1B"/>
    <w:rsid w:val="00DA7036"/>
    <w:rsid w:val="00DB044A"/>
    <w:rsid w:val="00DB2F69"/>
    <w:rsid w:val="00DB66F6"/>
    <w:rsid w:val="00DB6CDE"/>
    <w:rsid w:val="00DC01E1"/>
    <w:rsid w:val="00DC3733"/>
    <w:rsid w:val="00DD067F"/>
    <w:rsid w:val="00DD171A"/>
    <w:rsid w:val="00DD2D44"/>
    <w:rsid w:val="00DD4B16"/>
    <w:rsid w:val="00DE56D5"/>
    <w:rsid w:val="00DE64ED"/>
    <w:rsid w:val="00DF2483"/>
    <w:rsid w:val="00E00F84"/>
    <w:rsid w:val="00E00FF1"/>
    <w:rsid w:val="00E10569"/>
    <w:rsid w:val="00E12018"/>
    <w:rsid w:val="00E137F1"/>
    <w:rsid w:val="00E167A3"/>
    <w:rsid w:val="00E17188"/>
    <w:rsid w:val="00E20BB3"/>
    <w:rsid w:val="00E20C66"/>
    <w:rsid w:val="00E21AE5"/>
    <w:rsid w:val="00E22B72"/>
    <w:rsid w:val="00E25F93"/>
    <w:rsid w:val="00E35D48"/>
    <w:rsid w:val="00E45FC2"/>
    <w:rsid w:val="00E465D0"/>
    <w:rsid w:val="00E551AE"/>
    <w:rsid w:val="00E56CE9"/>
    <w:rsid w:val="00E60005"/>
    <w:rsid w:val="00E71072"/>
    <w:rsid w:val="00E71760"/>
    <w:rsid w:val="00E72490"/>
    <w:rsid w:val="00E74726"/>
    <w:rsid w:val="00E751B1"/>
    <w:rsid w:val="00E8076A"/>
    <w:rsid w:val="00E80887"/>
    <w:rsid w:val="00E813CD"/>
    <w:rsid w:val="00E81ECC"/>
    <w:rsid w:val="00E84191"/>
    <w:rsid w:val="00E84609"/>
    <w:rsid w:val="00E93AA1"/>
    <w:rsid w:val="00E951E0"/>
    <w:rsid w:val="00E9770F"/>
    <w:rsid w:val="00EA3686"/>
    <w:rsid w:val="00EA3EB7"/>
    <w:rsid w:val="00EA7F47"/>
    <w:rsid w:val="00EB04B6"/>
    <w:rsid w:val="00EB090F"/>
    <w:rsid w:val="00EB4520"/>
    <w:rsid w:val="00EB4AD4"/>
    <w:rsid w:val="00EC30AF"/>
    <w:rsid w:val="00EC3A3D"/>
    <w:rsid w:val="00EC5A7B"/>
    <w:rsid w:val="00EC5FCF"/>
    <w:rsid w:val="00EC7702"/>
    <w:rsid w:val="00EC7800"/>
    <w:rsid w:val="00EC7CD8"/>
    <w:rsid w:val="00ED29DF"/>
    <w:rsid w:val="00ED2E13"/>
    <w:rsid w:val="00ED3F25"/>
    <w:rsid w:val="00ED73FF"/>
    <w:rsid w:val="00ED7E41"/>
    <w:rsid w:val="00EE1117"/>
    <w:rsid w:val="00EE5A4E"/>
    <w:rsid w:val="00EE733A"/>
    <w:rsid w:val="00EF0ED6"/>
    <w:rsid w:val="00EF29D9"/>
    <w:rsid w:val="00F1400D"/>
    <w:rsid w:val="00F16737"/>
    <w:rsid w:val="00F21114"/>
    <w:rsid w:val="00F2177D"/>
    <w:rsid w:val="00F24856"/>
    <w:rsid w:val="00F26D12"/>
    <w:rsid w:val="00F27DC9"/>
    <w:rsid w:val="00F30768"/>
    <w:rsid w:val="00F3081B"/>
    <w:rsid w:val="00F34D4B"/>
    <w:rsid w:val="00F35D8D"/>
    <w:rsid w:val="00F40703"/>
    <w:rsid w:val="00F42771"/>
    <w:rsid w:val="00F436DE"/>
    <w:rsid w:val="00F44BB8"/>
    <w:rsid w:val="00F46ED9"/>
    <w:rsid w:val="00F47D7E"/>
    <w:rsid w:val="00F5222E"/>
    <w:rsid w:val="00F53583"/>
    <w:rsid w:val="00F53AAB"/>
    <w:rsid w:val="00F54E2C"/>
    <w:rsid w:val="00F55222"/>
    <w:rsid w:val="00F66F83"/>
    <w:rsid w:val="00F72FB4"/>
    <w:rsid w:val="00F732D1"/>
    <w:rsid w:val="00F773BF"/>
    <w:rsid w:val="00F8054F"/>
    <w:rsid w:val="00F84F57"/>
    <w:rsid w:val="00F863A2"/>
    <w:rsid w:val="00F86B4B"/>
    <w:rsid w:val="00F90B55"/>
    <w:rsid w:val="00F914F6"/>
    <w:rsid w:val="00F91F83"/>
    <w:rsid w:val="00FA057F"/>
    <w:rsid w:val="00FA3222"/>
    <w:rsid w:val="00FA6A10"/>
    <w:rsid w:val="00FB1998"/>
    <w:rsid w:val="00FB2F40"/>
    <w:rsid w:val="00FB5AEC"/>
    <w:rsid w:val="00FB65A4"/>
    <w:rsid w:val="00FC1B69"/>
    <w:rsid w:val="00FC1FAC"/>
    <w:rsid w:val="00FC79AE"/>
    <w:rsid w:val="00FD05E5"/>
    <w:rsid w:val="00FD0ADE"/>
    <w:rsid w:val="00FD1306"/>
    <w:rsid w:val="00FD4D75"/>
    <w:rsid w:val="00FE3D63"/>
    <w:rsid w:val="00FE4203"/>
    <w:rsid w:val="00FF50D4"/>
    <w:rsid w:val="00FF5B6D"/>
    <w:rsid w:val="00FF6137"/>
    <w:rsid w:val="00FF7F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BC346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458"/>
    <w:pPr>
      <w:spacing w:after="0" w:line="240" w:lineRule="auto"/>
    </w:pPr>
    <w:rPr>
      <w:rFonts w:ascii="Verdana" w:eastAsia="Times New Roman" w:hAnsi="Verdana" w:cs="Times New Roman"/>
      <w:sz w:val="20"/>
      <w:szCs w:val="20"/>
      <w:lang w:val="en-GB" w:eastAsia="de-DE"/>
    </w:rPr>
  </w:style>
  <w:style w:type="paragraph" w:styleId="Overskrift1">
    <w:name w:val="heading 1"/>
    <w:next w:val="Absatz"/>
    <w:link w:val="Overskrift1Tegn"/>
    <w:qFormat/>
    <w:rsid w:val="001042DA"/>
    <w:pPr>
      <w:keepNext/>
      <w:numPr>
        <w:numId w:val="3"/>
      </w:numPr>
      <w:spacing w:after="360" w:line="240" w:lineRule="auto"/>
      <w:outlineLvl w:val="0"/>
    </w:pPr>
    <w:rPr>
      <w:rFonts w:ascii="Verdana" w:eastAsia="Times New Roman" w:hAnsi="Verdana" w:cs="Times New Roman"/>
      <w:b/>
      <w:caps/>
      <w:sz w:val="28"/>
      <w:szCs w:val="20"/>
      <w:lang w:val="de-DE" w:eastAsia="de-DE"/>
    </w:rPr>
  </w:style>
  <w:style w:type="paragraph" w:styleId="Overskrift2">
    <w:name w:val="heading 2"/>
    <w:basedOn w:val="Overskrift1"/>
    <w:next w:val="Absatz"/>
    <w:link w:val="Overskrift2Tegn"/>
    <w:autoRedefine/>
    <w:qFormat/>
    <w:rsid w:val="00E25F93"/>
    <w:pPr>
      <w:numPr>
        <w:ilvl w:val="1"/>
      </w:numPr>
      <w:tabs>
        <w:tab w:val="left" w:pos="1134"/>
      </w:tabs>
      <w:spacing w:before="120" w:after="120"/>
      <w:ind w:hanging="577"/>
      <w:outlineLvl w:val="1"/>
    </w:pPr>
    <w:rPr>
      <w:rFonts w:eastAsia="Calibri"/>
      <w:b w:val="0"/>
      <w:sz w:val="24"/>
      <w:lang w:val="en-GB" w:eastAsia="en-US"/>
    </w:rPr>
  </w:style>
  <w:style w:type="paragraph" w:styleId="Overskrift3">
    <w:name w:val="heading 3"/>
    <w:basedOn w:val="Overskrift1"/>
    <w:next w:val="Absatz"/>
    <w:link w:val="Overskrift3Tegn"/>
    <w:qFormat/>
    <w:rsid w:val="00E25F93"/>
    <w:pPr>
      <w:numPr>
        <w:ilvl w:val="2"/>
      </w:numPr>
      <w:spacing w:after="240"/>
      <w:ind w:left="1428"/>
      <w:outlineLvl w:val="2"/>
    </w:pPr>
    <w:rPr>
      <w:b w:val="0"/>
      <w:i/>
      <w:caps w:val="0"/>
      <w:sz w:val="22"/>
    </w:rPr>
  </w:style>
  <w:style w:type="paragraph" w:styleId="Overskrift4">
    <w:name w:val="heading 4"/>
    <w:basedOn w:val="Overskrift1"/>
    <w:link w:val="Overskrift4Tegn"/>
    <w:autoRedefine/>
    <w:qFormat/>
    <w:rsid w:val="00FA057F"/>
    <w:pPr>
      <w:numPr>
        <w:ilvl w:val="3"/>
      </w:numPr>
      <w:spacing w:before="240" w:after="120"/>
      <w:ind w:left="1418" w:hanging="142"/>
      <w:jc w:val="both"/>
      <w:outlineLvl w:val="3"/>
    </w:pPr>
    <w:rPr>
      <w:rFonts w:eastAsia="Calibri"/>
      <w:b w:val="0"/>
      <w:i/>
      <w:caps w:val="0"/>
      <w:sz w:val="22"/>
      <w:szCs w:val="26"/>
      <w:lang w:val="en-GB" w:eastAsia="en-US"/>
    </w:rPr>
  </w:style>
  <w:style w:type="paragraph" w:styleId="Overskrift5">
    <w:name w:val="heading 5"/>
    <w:basedOn w:val="Overskrift1"/>
    <w:next w:val="Absatz"/>
    <w:link w:val="Overskrift5Tegn"/>
    <w:qFormat/>
    <w:rsid w:val="001042DA"/>
    <w:pPr>
      <w:numPr>
        <w:ilvl w:val="4"/>
      </w:numPr>
      <w:spacing w:after="255" w:line="255" w:lineRule="exact"/>
      <w:outlineLvl w:val="4"/>
    </w:pPr>
    <w:rPr>
      <w:b w:val="0"/>
      <w:caps w:val="0"/>
      <w:sz w:val="22"/>
    </w:rPr>
  </w:style>
  <w:style w:type="paragraph" w:styleId="Overskrift6">
    <w:name w:val="heading 6"/>
    <w:basedOn w:val="Overskrift1"/>
    <w:next w:val="Absatz"/>
    <w:link w:val="Overskrift6Tegn"/>
    <w:qFormat/>
    <w:rsid w:val="001042DA"/>
    <w:pPr>
      <w:numPr>
        <w:ilvl w:val="5"/>
      </w:numPr>
      <w:spacing w:after="255" w:line="255" w:lineRule="exact"/>
      <w:outlineLvl w:val="5"/>
    </w:pPr>
    <w:rPr>
      <w:b w:val="0"/>
      <w:sz w:val="22"/>
    </w:rPr>
  </w:style>
  <w:style w:type="paragraph" w:styleId="Overskrift7">
    <w:name w:val="heading 7"/>
    <w:basedOn w:val="Overskrift1"/>
    <w:next w:val="Absatz"/>
    <w:link w:val="Overskrift7Tegn"/>
    <w:qFormat/>
    <w:rsid w:val="001042DA"/>
    <w:pPr>
      <w:numPr>
        <w:ilvl w:val="6"/>
      </w:numPr>
      <w:spacing w:after="255" w:line="255" w:lineRule="exact"/>
      <w:outlineLvl w:val="6"/>
    </w:pPr>
    <w:rPr>
      <w:b w:val="0"/>
      <w:sz w:val="22"/>
    </w:rPr>
  </w:style>
  <w:style w:type="paragraph" w:styleId="Overskrift8">
    <w:name w:val="heading 8"/>
    <w:basedOn w:val="Overskrift1"/>
    <w:next w:val="Absatz"/>
    <w:link w:val="Overskrift8Tegn"/>
    <w:qFormat/>
    <w:rsid w:val="001042DA"/>
    <w:pPr>
      <w:numPr>
        <w:ilvl w:val="7"/>
      </w:numPr>
      <w:spacing w:after="255" w:line="255" w:lineRule="exact"/>
      <w:outlineLvl w:val="7"/>
    </w:pPr>
    <w:rPr>
      <w:b w:val="0"/>
      <w:sz w:val="22"/>
    </w:rPr>
  </w:style>
  <w:style w:type="paragraph" w:styleId="Overskrift9">
    <w:name w:val="heading 9"/>
    <w:basedOn w:val="Overskrift1"/>
    <w:next w:val="Absatz"/>
    <w:link w:val="Overskrift9Tegn"/>
    <w:qFormat/>
    <w:rsid w:val="001042DA"/>
    <w:pPr>
      <w:numPr>
        <w:ilvl w:val="8"/>
      </w:numPr>
      <w:spacing w:after="255" w:line="255" w:lineRule="exact"/>
      <w:outlineLvl w:val="8"/>
    </w:pPr>
    <w:rPr>
      <w:b w:val="0"/>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1042DA"/>
    <w:rPr>
      <w:rFonts w:ascii="Verdana" w:eastAsia="Times New Roman" w:hAnsi="Verdana" w:cs="Times New Roman"/>
      <w:b/>
      <w:caps/>
      <w:sz w:val="28"/>
      <w:szCs w:val="20"/>
      <w:lang w:val="de-DE" w:eastAsia="de-DE"/>
    </w:rPr>
  </w:style>
  <w:style w:type="character" w:customStyle="1" w:styleId="Overskrift2Tegn">
    <w:name w:val="Overskrift 2 Tegn"/>
    <w:basedOn w:val="Standardskriftforavsnitt"/>
    <w:link w:val="Overskrift2"/>
    <w:rsid w:val="00E25F93"/>
    <w:rPr>
      <w:rFonts w:ascii="Verdana" w:eastAsia="Calibri" w:hAnsi="Verdana" w:cs="Times New Roman"/>
      <w:caps/>
      <w:sz w:val="24"/>
      <w:szCs w:val="20"/>
      <w:lang w:val="en-GB"/>
    </w:rPr>
  </w:style>
  <w:style w:type="character" w:customStyle="1" w:styleId="Overskrift3Tegn">
    <w:name w:val="Overskrift 3 Tegn"/>
    <w:basedOn w:val="Standardskriftforavsnitt"/>
    <w:link w:val="Overskrift3"/>
    <w:rsid w:val="00E25F93"/>
    <w:rPr>
      <w:rFonts w:ascii="Verdana" w:eastAsia="Times New Roman" w:hAnsi="Verdana" w:cs="Times New Roman"/>
      <w:i/>
      <w:szCs w:val="20"/>
      <w:lang w:val="de-DE" w:eastAsia="de-DE"/>
    </w:rPr>
  </w:style>
  <w:style w:type="character" w:customStyle="1" w:styleId="Overskrift4Tegn">
    <w:name w:val="Overskrift 4 Tegn"/>
    <w:basedOn w:val="Standardskriftforavsnitt"/>
    <w:link w:val="Overskrift4"/>
    <w:rsid w:val="00916E44"/>
    <w:rPr>
      <w:rFonts w:ascii="Verdana" w:eastAsia="Calibri" w:hAnsi="Verdana" w:cs="Times New Roman"/>
      <w:i/>
      <w:szCs w:val="26"/>
      <w:lang w:val="en-GB"/>
    </w:rPr>
  </w:style>
  <w:style w:type="character" w:customStyle="1" w:styleId="Overskrift5Tegn">
    <w:name w:val="Overskrift 5 Tegn"/>
    <w:basedOn w:val="Standardskriftforavsnitt"/>
    <w:link w:val="Overskrift5"/>
    <w:rsid w:val="001042DA"/>
    <w:rPr>
      <w:rFonts w:ascii="Verdana" w:eastAsia="Times New Roman" w:hAnsi="Verdana" w:cs="Times New Roman"/>
      <w:szCs w:val="20"/>
      <w:lang w:val="de-DE" w:eastAsia="de-DE"/>
    </w:rPr>
  </w:style>
  <w:style w:type="character" w:customStyle="1" w:styleId="Overskrift6Tegn">
    <w:name w:val="Overskrift 6 Tegn"/>
    <w:basedOn w:val="Standardskriftforavsnitt"/>
    <w:link w:val="Overskrift6"/>
    <w:rsid w:val="001042DA"/>
    <w:rPr>
      <w:rFonts w:ascii="Verdana" w:eastAsia="Times New Roman" w:hAnsi="Verdana" w:cs="Times New Roman"/>
      <w:caps/>
      <w:szCs w:val="20"/>
      <w:lang w:val="de-DE" w:eastAsia="de-DE"/>
    </w:rPr>
  </w:style>
  <w:style w:type="character" w:customStyle="1" w:styleId="Overskrift7Tegn">
    <w:name w:val="Overskrift 7 Tegn"/>
    <w:basedOn w:val="Standardskriftforavsnitt"/>
    <w:link w:val="Overskrift7"/>
    <w:rsid w:val="001042DA"/>
    <w:rPr>
      <w:rFonts w:ascii="Verdana" w:eastAsia="Times New Roman" w:hAnsi="Verdana" w:cs="Times New Roman"/>
      <w:caps/>
      <w:szCs w:val="20"/>
      <w:lang w:val="de-DE" w:eastAsia="de-DE"/>
    </w:rPr>
  </w:style>
  <w:style w:type="character" w:customStyle="1" w:styleId="Overskrift8Tegn">
    <w:name w:val="Overskrift 8 Tegn"/>
    <w:basedOn w:val="Standardskriftforavsnitt"/>
    <w:link w:val="Overskrift8"/>
    <w:rsid w:val="001042DA"/>
    <w:rPr>
      <w:rFonts w:ascii="Verdana" w:eastAsia="Times New Roman" w:hAnsi="Verdana" w:cs="Times New Roman"/>
      <w:caps/>
      <w:szCs w:val="20"/>
      <w:lang w:val="de-DE" w:eastAsia="de-DE"/>
    </w:rPr>
  </w:style>
  <w:style w:type="character" w:customStyle="1" w:styleId="Overskrift9Tegn">
    <w:name w:val="Overskrift 9 Tegn"/>
    <w:basedOn w:val="Standardskriftforavsnitt"/>
    <w:link w:val="Overskrift9"/>
    <w:rsid w:val="001042DA"/>
    <w:rPr>
      <w:rFonts w:ascii="Verdana" w:eastAsia="Times New Roman" w:hAnsi="Verdana" w:cs="Times New Roman"/>
      <w:caps/>
      <w:szCs w:val="20"/>
      <w:lang w:val="de-DE" w:eastAsia="de-DE"/>
    </w:rPr>
  </w:style>
  <w:style w:type="paragraph" w:customStyle="1" w:styleId="Inhaltsverzeichnistitel">
    <w:name w:val="Inhaltsverzeichnistitel"/>
    <w:basedOn w:val="Overskrift1"/>
    <w:next w:val="Normal"/>
    <w:qFormat/>
    <w:rsid w:val="001042DA"/>
    <w:pPr>
      <w:numPr>
        <w:numId w:val="0"/>
      </w:numPr>
      <w:outlineLvl w:val="9"/>
    </w:pPr>
    <w:rPr>
      <w:lang w:val="en-GB"/>
    </w:rPr>
  </w:style>
  <w:style w:type="paragraph" w:styleId="Bunntekst">
    <w:name w:val="footer"/>
    <w:basedOn w:val="Normal"/>
    <w:link w:val="BunntekstTegn"/>
    <w:uiPriority w:val="99"/>
    <w:rsid w:val="001042DA"/>
    <w:pPr>
      <w:tabs>
        <w:tab w:val="center" w:pos="4536"/>
        <w:tab w:val="right" w:pos="9072"/>
      </w:tabs>
    </w:pPr>
    <w:rPr>
      <w:rFonts w:ascii="Times New Roman" w:hAnsi="Times New Roman"/>
    </w:rPr>
  </w:style>
  <w:style w:type="character" w:customStyle="1" w:styleId="BunntekstTegn">
    <w:name w:val="Bunntekst Tegn"/>
    <w:basedOn w:val="Standardskriftforavsnitt"/>
    <w:link w:val="Bunntekst"/>
    <w:uiPriority w:val="99"/>
    <w:rsid w:val="001042DA"/>
    <w:rPr>
      <w:rFonts w:ascii="Times New Roman" w:eastAsia="Times New Roman" w:hAnsi="Times New Roman" w:cs="Times New Roman"/>
      <w:sz w:val="20"/>
      <w:szCs w:val="20"/>
      <w:lang w:val="en-GB" w:eastAsia="de-DE"/>
    </w:rPr>
  </w:style>
  <w:style w:type="paragraph" w:styleId="Bildetekst">
    <w:name w:val="caption"/>
    <w:basedOn w:val="Normal"/>
    <w:next w:val="Absatz"/>
    <w:link w:val="BildetekstTegn"/>
    <w:uiPriority w:val="99"/>
    <w:qFormat/>
    <w:rsid w:val="001042DA"/>
    <w:pPr>
      <w:tabs>
        <w:tab w:val="left" w:pos="1418"/>
      </w:tabs>
      <w:spacing w:after="255"/>
      <w:ind w:left="1418" w:hanging="1418"/>
    </w:pPr>
    <w:rPr>
      <w:rFonts w:ascii="Times New Roman" w:hAnsi="Times New Roman"/>
    </w:rPr>
  </w:style>
  <w:style w:type="character" w:styleId="Sidetall">
    <w:name w:val="page number"/>
    <w:basedOn w:val="Standardskriftforavsnitt"/>
    <w:rsid w:val="001042DA"/>
  </w:style>
  <w:style w:type="character" w:styleId="Sterk">
    <w:name w:val="Strong"/>
    <w:uiPriority w:val="22"/>
    <w:qFormat/>
    <w:rsid w:val="001042DA"/>
    <w:rPr>
      <w:b/>
      <w:bCs/>
    </w:rPr>
  </w:style>
  <w:style w:type="paragraph" w:styleId="Listeavsnitt">
    <w:name w:val="List Paragraph"/>
    <w:basedOn w:val="Normal"/>
    <w:uiPriority w:val="34"/>
    <w:qFormat/>
    <w:rsid w:val="001042DA"/>
    <w:pPr>
      <w:ind w:left="720"/>
    </w:pPr>
  </w:style>
  <w:style w:type="paragraph" w:styleId="Overskriftforinnholdsfortegnelse">
    <w:name w:val="TOC Heading"/>
    <w:basedOn w:val="Overskrift1"/>
    <w:next w:val="Normal"/>
    <w:uiPriority w:val="39"/>
    <w:qFormat/>
    <w:rsid w:val="001042DA"/>
    <w:pPr>
      <w:keepLines/>
      <w:spacing w:before="480" w:after="0" w:line="276" w:lineRule="auto"/>
      <w:outlineLvl w:val="9"/>
    </w:pPr>
    <w:rPr>
      <w:rFonts w:ascii="Cambria" w:eastAsia="MS Gothic" w:hAnsi="Cambria"/>
      <w:bCs/>
      <w:caps w:val="0"/>
      <w:color w:val="365F91"/>
      <w:szCs w:val="28"/>
      <w:lang w:val="en-US" w:eastAsia="ja-JP"/>
    </w:rPr>
  </w:style>
  <w:style w:type="paragraph" w:customStyle="1" w:styleId="Absatz">
    <w:name w:val="Absatz"/>
    <w:basedOn w:val="Normal"/>
    <w:rsid w:val="001042DA"/>
    <w:pPr>
      <w:ind w:left="1729"/>
    </w:pPr>
    <w:rPr>
      <w:rFonts w:ascii="Times New Roman" w:hAnsi="Times New Roman"/>
    </w:rPr>
  </w:style>
  <w:style w:type="paragraph" w:customStyle="1" w:styleId="Paginalinks">
    <w:name w:val="Pagina links"/>
    <w:rsid w:val="001042DA"/>
    <w:pPr>
      <w:framePr w:w="459" w:h="284" w:hRule="exact" w:wrap="around" w:vAnchor="page" w:hAnchor="page" w:x="1248" w:y="15735"/>
      <w:spacing w:after="0" w:line="240" w:lineRule="auto"/>
    </w:pPr>
    <w:rPr>
      <w:rFonts w:ascii="Times New Roman" w:eastAsia="Times New Roman" w:hAnsi="Times New Roman" w:cs="Times New Roman"/>
      <w:szCs w:val="20"/>
      <w:lang w:val="de-DE" w:eastAsia="de-DE"/>
    </w:rPr>
  </w:style>
  <w:style w:type="paragraph" w:styleId="Topptekst">
    <w:name w:val="header"/>
    <w:aliases w:val="header protocols,Header 1"/>
    <w:link w:val="TopptekstTegn"/>
    <w:uiPriority w:val="99"/>
    <w:rsid w:val="001042DA"/>
    <w:pPr>
      <w:tabs>
        <w:tab w:val="center" w:pos="4536"/>
        <w:tab w:val="right" w:pos="9072"/>
      </w:tabs>
      <w:spacing w:after="0" w:line="240" w:lineRule="auto"/>
    </w:pPr>
    <w:rPr>
      <w:rFonts w:ascii="Times New Roman" w:eastAsia="Times New Roman" w:hAnsi="Times New Roman" w:cs="Times New Roman"/>
      <w:szCs w:val="20"/>
      <w:lang w:val="de-DE" w:eastAsia="de-DE"/>
    </w:rPr>
  </w:style>
  <w:style w:type="character" w:customStyle="1" w:styleId="TopptekstTegn">
    <w:name w:val="Topptekst Tegn"/>
    <w:aliases w:val="header protocols Tegn,Header 1 Tegn"/>
    <w:basedOn w:val="Standardskriftforavsnitt"/>
    <w:link w:val="Topptekst"/>
    <w:uiPriority w:val="99"/>
    <w:rsid w:val="001042DA"/>
    <w:rPr>
      <w:rFonts w:ascii="Times New Roman" w:eastAsia="Times New Roman" w:hAnsi="Times New Roman" w:cs="Times New Roman"/>
      <w:szCs w:val="20"/>
      <w:lang w:val="de-DE" w:eastAsia="de-DE"/>
    </w:rPr>
  </w:style>
  <w:style w:type="paragraph" w:customStyle="1" w:styleId="MarginalenebenLinie">
    <w:name w:val="Marginale neben Linie"/>
    <w:basedOn w:val="Marginale"/>
    <w:rsid w:val="001042DA"/>
  </w:style>
  <w:style w:type="paragraph" w:customStyle="1" w:styleId="Marginale">
    <w:name w:val="Marginale"/>
    <w:basedOn w:val="Normal"/>
    <w:rsid w:val="001042DA"/>
    <w:pPr>
      <w:spacing w:line="255" w:lineRule="exact"/>
    </w:pPr>
    <w:rPr>
      <w:rFonts w:ascii="Times New Roman" w:hAnsi="Times New Roman"/>
      <w:b/>
    </w:rPr>
  </w:style>
  <w:style w:type="paragraph" w:customStyle="1" w:styleId="Strich-Liste">
    <w:name w:val="Strich-Liste"/>
    <w:basedOn w:val="Normal"/>
    <w:rsid w:val="001042DA"/>
    <w:pPr>
      <w:spacing w:line="255" w:lineRule="exact"/>
      <w:ind w:left="2013" w:hanging="284"/>
    </w:pPr>
  </w:style>
  <w:style w:type="paragraph" w:customStyle="1" w:styleId="Punkt-Liste">
    <w:name w:val="Punkt-Liste"/>
    <w:basedOn w:val="Normal"/>
    <w:rsid w:val="001042DA"/>
    <w:pPr>
      <w:numPr>
        <w:numId w:val="1"/>
      </w:numPr>
      <w:spacing w:before="60" w:after="60"/>
      <w:ind w:left="2013" w:hanging="284"/>
    </w:pPr>
  </w:style>
  <w:style w:type="paragraph" w:customStyle="1" w:styleId="Strich-ListeEbene2">
    <w:name w:val="Strich-Liste (Ebene 2)"/>
    <w:basedOn w:val="Strich-Liste"/>
    <w:rsid w:val="001042DA"/>
  </w:style>
  <w:style w:type="paragraph" w:customStyle="1" w:styleId="Text-Liste">
    <w:name w:val="Text-Liste"/>
    <w:basedOn w:val="Normal"/>
    <w:rsid w:val="001042DA"/>
    <w:pPr>
      <w:spacing w:line="255" w:lineRule="exact"/>
      <w:ind w:left="3458" w:hanging="1729"/>
    </w:pPr>
  </w:style>
  <w:style w:type="paragraph" w:customStyle="1" w:styleId="berschriftimText">
    <w:name w:val="Überschrift im Text"/>
    <w:basedOn w:val="Normal"/>
    <w:next w:val="Absatz"/>
    <w:rsid w:val="001042DA"/>
    <w:pPr>
      <w:spacing w:after="255" w:line="255" w:lineRule="exact"/>
      <w:ind w:left="1729"/>
    </w:pPr>
    <w:rPr>
      <w:b/>
      <w:u w:val="single"/>
    </w:rPr>
  </w:style>
  <w:style w:type="paragraph" w:customStyle="1" w:styleId="Einrckung">
    <w:name w:val="Einrückung"/>
    <w:basedOn w:val="Normal"/>
    <w:rsid w:val="001042DA"/>
    <w:pPr>
      <w:tabs>
        <w:tab w:val="left" w:pos="567"/>
        <w:tab w:val="left" w:pos="2296"/>
        <w:tab w:val="left" w:pos="4026"/>
        <w:tab w:val="left" w:pos="5755"/>
      </w:tabs>
      <w:spacing w:line="255" w:lineRule="exact"/>
      <w:ind w:left="2296"/>
    </w:pPr>
    <w:rPr>
      <w:rFonts w:ascii="Times New Roman" w:hAnsi="Times New Roman"/>
    </w:rPr>
  </w:style>
  <w:style w:type="paragraph" w:styleId="Indeks1">
    <w:name w:val="index 1"/>
    <w:basedOn w:val="Normal"/>
    <w:next w:val="Normal"/>
    <w:semiHidden/>
    <w:rsid w:val="001042DA"/>
    <w:pPr>
      <w:spacing w:line="198" w:lineRule="exact"/>
      <w:ind w:left="221" w:hanging="221"/>
    </w:pPr>
    <w:rPr>
      <w:rFonts w:ascii="Times New Roman" w:hAnsi="Times New Roman"/>
    </w:rPr>
  </w:style>
  <w:style w:type="paragraph" w:customStyle="1" w:styleId="berschriftAS">
    <w:name w:val="Überschrift AS"/>
    <w:basedOn w:val="Normal"/>
    <w:next w:val="Normal"/>
    <w:rsid w:val="001042DA"/>
    <w:pPr>
      <w:keepNext/>
      <w:spacing w:after="1020" w:line="383" w:lineRule="exact"/>
    </w:pPr>
    <w:rPr>
      <w:sz w:val="30"/>
    </w:rPr>
  </w:style>
  <w:style w:type="paragraph" w:customStyle="1" w:styleId="Abkrzungen">
    <w:name w:val="Abkürzungen"/>
    <w:basedOn w:val="Normal"/>
    <w:rsid w:val="001042DA"/>
    <w:pPr>
      <w:spacing w:line="255" w:lineRule="exact"/>
    </w:pPr>
    <w:rPr>
      <w:rFonts w:ascii="Times New Roman" w:hAnsi="Times New Roman"/>
    </w:rPr>
  </w:style>
  <w:style w:type="paragraph" w:customStyle="1" w:styleId="HalbeLeerzeile">
    <w:name w:val="Halbe Leerzeile"/>
    <w:basedOn w:val="Normal"/>
    <w:rsid w:val="001042DA"/>
    <w:pPr>
      <w:spacing w:line="128" w:lineRule="exact"/>
      <w:ind w:left="1729"/>
    </w:pPr>
    <w:rPr>
      <w:rFonts w:ascii="Times New Roman" w:hAnsi="Times New Roman"/>
      <w:sz w:val="16"/>
    </w:rPr>
  </w:style>
  <w:style w:type="paragraph" w:styleId="Indeks2">
    <w:name w:val="index 2"/>
    <w:basedOn w:val="Indeks1"/>
    <w:next w:val="Normal"/>
    <w:semiHidden/>
    <w:rsid w:val="001042DA"/>
    <w:pPr>
      <w:ind w:left="442"/>
    </w:pPr>
  </w:style>
  <w:style w:type="paragraph" w:styleId="Stikkordregisteroverskrift">
    <w:name w:val="index heading"/>
    <w:basedOn w:val="Normal"/>
    <w:next w:val="Indeks1"/>
    <w:semiHidden/>
    <w:rsid w:val="001042DA"/>
    <w:pPr>
      <w:spacing w:line="198" w:lineRule="exact"/>
    </w:pPr>
    <w:rPr>
      <w:rFonts w:ascii="Times New Roman" w:hAnsi="Times New Roman"/>
      <w:b/>
    </w:rPr>
  </w:style>
  <w:style w:type="paragraph" w:styleId="INNH1">
    <w:name w:val="toc 1"/>
    <w:next w:val="Normal"/>
    <w:uiPriority w:val="39"/>
    <w:qFormat/>
    <w:rsid w:val="001042DA"/>
    <w:pPr>
      <w:spacing w:before="120" w:after="120" w:line="240" w:lineRule="auto"/>
    </w:pPr>
    <w:rPr>
      <w:rFonts w:ascii="Calibri" w:eastAsia="Times New Roman" w:hAnsi="Calibri" w:cs="Times New Roman"/>
      <w:b/>
      <w:bCs/>
      <w:caps/>
      <w:sz w:val="20"/>
      <w:szCs w:val="20"/>
      <w:lang w:val="en-GB" w:eastAsia="de-DE"/>
    </w:rPr>
  </w:style>
  <w:style w:type="paragraph" w:styleId="INNH2">
    <w:name w:val="toc 2"/>
    <w:next w:val="Normal"/>
    <w:uiPriority w:val="39"/>
    <w:qFormat/>
    <w:rsid w:val="001042DA"/>
    <w:pPr>
      <w:spacing w:after="0" w:line="240" w:lineRule="auto"/>
      <w:ind w:left="200"/>
    </w:pPr>
    <w:rPr>
      <w:rFonts w:ascii="Calibri" w:eastAsia="Times New Roman" w:hAnsi="Calibri" w:cs="Times New Roman"/>
      <w:smallCaps/>
      <w:sz w:val="20"/>
      <w:szCs w:val="20"/>
      <w:lang w:val="en-GB" w:eastAsia="de-DE"/>
    </w:rPr>
  </w:style>
  <w:style w:type="paragraph" w:styleId="INNH3">
    <w:name w:val="toc 3"/>
    <w:basedOn w:val="INNH2"/>
    <w:next w:val="Normal"/>
    <w:uiPriority w:val="39"/>
    <w:qFormat/>
    <w:rsid w:val="001042DA"/>
    <w:pPr>
      <w:ind w:left="400"/>
    </w:pPr>
    <w:rPr>
      <w:i/>
      <w:iCs/>
      <w:smallCaps w:val="0"/>
    </w:rPr>
  </w:style>
  <w:style w:type="paragraph" w:styleId="INNH4">
    <w:name w:val="toc 4"/>
    <w:basedOn w:val="INNH2"/>
    <w:next w:val="Normal"/>
    <w:uiPriority w:val="39"/>
    <w:rsid w:val="001042DA"/>
    <w:pPr>
      <w:ind w:left="600"/>
    </w:pPr>
    <w:rPr>
      <w:smallCaps w:val="0"/>
      <w:sz w:val="18"/>
      <w:szCs w:val="18"/>
    </w:rPr>
  </w:style>
  <w:style w:type="paragraph" w:styleId="INNH5">
    <w:name w:val="toc 5"/>
    <w:basedOn w:val="INNH2"/>
    <w:next w:val="Normal"/>
    <w:uiPriority w:val="39"/>
    <w:rsid w:val="001042DA"/>
    <w:pPr>
      <w:ind w:left="800"/>
    </w:pPr>
    <w:rPr>
      <w:smallCaps w:val="0"/>
      <w:sz w:val="18"/>
      <w:szCs w:val="18"/>
    </w:rPr>
  </w:style>
  <w:style w:type="paragraph" w:styleId="INNH6">
    <w:name w:val="toc 6"/>
    <w:basedOn w:val="INNH2"/>
    <w:next w:val="Normal"/>
    <w:uiPriority w:val="39"/>
    <w:rsid w:val="001042DA"/>
    <w:pPr>
      <w:ind w:left="1000"/>
    </w:pPr>
    <w:rPr>
      <w:smallCaps w:val="0"/>
      <w:sz w:val="18"/>
      <w:szCs w:val="18"/>
    </w:rPr>
  </w:style>
  <w:style w:type="paragraph" w:styleId="INNH7">
    <w:name w:val="toc 7"/>
    <w:basedOn w:val="INNH2"/>
    <w:next w:val="Normal"/>
    <w:uiPriority w:val="39"/>
    <w:rsid w:val="001042DA"/>
    <w:pPr>
      <w:ind w:left="1200"/>
    </w:pPr>
    <w:rPr>
      <w:smallCaps w:val="0"/>
      <w:sz w:val="18"/>
      <w:szCs w:val="18"/>
    </w:rPr>
  </w:style>
  <w:style w:type="paragraph" w:styleId="INNH8">
    <w:name w:val="toc 8"/>
    <w:basedOn w:val="INNH2"/>
    <w:next w:val="Normal"/>
    <w:uiPriority w:val="39"/>
    <w:rsid w:val="001042DA"/>
    <w:pPr>
      <w:ind w:left="1400"/>
    </w:pPr>
    <w:rPr>
      <w:smallCaps w:val="0"/>
      <w:sz w:val="18"/>
      <w:szCs w:val="18"/>
    </w:rPr>
  </w:style>
  <w:style w:type="paragraph" w:styleId="INNH9">
    <w:name w:val="toc 9"/>
    <w:basedOn w:val="INNH2"/>
    <w:next w:val="Normal"/>
    <w:uiPriority w:val="39"/>
    <w:rsid w:val="001042DA"/>
    <w:pPr>
      <w:ind w:left="1600"/>
    </w:pPr>
    <w:rPr>
      <w:smallCaps w:val="0"/>
      <w:sz w:val="18"/>
      <w:szCs w:val="18"/>
    </w:rPr>
  </w:style>
  <w:style w:type="paragraph" w:customStyle="1" w:styleId="Gliederungslinie">
    <w:name w:val="Gliederungslinie"/>
    <w:basedOn w:val="Normal"/>
    <w:next w:val="Absatz"/>
    <w:rsid w:val="001042DA"/>
    <w:pPr>
      <w:pBdr>
        <w:top w:val="single" w:sz="6" w:space="3" w:color="auto"/>
      </w:pBdr>
      <w:spacing w:line="255" w:lineRule="exact"/>
      <w:ind w:left="1729"/>
    </w:pPr>
    <w:rPr>
      <w:rFonts w:ascii="Times New Roman" w:hAnsi="Times New Roman"/>
    </w:rPr>
  </w:style>
  <w:style w:type="paragraph" w:customStyle="1" w:styleId="ToterKolumnentitellinks">
    <w:name w:val="Toter Kolumnentitellinks"/>
    <w:rsid w:val="001042DA"/>
    <w:pPr>
      <w:framePr w:w="2268" w:h="284" w:hRule="exact" w:wrap="around" w:vAnchor="page" w:hAnchor="page" w:x="1736" w:y="15735"/>
      <w:spacing w:after="0" w:line="142" w:lineRule="exact"/>
    </w:pPr>
    <w:rPr>
      <w:rFonts w:ascii="Times New Roman" w:eastAsia="Times New Roman" w:hAnsi="Times New Roman" w:cs="Times New Roman"/>
      <w:sz w:val="16"/>
      <w:szCs w:val="20"/>
      <w:lang w:val="de-DE" w:eastAsia="de-DE"/>
    </w:rPr>
  </w:style>
  <w:style w:type="paragraph" w:customStyle="1" w:styleId="Dokumentnamelinks">
    <w:name w:val="Dokumentname links"/>
    <w:rsid w:val="001042DA"/>
    <w:pPr>
      <w:framePr w:w="2313" w:wrap="around" w:vAnchor="page" w:hAnchor="page" w:x="8166" w:y="15735"/>
      <w:spacing w:after="0" w:line="240" w:lineRule="auto"/>
    </w:pPr>
    <w:rPr>
      <w:rFonts w:ascii="Times New Roman" w:eastAsia="Times New Roman" w:hAnsi="Times New Roman" w:cs="Times New Roman"/>
      <w:sz w:val="16"/>
      <w:szCs w:val="20"/>
      <w:lang w:val="de-DE" w:eastAsia="de-DE"/>
    </w:rPr>
  </w:style>
  <w:style w:type="paragraph" w:customStyle="1" w:styleId="Dokumentnamerechts">
    <w:name w:val="Dokumentname rechts"/>
    <w:rsid w:val="001042DA"/>
    <w:pPr>
      <w:framePr w:w="2313" w:wrap="around" w:vAnchor="page" w:hAnchor="page" w:x="1447" w:y="15735"/>
      <w:spacing w:after="0" w:line="240" w:lineRule="auto"/>
    </w:pPr>
    <w:rPr>
      <w:rFonts w:ascii="Times New Roman" w:eastAsia="Times New Roman" w:hAnsi="Times New Roman" w:cs="Times New Roman"/>
      <w:sz w:val="16"/>
      <w:szCs w:val="20"/>
      <w:lang w:val="de-DE" w:eastAsia="de-DE"/>
    </w:rPr>
  </w:style>
  <w:style w:type="paragraph" w:customStyle="1" w:styleId="ToterKolumnentitelrechts">
    <w:name w:val="Toter Kolumnentitelrechts"/>
    <w:rsid w:val="001042DA"/>
    <w:pPr>
      <w:framePr w:w="2268" w:h="284" w:hRule="exact" w:wrap="around" w:vAnchor="page" w:hAnchor="page" w:x="7843" w:y="15735"/>
      <w:spacing w:after="0" w:line="142" w:lineRule="exact"/>
      <w:jc w:val="right"/>
    </w:pPr>
    <w:rPr>
      <w:rFonts w:ascii="Times New Roman" w:eastAsia="Times New Roman" w:hAnsi="Times New Roman" w:cs="Times New Roman"/>
      <w:sz w:val="16"/>
      <w:szCs w:val="20"/>
      <w:lang w:val="de-DE" w:eastAsia="de-DE"/>
    </w:rPr>
  </w:style>
  <w:style w:type="paragraph" w:customStyle="1" w:styleId="Paginarechts">
    <w:name w:val="Pagina rechts"/>
    <w:rsid w:val="001042DA"/>
    <w:pPr>
      <w:framePr w:w="459" w:h="284" w:hRule="exact" w:wrap="around" w:vAnchor="page" w:hAnchor="page" w:x="10218" w:y="15735"/>
      <w:spacing w:after="0" w:line="240" w:lineRule="auto"/>
      <w:jc w:val="right"/>
    </w:pPr>
    <w:rPr>
      <w:rFonts w:ascii="Times New Roman" w:eastAsia="Times New Roman" w:hAnsi="Times New Roman" w:cs="Times New Roman"/>
      <w:szCs w:val="20"/>
      <w:lang w:val="de-DE" w:eastAsia="de-DE"/>
    </w:rPr>
  </w:style>
  <w:style w:type="paragraph" w:styleId="Liste">
    <w:name w:val="List"/>
    <w:basedOn w:val="Normal"/>
    <w:rsid w:val="001042DA"/>
    <w:pPr>
      <w:spacing w:after="255" w:line="255" w:lineRule="exact"/>
      <w:ind w:left="2013" w:hanging="284"/>
    </w:pPr>
    <w:rPr>
      <w:rFonts w:ascii="Times New Roman" w:hAnsi="Times New Roman"/>
    </w:rPr>
  </w:style>
  <w:style w:type="paragraph" w:customStyle="1" w:styleId="berschriftInhalt">
    <w:name w:val="Überschrift Inhalt"/>
    <w:basedOn w:val="Normal"/>
    <w:next w:val="Normal"/>
    <w:rsid w:val="001042DA"/>
    <w:pPr>
      <w:keepNext/>
      <w:spacing w:after="1020" w:line="383" w:lineRule="exact"/>
    </w:pPr>
    <w:rPr>
      <w:sz w:val="30"/>
    </w:rPr>
  </w:style>
  <w:style w:type="paragraph" w:styleId="Fotnotetekst">
    <w:name w:val="footnote text"/>
    <w:basedOn w:val="Normal"/>
    <w:link w:val="FotnotetekstTegn"/>
    <w:uiPriority w:val="99"/>
    <w:rsid w:val="001042DA"/>
    <w:pPr>
      <w:ind w:left="284" w:hanging="284"/>
    </w:pPr>
    <w:rPr>
      <w:position w:val="4"/>
    </w:rPr>
  </w:style>
  <w:style w:type="character" w:customStyle="1" w:styleId="FotnotetekstTegn">
    <w:name w:val="Fotnotetekst Tegn"/>
    <w:basedOn w:val="Standardskriftforavsnitt"/>
    <w:link w:val="Fotnotetekst"/>
    <w:uiPriority w:val="99"/>
    <w:rsid w:val="001042DA"/>
    <w:rPr>
      <w:rFonts w:ascii="Verdana" w:eastAsia="Times New Roman" w:hAnsi="Verdana" w:cs="Times New Roman"/>
      <w:position w:val="4"/>
      <w:sz w:val="20"/>
      <w:szCs w:val="20"/>
      <w:lang w:val="en-GB" w:eastAsia="de-DE"/>
    </w:rPr>
  </w:style>
  <w:style w:type="character" w:styleId="Fotnotereferanse">
    <w:name w:val="footnote reference"/>
    <w:uiPriority w:val="99"/>
    <w:rsid w:val="001042DA"/>
    <w:rPr>
      <w:position w:val="8"/>
      <w:sz w:val="16"/>
    </w:rPr>
  </w:style>
  <w:style w:type="paragraph" w:styleId="Sluttnotetekst">
    <w:name w:val="endnote text"/>
    <w:basedOn w:val="Normal"/>
    <w:link w:val="SluttnotetekstTegn"/>
    <w:semiHidden/>
    <w:rsid w:val="001042DA"/>
    <w:pPr>
      <w:spacing w:line="198" w:lineRule="exact"/>
      <w:ind w:left="284" w:hanging="284"/>
    </w:pPr>
    <w:rPr>
      <w:rFonts w:ascii="Times New Roman" w:hAnsi="Times New Roman"/>
      <w:position w:val="4"/>
    </w:rPr>
  </w:style>
  <w:style w:type="character" w:customStyle="1" w:styleId="SluttnotetekstTegn">
    <w:name w:val="Sluttnotetekst Tegn"/>
    <w:basedOn w:val="Standardskriftforavsnitt"/>
    <w:link w:val="Sluttnotetekst"/>
    <w:semiHidden/>
    <w:rsid w:val="001042DA"/>
    <w:rPr>
      <w:rFonts w:ascii="Times New Roman" w:eastAsia="Times New Roman" w:hAnsi="Times New Roman" w:cs="Times New Roman"/>
      <w:position w:val="4"/>
      <w:sz w:val="20"/>
      <w:szCs w:val="20"/>
      <w:lang w:val="en-GB" w:eastAsia="de-DE"/>
    </w:rPr>
  </w:style>
  <w:style w:type="character" w:styleId="Sluttnotereferanse">
    <w:name w:val="endnote reference"/>
    <w:semiHidden/>
    <w:rsid w:val="001042DA"/>
    <w:rPr>
      <w:position w:val="8"/>
      <w:sz w:val="16"/>
    </w:rPr>
  </w:style>
  <w:style w:type="paragraph" w:customStyle="1" w:styleId="AbsatzohneAbstandnach">
    <w:name w:val="Absatz ohne Abstand nach"/>
    <w:basedOn w:val="Absatz"/>
    <w:rsid w:val="001042DA"/>
  </w:style>
  <w:style w:type="paragraph" w:customStyle="1" w:styleId="Bildunterschrift">
    <w:name w:val="Bildunterschrift"/>
    <w:basedOn w:val="Normal"/>
    <w:rsid w:val="001042DA"/>
    <w:pPr>
      <w:spacing w:line="198" w:lineRule="exact"/>
    </w:pPr>
    <w:rPr>
      <w:rFonts w:ascii="Times New Roman" w:hAnsi="Times New Roman"/>
    </w:rPr>
  </w:style>
  <w:style w:type="paragraph" w:styleId="Figurliste">
    <w:name w:val="table of figures"/>
    <w:basedOn w:val="Normal"/>
    <w:next w:val="Normal"/>
    <w:semiHidden/>
    <w:rsid w:val="001042DA"/>
    <w:pPr>
      <w:tabs>
        <w:tab w:val="right" w:pos="9214"/>
      </w:tabs>
      <w:spacing w:line="255" w:lineRule="exact"/>
      <w:ind w:left="1729"/>
    </w:pPr>
    <w:rPr>
      <w:rFonts w:ascii="Times New Roman" w:hAnsi="Times New Roman"/>
    </w:rPr>
  </w:style>
  <w:style w:type="paragraph" w:customStyle="1" w:styleId="Tabellenformat">
    <w:name w:val="Tabellenformat"/>
    <w:basedOn w:val="Normal"/>
    <w:rsid w:val="001042DA"/>
    <w:pPr>
      <w:spacing w:before="100" w:after="100"/>
    </w:pPr>
  </w:style>
  <w:style w:type="paragraph" w:styleId="Brdtekst">
    <w:name w:val="Body Text"/>
    <w:basedOn w:val="Normal"/>
    <w:link w:val="BrdtekstTegn"/>
    <w:rsid w:val="001042DA"/>
  </w:style>
  <w:style w:type="character" w:customStyle="1" w:styleId="BrdtekstTegn">
    <w:name w:val="Brødtekst Tegn"/>
    <w:basedOn w:val="Standardskriftforavsnitt"/>
    <w:link w:val="Brdtekst"/>
    <w:rsid w:val="001042DA"/>
    <w:rPr>
      <w:rFonts w:ascii="Verdana" w:eastAsia="Times New Roman" w:hAnsi="Verdana" w:cs="Times New Roman"/>
      <w:sz w:val="20"/>
      <w:szCs w:val="20"/>
      <w:lang w:val="en-GB" w:eastAsia="de-DE"/>
    </w:rPr>
  </w:style>
  <w:style w:type="character" w:styleId="Linjenummer">
    <w:name w:val="line number"/>
    <w:basedOn w:val="Standardskriftforavsnitt"/>
    <w:rsid w:val="001042DA"/>
  </w:style>
  <w:style w:type="character" w:styleId="Merknadsreferanse">
    <w:name w:val="annotation reference"/>
    <w:uiPriority w:val="99"/>
    <w:semiHidden/>
    <w:rsid w:val="001042DA"/>
    <w:rPr>
      <w:sz w:val="16"/>
    </w:rPr>
  </w:style>
  <w:style w:type="paragraph" w:styleId="Merknadstekst">
    <w:name w:val="annotation text"/>
    <w:basedOn w:val="Normal"/>
    <w:link w:val="MerknadstekstTegn"/>
    <w:uiPriority w:val="99"/>
    <w:rsid w:val="001042DA"/>
  </w:style>
  <w:style w:type="character" w:customStyle="1" w:styleId="MerknadstekstTegn">
    <w:name w:val="Merknadstekst Tegn"/>
    <w:basedOn w:val="Standardskriftforavsnitt"/>
    <w:link w:val="Merknadstekst"/>
    <w:uiPriority w:val="99"/>
    <w:rsid w:val="001042DA"/>
    <w:rPr>
      <w:rFonts w:ascii="Verdana" w:eastAsia="Times New Roman" w:hAnsi="Verdana" w:cs="Times New Roman"/>
      <w:sz w:val="20"/>
      <w:szCs w:val="20"/>
      <w:lang w:val="en-GB" w:eastAsia="de-DE"/>
    </w:rPr>
  </w:style>
  <w:style w:type="paragraph" w:styleId="Dokumentkart">
    <w:name w:val="Document Map"/>
    <w:basedOn w:val="Normal"/>
    <w:link w:val="DokumentkartTegn"/>
    <w:semiHidden/>
    <w:rsid w:val="001042DA"/>
    <w:pPr>
      <w:shd w:val="clear" w:color="auto" w:fill="000080"/>
    </w:pPr>
    <w:rPr>
      <w:rFonts w:ascii="Tahoma" w:hAnsi="Tahoma"/>
    </w:rPr>
  </w:style>
  <w:style w:type="character" w:customStyle="1" w:styleId="DokumentkartTegn">
    <w:name w:val="Dokumentkart Tegn"/>
    <w:basedOn w:val="Standardskriftforavsnitt"/>
    <w:link w:val="Dokumentkart"/>
    <w:semiHidden/>
    <w:rsid w:val="001042DA"/>
    <w:rPr>
      <w:rFonts w:ascii="Tahoma" w:eastAsia="Times New Roman" w:hAnsi="Tahoma" w:cs="Times New Roman"/>
      <w:sz w:val="20"/>
      <w:szCs w:val="20"/>
      <w:shd w:val="clear" w:color="auto" w:fill="000080"/>
      <w:lang w:val="en-GB" w:eastAsia="de-DE"/>
    </w:rPr>
  </w:style>
  <w:style w:type="character" w:styleId="Hyperkobling">
    <w:name w:val="Hyperlink"/>
    <w:uiPriority w:val="99"/>
    <w:rsid w:val="001042DA"/>
    <w:rPr>
      <w:color w:val="0000FF"/>
      <w:u w:val="single"/>
    </w:rPr>
  </w:style>
  <w:style w:type="paragraph" w:styleId="Brdtekstinnrykk">
    <w:name w:val="Body Text Indent"/>
    <w:basedOn w:val="Normal"/>
    <w:link w:val="BrdtekstinnrykkTegn"/>
    <w:rsid w:val="001042DA"/>
    <w:pPr>
      <w:ind w:left="567"/>
    </w:pPr>
    <w:rPr>
      <w:sz w:val="24"/>
    </w:rPr>
  </w:style>
  <w:style w:type="character" w:customStyle="1" w:styleId="BrdtekstinnrykkTegn">
    <w:name w:val="Brødtekstinnrykk Tegn"/>
    <w:basedOn w:val="Standardskriftforavsnitt"/>
    <w:link w:val="Brdtekstinnrykk"/>
    <w:rsid w:val="001042DA"/>
    <w:rPr>
      <w:rFonts w:ascii="Verdana" w:eastAsia="Times New Roman" w:hAnsi="Verdana" w:cs="Times New Roman"/>
      <w:sz w:val="24"/>
      <w:szCs w:val="20"/>
      <w:lang w:val="en-GB" w:eastAsia="de-DE"/>
    </w:rPr>
  </w:style>
  <w:style w:type="paragraph" w:customStyle="1" w:styleId="Kopzeile-fett">
    <w:name w:val="Kopzeile-fett"/>
    <w:basedOn w:val="Topptekst"/>
    <w:rsid w:val="001042DA"/>
  </w:style>
  <w:style w:type="paragraph" w:styleId="Brdtekst2">
    <w:name w:val="Body Text 2"/>
    <w:basedOn w:val="Normal"/>
    <w:link w:val="Brdtekst2Tegn"/>
    <w:rsid w:val="001042DA"/>
    <w:pPr>
      <w:spacing w:before="60" w:after="60"/>
    </w:pPr>
    <w:rPr>
      <w:i/>
      <w:color w:val="0000FF"/>
    </w:rPr>
  </w:style>
  <w:style w:type="character" w:customStyle="1" w:styleId="Brdtekst2Tegn">
    <w:name w:val="Brødtekst 2 Tegn"/>
    <w:basedOn w:val="Standardskriftforavsnitt"/>
    <w:link w:val="Brdtekst2"/>
    <w:rsid w:val="001042DA"/>
    <w:rPr>
      <w:rFonts w:ascii="Verdana" w:eastAsia="Times New Roman" w:hAnsi="Verdana" w:cs="Times New Roman"/>
      <w:i/>
      <w:color w:val="0000FF"/>
      <w:sz w:val="20"/>
      <w:szCs w:val="20"/>
      <w:lang w:val="en-GB" w:eastAsia="de-DE"/>
    </w:rPr>
  </w:style>
  <w:style w:type="paragraph" w:customStyle="1" w:styleId="Standard-fett">
    <w:name w:val="Standard-fett"/>
    <w:basedOn w:val="Normal"/>
    <w:rsid w:val="001042DA"/>
    <w:pPr>
      <w:spacing w:before="60" w:after="60"/>
    </w:pPr>
    <w:rPr>
      <w:b/>
    </w:rPr>
  </w:style>
  <w:style w:type="paragraph" w:customStyle="1" w:styleId="Official-Use">
    <w:name w:val="Official-Use"/>
    <w:basedOn w:val="Normal"/>
    <w:rsid w:val="001042DA"/>
    <w:pPr>
      <w:spacing w:before="60" w:after="60"/>
      <w:jc w:val="center"/>
    </w:pPr>
    <w:rPr>
      <w:sz w:val="16"/>
    </w:rPr>
  </w:style>
  <w:style w:type="paragraph" w:customStyle="1" w:styleId="SectionHeader">
    <w:name w:val="SectionHeader"/>
    <w:basedOn w:val="Normal"/>
    <w:rsid w:val="001042DA"/>
    <w:pPr>
      <w:spacing w:before="60" w:after="60"/>
    </w:pPr>
    <w:rPr>
      <w:b/>
      <w:sz w:val="24"/>
    </w:rPr>
  </w:style>
  <w:style w:type="paragraph" w:customStyle="1" w:styleId="Kopfzeile-fett-rechts">
    <w:name w:val="Kopfzeile-fett-rechts"/>
    <w:basedOn w:val="Kopzeile-fett"/>
    <w:rsid w:val="001042DA"/>
    <w:pPr>
      <w:spacing w:after="120"/>
      <w:jc w:val="right"/>
    </w:pPr>
    <w:rPr>
      <w:b/>
      <w:sz w:val="20"/>
      <w:lang w:val="en-GB"/>
    </w:rPr>
  </w:style>
  <w:style w:type="paragraph" w:styleId="Avsenderadresse">
    <w:name w:val="envelope return"/>
    <w:basedOn w:val="Normal"/>
    <w:rsid w:val="001042DA"/>
    <w:rPr>
      <w:rFonts w:ascii="Arial" w:hAnsi="Arial"/>
    </w:rPr>
  </w:style>
  <w:style w:type="paragraph" w:styleId="Innledendehilsen">
    <w:name w:val="Salutation"/>
    <w:basedOn w:val="Normal"/>
    <w:next w:val="Normal"/>
    <w:link w:val="InnledendehilsenTegn"/>
    <w:rsid w:val="001042DA"/>
  </w:style>
  <w:style w:type="character" w:customStyle="1" w:styleId="InnledendehilsenTegn">
    <w:name w:val="Innledende hilsen Tegn"/>
    <w:basedOn w:val="Standardskriftforavsnitt"/>
    <w:link w:val="Innledendehilsen"/>
    <w:rsid w:val="001042DA"/>
    <w:rPr>
      <w:rFonts w:ascii="Verdana" w:eastAsia="Times New Roman" w:hAnsi="Verdana" w:cs="Times New Roman"/>
      <w:sz w:val="20"/>
      <w:szCs w:val="20"/>
      <w:lang w:val="en-GB" w:eastAsia="de-DE"/>
    </w:rPr>
  </w:style>
  <w:style w:type="paragraph" w:styleId="Punktliste">
    <w:name w:val="List Bullet"/>
    <w:basedOn w:val="Normal"/>
    <w:autoRedefine/>
    <w:rsid w:val="001042DA"/>
    <w:pPr>
      <w:tabs>
        <w:tab w:val="num" w:pos="360"/>
      </w:tabs>
      <w:ind w:left="360" w:hanging="360"/>
    </w:pPr>
  </w:style>
  <w:style w:type="paragraph" w:styleId="Punktliste2">
    <w:name w:val="List Bullet 2"/>
    <w:basedOn w:val="Normal"/>
    <w:autoRedefine/>
    <w:rsid w:val="001042DA"/>
    <w:pPr>
      <w:tabs>
        <w:tab w:val="num" w:pos="643"/>
      </w:tabs>
      <w:ind w:left="643" w:hanging="360"/>
    </w:pPr>
  </w:style>
  <w:style w:type="paragraph" w:styleId="Punktliste3">
    <w:name w:val="List Bullet 3"/>
    <w:basedOn w:val="Normal"/>
    <w:autoRedefine/>
    <w:rsid w:val="001042DA"/>
    <w:pPr>
      <w:tabs>
        <w:tab w:val="num" w:pos="926"/>
      </w:tabs>
      <w:ind w:left="926" w:hanging="360"/>
    </w:pPr>
  </w:style>
  <w:style w:type="paragraph" w:styleId="Punktliste4">
    <w:name w:val="List Bullet 4"/>
    <w:basedOn w:val="Normal"/>
    <w:autoRedefine/>
    <w:rsid w:val="001042DA"/>
    <w:pPr>
      <w:tabs>
        <w:tab w:val="num" w:pos="1209"/>
      </w:tabs>
      <w:ind w:left="1209" w:hanging="360"/>
    </w:pPr>
  </w:style>
  <w:style w:type="paragraph" w:styleId="Punktliste5">
    <w:name w:val="List Bullet 5"/>
    <w:basedOn w:val="Normal"/>
    <w:autoRedefine/>
    <w:rsid w:val="001042DA"/>
    <w:pPr>
      <w:tabs>
        <w:tab w:val="num" w:pos="1492"/>
      </w:tabs>
      <w:ind w:left="1492" w:hanging="360"/>
    </w:pPr>
  </w:style>
  <w:style w:type="paragraph" w:styleId="Blokktekst">
    <w:name w:val="Block Text"/>
    <w:basedOn w:val="Normal"/>
    <w:rsid w:val="001042DA"/>
    <w:pPr>
      <w:ind w:left="1440" w:right="1440"/>
    </w:pPr>
  </w:style>
  <w:style w:type="paragraph" w:styleId="Dato">
    <w:name w:val="Date"/>
    <w:basedOn w:val="Normal"/>
    <w:next w:val="Normal"/>
    <w:link w:val="DatoTegn"/>
    <w:rsid w:val="001042DA"/>
  </w:style>
  <w:style w:type="character" w:customStyle="1" w:styleId="DatoTegn">
    <w:name w:val="Dato Tegn"/>
    <w:basedOn w:val="Standardskriftforavsnitt"/>
    <w:link w:val="Dato"/>
    <w:rsid w:val="001042DA"/>
    <w:rPr>
      <w:rFonts w:ascii="Verdana" w:eastAsia="Times New Roman" w:hAnsi="Verdana" w:cs="Times New Roman"/>
      <w:sz w:val="20"/>
      <w:szCs w:val="20"/>
      <w:lang w:val="en-GB" w:eastAsia="de-DE"/>
    </w:rPr>
  </w:style>
  <w:style w:type="paragraph" w:styleId="Notatoverskrift">
    <w:name w:val="Note Heading"/>
    <w:basedOn w:val="Normal"/>
    <w:next w:val="Normal"/>
    <w:link w:val="NotatoverskriftTegn"/>
    <w:rsid w:val="001042DA"/>
  </w:style>
  <w:style w:type="character" w:customStyle="1" w:styleId="NotatoverskriftTegn">
    <w:name w:val="Notatoverskrift Tegn"/>
    <w:basedOn w:val="Standardskriftforavsnitt"/>
    <w:link w:val="Notatoverskrift"/>
    <w:rsid w:val="001042DA"/>
    <w:rPr>
      <w:rFonts w:ascii="Verdana" w:eastAsia="Times New Roman" w:hAnsi="Verdana" w:cs="Times New Roman"/>
      <w:sz w:val="20"/>
      <w:szCs w:val="20"/>
      <w:lang w:val="en-GB" w:eastAsia="de-DE"/>
    </w:rPr>
  </w:style>
  <w:style w:type="paragraph" w:styleId="Hilsen">
    <w:name w:val="Closing"/>
    <w:basedOn w:val="Normal"/>
    <w:link w:val="HilsenTegn"/>
    <w:rsid w:val="001042DA"/>
    <w:pPr>
      <w:ind w:left="4252"/>
    </w:pPr>
  </w:style>
  <w:style w:type="character" w:customStyle="1" w:styleId="HilsenTegn">
    <w:name w:val="Hilsen Tegn"/>
    <w:basedOn w:val="Standardskriftforavsnitt"/>
    <w:link w:val="Hilsen"/>
    <w:rsid w:val="001042DA"/>
    <w:rPr>
      <w:rFonts w:ascii="Verdana" w:eastAsia="Times New Roman" w:hAnsi="Verdana" w:cs="Times New Roman"/>
      <w:sz w:val="20"/>
      <w:szCs w:val="20"/>
      <w:lang w:val="en-GB" w:eastAsia="de-DE"/>
    </w:rPr>
  </w:style>
  <w:style w:type="paragraph" w:styleId="Indeks3">
    <w:name w:val="index 3"/>
    <w:basedOn w:val="Normal"/>
    <w:next w:val="Normal"/>
    <w:autoRedefine/>
    <w:semiHidden/>
    <w:rsid w:val="001042DA"/>
    <w:pPr>
      <w:ind w:left="660" w:hanging="220"/>
    </w:pPr>
  </w:style>
  <w:style w:type="paragraph" w:styleId="Indeks4">
    <w:name w:val="index 4"/>
    <w:basedOn w:val="Normal"/>
    <w:next w:val="Normal"/>
    <w:autoRedefine/>
    <w:semiHidden/>
    <w:rsid w:val="001042DA"/>
    <w:pPr>
      <w:ind w:left="880" w:hanging="220"/>
    </w:pPr>
  </w:style>
  <w:style w:type="paragraph" w:styleId="Indeks5">
    <w:name w:val="index 5"/>
    <w:basedOn w:val="Normal"/>
    <w:next w:val="Normal"/>
    <w:autoRedefine/>
    <w:semiHidden/>
    <w:rsid w:val="001042DA"/>
    <w:pPr>
      <w:ind w:left="1100" w:hanging="220"/>
    </w:pPr>
  </w:style>
  <w:style w:type="paragraph" w:styleId="Indeks6">
    <w:name w:val="index 6"/>
    <w:basedOn w:val="Normal"/>
    <w:next w:val="Normal"/>
    <w:autoRedefine/>
    <w:semiHidden/>
    <w:rsid w:val="001042DA"/>
    <w:pPr>
      <w:ind w:left="1320" w:hanging="220"/>
    </w:pPr>
  </w:style>
  <w:style w:type="paragraph" w:styleId="Indeks7">
    <w:name w:val="index 7"/>
    <w:basedOn w:val="Normal"/>
    <w:next w:val="Normal"/>
    <w:autoRedefine/>
    <w:semiHidden/>
    <w:rsid w:val="001042DA"/>
    <w:pPr>
      <w:ind w:left="1540" w:hanging="220"/>
    </w:pPr>
  </w:style>
  <w:style w:type="paragraph" w:styleId="Indeks8">
    <w:name w:val="index 8"/>
    <w:basedOn w:val="Normal"/>
    <w:next w:val="Normal"/>
    <w:autoRedefine/>
    <w:semiHidden/>
    <w:rsid w:val="001042DA"/>
    <w:pPr>
      <w:ind w:left="1760" w:hanging="220"/>
    </w:pPr>
  </w:style>
  <w:style w:type="paragraph" w:styleId="Indeks9">
    <w:name w:val="index 9"/>
    <w:basedOn w:val="Normal"/>
    <w:next w:val="Normal"/>
    <w:autoRedefine/>
    <w:semiHidden/>
    <w:rsid w:val="001042DA"/>
    <w:pPr>
      <w:ind w:left="1980" w:hanging="220"/>
    </w:pPr>
  </w:style>
  <w:style w:type="paragraph" w:styleId="Liste2">
    <w:name w:val="List 2"/>
    <w:basedOn w:val="Normal"/>
    <w:rsid w:val="001042DA"/>
    <w:pPr>
      <w:ind w:left="566" w:hanging="283"/>
    </w:pPr>
  </w:style>
  <w:style w:type="paragraph" w:styleId="Liste3">
    <w:name w:val="List 3"/>
    <w:basedOn w:val="Normal"/>
    <w:rsid w:val="001042DA"/>
    <w:pPr>
      <w:ind w:left="849" w:hanging="283"/>
    </w:pPr>
  </w:style>
  <w:style w:type="paragraph" w:styleId="Liste4">
    <w:name w:val="List 4"/>
    <w:basedOn w:val="Normal"/>
    <w:rsid w:val="001042DA"/>
    <w:pPr>
      <w:ind w:left="1132" w:hanging="283"/>
    </w:pPr>
  </w:style>
  <w:style w:type="paragraph" w:styleId="Liste5">
    <w:name w:val="List 5"/>
    <w:basedOn w:val="Normal"/>
    <w:rsid w:val="001042DA"/>
    <w:pPr>
      <w:ind w:left="1415" w:hanging="283"/>
    </w:pPr>
  </w:style>
  <w:style w:type="paragraph" w:styleId="Liste-forts">
    <w:name w:val="List Continue"/>
    <w:basedOn w:val="Normal"/>
    <w:rsid w:val="001042DA"/>
    <w:pPr>
      <w:ind w:left="283"/>
    </w:pPr>
  </w:style>
  <w:style w:type="paragraph" w:styleId="Liste-forts2">
    <w:name w:val="List Continue 2"/>
    <w:basedOn w:val="Normal"/>
    <w:rsid w:val="001042DA"/>
    <w:pPr>
      <w:ind w:left="566"/>
    </w:pPr>
  </w:style>
  <w:style w:type="paragraph" w:styleId="Liste-forts3">
    <w:name w:val="List Continue 3"/>
    <w:basedOn w:val="Normal"/>
    <w:rsid w:val="001042DA"/>
    <w:pPr>
      <w:ind w:left="849"/>
    </w:pPr>
  </w:style>
  <w:style w:type="paragraph" w:styleId="Liste-forts4">
    <w:name w:val="List Continue 4"/>
    <w:basedOn w:val="Normal"/>
    <w:rsid w:val="001042DA"/>
    <w:pPr>
      <w:ind w:left="1132"/>
    </w:pPr>
  </w:style>
  <w:style w:type="paragraph" w:styleId="Liste-forts5">
    <w:name w:val="List Continue 5"/>
    <w:basedOn w:val="Normal"/>
    <w:rsid w:val="001042DA"/>
    <w:pPr>
      <w:ind w:left="1415"/>
    </w:pPr>
  </w:style>
  <w:style w:type="paragraph" w:styleId="Nummerertliste">
    <w:name w:val="List Number"/>
    <w:basedOn w:val="Normal"/>
    <w:rsid w:val="001042DA"/>
    <w:pPr>
      <w:tabs>
        <w:tab w:val="num" w:pos="360"/>
      </w:tabs>
      <w:ind w:left="360" w:hanging="360"/>
    </w:pPr>
  </w:style>
  <w:style w:type="paragraph" w:styleId="Nummerertliste2">
    <w:name w:val="List Number 2"/>
    <w:basedOn w:val="Normal"/>
    <w:rsid w:val="001042DA"/>
    <w:pPr>
      <w:tabs>
        <w:tab w:val="num" w:pos="643"/>
      </w:tabs>
      <w:ind w:left="643" w:hanging="360"/>
    </w:pPr>
  </w:style>
  <w:style w:type="paragraph" w:styleId="Nummerertliste3">
    <w:name w:val="List Number 3"/>
    <w:basedOn w:val="Normal"/>
    <w:rsid w:val="001042DA"/>
    <w:pPr>
      <w:tabs>
        <w:tab w:val="num" w:pos="926"/>
      </w:tabs>
      <w:ind w:left="926" w:hanging="360"/>
    </w:pPr>
  </w:style>
  <w:style w:type="paragraph" w:styleId="Nummerertliste4">
    <w:name w:val="List Number 4"/>
    <w:basedOn w:val="Normal"/>
    <w:rsid w:val="001042DA"/>
    <w:pPr>
      <w:tabs>
        <w:tab w:val="num" w:pos="1209"/>
      </w:tabs>
      <w:ind w:left="1209" w:hanging="360"/>
    </w:pPr>
  </w:style>
  <w:style w:type="paragraph" w:styleId="Nummerertliste5">
    <w:name w:val="List Number 5"/>
    <w:basedOn w:val="Normal"/>
    <w:rsid w:val="001042DA"/>
    <w:pPr>
      <w:tabs>
        <w:tab w:val="num" w:pos="1492"/>
      </w:tabs>
      <w:ind w:left="1492" w:hanging="360"/>
    </w:pPr>
  </w:style>
  <w:style w:type="paragraph" w:styleId="Makrotekst">
    <w:name w:val="macro"/>
    <w:link w:val="MakrotekstTegn"/>
    <w:semiHidden/>
    <w:rsid w:val="001042DA"/>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eastAsia="Times New Roman" w:hAnsi="Courier New" w:cs="Times New Roman"/>
      <w:sz w:val="20"/>
      <w:szCs w:val="20"/>
      <w:lang w:val="de-DE" w:eastAsia="de-DE"/>
    </w:rPr>
  </w:style>
  <w:style w:type="character" w:customStyle="1" w:styleId="MakrotekstTegn">
    <w:name w:val="Makrotekst Tegn"/>
    <w:basedOn w:val="Standardskriftforavsnitt"/>
    <w:link w:val="Makrotekst"/>
    <w:semiHidden/>
    <w:rsid w:val="001042DA"/>
    <w:rPr>
      <w:rFonts w:ascii="Courier New" w:eastAsia="Times New Roman" w:hAnsi="Courier New" w:cs="Times New Roman"/>
      <w:sz w:val="20"/>
      <w:szCs w:val="20"/>
      <w:lang w:val="de-DE" w:eastAsia="de-DE"/>
    </w:rPr>
  </w:style>
  <w:style w:type="paragraph" w:styleId="Meldingshode">
    <w:name w:val="Message Header"/>
    <w:basedOn w:val="Normal"/>
    <w:link w:val="MeldingshodeTegn"/>
    <w:rsid w:val="001042D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ldingshodeTegn">
    <w:name w:val="Meldingshode Tegn"/>
    <w:basedOn w:val="Standardskriftforavsnitt"/>
    <w:link w:val="Meldingshode"/>
    <w:rsid w:val="001042DA"/>
    <w:rPr>
      <w:rFonts w:ascii="Arial" w:eastAsia="Times New Roman" w:hAnsi="Arial" w:cs="Times New Roman"/>
      <w:sz w:val="24"/>
      <w:szCs w:val="20"/>
      <w:shd w:val="pct20" w:color="auto" w:fill="auto"/>
      <w:lang w:val="en-GB" w:eastAsia="de-DE"/>
    </w:rPr>
  </w:style>
  <w:style w:type="paragraph" w:styleId="Rentekst">
    <w:name w:val="Plain Text"/>
    <w:basedOn w:val="Normal"/>
    <w:link w:val="RentekstTegn"/>
    <w:uiPriority w:val="99"/>
    <w:rsid w:val="001042DA"/>
    <w:rPr>
      <w:rFonts w:ascii="Courier New" w:hAnsi="Courier New"/>
    </w:rPr>
  </w:style>
  <w:style w:type="character" w:customStyle="1" w:styleId="RentekstTegn">
    <w:name w:val="Ren tekst Tegn"/>
    <w:basedOn w:val="Standardskriftforavsnitt"/>
    <w:link w:val="Rentekst"/>
    <w:uiPriority w:val="99"/>
    <w:rsid w:val="001042DA"/>
    <w:rPr>
      <w:rFonts w:ascii="Courier New" w:eastAsia="Times New Roman" w:hAnsi="Courier New" w:cs="Times New Roman"/>
      <w:sz w:val="20"/>
      <w:szCs w:val="20"/>
      <w:lang w:val="en-GB" w:eastAsia="de-DE"/>
    </w:rPr>
  </w:style>
  <w:style w:type="paragraph" w:styleId="Vanliginnrykk">
    <w:name w:val="Normal Indent"/>
    <w:basedOn w:val="Normal"/>
    <w:rsid w:val="001042DA"/>
    <w:pPr>
      <w:ind w:left="708"/>
    </w:pPr>
  </w:style>
  <w:style w:type="paragraph" w:styleId="Brdtekst3">
    <w:name w:val="Body Text 3"/>
    <w:basedOn w:val="Normal"/>
    <w:link w:val="Brdtekst3Tegn"/>
    <w:rsid w:val="001042DA"/>
    <w:rPr>
      <w:sz w:val="16"/>
    </w:rPr>
  </w:style>
  <w:style w:type="character" w:customStyle="1" w:styleId="Brdtekst3Tegn">
    <w:name w:val="Brødtekst 3 Tegn"/>
    <w:basedOn w:val="Standardskriftforavsnitt"/>
    <w:link w:val="Brdtekst3"/>
    <w:rsid w:val="001042DA"/>
    <w:rPr>
      <w:rFonts w:ascii="Verdana" w:eastAsia="Times New Roman" w:hAnsi="Verdana" w:cs="Times New Roman"/>
      <w:sz w:val="16"/>
      <w:szCs w:val="20"/>
      <w:lang w:val="en-GB" w:eastAsia="de-DE"/>
    </w:rPr>
  </w:style>
  <w:style w:type="paragraph" w:styleId="Brdtekstinnrykk2">
    <w:name w:val="Body Text Indent 2"/>
    <w:basedOn w:val="Normal"/>
    <w:link w:val="Brdtekstinnrykk2Tegn"/>
    <w:rsid w:val="001042DA"/>
    <w:pPr>
      <w:spacing w:line="480" w:lineRule="auto"/>
      <w:ind w:left="283"/>
    </w:pPr>
  </w:style>
  <w:style w:type="character" w:customStyle="1" w:styleId="Brdtekstinnrykk2Tegn">
    <w:name w:val="Brødtekstinnrykk 2 Tegn"/>
    <w:basedOn w:val="Standardskriftforavsnitt"/>
    <w:link w:val="Brdtekstinnrykk2"/>
    <w:rsid w:val="001042DA"/>
    <w:rPr>
      <w:rFonts w:ascii="Verdana" w:eastAsia="Times New Roman" w:hAnsi="Verdana" w:cs="Times New Roman"/>
      <w:sz w:val="20"/>
      <w:szCs w:val="20"/>
      <w:lang w:val="en-GB" w:eastAsia="de-DE"/>
    </w:rPr>
  </w:style>
  <w:style w:type="paragraph" w:styleId="Brdtekstinnrykk3">
    <w:name w:val="Body Text Indent 3"/>
    <w:basedOn w:val="Normal"/>
    <w:link w:val="Brdtekstinnrykk3Tegn"/>
    <w:rsid w:val="001042DA"/>
    <w:pPr>
      <w:ind w:left="283"/>
    </w:pPr>
    <w:rPr>
      <w:sz w:val="16"/>
    </w:rPr>
  </w:style>
  <w:style w:type="character" w:customStyle="1" w:styleId="Brdtekstinnrykk3Tegn">
    <w:name w:val="Brødtekstinnrykk 3 Tegn"/>
    <w:basedOn w:val="Standardskriftforavsnitt"/>
    <w:link w:val="Brdtekstinnrykk3"/>
    <w:rsid w:val="001042DA"/>
    <w:rPr>
      <w:rFonts w:ascii="Verdana" w:eastAsia="Times New Roman" w:hAnsi="Verdana" w:cs="Times New Roman"/>
      <w:sz w:val="16"/>
      <w:szCs w:val="20"/>
      <w:lang w:val="en-GB" w:eastAsia="de-DE"/>
    </w:rPr>
  </w:style>
  <w:style w:type="paragraph" w:styleId="Brdtekst-frsteinnrykk">
    <w:name w:val="Body Text First Indent"/>
    <w:basedOn w:val="Brdtekst"/>
    <w:link w:val="Brdtekst-frsteinnrykkTegn"/>
    <w:rsid w:val="001042DA"/>
    <w:pPr>
      <w:spacing w:before="120" w:after="120" w:line="360" w:lineRule="auto"/>
      <w:ind w:firstLine="210"/>
    </w:pPr>
  </w:style>
  <w:style w:type="character" w:customStyle="1" w:styleId="Brdtekst-frsteinnrykkTegn">
    <w:name w:val="Brødtekst - første innrykk Tegn"/>
    <w:basedOn w:val="BrdtekstTegn"/>
    <w:link w:val="Brdtekst-frsteinnrykk"/>
    <w:rsid w:val="001042DA"/>
    <w:rPr>
      <w:rFonts w:ascii="Verdana" w:eastAsia="Times New Roman" w:hAnsi="Verdana" w:cs="Times New Roman"/>
      <w:sz w:val="20"/>
      <w:szCs w:val="20"/>
      <w:lang w:val="en-GB" w:eastAsia="de-DE"/>
    </w:rPr>
  </w:style>
  <w:style w:type="paragraph" w:styleId="Brdtekst-frsteinnrykk2">
    <w:name w:val="Body Text First Indent 2"/>
    <w:basedOn w:val="Brdtekstinnrykk"/>
    <w:link w:val="Brdtekst-frsteinnrykk2Tegn"/>
    <w:rsid w:val="001042DA"/>
    <w:pPr>
      <w:spacing w:before="120" w:after="120" w:line="360" w:lineRule="auto"/>
      <w:ind w:left="283" w:firstLine="210"/>
    </w:pPr>
    <w:rPr>
      <w:sz w:val="22"/>
    </w:rPr>
  </w:style>
  <w:style w:type="character" w:customStyle="1" w:styleId="Brdtekst-frsteinnrykk2Tegn">
    <w:name w:val="Brødtekst - første innrykk 2 Tegn"/>
    <w:basedOn w:val="BrdtekstinnrykkTegn"/>
    <w:link w:val="Brdtekst-frsteinnrykk2"/>
    <w:rsid w:val="001042DA"/>
    <w:rPr>
      <w:rFonts w:ascii="Verdana" w:eastAsia="Times New Roman" w:hAnsi="Verdana" w:cs="Times New Roman"/>
      <w:sz w:val="24"/>
      <w:szCs w:val="20"/>
      <w:lang w:val="en-GB" w:eastAsia="de-DE"/>
    </w:rPr>
  </w:style>
  <w:style w:type="paragraph" w:styleId="Tittel">
    <w:name w:val="Title"/>
    <w:basedOn w:val="Normal"/>
    <w:link w:val="TittelTegn"/>
    <w:qFormat/>
    <w:rsid w:val="001042DA"/>
    <w:pPr>
      <w:spacing w:before="240" w:after="60"/>
      <w:ind w:left="1701" w:hanging="1701"/>
      <w:outlineLvl w:val="0"/>
    </w:pPr>
    <w:rPr>
      <w:rFonts w:eastAsia="Calibri"/>
      <w:b/>
      <w:kern w:val="28"/>
      <w:sz w:val="28"/>
      <w:szCs w:val="36"/>
      <w:lang w:eastAsia="en-US"/>
    </w:rPr>
  </w:style>
  <w:style w:type="character" w:customStyle="1" w:styleId="TittelTegn">
    <w:name w:val="Tittel Tegn"/>
    <w:basedOn w:val="Standardskriftforavsnitt"/>
    <w:link w:val="Tittel"/>
    <w:rsid w:val="001042DA"/>
    <w:rPr>
      <w:rFonts w:ascii="Verdana" w:eastAsia="Calibri" w:hAnsi="Verdana" w:cs="Times New Roman"/>
      <w:b/>
      <w:kern w:val="28"/>
      <w:sz w:val="28"/>
      <w:szCs w:val="36"/>
      <w:lang w:val="en-GB"/>
    </w:rPr>
  </w:style>
  <w:style w:type="paragraph" w:styleId="Konvoluttadresse">
    <w:name w:val="envelope address"/>
    <w:basedOn w:val="Normal"/>
    <w:rsid w:val="001042DA"/>
    <w:pPr>
      <w:framePr w:w="4320" w:h="2160" w:hRule="exact" w:hSpace="141" w:wrap="auto" w:hAnchor="page" w:xAlign="center" w:yAlign="bottom"/>
      <w:ind w:left="1"/>
    </w:pPr>
    <w:rPr>
      <w:rFonts w:ascii="Arial" w:hAnsi="Arial"/>
      <w:sz w:val="24"/>
    </w:rPr>
  </w:style>
  <w:style w:type="paragraph" w:styleId="Underskrift">
    <w:name w:val="Signature"/>
    <w:basedOn w:val="Normal"/>
    <w:link w:val="UnderskriftTegn"/>
    <w:rsid w:val="001042DA"/>
    <w:pPr>
      <w:ind w:left="4252"/>
    </w:pPr>
  </w:style>
  <w:style w:type="character" w:customStyle="1" w:styleId="UnderskriftTegn">
    <w:name w:val="Underskrift Tegn"/>
    <w:basedOn w:val="Standardskriftforavsnitt"/>
    <w:link w:val="Underskrift"/>
    <w:rsid w:val="001042DA"/>
    <w:rPr>
      <w:rFonts w:ascii="Verdana" w:eastAsia="Times New Roman" w:hAnsi="Verdana" w:cs="Times New Roman"/>
      <w:sz w:val="20"/>
      <w:szCs w:val="20"/>
      <w:lang w:val="en-GB" w:eastAsia="de-DE"/>
    </w:rPr>
  </w:style>
  <w:style w:type="paragraph" w:styleId="Undertittel">
    <w:name w:val="Subtitle"/>
    <w:basedOn w:val="Normal"/>
    <w:link w:val="UndertittelTegn"/>
    <w:qFormat/>
    <w:rsid w:val="001042DA"/>
    <w:pPr>
      <w:spacing w:after="60"/>
      <w:outlineLvl w:val="1"/>
    </w:pPr>
    <w:rPr>
      <w:b/>
      <w:sz w:val="36"/>
      <w:szCs w:val="36"/>
    </w:rPr>
  </w:style>
  <w:style w:type="character" w:customStyle="1" w:styleId="UndertittelTegn">
    <w:name w:val="Undertittel Tegn"/>
    <w:basedOn w:val="Standardskriftforavsnitt"/>
    <w:link w:val="Undertittel"/>
    <w:rsid w:val="001042DA"/>
    <w:rPr>
      <w:rFonts w:ascii="Verdana" w:eastAsia="Times New Roman" w:hAnsi="Verdana" w:cs="Times New Roman"/>
      <w:b/>
      <w:sz w:val="36"/>
      <w:szCs w:val="36"/>
      <w:lang w:val="en-GB" w:eastAsia="de-DE"/>
    </w:rPr>
  </w:style>
  <w:style w:type="paragraph" w:styleId="Kildelisteoverskrift">
    <w:name w:val="toa heading"/>
    <w:basedOn w:val="Normal"/>
    <w:next w:val="Normal"/>
    <w:semiHidden/>
    <w:rsid w:val="001042DA"/>
    <w:rPr>
      <w:rFonts w:ascii="Arial" w:hAnsi="Arial"/>
      <w:b/>
      <w:sz w:val="24"/>
    </w:rPr>
  </w:style>
  <w:style w:type="paragraph" w:styleId="Kildeliste">
    <w:name w:val="table of authorities"/>
    <w:basedOn w:val="Normal"/>
    <w:next w:val="Normal"/>
    <w:semiHidden/>
    <w:rsid w:val="001042DA"/>
    <w:pPr>
      <w:ind w:left="220" w:hanging="220"/>
    </w:pPr>
  </w:style>
  <w:style w:type="paragraph" w:customStyle="1" w:styleId="QuellenangabePagina">
    <w:name w:val="Quellenangabe/Pagina"/>
    <w:basedOn w:val="Normal"/>
    <w:rsid w:val="001042DA"/>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Normal"/>
    <w:rsid w:val="001042DA"/>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Normal"/>
    <w:rsid w:val="001042DA"/>
    <w:pPr>
      <w:keepNext/>
      <w:keepLines/>
      <w:spacing w:before="60" w:after="60"/>
    </w:pPr>
    <w:rPr>
      <w:i/>
      <w:color w:val="000000"/>
    </w:rPr>
  </w:style>
  <w:style w:type="paragraph" w:customStyle="1" w:styleId="SectionHeader-Crossref">
    <w:name w:val="SectionHeader-Crossref"/>
    <w:basedOn w:val="Normal"/>
    <w:rsid w:val="001042DA"/>
    <w:pPr>
      <w:spacing w:before="60" w:after="60"/>
    </w:pPr>
    <w:rPr>
      <w:b/>
    </w:rPr>
  </w:style>
  <w:style w:type="paragraph" w:customStyle="1" w:styleId="Standard-kurs-rot">
    <w:name w:val="Standard-kurs-rot"/>
    <w:basedOn w:val="Normal"/>
    <w:rsid w:val="001042DA"/>
    <w:pPr>
      <w:keepNext/>
      <w:spacing w:before="60" w:after="60"/>
    </w:pPr>
    <w:rPr>
      <w:i/>
      <w:color w:val="FF0000"/>
    </w:rPr>
  </w:style>
  <w:style w:type="paragraph" w:customStyle="1" w:styleId="Tabellenformat1-zeilig">
    <w:name w:val="Tabellenformat 1-zeilig"/>
    <w:basedOn w:val="Tabellenformat"/>
    <w:rsid w:val="001042DA"/>
    <w:pPr>
      <w:spacing w:before="60" w:after="60"/>
    </w:pPr>
    <w:rPr>
      <w:snapToGrid w:val="0"/>
    </w:rPr>
  </w:style>
  <w:style w:type="paragraph" w:customStyle="1" w:styleId="Absatz1-zeilig">
    <w:name w:val="Absatz 1-zeilig"/>
    <w:basedOn w:val="Absatz"/>
    <w:rsid w:val="001042DA"/>
    <w:pPr>
      <w:spacing w:before="60" w:after="60"/>
    </w:pPr>
  </w:style>
  <w:style w:type="paragraph" w:customStyle="1" w:styleId="Standard1-zeilig">
    <w:name w:val="Standard 1-zeilig"/>
    <w:basedOn w:val="Normal"/>
    <w:rsid w:val="001042DA"/>
  </w:style>
  <w:style w:type="paragraph" w:customStyle="1" w:styleId="Standard-italics">
    <w:name w:val="Standard-italics"/>
    <w:basedOn w:val="Normal"/>
    <w:rsid w:val="001042DA"/>
    <w:pPr>
      <w:keepNext/>
      <w:spacing w:before="60" w:after="60"/>
    </w:pPr>
    <w:rPr>
      <w:i/>
    </w:rPr>
  </w:style>
  <w:style w:type="paragraph" w:customStyle="1" w:styleId="Kopfzeile-fett-zentr">
    <w:name w:val="Kopfzeile-fett-zentr"/>
    <w:basedOn w:val="Kopzeile-fett"/>
    <w:rsid w:val="001042DA"/>
    <w:pPr>
      <w:spacing w:after="120"/>
      <w:jc w:val="center"/>
    </w:pPr>
    <w:rPr>
      <w:b/>
      <w:sz w:val="20"/>
    </w:rPr>
  </w:style>
  <w:style w:type="paragraph" w:customStyle="1" w:styleId="Standard-kursiv-blau">
    <w:name w:val="Standard-kursiv-blau"/>
    <w:basedOn w:val="Normal"/>
    <w:rsid w:val="001042DA"/>
    <w:pPr>
      <w:keepNext/>
      <w:spacing w:before="60" w:after="60"/>
    </w:pPr>
    <w:rPr>
      <w:i/>
      <w:color w:val="000000"/>
    </w:rPr>
  </w:style>
  <w:style w:type="paragraph" w:customStyle="1" w:styleId="Kopfzeile-fett-Rahmen">
    <w:name w:val="Kopfzeile-fett-Rahmen"/>
    <w:basedOn w:val="Kopzeile-fett"/>
    <w:rsid w:val="001042DA"/>
    <w:pPr>
      <w:pBdr>
        <w:bottom w:val="single" w:sz="4" w:space="5" w:color="auto"/>
      </w:pBdr>
      <w:spacing w:after="120"/>
    </w:pPr>
    <w:rPr>
      <w:b/>
      <w:sz w:val="20"/>
    </w:rPr>
  </w:style>
  <w:style w:type="paragraph" w:customStyle="1" w:styleId="SFHeader2101">
    <w:name w:val="*SF:Header 2.10.1"/>
    <w:rsid w:val="001042DA"/>
    <w:pPr>
      <w:numPr>
        <w:ilvl w:val="2"/>
        <w:numId w:val="2"/>
      </w:numPr>
      <w:spacing w:before="60" w:after="60" w:line="240" w:lineRule="auto"/>
    </w:pPr>
    <w:rPr>
      <w:rFonts w:ascii="Times New Roman" w:eastAsia="Times New Roman" w:hAnsi="Times New Roman" w:cs="Times New Roman"/>
      <w:b/>
      <w:color w:val="000000"/>
      <w:sz w:val="20"/>
      <w:szCs w:val="20"/>
      <w:lang w:val="en-GB" w:eastAsia="de-DE"/>
    </w:rPr>
  </w:style>
  <w:style w:type="paragraph" w:customStyle="1" w:styleId="Tabellenformat1-zeiligfett">
    <w:name w:val="Tabellenformat 1-zeilig fett"/>
    <w:basedOn w:val="Tabellenformat1-zeilig"/>
    <w:rsid w:val="001042DA"/>
    <w:rPr>
      <w:b/>
    </w:rPr>
  </w:style>
  <w:style w:type="paragraph" w:customStyle="1" w:styleId="Fig-Arial10ptzentriert">
    <w:name w:val="Fig-Arial10pt zentriert"/>
    <w:rsid w:val="001042DA"/>
    <w:pPr>
      <w:spacing w:after="0" w:line="200" w:lineRule="exact"/>
      <w:jc w:val="center"/>
    </w:pPr>
    <w:rPr>
      <w:rFonts w:ascii="Arial" w:eastAsia="Times New Roman" w:hAnsi="Arial" w:cs="Times New Roman"/>
      <w:sz w:val="20"/>
      <w:szCs w:val="20"/>
      <w:lang w:val="de-DE" w:eastAsia="de-DE"/>
    </w:rPr>
  </w:style>
  <w:style w:type="paragraph" w:customStyle="1" w:styleId="Fig-Text8pt">
    <w:name w:val="Fig-Text8pt"/>
    <w:basedOn w:val="Fig-Arial10ptzentriert"/>
    <w:rsid w:val="001042DA"/>
    <w:pPr>
      <w:spacing w:line="240" w:lineRule="auto"/>
      <w:jc w:val="left"/>
    </w:pPr>
    <w:rPr>
      <w:sz w:val="16"/>
      <w:lang w:val="en-GB"/>
    </w:rPr>
  </w:style>
  <w:style w:type="paragraph" w:customStyle="1" w:styleId="Standard-fett1cmhngend">
    <w:name w:val="Standard-fett 1cm hängend"/>
    <w:basedOn w:val="Standard-fett"/>
    <w:rsid w:val="001042DA"/>
    <w:pPr>
      <w:tabs>
        <w:tab w:val="left" w:pos="567"/>
      </w:tabs>
      <w:ind w:left="567" w:hanging="567"/>
    </w:pPr>
  </w:style>
  <w:style w:type="character" w:styleId="Fulgthyperkobling">
    <w:name w:val="FollowedHyperlink"/>
    <w:rsid w:val="001042DA"/>
    <w:rPr>
      <w:color w:val="800080"/>
      <w:u w:val="single"/>
    </w:rPr>
  </w:style>
  <w:style w:type="paragraph" w:styleId="Bobletekst">
    <w:name w:val="Balloon Text"/>
    <w:basedOn w:val="Normal"/>
    <w:link w:val="BobletekstTegn"/>
    <w:rsid w:val="001042DA"/>
    <w:rPr>
      <w:rFonts w:ascii="Tahoma" w:hAnsi="Tahoma" w:cs="Tahoma"/>
      <w:sz w:val="16"/>
      <w:szCs w:val="16"/>
    </w:rPr>
  </w:style>
  <w:style w:type="character" w:customStyle="1" w:styleId="BobletekstTegn">
    <w:name w:val="Bobletekst Tegn"/>
    <w:basedOn w:val="Standardskriftforavsnitt"/>
    <w:link w:val="Bobletekst"/>
    <w:rsid w:val="001042DA"/>
    <w:rPr>
      <w:rFonts w:ascii="Tahoma" w:eastAsia="Times New Roman" w:hAnsi="Tahoma" w:cs="Tahoma"/>
      <w:sz w:val="16"/>
      <w:szCs w:val="16"/>
      <w:lang w:val="en-GB" w:eastAsia="de-DE"/>
    </w:rPr>
  </w:style>
  <w:style w:type="paragraph" w:customStyle="1" w:styleId="Tabletext">
    <w:name w:val="Table text"/>
    <w:link w:val="TabletextCar"/>
    <w:rsid w:val="001042DA"/>
    <w:pPr>
      <w:keepNext/>
      <w:keepLines/>
      <w:spacing w:before="54" w:after="54" w:line="240" w:lineRule="auto"/>
    </w:pPr>
    <w:rPr>
      <w:rFonts w:ascii="Times New Roman" w:eastAsia="Times New Roman" w:hAnsi="Times New Roman" w:cs="Times New Roman"/>
      <w:snapToGrid w:val="0"/>
      <w:sz w:val="20"/>
      <w:szCs w:val="20"/>
      <w:lang w:val="en-US" w:eastAsia="da-DK"/>
    </w:rPr>
  </w:style>
  <w:style w:type="character" w:customStyle="1" w:styleId="TabletextCar">
    <w:name w:val="Table text Car"/>
    <w:link w:val="Tabletext"/>
    <w:locked/>
    <w:rsid w:val="001042DA"/>
    <w:rPr>
      <w:rFonts w:ascii="Times New Roman" w:eastAsia="Times New Roman" w:hAnsi="Times New Roman" w:cs="Times New Roman"/>
      <w:snapToGrid w:val="0"/>
      <w:sz w:val="20"/>
      <w:szCs w:val="20"/>
      <w:lang w:val="en-US" w:eastAsia="da-DK"/>
    </w:rPr>
  </w:style>
  <w:style w:type="paragraph" w:customStyle="1" w:styleId="CSRTableTitle">
    <w:name w:val="CSR_TableTitle"/>
    <w:basedOn w:val="Normal"/>
    <w:link w:val="CSRTableTitleZchn"/>
    <w:qFormat/>
    <w:rsid w:val="001042DA"/>
    <w:pPr>
      <w:keepNext/>
      <w:spacing w:before="200"/>
    </w:pPr>
    <w:rPr>
      <w:b/>
      <w:bCs/>
      <w:color w:val="000000"/>
      <w:lang w:eastAsia="en-GB"/>
    </w:rPr>
  </w:style>
  <w:style w:type="character" w:customStyle="1" w:styleId="CSRTableTitleZchn">
    <w:name w:val="CSR_TableTitle Zchn"/>
    <w:link w:val="CSRTableTitle"/>
    <w:rsid w:val="001042DA"/>
    <w:rPr>
      <w:rFonts w:ascii="Verdana" w:eastAsia="Times New Roman" w:hAnsi="Verdana" w:cs="Times New Roman"/>
      <w:b/>
      <w:bCs/>
      <w:color w:val="000000"/>
      <w:sz w:val="20"/>
      <w:szCs w:val="20"/>
      <w:lang w:val="en-GB" w:eastAsia="en-GB"/>
    </w:rPr>
  </w:style>
  <w:style w:type="paragraph" w:customStyle="1" w:styleId="Default">
    <w:name w:val="Default"/>
    <w:rsid w:val="001042DA"/>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Listenabsatz1">
    <w:name w:val="Listenabsatz1"/>
    <w:basedOn w:val="Normal"/>
    <w:uiPriority w:val="99"/>
    <w:qFormat/>
    <w:rsid w:val="001042DA"/>
    <w:pPr>
      <w:ind w:left="720"/>
    </w:pPr>
  </w:style>
  <w:style w:type="paragraph" w:customStyle="1" w:styleId="CSRHeading1">
    <w:name w:val="CSR Heading 1"/>
    <w:basedOn w:val="Normal"/>
    <w:next w:val="Normal"/>
    <w:uiPriority w:val="1"/>
    <w:qFormat/>
    <w:rsid w:val="001042DA"/>
    <w:pPr>
      <w:widowControl w:val="0"/>
      <w:autoSpaceDE w:val="0"/>
      <w:autoSpaceDN w:val="0"/>
      <w:adjustRightInd w:val="0"/>
      <w:spacing w:before="200"/>
    </w:pPr>
    <w:rPr>
      <w:rFonts w:ascii="Times" w:hAnsi="Times" w:cs="Times"/>
      <w:b/>
      <w:bCs/>
      <w:sz w:val="50"/>
      <w:szCs w:val="29"/>
    </w:rPr>
  </w:style>
  <w:style w:type="paragraph" w:customStyle="1" w:styleId="CSRHeading2">
    <w:name w:val="CSR Heading 2"/>
    <w:basedOn w:val="CSRHeading1"/>
    <w:next w:val="Normal"/>
    <w:uiPriority w:val="1"/>
    <w:qFormat/>
    <w:rsid w:val="001042DA"/>
    <w:pPr>
      <w:keepNext/>
    </w:pPr>
    <w:rPr>
      <w:sz w:val="35"/>
    </w:rPr>
  </w:style>
  <w:style w:type="character" w:customStyle="1" w:styleId="BildetekstTegn">
    <w:name w:val="Bildetekst Tegn"/>
    <w:link w:val="Bildetekst"/>
    <w:uiPriority w:val="99"/>
    <w:rsid w:val="001042DA"/>
    <w:rPr>
      <w:rFonts w:ascii="Times New Roman" w:eastAsia="Times New Roman" w:hAnsi="Times New Roman" w:cs="Times New Roman"/>
      <w:sz w:val="20"/>
      <w:szCs w:val="20"/>
      <w:lang w:val="en-GB" w:eastAsia="de-DE"/>
    </w:rPr>
  </w:style>
  <w:style w:type="table" w:styleId="Tabellrutenett">
    <w:name w:val="Table Grid"/>
    <w:basedOn w:val="Vanligtabell"/>
    <w:uiPriority w:val="59"/>
    <w:rsid w:val="001042D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Merknadstekst"/>
    <w:next w:val="Merknadstekst"/>
    <w:link w:val="KommentaremneTegn"/>
    <w:rsid w:val="001042DA"/>
    <w:rPr>
      <w:b/>
      <w:bCs/>
    </w:rPr>
  </w:style>
  <w:style w:type="character" w:customStyle="1" w:styleId="KommentaremneTegn">
    <w:name w:val="Kommentaremne Tegn"/>
    <w:basedOn w:val="MerknadstekstTegn"/>
    <w:link w:val="Kommentaremne"/>
    <w:rsid w:val="001042DA"/>
    <w:rPr>
      <w:rFonts w:ascii="Verdana" w:eastAsia="Times New Roman" w:hAnsi="Verdana" w:cs="Times New Roman"/>
      <w:b/>
      <w:bCs/>
      <w:sz w:val="20"/>
      <w:szCs w:val="20"/>
      <w:lang w:val="en-GB" w:eastAsia="de-DE"/>
    </w:rPr>
  </w:style>
  <w:style w:type="paragraph" w:customStyle="1" w:styleId="CM43">
    <w:name w:val="CM4+3"/>
    <w:basedOn w:val="Default"/>
    <w:next w:val="Default"/>
    <w:uiPriority w:val="99"/>
    <w:rsid w:val="001042DA"/>
    <w:rPr>
      <w:color w:val="auto"/>
    </w:rPr>
  </w:style>
  <w:style w:type="paragraph" w:customStyle="1" w:styleId="ManualNumPar1">
    <w:name w:val="Manual NumPar 1"/>
    <w:basedOn w:val="Normal"/>
    <w:next w:val="Normal"/>
    <w:rsid w:val="001042DA"/>
    <w:pPr>
      <w:spacing w:before="120" w:after="120" w:line="360" w:lineRule="auto"/>
      <w:ind w:left="850" w:hanging="850"/>
    </w:pPr>
    <w:rPr>
      <w:rFonts w:ascii="Times New Roman" w:hAnsi="Times New Roman"/>
      <w:sz w:val="24"/>
      <w:szCs w:val="24"/>
      <w:lang w:eastAsia="en-US"/>
    </w:rPr>
  </w:style>
  <w:style w:type="paragraph" w:customStyle="1" w:styleId="CSRtabletext">
    <w:name w:val="CSR table text"/>
    <w:basedOn w:val="Normal"/>
    <w:next w:val="Normal"/>
    <w:rsid w:val="001042DA"/>
    <w:pPr>
      <w:widowControl w:val="0"/>
      <w:autoSpaceDE w:val="0"/>
      <w:autoSpaceDN w:val="0"/>
      <w:adjustRightInd w:val="0"/>
      <w:spacing w:after="60"/>
    </w:pPr>
    <w:rPr>
      <w:rFonts w:ascii="Times" w:hAnsi="Times"/>
      <w:color w:val="000000"/>
      <w:szCs w:val="24"/>
      <w:lang w:eastAsia="en-GB"/>
    </w:rPr>
  </w:style>
  <w:style w:type="paragraph" w:customStyle="1" w:styleId="CSRTableTitle0">
    <w:name w:val="CSR TableTitle"/>
    <w:basedOn w:val="Normal"/>
    <w:next w:val="Normal"/>
    <w:link w:val="CSRTableTitleCharChar"/>
    <w:qFormat/>
    <w:rsid w:val="001042DA"/>
    <w:pPr>
      <w:widowControl w:val="0"/>
      <w:autoSpaceDE w:val="0"/>
      <w:autoSpaceDN w:val="0"/>
      <w:adjustRightInd w:val="0"/>
      <w:spacing w:before="200" w:after="120"/>
    </w:pPr>
    <w:rPr>
      <w:rFonts w:ascii="Times" w:hAnsi="Times"/>
      <w:b/>
      <w:color w:val="000000"/>
      <w:szCs w:val="24"/>
      <w:lang w:eastAsia="en-GB"/>
    </w:rPr>
  </w:style>
  <w:style w:type="character" w:customStyle="1" w:styleId="CSRTableTitleCharChar">
    <w:name w:val="CSR TableTitle Char Char"/>
    <w:link w:val="CSRTableTitle0"/>
    <w:rsid w:val="001042DA"/>
    <w:rPr>
      <w:rFonts w:ascii="Times" w:eastAsia="Times New Roman" w:hAnsi="Times" w:cs="Times New Roman"/>
      <w:b/>
      <w:color w:val="000000"/>
      <w:sz w:val="20"/>
      <w:szCs w:val="24"/>
      <w:lang w:val="en-GB" w:eastAsia="en-GB"/>
    </w:rPr>
  </w:style>
  <w:style w:type="paragraph" w:customStyle="1" w:styleId="Inhaltsverzeichnisberschrift1">
    <w:name w:val="Inhaltsverzeichnisüberschrift1"/>
    <w:basedOn w:val="Overskrift1"/>
    <w:next w:val="Normal"/>
    <w:uiPriority w:val="39"/>
    <w:qFormat/>
    <w:rsid w:val="001042DA"/>
    <w:pPr>
      <w:keepLines/>
      <w:numPr>
        <w:numId w:val="0"/>
      </w:numPr>
      <w:spacing w:before="480" w:after="0" w:line="276" w:lineRule="auto"/>
      <w:outlineLvl w:val="9"/>
    </w:pPr>
    <w:rPr>
      <w:rFonts w:ascii="Cambria" w:eastAsia="MS Gothic" w:hAnsi="Cambria"/>
      <w:bCs/>
      <w:caps w:val="0"/>
      <w:color w:val="365F91"/>
      <w:szCs w:val="28"/>
      <w:lang w:val="en-US" w:eastAsia="ja-JP"/>
    </w:rPr>
  </w:style>
  <w:style w:type="paragraph" w:customStyle="1" w:styleId="berarbeitung1">
    <w:name w:val="Überarbeitung1"/>
    <w:hidden/>
    <w:semiHidden/>
    <w:rsid w:val="001042DA"/>
    <w:pPr>
      <w:spacing w:after="0" w:line="240" w:lineRule="auto"/>
    </w:pPr>
    <w:rPr>
      <w:rFonts w:ascii="Verdana" w:eastAsia="Times New Roman" w:hAnsi="Verdana" w:cs="Times New Roman"/>
      <w:sz w:val="20"/>
      <w:szCs w:val="20"/>
      <w:lang w:val="de-DE" w:eastAsia="de-DE"/>
    </w:rPr>
  </w:style>
  <w:style w:type="paragraph" w:customStyle="1" w:styleId="CM1">
    <w:name w:val="CM1"/>
    <w:basedOn w:val="Default"/>
    <w:next w:val="Default"/>
    <w:uiPriority w:val="99"/>
    <w:rsid w:val="001042DA"/>
    <w:rPr>
      <w:rFonts w:ascii="EUAlbertina" w:hAnsi="EUAlbertina"/>
      <w:color w:val="auto"/>
    </w:rPr>
  </w:style>
  <w:style w:type="paragraph" w:customStyle="1" w:styleId="CM3">
    <w:name w:val="CM3"/>
    <w:basedOn w:val="Default"/>
    <w:next w:val="Default"/>
    <w:uiPriority w:val="99"/>
    <w:rsid w:val="001042DA"/>
    <w:rPr>
      <w:rFonts w:ascii="EUAlbertina" w:hAnsi="EUAlbertina"/>
      <w:color w:val="auto"/>
    </w:rPr>
  </w:style>
  <w:style w:type="paragraph" w:customStyle="1" w:styleId="CM4">
    <w:name w:val="CM4"/>
    <w:basedOn w:val="Normal"/>
    <w:next w:val="Normal"/>
    <w:uiPriority w:val="99"/>
    <w:rsid w:val="001042DA"/>
    <w:pPr>
      <w:autoSpaceDE w:val="0"/>
      <w:autoSpaceDN w:val="0"/>
      <w:adjustRightInd w:val="0"/>
    </w:pPr>
    <w:rPr>
      <w:rFonts w:ascii="EUAlbertina" w:hAnsi="EUAlbertina"/>
      <w:sz w:val="24"/>
      <w:szCs w:val="24"/>
      <w:lang w:eastAsia="en-GB"/>
    </w:rPr>
  </w:style>
  <w:style w:type="numbering" w:customStyle="1" w:styleId="NoList1">
    <w:name w:val="No List1"/>
    <w:next w:val="Ingenliste"/>
    <w:uiPriority w:val="99"/>
    <w:semiHidden/>
    <w:unhideWhenUsed/>
    <w:rsid w:val="001042DA"/>
  </w:style>
  <w:style w:type="numbering" w:customStyle="1" w:styleId="NoList11">
    <w:name w:val="No List11"/>
    <w:next w:val="Ingenliste"/>
    <w:uiPriority w:val="99"/>
    <w:semiHidden/>
    <w:unhideWhenUsed/>
    <w:rsid w:val="001042DA"/>
  </w:style>
  <w:style w:type="paragraph" w:customStyle="1" w:styleId="Titel1">
    <w:name w:val="Titel 1"/>
    <w:basedOn w:val="Overskrift1"/>
    <w:next w:val="Normal"/>
    <w:rsid w:val="001042DA"/>
    <w:pPr>
      <w:widowControl w:val="0"/>
      <w:numPr>
        <w:numId w:val="0"/>
      </w:numPr>
      <w:tabs>
        <w:tab w:val="left" w:pos="1304"/>
      </w:tabs>
      <w:suppressAutoHyphens/>
      <w:autoSpaceDE w:val="0"/>
      <w:autoSpaceDN w:val="0"/>
      <w:adjustRightInd w:val="0"/>
      <w:spacing w:before="480" w:after="120" w:line="400" w:lineRule="atLeast"/>
      <w:jc w:val="both"/>
      <w:outlineLvl w:val="9"/>
    </w:pPr>
    <w:rPr>
      <w:rFonts w:eastAsia="Calibri"/>
      <w:bCs/>
      <w:lang w:eastAsia="en-US"/>
    </w:rPr>
  </w:style>
  <w:style w:type="paragraph" w:customStyle="1" w:styleId="Tablehead">
    <w:name w:val="Tablehead"/>
    <w:basedOn w:val="Normal"/>
    <w:link w:val="TableheadZchn"/>
    <w:rsid w:val="001042DA"/>
    <w:rPr>
      <w:rFonts w:eastAsia="Calibri"/>
      <w:b/>
      <w:lang w:val="en-US"/>
    </w:rPr>
  </w:style>
  <w:style w:type="paragraph" w:customStyle="1" w:styleId="Tablebody">
    <w:name w:val="Tablebody"/>
    <w:basedOn w:val="Normal"/>
    <w:link w:val="TablebodyZchn"/>
    <w:rsid w:val="001042DA"/>
    <w:rPr>
      <w:rFonts w:eastAsia="Calibri"/>
      <w:lang w:val="en-US"/>
    </w:rPr>
  </w:style>
  <w:style w:type="paragraph" w:customStyle="1" w:styleId="Tabpclist">
    <w:name w:val="Tab_pc_list"/>
    <w:basedOn w:val="Tablehead"/>
    <w:rsid w:val="001042DA"/>
  </w:style>
  <w:style w:type="character" w:customStyle="1" w:styleId="TableheadZchn">
    <w:name w:val="Tablehead Zchn"/>
    <w:link w:val="Tablehead"/>
    <w:locked/>
    <w:rsid w:val="001042DA"/>
    <w:rPr>
      <w:rFonts w:ascii="Verdana" w:eastAsia="Calibri" w:hAnsi="Verdana" w:cs="Times New Roman"/>
      <w:b/>
      <w:sz w:val="20"/>
      <w:szCs w:val="20"/>
      <w:lang w:val="en-US" w:eastAsia="de-DE"/>
    </w:rPr>
  </w:style>
  <w:style w:type="paragraph" w:customStyle="1" w:styleId="BfRBBStandard">
    <w:name w:val="BfR BB Standard"/>
    <w:link w:val="BfRBBStandardZchn"/>
    <w:rsid w:val="001042DA"/>
    <w:pPr>
      <w:autoSpaceDE w:val="0"/>
      <w:autoSpaceDN w:val="0"/>
      <w:spacing w:after="0" w:line="240" w:lineRule="auto"/>
      <w:jc w:val="both"/>
    </w:pPr>
    <w:rPr>
      <w:rFonts w:ascii="Arial" w:eastAsia="Calibri" w:hAnsi="Arial" w:cs="Arial"/>
      <w:noProof/>
      <w:lang w:val="en-US" w:eastAsia="de-DE"/>
    </w:rPr>
  </w:style>
  <w:style w:type="paragraph" w:customStyle="1" w:styleId="BfRBBberschrift2">
    <w:name w:val="BfR BB Überschrift 2"/>
    <w:next w:val="BfRBBStandard"/>
    <w:rsid w:val="001042DA"/>
    <w:pPr>
      <w:tabs>
        <w:tab w:val="num" w:pos="576"/>
        <w:tab w:val="num" w:pos="643"/>
      </w:tabs>
      <w:autoSpaceDE w:val="0"/>
      <w:autoSpaceDN w:val="0"/>
      <w:spacing w:after="0" w:line="240" w:lineRule="auto"/>
      <w:ind w:left="576" w:hanging="576"/>
      <w:jc w:val="both"/>
      <w:outlineLvl w:val="1"/>
    </w:pPr>
    <w:rPr>
      <w:rFonts w:ascii="Arial" w:eastAsia="Calibri" w:hAnsi="Arial" w:cs="Arial"/>
      <w:noProof/>
      <w:u w:val="single"/>
      <w:lang w:val="en-US" w:eastAsia="de-DE"/>
    </w:rPr>
  </w:style>
  <w:style w:type="character" w:customStyle="1" w:styleId="BfRBBStandardZchn">
    <w:name w:val="BfR BB Standard Zchn"/>
    <w:link w:val="BfRBBStandard"/>
    <w:locked/>
    <w:rsid w:val="001042DA"/>
    <w:rPr>
      <w:rFonts w:ascii="Arial" w:eastAsia="Calibri" w:hAnsi="Arial" w:cs="Arial"/>
      <w:noProof/>
      <w:lang w:val="en-US" w:eastAsia="de-DE"/>
    </w:rPr>
  </w:style>
  <w:style w:type="paragraph" w:customStyle="1" w:styleId="BfRBBberschrift3">
    <w:name w:val="BfR BB Überschrift 3"/>
    <w:basedOn w:val="Normal"/>
    <w:next w:val="BfRBBStandard"/>
    <w:rsid w:val="001042DA"/>
    <w:pPr>
      <w:tabs>
        <w:tab w:val="num" w:pos="643"/>
        <w:tab w:val="num" w:pos="720"/>
      </w:tabs>
      <w:autoSpaceDE w:val="0"/>
      <w:autoSpaceDN w:val="0"/>
      <w:ind w:left="720" w:hanging="720"/>
      <w:jc w:val="both"/>
      <w:outlineLvl w:val="2"/>
    </w:pPr>
    <w:rPr>
      <w:rFonts w:ascii="Arial" w:eastAsia="Calibri" w:hAnsi="Arial" w:cs="Arial"/>
      <w:i/>
      <w:iCs/>
      <w:szCs w:val="22"/>
      <w:lang w:val="de-DE"/>
    </w:rPr>
  </w:style>
  <w:style w:type="paragraph" w:customStyle="1" w:styleId="BfRBBTabelle">
    <w:name w:val="BfR BB Tabelle"/>
    <w:rsid w:val="001042DA"/>
    <w:pPr>
      <w:autoSpaceDE w:val="0"/>
      <w:autoSpaceDN w:val="0"/>
      <w:spacing w:before="60" w:after="60" w:line="240" w:lineRule="auto"/>
      <w:ind w:left="57" w:right="57"/>
    </w:pPr>
    <w:rPr>
      <w:rFonts w:ascii="Arial" w:eastAsia="Calibri" w:hAnsi="Arial" w:cs="Arial"/>
      <w:noProof/>
      <w:sz w:val="20"/>
      <w:szCs w:val="20"/>
      <w:lang w:val="en-US" w:eastAsia="de-DE"/>
    </w:rPr>
  </w:style>
  <w:style w:type="table" w:customStyle="1" w:styleId="TableGrid1">
    <w:name w:val="Table Grid1"/>
    <w:basedOn w:val="Vanligtabell"/>
    <w:next w:val="Tabellrutenett"/>
    <w:uiPriority w:val="59"/>
    <w:rsid w:val="001042DA"/>
    <w:pPr>
      <w:autoSpaceDE w:val="0"/>
      <w:autoSpaceDN w:val="0"/>
      <w:spacing w:after="0" w:line="240" w:lineRule="auto"/>
      <w:jc w:val="both"/>
    </w:pPr>
    <w:rPr>
      <w:rFonts w:ascii="Times New Roman" w:eastAsia="Calibri" w:hAnsi="Times New Roman" w:cs="Times New Roman"/>
      <w:sz w:val="20"/>
      <w:szCs w:val="20"/>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1042DA"/>
    <w:pPr>
      <w:autoSpaceDE w:val="0"/>
      <w:autoSpaceDN w:val="0"/>
      <w:spacing w:after="0" w:line="240" w:lineRule="auto"/>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1042DA"/>
    <w:pPr>
      <w:autoSpaceDE w:val="0"/>
      <w:autoSpaceDN w:val="0"/>
      <w:spacing w:before="40" w:after="40" w:line="240" w:lineRule="auto"/>
      <w:ind w:left="57" w:right="57"/>
    </w:pPr>
    <w:rPr>
      <w:rFonts w:ascii="Arial" w:eastAsia="Calibri" w:hAnsi="Arial" w:cs="Arial"/>
      <w:noProof/>
      <w:sz w:val="16"/>
      <w:szCs w:val="16"/>
      <w:lang w:val="en-US" w:eastAsia="de-DE"/>
    </w:rPr>
  </w:style>
  <w:style w:type="paragraph" w:customStyle="1" w:styleId="BfRBBberschrift1">
    <w:name w:val="BfR BB Überschrift 1"/>
    <w:next w:val="BfRBBStandard"/>
    <w:rsid w:val="001042DA"/>
    <w:pPr>
      <w:tabs>
        <w:tab w:val="num" w:pos="432"/>
      </w:tabs>
      <w:autoSpaceDE w:val="0"/>
      <w:autoSpaceDN w:val="0"/>
      <w:spacing w:after="0" w:line="240" w:lineRule="auto"/>
      <w:ind w:left="432" w:hanging="432"/>
      <w:jc w:val="both"/>
      <w:outlineLvl w:val="0"/>
    </w:pPr>
    <w:rPr>
      <w:rFonts w:ascii="Arial" w:eastAsia="Calibri" w:hAnsi="Arial" w:cs="Arial"/>
      <w:b/>
      <w:bCs/>
      <w:noProof/>
      <w:lang w:val="en-US" w:eastAsia="de-DE"/>
    </w:rPr>
  </w:style>
  <w:style w:type="paragraph" w:customStyle="1" w:styleId="BfRBBBeschriftung">
    <w:name w:val="BfR BB Beschriftung"/>
    <w:next w:val="BfRBBStandard"/>
    <w:rsid w:val="001042DA"/>
    <w:pPr>
      <w:autoSpaceDE w:val="0"/>
      <w:autoSpaceDN w:val="0"/>
      <w:spacing w:after="0" w:line="240" w:lineRule="auto"/>
      <w:jc w:val="both"/>
    </w:pPr>
    <w:rPr>
      <w:rFonts w:ascii="Arial" w:eastAsia="Calibri" w:hAnsi="Arial" w:cs="Arial"/>
      <w:b/>
      <w:bCs/>
      <w:noProof/>
      <w:sz w:val="20"/>
      <w:szCs w:val="20"/>
      <w:lang w:val="en-US" w:eastAsia="de-DE"/>
    </w:rPr>
  </w:style>
  <w:style w:type="paragraph" w:customStyle="1" w:styleId="Point1">
    <w:name w:val="Point 1"/>
    <w:basedOn w:val="Normal"/>
    <w:rsid w:val="001042DA"/>
    <w:pPr>
      <w:spacing w:before="120" w:after="120"/>
      <w:ind w:left="1417" w:hanging="567"/>
      <w:jc w:val="both"/>
    </w:pPr>
    <w:rPr>
      <w:sz w:val="24"/>
    </w:rPr>
  </w:style>
  <w:style w:type="paragraph" w:styleId="NormalWeb">
    <w:name w:val="Normal (Web)"/>
    <w:basedOn w:val="Normal"/>
    <w:uiPriority w:val="99"/>
    <w:rsid w:val="001042DA"/>
    <w:pPr>
      <w:spacing w:before="100" w:beforeAutospacing="1" w:after="119"/>
    </w:pPr>
    <w:rPr>
      <w:rFonts w:ascii="Arial Unicode MS" w:eastAsia="Arial Unicode MS" w:hAnsi="Arial Unicode MS" w:cs="Arial Unicode MS"/>
      <w:sz w:val="24"/>
      <w:lang w:eastAsia="en-US"/>
    </w:rPr>
  </w:style>
  <w:style w:type="character" w:styleId="Utheving">
    <w:name w:val="Emphasis"/>
    <w:uiPriority w:val="99"/>
    <w:qFormat/>
    <w:rsid w:val="001042DA"/>
    <w:rPr>
      <w:rFonts w:ascii="Times New Roman" w:hAnsi="Times New Roman"/>
      <w:i/>
      <w:iCs/>
      <w:sz w:val="20"/>
    </w:rPr>
  </w:style>
  <w:style w:type="character" w:customStyle="1" w:styleId="SchwacheHervorhebung1">
    <w:name w:val="Schwache Hervorhebung1"/>
    <w:uiPriority w:val="19"/>
    <w:qFormat/>
    <w:rsid w:val="001042DA"/>
    <w:rPr>
      <w:rFonts w:ascii="Verdana" w:hAnsi="Verdana"/>
      <w:i/>
      <w:iCs/>
      <w:color w:val="808080"/>
      <w:sz w:val="18"/>
    </w:rPr>
  </w:style>
  <w:style w:type="paragraph" w:customStyle="1" w:styleId="CharChar4CharChar">
    <w:name w:val="Char Char4 Char Char"/>
    <w:basedOn w:val="Normal"/>
    <w:rsid w:val="001042DA"/>
    <w:rPr>
      <w:rFonts w:ascii="Times New Roman" w:hAnsi="Times New Roman"/>
      <w:sz w:val="24"/>
      <w:szCs w:val="24"/>
      <w:lang w:val="pl-PL" w:eastAsia="pl-PL"/>
    </w:rPr>
  </w:style>
  <w:style w:type="character" w:customStyle="1" w:styleId="CommentTextChar1">
    <w:name w:val="Comment Text Char1"/>
    <w:rsid w:val="001042DA"/>
    <w:rPr>
      <w:rFonts w:ascii="Arial" w:hAnsi="Arial"/>
      <w:lang w:val="nl" w:eastAsia="nl-NL" w:bidi="ar-SA"/>
    </w:rPr>
  </w:style>
  <w:style w:type="paragraph" w:customStyle="1" w:styleId="Special">
    <w:name w:val="Special"/>
    <w:basedOn w:val="Normal"/>
    <w:next w:val="Normal"/>
    <w:uiPriority w:val="1"/>
    <w:qFormat/>
    <w:rsid w:val="001042DA"/>
    <w:pPr>
      <w:widowControl w:val="0"/>
      <w:autoSpaceDE w:val="0"/>
      <w:autoSpaceDN w:val="0"/>
      <w:adjustRightInd w:val="0"/>
    </w:pPr>
    <w:rPr>
      <w:rFonts w:cs="Times"/>
      <w:bCs/>
      <w:sz w:val="16"/>
      <w:szCs w:val="29"/>
      <w:lang w:val="de-DE"/>
    </w:rPr>
  </w:style>
  <w:style w:type="character" w:customStyle="1" w:styleId="TablebodyZchn">
    <w:name w:val="Tablebody Zchn"/>
    <w:link w:val="Tablebody"/>
    <w:rsid w:val="001042DA"/>
    <w:rPr>
      <w:rFonts w:ascii="Verdana" w:eastAsia="Calibri" w:hAnsi="Verdana" w:cs="Times New Roman"/>
      <w:sz w:val="20"/>
      <w:szCs w:val="20"/>
      <w:lang w:val="en-US" w:eastAsia="de-DE"/>
    </w:rPr>
  </w:style>
  <w:style w:type="paragraph" w:styleId="Revisjon">
    <w:name w:val="Revision"/>
    <w:hidden/>
    <w:semiHidden/>
    <w:rsid w:val="001042DA"/>
    <w:pPr>
      <w:spacing w:after="0" w:line="240" w:lineRule="auto"/>
    </w:pPr>
    <w:rPr>
      <w:rFonts w:ascii="Verdana" w:eastAsia="Times New Roman" w:hAnsi="Verdana" w:cs="Times New Roman"/>
      <w:sz w:val="20"/>
      <w:szCs w:val="20"/>
      <w:lang w:val="de-DE" w:eastAsia="de-DE"/>
    </w:rPr>
  </w:style>
  <w:style w:type="character" w:styleId="Svakutheving">
    <w:name w:val="Subtle Emphasis"/>
    <w:uiPriority w:val="19"/>
    <w:qFormat/>
    <w:rsid w:val="001042DA"/>
    <w:rPr>
      <w:rFonts w:ascii="Verdana" w:hAnsi="Verdana"/>
      <w:i/>
      <w:iCs/>
      <w:color w:val="808080"/>
      <w:sz w:val="18"/>
    </w:rPr>
  </w:style>
  <w:style w:type="paragraph" w:customStyle="1" w:styleId="Liste-Zeichen2">
    <w:name w:val="Liste-Zeichen 2"/>
    <w:basedOn w:val="Normal"/>
    <w:rsid w:val="001042DA"/>
    <w:pPr>
      <w:numPr>
        <w:numId w:val="4"/>
      </w:numPr>
      <w:tabs>
        <w:tab w:val="left" w:pos="567"/>
        <w:tab w:val="left" w:pos="1134"/>
      </w:tabs>
      <w:autoSpaceDE w:val="0"/>
      <w:autoSpaceDN w:val="0"/>
      <w:adjustRightInd w:val="0"/>
      <w:spacing w:before="120"/>
      <w:ind w:left="1134" w:hanging="567"/>
      <w:jc w:val="both"/>
    </w:pPr>
    <w:rPr>
      <w:rFonts w:ascii="Arial" w:hAnsi="Arial"/>
      <w:sz w:val="24"/>
      <w:szCs w:val="24"/>
      <w:lang w:val="de-DE"/>
    </w:rPr>
  </w:style>
  <w:style w:type="paragraph" w:customStyle="1" w:styleId="Tabelle">
    <w:name w:val="Tabelle"/>
    <w:basedOn w:val="Normal"/>
    <w:rsid w:val="001042DA"/>
    <w:pPr>
      <w:tabs>
        <w:tab w:val="left" w:pos="1418"/>
      </w:tabs>
      <w:autoSpaceDE w:val="0"/>
      <w:autoSpaceDN w:val="0"/>
      <w:adjustRightInd w:val="0"/>
    </w:pPr>
    <w:rPr>
      <w:rFonts w:ascii="Arial" w:hAnsi="Arial"/>
      <w:sz w:val="22"/>
      <w:szCs w:val="24"/>
      <w:lang w:val="de-DE"/>
    </w:rPr>
  </w:style>
  <w:style w:type="paragraph" w:customStyle="1" w:styleId="Tabelle-Spaltentitel">
    <w:name w:val="Tabelle-Spaltentitel"/>
    <w:basedOn w:val="Tabelle"/>
    <w:next w:val="Tabelle"/>
    <w:rsid w:val="001042DA"/>
    <w:pPr>
      <w:spacing w:before="60" w:after="60"/>
    </w:pPr>
    <w:rPr>
      <w:b/>
      <w:bCs/>
    </w:rPr>
  </w:style>
  <w:style w:type="paragraph" w:customStyle="1" w:styleId="Tabelle-berschrift">
    <w:name w:val="Tabelle-Überschrift"/>
    <w:basedOn w:val="Tabelle"/>
    <w:next w:val="Tabelle"/>
    <w:rsid w:val="001042DA"/>
    <w:pPr>
      <w:tabs>
        <w:tab w:val="clear" w:pos="1418"/>
      </w:tabs>
      <w:spacing w:before="600" w:after="180"/>
      <w:ind w:left="1701" w:hanging="1701"/>
      <w:jc w:val="both"/>
    </w:pPr>
    <w:rPr>
      <w:sz w:val="24"/>
    </w:rPr>
  </w:style>
  <w:style w:type="paragraph" w:customStyle="1" w:styleId="Liste-Zeichen">
    <w:name w:val="Liste-Zeichen"/>
    <w:basedOn w:val="Normal"/>
    <w:rsid w:val="001042DA"/>
    <w:pPr>
      <w:numPr>
        <w:numId w:val="5"/>
      </w:numPr>
      <w:tabs>
        <w:tab w:val="left" w:pos="567"/>
      </w:tabs>
      <w:autoSpaceDE w:val="0"/>
      <w:autoSpaceDN w:val="0"/>
      <w:adjustRightInd w:val="0"/>
      <w:spacing w:before="120"/>
      <w:ind w:left="567" w:hanging="567"/>
      <w:jc w:val="both"/>
    </w:pPr>
    <w:rPr>
      <w:rFonts w:ascii="Arial" w:hAnsi="Arial"/>
      <w:sz w:val="24"/>
      <w:szCs w:val="24"/>
      <w:lang w:val="de-DE"/>
    </w:rPr>
  </w:style>
  <w:style w:type="paragraph" w:customStyle="1" w:styleId="Literatur">
    <w:name w:val="Literatur"/>
    <w:basedOn w:val="Normal"/>
    <w:rsid w:val="001042DA"/>
    <w:pPr>
      <w:autoSpaceDE w:val="0"/>
      <w:autoSpaceDN w:val="0"/>
      <w:adjustRightInd w:val="0"/>
      <w:spacing w:before="60"/>
      <w:ind w:left="284" w:hanging="284"/>
    </w:pPr>
    <w:rPr>
      <w:rFonts w:ascii="Arial" w:hAnsi="Arial"/>
      <w:szCs w:val="24"/>
      <w:lang w:val="de-DE"/>
    </w:rPr>
  </w:style>
  <w:style w:type="character" w:customStyle="1" w:styleId="A7">
    <w:name w:val="A7"/>
    <w:uiPriority w:val="99"/>
    <w:rsid w:val="001042DA"/>
    <w:rPr>
      <w:rFonts w:cs="Helvetica 45 Light"/>
      <w:color w:val="000000"/>
      <w:sz w:val="11"/>
      <w:szCs w:val="11"/>
    </w:rPr>
  </w:style>
  <w:style w:type="paragraph" w:styleId="Ingenmellomrom">
    <w:name w:val="No Spacing"/>
    <w:link w:val="IngenmellomromTegn"/>
    <w:uiPriority w:val="1"/>
    <w:qFormat/>
    <w:rsid w:val="001042DA"/>
    <w:pPr>
      <w:spacing w:after="0" w:line="240" w:lineRule="auto"/>
      <w:jc w:val="both"/>
    </w:pPr>
    <w:rPr>
      <w:rFonts w:ascii="Arial" w:hAnsi="Arial" w:cs="Arial"/>
      <w:lang w:val="en-US"/>
    </w:rPr>
  </w:style>
  <w:style w:type="character" w:customStyle="1" w:styleId="IngenmellomromTegn">
    <w:name w:val="Ingen mellomrom Tegn"/>
    <w:basedOn w:val="Standardskriftforavsnitt"/>
    <w:link w:val="Ingenmellomrom"/>
    <w:uiPriority w:val="1"/>
    <w:rsid w:val="001042DA"/>
    <w:rPr>
      <w:rFonts w:ascii="Arial" w:hAnsi="Arial" w:cs="Arial"/>
      <w:lang w:val="en-US"/>
    </w:rPr>
  </w:style>
  <w:style w:type="character" w:styleId="Ulstomtale">
    <w:name w:val="Unresolved Mention"/>
    <w:basedOn w:val="Standardskriftforavsnitt"/>
    <w:uiPriority w:val="99"/>
    <w:semiHidden/>
    <w:unhideWhenUsed/>
    <w:rsid w:val="001042DA"/>
    <w:rPr>
      <w:color w:val="605E5C"/>
      <w:shd w:val="clear" w:color="auto" w:fill="E1DFDD"/>
    </w:rPr>
  </w:style>
  <w:style w:type="paragraph" w:customStyle="1" w:styleId="PartII">
    <w:name w:val="PartII"/>
    <w:basedOn w:val="Normal"/>
    <w:link w:val="PartIIChar"/>
    <w:rsid w:val="001042DA"/>
    <w:pPr>
      <w:tabs>
        <w:tab w:val="decimal" w:pos="355"/>
        <w:tab w:val="left" w:pos="922"/>
      </w:tabs>
      <w:spacing w:after="120"/>
    </w:pPr>
    <w:rPr>
      <w:rFonts w:ascii="Times New Roman" w:hAnsi="Times New Roman"/>
      <w:sz w:val="24"/>
      <w:lang w:eastAsia="en-US"/>
    </w:rPr>
  </w:style>
  <w:style w:type="character" w:customStyle="1" w:styleId="PartIIChar">
    <w:name w:val="PartII Char"/>
    <w:basedOn w:val="Standardskriftforavsnitt"/>
    <w:link w:val="PartII"/>
    <w:rsid w:val="001042DA"/>
    <w:rPr>
      <w:rFonts w:ascii="Times New Roman" w:eastAsia="Times New Roman" w:hAnsi="Times New Roman" w:cs="Times New Roman"/>
      <w:sz w:val="24"/>
      <w:szCs w:val="20"/>
      <w:lang w:val="en-GB"/>
    </w:rPr>
  </w:style>
  <w:style w:type="paragraph" w:customStyle="1" w:styleId="ListNumber1Level4">
    <w:name w:val="List Number 1 (Level 4)"/>
    <w:basedOn w:val="Normal"/>
    <w:rsid w:val="001042DA"/>
    <w:pPr>
      <w:numPr>
        <w:ilvl w:val="3"/>
        <w:numId w:val="11"/>
      </w:numPr>
      <w:spacing w:after="240"/>
      <w:jc w:val="both"/>
    </w:pPr>
    <w:rPr>
      <w:rFonts w:ascii="Times New Roman" w:hAnsi="Times New Roman"/>
      <w:sz w:val="24"/>
      <w:lang w:eastAsia="en-GB"/>
    </w:rPr>
  </w:style>
  <w:style w:type="paragraph" w:customStyle="1" w:styleId="ListNumber1Level3">
    <w:name w:val="List Number 1 (Level 3)"/>
    <w:basedOn w:val="Normal"/>
    <w:rsid w:val="001042DA"/>
    <w:pPr>
      <w:numPr>
        <w:ilvl w:val="2"/>
        <w:numId w:val="11"/>
      </w:numPr>
      <w:spacing w:after="240"/>
      <w:jc w:val="both"/>
    </w:pPr>
    <w:rPr>
      <w:rFonts w:ascii="Times New Roman" w:hAnsi="Times New Roman"/>
      <w:sz w:val="24"/>
      <w:lang w:eastAsia="en-GB"/>
    </w:rPr>
  </w:style>
  <w:style w:type="paragraph" w:customStyle="1" w:styleId="ListNumber1Level2">
    <w:name w:val="List Number 1 (Level 2)"/>
    <w:basedOn w:val="Normal"/>
    <w:rsid w:val="001042DA"/>
    <w:pPr>
      <w:numPr>
        <w:ilvl w:val="1"/>
        <w:numId w:val="11"/>
      </w:numPr>
      <w:spacing w:after="240"/>
      <w:jc w:val="both"/>
    </w:pPr>
    <w:rPr>
      <w:rFonts w:ascii="Times New Roman" w:hAnsi="Times New Roman"/>
      <w:sz w:val="24"/>
      <w:lang w:eastAsia="en-GB"/>
    </w:rPr>
  </w:style>
  <w:style w:type="paragraph" w:customStyle="1" w:styleId="ListNumber1">
    <w:name w:val="List Number 1"/>
    <w:basedOn w:val="Normal"/>
    <w:rsid w:val="001042DA"/>
    <w:pPr>
      <w:numPr>
        <w:numId w:val="11"/>
      </w:numPr>
      <w:spacing w:after="240"/>
      <w:jc w:val="both"/>
    </w:pPr>
    <w:rPr>
      <w:rFonts w:ascii="Times New Roman" w:hAnsi="Times New Roman"/>
      <w:sz w:val="24"/>
      <w:lang w:eastAsia="en-GB"/>
    </w:rPr>
  </w:style>
  <w:style w:type="paragraph" w:customStyle="1" w:styleId="ListNumberLevel2">
    <w:name w:val="List Number (Level 2)"/>
    <w:basedOn w:val="Normal"/>
    <w:rsid w:val="001042DA"/>
    <w:pPr>
      <w:tabs>
        <w:tab w:val="num" w:pos="1417"/>
      </w:tabs>
      <w:spacing w:after="240"/>
      <w:ind w:left="1417" w:hanging="708"/>
      <w:jc w:val="both"/>
    </w:pPr>
    <w:rPr>
      <w:rFonts w:ascii="Times New Roman" w:hAnsi="Times New Roman"/>
      <w:sz w:val="24"/>
      <w:lang w:eastAsia="en-US"/>
    </w:rPr>
  </w:style>
  <w:style w:type="paragraph" w:customStyle="1" w:styleId="ListNumberLevel3">
    <w:name w:val="List Number (Level 3)"/>
    <w:basedOn w:val="Normal"/>
    <w:rsid w:val="001042DA"/>
    <w:pPr>
      <w:tabs>
        <w:tab w:val="num" w:pos="2126"/>
      </w:tabs>
      <w:spacing w:after="240"/>
      <w:ind w:left="2126" w:hanging="709"/>
      <w:jc w:val="both"/>
    </w:pPr>
    <w:rPr>
      <w:rFonts w:ascii="Times New Roman" w:hAnsi="Times New Roman"/>
      <w:sz w:val="24"/>
      <w:lang w:eastAsia="en-US"/>
    </w:rPr>
  </w:style>
  <w:style w:type="paragraph" w:customStyle="1" w:styleId="ListNumberLevel4">
    <w:name w:val="List Number (Level 4)"/>
    <w:basedOn w:val="Normal"/>
    <w:rsid w:val="001042DA"/>
    <w:pPr>
      <w:tabs>
        <w:tab w:val="num" w:pos="2835"/>
      </w:tabs>
      <w:spacing w:after="240"/>
      <w:ind w:left="2835" w:hanging="709"/>
      <w:jc w:val="both"/>
    </w:pPr>
    <w:rPr>
      <w:rFonts w:ascii="Times New Roman" w:hAnsi="Times New Roman"/>
      <w:sz w:val="24"/>
      <w:lang w:eastAsia="en-US"/>
    </w:rPr>
  </w:style>
  <w:style w:type="paragraph" w:customStyle="1" w:styleId="DefaultText">
    <w:name w:val="Default Text"/>
    <w:basedOn w:val="Normal"/>
    <w:rsid w:val="001042DA"/>
    <w:pPr>
      <w:tabs>
        <w:tab w:val="left" w:pos="0"/>
      </w:tabs>
      <w:overflowPunct w:val="0"/>
      <w:autoSpaceDE w:val="0"/>
      <w:autoSpaceDN w:val="0"/>
      <w:adjustRightInd w:val="0"/>
      <w:textAlignment w:val="baseline"/>
    </w:pPr>
    <w:rPr>
      <w:rFonts w:ascii="Arial" w:hAnsi="Arial"/>
      <w:sz w:val="24"/>
      <w:lang w:val="en-US" w:eastAsia="en-US"/>
    </w:rPr>
  </w:style>
  <w:style w:type="paragraph" w:customStyle="1" w:styleId="p2">
    <w:name w:val="p2"/>
    <w:basedOn w:val="Normal"/>
    <w:rsid w:val="00702A9E"/>
    <w:rPr>
      <w:rFonts w:ascii="Arial" w:eastAsiaTheme="minorEastAsia" w:hAnsi="Arial" w:cs="Arial"/>
      <w:sz w:val="14"/>
      <w:szCs w:val="14"/>
      <w:lang w:val="nb-N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0573">
      <w:bodyDiv w:val="1"/>
      <w:marLeft w:val="0"/>
      <w:marRight w:val="0"/>
      <w:marTop w:val="0"/>
      <w:marBottom w:val="0"/>
      <w:divBdr>
        <w:top w:val="none" w:sz="0" w:space="0" w:color="auto"/>
        <w:left w:val="none" w:sz="0" w:space="0" w:color="auto"/>
        <w:bottom w:val="none" w:sz="0" w:space="0" w:color="auto"/>
        <w:right w:val="none" w:sz="0" w:space="0" w:color="auto"/>
      </w:divBdr>
    </w:div>
    <w:div w:id="364915379">
      <w:bodyDiv w:val="1"/>
      <w:marLeft w:val="0"/>
      <w:marRight w:val="0"/>
      <w:marTop w:val="0"/>
      <w:marBottom w:val="0"/>
      <w:divBdr>
        <w:top w:val="none" w:sz="0" w:space="0" w:color="auto"/>
        <w:left w:val="none" w:sz="0" w:space="0" w:color="auto"/>
        <w:bottom w:val="none" w:sz="0" w:space="0" w:color="auto"/>
        <w:right w:val="none" w:sz="0" w:space="0" w:color="auto"/>
      </w:divBdr>
    </w:div>
    <w:div w:id="525023036">
      <w:bodyDiv w:val="1"/>
      <w:marLeft w:val="0"/>
      <w:marRight w:val="0"/>
      <w:marTop w:val="0"/>
      <w:marBottom w:val="0"/>
      <w:divBdr>
        <w:top w:val="none" w:sz="0" w:space="0" w:color="auto"/>
        <w:left w:val="none" w:sz="0" w:space="0" w:color="auto"/>
        <w:bottom w:val="none" w:sz="0" w:space="0" w:color="auto"/>
        <w:right w:val="none" w:sz="0" w:space="0" w:color="auto"/>
      </w:divBdr>
    </w:div>
    <w:div w:id="629827203">
      <w:bodyDiv w:val="1"/>
      <w:marLeft w:val="0"/>
      <w:marRight w:val="0"/>
      <w:marTop w:val="0"/>
      <w:marBottom w:val="0"/>
      <w:divBdr>
        <w:top w:val="none" w:sz="0" w:space="0" w:color="auto"/>
        <w:left w:val="none" w:sz="0" w:space="0" w:color="auto"/>
        <w:bottom w:val="none" w:sz="0" w:space="0" w:color="auto"/>
        <w:right w:val="none" w:sz="0" w:space="0" w:color="auto"/>
      </w:divBdr>
    </w:div>
    <w:div w:id="685257540">
      <w:bodyDiv w:val="1"/>
      <w:marLeft w:val="0"/>
      <w:marRight w:val="0"/>
      <w:marTop w:val="0"/>
      <w:marBottom w:val="0"/>
      <w:divBdr>
        <w:top w:val="none" w:sz="0" w:space="0" w:color="auto"/>
        <w:left w:val="none" w:sz="0" w:space="0" w:color="auto"/>
        <w:bottom w:val="none" w:sz="0" w:space="0" w:color="auto"/>
        <w:right w:val="none" w:sz="0" w:space="0" w:color="auto"/>
      </w:divBdr>
    </w:div>
    <w:div w:id="1043941135">
      <w:bodyDiv w:val="1"/>
      <w:marLeft w:val="0"/>
      <w:marRight w:val="0"/>
      <w:marTop w:val="0"/>
      <w:marBottom w:val="0"/>
      <w:divBdr>
        <w:top w:val="none" w:sz="0" w:space="0" w:color="auto"/>
        <w:left w:val="none" w:sz="0" w:space="0" w:color="auto"/>
        <w:bottom w:val="none" w:sz="0" w:space="0" w:color="auto"/>
        <w:right w:val="none" w:sz="0" w:space="0" w:color="auto"/>
      </w:divBdr>
    </w:div>
    <w:div w:id="1157572331">
      <w:bodyDiv w:val="1"/>
      <w:marLeft w:val="0"/>
      <w:marRight w:val="0"/>
      <w:marTop w:val="0"/>
      <w:marBottom w:val="0"/>
      <w:divBdr>
        <w:top w:val="none" w:sz="0" w:space="0" w:color="auto"/>
        <w:left w:val="none" w:sz="0" w:space="0" w:color="auto"/>
        <w:bottom w:val="none" w:sz="0" w:space="0" w:color="auto"/>
        <w:right w:val="none" w:sz="0" w:space="0" w:color="auto"/>
      </w:divBdr>
    </w:div>
    <w:div w:id="1160197419">
      <w:bodyDiv w:val="1"/>
      <w:marLeft w:val="0"/>
      <w:marRight w:val="0"/>
      <w:marTop w:val="0"/>
      <w:marBottom w:val="0"/>
      <w:divBdr>
        <w:top w:val="none" w:sz="0" w:space="0" w:color="auto"/>
        <w:left w:val="none" w:sz="0" w:space="0" w:color="auto"/>
        <w:bottom w:val="none" w:sz="0" w:space="0" w:color="auto"/>
        <w:right w:val="none" w:sz="0" w:space="0" w:color="auto"/>
      </w:divBdr>
    </w:div>
    <w:div w:id="1274706782">
      <w:bodyDiv w:val="1"/>
      <w:marLeft w:val="0"/>
      <w:marRight w:val="0"/>
      <w:marTop w:val="0"/>
      <w:marBottom w:val="0"/>
      <w:divBdr>
        <w:top w:val="none" w:sz="0" w:space="0" w:color="auto"/>
        <w:left w:val="none" w:sz="0" w:space="0" w:color="auto"/>
        <w:bottom w:val="none" w:sz="0" w:space="0" w:color="auto"/>
        <w:right w:val="none" w:sz="0" w:space="0" w:color="auto"/>
      </w:divBdr>
    </w:div>
    <w:div w:id="1363743399">
      <w:bodyDiv w:val="1"/>
      <w:marLeft w:val="0"/>
      <w:marRight w:val="0"/>
      <w:marTop w:val="0"/>
      <w:marBottom w:val="0"/>
      <w:divBdr>
        <w:top w:val="none" w:sz="0" w:space="0" w:color="auto"/>
        <w:left w:val="none" w:sz="0" w:space="0" w:color="auto"/>
        <w:bottom w:val="none" w:sz="0" w:space="0" w:color="auto"/>
        <w:right w:val="none" w:sz="0" w:space="0" w:color="auto"/>
      </w:divBdr>
    </w:div>
    <w:div w:id="187997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1.bin"/><Relationship Id="rId26" Type="http://schemas.openxmlformats.org/officeDocument/2006/relationships/image" Target="media/image11.emf"/><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image" Target="media/image10.emf"/><Relationship Id="rId33" Type="http://schemas.openxmlformats.org/officeDocument/2006/relationships/hyperlink" Target="https://www.miljodirektoratet.no/sharepoint/downloaditem?id=01FM3LD2XMKICN7YW4LNG2PMFDDGEPXCOB"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hyperlink" Target="https://echa.europa.eu/documents/10162/16908203/esd_fish_net-aquaculture_2015_final.pdf/59cf4c4f-b04e-4006-baa7-de1965714c62"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9.emf"/><Relationship Id="rId32" Type="http://schemas.openxmlformats.org/officeDocument/2006/relationships/hyperlink" Target="https://www.miljodirektoratet.no/sharepoint/downloaditem?id=01FM3LD2R5JRIODQDGLRGYVLQ536GBGTVY"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8.emf"/><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4.emf"/><Relationship Id="rId31" Type="http://schemas.openxmlformats.org/officeDocument/2006/relationships/hyperlink" Target="http://www.iom-world.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7.emf"/><Relationship Id="rId27" Type="http://schemas.openxmlformats.org/officeDocument/2006/relationships/header" Target="header2.xml"/><Relationship Id="rId30" Type="http://schemas.openxmlformats.org/officeDocument/2006/relationships/hyperlink" Target="https://www.miljodirektoratet.no/sharepoint/downloaditem?id=01FM3LD2R5JRIODQDGLRGYVLQ536GBGTVY" TargetMode="External"/><Relationship Id="rId35"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707137999d24c5390df78a72943486a xmlns="99b93dda-0db1-4804-bcd9-79ac3408f7b3">
      <Terms xmlns="http://schemas.microsoft.com/office/infopath/2007/PartnerControls"/>
    </a707137999d24c5390df78a72943486a>
    <gdc15e87e6184dc285cecc59dfe3e409 xmlns="99b93dda-0db1-4804-bcd9-79ac3408f7b3">
      <Terms xmlns="http://schemas.microsoft.com/office/infopath/2007/PartnerControls"/>
    </gdc15e87e6184dc285cecc59dfe3e409>
    <_dlc_DocId xmlns="3a4890ed-1ec6-4432-9736-a3cc4e505306">BIOCIDER-1569258963-23400</_dlc_DocId>
    <AvtaltDato xmlns="99b93dda-0db1-4804-bcd9-79ac3408f7b3" xsi:nil="true"/>
    <TaxCatchAll xmlns="99b93dda-0db1-4804-bcd9-79ac3408f7b3"/>
    <_dlc_DocIdUrl xmlns="3a4890ed-1ec6-4432-9736-a3cc4e505306">
      <Url>https://arbeidsrom.miljodirektoratet.no/temarom/1049/_layouts/15/DocIdRedir.aspx?ID=BIOCIDER-1569258963-23400</Url>
      <Description>BIOCIDER-1569258963-23400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Miljødirektoratet Dokument" ma:contentTypeID="0x010100D14BD004BF1C4459B890F3727F092580005A9B500924720545A19BD04EE5BDDE71" ma:contentTypeVersion="10" ma:contentTypeDescription="Opprett et nytt dokument. " ma:contentTypeScope="" ma:versionID="182b57ffa9c2a1bb9386caa70c8e61ba">
  <xsd:schema xmlns:xsd="http://www.w3.org/2001/XMLSchema" xmlns:xs="http://www.w3.org/2001/XMLSchema" xmlns:p="http://schemas.microsoft.com/office/2006/metadata/properties" xmlns:ns2="99b93dda-0db1-4804-bcd9-79ac3408f7b3" xmlns:ns3="3a4890ed-1ec6-4432-9736-a3cc4e505306" targetNamespace="http://schemas.microsoft.com/office/2006/metadata/properties" ma:root="true" ma:fieldsID="f8ab9355ca358c7cb4aeed8c6d616753" ns2:_="" ns3:_="">
    <xsd:import namespace="99b93dda-0db1-4804-bcd9-79ac3408f7b3"/>
    <xsd:import namespace="3a4890ed-1ec6-4432-9736-a3cc4e505306"/>
    <xsd:element name="properties">
      <xsd:complexType>
        <xsd:sequence>
          <xsd:element name="documentManagement">
            <xsd:complexType>
              <xsd:all>
                <xsd:element ref="ns2:gdc15e87e6184dc285cecc59dfe3e409" minOccurs="0"/>
                <xsd:element ref="ns2:TaxCatchAll" minOccurs="0"/>
                <xsd:element ref="ns2:TaxCatchAllLabel" minOccurs="0"/>
                <xsd:element ref="ns2:a707137999d24c5390df78a72943486a" minOccurs="0"/>
                <xsd:element ref="ns2:AvtaltDato"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93dda-0db1-4804-bcd9-79ac3408f7b3" elementFormDefault="qualified">
    <xsd:import namespace="http://schemas.microsoft.com/office/2006/documentManagement/types"/>
    <xsd:import namespace="http://schemas.microsoft.com/office/infopath/2007/PartnerControls"/>
    <xsd:element name="gdc15e87e6184dc285cecc59dfe3e409" ma:index="8" nillable="true" ma:taxonomy="true" ma:internalName="gdc15e87e6184dc285cecc59dfe3e409" ma:taxonomyFieldName="Dokumentkategori" ma:displayName="Dokumentkategori" ma:default="" ma:fieldId="{0dc15e87-e618-4dc2-85ce-cc59dfe3e409}" ma:taxonomyMulti="true" ma:sspId="f3010fb3-0ead-40f9-8418-3186255a05f9" ma:termSetId="53e1fc6a-97c5-4630-8402-445232887b95"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93278770-1faa-467e-8572-65469e119789}" ma:internalName="TaxCatchAll" ma:showField="CatchAllData" ma:web="3a4890ed-1ec6-4432-9736-a3cc4e50530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278770-1faa-467e-8572-65469e119789}" ma:internalName="TaxCatchAllLabel" ma:readOnly="true" ma:showField="CatchAllDataLabel" ma:web="3a4890ed-1ec6-4432-9736-a3cc4e505306">
      <xsd:complexType>
        <xsd:complexContent>
          <xsd:extension base="dms:MultiChoiceLookup">
            <xsd:sequence>
              <xsd:element name="Value" type="dms:Lookup" maxOccurs="unbounded" minOccurs="0" nillable="true"/>
            </xsd:sequence>
          </xsd:extension>
        </xsd:complexContent>
      </xsd:complexType>
    </xsd:element>
    <xsd:element name="a707137999d24c5390df78a72943486a" ma:index="12" nillable="true" ma:taxonomy="true" ma:internalName="a707137999d24c5390df78a72943486a" ma:taxonomyFieldName="Stikkord" ma:displayName="Stikkord" ma:readOnly="false" ma:default="" ma:fieldId="{a7071379-99d2-4c53-90df-78a72943486a}" ma:taxonomyMulti="true" ma:sspId="f3010fb3-0ead-40f9-8418-3186255a05f9" ma:termSetId="5b9839b4-4137-4aaf-bfa7-b3e208cd477c" ma:anchorId="00000000-0000-0000-0000-000000000000" ma:open="true" ma:isKeyword="false">
      <xsd:complexType>
        <xsd:sequence>
          <xsd:element ref="pc:Terms" minOccurs="0" maxOccurs="1"/>
        </xsd:sequence>
      </xsd:complexType>
    </xsd:element>
    <xsd:element name="AvtaltDato" ma:index="14" nillable="true" ma:displayName="Avtalt dato" ma:format="DateOnly" ma:indexed="true" ma:internalName="AvtaltDato"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4890ed-1ec6-4432-9736-a3cc4e505306" elementFormDefault="qualified">
    <xsd:import namespace="http://schemas.microsoft.com/office/2006/documentManagement/types"/>
    <xsd:import namespace="http://schemas.microsoft.com/office/infopath/2007/PartnerControls"/>
    <xsd:element name="_dlc_DocId" ma:index="15" nillable="true" ma:displayName="Dokument-ID-verdi" ma:description="Verdien for dokument-IDen som er tilordnet elementet." ma:internalName="_dlc_DocId" ma:readOnly="true">
      <xsd:simpleType>
        <xsd:restriction base="dms:Text"/>
      </xsd:simpleType>
    </xsd:element>
    <xsd:element name="_dlc_DocIdUrl" ma:index="16"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Fast ID" ma:description="Behold IDen ved tilleggin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f3010fb3-0ead-40f9-8418-3186255a05f9" ContentTypeId="0x010100D14BD004BF1C4459B890F3727F092580" PreviousValue="false"/>
</file>

<file path=customXml/itemProps1.xml><?xml version="1.0" encoding="utf-8"?>
<ds:datastoreItem xmlns:ds="http://schemas.openxmlformats.org/officeDocument/2006/customXml" ds:itemID="{EC54C862-DC09-4C8B-A2A5-422FC4B3A5AC}">
  <ds:schemaRefs>
    <ds:schemaRef ds:uri="http://schemas.openxmlformats.org/officeDocument/2006/bibliography"/>
  </ds:schemaRefs>
</ds:datastoreItem>
</file>

<file path=customXml/itemProps2.xml><?xml version="1.0" encoding="utf-8"?>
<ds:datastoreItem xmlns:ds="http://schemas.openxmlformats.org/officeDocument/2006/customXml" ds:itemID="{7FA730AF-BCCD-43BB-BDF7-C7A860593B54}">
  <ds:schemaRefs>
    <ds:schemaRef ds:uri="http://schemas.microsoft.com/sharepoint/events"/>
  </ds:schemaRefs>
</ds:datastoreItem>
</file>

<file path=customXml/itemProps3.xml><?xml version="1.0" encoding="utf-8"?>
<ds:datastoreItem xmlns:ds="http://schemas.openxmlformats.org/officeDocument/2006/customXml" ds:itemID="{B82E6362-E2D7-414B-BCDE-4C8499F556B6}">
  <ds:schemaRefs>
    <ds:schemaRef ds:uri="http://schemas.microsoft.com/sharepoint/v3/contenttype/forms"/>
  </ds:schemaRefs>
</ds:datastoreItem>
</file>

<file path=customXml/itemProps4.xml><?xml version="1.0" encoding="utf-8"?>
<ds:datastoreItem xmlns:ds="http://schemas.openxmlformats.org/officeDocument/2006/customXml" ds:itemID="{59507CAF-A80A-46AF-ABAC-013DF9967B01}">
  <ds:schemaRefs>
    <ds:schemaRef ds:uri="3a4890ed-1ec6-4432-9736-a3cc4e505306"/>
    <ds:schemaRef ds:uri="http://purl.org/dc/terms/"/>
    <ds:schemaRef ds:uri="http://schemas.openxmlformats.org/package/2006/metadata/core-properties"/>
    <ds:schemaRef ds:uri="99b93dda-0db1-4804-bcd9-79ac3408f7b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C18C7A48-7FD0-425E-BF25-355B06918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93dda-0db1-4804-bcd9-79ac3408f7b3"/>
    <ds:schemaRef ds:uri="3a4890ed-1ec6-4432-9736-a3cc4e505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2ABB473-1FAD-456B-B377-331EF1F04BBC}">
  <ds:schemaRefs>
    <ds:schemaRef ds:uri="Microsoft.SharePoint.Taxonomy.ContentTypeSync"/>
  </ds:schemaRefs>
</ds:datastoreItem>
</file>

<file path=docMetadata/LabelInfo.xml><?xml version="1.0" encoding="utf-8"?>
<clbl:labelList xmlns:clbl="http://schemas.microsoft.com/office/2020/mipLabelMetadata">
  <clbl:label id="{78981d38-09a4-4f68-90bd-b9f50c54d13c}" enabled="1" method="Standard" siteId="{f999e2e9-5aa8-467f-9eca-df0d6c4eaf13}"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22</Pages>
  <Words>30645</Words>
  <Characters>162423</Characters>
  <Application>Microsoft Office Word</Application>
  <DocSecurity>0</DocSecurity>
  <Lines>1353</Lines>
  <Paragraphs>385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2021-03-12T12:38:00Z</dcterms:created>
  <dcterms:modified xsi:type="dcterms:W3CDTF">2022-12-15T06:28:00Z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ikkord">
    <vt:lpwstr/>
  </property>
  <property fmtid="{D5CDD505-2E9C-101B-9397-08002B2CF9AE}" pid="3" name="ContentTypeId">
    <vt:lpwstr>0x010100D14BD004BF1C4459B890F3727F092580005A9B500924720545A19BD04EE5BDDE71</vt:lpwstr>
  </property>
  <property fmtid="{D5CDD505-2E9C-101B-9397-08002B2CF9AE}" pid="4" name="Dokumentkategori">
    <vt:lpwstr/>
  </property>
  <property fmtid="{D5CDD505-2E9C-101B-9397-08002B2CF9AE}" pid="5" name="_dlc_DocIdItemGuid">
    <vt:lpwstr>6ebe5288-fd46-4934-bc5d-35d4b5631cee</vt:lpwstr>
  </property>
  <property fmtid="{D5CDD505-2E9C-101B-9397-08002B2CF9AE}" pid="6" name="MSIP_Label_78981d38-09a4-4f68-90bd-b9f50c54d13c_Enabled">
    <vt:lpwstr>true</vt:lpwstr>
  </property>
  <property fmtid="{D5CDD505-2E9C-101B-9397-08002B2CF9AE}" pid="7" name="MSIP_Label_78981d38-09a4-4f68-90bd-b9f50c54d13c_SetDate">
    <vt:lpwstr>2022-03-29T11:29:03Z</vt:lpwstr>
  </property>
  <property fmtid="{D5CDD505-2E9C-101B-9397-08002B2CF9AE}" pid="8" name="MSIP_Label_78981d38-09a4-4f68-90bd-b9f50c54d13c_Method">
    <vt:lpwstr>Standard</vt:lpwstr>
  </property>
  <property fmtid="{D5CDD505-2E9C-101B-9397-08002B2CF9AE}" pid="9" name="MSIP_Label_78981d38-09a4-4f68-90bd-b9f50c54d13c_Name">
    <vt:lpwstr>Intern</vt:lpwstr>
  </property>
  <property fmtid="{D5CDD505-2E9C-101B-9397-08002B2CF9AE}" pid="10" name="MSIP_Label_78981d38-09a4-4f68-90bd-b9f50c54d13c_SiteId">
    <vt:lpwstr>f999e2e9-5aa8-467f-9eca-df0d6c4eaf13</vt:lpwstr>
  </property>
  <property fmtid="{D5CDD505-2E9C-101B-9397-08002B2CF9AE}" pid="11" name="MSIP_Label_78981d38-09a4-4f68-90bd-b9f50c54d13c_ActionId">
    <vt:lpwstr>9ac4c507-964b-4138-b0d6-3a3005ac4d22</vt:lpwstr>
  </property>
  <property fmtid="{D5CDD505-2E9C-101B-9397-08002B2CF9AE}" pid="12" name="MSIP_Label_78981d38-09a4-4f68-90bd-b9f50c54d13c_ContentBits">
    <vt:lpwstr>0</vt:lpwstr>
  </property>
</Properties>
</file>