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157EB774" w:rsidR="00E86372" w:rsidRDefault="00E86372" w:rsidP="00E86372">
                            <w:pPr>
                              <w:rPr>
                                <w:color w:val="4F81BD" w:themeColor="accent1"/>
                              </w:rPr>
                            </w:pPr>
                          </w:p>
                          <w:p w14:paraId="68353A6D" w14:textId="36262A69" w:rsidR="00E86372" w:rsidRDefault="00BD47FF" w:rsidP="00E86372">
                            <w:pPr>
                              <w:rPr>
                                <w:color w:val="4F81BD" w:themeColor="accent1"/>
                              </w:rPr>
                            </w:pPr>
                            <w:r>
                              <w:rPr>
                                <w:noProof/>
                                <w:lang w:val="sv-SE" w:eastAsia="sv-SE"/>
                              </w:rPr>
                              <w:drawing>
                                <wp:inline distT="0" distB="0" distL="0" distR="0" wp14:anchorId="7135D0CA" wp14:editId="3897BCA3">
                                  <wp:extent cx="1222801" cy="641445"/>
                                  <wp:effectExtent l="0" t="0" r="0" b="635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252" cy="645878"/>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157EB774" w:rsidR="00E86372" w:rsidRDefault="00E86372" w:rsidP="00E86372">
                      <w:pPr>
                        <w:rPr>
                          <w:color w:val="4F81BD" w:themeColor="accent1"/>
                        </w:rPr>
                      </w:pPr>
                    </w:p>
                    <w:p w14:paraId="68353A6D" w14:textId="36262A69" w:rsidR="00E86372" w:rsidRDefault="00BD47FF" w:rsidP="00E86372">
                      <w:pPr>
                        <w:rPr>
                          <w:color w:val="4F81BD" w:themeColor="accent1"/>
                        </w:rPr>
                      </w:pPr>
                      <w:r>
                        <w:rPr>
                          <w:noProof/>
                          <w:lang w:val="sv-SE" w:eastAsia="sv-SE"/>
                        </w:rPr>
                        <w:drawing>
                          <wp:inline distT="0" distB="0" distL="0" distR="0" wp14:anchorId="7135D0CA" wp14:editId="3897BCA3">
                            <wp:extent cx="1222801" cy="641445"/>
                            <wp:effectExtent l="0" t="0" r="0" b="635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252" cy="645878"/>
                                    </a:xfrm>
                                    <a:prstGeom prst="rect">
                                      <a:avLst/>
                                    </a:prstGeom>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3834DF8F" w:rsidR="00E86372" w:rsidRPr="00937276" w:rsidRDefault="00E86372" w:rsidP="00E86372">
      <w:pPr>
        <w:pStyle w:val="Brdtext"/>
      </w:pPr>
      <w:r>
        <w:rPr>
          <w:b/>
        </w:rPr>
        <w:t>Substance Name</w:t>
      </w:r>
      <w:r w:rsidRPr="003607CA">
        <w:rPr>
          <w:b/>
        </w:rPr>
        <w:t>:</w:t>
      </w:r>
      <w:r w:rsidR="00542A8C">
        <w:rPr>
          <w:b/>
        </w:rPr>
        <w:t xml:space="preserve"> </w:t>
      </w:r>
      <w:r w:rsidR="00633EB4" w:rsidRPr="00633EB4">
        <w:t>2-(4-tert-butylbenzyl</w:t>
      </w:r>
      <w:proofErr w:type="gramStart"/>
      <w:r w:rsidR="00633EB4" w:rsidRPr="00633EB4">
        <w:t>)</w:t>
      </w:r>
      <w:proofErr w:type="spellStart"/>
      <w:r w:rsidR="00633EB4" w:rsidRPr="00633EB4">
        <w:t>propionaldehyde</w:t>
      </w:r>
      <w:proofErr w:type="spellEnd"/>
      <w:proofErr w:type="gramEnd"/>
    </w:p>
    <w:p w14:paraId="683539A5" w14:textId="5FBF5F35" w:rsidR="00E86372" w:rsidRPr="00937276" w:rsidRDefault="00E86372" w:rsidP="00E86372">
      <w:pPr>
        <w:pStyle w:val="Brdtext"/>
      </w:pPr>
      <w:r w:rsidRPr="003607CA">
        <w:rPr>
          <w:b/>
        </w:rPr>
        <w:t>EC Number:</w:t>
      </w:r>
      <w:r w:rsidR="00542A8C">
        <w:rPr>
          <w:b/>
        </w:rPr>
        <w:t xml:space="preserve"> </w:t>
      </w:r>
      <w:r w:rsidR="00633EB4">
        <w:t>201</w:t>
      </w:r>
      <w:r w:rsidR="00542A8C" w:rsidRPr="00D57311">
        <w:t>-</w:t>
      </w:r>
      <w:r w:rsidR="00633EB4">
        <w:t>289</w:t>
      </w:r>
      <w:r w:rsidR="00542A8C" w:rsidRPr="00D57311">
        <w:t>-</w:t>
      </w:r>
      <w:r w:rsidR="00633EB4">
        <w:t>8</w:t>
      </w:r>
    </w:p>
    <w:p w14:paraId="683539A6" w14:textId="7876FB7D" w:rsidR="00E86372" w:rsidRPr="00937276" w:rsidRDefault="00E86372" w:rsidP="00E86372">
      <w:pPr>
        <w:pStyle w:val="Brdtext"/>
        <w:rPr>
          <w:sz w:val="32"/>
        </w:rPr>
      </w:pPr>
      <w:r w:rsidRPr="003607CA">
        <w:rPr>
          <w:b/>
        </w:rPr>
        <w:t>CAS Number:</w:t>
      </w:r>
      <w:r w:rsidR="00542A8C">
        <w:rPr>
          <w:b/>
        </w:rPr>
        <w:t xml:space="preserve"> </w:t>
      </w:r>
      <w:r w:rsidR="00633EB4">
        <w:t>80</w:t>
      </w:r>
      <w:r w:rsidR="00542A8C" w:rsidRPr="00D57311">
        <w:t>-</w:t>
      </w:r>
      <w:r w:rsidR="00633EB4">
        <w:t>54</w:t>
      </w:r>
      <w:r w:rsidR="00542A8C" w:rsidRPr="00D57311">
        <w:t>-</w:t>
      </w:r>
      <w:r w:rsidR="00633EB4">
        <w:t>6</w:t>
      </w:r>
    </w:p>
    <w:p w14:paraId="683539A7" w14:textId="77777777" w:rsidR="00E86372" w:rsidRDefault="00E86372" w:rsidP="00E86372">
      <w:pPr>
        <w:pStyle w:val="Brdtext"/>
        <w:rPr>
          <w:b/>
          <w:sz w:val="32"/>
        </w:rPr>
      </w:pPr>
    </w:p>
    <w:p w14:paraId="683539A8" w14:textId="7FF4DF3C" w:rsidR="00E86372" w:rsidRDefault="00E86372" w:rsidP="00E86372">
      <w:pPr>
        <w:pStyle w:val="Brdtext"/>
        <w:rPr>
          <w:b/>
          <w:sz w:val="32"/>
        </w:rPr>
      </w:pPr>
      <w:r w:rsidRPr="006119A2">
        <w:rPr>
          <w:b/>
        </w:rPr>
        <w:t>Authority:</w:t>
      </w:r>
      <w:r w:rsidR="00542A8C">
        <w:rPr>
          <w:b/>
        </w:rPr>
        <w:t xml:space="preserve"> Swedish Chemicals Agency</w:t>
      </w:r>
    </w:p>
    <w:p w14:paraId="683539A9" w14:textId="5DCDFB3E" w:rsidR="00E86372" w:rsidRDefault="00E86372" w:rsidP="00E86372">
      <w:pPr>
        <w:pStyle w:val="Brdtext"/>
        <w:rPr>
          <w:b/>
        </w:rPr>
      </w:pPr>
      <w:r w:rsidRPr="003607CA">
        <w:rPr>
          <w:b/>
        </w:rPr>
        <w:t>Date:</w:t>
      </w:r>
      <w:r w:rsidR="003701C5">
        <w:rPr>
          <w:b/>
        </w:rPr>
        <w:t xml:space="preserve"> </w:t>
      </w:r>
      <w:r w:rsidR="00633EB4">
        <w:rPr>
          <w:b/>
        </w:rPr>
        <w:t>2019-06-2</w:t>
      </w:r>
      <w:r w:rsidR="009237E3">
        <w:rPr>
          <w:b/>
        </w:rPr>
        <w:t>5</w:t>
      </w:r>
      <w:bookmarkStart w:id="0" w:name="_GoBack"/>
      <w:bookmarkEnd w:id="0"/>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1"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5"/>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1"/>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w:t>
      </w:r>
      <w:proofErr w:type="gramStart"/>
      <w:r w:rsidRPr="003016DF">
        <w:t>can be used</w:t>
      </w:r>
      <w:proofErr w:type="gramEnd"/>
      <w:r w:rsidRPr="003016DF">
        <w:t xml:space="preserve">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w:t>
      </w:r>
      <w:proofErr w:type="gramStart"/>
      <w:r w:rsidRPr="003016DF">
        <w:t>are informed</w:t>
      </w:r>
      <w:proofErr w:type="gramEnd"/>
      <w:r w:rsidRPr="003016DF">
        <w:t xml:space="preserve">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w:t>
      </w:r>
      <w:proofErr w:type="gramStart"/>
      <w:r w:rsidRPr="003016DF">
        <w:t>shall not be considered</w:t>
      </w:r>
      <w:proofErr w:type="gramEnd"/>
      <w:r w:rsidRPr="003016DF">
        <w:t xml:space="preserve">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2CE1A002" w14:textId="081FC1C0" w:rsidR="00AB46A0" w:rsidRPr="00A2305C" w:rsidRDefault="00AB46A0" w:rsidP="00AB46A0">
      <w:pPr>
        <w:pStyle w:val="Beskrivning"/>
        <w:rPr>
          <w:rFonts w:ascii="Verdana" w:hAnsi="Verdana"/>
          <w:b/>
          <w:sz w:val="20"/>
        </w:rPr>
      </w:pPr>
      <w:r w:rsidRPr="00A2305C">
        <w:rPr>
          <w:rFonts w:ascii="Verdana" w:hAnsi="Verdana"/>
          <w:b/>
          <w:sz w:val="20"/>
        </w:rPr>
        <w:t>Completed or ongoing processes</w:t>
      </w:r>
    </w:p>
    <w:tbl>
      <w:tblPr>
        <w:tblStyle w:val="Tabellrutnt"/>
        <w:tblW w:w="8330" w:type="dxa"/>
        <w:tblLayout w:type="fixed"/>
        <w:tblLook w:val="04A0" w:firstRow="1" w:lastRow="0" w:firstColumn="1" w:lastColumn="0" w:noHBand="0" w:noVBand="1"/>
      </w:tblPr>
      <w:tblGrid>
        <w:gridCol w:w="1384"/>
        <w:gridCol w:w="1134"/>
        <w:gridCol w:w="5812"/>
      </w:tblGrid>
      <w:tr w:rsidR="00AB46A0" w:rsidRPr="00DC3C42" w14:paraId="35EFE605" w14:textId="77777777" w:rsidTr="00F32237">
        <w:trPr>
          <w:cantSplit/>
          <w:trHeight w:val="901"/>
        </w:trPr>
        <w:tc>
          <w:tcPr>
            <w:tcW w:w="1384" w:type="dxa"/>
            <w:textDirection w:val="btLr"/>
            <w:vAlign w:val="center"/>
          </w:tcPr>
          <w:p w14:paraId="66C43B53" w14:textId="77777777" w:rsidR="00AB46A0" w:rsidRPr="00D06EB3" w:rsidRDefault="00AB46A0" w:rsidP="00F32237">
            <w:pPr>
              <w:pStyle w:val="Brdtext"/>
              <w:spacing w:before="120" w:after="0"/>
              <w:ind w:left="113" w:right="113"/>
              <w:jc w:val="center"/>
            </w:pPr>
            <w:r>
              <w:t>RMOA</w:t>
            </w:r>
          </w:p>
        </w:tc>
        <w:tc>
          <w:tcPr>
            <w:tcW w:w="1134" w:type="dxa"/>
            <w:tcBorders>
              <w:right w:val="nil"/>
            </w:tcBorders>
            <w:shd w:val="clear" w:color="auto" w:fill="auto"/>
            <w:textDirection w:val="btLr"/>
            <w:vAlign w:val="center"/>
          </w:tcPr>
          <w:p w14:paraId="1124CDC0" w14:textId="77777777" w:rsidR="00AB46A0" w:rsidRPr="009845E0" w:rsidRDefault="00AB46A0" w:rsidP="00F32237">
            <w:pPr>
              <w:pStyle w:val="Brdtext"/>
              <w:spacing w:before="120" w:after="0"/>
              <w:ind w:left="113" w:right="113"/>
              <w:jc w:val="center"/>
            </w:pPr>
          </w:p>
        </w:tc>
        <w:tc>
          <w:tcPr>
            <w:tcW w:w="5812" w:type="dxa"/>
            <w:tcBorders>
              <w:left w:val="nil"/>
            </w:tcBorders>
            <w:shd w:val="clear" w:color="auto" w:fill="auto"/>
            <w:vAlign w:val="center"/>
          </w:tcPr>
          <w:p w14:paraId="4BF5F61F" w14:textId="77777777" w:rsidR="00AB46A0" w:rsidRPr="00404EE1" w:rsidRDefault="00AB46A0" w:rsidP="00F32237">
            <w:pPr>
              <w:pStyle w:val="Brdtext"/>
              <w:spacing w:before="120" w:after="0"/>
              <w:ind w:left="317" w:hanging="317"/>
            </w:pPr>
            <w:sdt>
              <w:sdtPr>
                <w:rPr>
                  <w:szCs w:val="24"/>
                </w:rPr>
                <w:id w:val="1902332067"/>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t>Risk Manage</w:t>
            </w:r>
            <w:r w:rsidRPr="00C220E5">
              <w:t xml:space="preserve">ment Option Analysis </w:t>
            </w:r>
            <w:r>
              <w:t>(RMOA) other than this RMOA</w:t>
            </w:r>
          </w:p>
        </w:tc>
      </w:tr>
      <w:tr w:rsidR="00AB46A0" w:rsidRPr="00DC3C42" w14:paraId="602163D6" w14:textId="77777777" w:rsidTr="00F32237">
        <w:trPr>
          <w:cantSplit/>
          <w:trHeight w:val="559"/>
        </w:trPr>
        <w:tc>
          <w:tcPr>
            <w:tcW w:w="1384" w:type="dxa"/>
            <w:vMerge w:val="restart"/>
            <w:textDirection w:val="btLr"/>
            <w:vAlign w:val="center"/>
          </w:tcPr>
          <w:p w14:paraId="4F5810BA" w14:textId="77777777" w:rsidR="00AB46A0" w:rsidRPr="00D06EB3" w:rsidRDefault="00AB46A0" w:rsidP="00F32237">
            <w:pPr>
              <w:pStyle w:val="Brdtext"/>
              <w:spacing w:before="120" w:after="0"/>
              <w:ind w:left="113" w:right="113"/>
              <w:jc w:val="center"/>
            </w:pPr>
            <w:r>
              <w:t>REACH</w:t>
            </w:r>
            <w:r w:rsidRPr="00D06EB3">
              <w:t xml:space="preserve"> Processes</w:t>
            </w:r>
          </w:p>
        </w:tc>
        <w:tc>
          <w:tcPr>
            <w:tcW w:w="1134" w:type="dxa"/>
            <w:vMerge w:val="restart"/>
            <w:textDirection w:val="btLr"/>
            <w:vAlign w:val="center"/>
          </w:tcPr>
          <w:p w14:paraId="00869148" w14:textId="77777777" w:rsidR="00AB46A0" w:rsidRPr="009845E0" w:rsidRDefault="00AB46A0" w:rsidP="00F32237">
            <w:pPr>
              <w:pStyle w:val="Brdtext"/>
              <w:spacing w:before="120" w:after="0"/>
              <w:ind w:left="113" w:right="113"/>
              <w:jc w:val="center"/>
            </w:pPr>
            <w:r w:rsidRPr="00E813C2">
              <w:t>Evaluation</w:t>
            </w:r>
          </w:p>
        </w:tc>
        <w:tc>
          <w:tcPr>
            <w:tcW w:w="5812" w:type="dxa"/>
            <w:vAlign w:val="center"/>
          </w:tcPr>
          <w:p w14:paraId="4580253D" w14:textId="77777777" w:rsidR="00AB46A0" w:rsidRPr="00404EE1" w:rsidRDefault="00AB46A0" w:rsidP="00F32237">
            <w:pPr>
              <w:pStyle w:val="Brdtext"/>
              <w:spacing w:before="120" w:after="0"/>
            </w:pPr>
            <w:sdt>
              <w:sdtPr>
                <w:rPr>
                  <w:szCs w:val="24"/>
                </w:rPr>
                <w:id w:val="1618794995"/>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Compliance check, Final decision</w:t>
            </w:r>
          </w:p>
        </w:tc>
      </w:tr>
      <w:tr w:rsidR="00AB46A0" w:rsidRPr="00DC3C42" w14:paraId="0C4A629D" w14:textId="77777777" w:rsidTr="00F32237">
        <w:trPr>
          <w:cantSplit/>
          <w:trHeight w:val="553"/>
        </w:trPr>
        <w:tc>
          <w:tcPr>
            <w:tcW w:w="1384" w:type="dxa"/>
            <w:vMerge/>
            <w:textDirection w:val="btLr"/>
            <w:vAlign w:val="center"/>
          </w:tcPr>
          <w:p w14:paraId="7BFFE367" w14:textId="77777777" w:rsidR="00AB46A0" w:rsidRPr="00D06EB3" w:rsidRDefault="00AB46A0" w:rsidP="00F32237">
            <w:pPr>
              <w:pStyle w:val="Brdtext"/>
              <w:spacing w:before="120" w:after="0"/>
              <w:ind w:left="113" w:right="113"/>
              <w:jc w:val="center"/>
            </w:pPr>
          </w:p>
        </w:tc>
        <w:tc>
          <w:tcPr>
            <w:tcW w:w="1134" w:type="dxa"/>
            <w:vMerge/>
            <w:textDirection w:val="btLr"/>
            <w:vAlign w:val="center"/>
          </w:tcPr>
          <w:p w14:paraId="22C3DE61" w14:textId="77777777" w:rsidR="00AB46A0" w:rsidRPr="009845E0" w:rsidRDefault="00AB46A0" w:rsidP="00F32237">
            <w:pPr>
              <w:pStyle w:val="Brdtext"/>
              <w:spacing w:before="120" w:after="0"/>
              <w:ind w:left="113" w:right="113"/>
              <w:jc w:val="center"/>
            </w:pPr>
          </w:p>
        </w:tc>
        <w:tc>
          <w:tcPr>
            <w:tcW w:w="5812" w:type="dxa"/>
            <w:vAlign w:val="center"/>
          </w:tcPr>
          <w:p w14:paraId="4F3701BC" w14:textId="77777777" w:rsidR="00AB46A0" w:rsidRPr="00404EE1" w:rsidRDefault="00AB46A0" w:rsidP="00F32237">
            <w:pPr>
              <w:pStyle w:val="Brdtext"/>
              <w:spacing w:before="120" w:after="0"/>
            </w:pPr>
            <w:sdt>
              <w:sdtPr>
                <w:rPr>
                  <w:szCs w:val="24"/>
                </w:rPr>
                <w:id w:val="-555246610"/>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Testing proposal</w:t>
            </w:r>
          </w:p>
        </w:tc>
      </w:tr>
      <w:tr w:rsidR="00AB46A0" w:rsidRPr="00DC3C42" w14:paraId="266C6FB1" w14:textId="77777777" w:rsidTr="00F32237">
        <w:trPr>
          <w:cantSplit/>
          <w:trHeight w:val="561"/>
        </w:trPr>
        <w:tc>
          <w:tcPr>
            <w:tcW w:w="1384" w:type="dxa"/>
            <w:vMerge/>
            <w:textDirection w:val="btLr"/>
            <w:vAlign w:val="center"/>
          </w:tcPr>
          <w:p w14:paraId="1CB5E84B" w14:textId="77777777" w:rsidR="00AB46A0" w:rsidRPr="00D06EB3" w:rsidRDefault="00AB46A0" w:rsidP="00F32237">
            <w:pPr>
              <w:pStyle w:val="Brdtext"/>
              <w:spacing w:before="120" w:after="0"/>
              <w:ind w:left="113" w:right="113"/>
              <w:jc w:val="center"/>
            </w:pPr>
          </w:p>
        </w:tc>
        <w:tc>
          <w:tcPr>
            <w:tcW w:w="1134" w:type="dxa"/>
            <w:vMerge/>
            <w:textDirection w:val="btLr"/>
            <w:vAlign w:val="center"/>
          </w:tcPr>
          <w:p w14:paraId="099D5520" w14:textId="77777777" w:rsidR="00AB46A0" w:rsidRPr="009845E0" w:rsidRDefault="00AB46A0" w:rsidP="00F32237">
            <w:pPr>
              <w:pStyle w:val="Brdtext"/>
              <w:spacing w:before="120" w:after="0"/>
              <w:ind w:left="113" w:right="113"/>
              <w:jc w:val="center"/>
            </w:pPr>
          </w:p>
        </w:tc>
        <w:tc>
          <w:tcPr>
            <w:tcW w:w="5812" w:type="dxa"/>
            <w:vAlign w:val="center"/>
          </w:tcPr>
          <w:p w14:paraId="73D751DD" w14:textId="77777777" w:rsidR="00AB46A0" w:rsidRPr="00404EE1" w:rsidRDefault="00AB46A0" w:rsidP="00F32237">
            <w:pPr>
              <w:pStyle w:val="Brdtext"/>
              <w:spacing w:before="120" w:after="0"/>
            </w:pPr>
            <w:sdt>
              <w:sdtPr>
                <w:rPr>
                  <w:szCs w:val="24"/>
                </w:rPr>
                <w:id w:val="1708519159"/>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w:t>
            </w:r>
            <w:proofErr w:type="spellStart"/>
            <w:r>
              <w:t>CoRAP</w:t>
            </w:r>
            <w:proofErr w:type="spellEnd"/>
            <w:r>
              <w:t xml:space="preserve"> and Substance Evaluation</w:t>
            </w:r>
          </w:p>
        </w:tc>
      </w:tr>
      <w:tr w:rsidR="00AB46A0" w:rsidRPr="00DC3C42" w14:paraId="76195CD9" w14:textId="77777777" w:rsidTr="00F32237">
        <w:trPr>
          <w:cantSplit/>
          <w:trHeight w:val="838"/>
        </w:trPr>
        <w:tc>
          <w:tcPr>
            <w:tcW w:w="1384" w:type="dxa"/>
            <w:vMerge/>
            <w:textDirection w:val="btLr"/>
            <w:vAlign w:val="center"/>
          </w:tcPr>
          <w:p w14:paraId="29059C10" w14:textId="77777777" w:rsidR="00AB46A0" w:rsidRPr="00D06EB3" w:rsidRDefault="00AB46A0" w:rsidP="00F32237">
            <w:pPr>
              <w:pStyle w:val="Brdtext"/>
              <w:spacing w:before="120" w:after="0"/>
              <w:ind w:left="113" w:right="113"/>
              <w:jc w:val="center"/>
            </w:pPr>
          </w:p>
        </w:tc>
        <w:tc>
          <w:tcPr>
            <w:tcW w:w="1134" w:type="dxa"/>
            <w:vMerge w:val="restart"/>
            <w:textDirection w:val="btLr"/>
            <w:vAlign w:val="center"/>
          </w:tcPr>
          <w:p w14:paraId="5740E595" w14:textId="77777777" w:rsidR="00AB46A0" w:rsidRPr="00D06EB3" w:rsidRDefault="00AB46A0" w:rsidP="00F32237">
            <w:pPr>
              <w:pStyle w:val="Brdtext"/>
              <w:spacing w:before="120" w:after="0"/>
              <w:ind w:left="113" w:right="113"/>
              <w:jc w:val="center"/>
            </w:pPr>
            <w:r w:rsidRPr="009845E0">
              <w:t>Authori</w:t>
            </w:r>
            <w:r>
              <w:t>s</w:t>
            </w:r>
            <w:r w:rsidRPr="009845E0">
              <w:t>ation</w:t>
            </w:r>
          </w:p>
        </w:tc>
        <w:tc>
          <w:tcPr>
            <w:tcW w:w="5812" w:type="dxa"/>
            <w:vAlign w:val="center"/>
          </w:tcPr>
          <w:p w14:paraId="6FB461D0" w14:textId="77777777" w:rsidR="00AB46A0" w:rsidRPr="00404EE1" w:rsidRDefault="00AB46A0" w:rsidP="00F32237">
            <w:pPr>
              <w:pStyle w:val="Brdtext"/>
              <w:spacing w:before="120" w:after="0"/>
            </w:pPr>
            <w:sdt>
              <w:sdtPr>
                <w:rPr>
                  <w:szCs w:val="24"/>
                </w:rPr>
                <w:id w:val="-1573199791"/>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rsidRPr="009845E0">
              <w:t>Candidate List</w:t>
            </w:r>
          </w:p>
        </w:tc>
      </w:tr>
      <w:tr w:rsidR="00AB46A0" w:rsidRPr="00DC3C42" w14:paraId="6F1A58EE" w14:textId="77777777" w:rsidTr="00F32237">
        <w:trPr>
          <w:cantSplit/>
          <w:trHeight w:val="838"/>
        </w:trPr>
        <w:tc>
          <w:tcPr>
            <w:tcW w:w="1384" w:type="dxa"/>
            <w:vMerge/>
            <w:textDirection w:val="btLr"/>
            <w:vAlign w:val="center"/>
          </w:tcPr>
          <w:p w14:paraId="460BED70" w14:textId="77777777" w:rsidR="00AB46A0" w:rsidRPr="00D06EB3" w:rsidRDefault="00AB46A0" w:rsidP="00F32237">
            <w:pPr>
              <w:pStyle w:val="Brdtext"/>
              <w:spacing w:before="120" w:after="0"/>
              <w:ind w:left="113" w:right="113"/>
              <w:jc w:val="center"/>
            </w:pPr>
          </w:p>
        </w:tc>
        <w:tc>
          <w:tcPr>
            <w:tcW w:w="1134" w:type="dxa"/>
            <w:vMerge/>
            <w:textDirection w:val="btLr"/>
            <w:vAlign w:val="center"/>
          </w:tcPr>
          <w:p w14:paraId="52A0BE39" w14:textId="77777777" w:rsidR="00AB46A0" w:rsidRPr="00D06EB3" w:rsidRDefault="00AB46A0" w:rsidP="00F32237">
            <w:pPr>
              <w:pStyle w:val="Brdtext"/>
              <w:spacing w:before="120" w:after="0"/>
              <w:ind w:left="113" w:right="113"/>
              <w:jc w:val="center"/>
            </w:pPr>
          </w:p>
        </w:tc>
        <w:tc>
          <w:tcPr>
            <w:tcW w:w="5812" w:type="dxa"/>
            <w:vAlign w:val="center"/>
          </w:tcPr>
          <w:p w14:paraId="7BAE770E" w14:textId="77777777" w:rsidR="00AB46A0" w:rsidRPr="00404EE1" w:rsidRDefault="00AB46A0" w:rsidP="00F32237">
            <w:pPr>
              <w:pStyle w:val="Brdtext"/>
              <w:spacing w:before="120" w:after="0"/>
            </w:pPr>
            <w:sdt>
              <w:sdtPr>
                <w:rPr>
                  <w:szCs w:val="24"/>
                </w:rPr>
                <w:id w:val="-305165667"/>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rsidRPr="009845E0">
              <w:t xml:space="preserve">Annex XIV </w:t>
            </w:r>
          </w:p>
        </w:tc>
      </w:tr>
      <w:tr w:rsidR="00AB46A0" w:rsidRPr="00DC3C42" w14:paraId="1783C816" w14:textId="77777777" w:rsidTr="00F32237">
        <w:trPr>
          <w:cantSplit/>
          <w:trHeight w:val="896"/>
        </w:trPr>
        <w:tc>
          <w:tcPr>
            <w:tcW w:w="1384" w:type="dxa"/>
            <w:vMerge/>
            <w:textDirection w:val="btLr"/>
            <w:vAlign w:val="center"/>
          </w:tcPr>
          <w:p w14:paraId="60D2A49C" w14:textId="77777777" w:rsidR="00AB46A0" w:rsidRPr="00D06EB3" w:rsidRDefault="00AB46A0" w:rsidP="00F32237">
            <w:pPr>
              <w:pStyle w:val="Brdtext"/>
              <w:spacing w:before="120" w:after="0"/>
              <w:ind w:left="113" w:right="113"/>
              <w:jc w:val="center"/>
            </w:pPr>
          </w:p>
        </w:tc>
        <w:tc>
          <w:tcPr>
            <w:tcW w:w="1134" w:type="dxa"/>
            <w:tcBorders>
              <w:bottom w:val="single" w:sz="4" w:space="0" w:color="auto"/>
            </w:tcBorders>
            <w:textDirection w:val="btLr"/>
            <w:vAlign w:val="center"/>
          </w:tcPr>
          <w:p w14:paraId="0C01E225" w14:textId="77777777" w:rsidR="00AB46A0" w:rsidRPr="00D06EB3" w:rsidRDefault="00AB46A0" w:rsidP="00F32237">
            <w:pPr>
              <w:pStyle w:val="Brdtext"/>
              <w:spacing w:before="120" w:after="0"/>
              <w:ind w:left="113" w:right="113"/>
              <w:jc w:val="center"/>
            </w:pPr>
            <w:proofErr w:type="spellStart"/>
            <w:r w:rsidRPr="009845E0">
              <w:t>Restri</w:t>
            </w:r>
            <w:r>
              <w:t>-</w:t>
            </w:r>
            <w:r w:rsidRPr="009845E0">
              <w:t>ction</w:t>
            </w:r>
            <w:proofErr w:type="spellEnd"/>
          </w:p>
        </w:tc>
        <w:tc>
          <w:tcPr>
            <w:tcW w:w="5812" w:type="dxa"/>
            <w:tcBorders>
              <w:bottom w:val="single" w:sz="4" w:space="0" w:color="auto"/>
            </w:tcBorders>
            <w:vAlign w:val="center"/>
          </w:tcPr>
          <w:p w14:paraId="3F4D6761" w14:textId="77777777" w:rsidR="00AB46A0" w:rsidRPr="00404EE1" w:rsidRDefault="00AB46A0" w:rsidP="00F32237">
            <w:pPr>
              <w:pStyle w:val="Brdtext"/>
              <w:spacing w:before="120" w:after="0"/>
            </w:pPr>
            <w:sdt>
              <w:sdtPr>
                <w:rPr>
                  <w:szCs w:val="24"/>
                </w:rPr>
                <w:id w:val="-1799371774"/>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rsidRPr="00074765">
              <w:t>Annex XVII</w:t>
            </w:r>
            <w:r>
              <w:rPr>
                <w:rStyle w:val="Fotnotsreferens"/>
              </w:rPr>
              <w:footnoteReference w:id="2"/>
            </w:r>
          </w:p>
        </w:tc>
      </w:tr>
      <w:tr w:rsidR="00AB46A0" w:rsidRPr="00DC3C42" w14:paraId="75164B81" w14:textId="77777777" w:rsidTr="00F32237">
        <w:trPr>
          <w:cantSplit/>
          <w:trHeight w:val="1475"/>
        </w:trPr>
        <w:tc>
          <w:tcPr>
            <w:tcW w:w="1384" w:type="dxa"/>
            <w:textDirection w:val="btLr"/>
            <w:vAlign w:val="center"/>
          </w:tcPr>
          <w:p w14:paraId="359FB149" w14:textId="77777777" w:rsidR="00AB46A0" w:rsidRPr="00037AE8" w:rsidRDefault="00AB46A0" w:rsidP="00F32237">
            <w:pPr>
              <w:pStyle w:val="Brdtext"/>
              <w:spacing w:before="120" w:after="0"/>
              <w:ind w:left="113" w:right="113"/>
              <w:jc w:val="center"/>
            </w:pPr>
            <w:r w:rsidRPr="00D06EB3">
              <w:t>Harmonised C&amp;L</w:t>
            </w:r>
            <w:r>
              <w:t xml:space="preserve"> </w:t>
            </w:r>
          </w:p>
        </w:tc>
        <w:tc>
          <w:tcPr>
            <w:tcW w:w="1134" w:type="dxa"/>
            <w:tcBorders>
              <w:right w:val="nil"/>
            </w:tcBorders>
            <w:textDirection w:val="btLr"/>
            <w:vAlign w:val="center"/>
          </w:tcPr>
          <w:p w14:paraId="4A610753" w14:textId="77777777" w:rsidR="00AB46A0" w:rsidRPr="00D06EB3" w:rsidRDefault="00AB46A0" w:rsidP="00F32237">
            <w:pPr>
              <w:pStyle w:val="Brdtext"/>
              <w:spacing w:before="120" w:after="0"/>
              <w:ind w:left="113" w:right="113"/>
              <w:jc w:val="center"/>
            </w:pPr>
          </w:p>
        </w:tc>
        <w:tc>
          <w:tcPr>
            <w:tcW w:w="5812" w:type="dxa"/>
            <w:tcBorders>
              <w:left w:val="nil"/>
            </w:tcBorders>
            <w:vAlign w:val="center"/>
          </w:tcPr>
          <w:p w14:paraId="0762D1C6" w14:textId="77777777" w:rsidR="00AB46A0" w:rsidRPr="00404EE1" w:rsidRDefault="00AB46A0" w:rsidP="00F32237">
            <w:pPr>
              <w:pStyle w:val="Brdtext"/>
              <w:spacing w:before="120" w:after="0"/>
            </w:pPr>
            <w:sdt>
              <w:sdtPr>
                <w:rPr>
                  <w:szCs w:val="24"/>
                </w:rPr>
                <w:id w:val="-1422323023"/>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Annex VI (CLP)</w:t>
            </w:r>
            <w:r>
              <w:t xml:space="preserve"> (see section 3.1)</w:t>
            </w:r>
          </w:p>
        </w:tc>
      </w:tr>
      <w:tr w:rsidR="00AB46A0" w:rsidRPr="00DC3C42" w14:paraId="09E0F8B5" w14:textId="77777777" w:rsidTr="00F32237">
        <w:trPr>
          <w:cantSplit/>
          <w:trHeight w:val="726"/>
        </w:trPr>
        <w:tc>
          <w:tcPr>
            <w:tcW w:w="1384" w:type="dxa"/>
            <w:vMerge w:val="restart"/>
            <w:textDirection w:val="btLr"/>
            <w:vAlign w:val="center"/>
          </w:tcPr>
          <w:p w14:paraId="735B8501" w14:textId="77777777" w:rsidR="00AB46A0" w:rsidRPr="00037AE8" w:rsidRDefault="00AB46A0" w:rsidP="00F32237">
            <w:pPr>
              <w:pStyle w:val="Brdtext"/>
              <w:spacing w:before="120" w:after="0"/>
              <w:ind w:left="113" w:right="113"/>
              <w:jc w:val="center"/>
            </w:pPr>
            <w:r w:rsidRPr="00361575">
              <w:t>Processes under other EU legislation</w:t>
            </w:r>
          </w:p>
        </w:tc>
        <w:tc>
          <w:tcPr>
            <w:tcW w:w="1134" w:type="dxa"/>
            <w:tcBorders>
              <w:right w:val="nil"/>
            </w:tcBorders>
            <w:textDirection w:val="btLr"/>
            <w:vAlign w:val="center"/>
          </w:tcPr>
          <w:p w14:paraId="190A5BFF" w14:textId="77777777" w:rsidR="00AB46A0" w:rsidRPr="00D06EB3" w:rsidRDefault="00AB46A0" w:rsidP="00F32237">
            <w:pPr>
              <w:pStyle w:val="Brdtext"/>
              <w:spacing w:before="120" w:after="0"/>
              <w:ind w:left="113" w:right="113"/>
              <w:jc w:val="center"/>
            </w:pPr>
          </w:p>
        </w:tc>
        <w:tc>
          <w:tcPr>
            <w:tcW w:w="5812" w:type="dxa"/>
            <w:tcBorders>
              <w:left w:val="nil"/>
            </w:tcBorders>
            <w:vAlign w:val="center"/>
          </w:tcPr>
          <w:p w14:paraId="3D77F704" w14:textId="77777777" w:rsidR="00AB46A0" w:rsidRDefault="00AB46A0" w:rsidP="00F32237">
            <w:pPr>
              <w:pStyle w:val="Brdtext"/>
              <w:spacing w:before="120" w:after="0"/>
              <w:ind w:left="459" w:hanging="459"/>
            </w:pPr>
            <w:sdt>
              <w:sdtPr>
                <w:rPr>
                  <w:szCs w:val="24"/>
                </w:rPr>
                <w:id w:val="21146260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940A8">
              <w:t xml:space="preserve"> </w:t>
            </w:r>
            <w:r w:rsidRPr="00404EE1">
              <w:t>Plant Protection Products Regulation</w:t>
            </w:r>
            <w:r>
              <w:t xml:space="preserve"> </w:t>
            </w:r>
          </w:p>
          <w:p w14:paraId="3E4C22D4" w14:textId="77777777" w:rsidR="00AB46A0" w:rsidRPr="009940A8" w:rsidRDefault="00AB46A0" w:rsidP="00F32237">
            <w:pPr>
              <w:pStyle w:val="Brdtext"/>
              <w:spacing w:before="120" w:after="0"/>
              <w:ind w:left="317"/>
            </w:pPr>
            <w:r>
              <w:t>Regulation</w:t>
            </w:r>
            <w:r w:rsidRPr="00404EE1">
              <w:t xml:space="preserve"> </w:t>
            </w:r>
            <w:r>
              <w:t xml:space="preserve">(EC) No 1107/2009 </w:t>
            </w:r>
          </w:p>
        </w:tc>
      </w:tr>
      <w:tr w:rsidR="00AB46A0" w:rsidRPr="00037AE8" w14:paraId="6870A5F0" w14:textId="77777777" w:rsidTr="00F32237">
        <w:trPr>
          <w:cantSplit/>
          <w:trHeight w:val="694"/>
        </w:trPr>
        <w:tc>
          <w:tcPr>
            <w:tcW w:w="1384" w:type="dxa"/>
            <w:vMerge/>
            <w:textDirection w:val="btLr"/>
            <w:vAlign w:val="center"/>
          </w:tcPr>
          <w:p w14:paraId="16B1FB7E" w14:textId="77777777" w:rsidR="00AB46A0" w:rsidRPr="00831D14" w:rsidRDefault="00AB46A0" w:rsidP="00F32237">
            <w:pPr>
              <w:pStyle w:val="Brdtext"/>
              <w:spacing w:before="120" w:after="0"/>
              <w:ind w:left="113" w:right="113"/>
              <w:jc w:val="center"/>
            </w:pPr>
          </w:p>
        </w:tc>
        <w:tc>
          <w:tcPr>
            <w:tcW w:w="1134" w:type="dxa"/>
            <w:tcBorders>
              <w:right w:val="nil"/>
            </w:tcBorders>
            <w:textDirection w:val="btLr"/>
            <w:vAlign w:val="center"/>
          </w:tcPr>
          <w:p w14:paraId="4509CC0B" w14:textId="77777777" w:rsidR="00AB46A0" w:rsidRPr="001F1FCC" w:rsidRDefault="00AB46A0" w:rsidP="00F32237">
            <w:pPr>
              <w:pStyle w:val="Brdtext"/>
              <w:spacing w:before="120" w:after="0"/>
              <w:ind w:left="113" w:right="113"/>
              <w:jc w:val="center"/>
            </w:pPr>
          </w:p>
        </w:tc>
        <w:tc>
          <w:tcPr>
            <w:tcW w:w="5812" w:type="dxa"/>
            <w:tcBorders>
              <w:left w:val="nil"/>
            </w:tcBorders>
            <w:vAlign w:val="center"/>
          </w:tcPr>
          <w:p w14:paraId="23E58F79" w14:textId="77777777" w:rsidR="00AB46A0" w:rsidRDefault="00AB46A0" w:rsidP="00F32237">
            <w:pPr>
              <w:pStyle w:val="Brdtext"/>
              <w:spacing w:before="120" w:after="0"/>
              <w:ind w:left="317" w:hanging="317"/>
            </w:pPr>
            <w:sdt>
              <w:sdtPr>
                <w:rPr>
                  <w:szCs w:val="24"/>
                </w:rPr>
                <w:id w:val="16516395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Biocidal Product Regulation</w:t>
            </w:r>
          </w:p>
          <w:p w14:paraId="38BDE7C1" w14:textId="77777777" w:rsidR="00AB46A0" w:rsidRPr="00404EE1" w:rsidRDefault="00AB46A0" w:rsidP="00F32237">
            <w:pPr>
              <w:pStyle w:val="Brdtext"/>
              <w:spacing w:before="120" w:after="0"/>
              <w:ind w:left="317"/>
            </w:pPr>
            <w:r>
              <w:t>Regulation</w:t>
            </w:r>
            <w:r w:rsidRPr="00404EE1">
              <w:t xml:space="preserve"> (EU) 528/2012</w:t>
            </w:r>
            <w:r>
              <w:t xml:space="preserve"> and amendments</w:t>
            </w:r>
            <w:r w:rsidRPr="00404EE1">
              <w:t xml:space="preserve"> </w:t>
            </w:r>
            <w:r>
              <w:t xml:space="preserve"> </w:t>
            </w:r>
          </w:p>
        </w:tc>
      </w:tr>
      <w:tr w:rsidR="00AB46A0" w:rsidRPr="00853DDE" w14:paraId="76C2971C" w14:textId="77777777" w:rsidTr="00F32237">
        <w:trPr>
          <w:cantSplit/>
          <w:trHeight w:val="704"/>
        </w:trPr>
        <w:tc>
          <w:tcPr>
            <w:tcW w:w="1384" w:type="dxa"/>
            <w:vMerge w:val="restart"/>
            <w:textDirection w:val="btLr"/>
            <w:vAlign w:val="center"/>
          </w:tcPr>
          <w:p w14:paraId="449AC553" w14:textId="77777777" w:rsidR="00AB46A0" w:rsidRPr="003E5AC2" w:rsidRDefault="00AB46A0" w:rsidP="00F32237">
            <w:pPr>
              <w:pStyle w:val="Brdtext"/>
              <w:spacing w:before="120" w:after="0"/>
              <w:ind w:left="113" w:right="113"/>
              <w:jc w:val="center"/>
            </w:pPr>
            <w:r>
              <w:t>Previous legislation</w:t>
            </w:r>
          </w:p>
        </w:tc>
        <w:tc>
          <w:tcPr>
            <w:tcW w:w="1134" w:type="dxa"/>
            <w:tcBorders>
              <w:right w:val="nil"/>
            </w:tcBorders>
            <w:textDirection w:val="btLr"/>
            <w:vAlign w:val="center"/>
          </w:tcPr>
          <w:p w14:paraId="0090D287" w14:textId="77777777" w:rsidR="00AB46A0" w:rsidRPr="003E5AC2" w:rsidRDefault="00AB46A0" w:rsidP="00F32237">
            <w:pPr>
              <w:pStyle w:val="Brdtext"/>
              <w:spacing w:before="120" w:after="0"/>
              <w:ind w:left="113" w:right="113"/>
              <w:jc w:val="center"/>
            </w:pPr>
          </w:p>
        </w:tc>
        <w:tc>
          <w:tcPr>
            <w:tcW w:w="5812" w:type="dxa"/>
            <w:tcBorders>
              <w:left w:val="nil"/>
            </w:tcBorders>
            <w:vAlign w:val="center"/>
          </w:tcPr>
          <w:p w14:paraId="4EE9428F" w14:textId="77777777" w:rsidR="00AB46A0" w:rsidRDefault="00AB46A0" w:rsidP="00F32237">
            <w:pPr>
              <w:pStyle w:val="Brdtext"/>
              <w:spacing w:before="120" w:after="0"/>
              <w:ind w:left="317" w:hanging="317"/>
              <w:rPr>
                <w:lang w:val="fr-FR"/>
              </w:rPr>
            </w:pPr>
            <w:sdt>
              <w:sdtPr>
                <w:rPr>
                  <w:szCs w:val="24"/>
                  <w:lang w:val="fr-BE"/>
                </w:rPr>
                <w:id w:val="2022975554"/>
                <w14:checkbox>
                  <w14:checked w14:val="0"/>
                  <w14:checkedState w14:val="2612" w14:font="MS Gothic"/>
                  <w14:uncheckedState w14:val="2610" w14:font="MS Gothic"/>
                </w14:checkbox>
              </w:sdtPr>
              <w:sdtContent>
                <w:r w:rsidRPr="006513B1">
                  <w:rPr>
                    <w:rFonts w:ascii="MS Gothic" w:eastAsia="MS Gothic" w:hAnsi="MS Gothic" w:hint="eastAsia"/>
                    <w:szCs w:val="24"/>
                    <w:lang w:val="fr-BE"/>
                  </w:rPr>
                  <w:t>☐</w:t>
                </w:r>
              </w:sdtContent>
            </w:sdt>
            <w:r w:rsidRPr="0048058C">
              <w:rPr>
                <w:lang w:val="fr-BE"/>
              </w:rPr>
              <w:t xml:space="preserve"> </w:t>
            </w:r>
            <w:r w:rsidRPr="006C0A2C">
              <w:rPr>
                <w:lang w:val="fr-FR"/>
              </w:rPr>
              <w:t>Dangerous substances Directive</w:t>
            </w:r>
          </w:p>
          <w:p w14:paraId="65AB46A8" w14:textId="77777777" w:rsidR="00AB46A0" w:rsidRPr="0048058C" w:rsidRDefault="00AB46A0" w:rsidP="00F32237">
            <w:pPr>
              <w:pStyle w:val="Brdtext"/>
              <w:spacing w:before="120" w:after="0"/>
              <w:ind w:left="317"/>
              <w:rPr>
                <w:lang w:val="fr-BE"/>
              </w:rPr>
            </w:pPr>
            <w:r>
              <w:rPr>
                <w:lang w:val="fr-FR"/>
              </w:rPr>
              <w:t xml:space="preserve"> Directive</w:t>
            </w:r>
            <w:r w:rsidRPr="006C0A2C">
              <w:rPr>
                <w:lang w:val="fr-FR"/>
              </w:rPr>
              <w:t xml:space="preserve"> 67/548/EEC (NONS)</w:t>
            </w:r>
          </w:p>
        </w:tc>
      </w:tr>
      <w:tr w:rsidR="00AB46A0" w:rsidRPr="00037AE8" w14:paraId="6DA1ABE6" w14:textId="77777777" w:rsidTr="00F32237">
        <w:trPr>
          <w:cantSplit/>
          <w:trHeight w:val="646"/>
        </w:trPr>
        <w:tc>
          <w:tcPr>
            <w:tcW w:w="1384" w:type="dxa"/>
            <w:vMerge/>
            <w:textDirection w:val="btLr"/>
            <w:vAlign w:val="center"/>
          </w:tcPr>
          <w:p w14:paraId="222C0595" w14:textId="77777777" w:rsidR="00AB46A0" w:rsidRPr="0048058C" w:rsidRDefault="00AB46A0" w:rsidP="00F32237">
            <w:pPr>
              <w:pStyle w:val="Brdtext"/>
              <w:spacing w:before="120" w:after="0"/>
              <w:ind w:left="113" w:right="113"/>
              <w:jc w:val="center"/>
              <w:rPr>
                <w:lang w:val="fr-BE"/>
              </w:rPr>
            </w:pPr>
          </w:p>
        </w:tc>
        <w:tc>
          <w:tcPr>
            <w:tcW w:w="1134" w:type="dxa"/>
            <w:tcBorders>
              <w:right w:val="nil"/>
            </w:tcBorders>
            <w:textDirection w:val="btLr"/>
            <w:vAlign w:val="center"/>
          </w:tcPr>
          <w:p w14:paraId="0DDEFB13" w14:textId="77777777" w:rsidR="00AB46A0" w:rsidRPr="0048058C" w:rsidRDefault="00AB46A0" w:rsidP="00F32237">
            <w:pPr>
              <w:pStyle w:val="Brdtext"/>
              <w:spacing w:before="120" w:after="0"/>
              <w:ind w:left="113" w:right="113"/>
              <w:jc w:val="center"/>
              <w:rPr>
                <w:lang w:val="fr-BE"/>
              </w:rPr>
            </w:pPr>
          </w:p>
        </w:tc>
        <w:tc>
          <w:tcPr>
            <w:tcW w:w="5812" w:type="dxa"/>
            <w:tcBorders>
              <w:left w:val="nil"/>
            </w:tcBorders>
            <w:vAlign w:val="center"/>
          </w:tcPr>
          <w:p w14:paraId="3E52C87E" w14:textId="77777777" w:rsidR="00AB46A0" w:rsidRDefault="00AB46A0" w:rsidP="00F32237">
            <w:pPr>
              <w:pStyle w:val="Brdtext"/>
              <w:spacing w:before="120" w:after="0"/>
              <w:ind w:left="317" w:hanging="317"/>
            </w:pPr>
            <w:sdt>
              <w:sdtPr>
                <w:rPr>
                  <w:szCs w:val="24"/>
                </w:rPr>
                <w:id w:val="98390115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Existing Substances Regulation</w:t>
            </w:r>
          </w:p>
          <w:p w14:paraId="08E25348" w14:textId="77777777" w:rsidR="00AB46A0" w:rsidRPr="00404EE1" w:rsidRDefault="00AB46A0" w:rsidP="00F32237">
            <w:pPr>
              <w:pStyle w:val="Brdtext"/>
              <w:spacing w:before="120" w:after="0"/>
              <w:ind w:left="317"/>
            </w:pPr>
            <w:r>
              <w:t xml:space="preserve"> Regulation</w:t>
            </w:r>
            <w:r w:rsidRPr="00404EE1">
              <w:t xml:space="preserve"> 793/93/EEC</w:t>
            </w:r>
            <w:r>
              <w:t xml:space="preserve"> (RAR/RRS)   </w:t>
            </w:r>
          </w:p>
        </w:tc>
      </w:tr>
      <w:tr w:rsidR="00AB46A0" w:rsidRPr="00037AE8" w14:paraId="3103C983" w14:textId="77777777" w:rsidTr="00F32237">
        <w:trPr>
          <w:cantSplit/>
          <w:trHeight w:val="1000"/>
        </w:trPr>
        <w:tc>
          <w:tcPr>
            <w:tcW w:w="1384" w:type="dxa"/>
            <w:vMerge w:val="restart"/>
            <w:textDirection w:val="btLr"/>
            <w:vAlign w:val="center"/>
          </w:tcPr>
          <w:p w14:paraId="6E4C7FFA" w14:textId="77777777" w:rsidR="00AB46A0" w:rsidRPr="00C220E5" w:rsidRDefault="00AB46A0" w:rsidP="00F32237">
            <w:pPr>
              <w:pStyle w:val="Brdtext"/>
              <w:spacing w:before="120" w:after="0"/>
              <w:ind w:left="113" w:right="113"/>
              <w:jc w:val="center"/>
            </w:pPr>
            <w:r w:rsidRPr="00C220E5">
              <w:t>(UNEP) Stockholm convention (POPs Protocol)</w:t>
            </w:r>
          </w:p>
        </w:tc>
        <w:tc>
          <w:tcPr>
            <w:tcW w:w="1134" w:type="dxa"/>
            <w:tcBorders>
              <w:right w:val="nil"/>
            </w:tcBorders>
            <w:textDirection w:val="btLr"/>
            <w:vAlign w:val="center"/>
          </w:tcPr>
          <w:p w14:paraId="07D6898B" w14:textId="77777777" w:rsidR="00AB46A0" w:rsidRPr="00C220E5" w:rsidRDefault="00AB46A0" w:rsidP="00F32237">
            <w:pPr>
              <w:pStyle w:val="Brdtext"/>
              <w:spacing w:before="120" w:after="0"/>
              <w:ind w:left="113" w:right="113"/>
              <w:jc w:val="center"/>
            </w:pPr>
          </w:p>
        </w:tc>
        <w:tc>
          <w:tcPr>
            <w:tcW w:w="5812" w:type="dxa"/>
            <w:tcBorders>
              <w:left w:val="nil"/>
            </w:tcBorders>
            <w:vAlign w:val="center"/>
          </w:tcPr>
          <w:p w14:paraId="4C674661" w14:textId="77777777" w:rsidR="00AB46A0" w:rsidRPr="00404EE1" w:rsidRDefault="00AB46A0" w:rsidP="00F32237">
            <w:pPr>
              <w:pStyle w:val="Brdtext"/>
              <w:spacing w:before="120" w:after="0"/>
            </w:pPr>
            <w:sdt>
              <w:sdtPr>
                <w:rPr>
                  <w:szCs w:val="24"/>
                </w:rPr>
                <w:id w:val="1125200805"/>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t xml:space="preserve">Assessment   </w:t>
            </w:r>
          </w:p>
        </w:tc>
      </w:tr>
      <w:tr w:rsidR="00AB46A0" w:rsidRPr="00037AE8" w14:paraId="1C9C13C3" w14:textId="77777777" w:rsidTr="00F32237">
        <w:trPr>
          <w:cantSplit/>
          <w:trHeight w:val="692"/>
        </w:trPr>
        <w:tc>
          <w:tcPr>
            <w:tcW w:w="1384" w:type="dxa"/>
            <w:vMerge/>
            <w:textDirection w:val="btLr"/>
            <w:vAlign w:val="center"/>
          </w:tcPr>
          <w:p w14:paraId="79566AFF" w14:textId="77777777" w:rsidR="00AB46A0" w:rsidRPr="0048058C" w:rsidRDefault="00AB46A0" w:rsidP="00F32237">
            <w:pPr>
              <w:pStyle w:val="Brdtext"/>
              <w:spacing w:before="120" w:after="0"/>
              <w:ind w:left="113" w:right="113"/>
              <w:jc w:val="center"/>
            </w:pPr>
          </w:p>
        </w:tc>
        <w:tc>
          <w:tcPr>
            <w:tcW w:w="1134" w:type="dxa"/>
            <w:tcBorders>
              <w:right w:val="nil"/>
            </w:tcBorders>
            <w:textDirection w:val="btLr"/>
            <w:vAlign w:val="center"/>
          </w:tcPr>
          <w:p w14:paraId="0353B2A0" w14:textId="77777777" w:rsidR="00AB46A0" w:rsidRPr="0048058C" w:rsidRDefault="00AB46A0" w:rsidP="00F32237">
            <w:pPr>
              <w:pStyle w:val="Brdtext"/>
              <w:spacing w:before="120"/>
              <w:ind w:left="113" w:right="113"/>
              <w:jc w:val="center"/>
            </w:pPr>
          </w:p>
        </w:tc>
        <w:tc>
          <w:tcPr>
            <w:tcW w:w="5812" w:type="dxa"/>
            <w:tcBorders>
              <w:left w:val="nil"/>
            </w:tcBorders>
            <w:vAlign w:val="center"/>
          </w:tcPr>
          <w:p w14:paraId="3CF84C83" w14:textId="77777777" w:rsidR="00AB46A0" w:rsidRPr="00404EE1" w:rsidRDefault="00AB46A0" w:rsidP="00F32237">
            <w:pPr>
              <w:pStyle w:val="Brdtext"/>
              <w:spacing w:before="120"/>
            </w:pPr>
            <w:sdt>
              <w:sdtPr>
                <w:rPr>
                  <w:szCs w:val="24"/>
                </w:rPr>
                <w:id w:val="6896564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w:t>
            </w:r>
            <w:r>
              <w:t xml:space="preserve">In relevant Annex </w:t>
            </w:r>
          </w:p>
        </w:tc>
      </w:tr>
      <w:tr w:rsidR="00AB46A0" w:rsidRPr="00037AE8" w14:paraId="6DABA6AB" w14:textId="77777777" w:rsidTr="00F32237">
        <w:trPr>
          <w:cantSplit/>
          <w:trHeight w:val="1431"/>
        </w:trPr>
        <w:tc>
          <w:tcPr>
            <w:tcW w:w="1384" w:type="dxa"/>
            <w:textDirection w:val="btLr"/>
            <w:vAlign w:val="center"/>
          </w:tcPr>
          <w:p w14:paraId="2AAEE5F9" w14:textId="77777777" w:rsidR="00AB46A0" w:rsidRPr="0048058C" w:rsidRDefault="00AB46A0" w:rsidP="00F32237">
            <w:pPr>
              <w:pStyle w:val="Brdtext"/>
              <w:spacing w:before="120" w:after="0"/>
              <w:ind w:left="113" w:right="113"/>
              <w:jc w:val="center"/>
            </w:pPr>
            <w:r>
              <w:lastRenderedPageBreak/>
              <w:t>Other processes/ EU legislation</w:t>
            </w:r>
          </w:p>
        </w:tc>
        <w:tc>
          <w:tcPr>
            <w:tcW w:w="1134" w:type="dxa"/>
            <w:tcBorders>
              <w:right w:val="nil"/>
            </w:tcBorders>
            <w:textDirection w:val="btLr"/>
            <w:vAlign w:val="center"/>
          </w:tcPr>
          <w:p w14:paraId="12B95BE6" w14:textId="77777777" w:rsidR="00AB46A0" w:rsidRPr="0048058C" w:rsidRDefault="00AB46A0" w:rsidP="00F32237">
            <w:pPr>
              <w:pStyle w:val="Brdtext"/>
              <w:spacing w:before="120"/>
              <w:ind w:left="113" w:right="113"/>
              <w:jc w:val="center"/>
            </w:pPr>
          </w:p>
        </w:tc>
        <w:tc>
          <w:tcPr>
            <w:tcW w:w="5812" w:type="dxa"/>
            <w:tcBorders>
              <w:left w:val="nil"/>
            </w:tcBorders>
            <w:vAlign w:val="center"/>
          </w:tcPr>
          <w:p w14:paraId="6C07433F" w14:textId="77777777" w:rsidR="00AB46A0" w:rsidRPr="00404EE1" w:rsidRDefault="00AB46A0" w:rsidP="00F32237">
            <w:pPr>
              <w:pStyle w:val="Brdtext"/>
              <w:spacing w:before="120"/>
            </w:pPr>
            <w:sdt>
              <w:sdtPr>
                <w:rPr>
                  <w:szCs w:val="24"/>
                </w:rPr>
                <w:id w:val="-1936583114"/>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w:t>
            </w:r>
            <w:r w:rsidRPr="001D1FDB">
              <w:t>Other</w:t>
            </w:r>
            <w:r>
              <w:t xml:space="preserve"> </w:t>
            </w:r>
            <w:r w:rsidRPr="001D1FDB">
              <w:t>(provide further details below)</w:t>
            </w:r>
          </w:p>
        </w:tc>
      </w:tr>
    </w:tbl>
    <w:p w14:paraId="33389CF6" w14:textId="77777777" w:rsidR="00AB46A0" w:rsidRDefault="00AB46A0" w:rsidP="00AB46A0">
      <w:pPr>
        <w:pStyle w:val="Brdtext"/>
      </w:pPr>
    </w:p>
    <w:p w14:paraId="61ED06A4" w14:textId="7CE3336B" w:rsidR="00AB46A0" w:rsidRPr="00AB46A0" w:rsidRDefault="00AB46A0" w:rsidP="00AB46A0">
      <w:pPr>
        <w:pStyle w:val="Brdtext"/>
        <w:rPr>
          <w:lang w:val="en-US"/>
        </w:rPr>
      </w:pPr>
      <w:r w:rsidRPr="00AB46A0">
        <w:rPr>
          <w:rFonts w:cs="Verdana"/>
          <w:lang w:eastAsia="en-GB"/>
        </w:rPr>
        <w:t>The possible PBT/</w:t>
      </w:r>
      <w:proofErr w:type="spellStart"/>
      <w:r w:rsidRPr="00AB46A0">
        <w:rPr>
          <w:rFonts w:cs="Verdana"/>
          <w:lang w:eastAsia="en-GB"/>
        </w:rPr>
        <w:t>vPvB</w:t>
      </w:r>
      <w:proofErr w:type="spellEnd"/>
      <w:r w:rsidRPr="00AB46A0">
        <w:rPr>
          <w:rFonts w:cs="Verdana"/>
          <w:lang w:eastAsia="en-GB"/>
        </w:rPr>
        <w:t>-properties of the substance was discussed in the PBT expert group at ECHA in 2016 and the conclusion was that 2-(4-tert-butylbenzyl</w:t>
      </w:r>
      <w:proofErr w:type="gramStart"/>
      <w:r w:rsidRPr="00AB46A0">
        <w:rPr>
          <w:rFonts w:cs="Verdana"/>
          <w:lang w:eastAsia="en-GB"/>
        </w:rPr>
        <w:t>)</w:t>
      </w:r>
      <w:proofErr w:type="spellStart"/>
      <w:r w:rsidRPr="00AB46A0">
        <w:rPr>
          <w:rFonts w:cs="Verdana"/>
          <w:lang w:eastAsia="en-GB"/>
        </w:rPr>
        <w:t>propionaldehyde</w:t>
      </w:r>
      <w:proofErr w:type="spellEnd"/>
      <w:proofErr w:type="gramEnd"/>
      <w:r w:rsidRPr="00AB46A0">
        <w:rPr>
          <w:rFonts w:cs="Verdana"/>
          <w:lang w:eastAsia="en-GB"/>
        </w:rPr>
        <w:t xml:space="preserve">  was not considered to meet the PBT/</w:t>
      </w:r>
      <w:proofErr w:type="spellStart"/>
      <w:r w:rsidRPr="00AB46A0">
        <w:rPr>
          <w:rFonts w:cs="Verdana"/>
          <w:lang w:eastAsia="en-GB"/>
        </w:rPr>
        <w:t>vPvB</w:t>
      </w:r>
      <w:proofErr w:type="spellEnd"/>
      <w:r w:rsidRPr="00AB46A0">
        <w:rPr>
          <w:rFonts w:cs="Verdana"/>
          <w:lang w:eastAsia="en-GB"/>
        </w:rPr>
        <w:t xml:space="preserve"> criteria of REACH Annex XIII.</w:t>
      </w:r>
    </w:p>
    <w:p w14:paraId="5D24AB73" w14:textId="77777777" w:rsidR="00AB46A0" w:rsidRDefault="00AB46A0" w:rsidP="00AB46A0">
      <w:pPr>
        <w:pStyle w:val="Brdtext"/>
        <w:rPr>
          <w:rFonts w:cs="Verdana"/>
          <w:lang w:eastAsia="en-GB"/>
        </w:rPr>
      </w:pPr>
      <w:r w:rsidRPr="00030B0C">
        <w:rPr>
          <w:rFonts w:cs="Verdana"/>
          <w:lang w:eastAsia="en-GB"/>
        </w:rPr>
        <w:t xml:space="preserve">The </w:t>
      </w:r>
      <w:proofErr w:type="gramStart"/>
      <w:r w:rsidRPr="00030B0C">
        <w:rPr>
          <w:rFonts w:cs="Verdana"/>
          <w:lang w:eastAsia="en-GB"/>
        </w:rPr>
        <w:t xml:space="preserve">possible ED-properties of the substance was discussed in November 2017 </w:t>
      </w:r>
      <w:r>
        <w:rPr>
          <w:rFonts w:cs="Verdana"/>
          <w:lang w:eastAsia="en-GB"/>
        </w:rPr>
        <w:t>by</w:t>
      </w:r>
      <w:r w:rsidRPr="00030B0C">
        <w:rPr>
          <w:rFonts w:cs="Verdana"/>
          <w:lang w:eastAsia="en-GB"/>
        </w:rPr>
        <w:t xml:space="preserve"> the advisory ED expert group at ECHA</w:t>
      </w:r>
      <w:proofErr w:type="gramEnd"/>
      <w:r>
        <w:rPr>
          <w:rFonts w:cs="Verdana"/>
          <w:lang w:eastAsia="en-GB"/>
        </w:rPr>
        <w:t>, but no conclusion was reached</w:t>
      </w:r>
      <w:r>
        <w:rPr>
          <w:rFonts w:cs="Verdana"/>
          <w:lang w:val="en-US" w:eastAsia="en-GB"/>
        </w:rPr>
        <w:t xml:space="preserve"> </w:t>
      </w:r>
      <w:r>
        <w:rPr>
          <w:rFonts w:cs="Verdana"/>
          <w:lang w:eastAsia="en-GB"/>
        </w:rPr>
        <w:t>as data were considered inconclusive</w:t>
      </w:r>
      <w:r w:rsidRPr="00030B0C">
        <w:rPr>
          <w:rFonts w:cs="Verdana"/>
          <w:lang w:eastAsia="en-GB"/>
        </w:rPr>
        <w:t>.</w:t>
      </w:r>
    </w:p>
    <w:p w14:paraId="62D24DDE" w14:textId="77777777" w:rsidR="00AB46A0" w:rsidRPr="000D33E1" w:rsidRDefault="00AB46A0" w:rsidP="00AB46A0">
      <w:pPr>
        <w:pStyle w:val="Brdtext"/>
        <w:rPr>
          <w:rFonts w:cs="Verdana"/>
          <w:lang w:eastAsia="en-GB"/>
        </w:rPr>
      </w:pPr>
      <w:r w:rsidRPr="000D33E1">
        <w:rPr>
          <w:rFonts w:cs="Verdana"/>
          <w:lang w:eastAsia="en-GB"/>
        </w:rPr>
        <w:t>The S</w:t>
      </w:r>
      <w:r>
        <w:rPr>
          <w:rFonts w:cs="Verdana"/>
          <w:lang w:eastAsia="en-GB"/>
        </w:rPr>
        <w:t xml:space="preserve">cientific Committee on Consumer Safety (SCCS) concluded in their opinion from 2017 on the safety of the substance in cosmetic products that they could not conclude on the safety and that the evaluation by scientific bodies (under REACH) </w:t>
      </w:r>
      <w:proofErr w:type="gramStart"/>
      <w:r>
        <w:rPr>
          <w:rFonts w:cs="Verdana"/>
          <w:lang w:eastAsia="en-GB"/>
        </w:rPr>
        <w:t>will also</w:t>
      </w:r>
      <w:proofErr w:type="gramEnd"/>
      <w:r>
        <w:rPr>
          <w:rFonts w:cs="Verdana"/>
          <w:lang w:eastAsia="en-GB"/>
        </w:rPr>
        <w:t xml:space="preserve"> need to be taken into consideration for any future assessment of the substance (SCCS, 2017). The reason for this was that </w:t>
      </w:r>
      <w:proofErr w:type="spellStart"/>
      <w:r>
        <w:rPr>
          <w:rFonts w:cs="Verdana"/>
          <w:lang w:eastAsia="en-GB"/>
        </w:rPr>
        <w:t>genotoxicity</w:t>
      </w:r>
      <w:proofErr w:type="spellEnd"/>
      <w:r>
        <w:rPr>
          <w:rFonts w:cs="Verdana"/>
          <w:lang w:eastAsia="en-GB"/>
        </w:rPr>
        <w:t xml:space="preserve"> of </w:t>
      </w:r>
      <w:proofErr w:type="spellStart"/>
      <w:r>
        <w:rPr>
          <w:rFonts w:cs="Verdana"/>
          <w:lang w:eastAsia="en-GB"/>
        </w:rPr>
        <w:t>butylphenyl</w:t>
      </w:r>
      <w:proofErr w:type="spellEnd"/>
      <w:r>
        <w:rPr>
          <w:rFonts w:cs="Verdana"/>
          <w:lang w:eastAsia="en-GB"/>
        </w:rPr>
        <w:t xml:space="preserve"> </w:t>
      </w:r>
      <w:proofErr w:type="spellStart"/>
      <w:r>
        <w:rPr>
          <w:rFonts w:cs="Verdana"/>
          <w:lang w:eastAsia="en-GB"/>
        </w:rPr>
        <w:t>methylpropional</w:t>
      </w:r>
      <w:proofErr w:type="spellEnd"/>
      <w:r>
        <w:rPr>
          <w:rFonts w:cs="Verdana"/>
          <w:lang w:eastAsia="en-GB"/>
        </w:rPr>
        <w:t xml:space="preserve"> could not be excluded.</w:t>
      </w:r>
    </w:p>
    <w:p w14:paraId="185969D4" w14:textId="77777777" w:rsidR="003E1B3C" w:rsidRPr="00067433" w:rsidRDefault="003E1B3C" w:rsidP="00FB30A3">
      <w:pPr>
        <w:pStyle w:val="Brdtext"/>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w:t>
      </w:r>
      <w:proofErr w:type="gramStart"/>
      <w:r w:rsidRPr="00D53A3D">
        <w:t>is based</w:t>
      </w:r>
      <w:proofErr w:type="gramEnd"/>
      <w:r w:rsidRPr="00D53A3D">
        <w:t xml:space="preserve"> on the REACH and CLP data as well as other available relevant information taking into account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69BA8D3F"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08170A0" w:rsidR="00B2524D" w:rsidRPr="00B2524D" w:rsidRDefault="00AB46A0"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68353A04" w14:textId="10ED0481" w:rsidR="00471457" w:rsidRPr="000711F7" w:rsidRDefault="00AF77F1" w:rsidP="00AF77F1">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9" w14:textId="7DE30C0C" w:rsidR="00AF77F1" w:rsidRPr="00B7088E" w:rsidRDefault="00B7088E" w:rsidP="00B7088E">
      <w:pPr>
        <w:pStyle w:val="Rubrik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28132B93" w14:textId="12F64565" w:rsidR="00B7088E" w:rsidRDefault="00B7088E" w:rsidP="00B7088E">
      <w:pPr>
        <w:pStyle w:val="Brdtext"/>
      </w:pPr>
      <w:bookmarkStart w:id="2" w:name="_Toc357683635"/>
      <w:bookmarkStart w:id="3" w:name="_Toc357683639"/>
      <w:bookmarkEnd w:id="2"/>
    </w:p>
    <w:p w14:paraId="0FD216A4" w14:textId="77777777" w:rsidR="004B110C" w:rsidRPr="009F5443" w:rsidRDefault="004B110C" w:rsidP="004B110C">
      <w:pPr>
        <w:pStyle w:val="Brdtext"/>
      </w:pPr>
      <w:r w:rsidRPr="009F5443">
        <w:t xml:space="preserve">In </w:t>
      </w:r>
      <w:r>
        <w:t xml:space="preserve">the Committee for Risk Assessment (RAC) opinion, adopted 28 January 2019, the resulting Annex VI entry, if agreed by the COM, is </w:t>
      </w:r>
      <w:proofErr w:type="spellStart"/>
      <w:r>
        <w:t>Repr</w:t>
      </w:r>
      <w:proofErr w:type="spellEnd"/>
      <w:r>
        <w:t>. 1B, H360Fd</w:t>
      </w:r>
      <w:r>
        <w:rPr>
          <w:rStyle w:val="Fotnotsreferens"/>
        </w:rPr>
        <w:footnoteReference w:id="3"/>
      </w:r>
      <w:r>
        <w:t xml:space="preserve">. </w:t>
      </w:r>
    </w:p>
    <w:p w14:paraId="0CD0E0BA" w14:textId="77777777" w:rsidR="004B110C" w:rsidRDefault="004B110C" w:rsidP="00B7088E">
      <w:pPr>
        <w:pStyle w:val="Brdtext"/>
      </w:pPr>
    </w:p>
    <w:p w14:paraId="60BEA7C1" w14:textId="26C48404" w:rsidR="00B7088E" w:rsidRDefault="00B7088E" w:rsidP="00B7088E">
      <w:pPr>
        <w:pStyle w:val="Brdtext"/>
        <w:rPr>
          <w:rFonts w:cs="Verdana"/>
          <w:lang w:eastAsia="en-GB"/>
        </w:rPr>
      </w:pPr>
      <w:r w:rsidRPr="00E54B18">
        <w:t>2-(4-tert-butylbenzyl</w:t>
      </w:r>
      <w:proofErr w:type="gramStart"/>
      <w:r w:rsidRPr="00E54B18">
        <w:t>)</w:t>
      </w:r>
      <w:proofErr w:type="spellStart"/>
      <w:r w:rsidRPr="00E54B18">
        <w:t>propionaldehyde</w:t>
      </w:r>
      <w:proofErr w:type="spellEnd"/>
      <w:proofErr w:type="gramEnd"/>
      <w:r>
        <w:t xml:space="preserve"> is </w:t>
      </w:r>
      <w:r w:rsidR="00F15680">
        <w:t>thus considered to fulfil the criteria for classification</w:t>
      </w:r>
      <w:r>
        <w:t xml:space="preserve"> as toxic for reproduction in category 1B and</w:t>
      </w:r>
      <w:r w:rsidR="00F15680">
        <w:t xml:space="preserve"> therefore</w:t>
      </w:r>
      <w:r>
        <w:t xml:space="preserve"> fulfils the criteria as SVHC according to Article 57 (c) of REACH. The Swedish Chemicals Agency proposes to identify </w:t>
      </w:r>
      <w:r w:rsidRPr="00E54B18">
        <w:t>2-(4-tert-butylbenzyl</w:t>
      </w:r>
      <w:proofErr w:type="gramStart"/>
      <w:r w:rsidRPr="00E54B18">
        <w:t>)</w:t>
      </w:r>
      <w:proofErr w:type="spellStart"/>
      <w:r w:rsidRPr="00E54B18">
        <w:t>propionaldehyde</w:t>
      </w:r>
      <w:proofErr w:type="spellEnd"/>
      <w:proofErr w:type="gramEnd"/>
      <w:r>
        <w:t xml:space="preserve"> as an SVHC for inclusion in the Candidate List, with the primary aim to provide pressure on industry to </w:t>
      </w:r>
      <w:r>
        <w:rPr>
          <w:rFonts w:cs="Verdana"/>
          <w:lang w:eastAsia="en-GB"/>
        </w:rPr>
        <w:t xml:space="preserve">substitute the substance with less hazardous fragrance materials. </w:t>
      </w:r>
    </w:p>
    <w:p w14:paraId="469759BB" w14:textId="6BA03AB5" w:rsidR="004B110C" w:rsidRDefault="004B110C" w:rsidP="00B7088E">
      <w:pPr>
        <w:pStyle w:val="Brdtext"/>
        <w:rPr>
          <w:rFonts w:cs="Verdana"/>
          <w:lang w:eastAsia="en-GB"/>
        </w:rPr>
      </w:pPr>
    </w:p>
    <w:p w14:paraId="7CF92A4F" w14:textId="77777777" w:rsidR="004B110C" w:rsidRDefault="004B110C" w:rsidP="00B7088E">
      <w:pPr>
        <w:pStyle w:val="Brdtext"/>
        <w:rPr>
          <w:rFonts w:cs="Verdana"/>
          <w:lang w:eastAsia="en-GB"/>
        </w:rPr>
      </w:pPr>
    </w:p>
    <w:bookmarkEnd w:id="3"/>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B" w14:textId="5C3AC0B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proofErr w:type="gramStart"/>
      <w:r w:rsidR="00AC79ED" w:rsidRPr="00166209">
        <w:t>sh</w:t>
      </w:r>
      <w:r w:rsidR="00AC79ED">
        <w:t>ould</w:t>
      </w:r>
      <w:r w:rsidR="00AC79ED" w:rsidRPr="00166209">
        <w:t xml:space="preserve"> </w:t>
      </w:r>
      <w:r w:rsidRPr="00166209">
        <w:t>be made</w:t>
      </w:r>
      <w:proofErr w:type="gramEnd"/>
      <w:r w:rsidRPr="00166209">
        <w:t xml:space="preserv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422C1EA9" w:rsidR="00A14C19" w:rsidRPr="003016DF" w:rsidRDefault="00067433" w:rsidP="00B7088E">
            <w:r>
              <w:t xml:space="preserve">Submission of </w:t>
            </w:r>
            <w:r w:rsidR="00B7088E">
              <w:t>REACH</w:t>
            </w:r>
            <w:r w:rsidR="003E1B3C">
              <w:t xml:space="preserve"> Annex </w:t>
            </w:r>
            <w:r w:rsidR="00B7088E">
              <w:t>XV</w:t>
            </w:r>
            <w:r>
              <w:t xml:space="preserve"> dossier</w:t>
            </w:r>
            <w:r w:rsidR="00B7088E">
              <w:t xml:space="preserve"> for SVHC</w:t>
            </w:r>
          </w:p>
        </w:tc>
        <w:tc>
          <w:tcPr>
            <w:tcW w:w="2520" w:type="dxa"/>
            <w:shd w:val="clear" w:color="auto" w:fill="auto"/>
          </w:tcPr>
          <w:p w14:paraId="68353A56" w14:textId="02286ED5" w:rsidR="00A14C19" w:rsidRPr="003016DF" w:rsidRDefault="00B7088E" w:rsidP="00B7088E">
            <w:r>
              <w:t>February</w:t>
            </w:r>
            <w:r w:rsidR="00542A8C">
              <w:t>/20</w:t>
            </w:r>
            <w:r>
              <w:t>20</w:t>
            </w:r>
          </w:p>
        </w:tc>
        <w:tc>
          <w:tcPr>
            <w:tcW w:w="3780" w:type="dxa"/>
            <w:shd w:val="clear" w:color="auto" w:fill="auto"/>
          </w:tcPr>
          <w:p w14:paraId="68353A57" w14:textId="3431DCEA" w:rsidR="00A14C19" w:rsidRPr="003016DF" w:rsidRDefault="00542A8C" w:rsidP="00A2050D">
            <w:r>
              <w:t>Sweden</w:t>
            </w:r>
          </w:p>
        </w:tc>
      </w:tr>
    </w:tbl>
    <w:p w14:paraId="68353A59" w14:textId="77777777" w:rsidR="00997177" w:rsidRDefault="009237E3"/>
    <w:sectPr w:rsidR="0099717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8" w14:textId="5A33A8FB" w:rsidR="002E4026" w:rsidRPr="00B66083" w:rsidRDefault="00E86372" w:rsidP="002E4026">
    <w:pPr>
      <w:pStyle w:val="Sidfot"/>
      <w:jc w:val="center"/>
    </w:pPr>
    <w:r w:rsidRPr="009A61C8">
      <w:rPr>
        <w:sz w:val="18"/>
        <w:szCs w:val="18"/>
      </w:rPr>
      <w:t xml:space="preserve">EC no </w:t>
    </w:r>
    <w:r w:rsidR="00542A8C" w:rsidRPr="00D57311">
      <w:t>2</w:t>
    </w:r>
    <w:r w:rsidR="00633EB4">
      <w:t>01</w:t>
    </w:r>
    <w:r w:rsidR="00542A8C" w:rsidRPr="00D57311">
      <w:t>-</w:t>
    </w:r>
    <w:r w:rsidR="00633EB4">
      <w:t>289</w:t>
    </w:r>
    <w:r w:rsidR="00542A8C" w:rsidRPr="00D57311">
      <w:t>-</w:t>
    </w:r>
    <w:r w:rsidR="00633EB4">
      <w:t>8</w:t>
    </w:r>
    <w:r w:rsidRPr="009A61C8">
      <w:rPr>
        <w:sz w:val="18"/>
        <w:szCs w:val="18"/>
      </w:rPr>
      <w:tab/>
      <w:t xml:space="preserve">MSCA - </w:t>
    </w:r>
    <w:r w:rsidR="00542A8C">
      <w:rPr>
        <w:sz w:val="18"/>
        <w:szCs w:val="18"/>
      </w:rPr>
      <w:t>Sweden</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9237E3">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9237E3">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A" w14:textId="3B9E8271" w:rsidR="00C0335E" w:rsidRPr="00B66083" w:rsidRDefault="00E86372" w:rsidP="00B66083">
    <w:pPr>
      <w:pStyle w:val="Sidfot"/>
      <w:jc w:val="center"/>
    </w:pPr>
    <w:r w:rsidRPr="009A61C8">
      <w:rPr>
        <w:sz w:val="18"/>
        <w:szCs w:val="18"/>
      </w:rPr>
      <w:t xml:space="preserve">EC no </w:t>
    </w:r>
    <w:r w:rsidR="00633EB4">
      <w:t>201</w:t>
    </w:r>
    <w:r w:rsidR="00542A8C" w:rsidRPr="00D57311">
      <w:t>-</w:t>
    </w:r>
    <w:r w:rsidR="00633EB4">
      <w:t>289</w:t>
    </w:r>
    <w:r w:rsidR="00542A8C" w:rsidRPr="00D57311">
      <w:t>-</w:t>
    </w:r>
    <w:r w:rsidR="00633EB4">
      <w:t>8</w:t>
    </w:r>
    <w:r w:rsidRPr="009A61C8">
      <w:rPr>
        <w:sz w:val="18"/>
        <w:szCs w:val="18"/>
      </w:rPr>
      <w:tab/>
      <w:t xml:space="preserve">MSCA - </w:t>
    </w:r>
    <w:r w:rsidR="00542A8C">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9237E3">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9237E3">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 w:id="2">
    <w:p w14:paraId="3902177D" w14:textId="77777777" w:rsidR="00AB46A0" w:rsidRPr="00487D13" w:rsidRDefault="00AB46A0" w:rsidP="00AB46A0">
      <w:pPr>
        <w:pStyle w:val="Fotnotstext"/>
        <w:rPr>
          <w:sz w:val="16"/>
          <w:szCs w:val="16"/>
        </w:rPr>
      </w:pPr>
      <w:r w:rsidRPr="00487D13">
        <w:rPr>
          <w:rStyle w:val="Fotnotsreferens"/>
          <w:sz w:val="16"/>
          <w:szCs w:val="16"/>
        </w:rPr>
        <w:footnoteRef/>
      </w:r>
      <w:r>
        <w:rPr>
          <w:sz w:val="16"/>
          <w:szCs w:val="16"/>
        </w:rPr>
        <w:t xml:space="preserve"> Please specify the relevant entry. </w:t>
      </w:r>
    </w:p>
  </w:footnote>
  <w:footnote w:id="3">
    <w:p w14:paraId="09BB485B" w14:textId="77777777" w:rsidR="004B110C" w:rsidRPr="009F5443" w:rsidRDefault="004B110C" w:rsidP="004B110C">
      <w:pPr>
        <w:pStyle w:val="Fotnotstext"/>
      </w:pPr>
      <w:r>
        <w:rPr>
          <w:rStyle w:val="Fotnotsreferens"/>
        </w:rPr>
        <w:footnoteRef/>
      </w:r>
      <w:r>
        <w:t xml:space="preserve"> </w:t>
      </w:r>
      <w:r w:rsidRPr="009F5443">
        <w:t>https://www.echa.europa.eu/documents/10162/9b07d500-5c11-4e47-9c30-57a203f9f644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EEBA16"/>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67433"/>
    <w:rsid w:val="000711F7"/>
    <w:rsid w:val="00077E65"/>
    <w:rsid w:val="0009452D"/>
    <w:rsid w:val="000A3AEB"/>
    <w:rsid w:val="000D5B93"/>
    <w:rsid w:val="000E2FC2"/>
    <w:rsid w:val="000E4E5B"/>
    <w:rsid w:val="000E7032"/>
    <w:rsid w:val="00112815"/>
    <w:rsid w:val="0011467E"/>
    <w:rsid w:val="001259BB"/>
    <w:rsid w:val="0012634F"/>
    <w:rsid w:val="00126494"/>
    <w:rsid w:val="001273B3"/>
    <w:rsid w:val="001448AF"/>
    <w:rsid w:val="00144FCA"/>
    <w:rsid w:val="00166209"/>
    <w:rsid w:val="00183C4B"/>
    <w:rsid w:val="001915C8"/>
    <w:rsid w:val="001C1F13"/>
    <w:rsid w:val="001E6C1A"/>
    <w:rsid w:val="00201A44"/>
    <w:rsid w:val="00202966"/>
    <w:rsid w:val="00205775"/>
    <w:rsid w:val="002118D1"/>
    <w:rsid w:val="002163CF"/>
    <w:rsid w:val="00220442"/>
    <w:rsid w:val="00227B7E"/>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01C5"/>
    <w:rsid w:val="003746D1"/>
    <w:rsid w:val="003B32BD"/>
    <w:rsid w:val="003C1375"/>
    <w:rsid w:val="003C2E00"/>
    <w:rsid w:val="003C3793"/>
    <w:rsid w:val="003D4597"/>
    <w:rsid w:val="003E1455"/>
    <w:rsid w:val="003E1B3C"/>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110C"/>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2A8C"/>
    <w:rsid w:val="005437BE"/>
    <w:rsid w:val="005575E6"/>
    <w:rsid w:val="00586832"/>
    <w:rsid w:val="00594EC4"/>
    <w:rsid w:val="00596A10"/>
    <w:rsid w:val="005A2AD2"/>
    <w:rsid w:val="005C3710"/>
    <w:rsid w:val="005F2482"/>
    <w:rsid w:val="005F45D1"/>
    <w:rsid w:val="005F79AE"/>
    <w:rsid w:val="00600A04"/>
    <w:rsid w:val="00610621"/>
    <w:rsid w:val="00610DF1"/>
    <w:rsid w:val="00621CAC"/>
    <w:rsid w:val="00622985"/>
    <w:rsid w:val="00623882"/>
    <w:rsid w:val="006305CD"/>
    <w:rsid w:val="00633EB4"/>
    <w:rsid w:val="006617E0"/>
    <w:rsid w:val="00676DCA"/>
    <w:rsid w:val="00680C20"/>
    <w:rsid w:val="00690F3B"/>
    <w:rsid w:val="006941E7"/>
    <w:rsid w:val="006A4ADE"/>
    <w:rsid w:val="006D39F4"/>
    <w:rsid w:val="006E2B7B"/>
    <w:rsid w:val="006E6B1A"/>
    <w:rsid w:val="006F6774"/>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4181C"/>
    <w:rsid w:val="00853E7D"/>
    <w:rsid w:val="00860FBA"/>
    <w:rsid w:val="00883931"/>
    <w:rsid w:val="008A1880"/>
    <w:rsid w:val="008A4ED5"/>
    <w:rsid w:val="008C0CC7"/>
    <w:rsid w:val="00920032"/>
    <w:rsid w:val="00922BBA"/>
    <w:rsid w:val="009237E3"/>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0E07"/>
    <w:rsid w:val="009B4D5D"/>
    <w:rsid w:val="009C2172"/>
    <w:rsid w:val="009C590C"/>
    <w:rsid w:val="009C5A06"/>
    <w:rsid w:val="009D3C1E"/>
    <w:rsid w:val="009E696B"/>
    <w:rsid w:val="009F191D"/>
    <w:rsid w:val="00A03E87"/>
    <w:rsid w:val="00A14C19"/>
    <w:rsid w:val="00A14EC1"/>
    <w:rsid w:val="00A2487E"/>
    <w:rsid w:val="00A263C9"/>
    <w:rsid w:val="00A41F93"/>
    <w:rsid w:val="00A429E9"/>
    <w:rsid w:val="00A4316B"/>
    <w:rsid w:val="00A436BB"/>
    <w:rsid w:val="00A446BC"/>
    <w:rsid w:val="00A45B6C"/>
    <w:rsid w:val="00A54C28"/>
    <w:rsid w:val="00A61DCA"/>
    <w:rsid w:val="00A75ACF"/>
    <w:rsid w:val="00A80DBE"/>
    <w:rsid w:val="00AB0322"/>
    <w:rsid w:val="00AB1228"/>
    <w:rsid w:val="00AB46A0"/>
    <w:rsid w:val="00AC5ED0"/>
    <w:rsid w:val="00AC7509"/>
    <w:rsid w:val="00AC79ED"/>
    <w:rsid w:val="00AD40AE"/>
    <w:rsid w:val="00AE2396"/>
    <w:rsid w:val="00AF5158"/>
    <w:rsid w:val="00AF63F4"/>
    <w:rsid w:val="00AF6E00"/>
    <w:rsid w:val="00AF77F1"/>
    <w:rsid w:val="00B03339"/>
    <w:rsid w:val="00B2524D"/>
    <w:rsid w:val="00B32C2E"/>
    <w:rsid w:val="00B37A42"/>
    <w:rsid w:val="00B66083"/>
    <w:rsid w:val="00B7088E"/>
    <w:rsid w:val="00B92E74"/>
    <w:rsid w:val="00BB0CE8"/>
    <w:rsid w:val="00BB3275"/>
    <w:rsid w:val="00BC35A3"/>
    <w:rsid w:val="00BC5A7C"/>
    <w:rsid w:val="00BD47FF"/>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A5A25"/>
    <w:rsid w:val="00DA6B85"/>
    <w:rsid w:val="00DB0024"/>
    <w:rsid w:val="00DC1F12"/>
    <w:rsid w:val="00DD1882"/>
    <w:rsid w:val="00E14856"/>
    <w:rsid w:val="00E36635"/>
    <w:rsid w:val="00E464B0"/>
    <w:rsid w:val="00E55E07"/>
    <w:rsid w:val="00E702C1"/>
    <w:rsid w:val="00E85A6B"/>
    <w:rsid w:val="00E86372"/>
    <w:rsid w:val="00E9015F"/>
    <w:rsid w:val="00EA326C"/>
    <w:rsid w:val="00EA6BD2"/>
    <w:rsid w:val="00EA7CF9"/>
    <w:rsid w:val="00EB3299"/>
    <w:rsid w:val="00ED048E"/>
    <w:rsid w:val="00ED10AD"/>
    <w:rsid w:val="00ED3704"/>
    <w:rsid w:val="00ED55A6"/>
    <w:rsid w:val="00ED5761"/>
    <w:rsid w:val="00EE475E"/>
    <w:rsid w:val="00F145F2"/>
    <w:rsid w:val="00F154FB"/>
    <w:rsid w:val="00F15680"/>
    <w:rsid w:val="00F4442B"/>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aliases w:val="Footnote Text Char Char"/>
    <w:basedOn w:val="Normal"/>
    <w:link w:val="FotnotstextChar"/>
    <w:qFormat/>
    <w:rsid w:val="00471457"/>
  </w:style>
  <w:style w:type="character" w:customStyle="1" w:styleId="FotnotstextChar">
    <w:name w:val="Fotnotstext Char"/>
    <w:aliases w:val="Footnote Text Char Char Char"/>
    <w:basedOn w:val="Standardstycketeckensnitt"/>
    <w:link w:val="Fotnotstext"/>
    <w:rsid w:val="00471457"/>
    <w:rPr>
      <w:rFonts w:ascii="Verdana" w:eastAsia="Times New Roman" w:hAnsi="Verdana" w:cs="Times New Roman"/>
      <w:snapToGrid w:val="0"/>
      <w:sz w:val="20"/>
      <w:szCs w:val="20"/>
      <w:lang w:eastAsia="fi-FI"/>
    </w:rPr>
  </w:style>
  <w:style w:type="character" w:styleId="Fotnotsreferens">
    <w:name w:val="footnote reference"/>
    <w:aliases w:val="Footnote,Footnote Reference/"/>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542A8C"/>
    <w:pPr>
      <w:numPr>
        <w:numId w:val="14"/>
      </w:numPr>
      <w:contextualSpacing/>
    </w:pPr>
  </w:style>
  <w:style w:type="paragraph" w:styleId="Beskrivning">
    <w:name w:val="caption"/>
    <w:aliases w:val="Caption Table"/>
    <w:next w:val="Brdtext"/>
    <w:link w:val="BeskrivningChar"/>
    <w:qFormat/>
    <w:rsid w:val="00AB46A0"/>
    <w:pPr>
      <w:keepNext/>
      <w:spacing w:before="120" w:after="90" w:line="240" w:lineRule="auto"/>
      <w:ind w:left="57"/>
    </w:pPr>
    <w:rPr>
      <w:rFonts w:ascii="Times New Roman Bold" w:eastAsia="Times New Roman" w:hAnsi="Times New Roman Bold" w:cs="Times New Roman"/>
      <w:bCs/>
      <w:sz w:val="24"/>
      <w:szCs w:val="20"/>
    </w:rPr>
  </w:style>
  <w:style w:type="table" w:styleId="Tabellrutnt">
    <w:name w:val="Table Grid"/>
    <w:basedOn w:val="Normaltabell"/>
    <w:rsid w:val="00AB46A0"/>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krivningChar">
    <w:name w:val="Beskrivning Char"/>
    <w:aliases w:val="Caption Table Char"/>
    <w:link w:val="Beskrivning"/>
    <w:rsid w:val="00AB46A0"/>
    <w:rPr>
      <w:rFonts w:ascii="Times New Roman Bold" w:eastAsia="Times New Roman" w:hAnsi="Times New Roman Bold"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2.xml><?xml version="1.0" encoding="utf-8"?>
<ds:datastoreItem xmlns:ds="http://schemas.openxmlformats.org/officeDocument/2006/customXml" ds:itemID="{FB8C6060-E70E-4A37-913A-A00BF7D052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1b924-dee2-413a-bdc8-2cc023473c17"/>
    <ds:schemaRef ds:uri="b80ede5c-af4c-4bf2-9a87-706a3579dc11"/>
    <ds:schemaRef ds:uri="http://www.w3.org/XML/1998/namespace"/>
    <ds:schemaRef ds:uri="http://purl.org/dc/dcmitype/"/>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6.xml><?xml version="1.0" encoding="utf-8"?>
<ds:datastoreItem xmlns:ds="http://schemas.openxmlformats.org/officeDocument/2006/customXml" ds:itemID="{4614ED8E-4824-4998-9981-3FEFE309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5428</Characters>
  <Application>Microsoft Office Word</Application>
  <DocSecurity>4</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CLENAGHAN Conor</dc:creator>
  <cp:lastModifiedBy>Jörgen Henriksson</cp:lastModifiedBy>
  <cp:revision>2</cp:revision>
  <cp:lastPrinted>2019-06-24T10:22:00Z</cp:lastPrinted>
  <dcterms:created xsi:type="dcterms:W3CDTF">2019-06-25T07:37:00Z</dcterms:created>
  <dcterms:modified xsi:type="dcterms:W3CDTF">2019-06-25T07:37:00Z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