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313E9" w14:textId="77777777" w:rsidR="00835971" w:rsidRDefault="00835971" w:rsidP="00835971">
      <w:pPr>
        <w:widowControl w:val="0"/>
        <w:tabs>
          <w:tab w:val="left" w:pos="4536"/>
          <w:tab w:val="left" w:pos="7088"/>
          <w:tab w:val="left" w:pos="8789"/>
        </w:tabs>
        <w:rPr>
          <w:rFonts w:ascii="Verdana" w:hAnsi="Verdana"/>
          <w:b/>
          <w:snapToGrid w:val="0"/>
          <w:sz w:val="28"/>
          <w:szCs w:val="28"/>
          <w:lang w:eastAsia="fi-FI"/>
        </w:rPr>
      </w:pPr>
      <w:r>
        <w:rPr>
          <w:noProof/>
        </w:rPr>
        <w:drawing>
          <wp:inline distT="0" distB="0" distL="0" distR="0" wp14:anchorId="68A4012B" wp14:editId="76CDC42E">
            <wp:extent cx="2084705"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705" cy="530225"/>
                    </a:xfrm>
                    <a:prstGeom prst="rect">
                      <a:avLst/>
                    </a:prstGeom>
                    <a:noFill/>
                  </pic:spPr>
                </pic:pic>
              </a:graphicData>
            </a:graphic>
          </wp:inline>
        </w:drawing>
      </w:r>
      <w:r w:rsidRPr="00835971">
        <w:rPr>
          <w:rFonts w:ascii="Verdana" w:hAnsi="Verdana"/>
          <w:b/>
          <w:snapToGrid w:val="0"/>
          <w:sz w:val="28"/>
          <w:szCs w:val="28"/>
          <w:lang w:eastAsia="fi-FI"/>
        </w:rPr>
        <w:t xml:space="preserve"> </w:t>
      </w:r>
    </w:p>
    <w:p w14:paraId="770AEF6A" w14:textId="77777777" w:rsidR="00835971" w:rsidRDefault="00835971" w:rsidP="00835971">
      <w:pPr>
        <w:widowControl w:val="0"/>
        <w:tabs>
          <w:tab w:val="left" w:pos="4536"/>
          <w:tab w:val="left" w:pos="7088"/>
          <w:tab w:val="left" w:pos="8789"/>
        </w:tabs>
        <w:jc w:val="center"/>
        <w:rPr>
          <w:rFonts w:ascii="Verdana" w:hAnsi="Verdana"/>
          <w:b/>
          <w:snapToGrid w:val="0"/>
          <w:sz w:val="28"/>
          <w:szCs w:val="28"/>
          <w:lang w:eastAsia="fi-FI"/>
        </w:rPr>
      </w:pPr>
    </w:p>
    <w:p w14:paraId="798FB781" w14:textId="77777777" w:rsidR="00835971" w:rsidRDefault="00835971" w:rsidP="00835971">
      <w:pPr>
        <w:widowControl w:val="0"/>
        <w:tabs>
          <w:tab w:val="left" w:pos="4536"/>
          <w:tab w:val="left" w:pos="7088"/>
          <w:tab w:val="left" w:pos="8789"/>
        </w:tabs>
        <w:jc w:val="center"/>
        <w:rPr>
          <w:rFonts w:ascii="Verdana" w:hAnsi="Verdana"/>
          <w:b/>
          <w:snapToGrid w:val="0"/>
          <w:sz w:val="28"/>
          <w:szCs w:val="28"/>
          <w:lang w:eastAsia="fi-FI"/>
        </w:rPr>
      </w:pPr>
    </w:p>
    <w:p w14:paraId="197FD5C3" w14:textId="77777777" w:rsidR="00835971" w:rsidRDefault="00835971" w:rsidP="00835971">
      <w:pPr>
        <w:widowControl w:val="0"/>
        <w:tabs>
          <w:tab w:val="left" w:pos="4536"/>
          <w:tab w:val="left" w:pos="7088"/>
          <w:tab w:val="left" w:pos="8789"/>
        </w:tabs>
        <w:jc w:val="center"/>
        <w:rPr>
          <w:rFonts w:ascii="Verdana" w:hAnsi="Verdana"/>
          <w:b/>
          <w:snapToGrid w:val="0"/>
          <w:sz w:val="28"/>
          <w:szCs w:val="28"/>
          <w:lang w:eastAsia="fi-FI"/>
        </w:rPr>
      </w:pPr>
    </w:p>
    <w:p w14:paraId="58386418" w14:textId="77777777" w:rsidR="00835971" w:rsidRDefault="00835971" w:rsidP="00835971">
      <w:pPr>
        <w:widowControl w:val="0"/>
        <w:tabs>
          <w:tab w:val="left" w:pos="4536"/>
          <w:tab w:val="left" w:pos="7088"/>
          <w:tab w:val="left" w:pos="8789"/>
        </w:tabs>
        <w:jc w:val="center"/>
        <w:rPr>
          <w:rFonts w:ascii="Verdana" w:hAnsi="Verdana"/>
          <w:b/>
          <w:snapToGrid w:val="0"/>
          <w:sz w:val="28"/>
          <w:szCs w:val="28"/>
          <w:lang w:eastAsia="fi-FI"/>
        </w:rPr>
      </w:pPr>
    </w:p>
    <w:p w14:paraId="0664C6C9" w14:textId="77777777" w:rsidR="00835971" w:rsidRDefault="00835971" w:rsidP="00835971">
      <w:pPr>
        <w:widowControl w:val="0"/>
        <w:tabs>
          <w:tab w:val="left" w:pos="4536"/>
          <w:tab w:val="left" w:pos="7088"/>
          <w:tab w:val="left" w:pos="8789"/>
        </w:tabs>
        <w:jc w:val="center"/>
        <w:rPr>
          <w:rFonts w:ascii="Verdana" w:hAnsi="Verdana"/>
          <w:b/>
          <w:snapToGrid w:val="0"/>
          <w:sz w:val="28"/>
          <w:szCs w:val="28"/>
          <w:lang w:eastAsia="fi-FI"/>
        </w:rPr>
      </w:pPr>
    </w:p>
    <w:p w14:paraId="632ACD3B" w14:textId="77777777" w:rsidR="00835971" w:rsidRDefault="00835971" w:rsidP="00835971">
      <w:pPr>
        <w:widowControl w:val="0"/>
        <w:tabs>
          <w:tab w:val="left" w:pos="4536"/>
          <w:tab w:val="left" w:pos="7088"/>
          <w:tab w:val="left" w:pos="8789"/>
        </w:tabs>
        <w:jc w:val="center"/>
        <w:rPr>
          <w:rFonts w:ascii="Verdana" w:hAnsi="Verdana"/>
          <w:b/>
          <w:snapToGrid w:val="0"/>
          <w:sz w:val="28"/>
          <w:szCs w:val="28"/>
          <w:lang w:eastAsia="fi-FI"/>
        </w:rPr>
      </w:pPr>
    </w:p>
    <w:p w14:paraId="7C1043D2" w14:textId="77777777" w:rsidR="00835971" w:rsidRDefault="00835971" w:rsidP="00835971">
      <w:pPr>
        <w:widowControl w:val="0"/>
        <w:tabs>
          <w:tab w:val="left" w:pos="4536"/>
          <w:tab w:val="left" w:pos="7088"/>
          <w:tab w:val="left" w:pos="8789"/>
        </w:tabs>
        <w:jc w:val="center"/>
        <w:rPr>
          <w:rFonts w:ascii="Verdana" w:hAnsi="Verdana"/>
          <w:b/>
          <w:snapToGrid w:val="0"/>
          <w:sz w:val="28"/>
          <w:szCs w:val="28"/>
          <w:lang w:eastAsia="fi-FI"/>
        </w:rPr>
      </w:pPr>
    </w:p>
    <w:p w14:paraId="5A39D8FF" w14:textId="777FA5DC" w:rsidR="00835971" w:rsidRPr="00B82488" w:rsidRDefault="00835971" w:rsidP="00835971">
      <w:pPr>
        <w:widowControl w:val="0"/>
        <w:tabs>
          <w:tab w:val="left" w:pos="4536"/>
          <w:tab w:val="left" w:pos="7088"/>
          <w:tab w:val="left" w:pos="8789"/>
        </w:tabs>
        <w:jc w:val="center"/>
        <w:rPr>
          <w:rFonts w:ascii="Verdana" w:hAnsi="Verdana"/>
          <w:b/>
          <w:snapToGrid w:val="0"/>
          <w:sz w:val="28"/>
          <w:szCs w:val="28"/>
          <w:lang w:eastAsia="fi-FI"/>
        </w:rPr>
      </w:pPr>
      <w:r w:rsidRPr="00B82488">
        <w:rPr>
          <w:rFonts w:ascii="Verdana" w:hAnsi="Verdana"/>
          <w:b/>
          <w:snapToGrid w:val="0"/>
          <w:sz w:val="28"/>
          <w:szCs w:val="28"/>
          <w:lang w:eastAsia="fi-FI"/>
        </w:rPr>
        <w:t>Response to comments document (RCOM)</w:t>
      </w:r>
    </w:p>
    <w:p w14:paraId="7846937D" w14:textId="77777777" w:rsidR="00835971" w:rsidRPr="00B82488" w:rsidRDefault="00835971" w:rsidP="00835971">
      <w:pPr>
        <w:widowControl w:val="0"/>
        <w:tabs>
          <w:tab w:val="left" w:pos="4536"/>
          <w:tab w:val="left" w:pos="7088"/>
          <w:tab w:val="left" w:pos="8789"/>
        </w:tabs>
        <w:jc w:val="center"/>
        <w:rPr>
          <w:rFonts w:ascii="Verdana" w:hAnsi="Verdana"/>
          <w:snapToGrid w:val="0"/>
          <w:sz w:val="28"/>
          <w:szCs w:val="28"/>
          <w:lang w:eastAsia="fi-FI"/>
        </w:rPr>
      </w:pPr>
      <w:proofErr w:type="gramStart"/>
      <w:r w:rsidRPr="00B82488">
        <w:rPr>
          <w:rFonts w:ascii="Verdana" w:hAnsi="Verdana"/>
          <w:snapToGrid w:val="0"/>
          <w:sz w:val="28"/>
          <w:szCs w:val="28"/>
          <w:lang w:eastAsia="fi-FI"/>
        </w:rPr>
        <w:t>on</w:t>
      </w:r>
      <w:proofErr w:type="gramEnd"/>
      <w:r w:rsidRPr="00B82488">
        <w:rPr>
          <w:rFonts w:ascii="Verdana" w:hAnsi="Verdana"/>
          <w:snapToGrid w:val="0"/>
          <w:sz w:val="28"/>
          <w:szCs w:val="28"/>
          <w:lang w:eastAsia="fi-FI"/>
        </w:rPr>
        <w:t xml:space="preserve"> the Annex XV dossier </w:t>
      </w:r>
    </w:p>
    <w:p w14:paraId="46950EFB" w14:textId="77777777" w:rsidR="00835971" w:rsidRDefault="00835971" w:rsidP="00835971">
      <w:pPr>
        <w:widowControl w:val="0"/>
        <w:tabs>
          <w:tab w:val="left" w:pos="4536"/>
          <w:tab w:val="left" w:pos="7088"/>
          <w:tab w:val="left" w:pos="8789"/>
        </w:tabs>
        <w:jc w:val="center"/>
        <w:rPr>
          <w:rFonts w:ascii="Verdana" w:hAnsi="Verdana"/>
          <w:snapToGrid w:val="0"/>
          <w:sz w:val="28"/>
          <w:szCs w:val="28"/>
          <w:lang w:eastAsia="fi-FI"/>
        </w:rPr>
      </w:pPr>
      <w:proofErr w:type="gramStart"/>
      <w:r w:rsidRPr="00B82488">
        <w:rPr>
          <w:rFonts w:ascii="Verdana" w:hAnsi="Verdana"/>
          <w:snapToGrid w:val="0"/>
          <w:sz w:val="28"/>
          <w:szCs w:val="28"/>
          <w:lang w:eastAsia="fi-FI"/>
        </w:rPr>
        <w:t>proposing</w:t>
      </w:r>
      <w:proofErr w:type="gramEnd"/>
      <w:r w:rsidRPr="00B82488">
        <w:rPr>
          <w:rFonts w:ascii="Verdana" w:hAnsi="Verdana"/>
          <w:snapToGrid w:val="0"/>
          <w:sz w:val="28"/>
          <w:szCs w:val="28"/>
          <w:lang w:eastAsia="fi-FI"/>
        </w:rPr>
        <w:t xml:space="preserve"> restriction on</w:t>
      </w:r>
      <w:r>
        <w:rPr>
          <w:rFonts w:ascii="Verdana" w:hAnsi="Verdana"/>
          <w:snapToGrid w:val="0"/>
          <w:sz w:val="28"/>
          <w:szCs w:val="28"/>
          <w:lang w:eastAsia="fi-FI"/>
        </w:rPr>
        <w:t xml:space="preserve"> </w:t>
      </w:r>
    </w:p>
    <w:p w14:paraId="334173DD" w14:textId="77777777" w:rsidR="00835971" w:rsidRDefault="00835971" w:rsidP="00835971">
      <w:pPr>
        <w:widowControl w:val="0"/>
        <w:tabs>
          <w:tab w:val="left" w:pos="4536"/>
          <w:tab w:val="left" w:pos="7088"/>
          <w:tab w:val="left" w:pos="8789"/>
        </w:tabs>
        <w:jc w:val="center"/>
        <w:rPr>
          <w:rFonts w:ascii="Verdana" w:hAnsi="Verdana"/>
          <w:snapToGrid w:val="0"/>
          <w:sz w:val="28"/>
          <w:szCs w:val="28"/>
          <w:lang w:eastAsia="fi-FI"/>
        </w:rPr>
      </w:pPr>
      <w:proofErr w:type="spellStart"/>
      <w:r w:rsidRPr="00835971">
        <w:rPr>
          <w:rFonts w:ascii="Verdana" w:hAnsi="Verdana"/>
          <w:snapToGrid w:val="0"/>
          <w:sz w:val="28"/>
          <w:szCs w:val="28"/>
          <w:lang w:eastAsia="fi-FI"/>
        </w:rPr>
        <w:t>Perfluorohexane</w:t>
      </w:r>
      <w:proofErr w:type="spellEnd"/>
      <w:r w:rsidRPr="00835971">
        <w:rPr>
          <w:rFonts w:ascii="Verdana" w:hAnsi="Verdana"/>
          <w:snapToGrid w:val="0"/>
          <w:sz w:val="28"/>
          <w:szCs w:val="28"/>
          <w:lang w:eastAsia="fi-FI"/>
        </w:rPr>
        <w:t xml:space="preserve"> sulfonic acid (PFHxS) including its salts and related substances </w:t>
      </w:r>
    </w:p>
    <w:p w14:paraId="23DE0BC3" w14:textId="77777777" w:rsidR="00835971" w:rsidRPr="00835971" w:rsidRDefault="00835971" w:rsidP="00835971">
      <w:pPr>
        <w:widowControl w:val="0"/>
        <w:tabs>
          <w:tab w:val="left" w:pos="4536"/>
          <w:tab w:val="left" w:pos="7088"/>
          <w:tab w:val="left" w:pos="8789"/>
        </w:tabs>
        <w:jc w:val="center"/>
        <w:rPr>
          <w:rFonts w:ascii="Verdana" w:hAnsi="Verdana"/>
          <w:snapToGrid w:val="0"/>
          <w:sz w:val="28"/>
          <w:szCs w:val="28"/>
          <w:lang w:eastAsia="fi-FI"/>
        </w:rPr>
      </w:pPr>
    </w:p>
    <w:p w14:paraId="639023A9" w14:textId="77777777" w:rsidR="00835971" w:rsidRPr="00B82488" w:rsidRDefault="00835971" w:rsidP="00835971">
      <w:pPr>
        <w:widowControl w:val="0"/>
        <w:tabs>
          <w:tab w:val="left" w:pos="4536"/>
          <w:tab w:val="left" w:pos="7088"/>
          <w:tab w:val="left" w:pos="8789"/>
        </w:tabs>
        <w:jc w:val="center"/>
        <w:rPr>
          <w:rFonts w:ascii="Verdana" w:hAnsi="Verdana"/>
          <w:b/>
          <w:snapToGrid w:val="0"/>
          <w:sz w:val="28"/>
          <w:szCs w:val="28"/>
          <w:lang w:eastAsia="fi-FI"/>
        </w:rPr>
      </w:pPr>
    </w:p>
    <w:p w14:paraId="2BB4E56F" w14:textId="77777777" w:rsidR="00835971" w:rsidRDefault="00835971" w:rsidP="00835971">
      <w:pPr>
        <w:widowControl w:val="0"/>
        <w:tabs>
          <w:tab w:val="left" w:pos="4536"/>
          <w:tab w:val="left" w:pos="7088"/>
          <w:tab w:val="left" w:pos="8789"/>
        </w:tabs>
        <w:jc w:val="center"/>
        <w:rPr>
          <w:rFonts w:ascii="Verdana" w:hAnsi="Verdana"/>
          <w:b/>
          <w:snapToGrid w:val="0"/>
          <w:sz w:val="28"/>
          <w:szCs w:val="28"/>
          <w:lang w:eastAsia="fi-FI"/>
        </w:rPr>
      </w:pPr>
      <w:r>
        <w:rPr>
          <w:rFonts w:ascii="Verdana" w:hAnsi="Verdana"/>
          <w:b/>
          <w:snapToGrid w:val="0"/>
          <w:sz w:val="28"/>
          <w:szCs w:val="28"/>
          <w:lang w:eastAsia="fi-FI"/>
        </w:rPr>
        <w:t>Non-confidential</w:t>
      </w:r>
    </w:p>
    <w:p w14:paraId="787CD680" w14:textId="77777777" w:rsidR="00855150" w:rsidRDefault="00855150" w:rsidP="00835971">
      <w:pPr>
        <w:widowControl w:val="0"/>
        <w:tabs>
          <w:tab w:val="left" w:pos="4536"/>
          <w:tab w:val="left" w:pos="7088"/>
          <w:tab w:val="left" w:pos="8789"/>
        </w:tabs>
        <w:jc w:val="center"/>
        <w:rPr>
          <w:rFonts w:ascii="Verdana" w:hAnsi="Verdana"/>
          <w:b/>
          <w:snapToGrid w:val="0"/>
          <w:sz w:val="28"/>
          <w:szCs w:val="28"/>
          <w:lang w:eastAsia="fi-FI"/>
        </w:rPr>
      </w:pPr>
    </w:p>
    <w:p w14:paraId="683DDEB0" w14:textId="77777777" w:rsidR="00855150" w:rsidRPr="00B82488" w:rsidRDefault="00855150" w:rsidP="00835971">
      <w:pPr>
        <w:widowControl w:val="0"/>
        <w:tabs>
          <w:tab w:val="left" w:pos="4536"/>
          <w:tab w:val="left" w:pos="7088"/>
          <w:tab w:val="left" w:pos="8789"/>
        </w:tabs>
        <w:jc w:val="center"/>
        <w:rPr>
          <w:rFonts w:ascii="Verdana" w:hAnsi="Verdana"/>
          <w:b/>
          <w:snapToGrid w:val="0"/>
          <w:sz w:val="28"/>
          <w:szCs w:val="28"/>
          <w:lang w:eastAsia="fi-FI"/>
        </w:rPr>
      </w:pPr>
    </w:p>
    <w:p w14:paraId="55D2A166" w14:textId="77777777" w:rsidR="00835971" w:rsidRPr="00B82488" w:rsidRDefault="00835971" w:rsidP="00835971">
      <w:pPr>
        <w:rPr>
          <w:rFonts w:ascii="Verdana" w:hAnsi="Verdana"/>
          <w:sz w:val="20"/>
        </w:rPr>
      </w:pPr>
    </w:p>
    <w:p w14:paraId="0C86AA3D" w14:textId="77777777" w:rsidR="00835971" w:rsidRPr="00B82488" w:rsidRDefault="00835971" w:rsidP="00835971">
      <w:pPr>
        <w:rPr>
          <w:rFonts w:ascii="Verdana" w:hAnsi="Verdana"/>
          <w:sz w:val="20"/>
        </w:rPr>
      </w:pPr>
    </w:p>
    <w:p w14:paraId="14056783" w14:textId="77777777" w:rsidR="00465760" w:rsidRPr="008B34A4" w:rsidRDefault="00465760" w:rsidP="00465760">
      <w:pPr>
        <w:pStyle w:val="BodyText"/>
        <w:jc w:val="center"/>
        <w:rPr>
          <w:b/>
          <w:sz w:val="24"/>
          <w:szCs w:val="24"/>
        </w:rPr>
      </w:pPr>
      <w:r w:rsidRPr="008B34A4">
        <w:rPr>
          <w:b/>
          <w:sz w:val="24"/>
          <w:szCs w:val="24"/>
        </w:rPr>
        <w:t>ECHA/RAC/</w:t>
      </w:r>
      <w:r w:rsidRPr="00020966">
        <w:t xml:space="preserve"> </w:t>
      </w:r>
      <w:r w:rsidRPr="00020966">
        <w:rPr>
          <w:b/>
          <w:sz w:val="24"/>
          <w:szCs w:val="24"/>
        </w:rPr>
        <w:t>RES-O-0000006739-59-01/</w:t>
      </w:r>
      <w:r>
        <w:rPr>
          <w:b/>
          <w:sz w:val="24"/>
          <w:szCs w:val="24"/>
        </w:rPr>
        <w:t>F</w:t>
      </w:r>
    </w:p>
    <w:p w14:paraId="46643D96" w14:textId="77777777" w:rsidR="00835971" w:rsidRPr="00941DD2" w:rsidRDefault="00835971" w:rsidP="00835971">
      <w:pPr>
        <w:widowControl w:val="0"/>
        <w:jc w:val="center"/>
        <w:rPr>
          <w:rFonts w:ascii="Verdana" w:hAnsi="Verdana"/>
          <w:b/>
          <w:color w:val="000000"/>
          <w:sz w:val="20"/>
          <w:szCs w:val="20"/>
          <w:lang w:eastAsia="en-US"/>
        </w:rPr>
      </w:pPr>
    </w:p>
    <w:p w14:paraId="0E9B7F0F" w14:textId="77777777" w:rsidR="00835971" w:rsidRPr="00B82488" w:rsidRDefault="00835971" w:rsidP="00835971">
      <w:pPr>
        <w:widowControl w:val="0"/>
        <w:tabs>
          <w:tab w:val="left" w:pos="4536"/>
          <w:tab w:val="left" w:pos="7088"/>
          <w:tab w:val="left" w:pos="8789"/>
        </w:tabs>
        <w:jc w:val="center"/>
        <w:rPr>
          <w:rFonts w:ascii="Verdana" w:hAnsi="Verdana"/>
          <w:snapToGrid w:val="0"/>
          <w:sz w:val="20"/>
          <w:szCs w:val="20"/>
          <w:lang w:eastAsia="en-US"/>
        </w:rPr>
      </w:pPr>
      <w:r w:rsidRPr="00941DD2">
        <w:rPr>
          <w:rFonts w:ascii="Verdana" w:hAnsi="Verdana"/>
          <w:snapToGrid w:val="0"/>
          <w:sz w:val="20"/>
          <w:szCs w:val="20"/>
          <w:lang w:eastAsia="en-US"/>
        </w:rPr>
        <w:t>ECHA/SEAC</w:t>
      </w:r>
      <w:proofErr w:type="gramStart"/>
      <w:r w:rsidRPr="00941DD2">
        <w:rPr>
          <w:rFonts w:ascii="Verdana" w:hAnsi="Verdana"/>
          <w:snapToGrid w:val="0"/>
          <w:sz w:val="20"/>
          <w:szCs w:val="20"/>
          <w:lang w:eastAsia="en-US"/>
        </w:rPr>
        <w:t>/[</w:t>
      </w:r>
      <w:proofErr w:type="gramEnd"/>
      <w:r w:rsidRPr="00941DD2">
        <w:rPr>
          <w:rFonts w:ascii="Verdana" w:hAnsi="Verdana"/>
          <w:snapToGrid w:val="0"/>
          <w:sz w:val="20"/>
          <w:szCs w:val="20"/>
          <w:lang w:eastAsia="en-US"/>
        </w:rPr>
        <w:t>reference code to be added after the adoption of the SEAC opinion]</w:t>
      </w:r>
    </w:p>
    <w:p w14:paraId="7E661493" w14:textId="77777777" w:rsidR="00835971" w:rsidRPr="00B82488" w:rsidRDefault="00835971" w:rsidP="00835971">
      <w:pPr>
        <w:rPr>
          <w:rFonts w:ascii="Verdana" w:hAnsi="Verdana"/>
          <w:sz w:val="20"/>
        </w:rPr>
      </w:pPr>
    </w:p>
    <w:p w14:paraId="2D303919" w14:textId="77777777" w:rsidR="00835971" w:rsidRPr="00B82488" w:rsidRDefault="00835971" w:rsidP="00835971">
      <w:pPr>
        <w:rPr>
          <w:rFonts w:ascii="Verdana" w:hAnsi="Verdana"/>
          <w:sz w:val="20"/>
        </w:rPr>
      </w:pPr>
    </w:p>
    <w:p w14:paraId="2E0B4AED" w14:textId="77777777" w:rsidR="00835971" w:rsidRPr="00B82488" w:rsidRDefault="00835971" w:rsidP="00835971">
      <w:pPr>
        <w:rPr>
          <w:rFonts w:ascii="Verdana" w:hAnsi="Verdana"/>
          <w:sz w:val="20"/>
        </w:rPr>
      </w:pPr>
    </w:p>
    <w:p w14:paraId="02462D95" w14:textId="77777777" w:rsidR="00835971" w:rsidRPr="00B82488" w:rsidRDefault="00835971" w:rsidP="00835971">
      <w:pPr>
        <w:rPr>
          <w:rFonts w:ascii="Verdana" w:hAnsi="Verdana"/>
          <w:sz w:val="20"/>
        </w:rPr>
      </w:pPr>
    </w:p>
    <w:tbl>
      <w:tblPr>
        <w:tblW w:w="0" w:type="auto"/>
        <w:jc w:val="center"/>
        <w:tblLook w:val="04A0" w:firstRow="1" w:lastRow="0" w:firstColumn="1" w:lastColumn="0" w:noHBand="0" w:noVBand="1"/>
      </w:tblPr>
      <w:tblGrid>
        <w:gridCol w:w="3402"/>
        <w:gridCol w:w="284"/>
        <w:gridCol w:w="2410"/>
        <w:gridCol w:w="283"/>
        <w:gridCol w:w="2647"/>
      </w:tblGrid>
      <w:tr w:rsidR="00835971" w:rsidRPr="00B82488" w14:paraId="60EC6C87" w14:textId="77777777" w:rsidTr="003238EF">
        <w:trPr>
          <w:jc w:val="center"/>
        </w:trPr>
        <w:tc>
          <w:tcPr>
            <w:tcW w:w="3402" w:type="dxa"/>
            <w:shd w:val="clear" w:color="auto" w:fill="auto"/>
          </w:tcPr>
          <w:p w14:paraId="594F6B8B" w14:textId="77777777" w:rsidR="00835971" w:rsidRPr="00B82488" w:rsidRDefault="00835971" w:rsidP="003238EF">
            <w:pPr>
              <w:keepNext/>
              <w:keepLines/>
              <w:widowControl w:val="0"/>
              <w:spacing w:after="240"/>
              <w:jc w:val="center"/>
              <w:outlineLvl w:val="2"/>
              <w:rPr>
                <w:rFonts w:ascii="Verdana" w:hAnsi="Verdana" w:cs="Arial"/>
                <w:b/>
                <w:bCs/>
                <w:snapToGrid w:val="0"/>
                <w:color w:val="000000"/>
                <w:sz w:val="22"/>
                <w:szCs w:val="22"/>
                <w:lang w:eastAsia="fi-FI"/>
              </w:rPr>
            </w:pPr>
            <w:r w:rsidRPr="00B82488">
              <w:rPr>
                <w:rFonts w:ascii="Verdana" w:hAnsi="Verdana" w:cs="Arial"/>
                <w:b/>
                <w:bCs/>
                <w:snapToGrid w:val="0"/>
                <w:color w:val="000000"/>
                <w:sz w:val="22"/>
                <w:szCs w:val="22"/>
                <w:lang w:eastAsia="fi-FI"/>
              </w:rPr>
              <w:t>Substance name</w:t>
            </w:r>
          </w:p>
        </w:tc>
        <w:tc>
          <w:tcPr>
            <w:tcW w:w="2694" w:type="dxa"/>
            <w:gridSpan w:val="2"/>
            <w:shd w:val="clear" w:color="auto" w:fill="auto"/>
          </w:tcPr>
          <w:p w14:paraId="56DD991A" w14:textId="77777777" w:rsidR="00835971" w:rsidRPr="00B82488" w:rsidRDefault="00835971" w:rsidP="003238EF">
            <w:pPr>
              <w:keepNext/>
              <w:keepLines/>
              <w:widowControl w:val="0"/>
              <w:spacing w:after="240"/>
              <w:jc w:val="center"/>
              <w:outlineLvl w:val="2"/>
              <w:rPr>
                <w:rFonts w:ascii="Verdana" w:hAnsi="Verdana" w:cs="Arial"/>
                <w:b/>
                <w:bCs/>
                <w:snapToGrid w:val="0"/>
                <w:color w:val="000000"/>
                <w:sz w:val="22"/>
                <w:szCs w:val="22"/>
                <w:lang w:eastAsia="fi-FI"/>
              </w:rPr>
            </w:pPr>
            <w:r w:rsidRPr="00B82488">
              <w:rPr>
                <w:rFonts w:ascii="Verdana" w:hAnsi="Verdana" w:cs="Arial"/>
                <w:b/>
                <w:bCs/>
                <w:snapToGrid w:val="0"/>
                <w:color w:val="000000"/>
                <w:sz w:val="22"/>
                <w:szCs w:val="22"/>
                <w:lang w:eastAsia="fi-FI"/>
              </w:rPr>
              <w:t>EC number</w:t>
            </w:r>
          </w:p>
        </w:tc>
        <w:tc>
          <w:tcPr>
            <w:tcW w:w="2930" w:type="dxa"/>
            <w:gridSpan w:val="2"/>
            <w:shd w:val="clear" w:color="auto" w:fill="auto"/>
          </w:tcPr>
          <w:p w14:paraId="0E47509E" w14:textId="77777777" w:rsidR="00835971" w:rsidRPr="00B82488" w:rsidRDefault="00835971" w:rsidP="003238EF">
            <w:pPr>
              <w:keepNext/>
              <w:keepLines/>
              <w:widowControl w:val="0"/>
              <w:spacing w:after="240"/>
              <w:jc w:val="center"/>
              <w:outlineLvl w:val="2"/>
              <w:rPr>
                <w:rFonts w:ascii="Verdana" w:hAnsi="Verdana" w:cs="Arial"/>
                <w:b/>
                <w:bCs/>
                <w:snapToGrid w:val="0"/>
                <w:color w:val="000000"/>
                <w:sz w:val="22"/>
                <w:szCs w:val="22"/>
                <w:lang w:eastAsia="fi-FI"/>
              </w:rPr>
            </w:pPr>
            <w:r w:rsidRPr="00B82488">
              <w:rPr>
                <w:rFonts w:ascii="Verdana" w:hAnsi="Verdana" w:cs="Arial"/>
                <w:b/>
                <w:bCs/>
                <w:snapToGrid w:val="0"/>
                <w:color w:val="000000"/>
                <w:sz w:val="22"/>
                <w:szCs w:val="22"/>
                <w:lang w:eastAsia="fi-FI"/>
              </w:rPr>
              <w:t>CAS number</w:t>
            </w:r>
          </w:p>
        </w:tc>
      </w:tr>
      <w:tr w:rsidR="00835971" w:rsidRPr="00B82488" w14:paraId="6E55CA2B" w14:textId="77777777" w:rsidTr="003238EF">
        <w:trPr>
          <w:jc w:val="center"/>
        </w:trPr>
        <w:tc>
          <w:tcPr>
            <w:tcW w:w="3686" w:type="dxa"/>
            <w:gridSpan w:val="2"/>
            <w:shd w:val="clear" w:color="auto" w:fill="auto"/>
          </w:tcPr>
          <w:p w14:paraId="2F7AA56D" w14:textId="77777777" w:rsidR="00465760" w:rsidRPr="00465760" w:rsidRDefault="00465760" w:rsidP="00465760">
            <w:pPr>
              <w:widowControl w:val="0"/>
              <w:rPr>
                <w:rFonts w:ascii="Verdana" w:hAnsi="Verdana"/>
                <w:sz w:val="20"/>
                <w:szCs w:val="20"/>
              </w:rPr>
            </w:pPr>
            <w:proofErr w:type="spellStart"/>
            <w:r w:rsidRPr="00465760">
              <w:rPr>
                <w:rFonts w:ascii="Verdana" w:hAnsi="Verdana"/>
                <w:sz w:val="20"/>
                <w:szCs w:val="20"/>
              </w:rPr>
              <w:t>Perfluorohexane</w:t>
            </w:r>
            <w:proofErr w:type="spellEnd"/>
            <w:r w:rsidRPr="00465760">
              <w:rPr>
                <w:rFonts w:ascii="Verdana" w:hAnsi="Verdana"/>
                <w:sz w:val="20"/>
                <w:szCs w:val="20"/>
              </w:rPr>
              <w:t xml:space="preserve"> sulfonic acid </w:t>
            </w:r>
          </w:p>
          <w:p w14:paraId="35D4511F" w14:textId="77777777" w:rsidR="00465760" w:rsidRPr="00465760" w:rsidRDefault="00465760" w:rsidP="00465760">
            <w:pPr>
              <w:widowControl w:val="0"/>
              <w:rPr>
                <w:rFonts w:ascii="Verdana" w:hAnsi="Verdana"/>
                <w:sz w:val="20"/>
                <w:szCs w:val="20"/>
              </w:rPr>
            </w:pPr>
            <w:r w:rsidRPr="00465760">
              <w:rPr>
                <w:rFonts w:ascii="Verdana" w:hAnsi="Verdana"/>
                <w:sz w:val="20"/>
                <w:szCs w:val="20"/>
              </w:rPr>
              <w:t xml:space="preserve">(PFHxS), its salts and related </w:t>
            </w:r>
          </w:p>
          <w:p w14:paraId="32B04603" w14:textId="2D38E80E" w:rsidR="00465760" w:rsidRPr="00465760" w:rsidRDefault="00465760" w:rsidP="00465760">
            <w:pPr>
              <w:widowControl w:val="0"/>
              <w:rPr>
                <w:rFonts w:ascii="Verdana" w:hAnsi="Verdana"/>
                <w:sz w:val="20"/>
                <w:szCs w:val="20"/>
              </w:rPr>
            </w:pPr>
            <w:r w:rsidRPr="00465760">
              <w:rPr>
                <w:rFonts w:ascii="Verdana" w:hAnsi="Verdana"/>
                <w:sz w:val="20"/>
                <w:szCs w:val="20"/>
              </w:rPr>
              <w:t>substances</w:t>
            </w:r>
          </w:p>
          <w:p w14:paraId="690C5A8C" w14:textId="167A0288" w:rsidR="00835971" w:rsidRPr="007212A7" w:rsidRDefault="00835971" w:rsidP="003238EF">
            <w:pPr>
              <w:widowControl w:val="0"/>
              <w:rPr>
                <w:rFonts w:ascii="Verdana" w:hAnsi="Verdana"/>
                <w:b/>
                <w:sz w:val="18"/>
                <w:szCs w:val="18"/>
                <w:highlight w:val="yellow"/>
              </w:rPr>
            </w:pPr>
          </w:p>
        </w:tc>
        <w:tc>
          <w:tcPr>
            <w:tcW w:w="2693" w:type="dxa"/>
            <w:gridSpan w:val="2"/>
            <w:shd w:val="clear" w:color="auto" w:fill="auto"/>
          </w:tcPr>
          <w:p w14:paraId="19FA8F18" w14:textId="2CC98C95" w:rsidR="00835971" w:rsidRPr="007212A7" w:rsidRDefault="00F83D46" w:rsidP="00855150">
            <w:pPr>
              <w:widowControl w:val="0"/>
              <w:rPr>
                <w:rFonts w:ascii="Verdana" w:hAnsi="Verdana"/>
                <w:sz w:val="20"/>
                <w:highlight w:val="yellow"/>
                <w:lang w:val="et-EE"/>
              </w:rPr>
            </w:pPr>
            <w:r>
              <w:rPr>
                <w:rFonts w:ascii="Verdana" w:hAnsi="Verdana"/>
                <w:sz w:val="20"/>
                <w:szCs w:val="20"/>
              </w:rPr>
              <w:t>-</w:t>
            </w:r>
          </w:p>
        </w:tc>
        <w:tc>
          <w:tcPr>
            <w:tcW w:w="2647" w:type="dxa"/>
            <w:shd w:val="clear" w:color="auto" w:fill="auto"/>
          </w:tcPr>
          <w:p w14:paraId="3C504437" w14:textId="178AA011" w:rsidR="00835971" w:rsidRPr="007212A7" w:rsidRDefault="00F83D46" w:rsidP="003238EF">
            <w:pPr>
              <w:widowControl w:val="0"/>
              <w:rPr>
                <w:rFonts w:ascii="Verdana" w:hAnsi="Verdana"/>
                <w:sz w:val="20"/>
                <w:highlight w:val="yellow"/>
              </w:rPr>
            </w:pPr>
            <w:r>
              <w:rPr>
                <w:rFonts w:ascii="Verdana" w:hAnsi="Verdana"/>
                <w:sz w:val="20"/>
                <w:szCs w:val="20"/>
              </w:rPr>
              <w:t>-</w:t>
            </w:r>
            <w:bookmarkStart w:id="0" w:name="_GoBack"/>
            <w:bookmarkEnd w:id="0"/>
            <w:r w:rsidR="00835971" w:rsidRPr="00EC1DEE">
              <w:rPr>
                <w:rFonts w:ascii="Verdana" w:hAnsi="Verdana"/>
                <w:sz w:val="20"/>
                <w:szCs w:val="20"/>
              </w:rPr>
              <w:t xml:space="preserve"> </w:t>
            </w:r>
          </w:p>
        </w:tc>
      </w:tr>
    </w:tbl>
    <w:p w14:paraId="6C39CBCE" w14:textId="77777777" w:rsidR="00835971" w:rsidRDefault="00835971" w:rsidP="00835971">
      <w:pPr>
        <w:pStyle w:val="Heading3"/>
      </w:pPr>
    </w:p>
    <w:p w14:paraId="55938BC7" w14:textId="77777777" w:rsidR="00835971" w:rsidRDefault="00835971" w:rsidP="00835971">
      <w:pPr>
        <w:pStyle w:val="BodyText"/>
      </w:pPr>
    </w:p>
    <w:p w14:paraId="18663733" w14:textId="77777777" w:rsidR="00835971" w:rsidRDefault="00835971" w:rsidP="00835971">
      <w:pPr>
        <w:pStyle w:val="BodyText"/>
      </w:pPr>
    </w:p>
    <w:p w14:paraId="24605434" w14:textId="19D372D5" w:rsidR="00835971" w:rsidRPr="007212A7" w:rsidRDefault="00855150" w:rsidP="00835971">
      <w:pPr>
        <w:pStyle w:val="BodyText"/>
        <w:jc w:val="center"/>
        <w:rPr>
          <w:sz w:val="22"/>
          <w:szCs w:val="22"/>
        </w:rPr>
      </w:pPr>
      <w:r>
        <w:rPr>
          <w:sz w:val="22"/>
          <w:szCs w:val="22"/>
        </w:rPr>
        <w:t>13</w:t>
      </w:r>
      <w:r w:rsidR="00835971" w:rsidRPr="00941DD2">
        <w:rPr>
          <w:sz w:val="22"/>
          <w:szCs w:val="22"/>
        </w:rPr>
        <w:t xml:space="preserve"> </w:t>
      </w:r>
      <w:r>
        <w:rPr>
          <w:sz w:val="22"/>
          <w:szCs w:val="22"/>
        </w:rPr>
        <w:t>March</w:t>
      </w:r>
      <w:r w:rsidR="00835971" w:rsidRPr="00941DD2">
        <w:rPr>
          <w:sz w:val="22"/>
          <w:szCs w:val="22"/>
        </w:rPr>
        <w:t xml:space="preserve"> 20</w:t>
      </w:r>
      <w:r>
        <w:rPr>
          <w:sz w:val="22"/>
          <w:szCs w:val="22"/>
        </w:rPr>
        <w:t>20</w:t>
      </w:r>
    </w:p>
    <w:p w14:paraId="6400C29F" w14:textId="56E9F68A" w:rsidR="00835971" w:rsidRDefault="00835971" w:rsidP="00555417">
      <w:pPr>
        <w:pStyle w:val="Title"/>
      </w:pPr>
      <w:r>
        <w:br w:type="page"/>
      </w:r>
    </w:p>
    <w:p w14:paraId="0BC6283B" w14:textId="77777777" w:rsidR="00835971" w:rsidRDefault="00835971" w:rsidP="00555417">
      <w:pPr>
        <w:pStyle w:val="Title"/>
        <w:sectPr w:rsidR="00835971" w:rsidSect="00835971">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1D68409E" w14:textId="07DA7D2C" w:rsidR="00703722" w:rsidRDefault="00703722" w:rsidP="00555417">
      <w:pPr>
        <w:pStyle w:val="Title"/>
      </w:pPr>
      <w:r>
        <w:lastRenderedPageBreak/>
        <w:t xml:space="preserve">General Comments </w:t>
      </w:r>
      <w:r w:rsidRPr="0037159A">
        <w:t>and answers</w:t>
      </w:r>
      <w:r>
        <w:t xml:space="preserve"> to specific </w:t>
      </w:r>
      <w:r w:rsidR="002E3E9D">
        <w:t>information requests</w:t>
      </w:r>
    </w:p>
    <w:p w14:paraId="1D6840A0" w14:textId="77777777" w:rsidR="00703722" w:rsidRDefault="00703722" w:rsidP="00703722">
      <w:pPr>
        <w:pStyle w:val="Heading2"/>
      </w:pPr>
      <w:r>
        <w:t xml:space="preserve">Specific </w:t>
      </w:r>
      <w:r w:rsidR="002E3E9D">
        <w:t>information requests</w:t>
      </w:r>
      <w:r>
        <w:t>:</w:t>
      </w:r>
    </w:p>
    <w:p w14:paraId="1D6840A1" w14:textId="77777777" w:rsidR="003D7818" w:rsidRPr="003D7818" w:rsidRDefault="003D7818" w:rsidP="003D7818">
      <w:pPr>
        <w:pStyle w:val="BodyText"/>
        <w:numPr>
          <w:ilvl w:val="0"/>
          <w:numId w:val="8"/>
        </w:numPr>
        <w:rPr>
          <w:u w:val="single"/>
        </w:rPr>
      </w:pPr>
      <w:r w:rsidRPr="003D7818">
        <w:rPr>
          <w:u w:val="single"/>
        </w:rPr>
        <w:t>The production, use and import of PFHxS, its</w:t>
      </w:r>
      <w:r w:rsidR="00894F8E">
        <w:rPr>
          <w:u w:val="single"/>
        </w:rPr>
        <w:t xml:space="preserve"> salts and related substances</w:t>
      </w:r>
      <w:r w:rsidR="00894F8E" w:rsidRPr="00894F8E">
        <w:rPr>
          <w:rStyle w:val="FootnoteReference"/>
          <w:rFonts w:ascii="Verdana" w:hAnsi="Verdana"/>
          <w:sz w:val="20"/>
        </w:rPr>
        <w:footnoteReference w:id="2"/>
      </w:r>
    </w:p>
    <w:p w14:paraId="1D6840A2" w14:textId="77777777" w:rsidR="003D7818" w:rsidRDefault="003D7818" w:rsidP="003D7818">
      <w:pPr>
        <w:pStyle w:val="BodyText"/>
        <w:ind w:left="720"/>
      </w:pPr>
      <w:r>
        <w:t xml:space="preserve">The manufacture, use or import of PFHxS (as a substance, constituent of another substance, mixture or article) is described in Annex A of the report and is summarised above (see summary section). In addition to this, are you aware of any present or future intentional or unintentional use (impurities) of PFHxS, either in the EU, or imported to the EU e.g.in articles? If such uses exist, for example in fluoropolymers (including </w:t>
      </w:r>
      <w:proofErr w:type="spellStart"/>
      <w:r>
        <w:t>fluoroelastomers</w:t>
      </w:r>
      <w:proofErr w:type="spellEnd"/>
      <w:r>
        <w:t>) please provide the following:</w:t>
      </w:r>
    </w:p>
    <w:p w14:paraId="1D6840A3" w14:textId="77777777" w:rsidR="003D7818" w:rsidRDefault="003D7818" w:rsidP="003D7818">
      <w:pPr>
        <w:pStyle w:val="BodyText"/>
        <w:numPr>
          <w:ilvl w:val="0"/>
          <w:numId w:val="6"/>
        </w:numPr>
      </w:pPr>
      <w:r>
        <w:t>The concentrations of PFHxS present in parts per billion, and whether it is present as an impurity or intentionally added</w:t>
      </w:r>
    </w:p>
    <w:p w14:paraId="1D6840A4" w14:textId="77777777" w:rsidR="003D7818" w:rsidRDefault="003D7818" w:rsidP="003D7818">
      <w:pPr>
        <w:pStyle w:val="BodyText"/>
        <w:numPr>
          <w:ilvl w:val="0"/>
          <w:numId w:val="6"/>
        </w:numPr>
      </w:pPr>
      <w:r>
        <w:t>Description of the use or function</w:t>
      </w:r>
    </w:p>
    <w:p w14:paraId="1D6840A5" w14:textId="77777777" w:rsidR="003D7818" w:rsidRDefault="003D7818" w:rsidP="003D7818">
      <w:pPr>
        <w:pStyle w:val="BodyText"/>
        <w:numPr>
          <w:ilvl w:val="0"/>
          <w:numId w:val="6"/>
        </w:numPr>
      </w:pPr>
      <w:r>
        <w:t>Quantities used and whether quantities will remain stable, increase or decrease in the future and over what time-frame?</w:t>
      </w:r>
    </w:p>
    <w:p w14:paraId="1D6840A6" w14:textId="77777777" w:rsidR="003D7818" w:rsidRDefault="003D7818" w:rsidP="003D7818">
      <w:pPr>
        <w:pStyle w:val="BodyText"/>
        <w:numPr>
          <w:ilvl w:val="0"/>
          <w:numId w:val="6"/>
        </w:numPr>
      </w:pPr>
      <w:r>
        <w:t>Information regarding the potential risks to the environment (e.g. quantified release estimates)</w:t>
      </w:r>
    </w:p>
    <w:p w14:paraId="1D6840A7" w14:textId="77777777" w:rsidR="003D7818" w:rsidRDefault="003D7818" w:rsidP="003D7818">
      <w:pPr>
        <w:pStyle w:val="BodyText"/>
        <w:numPr>
          <w:ilvl w:val="0"/>
          <w:numId w:val="6"/>
        </w:numPr>
      </w:pPr>
      <w:r>
        <w:t>Whether the concentrations present will exceed the threshold values in column 2, paragraph 2 of the proposed entry in Annex XVII (p1 of the Annex XV report)</w:t>
      </w:r>
    </w:p>
    <w:p w14:paraId="1D6840A8" w14:textId="77777777" w:rsidR="003D7818" w:rsidRDefault="003D7818" w:rsidP="003D7818">
      <w:pPr>
        <w:pStyle w:val="BodyText"/>
        <w:numPr>
          <w:ilvl w:val="0"/>
          <w:numId w:val="6"/>
        </w:numPr>
      </w:pPr>
      <w:r>
        <w:t>Technical and economic information for these applications or uses, for which alternatives are not available and/or the performance of alternatives are not considered adequate</w:t>
      </w:r>
    </w:p>
    <w:p w14:paraId="1D6840A9" w14:textId="77777777" w:rsidR="003D7818" w:rsidRDefault="003D7818" w:rsidP="003D7818">
      <w:pPr>
        <w:pStyle w:val="BodyText"/>
        <w:numPr>
          <w:ilvl w:val="0"/>
          <w:numId w:val="6"/>
        </w:numPr>
      </w:pPr>
      <w:r>
        <w:t>Costs for substituting PFHxS.</w:t>
      </w:r>
    </w:p>
    <w:p w14:paraId="1D6840AA" w14:textId="77777777" w:rsidR="00703722" w:rsidRDefault="003D7818" w:rsidP="003D7818">
      <w:pPr>
        <w:pStyle w:val="BodyText"/>
        <w:ind w:firstLine="720"/>
      </w:pPr>
      <w:r>
        <w:t>The above information is also needed from the industry if a time-limited derogation is to be considered.</w:t>
      </w:r>
    </w:p>
    <w:p w14:paraId="1D6840AB" w14:textId="77777777" w:rsidR="00460F82" w:rsidRPr="00A56EDF" w:rsidRDefault="00460F82" w:rsidP="00460F82">
      <w:pPr>
        <w:pStyle w:val="BodyText"/>
        <w:numPr>
          <w:ilvl w:val="0"/>
          <w:numId w:val="8"/>
        </w:numPr>
        <w:rPr>
          <w:u w:val="single"/>
        </w:rPr>
      </w:pPr>
      <w:proofErr w:type="spellStart"/>
      <w:r w:rsidRPr="00A56EDF">
        <w:rPr>
          <w:u w:val="single"/>
        </w:rPr>
        <w:t>Perflurobutanesulphonic</w:t>
      </w:r>
      <w:proofErr w:type="spellEnd"/>
      <w:r w:rsidRPr="00A56EDF">
        <w:rPr>
          <w:u w:val="single"/>
        </w:rPr>
        <w:t xml:space="preserve"> acid (PFBS) and PFOS</w:t>
      </w:r>
    </w:p>
    <w:p w14:paraId="1D6840AC" w14:textId="77777777" w:rsidR="00460F82" w:rsidRDefault="00460F82" w:rsidP="00460F82">
      <w:pPr>
        <w:pStyle w:val="BodyText"/>
        <w:ind w:left="720"/>
      </w:pPr>
      <w:r>
        <w:t>In the Annex XV report there is limited information that the manufacture of PFBS and certain limited uses of PFOS may contain impurities of PFHxS. PFBS is known to be manufactured and used as well as imported to the EU in articles. Certain limited uses of PFOS are also permitted in the EU by Regulation (EC) No 850/2004. If not already covered in (1) above, please provide information on:</w:t>
      </w:r>
    </w:p>
    <w:p w14:paraId="1D6840AD" w14:textId="77777777" w:rsidR="00460F82" w:rsidRDefault="00460F82" w:rsidP="00460F82">
      <w:pPr>
        <w:pStyle w:val="BodyText"/>
        <w:numPr>
          <w:ilvl w:val="0"/>
          <w:numId w:val="9"/>
        </w:numPr>
      </w:pPr>
      <w:r>
        <w:t>the concentrations of PFHxS present in parts per billion, and whether it is present as an impurity or intentionally added</w:t>
      </w:r>
    </w:p>
    <w:p w14:paraId="1D6840AE" w14:textId="77777777" w:rsidR="00460F82" w:rsidRDefault="00460F82" w:rsidP="00460F82">
      <w:pPr>
        <w:pStyle w:val="BodyText"/>
        <w:numPr>
          <w:ilvl w:val="0"/>
          <w:numId w:val="9"/>
        </w:numPr>
      </w:pPr>
      <w:r>
        <w:t>Description of the use, if any</w:t>
      </w:r>
    </w:p>
    <w:p w14:paraId="1D6840AF" w14:textId="77777777" w:rsidR="00460F82" w:rsidRDefault="00460F82" w:rsidP="00460F82">
      <w:pPr>
        <w:pStyle w:val="BodyText"/>
        <w:numPr>
          <w:ilvl w:val="0"/>
          <w:numId w:val="9"/>
        </w:numPr>
      </w:pPr>
      <w:r>
        <w:t>Quantities used and whether quantities will remain stable, increase or decrease in the future and over what time-frame?</w:t>
      </w:r>
    </w:p>
    <w:p w14:paraId="1D6840B0" w14:textId="77777777" w:rsidR="00460F82" w:rsidRDefault="00460F82" w:rsidP="00460F82">
      <w:pPr>
        <w:pStyle w:val="BodyText"/>
        <w:numPr>
          <w:ilvl w:val="0"/>
          <w:numId w:val="9"/>
        </w:numPr>
      </w:pPr>
      <w:r>
        <w:t>Information regarding the potential risks to the environment (e.g. quantified release estimates)</w:t>
      </w:r>
    </w:p>
    <w:p w14:paraId="1D6840B1" w14:textId="77777777" w:rsidR="00460F82" w:rsidRDefault="00460F82" w:rsidP="00460F82">
      <w:pPr>
        <w:pStyle w:val="BodyText"/>
        <w:numPr>
          <w:ilvl w:val="0"/>
          <w:numId w:val="9"/>
        </w:numPr>
      </w:pPr>
      <w:r>
        <w:t>Whether the concentrations present will exceed the threshold values in column 2, paragraph 2 of the proposed entry in Annex XVII (p1 of the Annex XV report)</w:t>
      </w:r>
    </w:p>
    <w:p w14:paraId="1D6840B2" w14:textId="77777777" w:rsidR="00460F82" w:rsidRDefault="00460F82" w:rsidP="00460F82">
      <w:pPr>
        <w:pStyle w:val="BodyText"/>
        <w:numPr>
          <w:ilvl w:val="0"/>
          <w:numId w:val="9"/>
        </w:numPr>
      </w:pPr>
      <w:r>
        <w:t>Technical and economic information for these applications or uses, for which alternatives are not available and/or the performance of alternatives are not considered adequate</w:t>
      </w:r>
    </w:p>
    <w:p w14:paraId="1D6840B3" w14:textId="77777777" w:rsidR="003D7818" w:rsidRDefault="00460F82" w:rsidP="00460F82">
      <w:pPr>
        <w:pStyle w:val="BodyText"/>
        <w:numPr>
          <w:ilvl w:val="0"/>
          <w:numId w:val="9"/>
        </w:numPr>
      </w:pPr>
      <w:r>
        <w:t>Costs for substituting PFHxS or removing the impurity from the products.</w:t>
      </w:r>
    </w:p>
    <w:p w14:paraId="1D6840B4" w14:textId="77777777" w:rsidR="00A56EDF" w:rsidRPr="00A56EDF" w:rsidRDefault="00A56EDF" w:rsidP="00A56EDF">
      <w:pPr>
        <w:pStyle w:val="BodyText"/>
        <w:numPr>
          <w:ilvl w:val="0"/>
          <w:numId w:val="8"/>
        </w:numPr>
        <w:rPr>
          <w:u w:val="single"/>
        </w:rPr>
      </w:pPr>
      <w:r w:rsidRPr="00A56EDF">
        <w:rPr>
          <w:u w:val="single"/>
        </w:rPr>
        <w:t>Alternatives</w:t>
      </w:r>
    </w:p>
    <w:p w14:paraId="1D6840B5" w14:textId="77777777" w:rsidR="00A56EDF" w:rsidRDefault="00A56EDF" w:rsidP="00A56EDF">
      <w:pPr>
        <w:pStyle w:val="BodyText"/>
        <w:ind w:left="720"/>
      </w:pPr>
      <w:r>
        <w:t>The Dossier Submitter summarises alternatives to PFHxS in Annex E.2 and explains that alternatives must already be in use in the EU because there are no intentional uses. Nevertheless, please provide information on:</w:t>
      </w:r>
    </w:p>
    <w:p w14:paraId="1D6840B6" w14:textId="77777777" w:rsidR="00A56EDF" w:rsidRDefault="00A56EDF" w:rsidP="00A56EDF">
      <w:pPr>
        <w:pStyle w:val="BodyText"/>
        <w:numPr>
          <w:ilvl w:val="0"/>
          <w:numId w:val="11"/>
        </w:numPr>
      </w:pPr>
      <w:r>
        <w:t>Additional details of alternatives to PFHxS, indicating whether they are technically and economically feasible and challenges of switching to these alternatives</w:t>
      </w:r>
    </w:p>
    <w:p w14:paraId="1D6840B7" w14:textId="77777777" w:rsidR="00A56EDF" w:rsidRDefault="00A56EDF" w:rsidP="00A56EDF">
      <w:pPr>
        <w:pStyle w:val="BodyText"/>
        <w:numPr>
          <w:ilvl w:val="0"/>
          <w:numId w:val="11"/>
        </w:numPr>
      </w:pPr>
      <w:r>
        <w:t>Non-fluorinated alternatives, particularly if they have lower risk profiles than PFHxS</w:t>
      </w:r>
    </w:p>
    <w:p w14:paraId="1D6840B8" w14:textId="77777777" w:rsidR="00A56EDF" w:rsidRDefault="00A56EDF" w:rsidP="00A56EDF">
      <w:pPr>
        <w:pStyle w:val="BodyText"/>
        <w:numPr>
          <w:ilvl w:val="0"/>
          <w:numId w:val="11"/>
        </w:numPr>
      </w:pPr>
      <w:r>
        <w:t>Articles that would no longer be available in the EU anymore once the proposed restriction becomes effective. Please name the article (types), purposes of use, and origins.</w:t>
      </w:r>
    </w:p>
    <w:p w14:paraId="1D6840B9" w14:textId="77777777" w:rsidR="00A56EDF" w:rsidRDefault="00A56EDF" w:rsidP="00A56EDF">
      <w:pPr>
        <w:pStyle w:val="BodyText"/>
      </w:pPr>
    </w:p>
    <w:p w14:paraId="1D6840BA" w14:textId="77777777" w:rsidR="00A56EDF" w:rsidRPr="00A56EDF" w:rsidRDefault="00A56EDF" w:rsidP="00A56EDF">
      <w:pPr>
        <w:pStyle w:val="BodyText"/>
        <w:numPr>
          <w:ilvl w:val="0"/>
          <w:numId w:val="8"/>
        </w:numPr>
        <w:rPr>
          <w:u w:val="single"/>
        </w:rPr>
      </w:pPr>
      <w:r w:rsidRPr="00A56EDF">
        <w:rPr>
          <w:u w:val="single"/>
        </w:rPr>
        <w:t>Exposure and trend data</w:t>
      </w:r>
    </w:p>
    <w:p w14:paraId="1D6840BB" w14:textId="77777777" w:rsidR="00A56EDF" w:rsidRPr="00703722" w:rsidRDefault="00A56EDF" w:rsidP="00A56EDF">
      <w:pPr>
        <w:pStyle w:val="BodyText"/>
        <w:ind w:left="720"/>
      </w:pPr>
      <w:r>
        <w:t>In addition to what is provided in sections 1.1.5 - 1.1.7 and Annex B.9., please provide any environmental or human health exposure and/or trend data for PFHxS, its salts and related substances (full reference or links to the reports is appreciated).</w:t>
      </w:r>
    </w:p>
    <w:tbl>
      <w:tblPr>
        <w:tblStyle w:val="TableGrid"/>
        <w:tblW w:w="4978" w:type="pct"/>
        <w:tblLook w:val="04A0" w:firstRow="1" w:lastRow="0" w:firstColumn="1" w:lastColumn="0" w:noHBand="0" w:noVBand="1"/>
      </w:tblPr>
      <w:tblGrid>
        <w:gridCol w:w="836"/>
        <w:gridCol w:w="3069"/>
        <w:gridCol w:w="9982"/>
      </w:tblGrid>
      <w:tr w:rsidR="00703722" w:rsidRPr="00204DB2" w14:paraId="1D6840BF" w14:textId="77777777" w:rsidTr="00A357CF">
        <w:tc>
          <w:tcPr>
            <w:tcW w:w="301" w:type="pct"/>
          </w:tcPr>
          <w:p w14:paraId="1D6840BC" w14:textId="77777777" w:rsidR="00703722" w:rsidRPr="00204DB2" w:rsidRDefault="00703722" w:rsidP="005446D7">
            <w:pPr>
              <w:rPr>
                <w:rFonts w:ascii="Verdana" w:hAnsi="Verdana"/>
                <w:b/>
                <w:sz w:val="20"/>
                <w:szCs w:val="20"/>
              </w:rPr>
            </w:pPr>
            <w:r w:rsidRPr="00204DB2">
              <w:rPr>
                <w:rFonts w:ascii="Verdana" w:hAnsi="Verdana"/>
                <w:b/>
                <w:sz w:val="20"/>
                <w:szCs w:val="20"/>
              </w:rPr>
              <w:t>Ref.</w:t>
            </w:r>
          </w:p>
        </w:tc>
        <w:tc>
          <w:tcPr>
            <w:tcW w:w="1105" w:type="pct"/>
          </w:tcPr>
          <w:p w14:paraId="1D6840BD" w14:textId="77777777" w:rsidR="00703722" w:rsidRPr="00204DB2" w:rsidRDefault="00703722" w:rsidP="00AF619B">
            <w:pPr>
              <w:rPr>
                <w:rFonts w:ascii="Verdana" w:hAnsi="Verdana"/>
                <w:b/>
                <w:sz w:val="20"/>
                <w:szCs w:val="20"/>
              </w:rPr>
            </w:pPr>
            <w:r w:rsidRPr="00204DB2">
              <w:rPr>
                <w:rFonts w:ascii="Verdana" w:hAnsi="Verdana"/>
                <w:b/>
                <w:sz w:val="20"/>
                <w:szCs w:val="20"/>
              </w:rPr>
              <w:t>Date/</w:t>
            </w:r>
            <w:r w:rsidR="00705B76">
              <w:rPr>
                <w:rFonts w:ascii="Verdana" w:hAnsi="Verdana"/>
                <w:b/>
                <w:sz w:val="20"/>
                <w:szCs w:val="20"/>
              </w:rPr>
              <w:t>type/Org.</w:t>
            </w:r>
          </w:p>
        </w:tc>
        <w:tc>
          <w:tcPr>
            <w:tcW w:w="3594" w:type="pct"/>
          </w:tcPr>
          <w:p w14:paraId="1D6840BE" w14:textId="77777777" w:rsidR="00703722" w:rsidRPr="00204DB2" w:rsidRDefault="00703722" w:rsidP="00555417">
            <w:pPr>
              <w:rPr>
                <w:rFonts w:ascii="Verdana" w:hAnsi="Verdana"/>
                <w:b/>
                <w:sz w:val="20"/>
                <w:szCs w:val="20"/>
              </w:rPr>
            </w:pPr>
            <w:r w:rsidRPr="00204DB2">
              <w:rPr>
                <w:rFonts w:ascii="Verdana" w:hAnsi="Verdana"/>
                <w:b/>
                <w:sz w:val="20"/>
                <w:szCs w:val="20"/>
              </w:rPr>
              <w:t>Comments</w:t>
            </w:r>
          </w:p>
        </w:tc>
      </w:tr>
      <w:tr w:rsidR="00DC17E7" w:rsidRPr="00786F18" w14:paraId="1D6840D3" w14:textId="77777777" w:rsidTr="00A357CF">
        <w:tc>
          <w:tcPr>
            <w:tcW w:w="301" w:type="pct"/>
            <w:vMerge w:val="restart"/>
          </w:tcPr>
          <w:p w14:paraId="1D6840C0" w14:textId="77777777" w:rsidR="00DC17E7" w:rsidRPr="00786F18" w:rsidRDefault="00DC17E7" w:rsidP="00555417">
            <w:pPr>
              <w:rPr>
                <w:rFonts w:ascii="Verdana" w:hAnsi="Verdana"/>
                <w:b/>
                <w:sz w:val="20"/>
                <w:szCs w:val="20"/>
              </w:rPr>
            </w:pPr>
            <w:r w:rsidRPr="00F127AD">
              <w:rPr>
                <w:rFonts w:ascii="Verdana" w:hAnsi="Verdana"/>
                <w:b/>
                <w:noProof/>
                <w:sz w:val="20"/>
                <w:szCs w:val="20"/>
              </w:rPr>
              <w:t>2347</w:t>
            </w:r>
          </w:p>
        </w:tc>
        <w:tc>
          <w:tcPr>
            <w:tcW w:w="1105" w:type="pct"/>
            <w:vMerge w:val="restart"/>
          </w:tcPr>
          <w:p w14:paraId="1D6840C1" w14:textId="77777777" w:rsidR="00DC17E7" w:rsidRPr="00786F18" w:rsidRDefault="00DC17E7" w:rsidP="00555417">
            <w:pPr>
              <w:rPr>
                <w:rFonts w:ascii="Verdana" w:hAnsi="Verdana"/>
                <w:sz w:val="20"/>
                <w:szCs w:val="20"/>
              </w:rPr>
            </w:pPr>
            <w:r w:rsidRPr="00786F18">
              <w:rPr>
                <w:rFonts w:ascii="Verdana" w:hAnsi="Verdana"/>
                <w:b/>
                <w:sz w:val="20"/>
                <w:szCs w:val="20"/>
              </w:rPr>
              <w:t>Date:</w:t>
            </w:r>
            <w:r w:rsidRPr="00786F18">
              <w:rPr>
                <w:rFonts w:ascii="Verdana" w:hAnsi="Verdana"/>
                <w:sz w:val="20"/>
                <w:szCs w:val="20"/>
              </w:rPr>
              <w:t xml:space="preserve"> </w:t>
            </w:r>
            <w:r w:rsidRPr="00F127AD">
              <w:rPr>
                <w:rFonts w:ascii="Verdana" w:hAnsi="Verdana"/>
                <w:noProof/>
                <w:sz w:val="20"/>
                <w:szCs w:val="20"/>
              </w:rPr>
              <w:t>2019/07/10 11:32</w:t>
            </w:r>
          </w:p>
          <w:p w14:paraId="1D6840C2" w14:textId="77777777" w:rsidR="00DC17E7" w:rsidRPr="00786F18" w:rsidRDefault="00DC17E7" w:rsidP="00555417">
            <w:pPr>
              <w:rPr>
                <w:rFonts w:ascii="Verdana" w:hAnsi="Verdana"/>
                <w:sz w:val="20"/>
                <w:szCs w:val="20"/>
              </w:rPr>
            </w:pPr>
          </w:p>
          <w:p w14:paraId="1D6840C3" w14:textId="77777777" w:rsidR="00DC17E7" w:rsidRPr="00786F18" w:rsidRDefault="00DC17E7" w:rsidP="00555417">
            <w:pPr>
              <w:rPr>
                <w:rFonts w:ascii="Verdana" w:hAnsi="Verdana"/>
                <w:sz w:val="20"/>
                <w:szCs w:val="20"/>
              </w:rPr>
            </w:pPr>
            <w:r w:rsidRPr="00786F18">
              <w:rPr>
                <w:rFonts w:ascii="Verdana" w:hAnsi="Verdana"/>
                <w:b/>
                <w:sz w:val="20"/>
                <w:szCs w:val="20"/>
              </w:rPr>
              <w:t>Type:</w:t>
            </w:r>
            <w:r w:rsidRPr="00786F18">
              <w:rPr>
                <w:rFonts w:ascii="Verdana" w:hAnsi="Verdana"/>
                <w:sz w:val="20"/>
                <w:szCs w:val="20"/>
              </w:rPr>
              <w:t xml:space="preserve"> </w:t>
            </w:r>
            <w:r w:rsidRPr="00F127AD">
              <w:rPr>
                <w:rFonts w:ascii="Verdana" w:hAnsi="Verdana"/>
                <w:noProof/>
                <w:sz w:val="20"/>
                <w:szCs w:val="20"/>
              </w:rPr>
              <w:t>BehalfOfAnOrganisation</w:t>
            </w:r>
          </w:p>
          <w:p w14:paraId="1D6840C4" w14:textId="77777777" w:rsidR="00DC17E7" w:rsidRPr="00786F18" w:rsidRDefault="00DC17E7" w:rsidP="00555417">
            <w:pPr>
              <w:rPr>
                <w:rFonts w:ascii="Verdana" w:hAnsi="Verdana"/>
                <w:sz w:val="20"/>
                <w:szCs w:val="20"/>
              </w:rPr>
            </w:pPr>
          </w:p>
          <w:p w14:paraId="1D6840C5" w14:textId="77777777" w:rsidR="00DC17E7" w:rsidRPr="00786F18" w:rsidRDefault="00DC17E7" w:rsidP="00555417">
            <w:pPr>
              <w:rPr>
                <w:rFonts w:ascii="Verdana" w:hAnsi="Verdana"/>
                <w:sz w:val="20"/>
                <w:szCs w:val="20"/>
              </w:rPr>
            </w:pPr>
            <w:r w:rsidRPr="00786F18">
              <w:rPr>
                <w:rFonts w:ascii="Verdana" w:hAnsi="Verdana"/>
                <w:b/>
                <w:sz w:val="20"/>
                <w:szCs w:val="20"/>
              </w:rPr>
              <w:t>Org. type:</w:t>
            </w:r>
            <w:r w:rsidRPr="00786F18">
              <w:rPr>
                <w:rFonts w:ascii="Verdana" w:hAnsi="Verdana"/>
                <w:sz w:val="20"/>
                <w:szCs w:val="20"/>
              </w:rPr>
              <w:t xml:space="preserve"> </w:t>
            </w:r>
            <w:r w:rsidRPr="00F127AD">
              <w:rPr>
                <w:rFonts w:ascii="Verdana" w:hAnsi="Verdana"/>
                <w:noProof/>
                <w:sz w:val="20"/>
                <w:szCs w:val="20"/>
              </w:rPr>
              <w:t>National Authority</w:t>
            </w:r>
          </w:p>
          <w:p w14:paraId="1D6840C6" w14:textId="77777777" w:rsidR="00DC17E7" w:rsidRPr="00786F18" w:rsidRDefault="00DC17E7" w:rsidP="00555417">
            <w:pPr>
              <w:rPr>
                <w:rFonts w:ascii="Verdana" w:hAnsi="Verdana"/>
                <w:sz w:val="20"/>
                <w:szCs w:val="20"/>
              </w:rPr>
            </w:pPr>
          </w:p>
          <w:p w14:paraId="1D6840C7" w14:textId="77777777" w:rsidR="00DC17E7" w:rsidRPr="00786F18" w:rsidRDefault="00DC17E7" w:rsidP="00555417">
            <w:pPr>
              <w:rPr>
                <w:rFonts w:ascii="Verdana" w:hAnsi="Verdana"/>
                <w:sz w:val="20"/>
                <w:szCs w:val="20"/>
              </w:rPr>
            </w:pPr>
            <w:r w:rsidRPr="00786F18">
              <w:rPr>
                <w:rFonts w:ascii="Verdana" w:hAnsi="Verdana"/>
                <w:b/>
                <w:sz w:val="20"/>
                <w:szCs w:val="20"/>
              </w:rPr>
              <w:t>Org. name:</w:t>
            </w:r>
            <w:r w:rsidRPr="00786F18">
              <w:rPr>
                <w:rFonts w:ascii="Verdana" w:hAnsi="Verdana"/>
                <w:sz w:val="20"/>
                <w:szCs w:val="20"/>
              </w:rPr>
              <w:t xml:space="preserve"> </w:t>
            </w:r>
            <w:r w:rsidR="004217B0" w:rsidRPr="004217B0">
              <w:rPr>
                <w:rFonts w:ascii="Verdana" w:hAnsi="Verdana"/>
                <w:noProof/>
                <w:sz w:val="20"/>
                <w:szCs w:val="20"/>
                <w:highlight w:val="black"/>
              </w:rPr>
              <w:t>&lt;redacted&gt;</w:t>
            </w:r>
          </w:p>
          <w:p w14:paraId="1D6840C8" w14:textId="77777777" w:rsidR="00DC17E7" w:rsidRPr="00786F18" w:rsidRDefault="00DC17E7" w:rsidP="00555417">
            <w:pPr>
              <w:rPr>
                <w:rFonts w:ascii="Verdana" w:hAnsi="Verdana"/>
                <w:sz w:val="20"/>
                <w:szCs w:val="20"/>
              </w:rPr>
            </w:pPr>
          </w:p>
          <w:p w14:paraId="1D6840C9" w14:textId="77777777" w:rsidR="00DC17E7" w:rsidRPr="00786F18" w:rsidRDefault="00DC17E7" w:rsidP="00555417">
            <w:pPr>
              <w:rPr>
                <w:rFonts w:ascii="Verdana" w:hAnsi="Verdana"/>
                <w:sz w:val="20"/>
                <w:szCs w:val="20"/>
              </w:rPr>
            </w:pPr>
            <w:r w:rsidRPr="00786F18">
              <w:rPr>
                <w:rFonts w:ascii="Verdana" w:hAnsi="Verdana"/>
                <w:b/>
                <w:sz w:val="20"/>
                <w:szCs w:val="20"/>
              </w:rPr>
              <w:t>Org. country:</w:t>
            </w:r>
            <w:r w:rsidRPr="00786F18">
              <w:rPr>
                <w:rFonts w:ascii="Verdana" w:hAnsi="Verdana"/>
                <w:sz w:val="20"/>
                <w:szCs w:val="20"/>
              </w:rPr>
              <w:t xml:space="preserve"> </w:t>
            </w:r>
            <w:r w:rsidRPr="00F127AD">
              <w:rPr>
                <w:rFonts w:ascii="Verdana" w:hAnsi="Verdana"/>
                <w:noProof/>
                <w:sz w:val="20"/>
                <w:szCs w:val="20"/>
              </w:rPr>
              <w:t>United Kingdom</w:t>
            </w:r>
          </w:p>
          <w:p w14:paraId="1D6840CA" w14:textId="77777777" w:rsidR="00DC17E7" w:rsidRPr="00786F18" w:rsidRDefault="00DC17E7" w:rsidP="00555417">
            <w:pPr>
              <w:rPr>
                <w:rFonts w:ascii="Verdana" w:hAnsi="Verdana"/>
                <w:sz w:val="20"/>
                <w:szCs w:val="20"/>
              </w:rPr>
            </w:pPr>
          </w:p>
          <w:p w14:paraId="1D6840CB" w14:textId="77777777" w:rsidR="00DC17E7" w:rsidRPr="00786F18" w:rsidRDefault="00DC17E7" w:rsidP="00555417">
            <w:pPr>
              <w:rPr>
                <w:rFonts w:ascii="Verdana" w:hAnsi="Verdana"/>
                <w:sz w:val="20"/>
                <w:szCs w:val="20"/>
              </w:rPr>
            </w:pPr>
            <w:r w:rsidRPr="00786F18">
              <w:rPr>
                <w:rFonts w:ascii="Verdana" w:hAnsi="Verdana"/>
                <w:b/>
                <w:sz w:val="20"/>
                <w:szCs w:val="20"/>
              </w:rPr>
              <w:t xml:space="preserve">Company name confidential: </w:t>
            </w:r>
            <w:r>
              <w:rPr>
                <w:rFonts w:ascii="Verdana" w:hAnsi="Verdana"/>
                <w:noProof/>
                <w:sz w:val="20"/>
                <w:szCs w:val="20"/>
              </w:rPr>
              <w:t>Yes</w:t>
            </w:r>
            <w:r w:rsidRPr="00786F18">
              <w:rPr>
                <w:rFonts w:ascii="Verdana" w:hAnsi="Verdana"/>
                <w:sz w:val="20"/>
                <w:szCs w:val="20"/>
              </w:rPr>
              <w:t xml:space="preserve"> </w:t>
            </w:r>
          </w:p>
          <w:p w14:paraId="1D6840CC" w14:textId="77777777" w:rsidR="00DC17E7" w:rsidRPr="00786F18" w:rsidRDefault="00DC17E7" w:rsidP="00555417">
            <w:pPr>
              <w:rPr>
                <w:rFonts w:ascii="Verdana" w:hAnsi="Verdana"/>
                <w:sz w:val="20"/>
                <w:szCs w:val="20"/>
              </w:rPr>
            </w:pPr>
          </w:p>
          <w:p w14:paraId="1D6840CD" w14:textId="77777777" w:rsidR="00DC17E7" w:rsidRDefault="00DC17E7" w:rsidP="00555417">
            <w:pPr>
              <w:rPr>
                <w:rFonts w:ascii="Verdana" w:hAnsi="Verdana"/>
                <w:b/>
                <w:sz w:val="20"/>
                <w:szCs w:val="20"/>
              </w:rPr>
            </w:pPr>
            <w:r w:rsidRPr="00786F18">
              <w:rPr>
                <w:rFonts w:ascii="Verdana" w:hAnsi="Verdana"/>
                <w:b/>
                <w:sz w:val="20"/>
                <w:szCs w:val="20"/>
              </w:rPr>
              <w:t>Attachment:</w:t>
            </w:r>
          </w:p>
          <w:p w14:paraId="1D6840CE" w14:textId="77777777" w:rsidR="00DC17E7" w:rsidRPr="00786F18" w:rsidRDefault="00DC17E7" w:rsidP="00555417">
            <w:pPr>
              <w:rPr>
                <w:rFonts w:ascii="Verdana" w:hAnsi="Verdana"/>
                <w:b/>
                <w:sz w:val="20"/>
                <w:szCs w:val="20"/>
              </w:rPr>
            </w:pPr>
          </w:p>
          <w:bookmarkStart w:id="1" w:name="_MON_1628055704"/>
          <w:bookmarkEnd w:id="1"/>
          <w:p w14:paraId="1D6840CF" w14:textId="467F9C17" w:rsidR="00DC17E7" w:rsidRPr="00786F18" w:rsidRDefault="00F60BE7" w:rsidP="00555417">
            <w:pPr>
              <w:rPr>
                <w:rFonts w:ascii="Verdana" w:hAnsi="Verdana"/>
                <w:sz w:val="20"/>
                <w:szCs w:val="20"/>
              </w:rPr>
            </w:pPr>
            <w:r>
              <w:rPr>
                <w:rFonts w:ascii="Verdana" w:hAnsi="Verdana"/>
                <w:noProof/>
                <w:sz w:val="20"/>
                <w:szCs w:val="20"/>
              </w:rPr>
              <w:object w:dxaOrig="1562" w:dyaOrig="1011" w14:anchorId="1D684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50.4pt" o:ole="">
                  <v:imagedata r:id="rId17" o:title=""/>
                </v:shape>
                <o:OLEObject Type="Embed" ProgID="Excel.Sheet.12" ShapeID="_x0000_i1025" DrawAspect="Icon" ObjectID="_1646481427" r:id="rId18"/>
              </w:object>
            </w:r>
            <w:r w:rsidR="00DC17E7" w:rsidRPr="00786F18">
              <w:rPr>
                <w:rFonts w:ascii="Verdana" w:hAnsi="Verdana"/>
                <w:sz w:val="20"/>
                <w:szCs w:val="20"/>
              </w:rPr>
              <w:t xml:space="preserve"> </w:t>
            </w:r>
          </w:p>
        </w:tc>
        <w:tc>
          <w:tcPr>
            <w:tcW w:w="3594" w:type="pct"/>
          </w:tcPr>
          <w:p w14:paraId="1D6840D0" w14:textId="77777777" w:rsidR="00DC17E7" w:rsidRPr="00786F18" w:rsidRDefault="00DC17E7" w:rsidP="00555417">
            <w:pPr>
              <w:rPr>
                <w:rFonts w:ascii="Verdana" w:hAnsi="Verdana"/>
                <w:b/>
                <w:sz w:val="20"/>
                <w:szCs w:val="20"/>
              </w:rPr>
            </w:pPr>
            <w:r w:rsidRPr="00786F18">
              <w:rPr>
                <w:rFonts w:ascii="Verdana" w:hAnsi="Verdana"/>
                <w:b/>
                <w:sz w:val="20"/>
                <w:szCs w:val="20"/>
              </w:rPr>
              <w:t>Comment:</w:t>
            </w:r>
          </w:p>
          <w:p w14:paraId="1D6840D1" w14:textId="77777777" w:rsidR="00DC17E7" w:rsidRDefault="00DC17E7" w:rsidP="00555417">
            <w:pPr>
              <w:rPr>
                <w:rFonts w:ascii="Verdana" w:hAnsi="Verdana"/>
                <w:sz w:val="20"/>
                <w:szCs w:val="20"/>
              </w:rPr>
            </w:pPr>
            <w:r>
              <w:rPr>
                <w:rFonts w:ascii="Verdana" w:hAnsi="Verdana"/>
                <w:sz w:val="20"/>
                <w:szCs w:val="20"/>
              </w:rPr>
              <w:t>-</w:t>
            </w:r>
          </w:p>
          <w:p w14:paraId="1D6840D2" w14:textId="77777777" w:rsidR="00DC17E7" w:rsidRPr="00786F18" w:rsidRDefault="00DC17E7" w:rsidP="00555417">
            <w:pPr>
              <w:rPr>
                <w:rFonts w:ascii="Verdana" w:hAnsi="Verdana"/>
                <w:sz w:val="20"/>
                <w:szCs w:val="20"/>
              </w:rPr>
            </w:pPr>
          </w:p>
        </w:tc>
      </w:tr>
      <w:tr w:rsidR="00DC17E7" w:rsidRPr="00786F18" w14:paraId="1D6840D8" w14:textId="77777777" w:rsidTr="00A357CF">
        <w:trPr>
          <w:trHeight w:val="636"/>
        </w:trPr>
        <w:tc>
          <w:tcPr>
            <w:tcW w:w="301" w:type="pct"/>
            <w:vMerge/>
          </w:tcPr>
          <w:p w14:paraId="1D6840D4" w14:textId="77777777" w:rsidR="00DC17E7" w:rsidRPr="00786F18" w:rsidRDefault="00DC17E7" w:rsidP="00555417">
            <w:pPr>
              <w:rPr>
                <w:rFonts w:ascii="Verdana" w:hAnsi="Verdana"/>
                <w:sz w:val="20"/>
                <w:szCs w:val="20"/>
              </w:rPr>
            </w:pPr>
          </w:p>
        </w:tc>
        <w:tc>
          <w:tcPr>
            <w:tcW w:w="1105" w:type="pct"/>
            <w:vMerge/>
          </w:tcPr>
          <w:p w14:paraId="1D6840D5" w14:textId="77777777" w:rsidR="00DC17E7" w:rsidRPr="00786F18" w:rsidRDefault="00DC17E7" w:rsidP="00555417">
            <w:pPr>
              <w:rPr>
                <w:rFonts w:ascii="Verdana" w:hAnsi="Verdana"/>
                <w:sz w:val="20"/>
                <w:szCs w:val="20"/>
              </w:rPr>
            </w:pPr>
          </w:p>
        </w:tc>
        <w:tc>
          <w:tcPr>
            <w:tcW w:w="3594" w:type="pct"/>
          </w:tcPr>
          <w:p w14:paraId="1D6840D6" w14:textId="77777777" w:rsidR="00DC17E7" w:rsidRPr="00786F18" w:rsidRDefault="00DC17E7" w:rsidP="00555417">
            <w:pPr>
              <w:rPr>
                <w:rFonts w:ascii="Verdana" w:hAnsi="Verdana"/>
                <w:b/>
                <w:sz w:val="20"/>
                <w:szCs w:val="20"/>
              </w:rPr>
            </w:pPr>
            <w:r w:rsidRPr="00786F18">
              <w:rPr>
                <w:rFonts w:ascii="Verdana" w:hAnsi="Verdana"/>
                <w:b/>
                <w:sz w:val="20"/>
                <w:szCs w:val="20"/>
              </w:rPr>
              <w:t>Answer to specific info request 4:</w:t>
            </w:r>
          </w:p>
          <w:p w14:paraId="1D6840D7" w14:textId="77777777" w:rsidR="00DC17E7" w:rsidRPr="00786F18" w:rsidRDefault="00DC17E7" w:rsidP="00555417">
            <w:pPr>
              <w:rPr>
                <w:rFonts w:ascii="Verdana" w:hAnsi="Verdana"/>
                <w:sz w:val="20"/>
                <w:szCs w:val="20"/>
              </w:rPr>
            </w:pPr>
            <w:r w:rsidRPr="00F127AD">
              <w:rPr>
                <w:rFonts w:ascii="Verdana" w:hAnsi="Verdana"/>
                <w:noProof/>
                <w:sz w:val="20"/>
                <w:szCs w:val="20"/>
              </w:rPr>
              <w:t>Please see attached spreadsheet with surface water data for PFHxS anion</w:t>
            </w:r>
          </w:p>
        </w:tc>
      </w:tr>
      <w:tr w:rsidR="00DC17E7" w:rsidRPr="006309C8" w14:paraId="1D6840DE" w14:textId="77777777" w:rsidTr="00A357CF">
        <w:trPr>
          <w:trHeight w:val="505"/>
        </w:trPr>
        <w:tc>
          <w:tcPr>
            <w:tcW w:w="301" w:type="pct"/>
            <w:vMerge/>
          </w:tcPr>
          <w:p w14:paraId="1D6840D9" w14:textId="77777777" w:rsidR="00DC17E7" w:rsidRPr="00786F18" w:rsidRDefault="00DC17E7" w:rsidP="00555417">
            <w:pPr>
              <w:rPr>
                <w:rFonts w:ascii="Verdana" w:hAnsi="Verdana"/>
                <w:sz w:val="20"/>
                <w:szCs w:val="20"/>
              </w:rPr>
            </w:pPr>
          </w:p>
        </w:tc>
        <w:tc>
          <w:tcPr>
            <w:tcW w:w="1105" w:type="pct"/>
            <w:vMerge/>
          </w:tcPr>
          <w:p w14:paraId="1D6840DA" w14:textId="77777777" w:rsidR="00DC17E7" w:rsidRPr="00786F18" w:rsidRDefault="00DC17E7" w:rsidP="00555417">
            <w:pPr>
              <w:rPr>
                <w:rFonts w:ascii="Verdana" w:hAnsi="Verdana"/>
                <w:sz w:val="20"/>
                <w:szCs w:val="20"/>
              </w:rPr>
            </w:pPr>
          </w:p>
        </w:tc>
        <w:tc>
          <w:tcPr>
            <w:tcW w:w="3594" w:type="pct"/>
          </w:tcPr>
          <w:p w14:paraId="1D6840DB" w14:textId="77777777" w:rsidR="00DC17E7" w:rsidRPr="00786F18" w:rsidRDefault="00DC17E7" w:rsidP="00555417">
            <w:pPr>
              <w:rPr>
                <w:rFonts w:ascii="Verdana" w:hAnsi="Verdana"/>
                <w:b/>
                <w:sz w:val="20"/>
                <w:szCs w:val="20"/>
              </w:rPr>
            </w:pPr>
            <w:r w:rsidRPr="00786F18">
              <w:rPr>
                <w:rFonts w:ascii="Verdana" w:hAnsi="Verdana"/>
                <w:b/>
                <w:sz w:val="20"/>
                <w:szCs w:val="20"/>
              </w:rPr>
              <w:t>Dossier submitter response:</w:t>
            </w:r>
          </w:p>
          <w:p w14:paraId="1D6840DC" w14:textId="55795815" w:rsidR="00DC17E7" w:rsidRPr="00786F18" w:rsidRDefault="00DC17E7" w:rsidP="00555417">
            <w:pPr>
              <w:rPr>
                <w:rFonts w:ascii="Verdana" w:hAnsi="Verdana"/>
                <w:sz w:val="20"/>
                <w:szCs w:val="20"/>
              </w:rPr>
            </w:pPr>
          </w:p>
          <w:p w14:paraId="2E2EA5E4" w14:textId="153258AF" w:rsidR="00DB1ED4" w:rsidRPr="00F60BE7" w:rsidRDefault="00DB1ED4" w:rsidP="00DB1ED4">
            <w:pPr>
              <w:rPr>
                <w:rFonts w:ascii="Verdana" w:hAnsi="Verdana"/>
                <w:sz w:val="20"/>
                <w:szCs w:val="20"/>
              </w:rPr>
            </w:pPr>
            <w:r>
              <w:rPr>
                <w:rFonts w:ascii="Verdana" w:hAnsi="Verdana"/>
                <w:sz w:val="20"/>
                <w:szCs w:val="20"/>
              </w:rPr>
              <w:t xml:space="preserve">Thank you for submitting </w:t>
            </w:r>
            <w:r w:rsidR="00446779">
              <w:rPr>
                <w:rFonts w:ascii="Verdana" w:hAnsi="Verdana"/>
                <w:sz w:val="20"/>
                <w:szCs w:val="20"/>
              </w:rPr>
              <w:t>the</w:t>
            </w:r>
            <w:r>
              <w:rPr>
                <w:rFonts w:ascii="Verdana" w:hAnsi="Verdana"/>
                <w:sz w:val="20"/>
                <w:szCs w:val="20"/>
              </w:rPr>
              <w:t xml:space="preserve"> data. </w:t>
            </w:r>
            <w:r w:rsidRPr="006309C8">
              <w:rPr>
                <w:rFonts w:ascii="Verdana" w:hAnsi="Verdana"/>
                <w:sz w:val="20"/>
                <w:szCs w:val="20"/>
              </w:rPr>
              <w:t xml:space="preserve">We have included them in chapter </w:t>
            </w:r>
            <w:r w:rsidR="00C767A3">
              <w:rPr>
                <w:rFonts w:ascii="Verdana" w:hAnsi="Verdana"/>
                <w:sz w:val="20"/>
                <w:szCs w:val="20"/>
              </w:rPr>
              <w:t xml:space="preserve">B.4.3.1 </w:t>
            </w:r>
            <w:r w:rsidRPr="006309C8">
              <w:rPr>
                <w:rFonts w:ascii="Verdana" w:hAnsi="Verdana"/>
                <w:sz w:val="20"/>
                <w:szCs w:val="20"/>
              </w:rPr>
              <w:t>of the Background Document</w:t>
            </w:r>
            <w:r w:rsidRPr="00F60BE7">
              <w:rPr>
                <w:rFonts w:ascii="Verdana" w:hAnsi="Verdana"/>
                <w:sz w:val="20"/>
                <w:szCs w:val="20"/>
              </w:rPr>
              <w:t xml:space="preserve">. </w:t>
            </w:r>
          </w:p>
          <w:p w14:paraId="1D6840DD" w14:textId="064865A7" w:rsidR="00DB1ED4" w:rsidRPr="00F60BE7" w:rsidRDefault="00DB1ED4" w:rsidP="00555417">
            <w:pPr>
              <w:rPr>
                <w:rFonts w:ascii="Verdana" w:hAnsi="Verdana"/>
                <w:sz w:val="20"/>
                <w:szCs w:val="20"/>
              </w:rPr>
            </w:pPr>
          </w:p>
        </w:tc>
      </w:tr>
      <w:tr w:rsidR="00DC17E7" w:rsidRPr="00786F18" w14:paraId="1D6840E4" w14:textId="77777777" w:rsidTr="00A357CF">
        <w:trPr>
          <w:trHeight w:val="561"/>
        </w:trPr>
        <w:tc>
          <w:tcPr>
            <w:tcW w:w="301" w:type="pct"/>
            <w:vMerge/>
          </w:tcPr>
          <w:p w14:paraId="1D6840DF" w14:textId="77777777" w:rsidR="00DC17E7" w:rsidRPr="006309C8" w:rsidRDefault="00DC17E7" w:rsidP="00555417">
            <w:pPr>
              <w:rPr>
                <w:rFonts w:ascii="Verdana" w:hAnsi="Verdana"/>
                <w:sz w:val="20"/>
                <w:szCs w:val="20"/>
              </w:rPr>
            </w:pPr>
          </w:p>
        </w:tc>
        <w:tc>
          <w:tcPr>
            <w:tcW w:w="1105" w:type="pct"/>
            <w:vMerge/>
          </w:tcPr>
          <w:p w14:paraId="1D6840E0" w14:textId="77777777" w:rsidR="00DC17E7" w:rsidRPr="006309C8" w:rsidRDefault="00DC17E7" w:rsidP="00555417">
            <w:pPr>
              <w:rPr>
                <w:rFonts w:ascii="Verdana" w:hAnsi="Verdana"/>
                <w:sz w:val="20"/>
                <w:szCs w:val="20"/>
              </w:rPr>
            </w:pPr>
          </w:p>
        </w:tc>
        <w:tc>
          <w:tcPr>
            <w:tcW w:w="3594" w:type="pct"/>
          </w:tcPr>
          <w:p w14:paraId="1D6840E1" w14:textId="77777777" w:rsidR="00DC17E7" w:rsidRPr="00786F18" w:rsidRDefault="00DC17E7" w:rsidP="00555417">
            <w:pPr>
              <w:rPr>
                <w:rFonts w:ascii="Verdana" w:hAnsi="Verdana"/>
                <w:b/>
                <w:sz w:val="20"/>
                <w:szCs w:val="20"/>
              </w:rPr>
            </w:pPr>
            <w:r w:rsidRPr="00786F18">
              <w:rPr>
                <w:rFonts w:ascii="Verdana" w:hAnsi="Verdana"/>
                <w:b/>
                <w:sz w:val="20"/>
                <w:szCs w:val="20"/>
              </w:rPr>
              <w:t>RAC Rapporteurs comments:</w:t>
            </w:r>
          </w:p>
          <w:p w14:paraId="7702ADE1" w14:textId="77777777" w:rsidR="002D347F" w:rsidRDefault="002D347F" w:rsidP="002D347F">
            <w:pPr>
              <w:rPr>
                <w:rFonts w:ascii="Verdana" w:hAnsi="Verdana"/>
                <w:sz w:val="20"/>
                <w:szCs w:val="20"/>
              </w:rPr>
            </w:pPr>
            <w:r>
              <w:rPr>
                <w:rFonts w:ascii="Verdana" w:hAnsi="Verdana"/>
                <w:sz w:val="20"/>
                <w:szCs w:val="20"/>
              </w:rPr>
              <w:t xml:space="preserve">Noted, thank you. </w:t>
            </w:r>
          </w:p>
          <w:p w14:paraId="1D6840E2" w14:textId="77777777" w:rsidR="00DC17E7" w:rsidRPr="00786F18" w:rsidRDefault="00DC17E7" w:rsidP="00555417">
            <w:pPr>
              <w:rPr>
                <w:rFonts w:ascii="Verdana" w:hAnsi="Verdana"/>
                <w:sz w:val="20"/>
                <w:szCs w:val="20"/>
              </w:rPr>
            </w:pPr>
          </w:p>
          <w:p w14:paraId="1D6840E3" w14:textId="77777777" w:rsidR="00DC17E7" w:rsidRPr="00786F18" w:rsidRDefault="00DC17E7" w:rsidP="00555417">
            <w:pPr>
              <w:rPr>
                <w:rFonts w:ascii="Verdana" w:hAnsi="Verdana"/>
                <w:sz w:val="20"/>
                <w:szCs w:val="20"/>
              </w:rPr>
            </w:pPr>
          </w:p>
        </w:tc>
      </w:tr>
      <w:tr w:rsidR="00DC17E7" w:rsidRPr="00786F18" w14:paraId="1D6840EA" w14:textId="77777777" w:rsidTr="00A357CF">
        <w:trPr>
          <w:trHeight w:val="991"/>
        </w:trPr>
        <w:tc>
          <w:tcPr>
            <w:tcW w:w="301" w:type="pct"/>
            <w:vMerge/>
          </w:tcPr>
          <w:p w14:paraId="1D6840E5" w14:textId="77777777" w:rsidR="00DC17E7" w:rsidRPr="00786F18" w:rsidRDefault="00DC17E7" w:rsidP="00555417">
            <w:pPr>
              <w:rPr>
                <w:rFonts w:ascii="Verdana" w:hAnsi="Verdana"/>
                <w:sz w:val="20"/>
                <w:szCs w:val="20"/>
              </w:rPr>
            </w:pPr>
          </w:p>
        </w:tc>
        <w:tc>
          <w:tcPr>
            <w:tcW w:w="1105" w:type="pct"/>
            <w:vMerge/>
          </w:tcPr>
          <w:p w14:paraId="1D6840E6" w14:textId="77777777" w:rsidR="00DC17E7" w:rsidRPr="00786F18" w:rsidRDefault="00DC17E7" w:rsidP="00555417">
            <w:pPr>
              <w:rPr>
                <w:rFonts w:ascii="Verdana" w:hAnsi="Verdana"/>
                <w:sz w:val="20"/>
                <w:szCs w:val="20"/>
              </w:rPr>
            </w:pPr>
          </w:p>
        </w:tc>
        <w:tc>
          <w:tcPr>
            <w:tcW w:w="3594" w:type="pct"/>
          </w:tcPr>
          <w:p w14:paraId="1D6840E7" w14:textId="77777777" w:rsidR="00DC17E7" w:rsidRPr="00786F18" w:rsidRDefault="00DC17E7" w:rsidP="00555417">
            <w:pPr>
              <w:rPr>
                <w:rFonts w:ascii="Verdana" w:hAnsi="Verdana"/>
                <w:b/>
                <w:sz w:val="20"/>
                <w:szCs w:val="20"/>
              </w:rPr>
            </w:pPr>
            <w:r w:rsidRPr="00786F18">
              <w:rPr>
                <w:rFonts w:ascii="Verdana" w:hAnsi="Verdana"/>
                <w:b/>
                <w:sz w:val="20"/>
                <w:szCs w:val="20"/>
              </w:rPr>
              <w:t>SEAC Rapporteurs comments:</w:t>
            </w:r>
          </w:p>
          <w:p w14:paraId="1D6840E8" w14:textId="77777777" w:rsidR="00DC17E7" w:rsidRPr="00786F18" w:rsidRDefault="00DC17E7" w:rsidP="00555417">
            <w:pPr>
              <w:rPr>
                <w:rFonts w:ascii="Verdana" w:hAnsi="Verdana"/>
                <w:sz w:val="20"/>
                <w:szCs w:val="20"/>
              </w:rPr>
            </w:pPr>
          </w:p>
          <w:p w14:paraId="1D6840E9" w14:textId="3908D501" w:rsidR="00DC17E7" w:rsidRPr="00786F18" w:rsidRDefault="002D347F" w:rsidP="00555417">
            <w:pPr>
              <w:rPr>
                <w:rFonts w:ascii="Verdana" w:hAnsi="Verdana"/>
                <w:sz w:val="20"/>
                <w:szCs w:val="20"/>
              </w:rPr>
            </w:pPr>
            <w:r>
              <w:rPr>
                <w:rFonts w:ascii="Verdana" w:hAnsi="Verdana"/>
                <w:sz w:val="20"/>
                <w:szCs w:val="20"/>
              </w:rPr>
              <w:t>Thank you for the information.</w:t>
            </w:r>
          </w:p>
        </w:tc>
      </w:tr>
      <w:tr w:rsidR="00970B70" w:rsidRPr="00786F18" w14:paraId="5B40A44F" w14:textId="77777777" w:rsidTr="00A357CF">
        <w:tc>
          <w:tcPr>
            <w:tcW w:w="301" w:type="pct"/>
            <w:vMerge w:val="restart"/>
          </w:tcPr>
          <w:p w14:paraId="2F429168" w14:textId="77777777" w:rsidR="00970B70" w:rsidRPr="00786F18" w:rsidRDefault="00970B70" w:rsidP="00555417">
            <w:pPr>
              <w:rPr>
                <w:rFonts w:ascii="Verdana" w:hAnsi="Verdana"/>
                <w:b/>
                <w:sz w:val="20"/>
                <w:szCs w:val="20"/>
              </w:rPr>
            </w:pPr>
            <w:r w:rsidRPr="00A50B90">
              <w:rPr>
                <w:rFonts w:ascii="Verdana" w:hAnsi="Verdana"/>
                <w:b/>
                <w:noProof/>
                <w:sz w:val="20"/>
                <w:szCs w:val="20"/>
              </w:rPr>
              <w:t>2396</w:t>
            </w:r>
          </w:p>
        </w:tc>
        <w:tc>
          <w:tcPr>
            <w:tcW w:w="1105" w:type="pct"/>
            <w:vMerge w:val="restart"/>
          </w:tcPr>
          <w:p w14:paraId="27D112E2" w14:textId="77777777" w:rsidR="00970B70" w:rsidRPr="00786F18" w:rsidRDefault="00970B70" w:rsidP="00555417">
            <w:pPr>
              <w:rPr>
                <w:rFonts w:ascii="Verdana" w:hAnsi="Verdana"/>
                <w:sz w:val="20"/>
                <w:szCs w:val="20"/>
              </w:rPr>
            </w:pPr>
            <w:r w:rsidRPr="00786F18">
              <w:rPr>
                <w:rFonts w:ascii="Verdana" w:hAnsi="Verdana"/>
                <w:b/>
                <w:sz w:val="20"/>
                <w:szCs w:val="20"/>
              </w:rPr>
              <w:t>Date:</w:t>
            </w:r>
            <w:r w:rsidRPr="00786F18">
              <w:rPr>
                <w:rFonts w:ascii="Verdana" w:hAnsi="Verdana"/>
                <w:sz w:val="20"/>
                <w:szCs w:val="20"/>
              </w:rPr>
              <w:t xml:space="preserve"> </w:t>
            </w:r>
            <w:r w:rsidRPr="00A50B90">
              <w:rPr>
                <w:rFonts w:ascii="Verdana" w:hAnsi="Verdana"/>
                <w:noProof/>
                <w:sz w:val="20"/>
                <w:szCs w:val="20"/>
              </w:rPr>
              <w:t>2019/08/13 20:38</w:t>
            </w:r>
          </w:p>
          <w:p w14:paraId="1ACE2240" w14:textId="77777777" w:rsidR="00970B70" w:rsidRPr="00786F18" w:rsidRDefault="00970B70" w:rsidP="00555417">
            <w:pPr>
              <w:rPr>
                <w:rFonts w:ascii="Verdana" w:hAnsi="Verdana"/>
                <w:sz w:val="20"/>
                <w:szCs w:val="20"/>
              </w:rPr>
            </w:pPr>
          </w:p>
          <w:p w14:paraId="7104A2ED" w14:textId="77777777" w:rsidR="00970B70" w:rsidRPr="00786F18" w:rsidRDefault="00970B70" w:rsidP="00555417">
            <w:pPr>
              <w:rPr>
                <w:rFonts w:ascii="Verdana" w:hAnsi="Verdana"/>
                <w:b/>
                <w:sz w:val="20"/>
                <w:szCs w:val="20"/>
              </w:rPr>
            </w:pPr>
            <w:r w:rsidRPr="00786F18">
              <w:rPr>
                <w:rFonts w:ascii="Verdana" w:hAnsi="Verdana"/>
                <w:b/>
                <w:sz w:val="20"/>
                <w:szCs w:val="20"/>
              </w:rPr>
              <w:t>Content:</w:t>
            </w:r>
          </w:p>
          <w:p w14:paraId="59EB4858" w14:textId="77777777" w:rsidR="00970B70" w:rsidRDefault="00970B70" w:rsidP="00555417">
            <w:pPr>
              <w:rPr>
                <w:rFonts w:ascii="Verdana" w:hAnsi="Verdana"/>
                <w:noProof/>
                <w:sz w:val="20"/>
                <w:szCs w:val="20"/>
              </w:rPr>
            </w:pPr>
            <w:r w:rsidRPr="00A50B90">
              <w:rPr>
                <w:rFonts w:ascii="Verdana" w:hAnsi="Verdana"/>
                <w:noProof/>
                <w:sz w:val="20"/>
                <w:szCs w:val="20"/>
              </w:rPr>
              <w:t>Scope or restriction option analysis;</w:t>
            </w:r>
          </w:p>
          <w:p w14:paraId="324347B0" w14:textId="77777777" w:rsidR="00970B70" w:rsidRPr="00786F18" w:rsidRDefault="00970B70" w:rsidP="00555417">
            <w:pPr>
              <w:rPr>
                <w:rFonts w:ascii="Verdana" w:hAnsi="Verdana"/>
                <w:sz w:val="20"/>
                <w:szCs w:val="20"/>
              </w:rPr>
            </w:pPr>
            <w:r w:rsidRPr="00A50B90">
              <w:rPr>
                <w:rFonts w:ascii="Verdana" w:hAnsi="Verdana"/>
                <w:noProof/>
                <w:sz w:val="20"/>
                <w:szCs w:val="20"/>
              </w:rPr>
              <w:t>Hazard or exposure</w:t>
            </w:r>
          </w:p>
          <w:p w14:paraId="5A21FE1B" w14:textId="77777777" w:rsidR="00970B70" w:rsidRPr="00786F18" w:rsidRDefault="00970B70" w:rsidP="00555417">
            <w:pPr>
              <w:rPr>
                <w:rFonts w:ascii="Verdana" w:hAnsi="Verdana"/>
                <w:sz w:val="20"/>
                <w:szCs w:val="20"/>
              </w:rPr>
            </w:pPr>
          </w:p>
          <w:p w14:paraId="651E4379" w14:textId="77777777" w:rsidR="00970B70" w:rsidRPr="00786F18" w:rsidRDefault="00970B70" w:rsidP="00555417">
            <w:pPr>
              <w:rPr>
                <w:rFonts w:ascii="Verdana" w:hAnsi="Verdana"/>
                <w:sz w:val="20"/>
                <w:szCs w:val="20"/>
              </w:rPr>
            </w:pPr>
            <w:r w:rsidRPr="00786F18">
              <w:rPr>
                <w:rFonts w:ascii="Verdana" w:hAnsi="Verdana"/>
                <w:b/>
                <w:sz w:val="20"/>
                <w:szCs w:val="20"/>
              </w:rPr>
              <w:t>Type:</w:t>
            </w:r>
            <w:r w:rsidRPr="00786F18">
              <w:rPr>
                <w:rFonts w:ascii="Verdana" w:hAnsi="Verdana"/>
                <w:sz w:val="20"/>
                <w:szCs w:val="20"/>
              </w:rPr>
              <w:t xml:space="preserve"> </w:t>
            </w:r>
            <w:r w:rsidRPr="00A50B90">
              <w:rPr>
                <w:rFonts w:ascii="Verdana" w:hAnsi="Verdana"/>
                <w:noProof/>
                <w:sz w:val="20"/>
                <w:szCs w:val="20"/>
              </w:rPr>
              <w:t>BehalfOfAnOrganisation</w:t>
            </w:r>
          </w:p>
          <w:p w14:paraId="550F67DA" w14:textId="77777777" w:rsidR="00970B70" w:rsidRPr="00786F18" w:rsidRDefault="00970B70" w:rsidP="00555417">
            <w:pPr>
              <w:rPr>
                <w:rFonts w:ascii="Verdana" w:hAnsi="Verdana"/>
                <w:sz w:val="20"/>
                <w:szCs w:val="20"/>
              </w:rPr>
            </w:pPr>
          </w:p>
          <w:p w14:paraId="4B0FE971" w14:textId="77777777" w:rsidR="00970B70" w:rsidRPr="00786F18" w:rsidRDefault="00970B70" w:rsidP="00555417">
            <w:pPr>
              <w:rPr>
                <w:rFonts w:ascii="Verdana" w:hAnsi="Verdana"/>
                <w:sz w:val="20"/>
                <w:szCs w:val="20"/>
              </w:rPr>
            </w:pPr>
            <w:r w:rsidRPr="00786F18">
              <w:rPr>
                <w:rFonts w:ascii="Verdana" w:hAnsi="Verdana"/>
                <w:b/>
                <w:sz w:val="20"/>
                <w:szCs w:val="20"/>
              </w:rPr>
              <w:t>Org. type:</w:t>
            </w:r>
            <w:r w:rsidRPr="00786F18">
              <w:rPr>
                <w:rFonts w:ascii="Verdana" w:hAnsi="Verdana"/>
                <w:sz w:val="20"/>
                <w:szCs w:val="20"/>
              </w:rPr>
              <w:t xml:space="preserve"> </w:t>
            </w:r>
            <w:r w:rsidRPr="00A50B90">
              <w:rPr>
                <w:rFonts w:ascii="Verdana" w:hAnsi="Verdana"/>
                <w:noProof/>
                <w:sz w:val="20"/>
                <w:szCs w:val="20"/>
              </w:rPr>
              <w:t>International NGO</w:t>
            </w:r>
          </w:p>
          <w:p w14:paraId="3C7B6653" w14:textId="77777777" w:rsidR="00970B70" w:rsidRPr="00786F18" w:rsidRDefault="00970B70" w:rsidP="00555417">
            <w:pPr>
              <w:rPr>
                <w:rFonts w:ascii="Verdana" w:hAnsi="Verdana"/>
                <w:sz w:val="20"/>
                <w:szCs w:val="20"/>
              </w:rPr>
            </w:pPr>
          </w:p>
          <w:p w14:paraId="6511428F" w14:textId="77777777" w:rsidR="00970B70" w:rsidRPr="00786F18" w:rsidRDefault="00970B70" w:rsidP="00555417">
            <w:pPr>
              <w:rPr>
                <w:rFonts w:ascii="Verdana" w:hAnsi="Verdana"/>
                <w:sz w:val="20"/>
                <w:szCs w:val="20"/>
              </w:rPr>
            </w:pPr>
            <w:r w:rsidRPr="00786F18">
              <w:rPr>
                <w:rFonts w:ascii="Verdana" w:hAnsi="Verdana"/>
                <w:b/>
                <w:sz w:val="20"/>
                <w:szCs w:val="20"/>
              </w:rPr>
              <w:t>Org. name:</w:t>
            </w:r>
            <w:r w:rsidRPr="00786F18">
              <w:rPr>
                <w:rFonts w:ascii="Verdana" w:hAnsi="Verdana"/>
                <w:sz w:val="20"/>
                <w:szCs w:val="20"/>
              </w:rPr>
              <w:t xml:space="preserve"> </w:t>
            </w:r>
            <w:r w:rsidRPr="00A50B90">
              <w:rPr>
                <w:rFonts w:ascii="Verdana" w:hAnsi="Verdana"/>
                <w:noProof/>
                <w:sz w:val="20"/>
                <w:szCs w:val="20"/>
              </w:rPr>
              <w:t>European Environmental Bureau</w:t>
            </w:r>
          </w:p>
          <w:p w14:paraId="623361EE" w14:textId="77777777" w:rsidR="00970B70" w:rsidRPr="00786F18" w:rsidRDefault="00970B70" w:rsidP="00555417">
            <w:pPr>
              <w:rPr>
                <w:rFonts w:ascii="Verdana" w:hAnsi="Verdana"/>
                <w:sz w:val="20"/>
                <w:szCs w:val="20"/>
              </w:rPr>
            </w:pPr>
          </w:p>
          <w:p w14:paraId="6840DC92" w14:textId="77777777" w:rsidR="00970B70" w:rsidRPr="00786F18" w:rsidRDefault="00970B70" w:rsidP="00555417">
            <w:pPr>
              <w:rPr>
                <w:rFonts w:ascii="Verdana" w:hAnsi="Verdana"/>
                <w:sz w:val="20"/>
                <w:szCs w:val="20"/>
              </w:rPr>
            </w:pPr>
            <w:r w:rsidRPr="00786F18">
              <w:rPr>
                <w:rFonts w:ascii="Verdana" w:hAnsi="Verdana"/>
                <w:b/>
                <w:sz w:val="20"/>
                <w:szCs w:val="20"/>
              </w:rPr>
              <w:t>Org. country:</w:t>
            </w:r>
            <w:r w:rsidRPr="00786F18">
              <w:rPr>
                <w:rFonts w:ascii="Verdana" w:hAnsi="Verdana"/>
                <w:sz w:val="20"/>
                <w:szCs w:val="20"/>
              </w:rPr>
              <w:t xml:space="preserve"> </w:t>
            </w:r>
            <w:r w:rsidRPr="00A50B90">
              <w:rPr>
                <w:rFonts w:ascii="Verdana" w:hAnsi="Verdana"/>
                <w:noProof/>
                <w:sz w:val="20"/>
                <w:szCs w:val="20"/>
              </w:rPr>
              <w:t>Belgium</w:t>
            </w:r>
          </w:p>
          <w:p w14:paraId="1B5AC993" w14:textId="77777777" w:rsidR="00970B70" w:rsidRPr="00786F18" w:rsidRDefault="00970B70" w:rsidP="00555417">
            <w:pPr>
              <w:rPr>
                <w:rFonts w:ascii="Verdana" w:hAnsi="Verdana"/>
                <w:sz w:val="20"/>
                <w:szCs w:val="20"/>
              </w:rPr>
            </w:pPr>
          </w:p>
          <w:p w14:paraId="04F3BB89" w14:textId="77777777" w:rsidR="00970B70" w:rsidRDefault="00970B70" w:rsidP="00555417">
            <w:pPr>
              <w:rPr>
                <w:rFonts w:ascii="Verdana" w:hAnsi="Verdana"/>
                <w:b/>
                <w:sz w:val="20"/>
                <w:szCs w:val="20"/>
              </w:rPr>
            </w:pPr>
            <w:r w:rsidRPr="00786F18">
              <w:rPr>
                <w:rFonts w:ascii="Verdana" w:hAnsi="Verdana"/>
                <w:b/>
                <w:sz w:val="20"/>
                <w:szCs w:val="20"/>
              </w:rPr>
              <w:t>Attachment:</w:t>
            </w:r>
          </w:p>
          <w:p w14:paraId="156E33EA" w14:textId="77777777" w:rsidR="00970B70" w:rsidRPr="00786F18" w:rsidRDefault="00970B70" w:rsidP="00555417">
            <w:pPr>
              <w:rPr>
                <w:rFonts w:ascii="Verdana" w:hAnsi="Verdana"/>
                <w:b/>
                <w:sz w:val="20"/>
                <w:szCs w:val="20"/>
              </w:rPr>
            </w:pPr>
          </w:p>
          <w:p w14:paraId="3FCA53E0" w14:textId="77777777" w:rsidR="00970B70" w:rsidRPr="00786F18" w:rsidRDefault="00970B70" w:rsidP="00555417">
            <w:pPr>
              <w:rPr>
                <w:rFonts w:ascii="Verdana" w:hAnsi="Verdana"/>
                <w:sz w:val="20"/>
                <w:szCs w:val="20"/>
              </w:rPr>
            </w:pPr>
            <w:r>
              <w:rPr>
                <w:rFonts w:ascii="Verdana" w:hAnsi="Verdana"/>
                <w:noProof/>
                <w:sz w:val="20"/>
                <w:szCs w:val="20"/>
              </w:rPr>
              <w:object w:dxaOrig="1532" w:dyaOrig="991" w14:anchorId="2DE1172B">
                <v:shape id="_x0000_i1026" type="#_x0000_t75" style="width:77.3pt;height:50.4pt" o:ole="">
                  <v:imagedata r:id="rId19" o:title=""/>
                </v:shape>
                <o:OLEObject Type="Embed" ProgID="AcroExch.Document.DC" ShapeID="_x0000_i1026" DrawAspect="Icon" ObjectID="_1646481428" r:id="rId20"/>
              </w:object>
            </w:r>
          </w:p>
          <w:p w14:paraId="5000973C" w14:textId="77777777" w:rsidR="00970B70" w:rsidRPr="00786F18" w:rsidRDefault="00970B70" w:rsidP="00555417">
            <w:pPr>
              <w:rPr>
                <w:rFonts w:ascii="Verdana" w:hAnsi="Verdana"/>
                <w:sz w:val="20"/>
                <w:szCs w:val="20"/>
              </w:rPr>
            </w:pPr>
          </w:p>
        </w:tc>
        <w:tc>
          <w:tcPr>
            <w:tcW w:w="3594" w:type="pct"/>
          </w:tcPr>
          <w:p w14:paraId="41B6B0FD" w14:textId="77777777" w:rsidR="00970B70" w:rsidRPr="00786F18" w:rsidRDefault="00970B70" w:rsidP="00555417">
            <w:pPr>
              <w:rPr>
                <w:rFonts w:ascii="Verdana" w:hAnsi="Verdana"/>
                <w:b/>
                <w:sz w:val="20"/>
                <w:szCs w:val="20"/>
              </w:rPr>
            </w:pPr>
            <w:r w:rsidRPr="00786F18">
              <w:rPr>
                <w:rFonts w:ascii="Verdana" w:hAnsi="Verdana"/>
                <w:b/>
                <w:sz w:val="20"/>
                <w:szCs w:val="20"/>
              </w:rPr>
              <w:t>Comment:</w:t>
            </w:r>
          </w:p>
          <w:p w14:paraId="18B0ABBC" w14:textId="77777777" w:rsidR="00970B70" w:rsidRPr="00A50B90" w:rsidRDefault="00970B70" w:rsidP="00555417">
            <w:pPr>
              <w:rPr>
                <w:rFonts w:ascii="Verdana" w:hAnsi="Verdana"/>
                <w:noProof/>
                <w:sz w:val="20"/>
                <w:szCs w:val="20"/>
              </w:rPr>
            </w:pPr>
            <w:r w:rsidRPr="00A50B90">
              <w:rPr>
                <w:rFonts w:ascii="Verdana" w:hAnsi="Verdana"/>
                <w:noProof/>
                <w:sz w:val="20"/>
                <w:szCs w:val="20"/>
              </w:rPr>
              <w:t>CHEMTRUST, EEB AND IPEN COMMENTS TO THE ANNEX XV RESTRICTION REPORT PROPOSAL FOR THE RESTRICTION OF PFHxS</w:t>
            </w:r>
          </w:p>
          <w:p w14:paraId="4CB90C42" w14:textId="77777777" w:rsidR="00970B70" w:rsidRPr="00A50B90" w:rsidRDefault="00970B70" w:rsidP="00555417">
            <w:pPr>
              <w:rPr>
                <w:rFonts w:ascii="Verdana" w:hAnsi="Verdana"/>
                <w:noProof/>
                <w:sz w:val="20"/>
                <w:szCs w:val="20"/>
              </w:rPr>
            </w:pPr>
            <w:r w:rsidRPr="00A50B90">
              <w:rPr>
                <w:rFonts w:ascii="Verdana" w:hAnsi="Verdana"/>
                <w:noProof/>
                <w:sz w:val="20"/>
                <w:szCs w:val="20"/>
              </w:rPr>
              <w:t>August, 13th, 2019</w:t>
            </w:r>
          </w:p>
          <w:p w14:paraId="72182C52" w14:textId="77777777" w:rsidR="00970B70" w:rsidRPr="00A50B90" w:rsidRDefault="00970B70" w:rsidP="00555417">
            <w:pPr>
              <w:rPr>
                <w:rFonts w:ascii="Verdana" w:hAnsi="Verdana"/>
                <w:noProof/>
                <w:sz w:val="20"/>
                <w:szCs w:val="20"/>
              </w:rPr>
            </w:pPr>
            <w:r w:rsidRPr="00A50B90">
              <w:rPr>
                <w:rFonts w:ascii="Verdana" w:hAnsi="Verdana"/>
                <w:noProof/>
                <w:sz w:val="20"/>
                <w:szCs w:val="20"/>
              </w:rPr>
              <w:t xml:space="preserve">GENERAL COMMENTS </w:t>
            </w:r>
          </w:p>
          <w:p w14:paraId="246938A8" w14:textId="77777777" w:rsidR="00970B70" w:rsidRPr="00A50B90" w:rsidRDefault="00970B70" w:rsidP="00555417">
            <w:pPr>
              <w:rPr>
                <w:rFonts w:ascii="Verdana" w:hAnsi="Verdana"/>
                <w:noProof/>
                <w:sz w:val="20"/>
                <w:szCs w:val="20"/>
              </w:rPr>
            </w:pPr>
            <w:r w:rsidRPr="00A50B90">
              <w:rPr>
                <w:rFonts w:ascii="Verdana" w:hAnsi="Verdana"/>
                <w:noProof/>
                <w:sz w:val="20"/>
                <w:szCs w:val="20"/>
              </w:rPr>
              <w:t>The undersigning organisations support the dossier submitters conclusion on the need to restrict the use of PFHxS (Justification for restricting PFHxS (summary P3-6)):</w:t>
            </w:r>
          </w:p>
          <w:p w14:paraId="73AF4A0A" w14:textId="77777777" w:rsidR="00970B70" w:rsidRPr="00A50B90" w:rsidRDefault="00970B70" w:rsidP="00555417">
            <w:pPr>
              <w:rPr>
                <w:rFonts w:ascii="Verdana" w:hAnsi="Verdana"/>
                <w:noProof/>
                <w:sz w:val="20"/>
                <w:szCs w:val="20"/>
              </w:rPr>
            </w:pPr>
            <w:r w:rsidRPr="00A50B90">
              <w:rPr>
                <w:rFonts w:ascii="Verdana" w:hAnsi="Verdana"/>
                <w:noProof/>
                <w:sz w:val="20"/>
                <w:szCs w:val="20"/>
              </w:rPr>
              <w:t>Long-term impact potential on human health and the environment:</w:t>
            </w:r>
          </w:p>
          <w:p w14:paraId="26B846A3" w14:textId="77777777" w:rsidR="00970B70" w:rsidRPr="00A50B90" w:rsidRDefault="00970B70" w:rsidP="00555417">
            <w:pPr>
              <w:rPr>
                <w:rFonts w:ascii="Verdana" w:hAnsi="Verdana"/>
                <w:noProof/>
                <w:sz w:val="20"/>
                <w:szCs w:val="20"/>
              </w:rPr>
            </w:pPr>
            <w:r w:rsidRPr="00A50B90">
              <w:rPr>
                <w:rFonts w:ascii="Verdana" w:hAnsi="Verdana"/>
                <w:noProof/>
                <w:sz w:val="20"/>
                <w:szCs w:val="20"/>
              </w:rPr>
              <w:t>PFHxS is one of the worst PFAS in terms of persistence:</w:t>
            </w:r>
          </w:p>
          <w:p w14:paraId="067AAF5D" w14:textId="77777777" w:rsidR="00970B70" w:rsidRPr="00A50B90" w:rsidRDefault="00970B70" w:rsidP="00555417">
            <w:pPr>
              <w:rPr>
                <w:rFonts w:ascii="Verdana" w:hAnsi="Verdana"/>
                <w:noProof/>
                <w:sz w:val="20"/>
                <w:szCs w:val="20"/>
              </w:rPr>
            </w:pPr>
            <w:r w:rsidRPr="00A50B90">
              <w:rPr>
                <w:rFonts w:ascii="Verdana" w:hAnsi="Verdana"/>
                <w:noProof/>
                <w:sz w:val="20"/>
                <w:szCs w:val="20"/>
              </w:rPr>
              <w:t>P39: “The human elimination half-life for PFHxS is &gt; 7 years which is the longest of all perfluoroalkyl and polyfluoroalkyl substances (PFAS) for which data are available”</w:t>
            </w:r>
          </w:p>
          <w:p w14:paraId="2BA63597" w14:textId="77777777" w:rsidR="00970B70" w:rsidRPr="00A50B90" w:rsidRDefault="00970B70" w:rsidP="00555417">
            <w:pPr>
              <w:rPr>
                <w:rFonts w:ascii="Verdana" w:hAnsi="Verdana"/>
                <w:noProof/>
                <w:sz w:val="20"/>
                <w:szCs w:val="20"/>
              </w:rPr>
            </w:pPr>
            <w:r w:rsidRPr="00A50B90">
              <w:rPr>
                <w:rFonts w:ascii="Verdana" w:hAnsi="Verdana"/>
                <w:noProof/>
                <w:sz w:val="20"/>
                <w:szCs w:val="20"/>
              </w:rPr>
              <w:t>P154 “Due to their vPvB properties, minimizing the use of PFHxSs is an urgent priority. There are indications that PFHxS is likely to lead to significant adverse human health effects. Furthermore, since these substances persist and accumulate in humans and wildlife they may be impossible to remove if serious health concerns should be documented in the future.”</w:t>
            </w:r>
          </w:p>
          <w:p w14:paraId="22629B2E" w14:textId="77777777" w:rsidR="00970B70" w:rsidRPr="00A50B90" w:rsidRDefault="00970B70" w:rsidP="00555417">
            <w:pPr>
              <w:rPr>
                <w:rFonts w:ascii="Verdana" w:hAnsi="Verdana"/>
                <w:noProof/>
                <w:sz w:val="20"/>
                <w:szCs w:val="20"/>
              </w:rPr>
            </w:pPr>
            <w:r w:rsidRPr="00A50B90">
              <w:rPr>
                <w:rFonts w:ascii="Verdana" w:hAnsi="Verdana"/>
                <w:noProof/>
                <w:sz w:val="20"/>
                <w:szCs w:val="20"/>
              </w:rPr>
              <w:t>To prevent regrettable substitution:</w:t>
            </w:r>
          </w:p>
          <w:p w14:paraId="3BE7E577" w14:textId="77777777" w:rsidR="00970B70" w:rsidRPr="00A50B90" w:rsidRDefault="00970B70" w:rsidP="00555417">
            <w:pPr>
              <w:rPr>
                <w:rFonts w:ascii="Verdana" w:hAnsi="Verdana"/>
                <w:noProof/>
                <w:sz w:val="20"/>
                <w:szCs w:val="20"/>
              </w:rPr>
            </w:pPr>
            <w:r w:rsidRPr="00A50B90">
              <w:rPr>
                <w:rFonts w:ascii="Verdana" w:hAnsi="Verdana"/>
                <w:noProof/>
                <w:sz w:val="20"/>
                <w:szCs w:val="20"/>
              </w:rPr>
              <w:t>PFHxS is a well know substitute for PFOS and in some cases PFOA:</w:t>
            </w:r>
          </w:p>
          <w:p w14:paraId="4A5AD115" w14:textId="369D4546" w:rsidR="00970B70" w:rsidRPr="00A50B90" w:rsidRDefault="00970B70" w:rsidP="00555417">
            <w:pPr>
              <w:rPr>
                <w:rFonts w:ascii="Verdana" w:hAnsi="Verdana"/>
                <w:noProof/>
                <w:sz w:val="20"/>
                <w:szCs w:val="20"/>
              </w:rPr>
            </w:pPr>
            <w:r w:rsidRPr="00A50B90">
              <w:rPr>
                <w:rFonts w:ascii="Verdana" w:hAnsi="Verdana"/>
                <w:noProof/>
                <w:sz w:val="20"/>
                <w:szCs w:val="20"/>
              </w:rPr>
              <w:t>P 26 (and subsequent detailed information in the section): “ There is evidence that PFHxS has been (and is being) used as a substitute for PFOS and PFOA in a number of applications around the World. PFHxS (and related substances) are known to be technically feasible substitutes for PFOA (and PFOS) in a number of applications (Kemi, 2017), including several where current uses of PFHxS appears minimal”</w:t>
            </w:r>
          </w:p>
          <w:p w14:paraId="1913FE14" w14:textId="77777777" w:rsidR="00970B70" w:rsidRPr="00A50B90" w:rsidRDefault="00970B70" w:rsidP="00555417">
            <w:pPr>
              <w:rPr>
                <w:rFonts w:ascii="Verdana" w:hAnsi="Verdana"/>
                <w:noProof/>
                <w:sz w:val="20"/>
                <w:szCs w:val="20"/>
              </w:rPr>
            </w:pPr>
            <w:r w:rsidRPr="00A50B90">
              <w:rPr>
                <w:rFonts w:ascii="Verdana" w:hAnsi="Verdana"/>
                <w:noProof/>
                <w:sz w:val="20"/>
                <w:szCs w:val="20"/>
              </w:rPr>
              <w:t>P3 “The restriction is necessary to avoid the possibility that PFHxS is used as a regrettable substitute when entry 68 of Annex XVII of REACH (Perfluorooctanoic acid) becomes effective in 2020 and to reduce the environmental emissions of the substances present in articles and mixtures imported to the EU.”</w:t>
            </w:r>
          </w:p>
          <w:p w14:paraId="2F070AE0" w14:textId="77777777" w:rsidR="00970B70" w:rsidRPr="00A50B90" w:rsidRDefault="00970B70" w:rsidP="00555417">
            <w:pPr>
              <w:rPr>
                <w:rFonts w:ascii="Verdana" w:hAnsi="Verdana"/>
                <w:noProof/>
                <w:sz w:val="20"/>
                <w:szCs w:val="20"/>
              </w:rPr>
            </w:pPr>
            <w:r w:rsidRPr="00A50B90">
              <w:rPr>
                <w:rFonts w:ascii="Verdana" w:hAnsi="Verdana"/>
                <w:noProof/>
                <w:sz w:val="20"/>
                <w:szCs w:val="20"/>
              </w:rPr>
              <w:t>To regulate imported articles:</w:t>
            </w:r>
          </w:p>
          <w:p w14:paraId="3C390366" w14:textId="77777777" w:rsidR="00970B70" w:rsidRPr="00A50B90" w:rsidRDefault="00970B70" w:rsidP="00555417">
            <w:pPr>
              <w:rPr>
                <w:rFonts w:ascii="Verdana" w:hAnsi="Verdana"/>
                <w:noProof/>
                <w:sz w:val="20"/>
                <w:szCs w:val="20"/>
              </w:rPr>
            </w:pPr>
            <w:r w:rsidRPr="00A50B90">
              <w:rPr>
                <w:rFonts w:ascii="Verdana" w:hAnsi="Verdana"/>
                <w:noProof/>
                <w:sz w:val="20"/>
                <w:szCs w:val="20"/>
              </w:rPr>
              <w:t>P5: “No current intentional uses of PFHxS, its salts or related substances within the EU were reported during the stakeholder consultation or call for evidence.”</w:t>
            </w:r>
          </w:p>
          <w:p w14:paraId="72443997" w14:textId="77777777" w:rsidR="00970B70" w:rsidRPr="00A50B90" w:rsidRDefault="00970B70" w:rsidP="00555417">
            <w:pPr>
              <w:rPr>
                <w:rFonts w:ascii="Verdana" w:hAnsi="Verdana"/>
                <w:noProof/>
                <w:sz w:val="20"/>
                <w:szCs w:val="20"/>
              </w:rPr>
            </w:pPr>
            <w:r w:rsidRPr="00A50B90">
              <w:rPr>
                <w:rFonts w:ascii="Verdana" w:hAnsi="Verdana"/>
                <w:noProof/>
                <w:sz w:val="20"/>
                <w:szCs w:val="20"/>
              </w:rPr>
              <w:t>P5: “a REACH restriction is proposed that will regulate imported articles containing PFHxS, its salts and PFHxS-related substances.”</w:t>
            </w:r>
          </w:p>
          <w:p w14:paraId="3E625862" w14:textId="77777777" w:rsidR="00970B70" w:rsidRPr="00A50B90" w:rsidRDefault="00970B70" w:rsidP="00555417">
            <w:pPr>
              <w:rPr>
                <w:rFonts w:ascii="Verdana" w:hAnsi="Verdana"/>
                <w:noProof/>
                <w:sz w:val="20"/>
                <w:szCs w:val="20"/>
              </w:rPr>
            </w:pPr>
            <w:r w:rsidRPr="00A50B90">
              <w:rPr>
                <w:rFonts w:ascii="Verdana" w:hAnsi="Verdana"/>
                <w:noProof/>
                <w:sz w:val="20"/>
                <w:szCs w:val="20"/>
              </w:rPr>
              <w:t>However, the undersigning organisations would like to provide comments regarding the concentration limit of PFHxS in mixture or article &lt; 25 ppb (i.e. 25 μg/kg) and 1000 ppb proposed in the restriction dossier  and the derogation for  fire-fighting foam mixtures that were placed on the market before [date - 18 months after the entry into force of this Regulation] and are to be used, or are used in the in the production of other fire-fighting foam mixtures.”</w:t>
            </w:r>
          </w:p>
          <w:p w14:paraId="5DE56B43" w14:textId="4A77645F" w:rsidR="00970B70" w:rsidRPr="00A50B90" w:rsidRDefault="00970B70" w:rsidP="00555417">
            <w:pPr>
              <w:rPr>
                <w:rFonts w:ascii="Verdana" w:hAnsi="Verdana"/>
                <w:noProof/>
                <w:sz w:val="20"/>
                <w:szCs w:val="20"/>
              </w:rPr>
            </w:pPr>
            <w:r w:rsidRPr="00023475">
              <w:rPr>
                <w:rFonts w:ascii="Verdana" w:hAnsi="Verdana"/>
                <w:noProof/>
                <w:sz w:val="20"/>
                <w:szCs w:val="20"/>
              </w:rPr>
              <w:t>THE CONCENTRATION LIMIT IN MIXTURES OR ARTICLES SHOULD BE 2 PPB IN ORDER TO AVOID INTENTIONAL USE OF PFHxS.</w:t>
            </w:r>
          </w:p>
          <w:p w14:paraId="4550C401" w14:textId="460E0E6A" w:rsidR="00970B70" w:rsidRPr="00A50B90" w:rsidRDefault="00970B70" w:rsidP="00555417">
            <w:pPr>
              <w:rPr>
                <w:rFonts w:ascii="Verdana" w:hAnsi="Verdana"/>
                <w:noProof/>
                <w:sz w:val="20"/>
                <w:szCs w:val="20"/>
              </w:rPr>
            </w:pPr>
            <w:r w:rsidRPr="00A50B90">
              <w:rPr>
                <w:rFonts w:ascii="Verdana" w:hAnsi="Verdana"/>
                <w:noProof/>
                <w:sz w:val="20"/>
                <w:szCs w:val="20"/>
              </w:rPr>
              <w:t>As described in the Restriction Report Annex A.2., PFOA has been used in a wide variety of applications in the past in the EU and elsewhere. All of these are also potential new uses of PFHxS as an alternative to PFOA, unless PFHxS is restricted.  For example:</w:t>
            </w:r>
          </w:p>
          <w:p w14:paraId="467C2BF6" w14:textId="77777777" w:rsidR="00970B70" w:rsidRPr="00A50B90" w:rsidRDefault="00970B70" w:rsidP="00555417">
            <w:pPr>
              <w:rPr>
                <w:rFonts w:ascii="Verdana" w:hAnsi="Verdana"/>
                <w:noProof/>
                <w:sz w:val="20"/>
                <w:szCs w:val="20"/>
              </w:rPr>
            </w:pPr>
            <w:r w:rsidRPr="00A50B90">
              <w:rPr>
                <w:rFonts w:ascii="Verdana" w:hAnsi="Verdana"/>
                <w:noProof/>
                <w:sz w:val="20"/>
                <w:szCs w:val="20"/>
              </w:rPr>
              <w:t>Page 55 Restriction report: PFOA, however, was detected in most of the items (most of which were manufactured in China but also Vietnam and Bangladesh). This is of relevance because limit values on PFOA will soon apply to such articles and are likely to promote a switch to alternatives, of which PFHxS is, technically,one.</w:t>
            </w:r>
          </w:p>
          <w:p w14:paraId="24AF4ECA" w14:textId="77777777" w:rsidR="00970B70" w:rsidRPr="00A50B90" w:rsidRDefault="00970B70" w:rsidP="00555417">
            <w:pPr>
              <w:rPr>
                <w:rFonts w:ascii="Verdana" w:hAnsi="Verdana"/>
                <w:noProof/>
                <w:sz w:val="20"/>
                <w:szCs w:val="20"/>
              </w:rPr>
            </w:pPr>
            <w:r w:rsidRPr="00A50B90">
              <w:rPr>
                <w:rFonts w:ascii="Verdana" w:hAnsi="Verdana"/>
                <w:noProof/>
                <w:sz w:val="20"/>
                <w:szCs w:val="20"/>
              </w:rPr>
              <w:t xml:space="preserve">The limited set of test results of PFHxS in some consumer products presented in the dossier, show that PFHxS has been detected in concentrations below 25 ppb in several samples.  </w:t>
            </w:r>
          </w:p>
          <w:p w14:paraId="746E6DBA" w14:textId="77777777" w:rsidR="00970B70" w:rsidRPr="00A50B90" w:rsidRDefault="00970B70" w:rsidP="00555417">
            <w:pPr>
              <w:rPr>
                <w:rFonts w:ascii="Verdana" w:hAnsi="Verdana"/>
                <w:noProof/>
                <w:sz w:val="20"/>
                <w:szCs w:val="20"/>
              </w:rPr>
            </w:pPr>
            <w:r w:rsidRPr="00A50B90">
              <w:rPr>
                <w:rFonts w:ascii="Verdana" w:hAnsi="Verdana"/>
                <w:noProof/>
                <w:sz w:val="20"/>
                <w:szCs w:val="20"/>
              </w:rPr>
              <w:t xml:space="preserve">As stated in the Restriction Report on page 38, “Analytical methods for the detection of PFHxS are reported in the literature which can be used to measure PFHxS and PFASs in general in almost all environment all media.” Two methods are highlighted that have a level of quantification of 0.06 ppb. </w:t>
            </w:r>
          </w:p>
          <w:p w14:paraId="4B746A50" w14:textId="77777777" w:rsidR="00970B70" w:rsidRPr="00A50B90" w:rsidRDefault="00970B70" w:rsidP="00555417">
            <w:pPr>
              <w:rPr>
                <w:rFonts w:ascii="Verdana" w:hAnsi="Verdana"/>
                <w:noProof/>
                <w:sz w:val="20"/>
                <w:szCs w:val="20"/>
              </w:rPr>
            </w:pPr>
            <w:r w:rsidRPr="00A50B90">
              <w:rPr>
                <w:rFonts w:ascii="Verdana" w:hAnsi="Verdana"/>
                <w:noProof/>
                <w:sz w:val="20"/>
                <w:szCs w:val="20"/>
              </w:rPr>
              <w:t xml:space="preserve">PFHxS has been shown to be released through air emissions and leachates from landfills. Taken together with several warnings that that even relatively small annual emissions can quickly produce a large stock in the environment. (see e.g. P39 and 41), it is both crucial and feasible to keep concentrations at a minimum. </w:t>
            </w:r>
          </w:p>
          <w:p w14:paraId="4C1F4EB6" w14:textId="77777777" w:rsidR="00970B70" w:rsidRPr="00A50B90" w:rsidRDefault="00970B70" w:rsidP="00555417">
            <w:pPr>
              <w:rPr>
                <w:rFonts w:ascii="Verdana" w:hAnsi="Verdana"/>
                <w:noProof/>
                <w:sz w:val="20"/>
                <w:szCs w:val="20"/>
              </w:rPr>
            </w:pPr>
            <w:r w:rsidRPr="00A50B90">
              <w:rPr>
                <w:rFonts w:ascii="Verdana" w:hAnsi="Verdana"/>
                <w:noProof/>
                <w:sz w:val="20"/>
                <w:szCs w:val="20"/>
              </w:rPr>
              <w:t>The proposed concentration limit of 25 ppb in the Restriction Report mirrors the final PFOA restriction decision by the Commission. However, it should be noted that the Dossier submitter of the PFOA restriction proposal put forward a threshold of 2 ppb for PFOA and PFOA related substances in order to ensure that these substances were not intentionally applied in these uses. The dossier included a summary of test methods showing that it is possible to achieve quantification limits for PFOA and some PFOA-related substances of 2 ppb.</w:t>
            </w:r>
          </w:p>
          <w:p w14:paraId="681B792D" w14:textId="244BD4F9" w:rsidR="00970B70" w:rsidRPr="00A50B90" w:rsidRDefault="00970B70" w:rsidP="00555417">
            <w:pPr>
              <w:rPr>
                <w:rFonts w:ascii="Verdana" w:hAnsi="Verdana"/>
                <w:noProof/>
                <w:sz w:val="20"/>
                <w:szCs w:val="20"/>
              </w:rPr>
            </w:pPr>
            <w:r w:rsidRPr="00A50B90">
              <w:rPr>
                <w:rFonts w:ascii="Verdana" w:hAnsi="Verdana"/>
                <w:noProof/>
                <w:sz w:val="20"/>
                <w:szCs w:val="20"/>
              </w:rPr>
              <w:t>The final limit of 25ppb that was finally adopted by the Commission was the result of the RAC and SEAC Committees who, following claims by industry stakeholders on the lack of availability of testing methods, changed in their opinion the scope of the PFOA  restriction proposal.</w:t>
            </w:r>
          </w:p>
          <w:p w14:paraId="0104A41E" w14:textId="77777777" w:rsidR="00970B70" w:rsidRPr="00A50B90" w:rsidRDefault="00970B70" w:rsidP="00555417">
            <w:pPr>
              <w:rPr>
                <w:rFonts w:ascii="Verdana" w:hAnsi="Verdana"/>
                <w:noProof/>
                <w:sz w:val="20"/>
                <w:szCs w:val="20"/>
              </w:rPr>
            </w:pPr>
            <w:r w:rsidRPr="008354B8">
              <w:rPr>
                <w:rFonts w:ascii="Verdana" w:hAnsi="Verdana"/>
                <w:noProof/>
                <w:sz w:val="20"/>
                <w:szCs w:val="20"/>
              </w:rPr>
              <w:t>Hence, noting the need to minimize potential PFHxS emissions as well as the availability of well-recognized analytical methods with low (0.6 ppb) detection limits, 2 ppb is a feasible limit that would prevent the intentional use of PFHxS and therefore the continued environmental releases of PFHxS at manufacturing sites, during use of mixtures and articles and during waste management.</w:t>
            </w:r>
          </w:p>
          <w:p w14:paraId="2A18D48A" w14:textId="0C360D7B" w:rsidR="00970B70" w:rsidRPr="00A50B90" w:rsidRDefault="00970B70" w:rsidP="00555417">
            <w:pPr>
              <w:rPr>
                <w:rFonts w:ascii="Verdana" w:hAnsi="Verdana"/>
                <w:noProof/>
                <w:sz w:val="20"/>
                <w:szCs w:val="20"/>
              </w:rPr>
            </w:pPr>
            <w:r w:rsidRPr="00A50B90">
              <w:rPr>
                <w:rFonts w:ascii="Verdana" w:hAnsi="Verdana"/>
                <w:noProof/>
                <w:sz w:val="20"/>
                <w:szCs w:val="20"/>
              </w:rPr>
              <w:t xml:space="preserve">In addition, the proposed limit of 1000 ppb for the sum of PFHxS related substances should be reduced by the same factor to at least 80 ppb or lower. </w:t>
            </w:r>
          </w:p>
          <w:p w14:paraId="159E6A1C" w14:textId="77777777" w:rsidR="00970B70" w:rsidRPr="00A50B90" w:rsidRDefault="00970B70" w:rsidP="00555417">
            <w:pPr>
              <w:rPr>
                <w:rFonts w:ascii="Verdana" w:hAnsi="Verdana"/>
                <w:noProof/>
                <w:sz w:val="20"/>
                <w:szCs w:val="20"/>
              </w:rPr>
            </w:pPr>
            <w:r w:rsidRPr="00F815FD">
              <w:rPr>
                <w:rFonts w:ascii="Verdana" w:hAnsi="Verdana"/>
                <w:noProof/>
                <w:sz w:val="20"/>
                <w:szCs w:val="20"/>
              </w:rPr>
              <w:t>NO DEROGATION FOR FIRE-FIGHTING FOAMS (FFF) SHOULD BE INCLUDED</w:t>
            </w:r>
          </w:p>
          <w:p w14:paraId="79596715" w14:textId="77777777" w:rsidR="00970B70" w:rsidRPr="00A50B90" w:rsidRDefault="00970B70" w:rsidP="00555417">
            <w:pPr>
              <w:rPr>
                <w:rFonts w:ascii="Verdana" w:hAnsi="Verdana"/>
                <w:noProof/>
                <w:sz w:val="20"/>
                <w:szCs w:val="20"/>
              </w:rPr>
            </w:pPr>
            <w:r w:rsidRPr="00A50B90">
              <w:rPr>
                <w:rFonts w:ascii="Verdana" w:hAnsi="Verdana"/>
                <w:noProof/>
                <w:sz w:val="20"/>
                <w:szCs w:val="20"/>
              </w:rPr>
              <w:t>The derogation will allow the continued releases of PFHxS to the environment</w:t>
            </w:r>
          </w:p>
          <w:p w14:paraId="75D48DF2" w14:textId="7ED8B22B" w:rsidR="00970B70" w:rsidRPr="00A50B90" w:rsidRDefault="00970B70" w:rsidP="00555417">
            <w:pPr>
              <w:rPr>
                <w:rFonts w:ascii="Verdana" w:hAnsi="Verdana"/>
                <w:noProof/>
                <w:sz w:val="20"/>
                <w:szCs w:val="20"/>
              </w:rPr>
            </w:pPr>
            <w:r w:rsidRPr="00A50B90">
              <w:rPr>
                <w:rFonts w:ascii="Verdana" w:hAnsi="Verdana"/>
                <w:noProof/>
                <w:sz w:val="20"/>
                <w:szCs w:val="20"/>
              </w:rPr>
              <w:t xml:space="preserve">Use of PFAS-containing fire-fighting foams is a direct route into the environment that has already contributed to contamination of soil, groundwater, drinking water, humans and the environment in countries all over the world.   </w:t>
            </w:r>
          </w:p>
          <w:p w14:paraId="76566224" w14:textId="10AFE3EE" w:rsidR="00970B70" w:rsidRPr="00A50B90" w:rsidRDefault="00970B70" w:rsidP="00555417">
            <w:pPr>
              <w:rPr>
                <w:rFonts w:ascii="Verdana" w:hAnsi="Verdana"/>
                <w:noProof/>
                <w:sz w:val="20"/>
                <w:szCs w:val="20"/>
              </w:rPr>
            </w:pPr>
            <w:r w:rsidRPr="00A50B90">
              <w:rPr>
                <w:rFonts w:ascii="Verdana" w:hAnsi="Verdana"/>
                <w:noProof/>
                <w:sz w:val="20"/>
                <w:szCs w:val="20"/>
              </w:rPr>
              <w:t>Therefore, any FFF containing PFHxS should not be derogated but be destroyed in an environmentally sound manner. For developing countries, UNIDO has recommended a variety of effective non-combustion techniques, including methods suitable for PFAS destruction such as gas phase chemical reduction and ball milling (UNIDO, 2007). The updated general technical guidelines for the environmentally sound management of wastes consisting of, containing or contaminated with persistent organic pollutants (POPs) under the Basel Convention lists Gas Phase Chemical Reduction as capable of destroying all POPs. Electrochemical oxidation has been demonstrated to destroy C4 – C8 PFAAs.1</w:t>
            </w:r>
          </w:p>
          <w:p w14:paraId="6AFFE833" w14:textId="77777777" w:rsidR="00970B70" w:rsidRPr="00A50B90" w:rsidRDefault="00970B70" w:rsidP="00555417">
            <w:pPr>
              <w:rPr>
                <w:rFonts w:ascii="Verdana" w:hAnsi="Verdana"/>
                <w:noProof/>
                <w:sz w:val="20"/>
                <w:szCs w:val="20"/>
              </w:rPr>
            </w:pPr>
            <w:r w:rsidRPr="00814766">
              <w:rPr>
                <w:rFonts w:ascii="Verdana" w:hAnsi="Verdana"/>
                <w:noProof/>
                <w:sz w:val="20"/>
                <w:szCs w:val="20"/>
              </w:rPr>
              <w:t xml:space="preserve">The restriction does not extend retrospectively to FFF already purchased and stockpiled for the purpose of fighting fires and includes no obligation to destroy the </w:t>
            </w:r>
            <w:r w:rsidRPr="00DC5260">
              <w:rPr>
                <w:rFonts w:ascii="Verdana" w:hAnsi="Verdana"/>
                <w:noProof/>
                <w:sz w:val="20"/>
                <w:szCs w:val="20"/>
              </w:rPr>
              <w:t>stocks.</w:t>
            </w:r>
            <w:r w:rsidRPr="00A50B90">
              <w:rPr>
                <w:rFonts w:ascii="Verdana" w:hAnsi="Verdana"/>
                <w:noProof/>
                <w:sz w:val="20"/>
                <w:szCs w:val="20"/>
              </w:rPr>
              <w:t xml:space="preserve"> Therefore PFHxS-bearing FFF could still be used years after the restriction come into force. P126 of the dossier mentions that fluorine based FFF have shelf lives of several decades:</w:t>
            </w:r>
          </w:p>
          <w:p w14:paraId="767BE6BB" w14:textId="77777777" w:rsidR="00970B70" w:rsidRPr="00A50B90" w:rsidRDefault="00970B70" w:rsidP="00555417">
            <w:pPr>
              <w:rPr>
                <w:rFonts w:ascii="Verdana" w:hAnsi="Verdana"/>
                <w:noProof/>
                <w:sz w:val="20"/>
                <w:szCs w:val="20"/>
              </w:rPr>
            </w:pPr>
            <w:r w:rsidRPr="00A50B90">
              <w:rPr>
                <w:rFonts w:ascii="Verdana" w:hAnsi="Verdana"/>
                <w:noProof/>
                <w:sz w:val="20"/>
                <w:szCs w:val="20"/>
              </w:rPr>
              <w:t>P126: “fluorine containing firefighting foams having shelf lives typically between 10 years and 20 years (to a maximum of 30 years)”</w:t>
            </w:r>
          </w:p>
          <w:p w14:paraId="0A4F9E08" w14:textId="77777777" w:rsidR="00970B70" w:rsidRPr="00A50B90" w:rsidRDefault="00970B70" w:rsidP="00555417">
            <w:pPr>
              <w:rPr>
                <w:rFonts w:ascii="Verdana" w:hAnsi="Verdana"/>
                <w:noProof/>
                <w:sz w:val="20"/>
                <w:szCs w:val="20"/>
              </w:rPr>
            </w:pPr>
            <w:r w:rsidRPr="00A50B90">
              <w:rPr>
                <w:rFonts w:ascii="Verdana" w:hAnsi="Verdana"/>
                <w:noProof/>
                <w:sz w:val="20"/>
                <w:szCs w:val="20"/>
              </w:rPr>
              <w:t>Moreover, even if PFHxS is not currently intentionally used in FFF in the EU, it was the case historically (meaning that there might be stocks out there, however, possibly not too far from their expiring date).</w:t>
            </w:r>
          </w:p>
          <w:p w14:paraId="2B6E4364" w14:textId="77777777" w:rsidR="00970B70" w:rsidRPr="00A50B90" w:rsidRDefault="00970B70" w:rsidP="00555417">
            <w:pPr>
              <w:rPr>
                <w:rFonts w:ascii="Verdana" w:hAnsi="Verdana"/>
                <w:noProof/>
                <w:sz w:val="20"/>
                <w:szCs w:val="20"/>
              </w:rPr>
            </w:pPr>
            <w:r w:rsidRPr="00A50B90">
              <w:rPr>
                <w:rFonts w:ascii="Verdana" w:hAnsi="Verdana"/>
                <w:noProof/>
                <w:sz w:val="20"/>
                <w:szCs w:val="20"/>
              </w:rPr>
              <w:t>P5: “Historical (pre-2000) use of PFHxS included apparel and leather (20%), carpets (60%), fabric and upholstery (15%), coatings (0.4%) and -fire-fighting foams (5%)”</w:t>
            </w:r>
          </w:p>
          <w:p w14:paraId="401C2CCB" w14:textId="29840348" w:rsidR="00970B70" w:rsidRPr="00A50B90" w:rsidRDefault="00970B70" w:rsidP="00555417">
            <w:pPr>
              <w:rPr>
                <w:rFonts w:ascii="Verdana" w:hAnsi="Verdana"/>
                <w:noProof/>
                <w:sz w:val="20"/>
                <w:szCs w:val="20"/>
              </w:rPr>
            </w:pPr>
            <w:r w:rsidRPr="00814766">
              <w:rPr>
                <w:rFonts w:ascii="Verdana" w:hAnsi="Verdana"/>
                <w:noProof/>
                <w:sz w:val="20"/>
                <w:szCs w:val="20"/>
              </w:rPr>
              <w:t>Overall benefits to human health and the environment of destroying the stock of PFAS FFF should be considered.</w:t>
            </w:r>
          </w:p>
          <w:p w14:paraId="13EF3CF1" w14:textId="77777777" w:rsidR="00970B70" w:rsidRPr="00A50B90" w:rsidRDefault="00970B70" w:rsidP="00555417">
            <w:pPr>
              <w:rPr>
                <w:rFonts w:ascii="Verdana" w:hAnsi="Verdana"/>
                <w:noProof/>
                <w:sz w:val="20"/>
                <w:szCs w:val="20"/>
              </w:rPr>
            </w:pPr>
            <w:r w:rsidRPr="00A50B90">
              <w:rPr>
                <w:rFonts w:ascii="Verdana" w:hAnsi="Verdana"/>
                <w:noProof/>
                <w:sz w:val="20"/>
                <w:szCs w:val="20"/>
              </w:rPr>
              <w:t>An initial proposal from the Dossier submitter to remove all fire-fighting foams from stocks which exceed the 25ppb limit for mixtures was discarded for economic reasons:</w:t>
            </w:r>
          </w:p>
          <w:p w14:paraId="5C01B12E" w14:textId="256F86B8" w:rsidR="00970B70" w:rsidRPr="00817E51" w:rsidRDefault="00970B70" w:rsidP="00555417">
            <w:pPr>
              <w:rPr>
                <w:rFonts w:ascii="Verdana" w:hAnsi="Verdana"/>
                <w:noProof/>
                <w:sz w:val="20"/>
                <w:szCs w:val="20"/>
              </w:rPr>
            </w:pPr>
            <w:r w:rsidRPr="00817E51">
              <w:rPr>
                <w:rFonts w:ascii="Verdana" w:hAnsi="Verdana"/>
                <w:noProof/>
                <w:sz w:val="20"/>
                <w:szCs w:val="20"/>
              </w:rPr>
              <w:t>P124: “The second discarded restriction option is a requirement to remove all fire-fighting foams which exceed the 25ppb limit for mixtures from stock. This restriction option would require testing and destruction by incineration of existing stocks of PFAS based foams, estimated at around 31 240 tonnes. As described in Annex A.2.9, this option would reduce the annual PFHxS emissions by a maximum of 3 kg per year. The risk reducing potential of this option is not proportional to the societal costs it would encompass.”</w:t>
            </w:r>
          </w:p>
          <w:p w14:paraId="47F7246D" w14:textId="53B1F564" w:rsidR="00970B70" w:rsidRPr="00A50B90" w:rsidRDefault="00970B70" w:rsidP="00555417">
            <w:pPr>
              <w:rPr>
                <w:rFonts w:ascii="Verdana" w:hAnsi="Verdana"/>
                <w:noProof/>
                <w:sz w:val="20"/>
                <w:szCs w:val="20"/>
              </w:rPr>
            </w:pPr>
            <w:r w:rsidRPr="00817E51">
              <w:rPr>
                <w:rFonts w:ascii="Verdana" w:hAnsi="Verdana"/>
                <w:noProof/>
                <w:sz w:val="20"/>
                <w:szCs w:val="20"/>
              </w:rPr>
              <w:t>The societal costs are refered to the avoided environmental releases of 3kg per year of PFHxS,</w:t>
            </w:r>
            <w:r w:rsidRPr="00814766">
              <w:rPr>
                <w:rFonts w:ascii="Verdana" w:hAnsi="Verdana"/>
                <w:noProof/>
                <w:sz w:val="20"/>
                <w:szCs w:val="20"/>
              </w:rPr>
              <w:t xml:space="preserve"> but the destruction of  the estimated 31240 tonnes of existing stocks of PFAS based foams could potentially correspond to several tonnes of other PFAS of high concern (including PFOA and PFOS).  Therefore, even if the impact on PFHxS reduction might not be so high, the overall benefits to human health and the environment of destroying the stock of PFAS FFF should be considered.</w:t>
            </w:r>
          </w:p>
          <w:p w14:paraId="6F3D46F5" w14:textId="77777777" w:rsidR="00970B70" w:rsidRPr="00A50B90" w:rsidRDefault="00970B70" w:rsidP="00555417">
            <w:pPr>
              <w:rPr>
                <w:rFonts w:ascii="Verdana" w:hAnsi="Verdana"/>
                <w:noProof/>
                <w:sz w:val="20"/>
                <w:szCs w:val="20"/>
              </w:rPr>
            </w:pPr>
            <w:r w:rsidRPr="00A50B90">
              <w:rPr>
                <w:rFonts w:ascii="Verdana" w:hAnsi="Verdana"/>
                <w:noProof/>
                <w:sz w:val="20"/>
                <w:szCs w:val="20"/>
              </w:rPr>
              <w:t>Also, remediation of contaminated sites is extremely expensive and should be taken into account. A Nordic Council of Ministers assessment estimates that PFAS remediation costs at the European level are expected to be in the hundreds of millions of euros at a minimum ranging from 821 million – 170 billion euros in the 31 EEA Member Countries and Switzerland.2 The report also noted links between PFHxS exposure and several health endpoints that also carry costs. Annual health impact-related costs in Nordic countries due to PFAS exposure were estimated to be 52 – 84 billion euros. The authors note that exposures are rarely limited to a single substance PFAS and they share similar properties.</w:t>
            </w:r>
          </w:p>
          <w:p w14:paraId="1CD80B49" w14:textId="77777777" w:rsidR="00970B70" w:rsidRPr="00A50B90" w:rsidRDefault="00970B70" w:rsidP="00555417">
            <w:pPr>
              <w:rPr>
                <w:rFonts w:ascii="Verdana" w:hAnsi="Verdana"/>
                <w:noProof/>
                <w:sz w:val="20"/>
                <w:szCs w:val="20"/>
              </w:rPr>
            </w:pPr>
            <w:r w:rsidRPr="00A50B90">
              <w:rPr>
                <w:rFonts w:ascii="Verdana" w:hAnsi="Verdana"/>
                <w:noProof/>
                <w:sz w:val="20"/>
                <w:szCs w:val="20"/>
              </w:rPr>
              <w:t>Fire-Safety Regulators, Scientists, &amp; Industry Representatives Call for a Global Ban on PFAS Chemicals with No Loopholes for Toxic Fire Fighting Foams</w:t>
            </w:r>
          </w:p>
          <w:p w14:paraId="2735A0C0" w14:textId="77777777" w:rsidR="00970B70" w:rsidRPr="00A50B90" w:rsidRDefault="00970B70" w:rsidP="00555417">
            <w:pPr>
              <w:rPr>
                <w:rFonts w:ascii="Verdana" w:hAnsi="Verdana"/>
                <w:noProof/>
                <w:sz w:val="20"/>
                <w:szCs w:val="20"/>
              </w:rPr>
            </w:pPr>
            <w:r w:rsidRPr="00A50B90">
              <w:rPr>
                <w:rFonts w:ascii="Verdana" w:hAnsi="Verdana"/>
                <w:noProof/>
                <w:sz w:val="20"/>
                <w:szCs w:val="20"/>
              </w:rPr>
              <w:t>Last 24 April 2019, industry fire-safety experts from the oil and gas and aviation sectors joined with firefighter trade unions to urge governments to protect human health and the environment with a global ban PFAS chemicals and to reject loopholes for its use in firefighting foams.https://ipen.org/news/fire-safety-regulators-scientists-industry-representatives-call-global-ban-pfas-chemicals-no</w:t>
            </w:r>
          </w:p>
          <w:p w14:paraId="4F64A630" w14:textId="77777777" w:rsidR="00970B70" w:rsidRPr="00A50B90" w:rsidRDefault="00970B70" w:rsidP="00555417">
            <w:pPr>
              <w:rPr>
                <w:rFonts w:ascii="Verdana" w:hAnsi="Verdana"/>
                <w:noProof/>
                <w:sz w:val="20"/>
                <w:szCs w:val="20"/>
              </w:rPr>
            </w:pPr>
            <w:r w:rsidRPr="00A50B90">
              <w:rPr>
                <w:rFonts w:ascii="Verdana" w:hAnsi="Verdana"/>
                <w:noProof/>
                <w:sz w:val="20"/>
                <w:szCs w:val="20"/>
              </w:rPr>
              <w:t xml:space="preserve">A recent PFAS study  of a large cohort of Australian firefighters  found significant elevations of PFAS blood levels, far in excess of the general population in Australia (IPEN, 2019): </w:t>
            </w:r>
          </w:p>
          <w:p w14:paraId="6348615E" w14:textId="77777777" w:rsidR="00970B70" w:rsidRPr="00A50B90" w:rsidRDefault="00970B70" w:rsidP="00555417">
            <w:pPr>
              <w:rPr>
                <w:rFonts w:ascii="Verdana" w:hAnsi="Verdana"/>
                <w:noProof/>
                <w:sz w:val="20"/>
                <w:szCs w:val="20"/>
              </w:rPr>
            </w:pPr>
            <w:r w:rsidRPr="00A50B90">
              <w:rPr>
                <w:rFonts w:ascii="Verdana" w:hAnsi="Verdana"/>
                <w:noProof/>
                <w:sz w:val="20"/>
                <w:szCs w:val="20"/>
              </w:rPr>
              <w:t>P34: “Levels for PFOS, PFHxS and PFOA in the blood of a significant proportion of firefighters are well above levels in the gener-al population raising concerns about potential consequenc-es for human health. Of particular concern is the increased likelihood of certain cancers developing or being promoted given that firefighters are also exposed to a combination of other chemicals that can have adverse health effects that may be enhanced synergistically by PFAS exposure.”</w:t>
            </w:r>
          </w:p>
          <w:p w14:paraId="6ACC3C7F" w14:textId="77777777" w:rsidR="00970B70" w:rsidRPr="00A50B90" w:rsidRDefault="00970B70" w:rsidP="00555417">
            <w:pPr>
              <w:rPr>
                <w:rFonts w:ascii="Verdana" w:hAnsi="Verdana"/>
                <w:noProof/>
                <w:sz w:val="20"/>
                <w:szCs w:val="20"/>
              </w:rPr>
            </w:pPr>
            <w:r w:rsidRPr="00A50B90">
              <w:rPr>
                <w:rFonts w:ascii="Verdana" w:hAnsi="Verdana"/>
                <w:noProof/>
                <w:sz w:val="20"/>
                <w:szCs w:val="20"/>
              </w:rPr>
              <w:t>“The exposure of the workforce and in particular firefighters to PFAS is of growing concern globally with evidence emerging that this is not just a legacy issue for earlier generations of workers but a continuing issue with no obvious source.”</w:t>
            </w:r>
          </w:p>
          <w:p w14:paraId="3839BCD0" w14:textId="77777777" w:rsidR="00970B70" w:rsidRPr="00A50B90" w:rsidRDefault="00970B70" w:rsidP="00555417">
            <w:pPr>
              <w:rPr>
                <w:rFonts w:ascii="Verdana" w:hAnsi="Verdana"/>
                <w:noProof/>
                <w:sz w:val="20"/>
                <w:szCs w:val="20"/>
              </w:rPr>
            </w:pPr>
            <w:r w:rsidRPr="00A50B90">
              <w:rPr>
                <w:rFonts w:ascii="Verdana" w:hAnsi="Verdana"/>
                <w:noProof/>
                <w:sz w:val="20"/>
                <w:szCs w:val="20"/>
              </w:rPr>
              <w:t>“The highest levels of PFOS and PFHxS in Australian firefighters were an order of magnitude higher compared to the general populations in both Australia and Canada (Rotander et al. 2015).”</w:t>
            </w:r>
          </w:p>
          <w:p w14:paraId="1A0D47F7" w14:textId="77777777" w:rsidR="00970B70" w:rsidRPr="00A50B90" w:rsidRDefault="00970B70" w:rsidP="00555417">
            <w:pPr>
              <w:rPr>
                <w:rFonts w:ascii="Verdana" w:hAnsi="Verdana"/>
                <w:noProof/>
                <w:sz w:val="20"/>
                <w:szCs w:val="20"/>
              </w:rPr>
            </w:pPr>
            <w:r w:rsidRPr="00A50B90">
              <w:rPr>
                <w:rFonts w:ascii="Verdana" w:hAnsi="Verdana"/>
                <w:noProof/>
                <w:sz w:val="20"/>
                <w:szCs w:val="20"/>
              </w:rPr>
              <w:t>Fluorine-free FFF are available at no higher cost and demonstrate similar performance</w:t>
            </w:r>
          </w:p>
          <w:p w14:paraId="0A8E7E63" w14:textId="77777777" w:rsidR="00970B70" w:rsidRPr="00A50B90" w:rsidRDefault="00970B70" w:rsidP="00555417">
            <w:pPr>
              <w:rPr>
                <w:rFonts w:ascii="Verdana" w:hAnsi="Verdana"/>
                <w:noProof/>
                <w:sz w:val="20"/>
                <w:szCs w:val="20"/>
              </w:rPr>
            </w:pPr>
            <w:r w:rsidRPr="00A50B90">
              <w:rPr>
                <w:rFonts w:ascii="Verdana" w:hAnsi="Verdana"/>
                <w:noProof/>
                <w:sz w:val="20"/>
                <w:szCs w:val="20"/>
              </w:rPr>
              <w:t xml:space="preserve">The Draft risk management evaluation from the Persistent Organic Pollutants Review Committee of the Stockholm Convention (POPRC) states: </w:t>
            </w:r>
          </w:p>
          <w:p w14:paraId="17936386" w14:textId="77777777" w:rsidR="00970B70" w:rsidRPr="00A50B90" w:rsidRDefault="00970B70" w:rsidP="00555417">
            <w:pPr>
              <w:rPr>
                <w:rFonts w:ascii="Verdana" w:hAnsi="Verdana"/>
                <w:noProof/>
                <w:sz w:val="20"/>
                <w:szCs w:val="20"/>
              </w:rPr>
            </w:pPr>
            <w:r w:rsidRPr="00A50B90">
              <w:rPr>
                <w:rFonts w:ascii="Verdana" w:hAnsi="Verdana"/>
                <w:noProof/>
                <w:sz w:val="20"/>
                <w:szCs w:val="20"/>
              </w:rPr>
              <w:t>147. The regular assessment of alternatives to PFOS under the Stockholm Convention has revealed that alternatives are available for all potential applications which could also be relevant for PFHxS, its salts and related compounds.</w:t>
            </w:r>
          </w:p>
          <w:p w14:paraId="0C5DD111" w14:textId="77777777" w:rsidR="00970B70" w:rsidRPr="00A50B90" w:rsidRDefault="00970B70" w:rsidP="00555417">
            <w:pPr>
              <w:rPr>
                <w:rFonts w:ascii="Verdana" w:hAnsi="Verdana"/>
                <w:noProof/>
                <w:sz w:val="20"/>
                <w:szCs w:val="20"/>
              </w:rPr>
            </w:pPr>
            <w:r w:rsidRPr="00A50B90">
              <w:rPr>
                <w:rFonts w:ascii="Verdana" w:hAnsi="Verdana"/>
                <w:noProof/>
                <w:sz w:val="20"/>
                <w:szCs w:val="20"/>
              </w:rPr>
              <w:t>Alternatives include both fluorinated and non-fluorinated substances as well as alternative (non-chemical) technical solutions. Information on availability, accessibility and price of alternatives, as well as information on regulatory measures and use in different countries, reveal that the socioeconomic costs of implementing a ban and/or restriction on the use of PFHxS are considered small and are outweighed by the benefits of an elimination/ regulation. High costs are estimated for remediation of contaminated sites, such as old and current fire-fighting foam training sites and airports, landfills for industrial waste, and hazardous waste, as well as for the removal of PFASs, including PFHxS, from drinking water and water sources affected by PFHxS (and other PFASs) contamination.</w:t>
            </w:r>
          </w:p>
          <w:p w14:paraId="062A344C" w14:textId="6D1FD85D" w:rsidR="00970B70" w:rsidRPr="00A50B90" w:rsidRDefault="00970B70" w:rsidP="00555417">
            <w:pPr>
              <w:rPr>
                <w:rFonts w:ascii="Verdana" w:hAnsi="Verdana"/>
                <w:noProof/>
                <w:sz w:val="20"/>
                <w:szCs w:val="20"/>
              </w:rPr>
            </w:pPr>
            <w:r w:rsidRPr="00A50B90">
              <w:rPr>
                <w:rFonts w:ascii="Verdana" w:hAnsi="Verdana"/>
                <w:noProof/>
                <w:sz w:val="20"/>
                <w:szCs w:val="20"/>
              </w:rPr>
              <w:t>No need for exemptions have been identified at a global level</w:t>
            </w:r>
          </w:p>
          <w:p w14:paraId="1C250727" w14:textId="77777777" w:rsidR="00970B70" w:rsidRPr="00A50B90" w:rsidRDefault="00970B70" w:rsidP="00555417">
            <w:pPr>
              <w:rPr>
                <w:rFonts w:ascii="Verdana" w:hAnsi="Verdana"/>
                <w:noProof/>
                <w:sz w:val="20"/>
                <w:szCs w:val="20"/>
              </w:rPr>
            </w:pPr>
            <w:r w:rsidRPr="00A50B90">
              <w:rPr>
                <w:rFonts w:ascii="Verdana" w:hAnsi="Verdana"/>
                <w:noProof/>
                <w:sz w:val="20"/>
                <w:szCs w:val="20"/>
              </w:rPr>
              <w:t xml:space="preserve">The Draft risk management evaluation from the Persistent Organic Pollutants Review Committee of the Stockholm Convention (POPRC), after consultation with governmental bodies, industry, academia and NGOs recommends  taking global action on PFHxS without exemptions, not even for FFF:  </w:t>
            </w:r>
          </w:p>
          <w:p w14:paraId="539017D7" w14:textId="77777777" w:rsidR="00970B70" w:rsidRPr="00A50B90" w:rsidRDefault="00970B70" w:rsidP="00555417">
            <w:pPr>
              <w:rPr>
                <w:rFonts w:ascii="Verdana" w:hAnsi="Verdana"/>
                <w:noProof/>
                <w:sz w:val="20"/>
                <w:szCs w:val="20"/>
              </w:rPr>
            </w:pPr>
            <w:r w:rsidRPr="00A50B90">
              <w:rPr>
                <w:rFonts w:ascii="Verdana" w:hAnsi="Verdana"/>
                <w:noProof/>
                <w:sz w:val="20"/>
                <w:szCs w:val="20"/>
              </w:rPr>
              <w:t>150. Having decided that perfluorohexane sulfonic acid (CAS No. 355-46-4, PFHxS), its salts and PFHxS-related compounds are likely as a result of their long-range environmental transport to lead to significant adverse human health and/or environmental effects such that global action is warranted; having prepared a risk management evaluation and considering the management options and noting the information on the availability of alternatives; [the</w:t>
            </w:r>
          </w:p>
          <w:p w14:paraId="59EF878B" w14:textId="77777777" w:rsidR="00970B70" w:rsidRPr="00A50B90" w:rsidRDefault="00970B70" w:rsidP="00555417">
            <w:pPr>
              <w:rPr>
                <w:rFonts w:ascii="Verdana" w:hAnsi="Verdana"/>
                <w:noProof/>
                <w:sz w:val="20"/>
                <w:szCs w:val="20"/>
              </w:rPr>
            </w:pPr>
            <w:r w:rsidRPr="00A50B90">
              <w:rPr>
                <w:rFonts w:ascii="Verdana" w:hAnsi="Verdana"/>
                <w:noProof/>
                <w:sz w:val="20"/>
                <w:szCs w:val="20"/>
              </w:rPr>
              <w:t>POPs Review Committee recommends, in accordance with paragraph 9 of Article 8 of the Convention, the Conference of the Parties to the Stockholm Convention consider listing and specifying the related control measures for perfluorohexane sulfonic acid (CAS No. 355-46-4, PFHxS), its salts and PFHxS-related compounds in Annex A without exemptions.]</w:t>
            </w:r>
          </w:p>
          <w:p w14:paraId="552FC3AD" w14:textId="61A6E398" w:rsidR="00970B70" w:rsidRPr="00786F18" w:rsidRDefault="00970B70" w:rsidP="00555417">
            <w:pPr>
              <w:rPr>
                <w:rFonts w:ascii="Verdana" w:hAnsi="Verdana"/>
                <w:sz w:val="20"/>
                <w:szCs w:val="20"/>
              </w:rPr>
            </w:pPr>
            <w:r w:rsidRPr="00B61AF7">
              <w:rPr>
                <w:rFonts w:ascii="Verdana" w:hAnsi="Verdana"/>
                <w:noProof/>
                <w:sz w:val="20"/>
                <w:szCs w:val="20"/>
              </w:rPr>
              <w:t>Therefore, the derogation for PFHxS FFF should not be included in the EU restriction as it will hinder efforts to regulate these chemicals at the global level.</w:t>
            </w:r>
          </w:p>
          <w:p w14:paraId="24729812" w14:textId="77777777" w:rsidR="00970B70" w:rsidRPr="00786F18" w:rsidRDefault="00970B70" w:rsidP="00555417">
            <w:pPr>
              <w:rPr>
                <w:rFonts w:ascii="Verdana" w:hAnsi="Verdana"/>
                <w:sz w:val="20"/>
                <w:szCs w:val="20"/>
              </w:rPr>
            </w:pPr>
          </w:p>
        </w:tc>
      </w:tr>
      <w:tr w:rsidR="00970B70" w:rsidRPr="00277FD2" w14:paraId="4068C3C3" w14:textId="77777777" w:rsidTr="00A357CF">
        <w:trPr>
          <w:trHeight w:val="505"/>
        </w:trPr>
        <w:tc>
          <w:tcPr>
            <w:tcW w:w="301" w:type="pct"/>
            <w:vMerge/>
          </w:tcPr>
          <w:p w14:paraId="59EC4643" w14:textId="77777777" w:rsidR="00970B70" w:rsidRPr="00786F18" w:rsidRDefault="00970B70" w:rsidP="00555417">
            <w:pPr>
              <w:rPr>
                <w:rFonts w:ascii="Verdana" w:hAnsi="Verdana"/>
                <w:sz w:val="20"/>
                <w:szCs w:val="20"/>
              </w:rPr>
            </w:pPr>
          </w:p>
        </w:tc>
        <w:tc>
          <w:tcPr>
            <w:tcW w:w="1105" w:type="pct"/>
            <w:vMerge/>
          </w:tcPr>
          <w:p w14:paraId="585050D4" w14:textId="77777777" w:rsidR="00970B70" w:rsidRPr="00786F18" w:rsidRDefault="00970B70" w:rsidP="00555417">
            <w:pPr>
              <w:rPr>
                <w:rFonts w:ascii="Verdana" w:hAnsi="Verdana"/>
                <w:sz w:val="20"/>
                <w:szCs w:val="20"/>
              </w:rPr>
            </w:pPr>
          </w:p>
        </w:tc>
        <w:tc>
          <w:tcPr>
            <w:tcW w:w="3594" w:type="pct"/>
          </w:tcPr>
          <w:p w14:paraId="1C39C2B7" w14:textId="77777777" w:rsidR="00970B70" w:rsidRPr="0033520B" w:rsidRDefault="00970B70" w:rsidP="00555417">
            <w:pPr>
              <w:rPr>
                <w:rFonts w:ascii="Verdana" w:hAnsi="Verdana"/>
                <w:b/>
                <w:sz w:val="20"/>
                <w:szCs w:val="20"/>
              </w:rPr>
            </w:pPr>
            <w:r w:rsidRPr="0033520B">
              <w:rPr>
                <w:rFonts w:ascii="Verdana" w:hAnsi="Verdana"/>
                <w:b/>
                <w:sz w:val="20"/>
                <w:szCs w:val="20"/>
              </w:rPr>
              <w:t>Dossier submitter response:</w:t>
            </w:r>
          </w:p>
          <w:p w14:paraId="76E024E3" w14:textId="6E3F7340" w:rsidR="0003649C" w:rsidRDefault="0033520B" w:rsidP="00BA6C42">
            <w:pPr>
              <w:rPr>
                <w:rFonts w:ascii="Verdana" w:hAnsi="Verdana"/>
                <w:sz w:val="20"/>
                <w:szCs w:val="20"/>
              </w:rPr>
            </w:pPr>
            <w:r w:rsidRPr="00F2073A">
              <w:rPr>
                <w:rFonts w:ascii="Verdana" w:hAnsi="Verdana"/>
                <w:sz w:val="20"/>
                <w:szCs w:val="20"/>
              </w:rPr>
              <w:t xml:space="preserve">Thank you for </w:t>
            </w:r>
            <w:r w:rsidR="0003649C">
              <w:rPr>
                <w:rFonts w:ascii="Verdana" w:hAnsi="Verdana"/>
                <w:sz w:val="20"/>
                <w:szCs w:val="20"/>
              </w:rPr>
              <w:t xml:space="preserve">your extensive </w:t>
            </w:r>
            <w:r w:rsidRPr="00F2073A">
              <w:rPr>
                <w:rFonts w:ascii="Verdana" w:hAnsi="Verdana"/>
                <w:sz w:val="20"/>
                <w:szCs w:val="20"/>
              </w:rPr>
              <w:t>comment</w:t>
            </w:r>
            <w:r w:rsidR="0003649C">
              <w:rPr>
                <w:rFonts w:ascii="Verdana" w:hAnsi="Verdana"/>
                <w:sz w:val="20"/>
                <w:szCs w:val="20"/>
              </w:rPr>
              <w:t>s. We welcome discussion</w:t>
            </w:r>
            <w:r w:rsidR="00C16143">
              <w:rPr>
                <w:rFonts w:ascii="Verdana" w:hAnsi="Verdana"/>
                <w:sz w:val="20"/>
                <w:szCs w:val="20"/>
              </w:rPr>
              <w:t>s</w:t>
            </w:r>
            <w:r w:rsidR="0003649C">
              <w:rPr>
                <w:rFonts w:ascii="Verdana" w:hAnsi="Verdana"/>
                <w:sz w:val="20"/>
                <w:szCs w:val="20"/>
              </w:rPr>
              <w:t xml:space="preserve"> on strict limit values and the proposed derogations in the PFHxS</w:t>
            </w:r>
            <w:r w:rsidR="00C16143">
              <w:rPr>
                <w:rFonts w:ascii="Verdana" w:hAnsi="Verdana"/>
                <w:sz w:val="20"/>
                <w:szCs w:val="20"/>
              </w:rPr>
              <w:t xml:space="preserve"> </w:t>
            </w:r>
            <w:r w:rsidR="0003649C">
              <w:rPr>
                <w:rFonts w:ascii="Verdana" w:hAnsi="Verdana"/>
                <w:sz w:val="20"/>
                <w:szCs w:val="20"/>
              </w:rPr>
              <w:t xml:space="preserve">REACH restriction. </w:t>
            </w:r>
          </w:p>
          <w:p w14:paraId="0AD50C24" w14:textId="5F19A0BF" w:rsidR="008677DF" w:rsidRDefault="008677DF" w:rsidP="00BA6C42">
            <w:pPr>
              <w:rPr>
                <w:rFonts w:ascii="Verdana" w:hAnsi="Verdana"/>
                <w:sz w:val="20"/>
                <w:szCs w:val="20"/>
              </w:rPr>
            </w:pPr>
          </w:p>
          <w:p w14:paraId="1BB750CA" w14:textId="3F97BE22" w:rsidR="00564137" w:rsidRPr="00564137" w:rsidRDefault="00564137" w:rsidP="009274CF">
            <w:pPr>
              <w:rPr>
                <w:rFonts w:ascii="Verdana" w:hAnsi="Verdana"/>
                <w:sz w:val="20"/>
                <w:szCs w:val="20"/>
                <w:u w:val="single"/>
              </w:rPr>
            </w:pPr>
            <w:r w:rsidRPr="00564137">
              <w:rPr>
                <w:rFonts w:ascii="Verdana" w:hAnsi="Verdana"/>
                <w:sz w:val="20"/>
                <w:szCs w:val="20"/>
                <w:u w:val="single"/>
              </w:rPr>
              <w:t>Limit values:</w:t>
            </w:r>
          </w:p>
          <w:p w14:paraId="5EBABBE0" w14:textId="1F22F901" w:rsidR="00564137" w:rsidRDefault="008677DF" w:rsidP="009274CF">
            <w:pPr>
              <w:rPr>
                <w:rFonts w:ascii="Verdana" w:hAnsi="Verdana"/>
                <w:sz w:val="20"/>
                <w:szCs w:val="20"/>
              </w:rPr>
            </w:pPr>
            <w:r>
              <w:rPr>
                <w:rFonts w:ascii="Verdana" w:hAnsi="Verdana"/>
                <w:sz w:val="20"/>
                <w:szCs w:val="20"/>
              </w:rPr>
              <w:t xml:space="preserve">The proposed limit values of 25 ppb for PFHxS and 1000 ppb for PFHxS-related substances are identical to the agreed limit values for PFOA and PFOA related substances under the REACH regulation. </w:t>
            </w:r>
            <w:r w:rsidR="00564137">
              <w:rPr>
                <w:rFonts w:ascii="Verdana" w:hAnsi="Verdana"/>
                <w:sz w:val="20"/>
                <w:szCs w:val="20"/>
              </w:rPr>
              <w:t xml:space="preserve">We have no information that intentional use of PFHxS or PFHxS-related substances will be possible with these limit values. </w:t>
            </w:r>
          </w:p>
          <w:p w14:paraId="257088C0" w14:textId="77777777" w:rsidR="00564137" w:rsidRDefault="00564137" w:rsidP="009274CF">
            <w:pPr>
              <w:rPr>
                <w:rFonts w:ascii="Verdana" w:hAnsi="Verdana"/>
                <w:sz w:val="20"/>
                <w:szCs w:val="20"/>
              </w:rPr>
            </w:pPr>
          </w:p>
          <w:p w14:paraId="7D62DEA2" w14:textId="7DC0C8E3" w:rsidR="00001280" w:rsidRDefault="00564137" w:rsidP="009274CF">
            <w:pPr>
              <w:rPr>
                <w:rFonts w:ascii="Verdana" w:hAnsi="Verdana"/>
                <w:sz w:val="20"/>
                <w:szCs w:val="20"/>
              </w:rPr>
            </w:pPr>
            <w:r>
              <w:rPr>
                <w:rFonts w:ascii="Verdana" w:hAnsi="Verdana"/>
                <w:sz w:val="20"/>
                <w:szCs w:val="20"/>
              </w:rPr>
              <w:t>L</w:t>
            </w:r>
            <w:r w:rsidR="008677DF">
              <w:rPr>
                <w:rFonts w:ascii="Verdana" w:hAnsi="Verdana"/>
                <w:sz w:val="20"/>
                <w:szCs w:val="20"/>
              </w:rPr>
              <w:t xml:space="preserve">imit values of 25 and 1000 ppb are furthermore proposed to apply for PFOA and PFOA related substances in the POPs regulation (see Annex to </w:t>
            </w:r>
            <w:r w:rsidR="008677DF" w:rsidRPr="008677DF">
              <w:rPr>
                <w:rFonts w:ascii="Verdana" w:hAnsi="Verdana"/>
                <w:sz w:val="20"/>
                <w:szCs w:val="20"/>
              </w:rPr>
              <w:t xml:space="preserve">Draft delegated regulation </w:t>
            </w:r>
            <w:r w:rsidR="00001280">
              <w:rPr>
                <w:rFonts w:ascii="Verdana" w:hAnsi="Verdana"/>
                <w:sz w:val="20"/>
                <w:szCs w:val="20"/>
              </w:rPr>
              <w:t>–</w:t>
            </w:r>
            <w:r w:rsidR="008677DF" w:rsidRPr="008677DF">
              <w:rPr>
                <w:rFonts w:ascii="Verdana" w:hAnsi="Verdana"/>
                <w:sz w:val="20"/>
                <w:szCs w:val="20"/>
              </w:rPr>
              <w:t xml:space="preserve"> Ares</w:t>
            </w:r>
            <w:r w:rsidR="00001280">
              <w:rPr>
                <w:rFonts w:ascii="Verdana" w:hAnsi="Verdana"/>
                <w:sz w:val="20"/>
                <w:szCs w:val="20"/>
              </w:rPr>
              <w:t xml:space="preserve"> </w:t>
            </w:r>
            <w:r w:rsidR="008677DF" w:rsidRPr="008677DF">
              <w:rPr>
                <w:rFonts w:ascii="Verdana" w:hAnsi="Verdana"/>
                <w:sz w:val="20"/>
                <w:szCs w:val="20"/>
              </w:rPr>
              <w:t>(2019)6890180</w:t>
            </w:r>
            <w:r w:rsidR="008677DF">
              <w:rPr>
                <w:rFonts w:ascii="Verdana" w:hAnsi="Verdana"/>
                <w:sz w:val="20"/>
                <w:szCs w:val="20"/>
              </w:rPr>
              <w:t xml:space="preserve">). </w:t>
            </w:r>
            <w:r w:rsidR="00001280">
              <w:rPr>
                <w:rFonts w:ascii="Verdana" w:hAnsi="Verdana"/>
                <w:sz w:val="20"/>
                <w:szCs w:val="20"/>
              </w:rPr>
              <w:t>In comparison, the current limit values for PFOS in the POPs regulation (Regulation 2019/1021)</w:t>
            </w:r>
            <w:r w:rsidR="00001280" w:rsidRPr="007736BD">
              <w:rPr>
                <w:rFonts w:ascii="Verdana" w:hAnsi="Verdana"/>
                <w:sz w:val="20"/>
                <w:szCs w:val="20"/>
              </w:rPr>
              <w:t xml:space="preserve"> </w:t>
            </w:r>
            <w:r w:rsidR="00001280">
              <w:rPr>
                <w:rFonts w:ascii="Verdana" w:hAnsi="Verdana"/>
                <w:sz w:val="20"/>
                <w:szCs w:val="20"/>
              </w:rPr>
              <w:t xml:space="preserve">is </w:t>
            </w:r>
            <w:r w:rsidR="00001280" w:rsidRPr="007736BD">
              <w:rPr>
                <w:rFonts w:ascii="Verdana" w:hAnsi="Verdana"/>
                <w:sz w:val="20"/>
                <w:szCs w:val="20"/>
              </w:rPr>
              <w:t>10 000 ppb for mixtures (=10</w:t>
            </w:r>
            <w:r w:rsidR="00001280">
              <w:rPr>
                <w:rFonts w:ascii="Verdana" w:hAnsi="Verdana"/>
                <w:sz w:val="20"/>
                <w:szCs w:val="20"/>
              </w:rPr>
              <w:t> </w:t>
            </w:r>
            <w:r w:rsidR="00001280" w:rsidRPr="007736BD">
              <w:rPr>
                <w:rFonts w:ascii="Verdana" w:hAnsi="Verdana"/>
                <w:sz w:val="20"/>
                <w:szCs w:val="20"/>
              </w:rPr>
              <w:t>mg/kg) and 1 000 000 ppb for articles (</w:t>
            </w:r>
            <w:r w:rsidR="00001280">
              <w:rPr>
                <w:rFonts w:ascii="Verdana" w:hAnsi="Verdana"/>
                <w:sz w:val="20"/>
                <w:szCs w:val="20"/>
              </w:rPr>
              <w:t>=</w:t>
            </w:r>
            <w:r w:rsidR="00001280" w:rsidRPr="007736BD">
              <w:rPr>
                <w:rFonts w:ascii="Verdana" w:hAnsi="Verdana"/>
                <w:sz w:val="20"/>
                <w:szCs w:val="20"/>
              </w:rPr>
              <w:t>0.1 %)</w:t>
            </w:r>
            <w:r w:rsidR="00001280">
              <w:rPr>
                <w:rFonts w:ascii="Verdana" w:hAnsi="Verdana"/>
                <w:sz w:val="20"/>
                <w:szCs w:val="20"/>
              </w:rPr>
              <w:t xml:space="preserve">. </w:t>
            </w:r>
          </w:p>
          <w:p w14:paraId="67E7BAFA" w14:textId="3FFCF53E" w:rsidR="00564137" w:rsidRDefault="00564137" w:rsidP="009274CF">
            <w:pPr>
              <w:rPr>
                <w:rFonts w:ascii="Verdana" w:hAnsi="Verdana"/>
                <w:sz w:val="20"/>
                <w:szCs w:val="20"/>
              </w:rPr>
            </w:pPr>
          </w:p>
          <w:p w14:paraId="66591EFE" w14:textId="133C35D4" w:rsidR="00564137" w:rsidRDefault="00564137" w:rsidP="009274CF">
            <w:pPr>
              <w:rPr>
                <w:rFonts w:ascii="Verdana" w:hAnsi="Verdana"/>
                <w:sz w:val="20"/>
                <w:szCs w:val="20"/>
              </w:rPr>
            </w:pPr>
            <w:r>
              <w:rPr>
                <w:rFonts w:ascii="Verdana" w:hAnsi="Verdana"/>
                <w:sz w:val="20"/>
                <w:szCs w:val="20"/>
              </w:rPr>
              <w:t xml:space="preserve">The restriction proposal on C9-C14 PFCAs (See table 1 of Final Background document for the PFCA restriction) proposes limit values of </w:t>
            </w:r>
            <w:r w:rsidRPr="009274CF">
              <w:rPr>
                <w:rFonts w:ascii="Verdana" w:hAnsi="Verdana"/>
                <w:sz w:val="20"/>
                <w:szCs w:val="20"/>
              </w:rPr>
              <w:t>25</w:t>
            </w:r>
            <w:r>
              <w:rPr>
                <w:rFonts w:ascii="Verdana" w:hAnsi="Verdana"/>
                <w:sz w:val="20"/>
                <w:szCs w:val="20"/>
              </w:rPr>
              <w:t xml:space="preserve"> </w:t>
            </w:r>
            <w:r w:rsidRPr="009274CF">
              <w:rPr>
                <w:rFonts w:ascii="Verdana" w:hAnsi="Verdana"/>
                <w:sz w:val="20"/>
                <w:szCs w:val="20"/>
              </w:rPr>
              <w:t>ppb for the sum of C9-C14 PFCAs and</w:t>
            </w:r>
            <w:r>
              <w:rPr>
                <w:rFonts w:ascii="Verdana" w:hAnsi="Verdana"/>
                <w:sz w:val="20"/>
                <w:szCs w:val="20"/>
              </w:rPr>
              <w:t xml:space="preserve"> </w:t>
            </w:r>
            <w:r w:rsidRPr="009274CF">
              <w:rPr>
                <w:rFonts w:ascii="Verdana" w:hAnsi="Verdana"/>
                <w:sz w:val="20"/>
                <w:szCs w:val="20"/>
              </w:rPr>
              <w:t>their salts or 260 ppb</w:t>
            </w:r>
            <w:r>
              <w:rPr>
                <w:rFonts w:ascii="Verdana" w:hAnsi="Verdana"/>
                <w:sz w:val="20"/>
                <w:szCs w:val="20"/>
              </w:rPr>
              <w:t xml:space="preserve"> for</w:t>
            </w:r>
            <w:r>
              <w:t xml:space="preserve"> </w:t>
            </w:r>
            <w:r w:rsidRPr="009274CF">
              <w:rPr>
                <w:rFonts w:ascii="Verdana" w:hAnsi="Verdana"/>
                <w:sz w:val="20"/>
                <w:szCs w:val="20"/>
              </w:rPr>
              <w:t>the sum of C9-C14 PFCA related substances</w:t>
            </w:r>
            <w:r>
              <w:rPr>
                <w:rFonts w:ascii="Verdana" w:hAnsi="Verdana"/>
                <w:sz w:val="20"/>
                <w:szCs w:val="20"/>
              </w:rPr>
              <w:t xml:space="preserve">. These limit values were based upon information submitted by industry during the development of the restriction proposal. Despite repeated </w:t>
            </w:r>
            <w:r w:rsidRPr="00001280">
              <w:rPr>
                <w:rFonts w:ascii="Verdana" w:hAnsi="Verdana"/>
                <w:sz w:val="20"/>
                <w:szCs w:val="20"/>
              </w:rPr>
              <w:t>and exhaustive stakeholder consultation as part of the preparation of this dossier</w:t>
            </w:r>
            <w:r>
              <w:rPr>
                <w:rFonts w:ascii="Verdana" w:hAnsi="Verdana"/>
                <w:sz w:val="20"/>
                <w:szCs w:val="20"/>
              </w:rPr>
              <w:t xml:space="preserve"> no similar information was possible to obtain for PFHxS.</w:t>
            </w:r>
          </w:p>
          <w:p w14:paraId="10991BA2" w14:textId="77777777" w:rsidR="00001280" w:rsidRDefault="00001280" w:rsidP="009274CF">
            <w:pPr>
              <w:rPr>
                <w:rFonts w:ascii="Verdana" w:hAnsi="Verdana"/>
                <w:sz w:val="20"/>
                <w:szCs w:val="20"/>
              </w:rPr>
            </w:pPr>
          </w:p>
          <w:p w14:paraId="32616986" w14:textId="44A81FCE" w:rsidR="00FD1D3B" w:rsidRDefault="001E7A48" w:rsidP="009274CF">
            <w:pPr>
              <w:rPr>
                <w:rFonts w:ascii="Verdana" w:hAnsi="Verdana"/>
                <w:sz w:val="20"/>
                <w:szCs w:val="20"/>
              </w:rPr>
            </w:pPr>
            <w:r w:rsidRPr="006349CA">
              <w:rPr>
                <w:rFonts w:ascii="Verdana" w:hAnsi="Verdana"/>
                <w:sz w:val="20"/>
                <w:szCs w:val="20"/>
              </w:rPr>
              <w:t xml:space="preserve">To illustrate </w:t>
            </w:r>
            <w:r w:rsidR="000B028A" w:rsidRPr="006349CA">
              <w:rPr>
                <w:rFonts w:ascii="Verdana" w:hAnsi="Verdana"/>
                <w:sz w:val="20"/>
                <w:szCs w:val="20"/>
              </w:rPr>
              <w:t>possible</w:t>
            </w:r>
            <w:r w:rsidRPr="006349CA">
              <w:rPr>
                <w:rFonts w:ascii="Verdana" w:hAnsi="Verdana"/>
                <w:sz w:val="20"/>
                <w:szCs w:val="20"/>
              </w:rPr>
              <w:t xml:space="preserve"> consequences of </w:t>
            </w:r>
            <w:r w:rsidR="000B028A" w:rsidRPr="006349CA">
              <w:rPr>
                <w:rFonts w:ascii="Verdana" w:hAnsi="Verdana"/>
                <w:sz w:val="20"/>
                <w:szCs w:val="20"/>
              </w:rPr>
              <w:t xml:space="preserve">setting </w:t>
            </w:r>
            <w:r w:rsidRPr="006349CA">
              <w:rPr>
                <w:rFonts w:ascii="Verdana" w:hAnsi="Verdana"/>
                <w:sz w:val="20"/>
                <w:szCs w:val="20"/>
              </w:rPr>
              <w:t>different limit values</w:t>
            </w:r>
            <w:r w:rsidR="000B028A" w:rsidRPr="006349CA">
              <w:rPr>
                <w:rFonts w:ascii="Verdana" w:hAnsi="Verdana"/>
                <w:sz w:val="20"/>
                <w:szCs w:val="20"/>
              </w:rPr>
              <w:t xml:space="preserve"> for PFHxS in the </w:t>
            </w:r>
            <w:r w:rsidR="00AC48BE" w:rsidRPr="006349CA">
              <w:rPr>
                <w:rFonts w:ascii="Verdana" w:hAnsi="Verdana"/>
                <w:sz w:val="20"/>
                <w:szCs w:val="20"/>
              </w:rPr>
              <w:t xml:space="preserve">REACH </w:t>
            </w:r>
            <w:r w:rsidR="000B028A" w:rsidRPr="006349CA">
              <w:rPr>
                <w:rFonts w:ascii="Verdana" w:hAnsi="Verdana"/>
                <w:sz w:val="20"/>
                <w:szCs w:val="20"/>
              </w:rPr>
              <w:t>restriction proposal</w:t>
            </w:r>
            <w:r w:rsidRPr="006349CA">
              <w:rPr>
                <w:rFonts w:ascii="Verdana" w:hAnsi="Verdana"/>
                <w:sz w:val="20"/>
                <w:szCs w:val="20"/>
              </w:rPr>
              <w:t>, a worst case estimati</w:t>
            </w:r>
            <w:r w:rsidR="000B028A" w:rsidRPr="006349CA">
              <w:rPr>
                <w:rFonts w:ascii="Verdana" w:hAnsi="Verdana"/>
                <w:sz w:val="20"/>
                <w:szCs w:val="20"/>
              </w:rPr>
              <w:t>o</w:t>
            </w:r>
            <w:r w:rsidRPr="006349CA">
              <w:rPr>
                <w:rFonts w:ascii="Verdana" w:hAnsi="Verdana"/>
                <w:sz w:val="20"/>
                <w:szCs w:val="20"/>
              </w:rPr>
              <w:t>n</w:t>
            </w:r>
            <w:r w:rsidR="000B028A" w:rsidRPr="006349CA">
              <w:rPr>
                <w:rFonts w:ascii="Verdana" w:hAnsi="Verdana"/>
                <w:sz w:val="20"/>
                <w:szCs w:val="20"/>
              </w:rPr>
              <w:t xml:space="preserve"> </w:t>
            </w:r>
            <w:r w:rsidRPr="006349CA">
              <w:rPr>
                <w:rFonts w:ascii="Verdana" w:hAnsi="Verdana"/>
                <w:sz w:val="20"/>
                <w:szCs w:val="20"/>
              </w:rPr>
              <w:t>show</w:t>
            </w:r>
            <w:r w:rsidR="000B028A" w:rsidRPr="006349CA">
              <w:rPr>
                <w:rFonts w:ascii="Verdana" w:hAnsi="Verdana"/>
                <w:sz w:val="20"/>
                <w:szCs w:val="20"/>
              </w:rPr>
              <w:t>s</w:t>
            </w:r>
            <w:r w:rsidRPr="006349CA">
              <w:rPr>
                <w:rFonts w:ascii="Verdana" w:hAnsi="Verdana"/>
                <w:sz w:val="20"/>
                <w:szCs w:val="20"/>
              </w:rPr>
              <w:t xml:space="preserve"> that a limit value of</w:t>
            </w:r>
            <w:r w:rsidR="00001280" w:rsidRPr="006349CA">
              <w:rPr>
                <w:rFonts w:ascii="Verdana" w:hAnsi="Verdana"/>
                <w:sz w:val="20"/>
                <w:szCs w:val="20"/>
              </w:rPr>
              <w:t xml:space="preserve"> 2 ppb might reduce the total current yearly European emissions of PFHxS </w:t>
            </w:r>
            <w:r w:rsidRPr="006349CA">
              <w:rPr>
                <w:rFonts w:ascii="Verdana" w:hAnsi="Verdana"/>
                <w:sz w:val="20"/>
                <w:szCs w:val="20"/>
              </w:rPr>
              <w:t xml:space="preserve">from textiles </w:t>
            </w:r>
            <w:r w:rsidR="00001280" w:rsidRPr="006349CA">
              <w:rPr>
                <w:rFonts w:ascii="Verdana" w:hAnsi="Verdana"/>
                <w:sz w:val="20"/>
                <w:szCs w:val="20"/>
              </w:rPr>
              <w:t>by approximately 5 kg, that is from 20 kg to 15 kg</w:t>
            </w:r>
            <w:r w:rsidRPr="006349CA">
              <w:rPr>
                <w:rFonts w:ascii="Verdana" w:hAnsi="Verdana"/>
                <w:sz w:val="20"/>
                <w:szCs w:val="20"/>
              </w:rPr>
              <w:t xml:space="preserve">, </w:t>
            </w:r>
            <w:r w:rsidR="000B028A" w:rsidRPr="006349CA">
              <w:rPr>
                <w:rFonts w:ascii="Verdana" w:hAnsi="Verdana"/>
                <w:sz w:val="20"/>
                <w:szCs w:val="20"/>
              </w:rPr>
              <w:t>cfr.</w:t>
            </w:r>
            <w:r w:rsidRPr="006349CA">
              <w:rPr>
                <w:rFonts w:ascii="Verdana" w:hAnsi="Verdana"/>
                <w:sz w:val="20"/>
                <w:szCs w:val="20"/>
              </w:rPr>
              <w:t xml:space="preserve"> table </w:t>
            </w:r>
            <w:r w:rsidR="00DC5260">
              <w:rPr>
                <w:rFonts w:ascii="Verdana" w:hAnsi="Verdana"/>
                <w:sz w:val="20"/>
                <w:szCs w:val="20"/>
              </w:rPr>
              <w:t>5</w:t>
            </w:r>
            <w:r w:rsidR="000B028A" w:rsidRPr="006349CA">
              <w:rPr>
                <w:rFonts w:ascii="Verdana" w:hAnsi="Verdana"/>
                <w:sz w:val="20"/>
                <w:szCs w:val="20"/>
              </w:rPr>
              <w:t xml:space="preserve"> and information on imports of textiles in chapter A.2.8</w:t>
            </w:r>
            <w:r w:rsidR="00FD1D3B">
              <w:rPr>
                <w:rFonts w:ascii="Verdana" w:hAnsi="Verdana"/>
                <w:sz w:val="20"/>
                <w:szCs w:val="20"/>
              </w:rPr>
              <w:t>:</w:t>
            </w:r>
          </w:p>
          <w:p w14:paraId="293DA90F" w14:textId="24D784A2" w:rsidR="00FD1D3B" w:rsidRDefault="00FD1D3B" w:rsidP="009274CF">
            <w:pPr>
              <w:rPr>
                <w:rFonts w:ascii="Verdana" w:hAnsi="Verdana"/>
                <w:sz w:val="20"/>
                <w:szCs w:val="20"/>
              </w:rPr>
            </w:pPr>
          </w:p>
          <w:tbl>
            <w:tblPr>
              <w:tblStyle w:val="TableGrid"/>
              <w:tblW w:w="0" w:type="auto"/>
              <w:tblLook w:val="04A0" w:firstRow="1" w:lastRow="0" w:firstColumn="1" w:lastColumn="0" w:noHBand="0" w:noVBand="1"/>
            </w:tblPr>
            <w:tblGrid>
              <w:gridCol w:w="3488"/>
              <w:gridCol w:w="5954"/>
            </w:tblGrid>
            <w:tr w:rsidR="00FD1D3B" w14:paraId="5FD1DAD6" w14:textId="77777777" w:rsidTr="00FD1D3B">
              <w:tc>
                <w:tcPr>
                  <w:tcW w:w="3488" w:type="dxa"/>
                </w:tcPr>
                <w:p w14:paraId="6A24804B" w14:textId="4B98BB03" w:rsidR="00FD1D3B" w:rsidRPr="00FD1D3B" w:rsidRDefault="00FD1D3B" w:rsidP="009274CF">
                  <w:pPr>
                    <w:rPr>
                      <w:rFonts w:ascii="Verdana" w:hAnsi="Verdana"/>
                      <w:i/>
                      <w:sz w:val="20"/>
                      <w:szCs w:val="20"/>
                    </w:rPr>
                  </w:pPr>
                  <w:r w:rsidRPr="00FD1D3B">
                    <w:rPr>
                      <w:rFonts w:ascii="Verdana" w:hAnsi="Verdana"/>
                      <w:i/>
                      <w:sz w:val="20"/>
                      <w:szCs w:val="20"/>
                    </w:rPr>
                    <w:t>Concentration limit for PFHxS in textiles</w:t>
                  </w:r>
                </w:p>
              </w:tc>
              <w:tc>
                <w:tcPr>
                  <w:tcW w:w="5954" w:type="dxa"/>
                </w:tcPr>
                <w:p w14:paraId="155A9CC8" w14:textId="06853808" w:rsidR="00FD1D3B" w:rsidRPr="00FD1D3B" w:rsidRDefault="00FD1D3B" w:rsidP="009274CF">
                  <w:pPr>
                    <w:rPr>
                      <w:rFonts w:ascii="Verdana" w:hAnsi="Verdana"/>
                      <w:i/>
                      <w:sz w:val="20"/>
                      <w:szCs w:val="20"/>
                    </w:rPr>
                  </w:pPr>
                  <w:r w:rsidRPr="00FD1D3B">
                    <w:rPr>
                      <w:rFonts w:ascii="Verdana" w:hAnsi="Verdana"/>
                      <w:i/>
                      <w:sz w:val="20"/>
                      <w:szCs w:val="20"/>
                    </w:rPr>
                    <w:t>Resulting total amount of PFHxS emissions from textiles</w:t>
                  </w:r>
                </w:p>
              </w:tc>
            </w:tr>
            <w:tr w:rsidR="00FD1D3B" w14:paraId="6D04B548" w14:textId="77777777" w:rsidTr="00FD1D3B">
              <w:tc>
                <w:tcPr>
                  <w:tcW w:w="3488" w:type="dxa"/>
                </w:tcPr>
                <w:p w14:paraId="10C52E71" w14:textId="68507D19" w:rsidR="00FD1D3B" w:rsidRDefault="00FD1D3B" w:rsidP="00FD1D3B">
                  <w:pPr>
                    <w:rPr>
                      <w:rFonts w:ascii="Verdana" w:hAnsi="Verdana"/>
                      <w:sz w:val="20"/>
                      <w:szCs w:val="20"/>
                    </w:rPr>
                  </w:pPr>
                  <w:r>
                    <w:rPr>
                      <w:rFonts w:ascii="Verdana" w:hAnsi="Verdana"/>
                      <w:sz w:val="20"/>
                      <w:szCs w:val="20"/>
                    </w:rPr>
                    <w:t>2 ppb</w:t>
                  </w:r>
                </w:p>
              </w:tc>
              <w:tc>
                <w:tcPr>
                  <w:tcW w:w="5954" w:type="dxa"/>
                </w:tcPr>
                <w:p w14:paraId="779371B3" w14:textId="280291B4" w:rsidR="00FD1D3B" w:rsidRDefault="00FD1D3B" w:rsidP="00FD1D3B">
                  <w:pPr>
                    <w:rPr>
                      <w:rFonts w:ascii="Verdana" w:hAnsi="Verdana"/>
                      <w:sz w:val="20"/>
                      <w:szCs w:val="20"/>
                    </w:rPr>
                  </w:pPr>
                  <w:r>
                    <w:rPr>
                      <w:rFonts w:ascii="Verdana" w:hAnsi="Verdana"/>
                      <w:sz w:val="20"/>
                      <w:szCs w:val="20"/>
                    </w:rPr>
                    <w:t xml:space="preserve">(2 ppb * </w:t>
                  </w:r>
                  <w:r w:rsidRPr="00FD1D3B">
                    <w:rPr>
                      <w:rFonts w:ascii="Verdana" w:hAnsi="Verdana"/>
                      <w:sz w:val="20"/>
                      <w:szCs w:val="20"/>
                    </w:rPr>
                    <w:t>252</w:t>
                  </w:r>
                  <w:r>
                    <w:rPr>
                      <w:rFonts w:ascii="Verdana" w:hAnsi="Verdana"/>
                      <w:sz w:val="20"/>
                      <w:szCs w:val="20"/>
                    </w:rPr>
                    <w:t xml:space="preserve"> </w:t>
                  </w:r>
                  <w:r w:rsidRPr="00FD1D3B">
                    <w:rPr>
                      <w:rFonts w:ascii="Verdana" w:hAnsi="Verdana"/>
                      <w:sz w:val="20"/>
                      <w:szCs w:val="20"/>
                    </w:rPr>
                    <w:t>042</w:t>
                  </w:r>
                  <w:r>
                    <w:rPr>
                      <w:rFonts w:ascii="Verdana" w:hAnsi="Verdana"/>
                      <w:sz w:val="20"/>
                      <w:szCs w:val="20"/>
                    </w:rPr>
                    <w:t xml:space="preserve"> </w:t>
                  </w:r>
                  <w:r w:rsidRPr="00FD1D3B">
                    <w:rPr>
                      <w:rFonts w:ascii="Verdana" w:hAnsi="Verdana"/>
                      <w:sz w:val="20"/>
                      <w:szCs w:val="20"/>
                    </w:rPr>
                    <w:t>t</w:t>
                  </w:r>
                  <w:r>
                    <w:rPr>
                      <w:rFonts w:ascii="Verdana" w:hAnsi="Verdana"/>
                      <w:sz w:val="20"/>
                      <w:szCs w:val="20"/>
                    </w:rPr>
                    <w:t>onnes=) 0,5 kg</w:t>
                  </w:r>
                </w:p>
              </w:tc>
            </w:tr>
            <w:tr w:rsidR="00FD1D3B" w14:paraId="2D57FA29" w14:textId="77777777" w:rsidTr="00FD1D3B">
              <w:tc>
                <w:tcPr>
                  <w:tcW w:w="3488" w:type="dxa"/>
                </w:tcPr>
                <w:p w14:paraId="68AB722E" w14:textId="7981B9A1" w:rsidR="00FD1D3B" w:rsidRDefault="00FD1D3B" w:rsidP="00FD1D3B">
                  <w:pPr>
                    <w:rPr>
                      <w:rFonts w:ascii="Verdana" w:hAnsi="Verdana"/>
                      <w:sz w:val="20"/>
                      <w:szCs w:val="20"/>
                    </w:rPr>
                  </w:pPr>
                  <w:r>
                    <w:rPr>
                      <w:rFonts w:ascii="Verdana" w:hAnsi="Verdana"/>
                      <w:sz w:val="20"/>
                      <w:szCs w:val="20"/>
                    </w:rPr>
                    <w:t>25 ppb</w:t>
                  </w:r>
                </w:p>
              </w:tc>
              <w:tc>
                <w:tcPr>
                  <w:tcW w:w="5954" w:type="dxa"/>
                </w:tcPr>
                <w:p w14:paraId="144845A0" w14:textId="68B94214" w:rsidR="00FD1D3B" w:rsidRDefault="00FD1D3B" w:rsidP="00FD1D3B">
                  <w:pPr>
                    <w:rPr>
                      <w:rFonts w:ascii="Verdana" w:hAnsi="Verdana"/>
                      <w:sz w:val="20"/>
                      <w:szCs w:val="20"/>
                    </w:rPr>
                  </w:pPr>
                  <w:r>
                    <w:rPr>
                      <w:rFonts w:ascii="Verdana" w:hAnsi="Verdana"/>
                      <w:sz w:val="20"/>
                      <w:szCs w:val="20"/>
                    </w:rPr>
                    <w:t xml:space="preserve">(25 ppb * </w:t>
                  </w:r>
                  <w:r w:rsidRPr="00FD1D3B">
                    <w:rPr>
                      <w:rFonts w:ascii="Verdana" w:hAnsi="Verdana"/>
                      <w:sz w:val="20"/>
                      <w:szCs w:val="20"/>
                    </w:rPr>
                    <w:t>252</w:t>
                  </w:r>
                  <w:r>
                    <w:rPr>
                      <w:rFonts w:ascii="Verdana" w:hAnsi="Verdana"/>
                      <w:sz w:val="20"/>
                      <w:szCs w:val="20"/>
                    </w:rPr>
                    <w:t xml:space="preserve"> </w:t>
                  </w:r>
                  <w:r w:rsidRPr="00FD1D3B">
                    <w:rPr>
                      <w:rFonts w:ascii="Verdana" w:hAnsi="Verdana"/>
                      <w:sz w:val="20"/>
                      <w:szCs w:val="20"/>
                    </w:rPr>
                    <w:t>042</w:t>
                  </w:r>
                  <w:r>
                    <w:rPr>
                      <w:rFonts w:ascii="Verdana" w:hAnsi="Verdana"/>
                      <w:sz w:val="20"/>
                      <w:szCs w:val="20"/>
                    </w:rPr>
                    <w:t xml:space="preserve"> </w:t>
                  </w:r>
                  <w:r w:rsidRPr="00FD1D3B">
                    <w:rPr>
                      <w:rFonts w:ascii="Verdana" w:hAnsi="Verdana"/>
                      <w:sz w:val="20"/>
                      <w:szCs w:val="20"/>
                    </w:rPr>
                    <w:t>t</w:t>
                  </w:r>
                  <w:r>
                    <w:rPr>
                      <w:rFonts w:ascii="Verdana" w:hAnsi="Verdana"/>
                      <w:sz w:val="20"/>
                      <w:szCs w:val="20"/>
                    </w:rPr>
                    <w:t>onnes=) 6,3 kg</w:t>
                  </w:r>
                </w:p>
              </w:tc>
            </w:tr>
          </w:tbl>
          <w:p w14:paraId="7B07FDC2" w14:textId="77777777" w:rsidR="00FD1D3B" w:rsidRDefault="00FD1D3B" w:rsidP="009274CF">
            <w:pPr>
              <w:rPr>
                <w:rFonts w:ascii="Verdana" w:hAnsi="Verdana"/>
                <w:sz w:val="20"/>
                <w:szCs w:val="20"/>
              </w:rPr>
            </w:pPr>
          </w:p>
          <w:p w14:paraId="7538BB51" w14:textId="29C981F5" w:rsidR="008677DF" w:rsidRDefault="00E57BC4" w:rsidP="009274CF">
            <w:pPr>
              <w:rPr>
                <w:rFonts w:ascii="Verdana" w:hAnsi="Verdana"/>
                <w:sz w:val="20"/>
                <w:szCs w:val="20"/>
              </w:rPr>
            </w:pPr>
            <w:r w:rsidRPr="006349CA">
              <w:rPr>
                <w:rFonts w:ascii="Verdana" w:hAnsi="Verdana"/>
                <w:sz w:val="20"/>
                <w:szCs w:val="20"/>
              </w:rPr>
              <w:t>This estimate based upon the scarce information that is available</w:t>
            </w:r>
            <w:r w:rsidR="00001280" w:rsidRPr="006349CA">
              <w:rPr>
                <w:rFonts w:ascii="Verdana" w:hAnsi="Verdana"/>
                <w:sz w:val="20"/>
                <w:szCs w:val="20"/>
              </w:rPr>
              <w:t xml:space="preserve">. </w:t>
            </w:r>
          </w:p>
          <w:p w14:paraId="51B37789" w14:textId="6CFDA4A0" w:rsidR="007736BD" w:rsidRDefault="007736BD" w:rsidP="00BA6C42">
            <w:pPr>
              <w:rPr>
                <w:rFonts w:ascii="Verdana" w:hAnsi="Verdana"/>
                <w:sz w:val="20"/>
                <w:szCs w:val="20"/>
              </w:rPr>
            </w:pPr>
          </w:p>
          <w:p w14:paraId="0B021F01" w14:textId="3B964F76" w:rsidR="00277FD2" w:rsidRDefault="00564137" w:rsidP="00277FD2">
            <w:pPr>
              <w:rPr>
                <w:rFonts w:ascii="Verdana" w:hAnsi="Verdana"/>
                <w:sz w:val="20"/>
                <w:szCs w:val="20"/>
                <w:u w:val="single"/>
              </w:rPr>
            </w:pPr>
            <w:r>
              <w:rPr>
                <w:rFonts w:ascii="Verdana" w:hAnsi="Verdana"/>
                <w:sz w:val="20"/>
                <w:szCs w:val="20"/>
                <w:u w:val="single"/>
              </w:rPr>
              <w:t>Derogation</w:t>
            </w:r>
            <w:r w:rsidR="00356AB8">
              <w:rPr>
                <w:rFonts w:ascii="Verdana" w:hAnsi="Verdana"/>
                <w:sz w:val="20"/>
                <w:szCs w:val="20"/>
                <w:u w:val="single"/>
              </w:rPr>
              <w:t xml:space="preserve"> for fire-fighting foams</w:t>
            </w:r>
            <w:r>
              <w:rPr>
                <w:rFonts w:ascii="Verdana" w:hAnsi="Verdana"/>
                <w:sz w:val="20"/>
                <w:szCs w:val="20"/>
                <w:u w:val="single"/>
              </w:rPr>
              <w:t>:</w:t>
            </w:r>
          </w:p>
          <w:p w14:paraId="2CF8AFCA" w14:textId="77777777" w:rsidR="00564137" w:rsidRPr="00564137" w:rsidRDefault="00564137" w:rsidP="00277FD2">
            <w:pPr>
              <w:rPr>
                <w:rFonts w:ascii="Verdana" w:hAnsi="Verdana"/>
                <w:sz w:val="20"/>
                <w:szCs w:val="20"/>
                <w:u w:val="single"/>
              </w:rPr>
            </w:pPr>
          </w:p>
          <w:p w14:paraId="7F77EE21" w14:textId="7635C9F0" w:rsidR="00356AB8" w:rsidRDefault="00356AB8" w:rsidP="005E783A">
            <w:pPr>
              <w:rPr>
                <w:rFonts w:ascii="Verdana" w:hAnsi="Verdana"/>
                <w:sz w:val="20"/>
                <w:szCs w:val="20"/>
              </w:rPr>
            </w:pPr>
            <w:r>
              <w:rPr>
                <w:rFonts w:ascii="Verdana" w:hAnsi="Verdana"/>
                <w:sz w:val="20"/>
                <w:szCs w:val="20"/>
              </w:rPr>
              <w:t xml:space="preserve">The restriction proposal regulates the manufacture or placing on the marked of </w:t>
            </w:r>
            <w:r w:rsidR="002660CF">
              <w:rPr>
                <w:rFonts w:ascii="Verdana" w:hAnsi="Verdana"/>
                <w:sz w:val="20"/>
                <w:szCs w:val="20"/>
              </w:rPr>
              <w:t xml:space="preserve">new </w:t>
            </w:r>
            <w:r>
              <w:rPr>
                <w:rFonts w:ascii="Verdana" w:hAnsi="Verdana"/>
                <w:sz w:val="20"/>
                <w:szCs w:val="20"/>
              </w:rPr>
              <w:t xml:space="preserve">fire-fighting foams </w:t>
            </w:r>
            <w:r w:rsidR="002660CF">
              <w:rPr>
                <w:rFonts w:ascii="Verdana" w:hAnsi="Verdana"/>
                <w:sz w:val="20"/>
                <w:szCs w:val="20"/>
              </w:rPr>
              <w:t xml:space="preserve">or fire-fighting foam concentrates </w:t>
            </w:r>
            <w:r>
              <w:rPr>
                <w:rFonts w:ascii="Verdana" w:hAnsi="Verdana"/>
                <w:sz w:val="20"/>
                <w:szCs w:val="20"/>
              </w:rPr>
              <w:t xml:space="preserve">containing PFHxS. </w:t>
            </w:r>
          </w:p>
          <w:p w14:paraId="0E008351" w14:textId="77777777" w:rsidR="00356AB8" w:rsidRDefault="00356AB8" w:rsidP="005E783A">
            <w:pPr>
              <w:rPr>
                <w:rFonts w:ascii="Verdana" w:hAnsi="Verdana"/>
                <w:sz w:val="20"/>
                <w:szCs w:val="20"/>
              </w:rPr>
            </w:pPr>
          </w:p>
          <w:p w14:paraId="3AD0EF7E" w14:textId="31BA2194" w:rsidR="00356AB8" w:rsidRDefault="00822917" w:rsidP="005E783A">
            <w:pPr>
              <w:rPr>
                <w:rFonts w:ascii="Verdana" w:hAnsi="Verdana"/>
                <w:sz w:val="20"/>
                <w:szCs w:val="20"/>
              </w:rPr>
            </w:pPr>
            <w:r w:rsidRPr="00903084">
              <w:rPr>
                <w:rFonts w:ascii="Verdana" w:hAnsi="Verdana"/>
                <w:sz w:val="20"/>
                <w:szCs w:val="20"/>
              </w:rPr>
              <w:t xml:space="preserve">The proposed derogation in 4 b) </w:t>
            </w:r>
            <w:r w:rsidR="006349CA" w:rsidRPr="00903084">
              <w:rPr>
                <w:rFonts w:ascii="Verdana" w:hAnsi="Verdana"/>
                <w:sz w:val="20"/>
                <w:szCs w:val="20"/>
              </w:rPr>
              <w:t>concerns</w:t>
            </w:r>
            <w:r w:rsidRPr="00903084">
              <w:rPr>
                <w:rFonts w:ascii="Verdana" w:hAnsi="Verdana"/>
                <w:sz w:val="20"/>
                <w:szCs w:val="20"/>
              </w:rPr>
              <w:t xml:space="preserve"> the dilution of concentrated fire-fighting foam mixtures by an end-user</w:t>
            </w:r>
            <w:r w:rsidR="00740BFA" w:rsidRPr="00903084">
              <w:rPr>
                <w:rFonts w:ascii="Verdana" w:hAnsi="Verdana"/>
                <w:sz w:val="20"/>
                <w:szCs w:val="20"/>
              </w:rPr>
              <w:t xml:space="preserve">. </w:t>
            </w:r>
            <w:r w:rsidR="002660CF" w:rsidRPr="00903084">
              <w:rPr>
                <w:rFonts w:ascii="Verdana" w:hAnsi="Verdana"/>
                <w:sz w:val="20"/>
                <w:szCs w:val="20"/>
              </w:rPr>
              <w:t>(See also</w:t>
            </w:r>
            <w:r w:rsidR="00740BFA" w:rsidRPr="00903084">
              <w:rPr>
                <w:rFonts w:ascii="Verdana" w:hAnsi="Verdana"/>
                <w:sz w:val="20"/>
                <w:szCs w:val="20"/>
              </w:rPr>
              <w:t xml:space="preserve"> the explanatory note to </w:t>
            </w:r>
            <w:r w:rsidR="002660CF" w:rsidRPr="00903084">
              <w:rPr>
                <w:rFonts w:ascii="Verdana" w:hAnsi="Verdana"/>
                <w:sz w:val="20"/>
                <w:szCs w:val="20"/>
              </w:rPr>
              <w:t xml:space="preserve">the proposed entry; </w:t>
            </w:r>
            <w:r w:rsidR="002660CF" w:rsidRPr="00903084">
              <w:rPr>
                <w:rFonts w:ascii="Verdana" w:hAnsi="Verdana"/>
                <w:i/>
                <w:sz w:val="20"/>
                <w:szCs w:val="20"/>
              </w:rPr>
              <w:t>"The dilution of concentrated fire-fighting foam mixtures by an end-user is defined as manufacture of a mixture in REACH. This particular use is exempted from the restriction in point 4 (b)."</w:t>
            </w:r>
            <w:r w:rsidR="002660CF" w:rsidRPr="00903084">
              <w:rPr>
                <w:rFonts w:ascii="Verdana" w:hAnsi="Verdana"/>
                <w:sz w:val="20"/>
                <w:szCs w:val="20"/>
              </w:rPr>
              <w:t>)</w:t>
            </w:r>
            <w:r w:rsidR="002660CF" w:rsidRPr="00903084">
              <w:rPr>
                <w:rFonts w:ascii="Verdana" w:hAnsi="Verdana"/>
                <w:i/>
                <w:sz w:val="20"/>
                <w:szCs w:val="20"/>
              </w:rPr>
              <w:t xml:space="preserve"> </w:t>
            </w:r>
            <w:r w:rsidR="009C7AA3" w:rsidRPr="00903084">
              <w:rPr>
                <w:rFonts w:ascii="Verdana" w:hAnsi="Verdana"/>
                <w:sz w:val="20"/>
                <w:szCs w:val="20"/>
              </w:rPr>
              <w:t xml:space="preserve">Within the REACH-framework, </w:t>
            </w:r>
            <w:r w:rsidRPr="00903084">
              <w:rPr>
                <w:rFonts w:ascii="Verdana" w:hAnsi="Verdana"/>
                <w:sz w:val="20"/>
                <w:szCs w:val="20"/>
              </w:rPr>
              <w:t>we</w:t>
            </w:r>
            <w:r w:rsidR="009C7AA3" w:rsidRPr="00903084">
              <w:rPr>
                <w:rFonts w:ascii="Verdana" w:hAnsi="Verdana"/>
                <w:sz w:val="20"/>
                <w:szCs w:val="20"/>
              </w:rPr>
              <w:t xml:space="preserve"> </w:t>
            </w:r>
            <w:r w:rsidRPr="00903084">
              <w:rPr>
                <w:rFonts w:ascii="Verdana" w:hAnsi="Verdana"/>
                <w:sz w:val="20"/>
                <w:szCs w:val="20"/>
              </w:rPr>
              <w:t>could</w:t>
            </w:r>
            <w:r w:rsidR="009C7AA3" w:rsidRPr="00903084">
              <w:rPr>
                <w:rFonts w:ascii="Verdana" w:hAnsi="Verdana"/>
                <w:sz w:val="20"/>
                <w:szCs w:val="20"/>
              </w:rPr>
              <w:t xml:space="preserve"> not demonstrate </w:t>
            </w:r>
            <w:r w:rsidR="00A07B1A" w:rsidRPr="00903084">
              <w:rPr>
                <w:rFonts w:ascii="Verdana" w:hAnsi="Verdana"/>
                <w:sz w:val="20"/>
                <w:szCs w:val="20"/>
              </w:rPr>
              <w:t xml:space="preserve">proportionality of </w:t>
            </w:r>
            <w:r w:rsidR="005A1E33" w:rsidRPr="00903084">
              <w:rPr>
                <w:rFonts w:ascii="Verdana" w:hAnsi="Verdana"/>
                <w:sz w:val="20"/>
                <w:szCs w:val="20"/>
              </w:rPr>
              <w:t xml:space="preserve">a </w:t>
            </w:r>
            <w:r w:rsidRPr="00903084">
              <w:rPr>
                <w:rFonts w:ascii="Verdana" w:hAnsi="Verdana"/>
                <w:sz w:val="20"/>
                <w:szCs w:val="20"/>
              </w:rPr>
              <w:t xml:space="preserve">PFHxS </w:t>
            </w:r>
            <w:r w:rsidR="009C7AA3" w:rsidRPr="00903084">
              <w:rPr>
                <w:rFonts w:ascii="Verdana" w:hAnsi="Verdana"/>
                <w:sz w:val="20"/>
                <w:szCs w:val="20"/>
              </w:rPr>
              <w:t xml:space="preserve">restriction on </w:t>
            </w:r>
            <w:r w:rsidRPr="00903084">
              <w:rPr>
                <w:rFonts w:ascii="Verdana" w:hAnsi="Verdana"/>
                <w:sz w:val="20"/>
                <w:szCs w:val="20"/>
              </w:rPr>
              <w:t xml:space="preserve">the </w:t>
            </w:r>
            <w:r w:rsidR="009C7AA3" w:rsidRPr="00903084">
              <w:rPr>
                <w:rFonts w:ascii="Verdana" w:hAnsi="Verdana"/>
                <w:sz w:val="20"/>
                <w:szCs w:val="20"/>
              </w:rPr>
              <w:t>old fire-fighting foam</w:t>
            </w:r>
            <w:r w:rsidR="00194A98" w:rsidRPr="00903084">
              <w:rPr>
                <w:rFonts w:ascii="Verdana" w:hAnsi="Verdana"/>
                <w:sz w:val="20"/>
                <w:szCs w:val="20"/>
              </w:rPr>
              <w:t xml:space="preserve"> concentrate</w:t>
            </w:r>
            <w:r w:rsidR="005A1E33" w:rsidRPr="00903084">
              <w:rPr>
                <w:rFonts w:ascii="Verdana" w:hAnsi="Verdana"/>
                <w:sz w:val="20"/>
                <w:szCs w:val="20"/>
              </w:rPr>
              <w:t>s</w:t>
            </w:r>
            <w:r w:rsidR="009C7AA3" w:rsidRPr="00903084">
              <w:rPr>
                <w:rFonts w:ascii="Verdana" w:hAnsi="Verdana"/>
                <w:sz w:val="20"/>
                <w:szCs w:val="20"/>
              </w:rPr>
              <w:t xml:space="preserve"> </w:t>
            </w:r>
            <w:r w:rsidR="005A1E33" w:rsidRPr="00903084">
              <w:rPr>
                <w:rFonts w:ascii="Verdana" w:hAnsi="Verdana"/>
                <w:sz w:val="20"/>
                <w:szCs w:val="20"/>
              </w:rPr>
              <w:t xml:space="preserve">that were placed on the market within the EEA before the entry into force of the proposed </w:t>
            </w:r>
            <w:r w:rsidR="002660CF" w:rsidRPr="00903084">
              <w:rPr>
                <w:rFonts w:ascii="Verdana" w:hAnsi="Verdana"/>
                <w:sz w:val="20"/>
                <w:szCs w:val="20"/>
              </w:rPr>
              <w:t>regulation</w:t>
            </w:r>
            <w:r w:rsidR="00A07B1A" w:rsidRPr="00903084">
              <w:rPr>
                <w:rFonts w:ascii="Verdana" w:hAnsi="Verdana"/>
                <w:sz w:val="20"/>
                <w:szCs w:val="20"/>
              </w:rPr>
              <w:t>.</w:t>
            </w:r>
            <w:r w:rsidRPr="00903084">
              <w:t xml:space="preserve"> </w:t>
            </w:r>
          </w:p>
          <w:p w14:paraId="62A78B87" w14:textId="651A8EB5" w:rsidR="001D6AAF" w:rsidRDefault="001D6AAF" w:rsidP="00BA6C42">
            <w:pPr>
              <w:rPr>
                <w:rFonts w:ascii="Verdana" w:hAnsi="Verdana"/>
                <w:sz w:val="20"/>
                <w:szCs w:val="20"/>
              </w:rPr>
            </w:pPr>
          </w:p>
          <w:p w14:paraId="0BF5BB26" w14:textId="43CC4D8B" w:rsidR="001E3700" w:rsidRDefault="00903084" w:rsidP="005E783A">
            <w:pPr>
              <w:rPr>
                <w:rFonts w:ascii="Verdana" w:hAnsi="Verdana"/>
                <w:sz w:val="20"/>
                <w:szCs w:val="20"/>
              </w:rPr>
            </w:pPr>
            <w:r>
              <w:rPr>
                <w:rFonts w:ascii="Verdana" w:hAnsi="Verdana"/>
                <w:sz w:val="20"/>
                <w:szCs w:val="20"/>
              </w:rPr>
              <w:t>As documented in chapter A.2.9 and specifically table 17 of the dossier for details, b</w:t>
            </w:r>
            <w:r w:rsidR="005B369D">
              <w:rPr>
                <w:rFonts w:ascii="Verdana" w:hAnsi="Verdana"/>
                <w:sz w:val="20"/>
                <w:szCs w:val="20"/>
              </w:rPr>
              <w:t xml:space="preserve">ased on available data, the </w:t>
            </w:r>
            <w:r w:rsidR="005B369D" w:rsidRPr="00813E2A">
              <w:rPr>
                <w:rFonts w:ascii="Verdana" w:hAnsi="Verdana"/>
                <w:sz w:val="20"/>
                <w:szCs w:val="20"/>
                <w:u w:val="single"/>
              </w:rPr>
              <w:t>total</w:t>
            </w:r>
            <w:r w:rsidR="005B369D">
              <w:rPr>
                <w:rFonts w:ascii="Verdana" w:hAnsi="Verdana"/>
                <w:sz w:val="20"/>
                <w:szCs w:val="20"/>
              </w:rPr>
              <w:t xml:space="preserve"> </w:t>
            </w:r>
            <w:r w:rsidR="005B369D" w:rsidRPr="00063F7E">
              <w:rPr>
                <w:rFonts w:ascii="Verdana" w:hAnsi="Verdana"/>
                <w:sz w:val="20"/>
                <w:szCs w:val="20"/>
              </w:rPr>
              <w:t>EU Stockpile of</w:t>
            </w:r>
            <w:r w:rsidR="005B369D">
              <w:rPr>
                <w:rFonts w:ascii="Verdana" w:hAnsi="Verdana"/>
                <w:sz w:val="20"/>
                <w:szCs w:val="20"/>
              </w:rPr>
              <w:t xml:space="preserve"> fire-fighting</w:t>
            </w:r>
            <w:r w:rsidR="005B369D" w:rsidRPr="00063F7E">
              <w:rPr>
                <w:rFonts w:ascii="Verdana" w:hAnsi="Verdana"/>
                <w:sz w:val="20"/>
                <w:szCs w:val="20"/>
              </w:rPr>
              <w:t xml:space="preserve"> foams</w:t>
            </w:r>
            <w:r w:rsidR="00740BFA">
              <w:rPr>
                <w:rFonts w:ascii="Verdana" w:hAnsi="Verdana"/>
                <w:sz w:val="20"/>
                <w:szCs w:val="20"/>
              </w:rPr>
              <w:t xml:space="preserve"> or </w:t>
            </w:r>
            <w:r w:rsidR="00740BFA" w:rsidRPr="009D1F27">
              <w:rPr>
                <w:rFonts w:ascii="Verdana" w:hAnsi="Verdana"/>
                <w:sz w:val="20"/>
                <w:szCs w:val="20"/>
              </w:rPr>
              <w:t>fire-fighting foam</w:t>
            </w:r>
            <w:r w:rsidR="00740BFA">
              <w:rPr>
                <w:rFonts w:ascii="Verdana" w:hAnsi="Verdana"/>
                <w:sz w:val="20"/>
                <w:szCs w:val="20"/>
              </w:rPr>
              <w:t xml:space="preserve"> concentrates</w:t>
            </w:r>
            <w:r w:rsidR="005B369D">
              <w:rPr>
                <w:rFonts w:ascii="Verdana" w:hAnsi="Verdana"/>
                <w:sz w:val="20"/>
                <w:szCs w:val="20"/>
              </w:rPr>
              <w:t xml:space="preserve"> is estimated to contain between 0,48 and</w:t>
            </w:r>
            <w:r w:rsidR="005B369D" w:rsidDel="001E3700">
              <w:rPr>
                <w:rFonts w:ascii="Verdana" w:hAnsi="Verdana"/>
                <w:sz w:val="20"/>
                <w:szCs w:val="20"/>
              </w:rPr>
              <w:t xml:space="preserve"> </w:t>
            </w:r>
            <w:r w:rsidR="005B369D">
              <w:rPr>
                <w:rFonts w:ascii="Verdana" w:hAnsi="Verdana"/>
                <w:sz w:val="20"/>
                <w:szCs w:val="20"/>
              </w:rPr>
              <w:t xml:space="preserve">3,06 kg of PFHxS. </w:t>
            </w:r>
            <w:r w:rsidR="009D1F27" w:rsidRPr="009D1F27">
              <w:rPr>
                <w:rFonts w:ascii="Verdana" w:hAnsi="Verdana"/>
                <w:sz w:val="20"/>
                <w:szCs w:val="20"/>
              </w:rPr>
              <w:t xml:space="preserve">The use of old </w:t>
            </w:r>
            <w:r w:rsidR="001D6AAF" w:rsidRPr="009D1F27">
              <w:rPr>
                <w:rFonts w:ascii="Verdana" w:hAnsi="Verdana"/>
                <w:sz w:val="20"/>
                <w:szCs w:val="20"/>
              </w:rPr>
              <w:t xml:space="preserve">PFHxS containing </w:t>
            </w:r>
            <w:r w:rsidR="009D1F27" w:rsidRPr="009D1F27">
              <w:rPr>
                <w:rFonts w:ascii="Verdana" w:hAnsi="Verdana"/>
                <w:sz w:val="20"/>
                <w:szCs w:val="20"/>
              </w:rPr>
              <w:t xml:space="preserve">fire-fighting foams for testing and training exercises by industry </w:t>
            </w:r>
            <w:r w:rsidR="001E3700">
              <w:rPr>
                <w:rFonts w:ascii="Verdana" w:hAnsi="Verdana"/>
                <w:sz w:val="20"/>
                <w:szCs w:val="20"/>
              </w:rPr>
              <w:t>is estimated to</w:t>
            </w:r>
            <w:r w:rsidR="001E3700" w:rsidRPr="009D1F27">
              <w:rPr>
                <w:rFonts w:ascii="Verdana" w:hAnsi="Verdana"/>
                <w:sz w:val="20"/>
                <w:szCs w:val="20"/>
              </w:rPr>
              <w:t xml:space="preserve"> </w:t>
            </w:r>
            <w:r w:rsidR="009D1F27" w:rsidRPr="009D1F27">
              <w:rPr>
                <w:rFonts w:ascii="Verdana" w:hAnsi="Verdana"/>
                <w:sz w:val="20"/>
                <w:szCs w:val="20"/>
              </w:rPr>
              <w:t xml:space="preserve">result in </w:t>
            </w:r>
            <w:r w:rsidR="009D1F27" w:rsidRPr="00903084">
              <w:rPr>
                <w:rFonts w:ascii="Verdana" w:hAnsi="Verdana"/>
                <w:sz w:val="20"/>
                <w:szCs w:val="20"/>
                <w:u w:val="single"/>
              </w:rPr>
              <w:t xml:space="preserve">yearly emissions </w:t>
            </w:r>
            <w:r w:rsidR="001E3700" w:rsidRPr="00903084">
              <w:rPr>
                <w:rFonts w:ascii="Verdana" w:hAnsi="Verdana"/>
                <w:sz w:val="20"/>
                <w:szCs w:val="20"/>
                <w:u w:val="single"/>
              </w:rPr>
              <w:t xml:space="preserve">of </w:t>
            </w:r>
            <w:r w:rsidR="009D1F27" w:rsidRPr="00903084">
              <w:rPr>
                <w:rFonts w:ascii="Verdana" w:hAnsi="Verdana"/>
                <w:sz w:val="20"/>
                <w:szCs w:val="20"/>
                <w:u w:val="single"/>
              </w:rPr>
              <w:t>between 0,039 and 0,245 kg</w:t>
            </w:r>
            <w:r w:rsidR="009D1F27" w:rsidRPr="009D1F27">
              <w:rPr>
                <w:rFonts w:ascii="Verdana" w:hAnsi="Verdana"/>
                <w:sz w:val="20"/>
                <w:szCs w:val="20"/>
              </w:rPr>
              <w:t xml:space="preserve"> of PFHxS in EEA</w:t>
            </w:r>
            <w:r w:rsidR="009D1F27">
              <w:rPr>
                <w:rFonts w:ascii="Verdana" w:hAnsi="Verdana"/>
                <w:sz w:val="20"/>
                <w:szCs w:val="20"/>
              </w:rPr>
              <w:t xml:space="preserve">, </w:t>
            </w:r>
            <w:r w:rsidR="009D1F27" w:rsidRPr="009D1F27">
              <w:rPr>
                <w:rFonts w:ascii="Verdana" w:hAnsi="Verdana"/>
                <w:sz w:val="20"/>
                <w:szCs w:val="20"/>
              </w:rPr>
              <w:t xml:space="preserve">see </w:t>
            </w:r>
            <w:r w:rsidR="00B95E02">
              <w:rPr>
                <w:rFonts w:ascii="Verdana" w:hAnsi="Verdana"/>
                <w:sz w:val="20"/>
                <w:szCs w:val="20"/>
              </w:rPr>
              <w:t xml:space="preserve">chapter A.2.9 and </w:t>
            </w:r>
            <w:r w:rsidR="00412174">
              <w:rPr>
                <w:rFonts w:ascii="Verdana" w:hAnsi="Verdana"/>
                <w:sz w:val="20"/>
                <w:szCs w:val="20"/>
              </w:rPr>
              <w:t xml:space="preserve">table 17 </w:t>
            </w:r>
            <w:r w:rsidR="009D1F27" w:rsidRPr="009D1F27">
              <w:rPr>
                <w:rFonts w:ascii="Verdana" w:hAnsi="Verdana"/>
                <w:sz w:val="20"/>
                <w:szCs w:val="20"/>
              </w:rPr>
              <w:t>for details.</w:t>
            </w:r>
            <w:r w:rsidR="00412174">
              <w:rPr>
                <w:rFonts w:ascii="Verdana" w:hAnsi="Verdana"/>
                <w:sz w:val="20"/>
                <w:szCs w:val="20"/>
              </w:rPr>
              <w:t xml:space="preserve"> </w:t>
            </w:r>
            <w:r w:rsidR="00DA6F0F">
              <w:rPr>
                <w:rFonts w:ascii="Verdana" w:hAnsi="Verdana"/>
                <w:sz w:val="20"/>
                <w:szCs w:val="20"/>
              </w:rPr>
              <w:t xml:space="preserve">Please apologise for the mistake we made in Annex </w:t>
            </w:r>
            <w:r w:rsidR="00DA6F0F" w:rsidRPr="00412174">
              <w:rPr>
                <w:rFonts w:ascii="Verdana" w:hAnsi="Verdana"/>
                <w:sz w:val="20"/>
                <w:szCs w:val="20"/>
              </w:rPr>
              <w:t>E.1.2.2</w:t>
            </w:r>
            <w:r w:rsidR="00DA6F0F">
              <w:rPr>
                <w:rFonts w:ascii="Verdana" w:hAnsi="Verdana"/>
                <w:sz w:val="20"/>
                <w:szCs w:val="20"/>
              </w:rPr>
              <w:t xml:space="preserve"> </w:t>
            </w:r>
            <w:r w:rsidR="00817E51">
              <w:rPr>
                <w:rFonts w:ascii="Verdana" w:hAnsi="Verdana"/>
                <w:sz w:val="20"/>
                <w:szCs w:val="20"/>
              </w:rPr>
              <w:t>("</w:t>
            </w:r>
            <w:r w:rsidR="00817E51" w:rsidRPr="00817E51">
              <w:rPr>
                <w:rFonts w:ascii="Verdana" w:hAnsi="Verdana"/>
                <w:i/>
                <w:noProof/>
                <w:sz w:val="20"/>
                <w:szCs w:val="20"/>
              </w:rPr>
              <w:t xml:space="preserve">As described in Annex A.2.9, this option would reduce the annual PFHxS emissions by a maximum of </w:t>
            </w:r>
            <w:r w:rsidR="006A095D" w:rsidRPr="00817E51">
              <w:rPr>
                <w:rFonts w:ascii="Verdana" w:hAnsi="Verdana"/>
                <w:i/>
                <w:strike/>
                <w:noProof/>
                <w:sz w:val="20"/>
                <w:szCs w:val="20"/>
              </w:rPr>
              <w:t>3</w:t>
            </w:r>
            <w:r w:rsidR="006A095D">
              <w:rPr>
                <w:rFonts w:ascii="Verdana" w:hAnsi="Verdana"/>
                <w:i/>
                <w:strike/>
                <w:noProof/>
                <w:sz w:val="20"/>
                <w:szCs w:val="20"/>
              </w:rPr>
              <w:t xml:space="preserve"> </w:t>
            </w:r>
            <w:r w:rsidR="00817E51" w:rsidRPr="00817E51">
              <w:rPr>
                <w:rFonts w:ascii="Verdana" w:hAnsi="Verdana"/>
                <w:i/>
                <w:sz w:val="20"/>
                <w:szCs w:val="20"/>
                <w:u w:val="single"/>
              </w:rPr>
              <w:t>0,039 and 0,245</w:t>
            </w:r>
            <w:r w:rsidR="00817E51" w:rsidRPr="00817E51">
              <w:rPr>
                <w:rFonts w:ascii="Verdana" w:hAnsi="Verdana"/>
                <w:i/>
                <w:noProof/>
                <w:sz w:val="20"/>
                <w:szCs w:val="20"/>
              </w:rPr>
              <w:t xml:space="preserve"> kg per year.</w:t>
            </w:r>
            <w:r w:rsidR="00817E51">
              <w:rPr>
                <w:rFonts w:ascii="Verdana" w:hAnsi="Verdana"/>
                <w:noProof/>
                <w:sz w:val="20"/>
                <w:szCs w:val="20"/>
              </w:rPr>
              <w:t>")</w:t>
            </w:r>
            <w:r w:rsidR="006A095D">
              <w:rPr>
                <w:rFonts w:ascii="Verdana" w:hAnsi="Verdana"/>
                <w:noProof/>
                <w:sz w:val="20"/>
                <w:szCs w:val="20"/>
              </w:rPr>
              <w:t>.</w:t>
            </w:r>
            <w:r w:rsidR="00DA6F0F">
              <w:rPr>
                <w:rFonts w:ascii="Verdana" w:hAnsi="Verdana"/>
                <w:sz w:val="20"/>
                <w:szCs w:val="20"/>
              </w:rPr>
              <w:t xml:space="preserve"> </w:t>
            </w:r>
            <w:r w:rsidR="006A095D">
              <w:rPr>
                <w:rFonts w:ascii="Verdana" w:hAnsi="Verdana"/>
                <w:sz w:val="20"/>
                <w:szCs w:val="20"/>
              </w:rPr>
              <w:t>T</w:t>
            </w:r>
            <w:r w:rsidR="00DA6F0F">
              <w:rPr>
                <w:rFonts w:ascii="Verdana" w:hAnsi="Verdana"/>
                <w:sz w:val="20"/>
                <w:szCs w:val="20"/>
              </w:rPr>
              <w:t xml:space="preserve">his will be corrected in the background document for the restriction. </w:t>
            </w:r>
            <w:r w:rsidR="00A65BA7">
              <w:rPr>
                <w:rFonts w:ascii="Verdana" w:hAnsi="Verdana"/>
                <w:sz w:val="20"/>
                <w:szCs w:val="20"/>
              </w:rPr>
              <w:t>To our knowledge, PFHxS is not used in new PFAS containing fire-fighting foam</w:t>
            </w:r>
            <w:r w:rsidR="00740BFA">
              <w:rPr>
                <w:rFonts w:ascii="Verdana" w:hAnsi="Verdana"/>
                <w:sz w:val="20"/>
                <w:szCs w:val="20"/>
              </w:rPr>
              <w:t xml:space="preserve"> or </w:t>
            </w:r>
            <w:r w:rsidR="00740BFA" w:rsidRPr="009D1F27">
              <w:rPr>
                <w:rFonts w:ascii="Verdana" w:hAnsi="Verdana"/>
                <w:sz w:val="20"/>
                <w:szCs w:val="20"/>
              </w:rPr>
              <w:t>fire-fighting foam</w:t>
            </w:r>
            <w:r w:rsidR="00740BFA">
              <w:rPr>
                <w:rFonts w:ascii="Verdana" w:hAnsi="Verdana"/>
                <w:sz w:val="20"/>
                <w:szCs w:val="20"/>
              </w:rPr>
              <w:t xml:space="preserve"> concentrates</w:t>
            </w:r>
            <w:r w:rsidR="00A65BA7">
              <w:rPr>
                <w:rFonts w:ascii="Verdana" w:hAnsi="Verdana"/>
                <w:sz w:val="20"/>
                <w:szCs w:val="20"/>
              </w:rPr>
              <w:t xml:space="preserve">. </w:t>
            </w:r>
            <w:r w:rsidR="0004645F">
              <w:rPr>
                <w:rFonts w:ascii="Verdana" w:hAnsi="Verdana"/>
                <w:sz w:val="20"/>
                <w:szCs w:val="20"/>
              </w:rPr>
              <w:t xml:space="preserve">New PFAS containing fire-fighting foam </w:t>
            </w:r>
            <w:r w:rsidR="00740BFA">
              <w:rPr>
                <w:rFonts w:ascii="Verdana" w:hAnsi="Verdana"/>
                <w:sz w:val="20"/>
                <w:szCs w:val="20"/>
              </w:rPr>
              <w:t xml:space="preserve">or </w:t>
            </w:r>
            <w:r w:rsidR="00740BFA" w:rsidRPr="009D1F27">
              <w:rPr>
                <w:rFonts w:ascii="Verdana" w:hAnsi="Verdana"/>
                <w:sz w:val="20"/>
                <w:szCs w:val="20"/>
              </w:rPr>
              <w:t>fire-fighting foam</w:t>
            </w:r>
            <w:r w:rsidR="00740BFA">
              <w:rPr>
                <w:rFonts w:ascii="Verdana" w:hAnsi="Verdana"/>
                <w:sz w:val="20"/>
                <w:szCs w:val="20"/>
              </w:rPr>
              <w:t xml:space="preserve"> concentrates </w:t>
            </w:r>
            <w:r w:rsidR="0004645F">
              <w:rPr>
                <w:rFonts w:ascii="Verdana" w:hAnsi="Verdana"/>
                <w:sz w:val="20"/>
                <w:szCs w:val="20"/>
              </w:rPr>
              <w:t>contain 6:2</w:t>
            </w:r>
            <w:r w:rsidR="004851B8">
              <w:rPr>
                <w:rFonts w:ascii="Verdana" w:hAnsi="Verdana"/>
                <w:sz w:val="20"/>
                <w:szCs w:val="20"/>
              </w:rPr>
              <w:t> </w:t>
            </w:r>
            <w:r w:rsidR="0004645F">
              <w:rPr>
                <w:rFonts w:ascii="Verdana" w:hAnsi="Verdana"/>
                <w:sz w:val="20"/>
                <w:szCs w:val="20"/>
              </w:rPr>
              <w:t>FTS</w:t>
            </w:r>
            <w:r w:rsidR="00E57BC4">
              <w:rPr>
                <w:rFonts w:ascii="Verdana" w:hAnsi="Verdana"/>
                <w:sz w:val="20"/>
                <w:szCs w:val="20"/>
              </w:rPr>
              <w:t xml:space="preserve"> and its derivatives</w:t>
            </w:r>
            <w:r w:rsidR="0004645F">
              <w:rPr>
                <w:rFonts w:ascii="Verdana" w:hAnsi="Verdana"/>
                <w:sz w:val="20"/>
                <w:szCs w:val="20"/>
              </w:rPr>
              <w:t xml:space="preserve"> which </w:t>
            </w:r>
            <w:r w:rsidR="00E57BC4">
              <w:rPr>
                <w:rFonts w:ascii="Verdana" w:hAnsi="Verdana"/>
                <w:sz w:val="20"/>
                <w:szCs w:val="20"/>
              </w:rPr>
              <w:t xml:space="preserve">are </w:t>
            </w:r>
            <w:r w:rsidR="0004645F">
              <w:rPr>
                <w:rFonts w:ascii="Verdana" w:hAnsi="Verdana"/>
                <w:sz w:val="20"/>
                <w:szCs w:val="20"/>
              </w:rPr>
              <w:t>PFHxA-precursor</w:t>
            </w:r>
            <w:r w:rsidR="00E57BC4">
              <w:rPr>
                <w:rFonts w:ascii="Verdana" w:hAnsi="Verdana"/>
                <w:sz w:val="20"/>
                <w:szCs w:val="20"/>
              </w:rPr>
              <w:t>s</w:t>
            </w:r>
            <w:r w:rsidR="0004645F">
              <w:rPr>
                <w:rFonts w:ascii="Verdana" w:hAnsi="Verdana"/>
                <w:sz w:val="20"/>
                <w:szCs w:val="20"/>
              </w:rPr>
              <w:t>.</w:t>
            </w:r>
          </w:p>
          <w:p w14:paraId="004A39C1" w14:textId="77777777" w:rsidR="001E3700" w:rsidRDefault="001E3700" w:rsidP="005E783A">
            <w:pPr>
              <w:rPr>
                <w:rFonts w:ascii="Verdana" w:hAnsi="Verdana"/>
                <w:sz w:val="20"/>
                <w:szCs w:val="20"/>
              </w:rPr>
            </w:pPr>
          </w:p>
          <w:p w14:paraId="328D283C" w14:textId="231A65BB" w:rsidR="00277FD2" w:rsidRDefault="00A65BA7" w:rsidP="005E783A">
            <w:pPr>
              <w:rPr>
                <w:rFonts w:ascii="Verdana" w:hAnsi="Verdana"/>
                <w:sz w:val="20"/>
                <w:szCs w:val="20"/>
              </w:rPr>
            </w:pPr>
            <w:r>
              <w:rPr>
                <w:rFonts w:ascii="Verdana" w:hAnsi="Verdana"/>
                <w:sz w:val="20"/>
                <w:szCs w:val="20"/>
              </w:rPr>
              <w:t>T</w:t>
            </w:r>
            <w:r w:rsidR="00D23A81">
              <w:rPr>
                <w:rFonts w:ascii="Verdana" w:hAnsi="Verdana"/>
                <w:sz w:val="20"/>
                <w:szCs w:val="20"/>
              </w:rPr>
              <w:t xml:space="preserve">he cost of replacing the </w:t>
            </w:r>
            <w:r w:rsidR="005A1E33">
              <w:rPr>
                <w:rFonts w:ascii="Verdana" w:hAnsi="Verdana"/>
                <w:sz w:val="20"/>
                <w:szCs w:val="20"/>
              </w:rPr>
              <w:t>E</w:t>
            </w:r>
            <w:r w:rsidR="004851B8">
              <w:rPr>
                <w:rFonts w:ascii="Verdana" w:hAnsi="Verdana"/>
                <w:sz w:val="20"/>
                <w:szCs w:val="20"/>
              </w:rPr>
              <w:t xml:space="preserve">uropean </w:t>
            </w:r>
            <w:r w:rsidR="00D23A81">
              <w:rPr>
                <w:rFonts w:ascii="Verdana" w:hAnsi="Verdana"/>
                <w:sz w:val="20"/>
                <w:szCs w:val="20"/>
              </w:rPr>
              <w:t xml:space="preserve">stockpile </w:t>
            </w:r>
            <w:r w:rsidR="001D6AAF">
              <w:rPr>
                <w:rFonts w:ascii="Verdana" w:hAnsi="Verdana"/>
                <w:sz w:val="20"/>
                <w:szCs w:val="20"/>
              </w:rPr>
              <w:t xml:space="preserve">of old </w:t>
            </w:r>
            <w:r w:rsidR="001D6AAF" w:rsidRPr="009D1F27">
              <w:rPr>
                <w:rFonts w:ascii="Verdana" w:hAnsi="Verdana"/>
                <w:sz w:val="20"/>
                <w:szCs w:val="20"/>
              </w:rPr>
              <w:t xml:space="preserve">fire-fighting foams </w:t>
            </w:r>
            <w:r w:rsidR="00A709FF">
              <w:rPr>
                <w:rFonts w:ascii="Verdana" w:hAnsi="Verdana"/>
                <w:sz w:val="20"/>
                <w:szCs w:val="20"/>
              </w:rPr>
              <w:t xml:space="preserve">or </w:t>
            </w:r>
            <w:r w:rsidR="00A709FF" w:rsidRPr="009D1F27">
              <w:rPr>
                <w:rFonts w:ascii="Verdana" w:hAnsi="Verdana"/>
                <w:sz w:val="20"/>
                <w:szCs w:val="20"/>
              </w:rPr>
              <w:t>fire-fighting foam</w:t>
            </w:r>
            <w:r w:rsidR="00A709FF">
              <w:rPr>
                <w:rFonts w:ascii="Verdana" w:hAnsi="Verdana"/>
                <w:sz w:val="20"/>
                <w:szCs w:val="20"/>
              </w:rPr>
              <w:t xml:space="preserve"> concentrates </w:t>
            </w:r>
            <w:r w:rsidR="00903084">
              <w:rPr>
                <w:rFonts w:ascii="Verdana" w:hAnsi="Verdana"/>
                <w:sz w:val="20"/>
                <w:szCs w:val="20"/>
              </w:rPr>
              <w:t xml:space="preserve">that </w:t>
            </w:r>
            <w:r w:rsidR="00D23A81">
              <w:rPr>
                <w:rFonts w:ascii="Verdana" w:hAnsi="Verdana"/>
                <w:sz w:val="20"/>
                <w:szCs w:val="20"/>
              </w:rPr>
              <w:t>contain</w:t>
            </w:r>
            <w:r w:rsidR="00903084">
              <w:rPr>
                <w:rFonts w:ascii="Verdana" w:hAnsi="Verdana"/>
                <w:sz w:val="20"/>
                <w:szCs w:val="20"/>
              </w:rPr>
              <w:t>s</w:t>
            </w:r>
            <w:r w:rsidR="00D23A81">
              <w:rPr>
                <w:rFonts w:ascii="Verdana" w:hAnsi="Verdana"/>
                <w:sz w:val="20"/>
                <w:szCs w:val="20"/>
              </w:rPr>
              <w:t xml:space="preserve"> </w:t>
            </w:r>
            <w:r w:rsidR="00903084">
              <w:rPr>
                <w:rFonts w:ascii="Verdana" w:hAnsi="Verdana"/>
                <w:sz w:val="20"/>
                <w:szCs w:val="20"/>
              </w:rPr>
              <w:t xml:space="preserve">maximum 3 kg </w:t>
            </w:r>
            <w:r w:rsidR="00D23A81">
              <w:rPr>
                <w:rFonts w:ascii="Verdana" w:hAnsi="Verdana"/>
                <w:sz w:val="20"/>
                <w:szCs w:val="20"/>
              </w:rPr>
              <w:t xml:space="preserve">PFHxS </w:t>
            </w:r>
            <w:r w:rsidR="00903084" w:rsidRPr="00903084">
              <w:rPr>
                <w:rFonts w:ascii="Verdana" w:hAnsi="Verdana"/>
                <w:sz w:val="20"/>
                <w:szCs w:val="20"/>
                <w:u w:val="single"/>
              </w:rPr>
              <w:t xml:space="preserve">in total for </w:t>
            </w:r>
            <w:r w:rsidR="006A095D">
              <w:rPr>
                <w:rFonts w:ascii="Verdana" w:hAnsi="Verdana"/>
                <w:sz w:val="20"/>
                <w:szCs w:val="20"/>
                <w:u w:val="single"/>
              </w:rPr>
              <w:t xml:space="preserve">the </w:t>
            </w:r>
            <w:r w:rsidR="00903084" w:rsidRPr="00903084">
              <w:rPr>
                <w:rFonts w:ascii="Verdana" w:hAnsi="Verdana"/>
                <w:sz w:val="20"/>
                <w:szCs w:val="20"/>
                <w:u w:val="single"/>
              </w:rPr>
              <w:t>EEA</w:t>
            </w:r>
            <w:r w:rsidR="00903084">
              <w:rPr>
                <w:rFonts w:ascii="Verdana" w:hAnsi="Verdana"/>
                <w:sz w:val="20"/>
                <w:szCs w:val="20"/>
              </w:rPr>
              <w:t xml:space="preserve">, </w:t>
            </w:r>
            <w:r w:rsidR="00692C3A">
              <w:rPr>
                <w:rFonts w:ascii="Verdana" w:hAnsi="Verdana"/>
                <w:sz w:val="20"/>
                <w:szCs w:val="20"/>
              </w:rPr>
              <w:t>can</w:t>
            </w:r>
            <w:r w:rsidR="00F414CA">
              <w:rPr>
                <w:rFonts w:ascii="Verdana" w:hAnsi="Verdana"/>
                <w:sz w:val="20"/>
                <w:szCs w:val="20"/>
              </w:rPr>
              <w:t xml:space="preserve"> roughly </w:t>
            </w:r>
            <w:r w:rsidR="00D23A81">
              <w:rPr>
                <w:rFonts w:ascii="Verdana" w:hAnsi="Verdana"/>
                <w:sz w:val="20"/>
                <w:szCs w:val="20"/>
              </w:rPr>
              <w:t xml:space="preserve">be </w:t>
            </w:r>
            <w:r w:rsidR="00692C3A">
              <w:rPr>
                <w:rFonts w:ascii="Verdana" w:hAnsi="Verdana"/>
                <w:sz w:val="20"/>
                <w:szCs w:val="20"/>
              </w:rPr>
              <w:t xml:space="preserve">estimated to be </w:t>
            </w:r>
            <w:r w:rsidR="00F414CA">
              <w:rPr>
                <w:rFonts w:ascii="Verdana" w:hAnsi="Verdana"/>
                <w:sz w:val="20"/>
                <w:szCs w:val="20"/>
              </w:rPr>
              <w:t xml:space="preserve">between </w:t>
            </w:r>
            <w:r w:rsidR="00822917">
              <w:rPr>
                <w:rFonts w:ascii="Verdana" w:hAnsi="Verdana"/>
                <w:sz w:val="20"/>
                <w:szCs w:val="20"/>
              </w:rPr>
              <w:t>68 million and 305 </w:t>
            </w:r>
            <w:r w:rsidR="006947F0">
              <w:rPr>
                <w:rFonts w:ascii="Verdana" w:hAnsi="Verdana"/>
                <w:sz w:val="20"/>
                <w:szCs w:val="20"/>
              </w:rPr>
              <w:t>million € per kg PFHxS</w:t>
            </w:r>
            <w:r w:rsidR="006A095D">
              <w:rPr>
                <w:rFonts w:ascii="Verdana" w:hAnsi="Verdana"/>
                <w:sz w:val="20"/>
                <w:szCs w:val="20"/>
              </w:rPr>
              <w:t>. These costs</w:t>
            </w:r>
            <w:r w:rsidR="00A07B1A">
              <w:rPr>
                <w:rFonts w:ascii="Verdana" w:hAnsi="Verdana"/>
                <w:sz w:val="20"/>
                <w:szCs w:val="20"/>
              </w:rPr>
              <w:t xml:space="preserve"> by far exceeds replacement costs described in </w:t>
            </w:r>
            <w:r w:rsidR="004851B8">
              <w:rPr>
                <w:rFonts w:ascii="Verdana" w:hAnsi="Verdana"/>
                <w:sz w:val="20"/>
                <w:szCs w:val="20"/>
              </w:rPr>
              <w:t xml:space="preserve">Table A2-1 of </w:t>
            </w:r>
            <w:r w:rsidR="00A07B1A" w:rsidRPr="00A07B1A">
              <w:rPr>
                <w:rFonts w:ascii="Verdana" w:hAnsi="Verdana"/>
                <w:sz w:val="20"/>
                <w:szCs w:val="20"/>
              </w:rPr>
              <w:t>SEAC/24/2014/04</w:t>
            </w:r>
            <w:r w:rsidR="00CC7444">
              <w:rPr>
                <w:rFonts w:ascii="Verdana" w:hAnsi="Verdana"/>
                <w:sz w:val="20"/>
                <w:szCs w:val="20"/>
              </w:rPr>
              <w:t xml:space="preserve"> where the maximum replacement cost for Mercury was 2 million US $</w:t>
            </w:r>
            <w:r w:rsidR="00A07B1A">
              <w:rPr>
                <w:rFonts w:ascii="Verdana" w:hAnsi="Verdana"/>
                <w:sz w:val="20"/>
                <w:szCs w:val="20"/>
              </w:rPr>
              <w:t>.</w:t>
            </w:r>
            <w:r w:rsidR="00A07B1A" w:rsidRPr="00A07B1A">
              <w:rPr>
                <w:rFonts w:ascii="Verdana" w:hAnsi="Verdana"/>
                <w:sz w:val="20"/>
                <w:szCs w:val="20"/>
              </w:rPr>
              <w:t xml:space="preserve"> </w:t>
            </w:r>
            <w:r w:rsidR="00A07B1A">
              <w:rPr>
                <w:rFonts w:ascii="Verdana" w:hAnsi="Verdana"/>
                <w:sz w:val="20"/>
                <w:szCs w:val="20"/>
              </w:rPr>
              <w:t>The estimated costs</w:t>
            </w:r>
            <w:r w:rsidR="00D23A81">
              <w:rPr>
                <w:rFonts w:ascii="Verdana" w:hAnsi="Verdana"/>
                <w:sz w:val="20"/>
                <w:szCs w:val="20"/>
              </w:rPr>
              <w:t xml:space="preserve"> do not include the costs related to collecting</w:t>
            </w:r>
            <w:r w:rsidR="00051CCA">
              <w:rPr>
                <w:rFonts w:ascii="Verdana" w:hAnsi="Verdana"/>
                <w:sz w:val="20"/>
                <w:szCs w:val="20"/>
              </w:rPr>
              <w:t xml:space="preserve"> and destructing</w:t>
            </w:r>
            <w:r w:rsidR="00D23A81">
              <w:rPr>
                <w:rFonts w:ascii="Verdana" w:hAnsi="Verdana"/>
                <w:sz w:val="20"/>
                <w:szCs w:val="20"/>
              </w:rPr>
              <w:t xml:space="preserve"> </w:t>
            </w:r>
            <w:r w:rsidR="00D66102">
              <w:rPr>
                <w:rFonts w:ascii="Verdana" w:hAnsi="Verdana"/>
                <w:sz w:val="20"/>
                <w:szCs w:val="20"/>
              </w:rPr>
              <w:t xml:space="preserve">the </w:t>
            </w:r>
            <w:r w:rsidR="00051CCA" w:rsidRPr="009D1F27">
              <w:rPr>
                <w:rFonts w:ascii="Verdana" w:hAnsi="Verdana"/>
                <w:sz w:val="20"/>
                <w:szCs w:val="20"/>
              </w:rPr>
              <w:t>fire-fighting foams</w:t>
            </w:r>
            <w:r w:rsidR="00740BFA">
              <w:rPr>
                <w:rFonts w:ascii="Verdana" w:hAnsi="Verdana"/>
                <w:sz w:val="20"/>
                <w:szCs w:val="20"/>
              </w:rPr>
              <w:t xml:space="preserve"> or </w:t>
            </w:r>
            <w:r w:rsidR="00740BFA" w:rsidRPr="009D1F27">
              <w:rPr>
                <w:rFonts w:ascii="Verdana" w:hAnsi="Verdana"/>
                <w:sz w:val="20"/>
                <w:szCs w:val="20"/>
              </w:rPr>
              <w:t>fire-fighting foam</w:t>
            </w:r>
            <w:r w:rsidR="00740BFA">
              <w:rPr>
                <w:rFonts w:ascii="Verdana" w:hAnsi="Verdana"/>
                <w:sz w:val="20"/>
                <w:szCs w:val="20"/>
              </w:rPr>
              <w:t xml:space="preserve"> concentrates</w:t>
            </w:r>
            <w:r w:rsidR="00051CCA" w:rsidRPr="009D1F27">
              <w:rPr>
                <w:rFonts w:ascii="Verdana" w:hAnsi="Verdana"/>
                <w:sz w:val="20"/>
                <w:szCs w:val="20"/>
              </w:rPr>
              <w:t xml:space="preserve"> </w:t>
            </w:r>
            <w:r w:rsidR="00D23A81">
              <w:rPr>
                <w:rFonts w:ascii="Verdana" w:hAnsi="Verdana"/>
                <w:sz w:val="20"/>
                <w:szCs w:val="20"/>
              </w:rPr>
              <w:t xml:space="preserve">and cleaning </w:t>
            </w:r>
            <w:r w:rsidR="00692C3A">
              <w:rPr>
                <w:rFonts w:ascii="Verdana" w:hAnsi="Verdana"/>
                <w:sz w:val="20"/>
                <w:szCs w:val="20"/>
              </w:rPr>
              <w:t>equipment</w:t>
            </w:r>
            <w:r w:rsidR="00D23A81">
              <w:rPr>
                <w:rFonts w:ascii="Verdana" w:hAnsi="Verdana"/>
                <w:sz w:val="20"/>
                <w:szCs w:val="20"/>
              </w:rPr>
              <w:t xml:space="preserve"> that has contained </w:t>
            </w:r>
            <w:r w:rsidR="00D66102">
              <w:rPr>
                <w:rFonts w:ascii="Verdana" w:hAnsi="Verdana"/>
                <w:sz w:val="20"/>
                <w:szCs w:val="20"/>
              </w:rPr>
              <w:t>it</w:t>
            </w:r>
            <w:r w:rsidR="00D23A81">
              <w:rPr>
                <w:rFonts w:ascii="Verdana" w:hAnsi="Verdana"/>
                <w:sz w:val="20"/>
                <w:szCs w:val="20"/>
              </w:rPr>
              <w:t>.</w:t>
            </w:r>
            <w:r w:rsidR="006947F0">
              <w:rPr>
                <w:rFonts w:ascii="Verdana" w:hAnsi="Verdana"/>
                <w:sz w:val="20"/>
                <w:szCs w:val="20"/>
              </w:rPr>
              <w:t xml:space="preserve"> </w:t>
            </w:r>
            <w:r w:rsidR="005E783A">
              <w:rPr>
                <w:rFonts w:ascii="Verdana" w:hAnsi="Verdana"/>
                <w:sz w:val="20"/>
                <w:szCs w:val="20"/>
              </w:rPr>
              <w:t xml:space="preserve">Therefore, </w:t>
            </w:r>
            <w:r w:rsidR="00A07B1A">
              <w:rPr>
                <w:rFonts w:ascii="Verdana" w:hAnsi="Verdana"/>
                <w:sz w:val="20"/>
                <w:szCs w:val="20"/>
              </w:rPr>
              <w:t xml:space="preserve">we were not able within the REACH-framework to demonstrate </w:t>
            </w:r>
            <w:r w:rsidR="00063F7E">
              <w:rPr>
                <w:rFonts w:ascii="Verdana" w:hAnsi="Verdana"/>
                <w:sz w:val="20"/>
                <w:szCs w:val="20"/>
              </w:rPr>
              <w:t>proportional</w:t>
            </w:r>
            <w:r w:rsidR="00A07B1A">
              <w:rPr>
                <w:rFonts w:ascii="Verdana" w:hAnsi="Verdana"/>
                <w:sz w:val="20"/>
                <w:szCs w:val="20"/>
              </w:rPr>
              <w:t>ity of</w:t>
            </w:r>
            <w:r w:rsidR="00063F7E">
              <w:rPr>
                <w:rFonts w:ascii="Verdana" w:hAnsi="Verdana"/>
                <w:sz w:val="20"/>
                <w:szCs w:val="20"/>
              </w:rPr>
              <w:t xml:space="preserve"> regulat</w:t>
            </w:r>
            <w:r w:rsidR="00A07B1A">
              <w:rPr>
                <w:rFonts w:ascii="Verdana" w:hAnsi="Verdana"/>
                <w:sz w:val="20"/>
                <w:szCs w:val="20"/>
              </w:rPr>
              <w:t>ing</w:t>
            </w:r>
            <w:r w:rsidR="00063F7E">
              <w:rPr>
                <w:rFonts w:ascii="Verdana" w:hAnsi="Verdana"/>
                <w:sz w:val="20"/>
                <w:szCs w:val="20"/>
              </w:rPr>
              <w:t xml:space="preserve"> </w:t>
            </w:r>
            <w:r w:rsidR="006721AB">
              <w:rPr>
                <w:rFonts w:ascii="Verdana" w:hAnsi="Verdana"/>
                <w:sz w:val="20"/>
                <w:szCs w:val="20"/>
              </w:rPr>
              <w:t xml:space="preserve">PFHxS in </w:t>
            </w:r>
            <w:r w:rsidR="006A095D">
              <w:rPr>
                <w:rFonts w:ascii="Verdana" w:hAnsi="Verdana"/>
                <w:sz w:val="20"/>
                <w:szCs w:val="20"/>
              </w:rPr>
              <w:t xml:space="preserve">the European stockpile of old </w:t>
            </w:r>
            <w:r w:rsidR="006A095D" w:rsidRPr="009D1F27">
              <w:rPr>
                <w:rFonts w:ascii="Verdana" w:hAnsi="Verdana"/>
                <w:sz w:val="20"/>
                <w:szCs w:val="20"/>
              </w:rPr>
              <w:t xml:space="preserve">fire-fighting foams </w:t>
            </w:r>
            <w:r w:rsidR="006A095D">
              <w:rPr>
                <w:rFonts w:ascii="Verdana" w:hAnsi="Verdana"/>
                <w:sz w:val="20"/>
                <w:szCs w:val="20"/>
              </w:rPr>
              <w:t xml:space="preserve">or </w:t>
            </w:r>
            <w:r w:rsidR="006A095D" w:rsidRPr="009D1F27">
              <w:rPr>
                <w:rFonts w:ascii="Verdana" w:hAnsi="Verdana"/>
                <w:sz w:val="20"/>
                <w:szCs w:val="20"/>
              </w:rPr>
              <w:t>fire-fighting foam</w:t>
            </w:r>
            <w:r w:rsidR="006A095D">
              <w:rPr>
                <w:rFonts w:ascii="Verdana" w:hAnsi="Verdana"/>
                <w:sz w:val="20"/>
                <w:szCs w:val="20"/>
              </w:rPr>
              <w:t xml:space="preserve"> concentrates</w:t>
            </w:r>
            <w:r w:rsidR="00277FD2" w:rsidRPr="00277FD2">
              <w:rPr>
                <w:rFonts w:ascii="Verdana" w:hAnsi="Verdana"/>
                <w:sz w:val="20"/>
                <w:szCs w:val="20"/>
              </w:rPr>
              <w:t xml:space="preserve">. </w:t>
            </w:r>
          </w:p>
          <w:p w14:paraId="787F22D8" w14:textId="315AEEF6" w:rsidR="005E783A" w:rsidRPr="00653AE7" w:rsidRDefault="005E783A" w:rsidP="005E783A">
            <w:pPr>
              <w:rPr>
                <w:rFonts w:ascii="Verdana" w:hAnsi="Verdana"/>
                <w:sz w:val="20"/>
                <w:szCs w:val="20"/>
              </w:rPr>
            </w:pPr>
          </w:p>
        </w:tc>
      </w:tr>
      <w:tr w:rsidR="00970B70" w:rsidRPr="00786F18" w14:paraId="7DDA2ACE" w14:textId="77777777" w:rsidTr="00A357CF">
        <w:trPr>
          <w:trHeight w:val="561"/>
        </w:trPr>
        <w:tc>
          <w:tcPr>
            <w:tcW w:w="301" w:type="pct"/>
            <w:vMerge/>
          </w:tcPr>
          <w:p w14:paraId="0E2ADD18" w14:textId="77777777" w:rsidR="00970B70" w:rsidRPr="00653AE7" w:rsidRDefault="00970B70" w:rsidP="00555417">
            <w:pPr>
              <w:rPr>
                <w:rFonts w:ascii="Verdana" w:hAnsi="Verdana"/>
                <w:sz w:val="20"/>
                <w:szCs w:val="20"/>
              </w:rPr>
            </w:pPr>
          </w:p>
        </w:tc>
        <w:tc>
          <w:tcPr>
            <w:tcW w:w="1105" w:type="pct"/>
            <w:vMerge/>
          </w:tcPr>
          <w:p w14:paraId="1D709F9D" w14:textId="77777777" w:rsidR="00970B70" w:rsidRPr="00653AE7" w:rsidRDefault="00970B70" w:rsidP="00555417">
            <w:pPr>
              <w:rPr>
                <w:rFonts w:ascii="Verdana" w:hAnsi="Verdana"/>
                <w:sz w:val="20"/>
                <w:szCs w:val="20"/>
              </w:rPr>
            </w:pPr>
          </w:p>
        </w:tc>
        <w:tc>
          <w:tcPr>
            <w:tcW w:w="3594" w:type="pct"/>
          </w:tcPr>
          <w:p w14:paraId="04A7FEDD" w14:textId="77777777" w:rsidR="00970B70" w:rsidRPr="00786F18" w:rsidRDefault="00970B70" w:rsidP="00555417">
            <w:pPr>
              <w:rPr>
                <w:rFonts w:ascii="Verdana" w:hAnsi="Verdana"/>
                <w:b/>
                <w:sz w:val="20"/>
                <w:szCs w:val="20"/>
              </w:rPr>
            </w:pPr>
            <w:r w:rsidRPr="00786F18">
              <w:rPr>
                <w:rFonts w:ascii="Verdana" w:hAnsi="Verdana"/>
                <w:b/>
                <w:sz w:val="20"/>
                <w:szCs w:val="20"/>
              </w:rPr>
              <w:t>RAC Rapporteurs comments:</w:t>
            </w:r>
          </w:p>
          <w:p w14:paraId="79A497B6" w14:textId="77777777" w:rsidR="002D347F" w:rsidRDefault="002D347F" w:rsidP="002D347F">
            <w:pPr>
              <w:rPr>
                <w:rFonts w:ascii="Verdana" w:hAnsi="Verdana"/>
                <w:sz w:val="20"/>
                <w:szCs w:val="20"/>
              </w:rPr>
            </w:pPr>
            <w:r>
              <w:rPr>
                <w:rFonts w:ascii="Verdana" w:hAnsi="Verdana"/>
                <w:sz w:val="20"/>
                <w:szCs w:val="20"/>
              </w:rPr>
              <w:t xml:space="preserve">Thank you for your comments. </w:t>
            </w:r>
          </w:p>
          <w:p w14:paraId="3A5D08D2" w14:textId="77777777" w:rsidR="002D347F" w:rsidRDefault="002D347F" w:rsidP="002D347F">
            <w:pPr>
              <w:rPr>
                <w:rFonts w:ascii="Verdana" w:hAnsi="Verdana"/>
                <w:sz w:val="20"/>
                <w:szCs w:val="20"/>
              </w:rPr>
            </w:pPr>
          </w:p>
          <w:p w14:paraId="1E2822C1" w14:textId="578BFA4F" w:rsidR="002D347F" w:rsidRDefault="002D347F" w:rsidP="002D347F">
            <w:pPr>
              <w:rPr>
                <w:rFonts w:ascii="Verdana" w:hAnsi="Verdana"/>
                <w:sz w:val="20"/>
                <w:szCs w:val="20"/>
              </w:rPr>
            </w:pPr>
            <w:r>
              <w:rPr>
                <w:rFonts w:ascii="Verdana" w:hAnsi="Verdana"/>
                <w:sz w:val="20"/>
                <w:szCs w:val="20"/>
              </w:rPr>
              <w:t>Both limit values, 25/1000 ppb and 2/80 ppb, ha</w:t>
            </w:r>
            <w:r w:rsidR="00067E04">
              <w:rPr>
                <w:rFonts w:ascii="Verdana" w:hAnsi="Verdana"/>
                <w:sz w:val="20"/>
                <w:szCs w:val="20"/>
              </w:rPr>
              <w:t>ve</w:t>
            </w:r>
            <w:r>
              <w:rPr>
                <w:rFonts w:ascii="Verdana" w:hAnsi="Verdana"/>
                <w:sz w:val="20"/>
                <w:szCs w:val="20"/>
              </w:rPr>
              <w:t xml:space="preserve"> been discussed in RAC. The opinion of RAC is that the benefit in terms of reduced emissions with the lower 2/80 ppb values are marginal, but that the lower limit value would be more difficult to enforce. RAC therefore supports the proposal of 25/1000 ppb of the Dossier Submitter.   </w:t>
            </w:r>
          </w:p>
          <w:p w14:paraId="04C9FE04" w14:textId="77777777" w:rsidR="002D347F" w:rsidRDefault="002D347F" w:rsidP="002D347F">
            <w:pPr>
              <w:rPr>
                <w:rFonts w:ascii="Verdana" w:hAnsi="Verdana"/>
                <w:sz w:val="20"/>
                <w:szCs w:val="20"/>
              </w:rPr>
            </w:pPr>
          </w:p>
          <w:p w14:paraId="54227FE5" w14:textId="6BA582CB" w:rsidR="002D347F" w:rsidRDefault="002D347F" w:rsidP="002D347F">
            <w:pPr>
              <w:rPr>
                <w:rFonts w:ascii="Verdana" w:hAnsi="Verdana"/>
                <w:sz w:val="20"/>
                <w:szCs w:val="20"/>
              </w:rPr>
            </w:pPr>
            <w:r>
              <w:rPr>
                <w:rFonts w:ascii="Verdana" w:hAnsi="Verdana"/>
                <w:sz w:val="20"/>
                <w:szCs w:val="20"/>
              </w:rPr>
              <w:t>For fire-fighting foams, RAC is of the opinion that placing new foams on the market containing PFHxS could pose a risk for substantial emissions, although the likelihood of import of such foams is considered low. RAC therefore is if the opinion that the transitional period for a restriction on such import should be as short as practically possible</w:t>
            </w:r>
            <w:r w:rsidR="00067E04">
              <w:rPr>
                <w:rFonts w:ascii="Verdana" w:hAnsi="Verdana"/>
                <w:sz w:val="20"/>
                <w:szCs w:val="20"/>
              </w:rPr>
              <w:t xml:space="preserve"> from entry into force</w:t>
            </w:r>
            <w:r>
              <w:rPr>
                <w:rFonts w:ascii="Verdana" w:hAnsi="Verdana"/>
                <w:sz w:val="20"/>
                <w:szCs w:val="20"/>
              </w:rPr>
              <w:t xml:space="preserve">. For existing legacy foams in the EU, estimated to totally between 0.5 – 3 kg, RAC consider this amount low in relation to already emitted PFHxS (e.g. 2.1 tonnes/year during 1990-2010) and in relation to other current emissions sources, and that testing and destruction of such foams would not significantly reduce the risk. However, while the contribution of existing old AFFFs to the overall risk is considered low, RAC is of the opinion that the use of such foams for training exercises should be avoided, if possible, </w:t>
            </w:r>
            <w:r w:rsidR="00881110">
              <w:rPr>
                <w:rFonts w:ascii="Verdana" w:hAnsi="Verdana"/>
                <w:sz w:val="20"/>
                <w:szCs w:val="20"/>
              </w:rPr>
              <w:t xml:space="preserve">and </w:t>
            </w:r>
            <w:r w:rsidR="00067E04">
              <w:rPr>
                <w:rFonts w:ascii="Verdana" w:hAnsi="Verdana"/>
                <w:sz w:val="20"/>
                <w:szCs w:val="20"/>
              </w:rPr>
              <w:t xml:space="preserve">the old AFFFs should be </w:t>
            </w:r>
            <w:r>
              <w:rPr>
                <w:rFonts w:ascii="Verdana" w:hAnsi="Verdana"/>
                <w:sz w:val="20"/>
                <w:szCs w:val="20"/>
              </w:rPr>
              <w:t>collected and properly disposed of if used for training and/or testing.</w:t>
            </w:r>
          </w:p>
          <w:p w14:paraId="3BE919EF" w14:textId="77777777" w:rsidR="00970B70" w:rsidRPr="00786F18" w:rsidRDefault="00970B70" w:rsidP="00555417">
            <w:pPr>
              <w:rPr>
                <w:rFonts w:ascii="Verdana" w:hAnsi="Verdana"/>
                <w:sz w:val="20"/>
                <w:szCs w:val="20"/>
              </w:rPr>
            </w:pPr>
          </w:p>
          <w:p w14:paraId="7894C1C2" w14:textId="77777777" w:rsidR="00970B70" w:rsidRPr="00786F18" w:rsidRDefault="00970B70" w:rsidP="00555417">
            <w:pPr>
              <w:rPr>
                <w:rFonts w:ascii="Verdana" w:hAnsi="Verdana"/>
                <w:sz w:val="20"/>
                <w:szCs w:val="20"/>
              </w:rPr>
            </w:pPr>
          </w:p>
        </w:tc>
      </w:tr>
      <w:tr w:rsidR="00970B70" w:rsidRPr="00786F18" w14:paraId="016DA362" w14:textId="77777777" w:rsidTr="00A357CF">
        <w:trPr>
          <w:trHeight w:val="991"/>
        </w:trPr>
        <w:tc>
          <w:tcPr>
            <w:tcW w:w="301" w:type="pct"/>
            <w:vMerge/>
          </w:tcPr>
          <w:p w14:paraId="35A92071" w14:textId="77777777" w:rsidR="00970B70" w:rsidRPr="00786F18" w:rsidRDefault="00970B70" w:rsidP="00555417">
            <w:pPr>
              <w:rPr>
                <w:rFonts w:ascii="Verdana" w:hAnsi="Verdana"/>
                <w:sz w:val="20"/>
                <w:szCs w:val="20"/>
              </w:rPr>
            </w:pPr>
          </w:p>
        </w:tc>
        <w:tc>
          <w:tcPr>
            <w:tcW w:w="1105" w:type="pct"/>
            <w:vMerge/>
          </w:tcPr>
          <w:p w14:paraId="344E4F6A" w14:textId="77777777" w:rsidR="00970B70" w:rsidRPr="00786F18" w:rsidRDefault="00970B70" w:rsidP="00555417">
            <w:pPr>
              <w:rPr>
                <w:rFonts w:ascii="Verdana" w:hAnsi="Verdana"/>
                <w:sz w:val="20"/>
                <w:szCs w:val="20"/>
              </w:rPr>
            </w:pPr>
          </w:p>
        </w:tc>
        <w:tc>
          <w:tcPr>
            <w:tcW w:w="3594" w:type="pct"/>
          </w:tcPr>
          <w:p w14:paraId="3B497079" w14:textId="77777777" w:rsidR="00970B70" w:rsidRPr="00786F18" w:rsidRDefault="00970B70" w:rsidP="00555417">
            <w:pPr>
              <w:rPr>
                <w:rFonts w:ascii="Verdana" w:hAnsi="Verdana"/>
                <w:b/>
                <w:sz w:val="20"/>
                <w:szCs w:val="20"/>
              </w:rPr>
            </w:pPr>
            <w:r w:rsidRPr="00786F18">
              <w:rPr>
                <w:rFonts w:ascii="Verdana" w:hAnsi="Verdana"/>
                <w:b/>
                <w:sz w:val="20"/>
                <w:szCs w:val="20"/>
              </w:rPr>
              <w:t>SEAC Rapporteurs comments:</w:t>
            </w:r>
          </w:p>
          <w:p w14:paraId="0B6C9911" w14:textId="77777777" w:rsidR="00970B70" w:rsidRPr="00786F18" w:rsidRDefault="00970B70" w:rsidP="00555417">
            <w:pPr>
              <w:rPr>
                <w:rFonts w:ascii="Verdana" w:hAnsi="Verdana"/>
                <w:sz w:val="20"/>
                <w:szCs w:val="20"/>
              </w:rPr>
            </w:pPr>
          </w:p>
          <w:p w14:paraId="78278D3B" w14:textId="77777777" w:rsidR="002D347F" w:rsidRDefault="002D347F" w:rsidP="002D347F">
            <w:pPr>
              <w:rPr>
                <w:rFonts w:ascii="Verdana" w:hAnsi="Verdana"/>
                <w:sz w:val="20"/>
                <w:szCs w:val="20"/>
              </w:rPr>
            </w:pPr>
            <w:r>
              <w:rPr>
                <w:rFonts w:ascii="Verdana" w:hAnsi="Verdana"/>
                <w:sz w:val="20"/>
                <w:szCs w:val="20"/>
              </w:rPr>
              <w:t>Thank you for your comments.</w:t>
            </w:r>
          </w:p>
          <w:p w14:paraId="206204F3" w14:textId="77777777" w:rsidR="002D347F" w:rsidRDefault="002D347F" w:rsidP="002D347F">
            <w:pPr>
              <w:rPr>
                <w:rFonts w:ascii="Verdana" w:hAnsi="Verdana"/>
                <w:sz w:val="20"/>
                <w:szCs w:val="20"/>
              </w:rPr>
            </w:pPr>
          </w:p>
          <w:p w14:paraId="6B64A322" w14:textId="77777777" w:rsidR="002D347F" w:rsidRDefault="002D347F" w:rsidP="002D347F">
            <w:pPr>
              <w:rPr>
                <w:rFonts w:ascii="Verdana" w:hAnsi="Verdana"/>
                <w:sz w:val="20"/>
                <w:szCs w:val="20"/>
              </w:rPr>
            </w:pPr>
            <w:r>
              <w:rPr>
                <w:rFonts w:ascii="Verdana" w:hAnsi="Verdana"/>
                <w:sz w:val="20"/>
                <w:szCs w:val="20"/>
                <w:u w:val="single"/>
              </w:rPr>
              <w:t>Concentration limits:</w:t>
            </w:r>
            <w:r>
              <w:rPr>
                <w:rFonts w:ascii="Verdana" w:hAnsi="Verdana"/>
                <w:sz w:val="20"/>
                <w:szCs w:val="20"/>
              </w:rPr>
              <w:t xml:space="preserve"> We understand that the 25 ppm limit is sufficient to prevent intentional use. As to unintentional use, it is impurities in imported articles and fire-fighting foams that may be affected. </w:t>
            </w:r>
          </w:p>
          <w:p w14:paraId="02B8DD00" w14:textId="77777777" w:rsidR="00A53550" w:rsidRDefault="00A53550" w:rsidP="002D347F">
            <w:pPr>
              <w:rPr>
                <w:rFonts w:ascii="Verdana" w:hAnsi="Verdana"/>
                <w:sz w:val="20"/>
                <w:szCs w:val="20"/>
              </w:rPr>
            </w:pPr>
          </w:p>
          <w:p w14:paraId="0ED34CC9" w14:textId="77777777" w:rsidR="002D347F" w:rsidRDefault="002D347F" w:rsidP="002D347F">
            <w:pPr>
              <w:rPr>
                <w:rFonts w:ascii="Verdana" w:hAnsi="Verdana"/>
                <w:sz w:val="20"/>
                <w:szCs w:val="20"/>
              </w:rPr>
            </w:pPr>
            <w:r>
              <w:rPr>
                <w:rFonts w:ascii="Verdana" w:hAnsi="Verdana"/>
                <w:sz w:val="20"/>
                <w:szCs w:val="20"/>
              </w:rPr>
              <w:t>For imported articles there could be some (limited) positive effect in terms of benefits, but with associated costs (that are expected to mostly fall upon companies outside the EU).</w:t>
            </w:r>
          </w:p>
          <w:p w14:paraId="5B357131" w14:textId="77777777" w:rsidR="002D347F" w:rsidRDefault="002D347F" w:rsidP="002D347F">
            <w:pPr>
              <w:rPr>
                <w:rFonts w:ascii="Verdana" w:hAnsi="Verdana"/>
                <w:sz w:val="20"/>
                <w:szCs w:val="20"/>
              </w:rPr>
            </w:pPr>
            <w:r>
              <w:rPr>
                <w:rFonts w:ascii="Verdana" w:hAnsi="Verdana"/>
                <w:sz w:val="20"/>
                <w:szCs w:val="20"/>
              </w:rPr>
              <w:t xml:space="preserve">Fire-fighting foams produced by telomerisation are not expected to contain any PFHxS, and the ones produced by electrochemical fluorination, according to the dossier, contain it at levels that exceed the 25 ppb limit. A change in the limit value is therefore not expected to make any difference in terms of benefits. However, according to experts, a 2 ppb limit would be difficult to monitor in fire-fighting foams by the analytical methods available. This would complicate enforcement and incur extra costs. </w:t>
            </w:r>
          </w:p>
          <w:p w14:paraId="2C444B28" w14:textId="77777777" w:rsidR="002D347F" w:rsidRDefault="002D347F" w:rsidP="002D347F">
            <w:pPr>
              <w:rPr>
                <w:rFonts w:ascii="Verdana" w:hAnsi="Verdana"/>
                <w:sz w:val="20"/>
                <w:szCs w:val="20"/>
              </w:rPr>
            </w:pPr>
            <w:r>
              <w:rPr>
                <w:rFonts w:ascii="Verdana" w:hAnsi="Verdana"/>
                <w:sz w:val="20"/>
                <w:szCs w:val="20"/>
              </w:rPr>
              <w:t>Overall, the proposed change does not appear economically feasible from the SEAC perspective.</w:t>
            </w:r>
          </w:p>
          <w:p w14:paraId="5303F5A7" w14:textId="77777777" w:rsidR="002D347F" w:rsidRDefault="002D347F" w:rsidP="002D347F">
            <w:pPr>
              <w:rPr>
                <w:rFonts w:ascii="Verdana" w:hAnsi="Verdana"/>
                <w:sz w:val="20"/>
                <w:szCs w:val="20"/>
              </w:rPr>
            </w:pPr>
          </w:p>
          <w:p w14:paraId="59F3E361" w14:textId="0401F7EE" w:rsidR="002D347F" w:rsidRDefault="002D347F" w:rsidP="002D347F">
            <w:pPr>
              <w:rPr>
                <w:rFonts w:ascii="Verdana" w:hAnsi="Verdana"/>
                <w:sz w:val="20"/>
                <w:szCs w:val="20"/>
              </w:rPr>
            </w:pPr>
            <w:r>
              <w:rPr>
                <w:rFonts w:ascii="Verdana" w:hAnsi="Verdana"/>
                <w:sz w:val="20"/>
                <w:szCs w:val="20"/>
                <w:u w:val="single"/>
              </w:rPr>
              <w:t>Derogation for fire-fighting foams:</w:t>
            </w:r>
            <w:r>
              <w:rPr>
                <w:rFonts w:ascii="Verdana" w:hAnsi="Verdana"/>
                <w:sz w:val="20"/>
                <w:szCs w:val="20"/>
              </w:rPr>
              <w:t xml:space="preserve"> Based on earlier experience in evaluating restriction proposals on similar substances, SEAC expects that applying the restriction to fire-fighting foams already placed on the market would entail high costs over a relatively short period of time. </w:t>
            </w:r>
          </w:p>
          <w:p w14:paraId="7C66E6A9" w14:textId="77777777" w:rsidR="002D347F" w:rsidRDefault="002D347F" w:rsidP="002D347F">
            <w:pPr>
              <w:rPr>
                <w:rFonts w:ascii="Verdana" w:hAnsi="Verdana"/>
                <w:sz w:val="20"/>
                <w:szCs w:val="20"/>
              </w:rPr>
            </w:pPr>
          </w:p>
          <w:p w14:paraId="12ABED37" w14:textId="1CF21B77" w:rsidR="002D347F" w:rsidRDefault="002D347F" w:rsidP="002D347F">
            <w:pPr>
              <w:rPr>
                <w:rFonts w:ascii="Verdana" w:hAnsi="Verdana"/>
                <w:sz w:val="20"/>
                <w:szCs w:val="20"/>
              </w:rPr>
            </w:pPr>
            <w:r>
              <w:rPr>
                <w:rFonts w:ascii="Verdana" w:hAnsi="Verdana"/>
                <w:sz w:val="20"/>
                <w:szCs w:val="20"/>
              </w:rPr>
              <w:t xml:space="preserve">We have pointed out </w:t>
            </w:r>
            <w:r w:rsidR="00A53550">
              <w:rPr>
                <w:rFonts w:ascii="Verdana" w:hAnsi="Verdana"/>
                <w:sz w:val="20"/>
                <w:szCs w:val="20"/>
              </w:rPr>
              <w:t xml:space="preserve">in the opinion </w:t>
            </w:r>
            <w:r>
              <w:rPr>
                <w:rFonts w:ascii="Verdana" w:hAnsi="Verdana"/>
                <w:sz w:val="20"/>
                <w:szCs w:val="20"/>
              </w:rPr>
              <w:t>the high concentrations of PFHxS in firemen’s blood.</w:t>
            </w:r>
          </w:p>
          <w:p w14:paraId="68B8085B" w14:textId="77777777" w:rsidR="002D347F" w:rsidRDefault="002D347F" w:rsidP="002D347F">
            <w:pPr>
              <w:rPr>
                <w:rFonts w:ascii="Verdana" w:hAnsi="Verdana"/>
                <w:sz w:val="20"/>
                <w:szCs w:val="20"/>
              </w:rPr>
            </w:pPr>
          </w:p>
          <w:p w14:paraId="77257FCB" w14:textId="77777777" w:rsidR="002D347F" w:rsidRDefault="002D347F" w:rsidP="002D347F">
            <w:pPr>
              <w:rPr>
                <w:rFonts w:ascii="Verdana" w:hAnsi="Verdana"/>
                <w:i/>
                <w:sz w:val="20"/>
                <w:szCs w:val="20"/>
              </w:rPr>
            </w:pPr>
            <w:r>
              <w:rPr>
                <w:rFonts w:ascii="Verdana" w:hAnsi="Verdana"/>
                <w:sz w:val="20"/>
                <w:szCs w:val="20"/>
              </w:rPr>
              <w:t xml:space="preserve">It is interesting that the POPRC considers </w:t>
            </w:r>
            <w:r>
              <w:rPr>
                <w:rFonts w:ascii="Verdana" w:hAnsi="Verdana"/>
                <w:i/>
                <w:sz w:val="20"/>
                <w:szCs w:val="20"/>
              </w:rPr>
              <w:t>that the socioeconomic costs of implementing a ban and/or restriction on the use of PFHxS are considered small and are outweighed by the</w:t>
            </w:r>
          </w:p>
          <w:p w14:paraId="74A48ECC" w14:textId="475183F3" w:rsidR="002D347F" w:rsidRDefault="002D347F" w:rsidP="002D347F">
            <w:pPr>
              <w:rPr>
                <w:rFonts w:ascii="Verdana" w:hAnsi="Verdana"/>
                <w:sz w:val="20"/>
                <w:szCs w:val="20"/>
              </w:rPr>
            </w:pPr>
            <w:r>
              <w:rPr>
                <w:rFonts w:ascii="Verdana" w:hAnsi="Verdana"/>
                <w:i/>
                <w:sz w:val="20"/>
                <w:szCs w:val="20"/>
              </w:rPr>
              <w:t>benefits of an elimination/ regulation (for inclusion in the Annex A of the Stockholm Convention)</w:t>
            </w:r>
            <w:r>
              <w:rPr>
                <w:rFonts w:ascii="Verdana" w:hAnsi="Verdana"/>
                <w:sz w:val="20"/>
                <w:szCs w:val="20"/>
              </w:rPr>
              <w:t>. As regards PFHxS, its salts and the related substances, costs indeed appear negligible</w:t>
            </w:r>
            <w:r w:rsidR="008F4379">
              <w:rPr>
                <w:rFonts w:ascii="Verdana" w:hAnsi="Verdana"/>
                <w:sz w:val="20"/>
                <w:szCs w:val="20"/>
              </w:rPr>
              <w:t xml:space="preserve"> (there is no intentional use in the EEA even today)</w:t>
            </w:r>
            <w:r>
              <w:rPr>
                <w:rFonts w:ascii="Verdana" w:hAnsi="Verdana"/>
                <w:sz w:val="20"/>
                <w:szCs w:val="20"/>
              </w:rPr>
              <w:t xml:space="preserve"> and alternatives </w:t>
            </w:r>
            <w:r w:rsidR="00A53550">
              <w:rPr>
                <w:rFonts w:ascii="Verdana" w:hAnsi="Verdana"/>
                <w:sz w:val="20"/>
                <w:szCs w:val="20"/>
              </w:rPr>
              <w:t xml:space="preserve">are </w:t>
            </w:r>
            <w:r>
              <w:rPr>
                <w:rFonts w:ascii="Verdana" w:hAnsi="Verdana"/>
                <w:sz w:val="20"/>
                <w:szCs w:val="20"/>
              </w:rPr>
              <w:t>available, but this is not necessarily the case for PFASs more generally. From the SEAC perspective, some doubts remain on whether the performance of the available alternatives is currently sufficient for some special cases (tank farms etc). Also, information available on the health and environmental impacts of the non-fluorinated alternatives is scarce and also pointing at possible concern.</w:t>
            </w:r>
          </w:p>
          <w:p w14:paraId="6038E31C" w14:textId="77777777" w:rsidR="00970B70" w:rsidRPr="00786F18" w:rsidRDefault="00970B70" w:rsidP="00555417">
            <w:pPr>
              <w:rPr>
                <w:rFonts w:ascii="Verdana" w:hAnsi="Verdana"/>
                <w:sz w:val="20"/>
                <w:szCs w:val="20"/>
              </w:rPr>
            </w:pPr>
          </w:p>
        </w:tc>
      </w:tr>
      <w:tr w:rsidR="00970B70" w:rsidRPr="00786F18" w14:paraId="49B846D5" w14:textId="77777777" w:rsidTr="00A357CF">
        <w:tc>
          <w:tcPr>
            <w:tcW w:w="301" w:type="pct"/>
            <w:vMerge w:val="restart"/>
          </w:tcPr>
          <w:p w14:paraId="6621A3E4" w14:textId="77777777" w:rsidR="00970B70" w:rsidRPr="00786F18" w:rsidRDefault="00970B70" w:rsidP="00555417">
            <w:pPr>
              <w:rPr>
                <w:rFonts w:ascii="Verdana" w:hAnsi="Verdana"/>
                <w:b/>
                <w:sz w:val="20"/>
                <w:szCs w:val="20"/>
              </w:rPr>
            </w:pPr>
            <w:r w:rsidRPr="00A50B90">
              <w:rPr>
                <w:rFonts w:ascii="Verdana" w:hAnsi="Verdana"/>
                <w:b/>
                <w:noProof/>
                <w:sz w:val="20"/>
                <w:szCs w:val="20"/>
              </w:rPr>
              <w:t>2404</w:t>
            </w:r>
          </w:p>
        </w:tc>
        <w:tc>
          <w:tcPr>
            <w:tcW w:w="1105" w:type="pct"/>
            <w:vMerge w:val="restart"/>
          </w:tcPr>
          <w:p w14:paraId="339951FF" w14:textId="77777777" w:rsidR="00970B70" w:rsidRPr="00786F18" w:rsidRDefault="00970B70" w:rsidP="00555417">
            <w:pPr>
              <w:rPr>
                <w:rFonts w:ascii="Verdana" w:hAnsi="Verdana"/>
                <w:sz w:val="20"/>
                <w:szCs w:val="20"/>
              </w:rPr>
            </w:pPr>
            <w:r w:rsidRPr="00786F18">
              <w:rPr>
                <w:rFonts w:ascii="Verdana" w:hAnsi="Verdana"/>
                <w:b/>
                <w:sz w:val="20"/>
                <w:szCs w:val="20"/>
              </w:rPr>
              <w:t>Date:</w:t>
            </w:r>
            <w:r w:rsidRPr="00786F18">
              <w:rPr>
                <w:rFonts w:ascii="Verdana" w:hAnsi="Verdana"/>
                <w:sz w:val="20"/>
                <w:szCs w:val="20"/>
              </w:rPr>
              <w:t xml:space="preserve"> </w:t>
            </w:r>
            <w:r w:rsidRPr="00A50B90">
              <w:rPr>
                <w:rFonts w:ascii="Verdana" w:hAnsi="Verdana"/>
                <w:noProof/>
                <w:sz w:val="20"/>
                <w:szCs w:val="20"/>
              </w:rPr>
              <w:t>2019/08/15 10:21</w:t>
            </w:r>
          </w:p>
          <w:p w14:paraId="1BEB85B8" w14:textId="77777777" w:rsidR="00970B70" w:rsidRPr="00786F18" w:rsidRDefault="00970B70" w:rsidP="00555417">
            <w:pPr>
              <w:rPr>
                <w:rFonts w:ascii="Verdana" w:hAnsi="Verdana"/>
                <w:sz w:val="20"/>
                <w:szCs w:val="20"/>
              </w:rPr>
            </w:pPr>
          </w:p>
          <w:p w14:paraId="3575B4C4" w14:textId="77777777" w:rsidR="00970B70" w:rsidRPr="00786F18" w:rsidRDefault="00970B70" w:rsidP="00555417">
            <w:pPr>
              <w:rPr>
                <w:rFonts w:ascii="Verdana" w:hAnsi="Verdana"/>
                <w:b/>
                <w:sz w:val="20"/>
                <w:szCs w:val="20"/>
              </w:rPr>
            </w:pPr>
            <w:r w:rsidRPr="00786F18">
              <w:rPr>
                <w:rFonts w:ascii="Verdana" w:hAnsi="Verdana"/>
                <w:b/>
                <w:sz w:val="20"/>
                <w:szCs w:val="20"/>
              </w:rPr>
              <w:t>Content:</w:t>
            </w:r>
          </w:p>
          <w:p w14:paraId="7FA4A3A2" w14:textId="77777777" w:rsidR="00970B70" w:rsidRDefault="00970B70" w:rsidP="00555417">
            <w:pPr>
              <w:rPr>
                <w:rFonts w:ascii="Verdana" w:hAnsi="Verdana"/>
                <w:noProof/>
                <w:sz w:val="20"/>
                <w:szCs w:val="20"/>
              </w:rPr>
            </w:pPr>
            <w:r w:rsidRPr="00A50B90">
              <w:rPr>
                <w:rFonts w:ascii="Verdana" w:hAnsi="Verdana"/>
                <w:noProof/>
                <w:sz w:val="20"/>
                <w:szCs w:val="20"/>
              </w:rPr>
              <w:t>Scope or restriction option analysis;</w:t>
            </w:r>
          </w:p>
          <w:p w14:paraId="6A267549" w14:textId="77777777" w:rsidR="00970B70" w:rsidRPr="00786F18" w:rsidRDefault="00970B70" w:rsidP="00555417">
            <w:pPr>
              <w:rPr>
                <w:rFonts w:ascii="Verdana" w:hAnsi="Verdana"/>
                <w:sz w:val="20"/>
                <w:szCs w:val="20"/>
              </w:rPr>
            </w:pPr>
            <w:r w:rsidRPr="00A50B90">
              <w:rPr>
                <w:rFonts w:ascii="Verdana" w:hAnsi="Verdana"/>
                <w:noProof/>
                <w:sz w:val="20"/>
                <w:szCs w:val="20"/>
              </w:rPr>
              <w:t>Information on alternatives</w:t>
            </w:r>
          </w:p>
          <w:p w14:paraId="606E6009" w14:textId="77777777" w:rsidR="00970B70" w:rsidRPr="00786F18" w:rsidRDefault="00970B70" w:rsidP="00555417">
            <w:pPr>
              <w:rPr>
                <w:rFonts w:ascii="Verdana" w:hAnsi="Verdana"/>
                <w:sz w:val="20"/>
                <w:szCs w:val="20"/>
              </w:rPr>
            </w:pPr>
          </w:p>
          <w:p w14:paraId="05673667" w14:textId="77777777" w:rsidR="00970B70" w:rsidRPr="00786F18" w:rsidRDefault="00970B70" w:rsidP="00555417">
            <w:pPr>
              <w:rPr>
                <w:rFonts w:ascii="Verdana" w:hAnsi="Verdana"/>
                <w:sz w:val="20"/>
                <w:szCs w:val="20"/>
              </w:rPr>
            </w:pPr>
            <w:r w:rsidRPr="00786F18">
              <w:rPr>
                <w:rFonts w:ascii="Verdana" w:hAnsi="Verdana"/>
                <w:b/>
                <w:sz w:val="20"/>
                <w:szCs w:val="20"/>
              </w:rPr>
              <w:t>Type:</w:t>
            </w:r>
            <w:r w:rsidRPr="00786F18">
              <w:rPr>
                <w:rFonts w:ascii="Verdana" w:hAnsi="Verdana"/>
                <w:sz w:val="20"/>
                <w:szCs w:val="20"/>
              </w:rPr>
              <w:t xml:space="preserve"> </w:t>
            </w:r>
            <w:r w:rsidRPr="00A50B90">
              <w:rPr>
                <w:rFonts w:ascii="Verdana" w:hAnsi="Verdana"/>
                <w:noProof/>
                <w:sz w:val="20"/>
                <w:szCs w:val="20"/>
              </w:rPr>
              <w:t>MemberState</w:t>
            </w:r>
          </w:p>
          <w:p w14:paraId="639ECDEE" w14:textId="77777777" w:rsidR="00970B70" w:rsidRPr="00786F18" w:rsidRDefault="00970B70" w:rsidP="00555417">
            <w:pPr>
              <w:rPr>
                <w:rFonts w:ascii="Verdana" w:hAnsi="Verdana"/>
                <w:sz w:val="20"/>
                <w:szCs w:val="20"/>
              </w:rPr>
            </w:pPr>
          </w:p>
          <w:p w14:paraId="5E4F0C5C" w14:textId="77777777" w:rsidR="00970B70" w:rsidRPr="00786F18" w:rsidRDefault="00970B70" w:rsidP="00555417">
            <w:pPr>
              <w:rPr>
                <w:rFonts w:ascii="Verdana" w:hAnsi="Verdana"/>
                <w:b/>
                <w:sz w:val="20"/>
                <w:szCs w:val="20"/>
              </w:rPr>
            </w:pPr>
            <w:r w:rsidRPr="00786F18">
              <w:rPr>
                <w:rFonts w:ascii="Verdana" w:hAnsi="Verdana"/>
                <w:b/>
                <w:sz w:val="20"/>
                <w:szCs w:val="20"/>
              </w:rPr>
              <w:t>Country:</w:t>
            </w:r>
          </w:p>
          <w:p w14:paraId="199A0AA7" w14:textId="77777777" w:rsidR="00970B70" w:rsidRPr="00786F18" w:rsidRDefault="00970B70" w:rsidP="00555417">
            <w:pPr>
              <w:rPr>
                <w:rFonts w:ascii="Verdana" w:hAnsi="Verdana"/>
                <w:sz w:val="20"/>
                <w:szCs w:val="20"/>
              </w:rPr>
            </w:pPr>
            <w:r w:rsidRPr="00A50B90">
              <w:rPr>
                <w:rFonts w:ascii="Verdana" w:hAnsi="Verdana"/>
                <w:noProof/>
                <w:sz w:val="20"/>
                <w:szCs w:val="20"/>
              </w:rPr>
              <w:t>Germany</w:t>
            </w:r>
          </w:p>
          <w:p w14:paraId="45976B5B" w14:textId="77777777" w:rsidR="00970B70" w:rsidRPr="00786F18" w:rsidRDefault="00970B70" w:rsidP="00555417">
            <w:pPr>
              <w:rPr>
                <w:rFonts w:ascii="Verdana" w:hAnsi="Verdana"/>
                <w:sz w:val="20"/>
                <w:szCs w:val="20"/>
              </w:rPr>
            </w:pPr>
          </w:p>
        </w:tc>
        <w:tc>
          <w:tcPr>
            <w:tcW w:w="3594" w:type="pct"/>
          </w:tcPr>
          <w:p w14:paraId="5CFE4EDC" w14:textId="77777777" w:rsidR="00970B70" w:rsidRPr="00786F18" w:rsidRDefault="00970B70" w:rsidP="00555417">
            <w:pPr>
              <w:rPr>
                <w:rFonts w:ascii="Verdana" w:hAnsi="Verdana"/>
                <w:b/>
                <w:sz w:val="20"/>
                <w:szCs w:val="20"/>
              </w:rPr>
            </w:pPr>
            <w:r w:rsidRPr="00786F18">
              <w:rPr>
                <w:rFonts w:ascii="Verdana" w:hAnsi="Verdana"/>
                <w:b/>
                <w:sz w:val="20"/>
                <w:szCs w:val="20"/>
              </w:rPr>
              <w:t>Comment:</w:t>
            </w:r>
          </w:p>
          <w:p w14:paraId="23242EBB" w14:textId="77777777" w:rsidR="00970B70" w:rsidRPr="00A50B90" w:rsidRDefault="00970B70" w:rsidP="00555417">
            <w:pPr>
              <w:rPr>
                <w:rFonts w:ascii="Verdana" w:hAnsi="Verdana"/>
                <w:noProof/>
                <w:sz w:val="20"/>
                <w:szCs w:val="20"/>
              </w:rPr>
            </w:pPr>
            <w:r w:rsidRPr="00A50B90">
              <w:rPr>
                <w:rFonts w:ascii="Verdana" w:hAnsi="Verdana"/>
                <w:noProof/>
                <w:sz w:val="20"/>
                <w:szCs w:val="20"/>
              </w:rPr>
              <w:t>The German CA welcomes the restriction proposal regarding perfluorohexanesulfonic acid (PFHxS), its salts and related substances.</w:t>
            </w:r>
          </w:p>
          <w:p w14:paraId="3E21897C" w14:textId="77777777" w:rsidR="00970B70" w:rsidRPr="00A50B90" w:rsidRDefault="00970B70" w:rsidP="00555417">
            <w:pPr>
              <w:rPr>
                <w:rFonts w:ascii="Verdana" w:hAnsi="Verdana"/>
                <w:noProof/>
                <w:sz w:val="20"/>
                <w:szCs w:val="20"/>
              </w:rPr>
            </w:pPr>
            <w:r w:rsidRPr="00A50B90">
              <w:rPr>
                <w:rFonts w:ascii="Verdana" w:hAnsi="Verdana"/>
                <w:noProof/>
                <w:sz w:val="20"/>
                <w:szCs w:val="20"/>
              </w:rPr>
              <w:t>In general, we support the limitation of further emissions of perfluorinated substances (vPvB) into the environment.</w:t>
            </w:r>
          </w:p>
          <w:p w14:paraId="27A433D0" w14:textId="77777777" w:rsidR="00970B70" w:rsidRPr="00A50B90" w:rsidRDefault="00970B70" w:rsidP="00555417">
            <w:pPr>
              <w:rPr>
                <w:rFonts w:ascii="Verdana" w:hAnsi="Verdana"/>
                <w:noProof/>
                <w:sz w:val="20"/>
                <w:szCs w:val="20"/>
              </w:rPr>
            </w:pPr>
            <w:r w:rsidRPr="00A50B90">
              <w:rPr>
                <w:rFonts w:ascii="Verdana" w:hAnsi="Verdana"/>
                <w:noProof/>
                <w:sz w:val="20"/>
                <w:szCs w:val="20"/>
              </w:rPr>
              <w:t>PFHxS is discussed to become subject of the POP Convention. We agree that a restriction under REACH efficiently addresses an EU-wide risk and that it will assist the global regulation for POPs Convention.</w:t>
            </w:r>
          </w:p>
          <w:p w14:paraId="61647D44" w14:textId="77777777" w:rsidR="00970B70" w:rsidRPr="00786F18" w:rsidRDefault="00970B70" w:rsidP="00555417">
            <w:pPr>
              <w:rPr>
                <w:rFonts w:ascii="Verdana" w:hAnsi="Verdana"/>
                <w:sz w:val="20"/>
                <w:szCs w:val="20"/>
              </w:rPr>
            </w:pPr>
            <w:r w:rsidRPr="00A50B90">
              <w:rPr>
                <w:rFonts w:ascii="Verdana" w:hAnsi="Verdana"/>
                <w:noProof/>
                <w:sz w:val="20"/>
                <w:szCs w:val="20"/>
              </w:rPr>
              <w:t>In the proposal, reference is made to Regulation (EC) No 850/2004, which lists specific exemptions for the use of PFOS and its salts. This regulation has recently been updated (Regulation (EC) No. 2019/1021) also with regard to these exemptions (in the update, the use of PFOS in "mist suppressants for non-decorative hard chromium (VI) plating in closed loop systems" is the only remaining exemption). Therefore, the reference in the PFHxS restriction proposal should also be updated and refer to the latest version of the POP Regulation.</w:t>
            </w:r>
          </w:p>
          <w:p w14:paraId="67267736" w14:textId="77777777" w:rsidR="00970B70" w:rsidRPr="00786F18" w:rsidRDefault="00970B70" w:rsidP="00555417">
            <w:pPr>
              <w:rPr>
                <w:rFonts w:ascii="Verdana" w:hAnsi="Verdana"/>
                <w:sz w:val="20"/>
                <w:szCs w:val="20"/>
              </w:rPr>
            </w:pPr>
          </w:p>
        </w:tc>
      </w:tr>
      <w:tr w:rsidR="00970B70" w:rsidRPr="00786F18" w14:paraId="143FA60B" w14:textId="77777777" w:rsidTr="00A357CF">
        <w:trPr>
          <w:trHeight w:val="635"/>
        </w:trPr>
        <w:tc>
          <w:tcPr>
            <w:tcW w:w="301" w:type="pct"/>
            <w:vMerge/>
          </w:tcPr>
          <w:p w14:paraId="3D8228A7" w14:textId="77777777" w:rsidR="00970B70" w:rsidRPr="00786F18" w:rsidRDefault="00970B70" w:rsidP="00555417">
            <w:pPr>
              <w:rPr>
                <w:rFonts w:ascii="Verdana" w:hAnsi="Verdana"/>
                <w:sz w:val="20"/>
                <w:szCs w:val="20"/>
              </w:rPr>
            </w:pPr>
          </w:p>
        </w:tc>
        <w:tc>
          <w:tcPr>
            <w:tcW w:w="1105" w:type="pct"/>
            <w:vMerge/>
          </w:tcPr>
          <w:p w14:paraId="455E6F40" w14:textId="77777777" w:rsidR="00970B70" w:rsidRPr="00786F18" w:rsidRDefault="00970B70" w:rsidP="00555417">
            <w:pPr>
              <w:rPr>
                <w:rFonts w:ascii="Verdana" w:hAnsi="Verdana"/>
                <w:sz w:val="20"/>
                <w:szCs w:val="20"/>
              </w:rPr>
            </w:pPr>
          </w:p>
        </w:tc>
        <w:tc>
          <w:tcPr>
            <w:tcW w:w="3594" w:type="pct"/>
          </w:tcPr>
          <w:p w14:paraId="52DEC942" w14:textId="77777777" w:rsidR="00970B70" w:rsidRPr="00786F18" w:rsidRDefault="00970B70" w:rsidP="00555417">
            <w:pPr>
              <w:rPr>
                <w:rFonts w:ascii="Verdana" w:hAnsi="Verdana"/>
                <w:b/>
                <w:sz w:val="20"/>
                <w:szCs w:val="20"/>
              </w:rPr>
            </w:pPr>
            <w:r w:rsidRPr="00786F18">
              <w:rPr>
                <w:rFonts w:ascii="Verdana" w:hAnsi="Verdana"/>
                <w:b/>
                <w:sz w:val="20"/>
                <w:szCs w:val="20"/>
              </w:rPr>
              <w:t>Answer to specific info request 3:</w:t>
            </w:r>
          </w:p>
          <w:p w14:paraId="47DBCF1B" w14:textId="6FF3CB7A" w:rsidR="00970B70" w:rsidRDefault="00970B70" w:rsidP="00555417">
            <w:pPr>
              <w:rPr>
                <w:rFonts w:ascii="Verdana" w:hAnsi="Verdana"/>
                <w:noProof/>
                <w:sz w:val="20"/>
                <w:szCs w:val="20"/>
              </w:rPr>
            </w:pPr>
            <w:r w:rsidRPr="00A50B90">
              <w:rPr>
                <w:rFonts w:ascii="Verdana" w:hAnsi="Verdana"/>
                <w:noProof/>
                <w:sz w:val="20"/>
                <w:szCs w:val="20"/>
              </w:rPr>
              <w:t>In addition, to our knowledge, there are fluorine-free, chemical alternatives, e.g. alkane sulfonates, for hard chromium (VI) plating available on the market, as well as effective , technical solutions to minimize aerosol emission, e.g. galvanic bath covers or air extraction systems.  It might be worthwhile to consider a reassessment of alternatives in the restriction after a short period of time, e. g. five years.</w:t>
            </w:r>
          </w:p>
          <w:p w14:paraId="56A50863" w14:textId="77777777" w:rsidR="00970B70" w:rsidRPr="00786F18" w:rsidRDefault="00970B70" w:rsidP="00555417">
            <w:pPr>
              <w:rPr>
                <w:rFonts w:ascii="Verdana" w:hAnsi="Verdana"/>
                <w:sz w:val="20"/>
                <w:szCs w:val="20"/>
              </w:rPr>
            </w:pPr>
          </w:p>
        </w:tc>
      </w:tr>
      <w:tr w:rsidR="00970B70" w:rsidRPr="00786F18" w14:paraId="30CCD8B6" w14:textId="77777777" w:rsidTr="00A357CF">
        <w:trPr>
          <w:trHeight w:val="505"/>
        </w:trPr>
        <w:tc>
          <w:tcPr>
            <w:tcW w:w="301" w:type="pct"/>
            <w:vMerge/>
          </w:tcPr>
          <w:p w14:paraId="68D1B2EF" w14:textId="77777777" w:rsidR="00970B70" w:rsidRPr="00786F18" w:rsidRDefault="00970B70" w:rsidP="00555417">
            <w:pPr>
              <w:rPr>
                <w:rFonts w:ascii="Verdana" w:hAnsi="Verdana"/>
                <w:sz w:val="20"/>
                <w:szCs w:val="20"/>
              </w:rPr>
            </w:pPr>
          </w:p>
        </w:tc>
        <w:tc>
          <w:tcPr>
            <w:tcW w:w="1105" w:type="pct"/>
            <w:vMerge/>
          </w:tcPr>
          <w:p w14:paraId="4FCA6AD7" w14:textId="77777777" w:rsidR="00970B70" w:rsidRPr="00786F18" w:rsidRDefault="00970B70" w:rsidP="00555417">
            <w:pPr>
              <w:rPr>
                <w:rFonts w:ascii="Verdana" w:hAnsi="Verdana"/>
                <w:sz w:val="20"/>
                <w:szCs w:val="20"/>
              </w:rPr>
            </w:pPr>
          </w:p>
        </w:tc>
        <w:tc>
          <w:tcPr>
            <w:tcW w:w="3594" w:type="pct"/>
          </w:tcPr>
          <w:p w14:paraId="2371A927" w14:textId="77777777" w:rsidR="00970B70" w:rsidRPr="00786F18" w:rsidRDefault="00970B70" w:rsidP="00555417">
            <w:pPr>
              <w:rPr>
                <w:rFonts w:ascii="Verdana" w:hAnsi="Verdana"/>
                <w:b/>
                <w:sz w:val="20"/>
                <w:szCs w:val="20"/>
              </w:rPr>
            </w:pPr>
            <w:r w:rsidRPr="00786F18">
              <w:rPr>
                <w:rFonts w:ascii="Verdana" w:hAnsi="Verdana"/>
                <w:b/>
                <w:sz w:val="20"/>
                <w:szCs w:val="20"/>
              </w:rPr>
              <w:t>Dossier submitter response:</w:t>
            </w:r>
          </w:p>
          <w:p w14:paraId="5A72F7FC" w14:textId="2FF92F44" w:rsidR="00970B70" w:rsidRDefault="00973F33" w:rsidP="00555417">
            <w:pPr>
              <w:rPr>
                <w:rFonts w:ascii="Verdana" w:hAnsi="Verdana"/>
                <w:sz w:val="20"/>
                <w:szCs w:val="20"/>
              </w:rPr>
            </w:pPr>
            <w:r>
              <w:rPr>
                <w:rFonts w:ascii="Verdana" w:hAnsi="Verdana"/>
                <w:sz w:val="20"/>
                <w:szCs w:val="20"/>
              </w:rPr>
              <w:t xml:space="preserve">We appreciate your support. </w:t>
            </w:r>
          </w:p>
          <w:p w14:paraId="0597075E" w14:textId="0E025574" w:rsidR="00973F33" w:rsidRDefault="00973F33" w:rsidP="00555417">
            <w:pPr>
              <w:rPr>
                <w:rFonts w:ascii="Verdana" w:hAnsi="Verdana"/>
                <w:sz w:val="20"/>
                <w:szCs w:val="20"/>
              </w:rPr>
            </w:pPr>
          </w:p>
          <w:p w14:paraId="7772CB8D" w14:textId="4F87A94F" w:rsidR="000D4E7A" w:rsidRDefault="00973F33" w:rsidP="00001280">
            <w:pPr>
              <w:rPr>
                <w:rFonts w:ascii="Verdana" w:hAnsi="Verdana"/>
                <w:sz w:val="20"/>
                <w:szCs w:val="20"/>
              </w:rPr>
            </w:pPr>
            <w:r>
              <w:rPr>
                <w:rFonts w:ascii="Verdana" w:hAnsi="Verdana"/>
                <w:sz w:val="20"/>
                <w:szCs w:val="20"/>
              </w:rPr>
              <w:t xml:space="preserve">The background document will be </w:t>
            </w:r>
            <w:r w:rsidR="00257FBB">
              <w:rPr>
                <w:rFonts w:ascii="Verdana" w:hAnsi="Verdana"/>
                <w:sz w:val="20"/>
                <w:szCs w:val="20"/>
              </w:rPr>
              <w:t>corrected</w:t>
            </w:r>
            <w:r>
              <w:rPr>
                <w:rFonts w:ascii="Verdana" w:hAnsi="Verdana"/>
                <w:sz w:val="20"/>
                <w:szCs w:val="20"/>
              </w:rPr>
              <w:t xml:space="preserve"> in line with the </w:t>
            </w:r>
            <w:r w:rsidR="00AC7D2E">
              <w:rPr>
                <w:rFonts w:ascii="Verdana" w:hAnsi="Verdana"/>
                <w:sz w:val="20"/>
                <w:szCs w:val="20"/>
              </w:rPr>
              <w:t xml:space="preserve">current version of the </w:t>
            </w:r>
            <w:r>
              <w:rPr>
                <w:rFonts w:ascii="Verdana" w:hAnsi="Verdana"/>
                <w:sz w:val="20"/>
                <w:szCs w:val="20"/>
              </w:rPr>
              <w:t>EU POPs regulation.</w:t>
            </w:r>
          </w:p>
          <w:p w14:paraId="04C5AECB" w14:textId="77777777" w:rsidR="000D4E7A" w:rsidRDefault="000D4E7A" w:rsidP="00001280">
            <w:pPr>
              <w:rPr>
                <w:rFonts w:ascii="Verdana" w:hAnsi="Verdana"/>
                <w:sz w:val="20"/>
                <w:szCs w:val="20"/>
              </w:rPr>
            </w:pPr>
          </w:p>
          <w:p w14:paraId="0A94EE61" w14:textId="32908B45" w:rsidR="00973F33" w:rsidRPr="00786F18" w:rsidRDefault="00973F33" w:rsidP="00555417">
            <w:pPr>
              <w:rPr>
                <w:rFonts w:ascii="Verdana" w:hAnsi="Verdana"/>
                <w:sz w:val="20"/>
                <w:szCs w:val="20"/>
              </w:rPr>
            </w:pPr>
            <w:r>
              <w:rPr>
                <w:rFonts w:ascii="Verdana" w:hAnsi="Verdana"/>
                <w:sz w:val="20"/>
                <w:szCs w:val="20"/>
              </w:rPr>
              <w:t xml:space="preserve">PFHxS is an impurity in PFOS used as mist suppressant for hard chromium plating. </w:t>
            </w:r>
            <w:r w:rsidR="000D4E7A">
              <w:rPr>
                <w:rFonts w:ascii="Verdana" w:hAnsi="Verdana"/>
                <w:sz w:val="20"/>
                <w:szCs w:val="20"/>
              </w:rPr>
              <w:t xml:space="preserve">The POPs regulation foresees that the Commission shall review the derogation for PFOS as mist suppressant for hard chromium plating as soon as new information is available. </w:t>
            </w:r>
            <w:r w:rsidR="00205061">
              <w:rPr>
                <w:rFonts w:ascii="Verdana" w:hAnsi="Verdana"/>
                <w:sz w:val="20"/>
                <w:szCs w:val="20"/>
              </w:rPr>
              <w:t>This will directly affect PFHxS, since a</w:t>
            </w:r>
            <w:r w:rsidR="00FB6F29">
              <w:rPr>
                <w:rFonts w:ascii="Verdana" w:hAnsi="Verdana"/>
                <w:sz w:val="20"/>
                <w:szCs w:val="20"/>
              </w:rPr>
              <w:t>ny changes to the POPs regulation on PFOS will apply automatically to PFHxS</w:t>
            </w:r>
            <w:r w:rsidR="00AC7D2E">
              <w:rPr>
                <w:rFonts w:ascii="Verdana" w:hAnsi="Verdana"/>
                <w:sz w:val="20"/>
                <w:szCs w:val="20"/>
              </w:rPr>
              <w:t>, see 4 a)</w:t>
            </w:r>
            <w:r w:rsidR="00FB6F29">
              <w:rPr>
                <w:rFonts w:ascii="Verdana" w:hAnsi="Verdana"/>
                <w:sz w:val="20"/>
                <w:szCs w:val="20"/>
              </w:rPr>
              <w:t>.</w:t>
            </w:r>
          </w:p>
          <w:p w14:paraId="07A06EF1" w14:textId="77777777" w:rsidR="00970B70" w:rsidRPr="00786F18" w:rsidRDefault="00970B70" w:rsidP="00555417">
            <w:pPr>
              <w:rPr>
                <w:rFonts w:ascii="Verdana" w:hAnsi="Verdana"/>
                <w:sz w:val="20"/>
                <w:szCs w:val="20"/>
              </w:rPr>
            </w:pPr>
          </w:p>
        </w:tc>
      </w:tr>
      <w:tr w:rsidR="00970B70" w:rsidRPr="00786F18" w14:paraId="434C4C62" w14:textId="77777777" w:rsidTr="00A357CF">
        <w:trPr>
          <w:trHeight w:val="561"/>
        </w:trPr>
        <w:tc>
          <w:tcPr>
            <w:tcW w:w="301" w:type="pct"/>
            <w:vMerge/>
          </w:tcPr>
          <w:p w14:paraId="3DA28AB2" w14:textId="77777777" w:rsidR="00970B70" w:rsidRPr="00786F18" w:rsidRDefault="00970B70" w:rsidP="00555417">
            <w:pPr>
              <w:rPr>
                <w:rFonts w:ascii="Verdana" w:hAnsi="Verdana"/>
                <w:sz w:val="20"/>
                <w:szCs w:val="20"/>
              </w:rPr>
            </w:pPr>
          </w:p>
        </w:tc>
        <w:tc>
          <w:tcPr>
            <w:tcW w:w="1105" w:type="pct"/>
            <w:vMerge/>
          </w:tcPr>
          <w:p w14:paraId="1FAF9A92" w14:textId="77777777" w:rsidR="00970B70" w:rsidRPr="00786F18" w:rsidRDefault="00970B70" w:rsidP="00555417">
            <w:pPr>
              <w:rPr>
                <w:rFonts w:ascii="Verdana" w:hAnsi="Verdana"/>
                <w:sz w:val="20"/>
                <w:szCs w:val="20"/>
              </w:rPr>
            </w:pPr>
          </w:p>
        </w:tc>
        <w:tc>
          <w:tcPr>
            <w:tcW w:w="3594" w:type="pct"/>
          </w:tcPr>
          <w:p w14:paraId="2EC98697" w14:textId="77777777" w:rsidR="00970B70" w:rsidRPr="00786F18" w:rsidRDefault="00970B70" w:rsidP="00555417">
            <w:pPr>
              <w:rPr>
                <w:rFonts w:ascii="Verdana" w:hAnsi="Verdana"/>
                <w:b/>
                <w:sz w:val="20"/>
                <w:szCs w:val="20"/>
              </w:rPr>
            </w:pPr>
            <w:r w:rsidRPr="00786F18">
              <w:rPr>
                <w:rFonts w:ascii="Verdana" w:hAnsi="Verdana"/>
                <w:b/>
                <w:sz w:val="20"/>
                <w:szCs w:val="20"/>
              </w:rPr>
              <w:t>RAC Rapporteurs comments:</w:t>
            </w:r>
          </w:p>
          <w:p w14:paraId="043D2780" w14:textId="59A6FA20" w:rsidR="00970B70" w:rsidRPr="00786F18" w:rsidRDefault="002D347F" w:rsidP="00555417">
            <w:pPr>
              <w:rPr>
                <w:rFonts w:ascii="Verdana" w:hAnsi="Verdana"/>
                <w:sz w:val="20"/>
                <w:szCs w:val="20"/>
              </w:rPr>
            </w:pPr>
            <w:r>
              <w:rPr>
                <w:rFonts w:ascii="Verdana" w:hAnsi="Verdana"/>
                <w:sz w:val="20"/>
                <w:szCs w:val="20"/>
              </w:rPr>
              <w:t>Noted, thank you.</w:t>
            </w:r>
          </w:p>
          <w:p w14:paraId="39210868" w14:textId="77777777" w:rsidR="00970B70" w:rsidRPr="00786F18" w:rsidRDefault="00970B70" w:rsidP="00555417">
            <w:pPr>
              <w:rPr>
                <w:rFonts w:ascii="Verdana" w:hAnsi="Verdana"/>
                <w:sz w:val="20"/>
                <w:szCs w:val="20"/>
              </w:rPr>
            </w:pPr>
          </w:p>
        </w:tc>
      </w:tr>
      <w:tr w:rsidR="00970B70" w:rsidRPr="00786F18" w14:paraId="60EB2F9A" w14:textId="77777777" w:rsidTr="00A357CF">
        <w:trPr>
          <w:trHeight w:val="991"/>
        </w:trPr>
        <w:tc>
          <w:tcPr>
            <w:tcW w:w="301" w:type="pct"/>
            <w:vMerge/>
          </w:tcPr>
          <w:p w14:paraId="611B13D5" w14:textId="77777777" w:rsidR="00970B70" w:rsidRPr="00786F18" w:rsidRDefault="00970B70" w:rsidP="00555417">
            <w:pPr>
              <w:rPr>
                <w:rFonts w:ascii="Verdana" w:hAnsi="Verdana"/>
                <w:sz w:val="20"/>
                <w:szCs w:val="20"/>
              </w:rPr>
            </w:pPr>
          </w:p>
        </w:tc>
        <w:tc>
          <w:tcPr>
            <w:tcW w:w="1105" w:type="pct"/>
            <w:vMerge/>
          </w:tcPr>
          <w:p w14:paraId="66D4B01D" w14:textId="77777777" w:rsidR="00970B70" w:rsidRPr="00786F18" w:rsidRDefault="00970B70" w:rsidP="00555417">
            <w:pPr>
              <w:rPr>
                <w:rFonts w:ascii="Verdana" w:hAnsi="Verdana"/>
                <w:sz w:val="20"/>
                <w:szCs w:val="20"/>
              </w:rPr>
            </w:pPr>
          </w:p>
        </w:tc>
        <w:tc>
          <w:tcPr>
            <w:tcW w:w="3594" w:type="pct"/>
          </w:tcPr>
          <w:p w14:paraId="08752B4B" w14:textId="77777777" w:rsidR="00970B70" w:rsidRPr="00786F18" w:rsidRDefault="00970B70" w:rsidP="00555417">
            <w:pPr>
              <w:rPr>
                <w:rFonts w:ascii="Verdana" w:hAnsi="Verdana"/>
                <w:b/>
                <w:sz w:val="20"/>
                <w:szCs w:val="20"/>
              </w:rPr>
            </w:pPr>
            <w:r w:rsidRPr="00786F18">
              <w:rPr>
                <w:rFonts w:ascii="Verdana" w:hAnsi="Verdana"/>
                <w:b/>
                <w:sz w:val="20"/>
                <w:szCs w:val="20"/>
              </w:rPr>
              <w:t>SEAC Rapporteurs comments:</w:t>
            </w:r>
          </w:p>
          <w:p w14:paraId="120A9F29" w14:textId="77777777" w:rsidR="00970B70" w:rsidRPr="00786F18" w:rsidRDefault="00970B70" w:rsidP="00555417">
            <w:pPr>
              <w:rPr>
                <w:rFonts w:ascii="Verdana" w:hAnsi="Verdana"/>
                <w:sz w:val="20"/>
                <w:szCs w:val="20"/>
              </w:rPr>
            </w:pPr>
          </w:p>
          <w:p w14:paraId="636D5324" w14:textId="77777777" w:rsidR="00D02672" w:rsidRDefault="00D02672" w:rsidP="00D02672">
            <w:pPr>
              <w:rPr>
                <w:rFonts w:ascii="Verdana" w:hAnsi="Verdana"/>
                <w:sz w:val="20"/>
                <w:szCs w:val="20"/>
              </w:rPr>
            </w:pPr>
            <w:r>
              <w:rPr>
                <w:rFonts w:ascii="Verdana" w:hAnsi="Verdana"/>
                <w:sz w:val="20"/>
                <w:szCs w:val="20"/>
              </w:rPr>
              <w:t>Thank you for your comments.</w:t>
            </w:r>
          </w:p>
          <w:p w14:paraId="741B6F35" w14:textId="77777777" w:rsidR="00D02672" w:rsidRDefault="00D02672" w:rsidP="00D02672">
            <w:pPr>
              <w:rPr>
                <w:rFonts w:ascii="Verdana" w:hAnsi="Verdana"/>
                <w:sz w:val="20"/>
                <w:szCs w:val="20"/>
              </w:rPr>
            </w:pPr>
          </w:p>
          <w:p w14:paraId="5B862A01" w14:textId="77777777" w:rsidR="00D02672" w:rsidRDefault="00D02672" w:rsidP="00D02672">
            <w:pPr>
              <w:rPr>
                <w:rFonts w:ascii="Verdana" w:hAnsi="Verdana"/>
                <w:sz w:val="20"/>
                <w:szCs w:val="20"/>
              </w:rPr>
            </w:pPr>
            <w:r>
              <w:rPr>
                <w:rFonts w:ascii="Verdana" w:hAnsi="Verdana"/>
                <w:sz w:val="20"/>
                <w:szCs w:val="20"/>
              </w:rPr>
              <w:t>Thank you for pointing out the recast of the POP regulation. The SEAC opinion refers to the new version.</w:t>
            </w:r>
          </w:p>
          <w:p w14:paraId="45065BFA" w14:textId="77777777" w:rsidR="00D02672" w:rsidRDefault="00D02672" w:rsidP="00D02672">
            <w:pPr>
              <w:rPr>
                <w:rFonts w:ascii="Verdana" w:hAnsi="Verdana"/>
                <w:sz w:val="20"/>
                <w:szCs w:val="20"/>
              </w:rPr>
            </w:pPr>
          </w:p>
          <w:p w14:paraId="20036A14" w14:textId="1D3FCD1B" w:rsidR="00D02672" w:rsidRDefault="00D02672" w:rsidP="00D02672">
            <w:pPr>
              <w:rPr>
                <w:rFonts w:ascii="Verdana" w:hAnsi="Verdana"/>
                <w:sz w:val="20"/>
                <w:szCs w:val="20"/>
              </w:rPr>
            </w:pPr>
            <w:r>
              <w:rPr>
                <w:rFonts w:ascii="Verdana" w:hAnsi="Verdana"/>
                <w:sz w:val="20"/>
                <w:szCs w:val="20"/>
              </w:rPr>
              <w:t xml:space="preserve">Thank you for pointing out the availability of alternatives as regards mist suppressants in hard chromium plating. While convincing information on the </w:t>
            </w:r>
            <w:r w:rsidR="008F4379">
              <w:rPr>
                <w:rFonts w:ascii="Verdana" w:hAnsi="Verdana"/>
                <w:sz w:val="20"/>
                <w:szCs w:val="20"/>
              </w:rPr>
              <w:t>suitability of the available</w:t>
            </w:r>
            <w:r>
              <w:rPr>
                <w:rFonts w:ascii="Verdana" w:hAnsi="Verdana"/>
                <w:sz w:val="20"/>
                <w:szCs w:val="20"/>
              </w:rPr>
              <w:t xml:space="preserve"> alternatives in all the different situations is missing, we agree that it looks promising that alternatives could soon be used in more and more situations. We have noted this in the opinion.</w:t>
            </w:r>
          </w:p>
          <w:p w14:paraId="3C88A33D" w14:textId="77777777" w:rsidR="00970B70" w:rsidRPr="00786F18" w:rsidRDefault="00970B70" w:rsidP="00555417">
            <w:pPr>
              <w:rPr>
                <w:rFonts w:ascii="Verdana" w:hAnsi="Verdana"/>
                <w:sz w:val="20"/>
                <w:szCs w:val="20"/>
              </w:rPr>
            </w:pPr>
          </w:p>
        </w:tc>
      </w:tr>
      <w:tr w:rsidR="00970B70" w:rsidRPr="00786F18" w14:paraId="14BC754F" w14:textId="77777777" w:rsidTr="00A357CF">
        <w:tc>
          <w:tcPr>
            <w:tcW w:w="301" w:type="pct"/>
            <w:vMerge w:val="restart"/>
          </w:tcPr>
          <w:p w14:paraId="398E1BFC" w14:textId="77777777" w:rsidR="00970B70" w:rsidRPr="00786F18" w:rsidRDefault="00970B70" w:rsidP="00555417">
            <w:pPr>
              <w:rPr>
                <w:rFonts w:ascii="Verdana" w:hAnsi="Verdana"/>
                <w:b/>
                <w:sz w:val="20"/>
                <w:szCs w:val="20"/>
              </w:rPr>
            </w:pPr>
            <w:r w:rsidRPr="00A50B90">
              <w:rPr>
                <w:rFonts w:ascii="Verdana" w:hAnsi="Verdana"/>
                <w:b/>
                <w:noProof/>
                <w:sz w:val="20"/>
                <w:szCs w:val="20"/>
              </w:rPr>
              <w:t>2410</w:t>
            </w:r>
          </w:p>
        </w:tc>
        <w:tc>
          <w:tcPr>
            <w:tcW w:w="1105" w:type="pct"/>
            <w:vMerge w:val="restart"/>
          </w:tcPr>
          <w:p w14:paraId="1BD461C0" w14:textId="77777777" w:rsidR="00970B70" w:rsidRPr="00786F18" w:rsidRDefault="00970B70" w:rsidP="00555417">
            <w:pPr>
              <w:rPr>
                <w:rFonts w:ascii="Verdana" w:hAnsi="Verdana"/>
                <w:sz w:val="20"/>
                <w:szCs w:val="20"/>
              </w:rPr>
            </w:pPr>
            <w:r w:rsidRPr="00786F18">
              <w:rPr>
                <w:rFonts w:ascii="Verdana" w:hAnsi="Verdana"/>
                <w:b/>
                <w:sz w:val="20"/>
                <w:szCs w:val="20"/>
              </w:rPr>
              <w:t>Date:</w:t>
            </w:r>
            <w:r w:rsidRPr="00786F18">
              <w:rPr>
                <w:rFonts w:ascii="Verdana" w:hAnsi="Verdana"/>
                <w:sz w:val="20"/>
                <w:szCs w:val="20"/>
              </w:rPr>
              <w:t xml:space="preserve"> </w:t>
            </w:r>
            <w:r w:rsidRPr="00A50B90">
              <w:rPr>
                <w:rFonts w:ascii="Verdana" w:hAnsi="Verdana"/>
                <w:noProof/>
                <w:sz w:val="20"/>
                <w:szCs w:val="20"/>
              </w:rPr>
              <w:t>2019/08/16 15:44</w:t>
            </w:r>
          </w:p>
          <w:p w14:paraId="3DB6B600" w14:textId="77777777" w:rsidR="00970B70" w:rsidRPr="00786F18" w:rsidRDefault="00970B70" w:rsidP="00555417">
            <w:pPr>
              <w:rPr>
                <w:rFonts w:ascii="Verdana" w:hAnsi="Verdana"/>
                <w:sz w:val="20"/>
                <w:szCs w:val="20"/>
              </w:rPr>
            </w:pPr>
          </w:p>
          <w:p w14:paraId="25710122" w14:textId="77777777" w:rsidR="00970B70" w:rsidRPr="00786F18" w:rsidRDefault="00970B70" w:rsidP="00555417">
            <w:pPr>
              <w:rPr>
                <w:rFonts w:ascii="Verdana" w:hAnsi="Verdana"/>
                <w:b/>
                <w:sz w:val="20"/>
                <w:szCs w:val="20"/>
              </w:rPr>
            </w:pPr>
            <w:r w:rsidRPr="00786F18">
              <w:rPr>
                <w:rFonts w:ascii="Verdana" w:hAnsi="Verdana"/>
                <w:b/>
                <w:sz w:val="20"/>
                <w:szCs w:val="20"/>
              </w:rPr>
              <w:t>Content:</w:t>
            </w:r>
          </w:p>
          <w:p w14:paraId="7B4534BD" w14:textId="77777777" w:rsidR="00970B70" w:rsidRDefault="00970B70" w:rsidP="00555417">
            <w:pPr>
              <w:rPr>
                <w:rFonts w:ascii="Verdana" w:hAnsi="Verdana"/>
                <w:noProof/>
                <w:sz w:val="20"/>
                <w:szCs w:val="20"/>
              </w:rPr>
            </w:pPr>
            <w:r w:rsidRPr="00A50B90">
              <w:rPr>
                <w:rFonts w:ascii="Verdana" w:hAnsi="Verdana"/>
                <w:noProof/>
                <w:sz w:val="20"/>
                <w:szCs w:val="20"/>
              </w:rPr>
              <w:t>Scope or restriction option analysis;</w:t>
            </w:r>
          </w:p>
          <w:p w14:paraId="29052A20" w14:textId="77777777" w:rsidR="00970B70" w:rsidRPr="00786F18" w:rsidRDefault="00970B70" w:rsidP="00555417">
            <w:pPr>
              <w:rPr>
                <w:rFonts w:ascii="Verdana" w:hAnsi="Verdana"/>
                <w:sz w:val="20"/>
                <w:szCs w:val="20"/>
              </w:rPr>
            </w:pPr>
            <w:r w:rsidRPr="00A50B90">
              <w:rPr>
                <w:rFonts w:ascii="Verdana" w:hAnsi="Verdana"/>
                <w:noProof/>
                <w:sz w:val="20"/>
                <w:szCs w:val="20"/>
              </w:rPr>
              <w:t>Request for exemption</w:t>
            </w:r>
          </w:p>
          <w:p w14:paraId="462DE404" w14:textId="77777777" w:rsidR="00970B70" w:rsidRPr="00786F18" w:rsidRDefault="00970B70" w:rsidP="00555417">
            <w:pPr>
              <w:rPr>
                <w:rFonts w:ascii="Verdana" w:hAnsi="Verdana"/>
                <w:sz w:val="20"/>
                <w:szCs w:val="20"/>
              </w:rPr>
            </w:pPr>
          </w:p>
          <w:p w14:paraId="699157D9" w14:textId="77777777" w:rsidR="00970B70" w:rsidRPr="00786F18" w:rsidRDefault="00970B70" w:rsidP="00555417">
            <w:pPr>
              <w:rPr>
                <w:rFonts w:ascii="Verdana" w:hAnsi="Verdana"/>
                <w:sz w:val="20"/>
                <w:szCs w:val="20"/>
              </w:rPr>
            </w:pPr>
            <w:r w:rsidRPr="00786F18">
              <w:rPr>
                <w:rFonts w:ascii="Verdana" w:hAnsi="Verdana"/>
                <w:b/>
                <w:sz w:val="20"/>
                <w:szCs w:val="20"/>
              </w:rPr>
              <w:t>Type:</w:t>
            </w:r>
            <w:r w:rsidRPr="00786F18">
              <w:rPr>
                <w:rFonts w:ascii="Verdana" w:hAnsi="Verdana"/>
                <w:sz w:val="20"/>
                <w:szCs w:val="20"/>
              </w:rPr>
              <w:t xml:space="preserve"> </w:t>
            </w:r>
            <w:r w:rsidRPr="00A50B90">
              <w:rPr>
                <w:rFonts w:ascii="Verdana" w:hAnsi="Verdana"/>
                <w:noProof/>
                <w:sz w:val="20"/>
                <w:szCs w:val="20"/>
              </w:rPr>
              <w:t>BehalfOfAnOrganisation</w:t>
            </w:r>
          </w:p>
          <w:p w14:paraId="07E41D57" w14:textId="77777777" w:rsidR="00970B70" w:rsidRPr="00786F18" w:rsidRDefault="00970B70" w:rsidP="00555417">
            <w:pPr>
              <w:rPr>
                <w:rFonts w:ascii="Verdana" w:hAnsi="Verdana"/>
                <w:sz w:val="20"/>
                <w:szCs w:val="20"/>
              </w:rPr>
            </w:pPr>
          </w:p>
          <w:p w14:paraId="55464F99" w14:textId="77777777" w:rsidR="00970B70" w:rsidRPr="00786F18" w:rsidRDefault="00970B70" w:rsidP="00555417">
            <w:pPr>
              <w:rPr>
                <w:rFonts w:ascii="Verdana" w:hAnsi="Verdana"/>
                <w:sz w:val="20"/>
                <w:szCs w:val="20"/>
              </w:rPr>
            </w:pPr>
            <w:r w:rsidRPr="00786F18">
              <w:rPr>
                <w:rFonts w:ascii="Verdana" w:hAnsi="Verdana"/>
                <w:b/>
                <w:sz w:val="20"/>
                <w:szCs w:val="20"/>
              </w:rPr>
              <w:t>Org. type:</w:t>
            </w:r>
            <w:r w:rsidRPr="00786F18">
              <w:rPr>
                <w:rFonts w:ascii="Verdana" w:hAnsi="Verdana"/>
                <w:sz w:val="20"/>
                <w:szCs w:val="20"/>
              </w:rPr>
              <w:t xml:space="preserve"> </w:t>
            </w:r>
            <w:r w:rsidRPr="00A50B90">
              <w:rPr>
                <w:rFonts w:ascii="Verdana" w:hAnsi="Verdana"/>
                <w:noProof/>
                <w:sz w:val="20"/>
                <w:szCs w:val="20"/>
              </w:rPr>
              <w:t>Industry or trade association</w:t>
            </w:r>
          </w:p>
          <w:p w14:paraId="056874E1" w14:textId="77777777" w:rsidR="00970B70" w:rsidRPr="00786F18" w:rsidRDefault="00970B70" w:rsidP="00555417">
            <w:pPr>
              <w:rPr>
                <w:rFonts w:ascii="Verdana" w:hAnsi="Verdana"/>
                <w:sz w:val="20"/>
                <w:szCs w:val="20"/>
              </w:rPr>
            </w:pPr>
          </w:p>
          <w:p w14:paraId="13589C7B" w14:textId="77777777" w:rsidR="00970B70" w:rsidRPr="00786F18" w:rsidRDefault="00970B70" w:rsidP="00555417">
            <w:pPr>
              <w:rPr>
                <w:rFonts w:ascii="Verdana" w:hAnsi="Verdana"/>
                <w:sz w:val="20"/>
                <w:szCs w:val="20"/>
              </w:rPr>
            </w:pPr>
            <w:r w:rsidRPr="00786F18">
              <w:rPr>
                <w:rFonts w:ascii="Verdana" w:hAnsi="Verdana"/>
                <w:b/>
                <w:sz w:val="20"/>
                <w:szCs w:val="20"/>
              </w:rPr>
              <w:t>Org. name:</w:t>
            </w:r>
            <w:r w:rsidRPr="00786F18">
              <w:rPr>
                <w:rFonts w:ascii="Verdana" w:hAnsi="Verdana"/>
                <w:sz w:val="20"/>
                <w:szCs w:val="20"/>
              </w:rPr>
              <w:t xml:space="preserve"> </w:t>
            </w:r>
            <w:r w:rsidRPr="00A50B90">
              <w:rPr>
                <w:rFonts w:ascii="Verdana" w:hAnsi="Verdana"/>
                <w:noProof/>
                <w:sz w:val="20"/>
                <w:szCs w:val="20"/>
              </w:rPr>
              <w:t>Mineralölwirtschaftsverband</w:t>
            </w:r>
          </w:p>
          <w:p w14:paraId="4977CBC3" w14:textId="77777777" w:rsidR="00970B70" w:rsidRPr="00786F18" w:rsidRDefault="00970B70" w:rsidP="00555417">
            <w:pPr>
              <w:rPr>
                <w:rFonts w:ascii="Verdana" w:hAnsi="Verdana"/>
                <w:sz w:val="20"/>
                <w:szCs w:val="20"/>
              </w:rPr>
            </w:pPr>
          </w:p>
          <w:p w14:paraId="13D0D0B5" w14:textId="77777777" w:rsidR="00970B70" w:rsidRPr="00786F18" w:rsidRDefault="00970B70" w:rsidP="00555417">
            <w:pPr>
              <w:rPr>
                <w:rFonts w:ascii="Verdana" w:hAnsi="Verdana"/>
                <w:sz w:val="20"/>
                <w:szCs w:val="20"/>
              </w:rPr>
            </w:pPr>
            <w:r w:rsidRPr="00786F18">
              <w:rPr>
                <w:rFonts w:ascii="Verdana" w:hAnsi="Verdana"/>
                <w:b/>
                <w:sz w:val="20"/>
                <w:szCs w:val="20"/>
              </w:rPr>
              <w:t>Org. country:</w:t>
            </w:r>
            <w:r w:rsidRPr="00786F18">
              <w:rPr>
                <w:rFonts w:ascii="Verdana" w:hAnsi="Verdana"/>
                <w:sz w:val="20"/>
                <w:szCs w:val="20"/>
              </w:rPr>
              <w:t xml:space="preserve"> </w:t>
            </w:r>
            <w:r w:rsidRPr="00A50B90">
              <w:rPr>
                <w:rFonts w:ascii="Verdana" w:hAnsi="Verdana"/>
                <w:noProof/>
                <w:sz w:val="20"/>
                <w:szCs w:val="20"/>
              </w:rPr>
              <w:t>Germany</w:t>
            </w:r>
          </w:p>
          <w:p w14:paraId="4CE37390" w14:textId="77777777" w:rsidR="00970B70" w:rsidRPr="00786F18" w:rsidRDefault="00970B70" w:rsidP="00555417">
            <w:pPr>
              <w:rPr>
                <w:rFonts w:ascii="Verdana" w:hAnsi="Verdana"/>
                <w:sz w:val="20"/>
                <w:szCs w:val="20"/>
              </w:rPr>
            </w:pPr>
          </w:p>
        </w:tc>
        <w:tc>
          <w:tcPr>
            <w:tcW w:w="3594" w:type="pct"/>
          </w:tcPr>
          <w:p w14:paraId="4CD543E9" w14:textId="77777777" w:rsidR="00970B70" w:rsidRPr="00786F18" w:rsidRDefault="00970B70" w:rsidP="00555417">
            <w:pPr>
              <w:rPr>
                <w:rFonts w:ascii="Verdana" w:hAnsi="Verdana"/>
                <w:b/>
                <w:sz w:val="20"/>
                <w:szCs w:val="20"/>
              </w:rPr>
            </w:pPr>
            <w:r w:rsidRPr="00786F18">
              <w:rPr>
                <w:rFonts w:ascii="Verdana" w:hAnsi="Verdana"/>
                <w:b/>
                <w:sz w:val="20"/>
                <w:szCs w:val="20"/>
              </w:rPr>
              <w:t>Comment:</w:t>
            </w:r>
          </w:p>
          <w:p w14:paraId="2C9B315D" w14:textId="77777777" w:rsidR="00970B70" w:rsidRPr="00786F18" w:rsidRDefault="00970B70" w:rsidP="00555417">
            <w:pPr>
              <w:rPr>
                <w:rFonts w:ascii="Verdana" w:hAnsi="Verdana"/>
                <w:sz w:val="20"/>
                <w:szCs w:val="20"/>
              </w:rPr>
            </w:pPr>
            <w:r w:rsidRPr="00A50B90">
              <w:rPr>
                <w:rFonts w:ascii="Verdana" w:hAnsi="Verdana"/>
                <w:noProof/>
                <w:sz w:val="20"/>
                <w:szCs w:val="20"/>
              </w:rPr>
              <w:t xml:space="preserve">PFHxS is contained as impurity in concentrates for fire fighting foams needed to extiguish large fires of fuels containing biofuels. Analysis of fire fighting foams are contained in the informative material geared to PFOA uploaded separately. Nevertheless, comments to PFOA in the files likewise apply to PFHxS. According to Information from foam producing companies, there is no alternative for perfluorinated chemicals in this application to be expected. </w:t>
            </w:r>
            <w:r w:rsidRPr="00B97A0A">
              <w:rPr>
                <w:rFonts w:ascii="Verdana" w:hAnsi="Verdana"/>
                <w:noProof/>
                <w:sz w:val="20"/>
                <w:szCs w:val="20"/>
              </w:rPr>
              <w:t>The Derogation foreseen as number 4. (b) needs to be unlimited in time.</w:t>
            </w:r>
          </w:p>
          <w:p w14:paraId="58C18FF4" w14:textId="77777777" w:rsidR="00970B70" w:rsidRPr="00786F18" w:rsidRDefault="00970B70" w:rsidP="00555417">
            <w:pPr>
              <w:rPr>
                <w:rFonts w:ascii="Verdana" w:hAnsi="Verdana"/>
                <w:sz w:val="20"/>
                <w:szCs w:val="20"/>
              </w:rPr>
            </w:pPr>
          </w:p>
        </w:tc>
      </w:tr>
      <w:tr w:rsidR="00970B70" w:rsidRPr="00786F18" w14:paraId="36D9CA60" w14:textId="77777777" w:rsidTr="00A357CF">
        <w:trPr>
          <w:trHeight w:val="505"/>
        </w:trPr>
        <w:tc>
          <w:tcPr>
            <w:tcW w:w="301" w:type="pct"/>
            <w:vMerge/>
          </w:tcPr>
          <w:p w14:paraId="1CED203B" w14:textId="77777777" w:rsidR="00970B70" w:rsidRPr="00786F18" w:rsidRDefault="00970B70" w:rsidP="00555417">
            <w:pPr>
              <w:rPr>
                <w:rFonts w:ascii="Verdana" w:hAnsi="Verdana"/>
                <w:sz w:val="20"/>
                <w:szCs w:val="20"/>
              </w:rPr>
            </w:pPr>
          </w:p>
        </w:tc>
        <w:tc>
          <w:tcPr>
            <w:tcW w:w="1105" w:type="pct"/>
            <w:vMerge/>
          </w:tcPr>
          <w:p w14:paraId="4FFA4AAE" w14:textId="77777777" w:rsidR="00970B70" w:rsidRPr="00786F18" w:rsidRDefault="00970B70" w:rsidP="00555417">
            <w:pPr>
              <w:rPr>
                <w:rFonts w:ascii="Verdana" w:hAnsi="Verdana"/>
                <w:sz w:val="20"/>
                <w:szCs w:val="20"/>
              </w:rPr>
            </w:pPr>
          </w:p>
        </w:tc>
        <w:tc>
          <w:tcPr>
            <w:tcW w:w="3594" w:type="pct"/>
          </w:tcPr>
          <w:p w14:paraId="0ADAF2C9" w14:textId="12F87417" w:rsidR="00973F33" w:rsidRPr="00973F33" w:rsidRDefault="00970B70" w:rsidP="00555417">
            <w:pPr>
              <w:rPr>
                <w:rFonts w:ascii="Verdana" w:hAnsi="Verdana"/>
                <w:b/>
                <w:sz w:val="20"/>
                <w:szCs w:val="20"/>
              </w:rPr>
            </w:pPr>
            <w:r w:rsidRPr="00786F18">
              <w:rPr>
                <w:rFonts w:ascii="Verdana" w:hAnsi="Verdana"/>
                <w:b/>
                <w:sz w:val="20"/>
                <w:szCs w:val="20"/>
              </w:rPr>
              <w:t>Dossier submitter response:</w:t>
            </w:r>
          </w:p>
          <w:p w14:paraId="5098788B" w14:textId="31732A97" w:rsidR="00973F33" w:rsidRDefault="00973F33" w:rsidP="00555417">
            <w:pPr>
              <w:rPr>
                <w:rFonts w:ascii="Verdana" w:hAnsi="Verdana"/>
                <w:sz w:val="20"/>
                <w:szCs w:val="20"/>
              </w:rPr>
            </w:pPr>
            <w:r>
              <w:rPr>
                <w:rFonts w:ascii="Verdana" w:hAnsi="Verdana"/>
                <w:sz w:val="20"/>
                <w:szCs w:val="20"/>
              </w:rPr>
              <w:t>Thank you for sharing your view on fire</w:t>
            </w:r>
            <w:r w:rsidR="00A86889">
              <w:rPr>
                <w:rFonts w:ascii="Verdana" w:hAnsi="Verdana"/>
                <w:sz w:val="20"/>
                <w:szCs w:val="20"/>
              </w:rPr>
              <w:t>-</w:t>
            </w:r>
            <w:r>
              <w:rPr>
                <w:rFonts w:ascii="Verdana" w:hAnsi="Verdana"/>
                <w:sz w:val="20"/>
                <w:szCs w:val="20"/>
              </w:rPr>
              <w:t>fighting foams.</w:t>
            </w:r>
          </w:p>
          <w:p w14:paraId="3F7E1D60" w14:textId="77777777" w:rsidR="00FA309F" w:rsidRDefault="00FA309F" w:rsidP="00555417">
            <w:pPr>
              <w:rPr>
                <w:rFonts w:ascii="Verdana" w:hAnsi="Verdana"/>
                <w:sz w:val="20"/>
                <w:szCs w:val="20"/>
              </w:rPr>
            </w:pPr>
          </w:p>
          <w:p w14:paraId="2A482DED" w14:textId="6DDBAACC" w:rsidR="002F65F0" w:rsidRDefault="00327FD4" w:rsidP="00327FD4">
            <w:pPr>
              <w:rPr>
                <w:rFonts w:ascii="Verdana" w:hAnsi="Verdana"/>
                <w:sz w:val="20"/>
                <w:szCs w:val="20"/>
              </w:rPr>
            </w:pPr>
            <w:r>
              <w:rPr>
                <w:rFonts w:ascii="Verdana" w:hAnsi="Verdana"/>
                <w:sz w:val="20"/>
                <w:szCs w:val="20"/>
              </w:rPr>
              <w:t>According to the fire-fighting foam producers,</w:t>
            </w:r>
            <w:r w:rsidRPr="00327FD4">
              <w:rPr>
                <w:rFonts w:ascii="Verdana" w:hAnsi="Verdana"/>
                <w:sz w:val="20"/>
                <w:szCs w:val="20"/>
              </w:rPr>
              <w:t xml:space="preserve"> PFHxS and PFHxS-related substances are not present as impurities in </w:t>
            </w:r>
            <w:r w:rsidR="00A86889">
              <w:rPr>
                <w:rFonts w:ascii="Verdana" w:hAnsi="Verdana"/>
                <w:sz w:val="20"/>
                <w:szCs w:val="20"/>
              </w:rPr>
              <w:t>new</w:t>
            </w:r>
            <w:r w:rsidRPr="00327FD4">
              <w:rPr>
                <w:rFonts w:ascii="Verdana" w:hAnsi="Verdana"/>
                <w:sz w:val="20"/>
                <w:szCs w:val="20"/>
              </w:rPr>
              <w:t xml:space="preserve"> </w:t>
            </w:r>
            <w:r>
              <w:rPr>
                <w:rFonts w:ascii="Verdana" w:hAnsi="Verdana"/>
                <w:sz w:val="20"/>
                <w:szCs w:val="20"/>
              </w:rPr>
              <w:t>fire-fighting foams</w:t>
            </w:r>
            <w:r w:rsidRPr="00327FD4">
              <w:rPr>
                <w:rFonts w:ascii="Verdana" w:hAnsi="Verdana"/>
                <w:sz w:val="20"/>
                <w:szCs w:val="20"/>
              </w:rPr>
              <w:t>.</w:t>
            </w:r>
            <w:r w:rsidR="002F65F0">
              <w:rPr>
                <w:rFonts w:ascii="Verdana" w:hAnsi="Verdana"/>
                <w:sz w:val="20"/>
                <w:szCs w:val="20"/>
              </w:rPr>
              <w:t xml:space="preserve"> Analyses of 14 fire-fighting foams revealed that all foams contained 6:2 FTS, while 10 of the foams did not contain PFHxS (KEMI, 2017).</w:t>
            </w:r>
            <w:r>
              <w:rPr>
                <w:rFonts w:ascii="Verdana" w:hAnsi="Verdana"/>
                <w:sz w:val="20"/>
                <w:szCs w:val="20"/>
              </w:rPr>
              <w:t xml:space="preserve"> 6:2 FTS is a PFHxA-precursor. Non-fluorinated </w:t>
            </w:r>
            <w:r w:rsidR="002F65F0">
              <w:rPr>
                <w:rFonts w:ascii="Verdana" w:hAnsi="Verdana"/>
                <w:sz w:val="20"/>
                <w:szCs w:val="20"/>
              </w:rPr>
              <w:t xml:space="preserve">fire-fighting foam </w:t>
            </w:r>
            <w:r>
              <w:rPr>
                <w:rFonts w:ascii="Verdana" w:hAnsi="Verdana"/>
                <w:sz w:val="20"/>
                <w:szCs w:val="20"/>
              </w:rPr>
              <w:t xml:space="preserve">alternatives are also available and used within most sectors, see chapter A.2.9 of the proposal for details. </w:t>
            </w:r>
          </w:p>
          <w:p w14:paraId="3794B0F3" w14:textId="77777777" w:rsidR="002F65F0" w:rsidRDefault="002F65F0" w:rsidP="00327FD4">
            <w:pPr>
              <w:rPr>
                <w:rFonts w:ascii="Verdana" w:hAnsi="Verdana"/>
                <w:sz w:val="20"/>
                <w:szCs w:val="20"/>
              </w:rPr>
            </w:pPr>
          </w:p>
          <w:p w14:paraId="202A1E83" w14:textId="2E16B118" w:rsidR="00327FD4" w:rsidRDefault="00327FD4" w:rsidP="00327FD4">
            <w:pPr>
              <w:rPr>
                <w:rFonts w:ascii="Verdana" w:hAnsi="Verdana"/>
                <w:sz w:val="20"/>
                <w:szCs w:val="20"/>
              </w:rPr>
            </w:pPr>
            <w:r>
              <w:rPr>
                <w:rFonts w:ascii="Verdana" w:hAnsi="Verdana"/>
                <w:sz w:val="20"/>
                <w:szCs w:val="20"/>
              </w:rPr>
              <w:t xml:space="preserve">It is therefore not justified to introduce a permanent derogation for the manufacture or placing on the market of PFHxS or PFHxS-related substances in </w:t>
            </w:r>
            <w:r w:rsidRPr="00FA309F">
              <w:rPr>
                <w:rFonts w:ascii="Verdana" w:hAnsi="Verdana"/>
                <w:sz w:val="20"/>
                <w:szCs w:val="20"/>
              </w:rPr>
              <w:t>concentrated fire-fighting foam mixtures that are to be used, or are used in the in the production of other fire-fighting foam mixtures.</w:t>
            </w:r>
          </w:p>
          <w:p w14:paraId="33995C8A" w14:textId="77777777" w:rsidR="00FA309F" w:rsidRDefault="00FA309F" w:rsidP="001D6AAF">
            <w:pPr>
              <w:rPr>
                <w:rFonts w:ascii="Verdana" w:hAnsi="Verdana"/>
                <w:sz w:val="20"/>
                <w:szCs w:val="20"/>
              </w:rPr>
            </w:pPr>
          </w:p>
          <w:p w14:paraId="03D2E562" w14:textId="5AA785FE" w:rsidR="00970B70" w:rsidRDefault="00D16271" w:rsidP="001D6AAF">
            <w:pPr>
              <w:rPr>
                <w:rFonts w:ascii="Verdana" w:hAnsi="Verdana"/>
                <w:sz w:val="20"/>
                <w:szCs w:val="20"/>
              </w:rPr>
            </w:pPr>
            <w:r w:rsidRPr="00D16271">
              <w:rPr>
                <w:rFonts w:ascii="Verdana" w:hAnsi="Verdana"/>
                <w:sz w:val="20"/>
                <w:szCs w:val="20"/>
              </w:rPr>
              <w:t xml:space="preserve">Old fire-fighting foams (AFFF) </w:t>
            </w:r>
            <w:r w:rsidR="00327FD4">
              <w:rPr>
                <w:rFonts w:ascii="Verdana" w:hAnsi="Verdana"/>
                <w:sz w:val="20"/>
                <w:szCs w:val="20"/>
              </w:rPr>
              <w:t xml:space="preserve">that </w:t>
            </w:r>
            <w:r w:rsidR="00103A3F">
              <w:rPr>
                <w:rFonts w:ascii="Verdana" w:hAnsi="Verdana"/>
                <w:sz w:val="20"/>
                <w:szCs w:val="20"/>
              </w:rPr>
              <w:t>were</w:t>
            </w:r>
            <w:r w:rsidR="00327FD4">
              <w:rPr>
                <w:rFonts w:ascii="Verdana" w:hAnsi="Verdana"/>
                <w:sz w:val="20"/>
                <w:szCs w:val="20"/>
              </w:rPr>
              <w:t xml:space="preserve"> placed on the market before the entry into force of the restriction </w:t>
            </w:r>
            <w:r w:rsidRPr="00D16271">
              <w:rPr>
                <w:rFonts w:ascii="Verdana" w:hAnsi="Verdana"/>
                <w:sz w:val="20"/>
                <w:szCs w:val="20"/>
              </w:rPr>
              <w:t xml:space="preserve">containing </w:t>
            </w:r>
            <w:r>
              <w:rPr>
                <w:rFonts w:ascii="Verdana" w:hAnsi="Verdana"/>
                <w:sz w:val="20"/>
                <w:szCs w:val="20"/>
              </w:rPr>
              <w:t>PFHxS or PFHxS related substances</w:t>
            </w:r>
            <w:r w:rsidRPr="00D16271">
              <w:rPr>
                <w:rFonts w:ascii="Verdana" w:hAnsi="Verdana"/>
                <w:sz w:val="20"/>
                <w:szCs w:val="20"/>
              </w:rPr>
              <w:t xml:space="preserve"> as an impurity</w:t>
            </w:r>
            <w:r>
              <w:rPr>
                <w:rFonts w:ascii="Verdana" w:hAnsi="Verdana"/>
                <w:sz w:val="20"/>
                <w:szCs w:val="20"/>
              </w:rPr>
              <w:t xml:space="preserve"> is not within the scope of the restriction proposal. </w:t>
            </w:r>
          </w:p>
          <w:p w14:paraId="1805F020" w14:textId="76ED2C8C" w:rsidR="00D16271" w:rsidRPr="00786F18" w:rsidRDefault="00D16271" w:rsidP="001D6AAF">
            <w:pPr>
              <w:rPr>
                <w:rFonts w:ascii="Verdana" w:hAnsi="Verdana"/>
                <w:sz w:val="20"/>
                <w:szCs w:val="20"/>
              </w:rPr>
            </w:pPr>
          </w:p>
        </w:tc>
      </w:tr>
      <w:tr w:rsidR="00970B70" w:rsidRPr="00786F18" w14:paraId="175D7A03" w14:textId="77777777" w:rsidTr="00A357CF">
        <w:trPr>
          <w:trHeight w:val="561"/>
        </w:trPr>
        <w:tc>
          <w:tcPr>
            <w:tcW w:w="301" w:type="pct"/>
            <w:vMerge/>
          </w:tcPr>
          <w:p w14:paraId="5C359B0B" w14:textId="77777777" w:rsidR="00970B70" w:rsidRPr="00786F18" w:rsidRDefault="00970B70" w:rsidP="00555417">
            <w:pPr>
              <w:rPr>
                <w:rFonts w:ascii="Verdana" w:hAnsi="Verdana"/>
                <w:sz w:val="20"/>
                <w:szCs w:val="20"/>
              </w:rPr>
            </w:pPr>
          </w:p>
        </w:tc>
        <w:tc>
          <w:tcPr>
            <w:tcW w:w="1105" w:type="pct"/>
            <w:vMerge/>
          </w:tcPr>
          <w:p w14:paraId="0F89CA7E" w14:textId="77777777" w:rsidR="00970B70" w:rsidRPr="00786F18" w:rsidRDefault="00970B70" w:rsidP="00555417">
            <w:pPr>
              <w:rPr>
                <w:rFonts w:ascii="Verdana" w:hAnsi="Verdana"/>
                <w:sz w:val="20"/>
                <w:szCs w:val="20"/>
              </w:rPr>
            </w:pPr>
          </w:p>
        </w:tc>
        <w:tc>
          <w:tcPr>
            <w:tcW w:w="3594" w:type="pct"/>
          </w:tcPr>
          <w:p w14:paraId="342A00EA" w14:textId="77777777" w:rsidR="00970B70" w:rsidRPr="00786F18" w:rsidRDefault="00970B70" w:rsidP="00555417">
            <w:pPr>
              <w:rPr>
                <w:rFonts w:ascii="Verdana" w:hAnsi="Verdana"/>
                <w:b/>
                <w:sz w:val="20"/>
                <w:szCs w:val="20"/>
              </w:rPr>
            </w:pPr>
            <w:r w:rsidRPr="00786F18">
              <w:rPr>
                <w:rFonts w:ascii="Verdana" w:hAnsi="Verdana"/>
                <w:b/>
                <w:sz w:val="20"/>
                <w:szCs w:val="20"/>
              </w:rPr>
              <w:t>RAC Rapporteurs comments:</w:t>
            </w:r>
          </w:p>
          <w:p w14:paraId="4A71F33D" w14:textId="655C85FB" w:rsidR="00970B70" w:rsidRPr="00786F18" w:rsidRDefault="002D347F" w:rsidP="00555417">
            <w:pPr>
              <w:rPr>
                <w:rFonts w:ascii="Verdana" w:hAnsi="Verdana"/>
                <w:sz w:val="20"/>
                <w:szCs w:val="20"/>
              </w:rPr>
            </w:pPr>
            <w:r>
              <w:rPr>
                <w:rFonts w:ascii="Verdana" w:hAnsi="Verdana"/>
                <w:sz w:val="20"/>
                <w:szCs w:val="20"/>
              </w:rPr>
              <w:t>Thank you for your comment. RAC is of the opinion that there is no need for a permanent derogation for PFHxS-containing fire-fighting foams, as no such new foams are currently being placed in the EU market. The amount of PFHxS in existing remaining stocks of fire-fighting foams containing PFHxS are considered low in relation to already emitted PFHxS and current emissions of PFHxS and are therefore accepted to be derogated from the restriction. However, RAC advise</w:t>
            </w:r>
            <w:r w:rsidR="00DE0033">
              <w:rPr>
                <w:rFonts w:ascii="Verdana" w:hAnsi="Verdana"/>
                <w:sz w:val="20"/>
                <w:szCs w:val="20"/>
              </w:rPr>
              <w:t>s</w:t>
            </w:r>
            <w:r>
              <w:rPr>
                <w:rFonts w:ascii="Verdana" w:hAnsi="Verdana"/>
                <w:sz w:val="20"/>
                <w:szCs w:val="20"/>
              </w:rPr>
              <w:t xml:space="preserve"> to collect and properly dispose any such foams used for testing and training.  </w:t>
            </w:r>
          </w:p>
          <w:p w14:paraId="108D4A06" w14:textId="77777777" w:rsidR="00970B70" w:rsidRPr="00786F18" w:rsidRDefault="00970B70" w:rsidP="00555417">
            <w:pPr>
              <w:rPr>
                <w:rFonts w:ascii="Verdana" w:hAnsi="Verdana"/>
                <w:sz w:val="20"/>
                <w:szCs w:val="20"/>
              </w:rPr>
            </w:pPr>
          </w:p>
        </w:tc>
      </w:tr>
      <w:tr w:rsidR="00970B70" w:rsidRPr="00786F18" w14:paraId="76386874" w14:textId="77777777" w:rsidTr="00A357CF">
        <w:trPr>
          <w:trHeight w:val="991"/>
        </w:trPr>
        <w:tc>
          <w:tcPr>
            <w:tcW w:w="301" w:type="pct"/>
            <w:vMerge/>
          </w:tcPr>
          <w:p w14:paraId="781E708C" w14:textId="77777777" w:rsidR="00970B70" w:rsidRPr="00786F18" w:rsidRDefault="00970B70" w:rsidP="00555417">
            <w:pPr>
              <w:rPr>
                <w:rFonts w:ascii="Verdana" w:hAnsi="Verdana"/>
                <w:sz w:val="20"/>
                <w:szCs w:val="20"/>
              </w:rPr>
            </w:pPr>
          </w:p>
        </w:tc>
        <w:tc>
          <w:tcPr>
            <w:tcW w:w="1105" w:type="pct"/>
            <w:vMerge/>
          </w:tcPr>
          <w:p w14:paraId="42D09230" w14:textId="77777777" w:rsidR="00970B70" w:rsidRPr="00786F18" w:rsidRDefault="00970B70" w:rsidP="00555417">
            <w:pPr>
              <w:rPr>
                <w:rFonts w:ascii="Verdana" w:hAnsi="Verdana"/>
                <w:sz w:val="20"/>
                <w:szCs w:val="20"/>
              </w:rPr>
            </w:pPr>
          </w:p>
        </w:tc>
        <w:tc>
          <w:tcPr>
            <w:tcW w:w="3594" w:type="pct"/>
          </w:tcPr>
          <w:p w14:paraId="5685017F" w14:textId="77777777" w:rsidR="00970B70" w:rsidRPr="00786F18" w:rsidRDefault="00970B70" w:rsidP="00555417">
            <w:pPr>
              <w:rPr>
                <w:rFonts w:ascii="Verdana" w:hAnsi="Verdana"/>
                <w:b/>
                <w:sz w:val="20"/>
                <w:szCs w:val="20"/>
              </w:rPr>
            </w:pPr>
            <w:r w:rsidRPr="00786F18">
              <w:rPr>
                <w:rFonts w:ascii="Verdana" w:hAnsi="Verdana"/>
                <w:b/>
                <w:sz w:val="20"/>
                <w:szCs w:val="20"/>
              </w:rPr>
              <w:t>SEAC Rapporteurs comments:</w:t>
            </w:r>
          </w:p>
          <w:p w14:paraId="4797389B" w14:textId="77777777" w:rsidR="00970B70" w:rsidRPr="00786F18" w:rsidRDefault="00970B70" w:rsidP="00555417">
            <w:pPr>
              <w:rPr>
                <w:rFonts w:ascii="Verdana" w:hAnsi="Verdana"/>
                <w:sz w:val="20"/>
                <w:szCs w:val="20"/>
              </w:rPr>
            </w:pPr>
          </w:p>
          <w:p w14:paraId="509679DB" w14:textId="77777777" w:rsidR="00D02672" w:rsidRDefault="00D02672" w:rsidP="00D02672">
            <w:pPr>
              <w:rPr>
                <w:rFonts w:ascii="Verdana" w:hAnsi="Verdana"/>
                <w:sz w:val="20"/>
                <w:szCs w:val="20"/>
              </w:rPr>
            </w:pPr>
            <w:r>
              <w:rPr>
                <w:rFonts w:ascii="Verdana" w:hAnsi="Verdana"/>
                <w:sz w:val="20"/>
                <w:szCs w:val="20"/>
              </w:rPr>
              <w:t>Thank you for your comment.</w:t>
            </w:r>
          </w:p>
          <w:p w14:paraId="37CDAE8F" w14:textId="77777777" w:rsidR="00D02672" w:rsidRDefault="00D02672" w:rsidP="00D02672">
            <w:pPr>
              <w:rPr>
                <w:rFonts w:ascii="Verdana" w:hAnsi="Verdana"/>
                <w:sz w:val="20"/>
                <w:szCs w:val="20"/>
              </w:rPr>
            </w:pPr>
            <w:r>
              <w:rPr>
                <w:rFonts w:ascii="Verdana" w:hAnsi="Verdana"/>
                <w:sz w:val="20"/>
                <w:szCs w:val="20"/>
              </w:rPr>
              <w:t>We agree with the Dossier Submitter’s response.</w:t>
            </w:r>
          </w:p>
          <w:p w14:paraId="68AE8248" w14:textId="33AC57C1" w:rsidR="00D02672" w:rsidRDefault="008F4379" w:rsidP="00D02672">
            <w:pPr>
              <w:rPr>
                <w:rFonts w:ascii="Verdana" w:hAnsi="Verdana"/>
                <w:sz w:val="20"/>
                <w:szCs w:val="20"/>
              </w:rPr>
            </w:pPr>
            <w:r>
              <w:rPr>
                <w:rFonts w:ascii="Verdana" w:hAnsi="Verdana"/>
                <w:sz w:val="20"/>
                <w:szCs w:val="20"/>
              </w:rPr>
              <w:t>W</w:t>
            </w:r>
            <w:r w:rsidR="00D02672">
              <w:rPr>
                <w:rFonts w:ascii="Verdana" w:hAnsi="Verdana"/>
                <w:sz w:val="20"/>
                <w:szCs w:val="20"/>
              </w:rPr>
              <w:t xml:space="preserve">e also point out possible difficulties in finding </w:t>
            </w:r>
            <w:r w:rsidR="00674458">
              <w:rPr>
                <w:rFonts w:ascii="Verdana" w:hAnsi="Verdana"/>
                <w:sz w:val="20"/>
                <w:szCs w:val="20"/>
              </w:rPr>
              <w:t xml:space="preserve">non-fluorinated </w:t>
            </w:r>
            <w:r w:rsidR="00D02672">
              <w:rPr>
                <w:rFonts w:ascii="Verdana" w:hAnsi="Verdana"/>
                <w:sz w:val="20"/>
                <w:szCs w:val="20"/>
              </w:rPr>
              <w:t>alternatives with sufficient performance in some special kinds of fires</w:t>
            </w:r>
            <w:r>
              <w:rPr>
                <w:rFonts w:ascii="Verdana" w:hAnsi="Verdana"/>
                <w:sz w:val="20"/>
                <w:szCs w:val="20"/>
              </w:rPr>
              <w:t xml:space="preserve"> in the opinion</w:t>
            </w:r>
            <w:r w:rsidR="00D02672">
              <w:rPr>
                <w:rFonts w:ascii="Verdana" w:hAnsi="Verdana"/>
                <w:sz w:val="20"/>
                <w:szCs w:val="20"/>
              </w:rPr>
              <w:t>.</w:t>
            </w:r>
          </w:p>
          <w:p w14:paraId="0F63797D" w14:textId="77777777" w:rsidR="00970B70" w:rsidRPr="00786F18" w:rsidRDefault="00970B70" w:rsidP="00555417">
            <w:pPr>
              <w:rPr>
                <w:rFonts w:ascii="Verdana" w:hAnsi="Verdana"/>
                <w:sz w:val="20"/>
                <w:szCs w:val="20"/>
              </w:rPr>
            </w:pPr>
          </w:p>
        </w:tc>
      </w:tr>
      <w:tr w:rsidR="000D08CF" w:rsidRPr="00786F18" w14:paraId="206CA3D6" w14:textId="77777777" w:rsidTr="00A357CF">
        <w:tc>
          <w:tcPr>
            <w:tcW w:w="301" w:type="pct"/>
            <w:vMerge w:val="restart"/>
          </w:tcPr>
          <w:p w14:paraId="133CC69F" w14:textId="77777777" w:rsidR="000D08CF" w:rsidRPr="00786F18" w:rsidRDefault="000D08CF" w:rsidP="00555417">
            <w:pPr>
              <w:rPr>
                <w:rFonts w:ascii="Verdana" w:hAnsi="Verdana"/>
                <w:b/>
                <w:sz w:val="20"/>
                <w:szCs w:val="20"/>
              </w:rPr>
            </w:pPr>
            <w:r w:rsidRPr="00A66210">
              <w:rPr>
                <w:rFonts w:ascii="Verdana" w:hAnsi="Verdana"/>
                <w:b/>
                <w:noProof/>
                <w:sz w:val="20"/>
                <w:szCs w:val="20"/>
              </w:rPr>
              <w:t>2751</w:t>
            </w:r>
          </w:p>
        </w:tc>
        <w:tc>
          <w:tcPr>
            <w:tcW w:w="1105" w:type="pct"/>
            <w:vMerge w:val="restart"/>
          </w:tcPr>
          <w:p w14:paraId="1D9C7F48" w14:textId="77777777" w:rsidR="000D08CF" w:rsidRPr="00786F18" w:rsidRDefault="000D08CF" w:rsidP="00555417">
            <w:pPr>
              <w:rPr>
                <w:rFonts w:ascii="Verdana" w:hAnsi="Verdana"/>
                <w:sz w:val="20"/>
                <w:szCs w:val="20"/>
              </w:rPr>
            </w:pPr>
            <w:r w:rsidRPr="00786F18">
              <w:rPr>
                <w:rFonts w:ascii="Verdana" w:hAnsi="Verdana"/>
                <w:b/>
                <w:sz w:val="20"/>
                <w:szCs w:val="20"/>
              </w:rPr>
              <w:t>Date:</w:t>
            </w:r>
            <w:r w:rsidRPr="00786F18">
              <w:rPr>
                <w:rFonts w:ascii="Verdana" w:hAnsi="Verdana"/>
                <w:sz w:val="20"/>
                <w:szCs w:val="20"/>
              </w:rPr>
              <w:t xml:space="preserve"> </w:t>
            </w:r>
            <w:r w:rsidRPr="00A66210">
              <w:rPr>
                <w:rFonts w:ascii="Verdana" w:hAnsi="Verdana"/>
                <w:noProof/>
                <w:sz w:val="20"/>
                <w:szCs w:val="20"/>
              </w:rPr>
              <w:t>2019/11/06 17:53</w:t>
            </w:r>
          </w:p>
          <w:p w14:paraId="17CBA581" w14:textId="77777777" w:rsidR="000D08CF" w:rsidRPr="00786F18" w:rsidRDefault="000D08CF" w:rsidP="00555417">
            <w:pPr>
              <w:rPr>
                <w:rFonts w:ascii="Verdana" w:hAnsi="Verdana"/>
                <w:sz w:val="20"/>
                <w:szCs w:val="20"/>
              </w:rPr>
            </w:pPr>
          </w:p>
          <w:p w14:paraId="7A99101D" w14:textId="77777777" w:rsidR="000D08CF" w:rsidRPr="00786F18" w:rsidRDefault="000D08CF" w:rsidP="00555417">
            <w:pPr>
              <w:rPr>
                <w:rFonts w:ascii="Verdana" w:hAnsi="Verdana"/>
                <w:sz w:val="20"/>
                <w:szCs w:val="20"/>
              </w:rPr>
            </w:pPr>
            <w:r w:rsidRPr="00786F18">
              <w:rPr>
                <w:rFonts w:ascii="Verdana" w:hAnsi="Verdana"/>
                <w:b/>
                <w:sz w:val="20"/>
                <w:szCs w:val="20"/>
              </w:rPr>
              <w:t>Type:</w:t>
            </w:r>
            <w:r w:rsidRPr="00786F18">
              <w:rPr>
                <w:rFonts w:ascii="Verdana" w:hAnsi="Verdana"/>
                <w:sz w:val="20"/>
                <w:szCs w:val="20"/>
              </w:rPr>
              <w:t xml:space="preserve"> </w:t>
            </w:r>
            <w:r w:rsidRPr="00A66210">
              <w:rPr>
                <w:rFonts w:ascii="Verdana" w:hAnsi="Verdana"/>
                <w:noProof/>
                <w:sz w:val="20"/>
                <w:szCs w:val="20"/>
              </w:rPr>
              <w:t>MemberState</w:t>
            </w:r>
          </w:p>
          <w:p w14:paraId="5D0C28F6" w14:textId="77777777" w:rsidR="000D08CF" w:rsidRPr="00786F18" w:rsidRDefault="000D08CF" w:rsidP="00555417">
            <w:pPr>
              <w:rPr>
                <w:rFonts w:ascii="Verdana" w:hAnsi="Verdana"/>
                <w:sz w:val="20"/>
                <w:szCs w:val="20"/>
              </w:rPr>
            </w:pPr>
          </w:p>
          <w:p w14:paraId="368C4C18" w14:textId="77777777" w:rsidR="000D08CF" w:rsidRPr="00786F18" w:rsidRDefault="000D08CF" w:rsidP="00555417">
            <w:pPr>
              <w:rPr>
                <w:rFonts w:ascii="Verdana" w:hAnsi="Verdana"/>
                <w:b/>
                <w:sz w:val="20"/>
                <w:szCs w:val="20"/>
              </w:rPr>
            </w:pPr>
            <w:r w:rsidRPr="00786F18">
              <w:rPr>
                <w:rFonts w:ascii="Verdana" w:hAnsi="Verdana"/>
                <w:b/>
                <w:sz w:val="20"/>
                <w:szCs w:val="20"/>
              </w:rPr>
              <w:t>Country:</w:t>
            </w:r>
          </w:p>
          <w:p w14:paraId="3F500FAF" w14:textId="77777777" w:rsidR="000D08CF" w:rsidRPr="00786F18" w:rsidRDefault="000D08CF" w:rsidP="00555417">
            <w:pPr>
              <w:rPr>
                <w:rFonts w:ascii="Verdana" w:hAnsi="Verdana"/>
                <w:sz w:val="20"/>
                <w:szCs w:val="20"/>
              </w:rPr>
            </w:pPr>
            <w:r w:rsidRPr="00A66210">
              <w:rPr>
                <w:rFonts w:ascii="Verdana" w:hAnsi="Verdana"/>
                <w:noProof/>
                <w:sz w:val="20"/>
                <w:szCs w:val="20"/>
              </w:rPr>
              <w:t>Sweden</w:t>
            </w:r>
          </w:p>
          <w:p w14:paraId="7D7673AE" w14:textId="77777777" w:rsidR="000D08CF" w:rsidRPr="00786F18" w:rsidRDefault="000D08CF" w:rsidP="00555417">
            <w:pPr>
              <w:rPr>
                <w:rFonts w:ascii="Verdana" w:hAnsi="Verdana"/>
                <w:sz w:val="20"/>
                <w:szCs w:val="20"/>
              </w:rPr>
            </w:pPr>
          </w:p>
          <w:p w14:paraId="4440C283" w14:textId="77777777" w:rsidR="000D08CF" w:rsidRPr="00636B9E" w:rsidRDefault="000D08CF" w:rsidP="00555417">
            <w:pPr>
              <w:rPr>
                <w:rFonts w:ascii="Verdana" w:hAnsi="Verdana"/>
                <w:b/>
                <w:sz w:val="20"/>
                <w:szCs w:val="20"/>
              </w:rPr>
            </w:pPr>
            <w:r w:rsidRPr="00636B9E">
              <w:rPr>
                <w:rFonts w:ascii="Verdana" w:hAnsi="Verdana"/>
                <w:b/>
                <w:sz w:val="20"/>
                <w:szCs w:val="20"/>
              </w:rPr>
              <w:t>Attachment:</w:t>
            </w:r>
          </w:p>
          <w:p w14:paraId="0372EF70" w14:textId="77777777" w:rsidR="000D08CF" w:rsidRPr="00636B9E" w:rsidRDefault="000D08CF" w:rsidP="00555417">
            <w:pPr>
              <w:rPr>
                <w:rFonts w:ascii="Verdana" w:hAnsi="Verdana"/>
                <w:b/>
                <w:sz w:val="20"/>
                <w:szCs w:val="20"/>
              </w:rPr>
            </w:pPr>
          </w:p>
          <w:bookmarkStart w:id="2" w:name="_MON_1635055634"/>
          <w:bookmarkEnd w:id="2"/>
          <w:p w14:paraId="6B5858FA" w14:textId="2AF0A0FE" w:rsidR="000D08CF" w:rsidRDefault="00902589" w:rsidP="00555417">
            <w:pPr>
              <w:rPr>
                <w:rFonts w:ascii="Verdana" w:hAnsi="Verdana"/>
                <w:noProof/>
                <w:sz w:val="20"/>
                <w:szCs w:val="20"/>
              </w:rPr>
            </w:pPr>
            <w:r>
              <w:rPr>
                <w:rFonts w:ascii="Verdana" w:hAnsi="Verdana"/>
                <w:noProof/>
                <w:sz w:val="20"/>
                <w:szCs w:val="20"/>
              </w:rPr>
              <w:object w:dxaOrig="1068" w:dyaOrig="712" w14:anchorId="65FC184A">
                <v:shape id="_x0000_i1027" type="#_x0000_t75" style="width:52.3pt;height:35.35pt" o:ole="">
                  <v:imagedata r:id="rId21" o:title=""/>
                </v:shape>
                <o:OLEObject Type="Embed" ProgID="Word.Document.12" ShapeID="_x0000_i1027" DrawAspect="Icon" ObjectID="_1646481429" r:id="rId22">
                  <o:FieldCodes>\s</o:FieldCodes>
                </o:OLEObject>
              </w:object>
            </w:r>
          </w:p>
          <w:p w14:paraId="375A5EFD" w14:textId="77777777" w:rsidR="000D08CF" w:rsidRPr="00B2368B" w:rsidRDefault="000D08CF" w:rsidP="00555417">
            <w:pPr>
              <w:rPr>
                <w:rFonts w:ascii="Verdana" w:hAnsi="Verdana"/>
                <w:sz w:val="20"/>
                <w:szCs w:val="20"/>
                <w:lang w:val="fr-FR"/>
              </w:rPr>
            </w:pPr>
            <w:r w:rsidRPr="00B2368B">
              <w:rPr>
                <w:rFonts w:ascii="Verdana" w:hAnsi="Verdana"/>
                <w:sz w:val="20"/>
                <w:szCs w:val="20"/>
                <w:lang w:val="fr-FR"/>
              </w:rPr>
              <w:t xml:space="preserve"> </w:t>
            </w:r>
          </w:p>
        </w:tc>
        <w:tc>
          <w:tcPr>
            <w:tcW w:w="3594" w:type="pct"/>
          </w:tcPr>
          <w:p w14:paraId="20FAE69B" w14:textId="77777777" w:rsidR="000D08CF" w:rsidRPr="00786F18" w:rsidRDefault="000D08CF" w:rsidP="00555417">
            <w:pPr>
              <w:rPr>
                <w:rFonts w:ascii="Verdana" w:hAnsi="Verdana"/>
                <w:b/>
                <w:sz w:val="20"/>
                <w:szCs w:val="20"/>
              </w:rPr>
            </w:pPr>
            <w:r w:rsidRPr="00786F18">
              <w:rPr>
                <w:rFonts w:ascii="Verdana" w:hAnsi="Verdana"/>
                <w:b/>
                <w:sz w:val="20"/>
                <w:szCs w:val="20"/>
              </w:rPr>
              <w:t>Comment:</w:t>
            </w:r>
          </w:p>
          <w:p w14:paraId="546D81DA" w14:textId="77777777" w:rsidR="000D08CF" w:rsidRDefault="000D08CF" w:rsidP="00555417">
            <w:pPr>
              <w:rPr>
                <w:rFonts w:ascii="Verdana" w:hAnsi="Verdana"/>
                <w:sz w:val="20"/>
                <w:szCs w:val="20"/>
              </w:rPr>
            </w:pPr>
            <w:r>
              <w:rPr>
                <w:rFonts w:ascii="Verdana" w:hAnsi="Verdana"/>
                <w:sz w:val="20"/>
                <w:szCs w:val="20"/>
              </w:rPr>
              <w:t>-</w:t>
            </w:r>
          </w:p>
          <w:p w14:paraId="081B7538" w14:textId="77777777" w:rsidR="000D08CF" w:rsidRPr="00786F18" w:rsidRDefault="000D08CF" w:rsidP="00555417">
            <w:pPr>
              <w:rPr>
                <w:rFonts w:ascii="Verdana" w:hAnsi="Verdana"/>
                <w:sz w:val="20"/>
                <w:szCs w:val="20"/>
              </w:rPr>
            </w:pPr>
          </w:p>
        </w:tc>
      </w:tr>
      <w:tr w:rsidR="000D08CF" w:rsidRPr="00786F18" w14:paraId="3B0DF35B" w14:textId="77777777" w:rsidTr="00A357CF">
        <w:trPr>
          <w:trHeight w:val="505"/>
        </w:trPr>
        <w:tc>
          <w:tcPr>
            <w:tcW w:w="301" w:type="pct"/>
            <w:vMerge/>
          </w:tcPr>
          <w:p w14:paraId="02D60EF4" w14:textId="77777777" w:rsidR="000D08CF" w:rsidRPr="00786F18" w:rsidRDefault="000D08CF" w:rsidP="00555417">
            <w:pPr>
              <w:rPr>
                <w:rFonts w:ascii="Verdana" w:hAnsi="Verdana"/>
                <w:sz w:val="20"/>
                <w:szCs w:val="20"/>
              </w:rPr>
            </w:pPr>
          </w:p>
        </w:tc>
        <w:tc>
          <w:tcPr>
            <w:tcW w:w="1105" w:type="pct"/>
            <w:vMerge/>
          </w:tcPr>
          <w:p w14:paraId="690861AF" w14:textId="77777777" w:rsidR="000D08CF" w:rsidRPr="00786F18" w:rsidRDefault="000D08CF" w:rsidP="00555417">
            <w:pPr>
              <w:rPr>
                <w:rFonts w:ascii="Verdana" w:hAnsi="Verdana"/>
                <w:sz w:val="20"/>
                <w:szCs w:val="20"/>
              </w:rPr>
            </w:pPr>
          </w:p>
        </w:tc>
        <w:tc>
          <w:tcPr>
            <w:tcW w:w="3594" w:type="pct"/>
          </w:tcPr>
          <w:p w14:paraId="01985584" w14:textId="77777777" w:rsidR="000D08CF" w:rsidRPr="00786F18" w:rsidRDefault="000D08CF" w:rsidP="00555417">
            <w:pPr>
              <w:rPr>
                <w:rFonts w:ascii="Verdana" w:hAnsi="Verdana"/>
                <w:b/>
                <w:sz w:val="20"/>
                <w:szCs w:val="20"/>
              </w:rPr>
            </w:pPr>
            <w:r w:rsidRPr="00786F18">
              <w:rPr>
                <w:rFonts w:ascii="Verdana" w:hAnsi="Verdana"/>
                <w:b/>
                <w:sz w:val="20"/>
                <w:szCs w:val="20"/>
              </w:rPr>
              <w:t>Dossier submitter response:</w:t>
            </w:r>
          </w:p>
          <w:p w14:paraId="63ED7A3B" w14:textId="0A620965" w:rsidR="00AB47FF" w:rsidRDefault="00916212" w:rsidP="00AB4AD2">
            <w:pPr>
              <w:shd w:val="clear" w:color="auto" w:fill="FFFFFF" w:themeFill="background1"/>
              <w:rPr>
                <w:rFonts w:ascii="Verdana" w:hAnsi="Verdana"/>
                <w:sz w:val="20"/>
                <w:szCs w:val="20"/>
              </w:rPr>
            </w:pPr>
            <w:r>
              <w:rPr>
                <w:rFonts w:ascii="Verdana" w:hAnsi="Verdana"/>
                <w:sz w:val="20"/>
                <w:szCs w:val="20"/>
              </w:rPr>
              <w:t xml:space="preserve">Thank you for your general support to the restriction proposal and for drawing our attention to the very recent study </w:t>
            </w:r>
            <w:r w:rsidR="00AB47FF">
              <w:rPr>
                <w:rFonts w:ascii="Verdana" w:hAnsi="Verdana"/>
                <w:sz w:val="20"/>
                <w:szCs w:val="20"/>
              </w:rPr>
              <w:t xml:space="preserve">by </w:t>
            </w:r>
            <w:r w:rsidR="00AB47FF" w:rsidRPr="00AB4AD2">
              <w:rPr>
                <w:rFonts w:ascii="Verdana" w:hAnsi="Verdana"/>
                <w:sz w:val="20"/>
                <w:szCs w:val="20"/>
              </w:rPr>
              <w:t xml:space="preserve">Schultes et al. (2019) </w:t>
            </w:r>
            <w:r w:rsidRPr="00AB4AD2">
              <w:rPr>
                <w:rFonts w:ascii="Verdana" w:hAnsi="Verdana"/>
                <w:sz w:val="20"/>
                <w:szCs w:val="20"/>
              </w:rPr>
              <w:t xml:space="preserve">on temporal trends of, amongst others, PFHxS in Baltic Cod. </w:t>
            </w:r>
            <w:r w:rsidR="00503064" w:rsidRPr="00AB4AD2">
              <w:rPr>
                <w:rFonts w:ascii="Verdana" w:hAnsi="Verdana"/>
                <w:sz w:val="20"/>
                <w:szCs w:val="20"/>
              </w:rPr>
              <w:t>The results have been included in chapter 1.1.6 and 4 of the Background Document.</w:t>
            </w:r>
          </w:p>
          <w:p w14:paraId="79E4D92A" w14:textId="77777777" w:rsidR="00AB47FF" w:rsidRDefault="00AB47FF" w:rsidP="00555417">
            <w:pPr>
              <w:rPr>
                <w:rFonts w:ascii="Verdana" w:hAnsi="Verdana"/>
                <w:sz w:val="20"/>
                <w:szCs w:val="20"/>
              </w:rPr>
            </w:pPr>
          </w:p>
          <w:p w14:paraId="5B2E0627" w14:textId="6EB836E5" w:rsidR="00612321" w:rsidRDefault="00612321" w:rsidP="008A560E">
            <w:pPr>
              <w:rPr>
                <w:rFonts w:ascii="Verdana" w:hAnsi="Verdana"/>
                <w:sz w:val="20"/>
                <w:szCs w:val="20"/>
              </w:rPr>
            </w:pPr>
            <w:r>
              <w:rPr>
                <w:rFonts w:ascii="Verdana" w:hAnsi="Verdana"/>
                <w:sz w:val="20"/>
                <w:szCs w:val="20"/>
              </w:rPr>
              <w:t xml:space="preserve">We appreciate your comments to the proposed </w:t>
            </w:r>
            <w:r w:rsidRPr="0033520B">
              <w:rPr>
                <w:rFonts w:ascii="Verdana" w:hAnsi="Verdana"/>
                <w:sz w:val="20"/>
                <w:szCs w:val="20"/>
              </w:rPr>
              <w:t>limit</w:t>
            </w:r>
            <w:r>
              <w:rPr>
                <w:rFonts w:ascii="Verdana" w:hAnsi="Verdana"/>
                <w:sz w:val="20"/>
                <w:szCs w:val="20"/>
              </w:rPr>
              <w:t xml:space="preserve"> values, transitional period</w:t>
            </w:r>
            <w:r w:rsidRPr="0033520B">
              <w:rPr>
                <w:rFonts w:ascii="Verdana" w:hAnsi="Verdana"/>
                <w:sz w:val="20"/>
                <w:szCs w:val="20"/>
              </w:rPr>
              <w:t xml:space="preserve"> and derogation</w:t>
            </w:r>
            <w:r>
              <w:rPr>
                <w:rFonts w:ascii="Verdana" w:hAnsi="Verdana"/>
                <w:sz w:val="20"/>
                <w:szCs w:val="20"/>
              </w:rPr>
              <w:t xml:space="preserve"> for old fire-fighting foam. The EEB has also commented on the limit values and derogations. We therefore refer to our responses to comment no. 2396 above</w:t>
            </w:r>
          </w:p>
          <w:p w14:paraId="3E1290B3" w14:textId="77777777" w:rsidR="00612321" w:rsidRDefault="00612321" w:rsidP="008A560E">
            <w:pPr>
              <w:rPr>
                <w:rFonts w:ascii="Verdana" w:hAnsi="Verdana"/>
                <w:sz w:val="20"/>
                <w:szCs w:val="20"/>
              </w:rPr>
            </w:pPr>
          </w:p>
          <w:p w14:paraId="45C9C83F" w14:textId="5DF3BAAC" w:rsidR="000D08CF" w:rsidRDefault="00556F5D" w:rsidP="008A560E">
            <w:pPr>
              <w:rPr>
                <w:rFonts w:ascii="Verdana" w:hAnsi="Verdana"/>
                <w:sz w:val="20"/>
                <w:szCs w:val="20"/>
              </w:rPr>
            </w:pPr>
            <w:r>
              <w:rPr>
                <w:rFonts w:ascii="Verdana" w:hAnsi="Verdana"/>
                <w:sz w:val="20"/>
                <w:szCs w:val="20"/>
              </w:rPr>
              <w:t xml:space="preserve">Acknowledging that we have not identified any manufacture or placing on the market of </w:t>
            </w:r>
            <w:r w:rsidR="00A86889">
              <w:rPr>
                <w:rFonts w:ascii="Verdana" w:hAnsi="Verdana"/>
                <w:sz w:val="20"/>
                <w:szCs w:val="20"/>
              </w:rPr>
              <w:t xml:space="preserve">new </w:t>
            </w:r>
            <w:r>
              <w:rPr>
                <w:rFonts w:ascii="Verdana" w:hAnsi="Verdana"/>
                <w:sz w:val="20"/>
                <w:szCs w:val="20"/>
              </w:rPr>
              <w:t>fire-fighting foams</w:t>
            </w:r>
            <w:r w:rsidR="00A86889">
              <w:rPr>
                <w:rFonts w:ascii="Verdana" w:hAnsi="Verdana"/>
                <w:sz w:val="20"/>
                <w:szCs w:val="20"/>
              </w:rPr>
              <w:t xml:space="preserve"> or fire-fighting foam concentrates</w:t>
            </w:r>
            <w:r>
              <w:rPr>
                <w:rFonts w:ascii="Verdana" w:hAnsi="Verdana"/>
                <w:sz w:val="20"/>
                <w:szCs w:val="20"/>
              </w:rPr>
              <w:t xml:space="preserve"> containing PFHxS within the EEA, we support your view that the 18 months transitional period is not necessary. </w:t>
            </w:r>
          </w:p>
          <w:p w14:paraId="69068AF6" w14:textId="4A29EF2F" w:rsidR="008A560E" w:rsidRPr="00786F18" w:rsidRDefault="008A560E" w:rsidP="008A560E">
            <w:pPr>
              <w:rPr>
                <w:rFonts w:ascii="Verdana" w:hAnsi="Verdana"/>
                <w:sz w:val="20"/>
                <w:szCs w:val="20"/>
              </w:rPr>
            </w:pPr>
          </w:p>
        </w:tc>
      </w:tr>
      <w:tr w:rsidR="000D08CF" w:rsidRPr="00786F18" w14:paraId="107B4455" w14:textId="77777777" w:rsidTr="00A357CF">
        <w:trPr>
          <w:trHeight w:val="561"/>
        </w:trPr>
        <w:tc>
          <w:tcPr>
            <w:tcW w:w="301" w:type="pct"/>
            <w:vMerge/>
          </w:tcPr>
          <w:p w14:paraId="213DCACB" w14:textId="77777777" w:rsidR="000D08CF" w:rsidRPr="00786F18" w:rsidRDefault="000D08CF" w:rsidP="00555417">
            <w:pPr>
              <w:rPr>
                <w:rFonts w:ascii="Verdana" w:hAnsi="Verdana"/>
                <w:sz w:val="20"/>
                <w:szCs w:val="20"/>
              </w:rPr>
            </w:pPr>
          </w:p>
        </w:tc>
        <w:tc>
          <w:tcPr>
            <w:tcW w:w="1105" w:type="pct"/>
            <w:vMerge/>
          </w:tcPr>
          <w:p w14:paraId="5A999454" w14:textId="77777777" w:rsidR="000D08CF" w:rsidRPr="00786F18" w:rsidRDefault="000D08CF" w:rsidP="00555417">
            <w:pPr>
              <w:rPr>
                <w:rFonts w:ascii="Verdana" w:hAnsi="Verdana"/>
                <w:sz w:val="20"/>
                <w:szCs w:val="20"/>
              </w:rPr>
            </w:pPr>
          </w:p>
        </w:tc>
        <w:tc>
          <w:tcPr>
            <w:tcW w:w="3594" w:type="pct"/>
          </w:tcPr>
          <w:p w14:paraId="50DC3866" w14:textId="77777777" w:rsidR="000D08CF" w:rsidRPr="00786F18" w:rsidRDefault="000D08CF" w:rsidP="00555417">
            <w:pPr>
              <w:rPr>
                <w:rFonts w:ascii="Verdana" w:hAnsi="Verdana"/>
                <w:b/>
                <w:sz w:val="20"/>
                <w:szCs w:val="20"/>
              </w:rPr>
            </w:pPr>
            <w:r w:rsidRPr="00786F18">
              <w:rPr>
                <w:rFonts w:ascii="Verdana" w:hAnsi="Verdana"/>
                <w:b/>
                <w:sz w:val="20"/>
                <w:szCs w:val="20"/>
              </w:rPr>
              <w:t>RAC Rapporteurs comments:</w:t>
            </w:r>
          </w:p>
          <w:p w14:paraId="2D08B08E" w14:textId="60D648FD" w:rsidR="002D347F" w:rsidRDefault="002D347F" w:rsidP="002D347F">
            <w:pPr>
              <w:rPr>
                <w:rFonts w:ascii="Verdana" w:hAnsi="Verdana"/>
                <w:sz w:val="20"/>
                <w:szCs w:val="20"/>
              </w:rPr>
            </w:pPr>
            <w:r>
              <w:rPr>
                <w:rFonts w:ascii="Verdana" w:hAnsi="Verdana"/>
                <w:sz w:val="20"/>
                <w:szCs w:val="20"/>
              </w:rPr>
              <w:t xml:space="preserve">Thank you for your comments. RAC is also of the opinion that an 18 months transitional period for placing new fire-fighting foams on the market could open a window for import of such foams and should be avoided. The recommendation from RAC is that this transitional period should be as short as practically possible. </w:t>
            </w:r>
          </w:p>
          <w:p w14:paraId="4169FB2C" w14:textId="77777777" w:rsidR="002D347F" w:rsidRDefault="002D347F" w:rsidP="002D347F">
            <w:pPr>
              <w:rPr>
                <w:rFonts w:ascii="Verdana" w:hAnsi="Verdana"/>
                <w:sz w:val="20"/>
                <w:szCs w:val="20"/>
              </w:rPr>
            </w:pPr>
          </w:p>
          <w:p w14:paraId="2B6C91C0" w14:textId="19D59AAF" w:rsidR="000D08CF" w:rsidRPr="00786F18" w:rsidRDefault="002D347F" w:rsidP="002D347F">
            <w:pPr>
              <w:rPr>
                <w:rFonts w:ascii="Verdana" w:hAnsi="Verdana"/>
                <w:sz w:val="20"/>
                <w:szCs w:val="20"/>
              </w:rPr>
            </w:pPr>
            <w:r>
              <w:rPr>
                <w:rFonts w:ascii="Verdana" w:hAnsi="Verdana"/>
                <w:sz w:val="20"/>
                <w:szCs w:val="20"/>
              </w:rPr>
              <w:t>Both limit values, 25/1000 ppb and 2/80 ppb, has been discussed in RAC. The opinion of RAC is that the benefit in terms of reduced emissions with the lower 2/80 ppb values are marginal, but that the lower limit value would be more difficult to enforce. Although a limit of quantification of 0.06 ppb is presented in the Background Document, this does not apply to all matrices and the Background Document has been revised accordingly. RAC therefore supports the proposal of 25/1000 ppb of the Dossier Submitter.</w:t>
            </w:r>
          </w:p>
          <w:p w14:paraId="7F202D6A" w14:textId="77777777" w:rsidR="000D08CF" w:rsidRPr="00786F18" w:rsidRDefault="000D08CF" w:rsidP="00555417">
            <w:pPr>
              <w:rPr>
                <w:rFonts w:ascii="Verdana" w:hAnsi="Verdana"/>
                <w:sz w:val="20"/>
                <w:szCs w:val="20"/>
              </w:rPr>
            </w:pPr>
          </w:p>
        </w:tc>
      </w:tr>
      <w:tr w:rsidR="000D08CF" w:rsidRPr="00786F18" w14:paraId="510C9498" w14:textId="77777777" w:rsidTr="00A357CF">
        <w:trPr>
          <w:trHeight w:val="991"/>
        </w:trPr>
        <w:tc>
          <w:tcPr>
            <w:tcW w:w="301" w:type="pct"/>
            <w:vMerge/>
          </w:tcPr>
          <w:p w14:paraId="63F91811" w14:textId="77777777" w:rsidR="000D08CF" w:rsidRPr="00786F18" w:rsidRDefault="000D08CF" w:rsidP="00555417">
            <w:pPr>
              <w:rPr>
                <w:rFonts w:ascii="Verdana" w:hAnsi="Verdana"/>
                <w:sz w:val="20"/>
                <w:szCs w:val="20"/>
              </w:rPr>
            </w:pPr>
          </w:p>
        </w:tc>
        <w:tc>
          <w:tcPr>
            <w:tcW w:w="1105" w:type="pct"/>
            <w:vMerge/>
          </w:tcPr>
          <w:p w14:paraId="661D1DF0" w14:textId="77777777" w:rsidR="000D08CF" w:rsidRPr="00786F18" w:rsidRDefault="000D08CF" w:rsidP="00555417">
            <w:pPr>
              <w:rPr>
                <w:rFonts w:ascii="Verdana" w:hAnsi="Verdana"/>
                <w:sz w:val="20"/>
                <w:szCs w:val="20"/>
              </w:rPr>
            </w:pPr>
          </w:p>
        </w:tc>
        <w:tc>
          <w:tcPr>
            <w:tcW w:w="3594" w:type="pct"/>
          </w:tcPr>
          <w:p w14:paraId="06127142" w14:textId="77777777" w:rsidR="000D08CF" w:rsidRPr="00786F18" w:rsidRDefault="000D08CF" w:rsidP="00555417">
            <w:pPr>
              <w:rPr>
                <w:rFonts w:ascii="Verdana" w:hAnsi="Verdana"/>
                <w:b/>
                <w:sz w:val="20"/>
                <w:szCs w:val="20"/>
              </w:rPr>
            </w:pPr>
            <w:r w:rsidRPr="00786F18">
              <w:rPr>
                <w:rFonts w:ascii="Verdana" w:hAnsi="Verdana"/>
                <w:b/>
                <w:sz w:val="20"/>
                <w:szCs w:val="20"/>
              </w:rPr>
              <w:t>SEAC Rapporteurs comments:</w:t>
            </w:r>
          </w:p>
          <w:p w14:paraId="0C8FA821" w14:textId="77777777" w:rsidR="000D08CF" w:rsidRPr="00786F18" w:rsidRDefault="000D08CF" w:rsidP="00555417">
            <w:pPr>
              <w:rPr>
                <w:rFonts w:ascii="Verdana" w:hAnsi="Verdana"/>
                <w:sz w:val="20"/>
                <w:szCs w:val="20"/>
              </w:rPr>
            </w:pPr>
          </w:p>
          <w:p w14:paraId="628E6E95" w14:textId="77777777" w:rsidR="00D02672" w:rsidRDefault="00D02672" w:rsidP="00D02672">
            <w:pPr>
              <w:rPr>
                <w:rFonts w:ascii="Verdana" w:hAnsi="Verdana"/>
                <w:sz w:val="20"/>
                <w:szCs w:val="20"/>
              </w:rPr>
            </w:pPr>
            <w:r>
              <w:rPr>
                <w:rFonts w:ascii="Verdana" w:hAnsi="Verdana"/>
                <w:sz w:val="20"/>
                <w:szCs w:val="20"/>
              </w:rPr>
              <w:t>Thank you for your comments.</w:t>
            </w:r>
          </w:p>
          <w:p w14:paraId="0D352492" w14:textId="77777777" w:rsidR="00D02672" w:rsidRDefault="00D02672" w:rsidP="00D02672">
            <w:pPr>
              <w:rPr>
                <w:rFonts w:ascii="Verdana" w:hAnsi="Verdana"/>
                <w:sz w:val="20"/>
                <w:szCs w:val="20"/>
              </w:rPr>
            </w:pPr>
          </w:p>
          <w:p w14:paraId="105731B9" w14:textId="5A667623" w:rsidR="00D02672" w:rsidRDefault="00D02672" w:rsidP="00674458">
            <w:pPr>
              <w:rPr>
                <w:rFonts w:ascii="Verdana" w:hAnsi="Verdana"/>
                <w:sz w:val="20"/>
                <w:szCs w:val="20"/>
                <w:u w:val="single"/>
              </w:rPr>
            </w:pPr>
            <w:r>
              <w:rPr>
                <w:rFonts w:ascii="Verdana" w:hAnsi="Verdana"/>
                <w:sz w:val="20"/>
                <w:szCs w:val="20"/>
                <w:u w:val="single"/>
              </w:rPr>
              <w:t>Fire-fighting foams:</w:t>
            </w:r>
            <w:r>
              <w:rPr>
                <w:rFonts w:ascii="Verdana" w:hAnsi="Verdana"/>
                <w:sz w:val="20"/>
                <w:szCs w:val="20"/>
              </w:rPr>
              <w:t xml:space="preserve"> We agree </w:t>
            </w:r>
            <w:r w:rsidR="00674458">
              <w:rPr>
                <w:rFonts w:ascii="Verdana" w:hAnsi="Verdana"/>
                <w:sz w:val="20"/>
                <w:szCs w:val="20"/>
              </w:rPr>
              <w:t>that</w:t>
            </w:r>
            <w:r>
              <w:rPr>
                <w:rFonts w:ascii="Verdana" w:hAnsi="Verdana"/>
                <w:sz w:val="20"/>
                <w:szCs w:val="20"/>
              </w:rPr>
              <w:t xml:space="preserve"> an 18-month transition period could leave the door open for imports of PFHxS-</w:t>
            </w:r>
            <w:r w:rsidR="00674458">
              <w:rPr>
                <w:rFonts w:ascii="Verdana" w:hAnsi="Verdana"/>
                <w:sz w:val="20"/>
                <w:szCs w:val="20"/>
              </w:rPr>
              <w:t>containing foams for 18 months and transitional period should be as short as possible.</w:t>
            </w:r>
          </w:p>
          <w:p w14:paraId="7C1B3110" w14:textId="77777777" w:rsidR="00D02672" w:rsidRDefault="00D02672" w:rsidP="00D02672">
            <w:pPr>
              <w:rPr>
                <w:rFonts w:ascii="Verdana" w:hAnsi="Verdana"/>
                <w:sz w:val="20"/>
                <w:szCs w:val="20"/>
              </w:rPr>
            </w:pPr>
          </w:p>
          <w:p w14:paraId="3A362F1F" w14:textId="75AF63DF" w:rsidR="00D02672" w:rsidRDefault="00D02672" w:rsidP="00D02672">
            <w:pPr>
              <w:rPr>
                <w:rFonts w:ascii="Verdana" w:hAnsi="Verdana"/>
                <w:sz w:val="20"/>
                <w:szCs w:val="20"/>
              </w:rPr>
            </w:pPr>
            <w:r>
              <w:rPr>
                <w:rFonts w:ascii="Verdana" w:hAnsi="Verdana"/>
                <w:sz w:val="20"/>
                <w:szCs w:val="20"/>
                <w:u w:val="single"/>
              </w:rPr>
              <w:t>Concentration limits:</w:t>
            </w:r>
            <w:r>
              <w:rPr>
                <w:rFonts w:ascii="Verdana" w:hAnsi="Verdana"/>
                <w:sz w:val="20"/>
                <w:szCs w:val="20"/>
              </w:rPr>
              <w:t xml:space="preserve"> We note that there are indeed some analytical methods that allow determination of concentrations of even below 2 ppb. However, those are not applicable to all matrices. We understand that 2 ppb would be difficult for fire-fighting foams at least, and 25 ppb would be more feasible. Further, </w:t>
            </w:r>
            <w:r w:rsidR="006549E3">
              <w:rPr>
                <w:rFonts w:ascii="Verdana" w:hAnsi="Verdana"/>
                <w:sz w:val="20"/>
                <w:szCs w:val="20"/>
              </w:rPr>
              <w:t>it appears</w:t>
            </w:r>
            <w:r>
              <w:rPr>
                <w:rFonts w:ascii="Verdana" w:hAnsi="Verdana"/>
                <w:sz w:val="20"/>
                <w:szCs w:val="20"/>
              </w:rPr>
              <w:t xml:space="preserve"> that 25 ppb will be stringent enough to prevent intentional use. Therefore, we do not support lowering the limit value to 2 ppb.</w:t>
            </w:r>
          </w:p>
          <w:p w14:paraId="7E31A179" w14:textId="77777777" w:rsidR="000D08CF" w:rsidRPr="00786F18" w:rsidRDefault="000D08CF" w:rsidP="00555417">
            <w:pPr>
              <w:rPr>
                <w:rFonts w:ascii="Verdana" w:hAnsi="Verdana"/>
                <w:sz w:val="20"/>
                <w:szCs w:val="20"/>
              </w:rPr>
            </w:pPr>
          </w:p>
        </w:tc>
      </w:tr>
      <w:tr w:rsidR="00A357CF" w:rsidRPr="00786F18" w14:paraId="237859CE" w14:textId="77777777" w:rsidTr="00A357CF">
        <w:tc>
          <w:tcPr>
            <w:tcW w:w="301" w:type="pct"/>
            <w:vMerge w:val="restart"/>
          </w:tcPr>
          <w:p w14:paraId="6E8C3990" w14:textId="77777777" w:rsidR="00A357CF" w:rsidRPr="00786F18" w:rsidRDefault="00A357CF" w:rsidP="00555417">
            <w:pPr>
              <w:rPr>
                <w:rFonts w:ascii="Verdana" w:hAnsi="Verdana"/>
                <w:b/>
                <w:sz w:val="20"/>
                <w:szCs w:val="20"/>
              </w:rPr>
            </w:pPr>
            <w:r w:rsidRPr="00F46E9D">
              <w:rPr>
                <w:rFonts w:ascii="Verdana" w:hAnsi="Verdana"/>
                <w:b/>
                <w:noProof/>
                <w:sz w:val="20"/>
                <w:szCs w:val="20"/>
              </w:rPr>
              <w:t>2787</w:t>
            </w:r>
          </w:p>
        </w:tc>
        <w:tc>
          <w:tcPr>
            <w:tcW w:w="1105" w:type="pct"/>
            <w:vMerge w:val="restart"/>
          </w:tcPr>
          <w:p w14:paraId="14894D44" w14:textId="77777777" w:rsidR="00A357CF" w:rsidRPr="00786F18" w:rsidRDefault="00A357CF" w:rsidP="00555417">
            <w:pPr>
              <w:rPr>
                <w:rFonts w:ascii="Verdana" w:hAnsi="Verdana"/>
                <w:sz w:val="20"/>
                <w:szCs w:val="20"/>
              </w:rPr>
            </w:pPr>
            <w:r w:rsidRPr="00786F18">
              <w:rPr>
                <w:rFonts w:ascii="Verdana" w:hAnsi="Verdana"/>
                <w:b/>
                <w:sz w:val="20"/>
                <w:szCs w:val="20"/>
              </w:rPr>
              <w:t>Date:</w:t>
            </w:r>
            <w:r w:rsidRPr="00786F18">
              <w:rPr>
                <w:rFonts w:ascii="Verdana" w:hAnsi="Verdana"/>
                <w:sz w:val="20"/>
                <w:szCs w:val="20"/>
              </w:rPr>
              <w:t xml:space="preserve"> </w:t>
            </w:r>
            <w:r w:rsidRPr="00F46E9D">
              <w:rPr>
                <w:rFonts w:ascii="Verdana" w:hAnsi="Verdana"/>
                <w:noProof/>
                <w:sz w:val="20"/>
                <w:szCs w:val="20"/>
              </w:rPr>
              <w:t>2019/12/06 16:04</w:t>
            </w:r>
          </w:p>
          <w:p w14:paraId="7265D83B" w14:textId="77777777" w:rsidR="00A357CF" w:rsidRPr="00786F18" w:rsidRDefault="00A357CF" w:rsidP="00555417">
            <w:pPr>
              <w:rPr>
                <w:rFonts w:ascii="Verdana" w:hAnsi="Verdana"/>
                <w:sz w:val="20"/>
                <w:szCs w:val="20"/>
              </w:rPr>
            </w:pPr>
          </w:p>
          <w:p w14:paraId="482547EB" w14:textId="77777777" w:rsidR="00A357CF" w:rsidRPr="00786F18" w:rsidRDefault="00A357CF" w:rsidP="00555417">
            <w:pPr>
              <w:rPr>
                <w:rFonts w:ascii="Verdana" w:hAnsi="Verdana"/>
                <w:sz w:val="20"/>
                <w:szCs w:val="20"/>
              </w:rPr>
            </w:pPr>
            <w:r w:rsidRPr="00786F18">
              <w:rPr>
                <w:rFonts w:ascii="Verdana" w:hAnsi="Verdana"/>
                <w:b/>
                <w:sz w:val="20"/>
                <w:szCs w:val="20"/>
              </w:rPr>
              <w:t>Type:</w:t>
            </w:r>
            <w:r w:rsidRPr="00786F18">
              <w:rPr>
                <w:rFonts w:ascii="Verdana" w:hAnsi="Verdana"/>
                <w:sz w:val="20"/>
                <w:szCs w:val="20"/>
              </w:rPr>
              <w:t xml:space="preserve"> </w:t>
            </w:r>
            <w:r w:rsidRPr="00F46E9D">
              <w:rPr>
                <w:rFonts w:ascii="Verdana" w:hAnsi="Verdana"/>
                <w:noProof/>
                <w:sz w:val="20"/>
                <w:szCs w:val="20"/>
              </w:rPr>
              <w:t>BehalfOfAnOrganisation</w:t>
            </w:r>
          </w:p>
          <w:p w14:paraId="5944DF35" w14:textId="77777777" w:rsidR="00A357CF" w:rsidRPr="00786F18" w:rsidRDefault="00A357CF" w:rsidP="00555417">
            <w:pPr>
              <w:rPr>
                <w:rFonts w:ascii="Verdana" w:hAnsi="Verdana"/>
                <w:sz w:val="20"/>
                <w:szCs w:val="20"/>
              </w:rPr>
            </w:pPr>
          </w:p>
          <w:p w14:paraId="4233D01E" w14:textId="77777777" w:rsidR="00A357CF" w:rsidRPr="00786F18" w:rsidRDefault="00A357CF" w:rsidP="00555417">
            <w:pPr>
              <w:rPr>
                <w:rFonts w:ascii="Verdana" w:hAnsi="Verdana"/>
                <w:sz w:val="20"/>
                <w:szCs w:val="20"/>
              </w:rPr>
            </w:pPr>
            <w:r w:rsidRPr="00786F18">
              <w:rPr>
                <w:rFonts w:ascii="Verdana" w:hAnsi="Verdana"/>
                <w:b/>
                <w:sz w:val="20"/>
                <w:szCs w:val="20"/>
              </w:rPr>
              <w:t>Org. type:</w:t>
            </w:r>
            <w:r w:rsidRPr="00786F18">
              <w:rPr>
                <w:rFonts w:ascii="Verdana" w:hAnsi="Verdana"/>
                <w:sz w:val="20"/>
                <w:szCs w:val="20"/>
              </w:rPr>
              <w:t xml:space="preserve"> </w:t>
            </w:r>
            <w:r w:rsidRPr="00F46E9D">
              <w:rPr>
                <w:rFonts w:ascii="Verdana" w:hAnsi="Verdana"/>
                <w:noProof/>
                <w:sz w:val="20"/>
                <w:szCs w:val="20"/>
              </w:rPr>
              <w:t>National Authority</w:t>
            </w:r>
          </w:p>
          <w:p w14:paraId="58C3DCE6" w14:textId="77777777" w:rsidR="00A357CF" w:rsidRPr="00786F18" w:rsidRDefault="00A357CF" w:rsidP="00555417">
            <w:pPr>
              <w:rPr>
                <w:rFonts w:ascii="Verdana" w:hAnsi="Verdana"/>
                <w:sz w:val="20"/>
                <w:szCs w:val="20"/>
              </w:rPr>
            </w:pPr>
          </w:p>
          <w:p w14:paraId="6CFE40C3" w14:textId="77777777" w:rsidR="00A357CF" w:rsidRPr="00786F18" w:rsidRDefault="00A357CF" w:rsidP="00555417">
            <w:pPr>
              <w:rPr>
                <w:rFonts w:ascii="Verdana" w:hAnsi="Verdana"/>
                <w:sz w:val="20"/>
                <w:szCs w:val="20"/>
              </w:rPr>
            </w:pPr>
            <w:r w:rsidRPr="00786F18">
              <w:rPr>
                <w:rFonts w:ascii="Verdana" w:hAnsi="Verdana"/>
                <w:b/>
                <w:sz w:val="20"/>
                <w:szCs w:val="20"/>
              </w:rPr>
              <w:t>Org. name:</w:t>
            </w:r>
            <w:r w:rsidRPr="00786F18">
              <w:rPr>
                <w:rFonts w:ascii="Verdana" w:hAnsi="Verdana"/>
                <w:sz w:val="20"/>
                <w:szCs w:val="20"/>
              </w:rPr>
              <w:t xml:space="preserve"> </w:t>
            </w:r>
            <w:r w:rsidRPr="00F46E9D">
              <w:rPr>
                <w:rFonts w:ascii="Verdana" w:hAnsi="Verdana"/>
                <w:noProof/>
                <w:sz w:val="20"/>
                <w:szCs w:val="20"/>
              </w:rPr>
              <w:t>Environment Agency</w:t>
            </w:r>
          </w:p>
          <w:p w14:paraId="7107778A" w14:textId="77777777" w:rsidR="00A357CF" w:rsidRPr="00786F18" w:rsidRDefault="00A357CF" w:rsidP="00555417">
            <w:pPr>
              <w:rPr>
                <w:rFonts w:ascii="Verdana" w:hAnsi="Verdana"/>
                <w:sz w:val="20"/>
                <w:szCs w:val="20"/>
              </w:rPr>
            </w:pPr>
          </w:p>
          <w:p w14:paraId="4681EF54" w14:textId="77777777" w:rsidR="00A357CF" w:rsidRPr="00786F18" w:rsidRDefault="00A357CF" w:rsidP="00555417">
            <w:pPr>
              <w:rPr>
                <w:rFonts w:ascii="Verdana" w:hAnsi="Verdana"/>
                <w:sz w:val="20"/>
                <w:szCs w:val="20"/>
              </w:rPr>
            </w:pPr>
            <w:r w:rsidRPr="00786F18">
              <w:rPr>
                <w:rFonts w:ascii="Verdana" w:hAnsi="Verdana"/>
                <w:b/>
                <w:sz w:val="20"/>
                <w:szCs w:val="20"/>
              </w:rPr>
              <w:t>Org. country:</w:t>
            </w:r>
            <w:r w:rsidRPr="00786F18">
              <w:rPr>
                <w:rFonts w:ascii="Verdana" w:hAnsi="Verdana"/>
                <w:sz w:val="20"/>
                <w:szCs w:val="20"/>
              </w:rPr>
              <w:t xml:space="preserve"> </w:t>
            </w:r>
            <w:r w:rsidRPr="00F46E9D">
              <w:rPr>
                <w:rFonts w:ascii="Verdana" w:hAnsi="Verdana"/>
                <w:noProof/>
                <w:sz w:val="20"/>
                <w:szCs w:val="20"/>
              </w:rPr>
              <w:t>United Kingdom</w:t>
            </w:r>
          </w:p>
          <w:p w14:paraId="01C74FA6" w14:textId="77777777" w:rsidR="00A357CF" w:rsidRPr="006A36BE" w:rsidRDefault="00A357CF" w:rsidP="00555417">
            <w:pPr>
              <w:rPr>
                <w:rFonts w:ascii="Verdana" w:hAnsi="Verdana"/>
                <w:sz w:val="20"/>
                <w:szCs w:val="20"/>
              </w:rPr>
            </w:pPr>
          </w:p>
        </w:tc>
        <w:tc>
          <w:tcPr>
            <w:tcW w:w="3594" w:type="pct"/>
          </w:tcPr>
          <w:p w14:paraId="56473685" w14:textId="77777777" w:rsidR="00A357CF" w:rsidRPr="00786F18" w:rsidRDefault="00A357CF" w:rsidP="00555417">
            <w:pPr>
              <w:rPr>
                <w:rFonts w:ascii="Verdana" w:hAnsi="Verdana"/>
                <w:b/>
                <w:sz w:val="20"/>
                <w:szCs w:val="20"/>
              </w:rPr>
            </w:pPr>
            <w:r w:rsidRPr="00786F18">
              <w:rPr>
                <w:rFonts w:ascii="Verdana" w:hAnsi="Verdana"/>
                <w:b/>
                <w:sz w:val="20"/>
                <w:szCs w:val="20"/>
              </w:rPr>
              <w:t>Comment:</w:t>
            </w:r>
          </w:p>
          <w:p w14:paraId="05037466" w14:textId="77777777" w:rsidR="00A357CF" w:rsidRPr="00786F18" w:rsidRDefault="00A357CF" w:rsidP="00555417">
            <w:pPr>
              <w:rPr>
                <w:rFonts w:ascii="Verdana" w:hAnsi="Verdana"/>
                <w:sz w:val="20"/>
                <w:szCs w:val="20"/>
              </w:rPr>
            </w:pPr>
            <w:r w:rsidRPr="00F46E9D">
              <w:rPr>
                <w:rFonts w:ascii="Verdana" w:hAnsi="Verdana"/>
                <w:noProof/>
                <w:sz w:val="20"/>
                <w:szCs w:val="20"/>
              </w:rPr>
              <w:t>We have included a summary of analytical results from water quality monitoring undertaken by the Environment Agency in England in 2018 and 2019.</w:t>
            </w:r>
          </w:p>
          <w:p w14:paraId="70951CA2" w14:textId="77777777" w:rsidR="00A357CF" w:rsidRPr="00786F18" w:rsidRDefault="00A357CF" w:rsidP="00555417">
            <w:pPr>
              <w:rPr>
                <w:rFonts w:ascii="Verdana" w:hAnsi="Verdana"/>
                <w:sz w:val="20"/>
                <w:szCs w:val="20"/>
              </w:rPr>
            </w:pPr>
          </w:p>
        </w:tc>
      </w:tr>
      <w:tr w:rsidR="00A357CF" w:rsidRPr="00786F18" w14:paraId="14600F32" w14:textId="77777777" w:rsidTr="00A357CF">
        <w:trPr>
          <w:trHeight w:val="636"/>
        </w:trPr>
        <w:tc>
          <w:tcPr>
            <w:tcW w:w="301" w:type="pct"/>
            <w:vMerge/>
          </w:tcPr>
          <w:p w14:paraId="5B19FD7D" w14:textId="77777777" w:rsidR="00A357CF" w:rsidRPr="00786F18" w:rsidRDefault="00A357CF" w:rsidP="00555417">
            <w:pPr>
              <w:rPr>
                <w:rFonts w:ascii="Verdana" w:hAnsi="Verdana"/>
                <w:sz w:val="20"/>
                <w:szCs w:val="20"/>
              </w:rPr>
            </w:pPr>
          </w:p>
        </w:tc>
        <w:tc>
          <w:tcPr>
            <w:tcW w:w="1105" w:type="pct"/>
            <w:vMerge/>
          </w:tcPr>
          <w:p w14:paraId="0F1E9375" w14:textId="77777777" w:rsidR="00A357CF" w:rsidRPr="00786F18" w:rsidRDefault="00A357CF" w:rsidP="00555417">
            <w:pPr>
              <w:rPr>
                <w:rFonts w:ascii="Verdana" w:hAnsi="Verdana"/>
                <w:sz w:val="20"/>
                <w:szCs w:val="20"/>
              </w:rPr>
            </w:pPr>
          </w:p>
        </w:tc>
        <w:tc>
          <w:tcPr>
            <w:tcW w:w="3594" w:type="pct"/>
          </w:tcPr>
          <w:p w14:paraId="230BAA53" w14:textId="77777777" w:rsidR="00A357CF" w:rsidRPr="00786F18" w:rsidRDefault="00A357CF" w:rsidP="00555417">
            <w:pPr>
              <w:rPr>
                <w:rFonts w:ascii="Verdana" w:hAnsi="Verdana"/>
                <w:b/>
                <w:sz w:val="20"/>
                <w:szCs w:val="20"/>
              </w:rPr>
            </w:pPr>
            <w:r w:rsidRPr="00786F18">
              <w:rPr>
                <w:rFonts w:ascii="Verdana" w:hAnsi="Verdana"/>
                <w:b/>
                <w:sz w:val="20"/>
                <w:szCs w:val="20"/>
              </w:rPr>
              <w:t>Answer to specific info request 4:</w:t>
            </w:r>
          </w:p>
          <w:p w14:paraId="1191FC2F" w14:textId="77777777" w:rsidR="00A357CF" w:rsidRPr="00F46E9D" w:rsidRDefault="00A357CF" w:rsidP="00555417">
            <w:pPr>
              <w:rPr>
                <w:rFonts w:ascii="Verdana" w:hAnsi="Verdana"/>
                <w:noProof/>
                <w:sz w:val="20"/>
                <w:szCs w:val="20"/>
              </w:rPr>
            </w:pPr>
            <w:bookmarkStart w:id="3" w:name="_Hlk27995660"/>
            <w:r w:rsidRPr="00F46E9D">
              <w:rPr>
                <w:rFonts w:ascii="Verdana" w:hAnsi="Verdana"/>
                <w:noProof/>
                <w:sz w:val="20"/>
                <w:szCs w:val="20"/>
              </w:rPr>
              <w:t>Analysis of aquatic media undertaken by the Environment Agency in 2018 and 2019 has provided the following statistics for environmental PFHxS concentrations:</w:t>
            </w:r>
          </w:p>
          <w:p w14:paraId="28845C3C" w14:textId="77777777" w:rsidR="00A357CF" w:rsidRPr="00F46E9D" w:rsidRDefault="00A357CF" w:rsidP="00555417">
            <w:pPr>
              <w:rPr>
                <w:rFonts w:ascii="Verdana" w:hAnsi="Verdana"/>
                <w:noProof/>
                <w:sz w:val="20"/>
                <w:szCs w:val="20"/>
              </w:rPr>
            </w:pPr>
            <w:r w:rsidRPr="00F46E9D">
              <w:rPr>
                <w:rFonts w:ascii="Verdana" w:hAnsi="Verdana"/>
                <w:noProof/>
                <w:sz w:val="20"/>
                <w:szCs w:val="20"/>
              </w:rPr>
              <w:t>Median measured concentration at 1 sewage treatment works final effluent was 0.570 μg/L (maximum 0.620 μg/L, n = 7);</w:t>
            </w:r>
          </w:p>
          <w:p w14:paraId="78D3365F" w14:textId="77777777" w:rsidR="00A357CF" w:rsidRPr="00F46E9D" w:rsidRDefault="00A357CF" w:rsidP="00555417">
            <w:pPr>
              <w:rPr>
                <w:rFonts w:ascii="Verdana" w:hAnsi="Verdana"/>
                <w:noProof/>
                <w:sz w:val="20"/>
                <w:szCs w:val="20"/>
              </w:rPr>
            </w:pPr>
            <w:r w:rsidRPr="00F46E9D">
              <w:rPr>
                <w:rFonts w:ascii="Verdana" w:hAnsi="Verdana"/>
                <w:noProof/>
                <w:sz w:val="20"/>
                <w:szCs w:val="20"/>
              </w:rPr>
              <w:t>Median measured concentration at 32 river sampling sites was 0.170 μg/L (95-percentile 0.558 μg/L, n = 744);</w:t>
            </w:r>
          </w:p>
          <w:p w14:paraId="59D9CCC7" w14:textId="77777777" w:rsidR="00A357CF" w:rsidRPr="00F46E9D" w:rsidRDefault="00A357CF" w:rsidP="00555417">
            <w:pPr>
              <w:rPr>
                <w:rFonts w:ascii="Verdana" w:hAnsi="Verdana"/>
                <w:noProof/>
                <w:sz w:val="20"/>
                <w:szCs w:val="20"/>
              </w:rPr>
            </w:pPr>
            <w:r w:rsidRPr="00F46E9D">
              <w:rPr>
                <w:rFonts w:ascii="Verdana" w:hAnsi="Verdana"/>
                <w:noProof/>
                <w:sz w:val="20"/>
                <w:szCs w:val="20"/>
              </w:rPr>
              <w:t>Median measured concentration at 24 estuarine or coastal sampling sites was 0.0205 μg/L (95-percentile 0.510 μg/L, n = 136);</w:t>
            </w:r>
          </w:p>
          <w:p w14:paraId="1391C849" w14:textId="77777777" w:rsidR="00A357CF" w:rsidRPr="00F46E9D" w:rsidRDefault="00A357CF" w:rsidP="00555417">
            <w:pPr>
              <w:rPr>
                <w:rFonts w:ascii="Verdana" w:hAnsi="Verdana"/>
                <w:noProof/>
                <w:sz w:val="20"/>
                <w:szCs w:val="20"/>
              </w:rPr>
            </w:pPr>
            <w:r w:rsidRPr="00F46E9D">
              <w:rPr>
                <w:rFonts w:ascii="Verdana" w:hAnsi="Verdana"/>
                <w:noProof/>
                <w:sz w:val="20"/>
                <w:szCs w:val="20"/>
              </w:rPr>
              <w:t>Median measured concentration at 167 groundwater sampling sites was 0.0380 μg/L (95-percentile 1.64 μg/L, n = 211).</w:t>
            </w:r>
          </w:p>
          <w:p w14:paraId="5ABD51C3" w14:textId="77777777" w:rsidR="00A357CF" w:rsidRPr="00F46E9D" w:rsidRDefault="00A357CF" w:rsidP="00555417">
            <w:pPr>
              <w:rPr>
                <w:rFonts w:ascii="Verdana" w:hAnsi="Verdana"/>
                <w:noProof/>
                <w:sz w:val="20"/>
                <w:szCs w:val="20"/>
              </w:rPr>
            </w:pPr>
            <w:r w:rsidRPr="00F46E9D">
              <w:rPr>
                <w:rFonts w:ascii="Verdana" w:hAnsi="Verdana"/>
                <w:noProof/>
                <w:sz w:val="20"/>
                <w:szCs w:val="20"/>
              </w:rPr>
              <w:t>These statistics are not necessarily representative of PFHxS levels in England, but provide an indication of widespread occurrence in the aquatic environment.</w:t>
            </w:r>
          </w:p>
          <w:p w14:paraId="2BF69D5A" w14:textId="77777777" w:rsidR="00A357CF" w:rsidRPr="00F46E9D" w:rsidRDefault="00A357CF" w:rsidP="00555417">
            <w:pPr>
              <w:rPr>
                <w:rFonts w:ascii="Verdana" w:hAnsi="Verdana"/>
                <w:noProof/>
                <w:sz w:val="20"/>
                <w:szCs w:val="20"/>
              </w:rPr>
            </w:pPr>
            <w:r w:rsidRPr="00F46E9D">
              <w:rPr>
                <w:rFonts w:ascii="Verdana" w:hAnsi="Verdana"/>
                <w:noProof/>
                <w:sz w:val="20"/>
                <w:szCs w:val="20"/>
              </w:rPr>
              <w:t>The proportion of samples with positive detection was high, over 85% in all media. The Level of Detection was 0.005 μg/L.</w:t>
            </w:r>
          </w:p>
          <w:bookmarkEnd w:id="3"/>
          <w:p w14:paraId="2EFF54AC" w14:textId="77777777" w:rsidR="00A357CF" w:rsidRPr="00786F18" w:rsidRDefault="00A357CF" w:rsidP="00555417">
            <w:pPr>
              <w:rPr>
                <w:rFonts w:ascii="Verdana" w:hAnsi="Verdana"/>
                <w:sz w:val="20"/>
                <w:szCs w:val="20"/>
              </w:rPr>
            </w:pPr>
          </w:p>
        </w:tc>
      </w:tr>
      <w:tr w:rsidR="00A357CF" w:rsidRPr="00786F18" w14:paraId="34FD58CC" w14:textId="77777777" w:rsidTr="00A357CF">
        <w:trPr>
          <w:trHeight w:val="505"/>
        </w:trPr>
        <w:tc>
          <w:tcPr>
            <w:tcW w:w="301" w:type="pct"/>
            <w:vMerge/>
          </w:tcPr>
          <w:p w14:paraId="4433BA4B" w14:textId="77777777" w:rsidR="00A357CF" w:rsidRPr="00786F18" w:rsidRDefault="00A357CF" w:rsidP="00555417">
            <w:pPr>
              <w:rPr>
                <w:rFonts w:ascii="Verdana" w:hAnsi="Verdana"/>
                <w:sz w:val="20"/>
                <w:szCs w:val="20"/>
              </w:rPr>
            </w:pPr>
          </w:p>
        </w:tc>
        <w:tc>
          <w:tcPr>
            <w:tcW w:w="1105" w:type="pct"/>
            <w:vMerge/>
          </w:tcPr>
          <w:p w14:paraId="0F7EB3E1" w14:textId="77777777" w:rsidR="00A357CF" w:rsidRPr="00786F18" w:rsidRDefault="00A357CF" w:rsidP="00555417">
            <w:pPr>
              <w:rPr>
                <w:rFonts w:ascii="Verdana" w:hAnsi="Verdana"/>
                <w:sz w:val="20"/>
                <w:szCs w:val="20"/>
              </w:rPr>
            </w:pPr>
          </w:p>
        </w:tc>
        <w:tc>
          <w:tcPr>
            <w:tcW w:w="3594" w:type="pct"/>
          </w:tcPr>
          <w:p w14:paraId="0AC7700B" w14:textId="77777777" w:rsidR="00A357CF" w:rsidRPr="00786F18" w:rsidRDefault="00A357CF" w:rsidP="00555417">
            <w:pPr>
              <w:rPr>
                <w:rFonts w:ascii="Verdana" w:hAnsi="Verdana"/>
                <w:b/>
                <w:sz w:val="20"/>
                <w:szCs w:val="20"/>
              </w:rPr>
            </w:pPr>
            <w:r w:rsidRPr="00786F18">
              <w:rPr>
                <w:rFonts w:ascii="Verdana" w:hAnsi="Verdana"/>
                <w:b/>
                <w:sz w:val="20"/>
                <w:szCs w:val="20"/>
              </w:rPr>
              <w:t>Dossier submitter response:</w:t>
            </w:r>
          </w:p>
          <w:p w14:paraId="20221D68" w14:textId="4B9DB418" w:rsidR="00A357CF" w:rsidRPr="00786F18" w:rsidRDefault="00EB6AA1" w:rsidP="00555417">
            <w:pPr>
              <w:rPr>
                <w:rFonts w:ascii="Verdana" w:hAnsi="Verdana"/>
                <w:sz w:val="20"/>
                <w:szCs w:val="20"/>
              </w:rPr>
            </w:pPr>
            <w:r w:rsidRPr="00EB6AA1">
              <w:rPr>
                <w:rFonts w:ascii="Verdana" w:hAnsi="Verdana"/>
                <w:sz w:val="20"/>
                <w:szCs w:val="20"/>
              </w:rPr>
              <w:t xml:space="preserve">Thank you for submitting the data. We have included </w:t>
            </w:r>
            <w:r w:rsidR="009B56D4">
              <w:rPr>
                <w:rFonts w:ascii="Verdana" w:hAnsi="Verdana"/>
                <w:sz w:val="20"/>
                <w:szCs w:val="20"/>
              </w:rPr>
              <w:t>this information</w:t>
            </w:r>
            <w:r w:rsidRPr="00EB6AA1">
              <w:rPr>
                <w:rFonts w:ascii="Verdana" w:hAnsi="Verdana"/>
                <w:sz w:val="20"/>
                <w:szCs w:val="20"/>
              </w:rPr>
              <w:t xml:space="preserve"> in </w:t>
            </w:r>
            <w:r w:rsidRPr="00B93986">
              <w:rPr>
                <w:rFonts w:ascii="Verdana" w:hAnsi="Verdana"/>
                <w:sz w:val="20"/>
                <w:szCs w:val="20"/>
              </w:rPr>
              <w:t>chapter B.4.3</w:t>
            </w:r>
            <w:r w:rsidRPr="00EB6AA1">
              <w:rPr>
                <w:rFonts w:ascii="Verdana" w:hAnsi="Verdana"/>
                <w:sz w:val="20"/>
                <w:szCs w:val="20"/>
              </w:rPr>
              <w:t xml:space="preserve"> of the Background Document.</w:t>
            </w:r>
          </w:p>
          <w:p w14:paraId="57CED63A" w14:textId="77777777" w:rsidR="00A357CF" w:rsidRPr="00786F18" w:rsidRDefault="00A357CF" w:rsidP="00555417">
            <w:pPr>
              <w:rPr>
                <w:rFonts w:ascii="Verdana" w:hAnsi="Verdana"/>
                <w:sz w:val="20"/>
                <w:szCs w:val="20"/>
              </w:rPr>
            </w:pPr>
          </w:p>
        </w:tc>
      </w:tr>
      <w:tr w:rsidR="00A357CF" w:rsidRPr="00786F18" w14:paraId="2154E7F3" w14:textId="77777777" w:rsidTr="00A357CF">
        <w:trPr>
          <w:trHeight w:val="561"/>
        </w:trPr>
        <w:tc>
          <w:tcPr>
            <w:tcW w:w="301" w:type="pct"/>
            <w:vMerge/>
          </w:tcPr>
          <w:p w14:paraId="764448E5" w14:textId="77777777" w:rsidR="00A357CF" w:rsidRPr="00786F18" w:rsidRDefault="00A357CF" w:rsidP="00555417">
            <w:pPr>
              <w:rPr>
                <w:rFonts w:ascii="Verdana" w:hAnsi="Verdana"/>
                <w:sz w:val="20"/>
                <w:szCs w:val="20"/>
              </w:rPr>
            </w:pPr>
          </w:p>
        </w:tc>
        <w:tc>
          <w:tcPr>
            <w:tcW w:w="1105" w:type="pct"/>
            <w:vMerge/>
          </w:tcPr>
          <w:p w14:paraId="34AD81A3" w14:textId="77777777" w:rsidR="00A357CF" w:rsidRPr="00786F18" w:rsidRDefault="00A357CF" w:rsidP="00555417">
            <w:pPr>
              <w:rPr>
                <w:rFonts w:ascii="Verdana" w:hAnsi="Verdana"/>
                <w:sz w:val="20"/>
                <w:szCs w:val="20"/>
              </w:rPr>
            </w:pPr>
          </w:p>
        </w:tc>
        <w:tc>
          <w:tcPr>
            <w:tcW w:w="3594" w:type="pct"/>
          </w:tcPr>
          <w:p w14:paraId="7F531B35" w14:textId="77777777" w:rsidR="00A357CF" w:rsidRPr="00786F18" w:rsidRDefault="00A357CF" w:rsidP="00555417">
            <w:pPr>
              <w:rPr>
                <w:rFonts w:ascii="Verdana" w:hAnsi="Verdana"/>
                <w:b/>
                <w:sz w:val="20"/>
                <w:szCs w:val="20"/>
              </w:rPr>
            </w:pPr>
            <w:r w:rsidRPr="00786F18">
              <w:rPr>
                <w:rFonts w:ascii="Verdana" w:hAnsi="Verdana"/>
                <w:b/>
                <w:sz w:val="20"/>
                <w:szCs w:val="20"/>
              </w:rPr>
              <w:t>RAC Rapporteurs comments:</w:t>
            </w:r>
          </w:p>
          <w:p w14:paraId="0E921806" w14:textId="77777777" w:rsidR="002D347F" w:rsidRDefault="002D347F" w:rsidP="002D347F">
            <w:pPr>
              <w:rPr>
                <w:rFonts w:ascii="Verdana" w:hAnsi="Verdana"/>
                <w:sz w:val="20"/>
                <w:szCs w:val="20"/>
              </w:rPr>
            </w:pPr>
            <w:r>
              <w:rPr>
                <w:rFonts w:ascii="Verdana" w:hAnsi="Verdana"/>
                <w:sz w:val="20"/>
                <w:szCs w:val="20"/>
              </w:rPr>
              <w:t xml:space="preserve">Noted, thank you. </w:t>
            </w:r>
          </w:p>
          <w:p w14:paraId="3247CE05" w14:textId="77777777" w:rsidR="00A357CF" w:rsidRPr="00786F18" w:rsidRDefault="00A357CF" w:rsidP="00555417">
            <w:pPr>
              <w:rPr>
                <w:rFonts w:ascii="Verdana" w:hAnsi="Verdana"/>
                <w:sz w:val="20"/>
                <w:szCs w:val="20"/>
              </w:rPr>
            </w:pPr>
          </w:p>
          <w:p w14:paraId="07B762C6" w14:textId="77777777" w:rsidR="00A357CF" w:rsidRPr="00786F18" w:rsidRDefault="00A357CF" w:rsidP="00555417">
            <w:pPr>
              <w:rPr>
                <w:rFonts w:ascii="Verdana" w:hAnsi="Verdana"/>
                <w:sz w:val="20"/>
                <w:szCs w:val="20"/>
              </w:rPr>
            </w:pPr>
          </w:p>
        </w:tc>
      </w:tr>
      <w:tr w:rsidR="00A357CF" w:rsidRPr="00786F18" w14:paraId="532F694E" w14:textId="77777777" w:rsidTr="00A357CF">
        <w:trPr>
          <w:trHeight w:val="991"/>
        </w:trPr>
        <w:tc>
          <w:tcPr>
            <w:tcW w:w="301" w:type="pct"/>
            <w:vMerge/>
          </w:tcPr>
          <w:p w14:paraId="51531A96" w14:textId="77777777" w:rsidR="00A357CF" w:rsidRPr="00786F18" w:rsidRDefault="00A357CF" w:rsidP="00555417">
            <w:pPr>
              <w:rPr>
                <w:rFonts w:ascii="Verdana" w:hAnsi="Verdana"/>
                <w:sz w:val="20"/>
                <w:szCs w:val="20"/>
              </w:rPr>
            </w:pPr>
          </w:p>
        </w:tc>
        <w:tc>
          <w:tcPr>
            <w:tcW w:w="1105" w:type="pct"/>
            <w:vMerge/>
          </w:tcPr>
          <w:p w14:paraId="7C2FC701" w14:textId="77777777" w:rsidR="00A357CF" w:rsidRPr="00786F18" w:rsidRDefault="00A357CF" w:rsidP="00555417">
            <w:pPr>
              <w:rPr>
                <w:rFonts w:ascii="Verdana" w:hAnsi="Verdana"/>
                <w:sz w:val="20"/>
                <w:szCs w:val="20"/>
              </w:rPr>
            </w:pPr>
          </w:p>
        </w:tc>
        <w:tc>
          <w:tcPr>
            <w:tcW w:w="3594" w:type="pct"/>
          </w:tcPr>
          <w:p w14:paraId="4FF25B63" w14:textId="77777777" w:rsidR="00A357CF" w:rsidRPr="00786F18" w:rsidRDefault="00A357CF" w:rsidP="00555417">
            <w:pPr>
              <w:rPr>
                <w:rFonts w:ascii="Verdana" w:hAnsi="Verdana"/>
                <w:b/>
                <w:sz w:val="20"/>
                <w:szCs w:val="20"/>
              </w:rPr>
            </w:pPr>
            <w:r w:rsidRPr="00786F18">
              <w:rPr>
                <w:rFonts w:ascii="Verdana" w:hAnsi="Verdana"/>
                <w:b/>
                <w:sz w:val="20"/>
                <w:szCs w:val="20"/>
              </w:rPr>
              <w:t>SEAC Rapporteurs comments:</w:t>
            </w:r>
          </w:p>
          <w:p w14:paraId="27CF34F5" w14:textId="3C0638E3" w:rsidR="00A357CF" w:rsidRPr="00786F18" w:rsidRDefault="00D02672" w:rsidP="00555417">
            <w:pPr>
              <w:rPr>
                <w:rFonts w:ascii="Verdana" w:hAnsi="Verdana"/>
                <w:sz w:val="20"/>
                <w:szCs w:val="20"/>
              </w:rPr>
            </w:pPr>
            <w:r>
              <w:rPr>
                <w:rFonts w:ascii="Verdana" w:hAnsi="Verdana"/>
                <w:sz w:val="20"/>
                <w:szCs w:val="20"/>
              </w:rPr>
              <w:t>Thank you for the information.</w:t>
            </w:r>
          </w:p>
        </w:tc>
      </w:tr>
      <w:tr w:rsidR="00A357CF" w:rsidRPr="00786F18" w14:paraId="5A7AEDBE" w14:textId="77777777" w:rsidTr="00A357CF">
        <w:tc>
          <w:tcPr>
            <w:tcW w:w="301" w:type="pct"/>
            <w:vMerge w:val="restart"/>
          </w:tcPr>
          <w:p w14:paraId="5CE7A80E" w14:textId="77777777" w:rsidR="00A357CF" w:rsidRPr="00786F18" w:rsidRDefault="00A357CF" w:rsidP="00555417">
            <w:pPr>
              <w:rPr>
                <w:rFonts w:ascii="Verdana" w:hAnsi="Verdana"/>
                <w:b/>
                <w:sz w:val="20"/>
                <w:szCs w:val="20"/>
              </w:rPr>
            </w:pPr>
            <w:r w:rsidRPr="00F46E9D">
              <w:rPr>
                <w:rFonts w:ascii="Verdana" w:hAnsi="Verdana"/>
                <w:b/>
                <w:noProof/>
                <w:sz w:val="20"/>
                <w:szCs w:val="20"/>
              </w:rPr>
              <w:t>2886</w:t>
            </w:r>
          </w:p>
        </w:tc>
        <w:tc>
          <w:tcPr>
            <w:tcW w:w="1105" w:type="pct"/>
            <w:vMerge w:val="restart"/>
          </w:tcPr>
          <w:p w14:paraId="3E270F4E" w14:textId="77777777" w:rsidR="00A357CF" w:rsidRPr="00786F18" w:rsidRDefault="00A357CF" w:rsidP="00555417">
            <w:pPr>
              <w:rPr>
                <w:rFonts w:ascii="Verdana" w:hAnsi="Verdana"/>
                <w:sz w:val="20"/>
                <w:szCs w:val="20"/>
              </w:rPr>
            </w:pPr>
            <w:r w:rsidRPr="00786F18">
              <w:rPr>
                <w:rFonts w:ascii="Verdana" w:hAnsi="Verdana"/>
                <w:b/>
                <w:sz w:val="20"/>
                <w:szCs w:val="20"/>
              </w:rPr>
              <w:t>Date:</w:t>
            </w:r>
            <w:r w:rsidRPr="00786F18">
              <w:rPr>
                <w:rFonts w:ascii="Verdana" w:hAnsi="Verdana"/>
                <w:sz w:val="20"/>
                <w:szCs w:val="20"/>
              </w:rPr>
              <w:t xml:space="preserve"> </w:t>
            </w:r>
            <w:r w:rsidRPr="00F46E9D">
              <w:rPr>
                <w:rFonts w:ascii="Verdana" w:hAnsi="Verdana"/>
                <w:noProof/>
                <w:sz w:val="20"/>
                <w:szCs w:val="20"/>
              </w:rPr>
              <w:t>2019/12/19 12:37</w:t>
            </w:r>
          </w:p>
          <w:p w14:paraId="7B830497" w14:textId="77777777" w:rsidR="00A357CF" w:rsidRPr="00786F18" w:rsidRDefault="00A357CF" w:rsidP="00555417">
            <w:pPr>
              <w:rPr>
                <w:rFonts w:ascii="Verdana" w:hAnsi="Verdana"/>
                <w:sz w:val="20"/>
                <w:szCs w:val="20"/>
              </w:rPr>
            </w:pPr>
          </w:p>
          <w:p w14:paraId="6C540C37" w14:textId="77777777" w:rsidR="00A357CF" w:rsidRPr="00786F18" w:rsidRDefault="00A357CF" w:rsidP="00555417">
            <w:pPr>
              <w:rPr>
                <w:rFonts w:ascii="Verdana" w:hAnsi="Verdana"/>
                <w:b/>
                <w:sz w:val="20"/>
                <w:szCs w:val="20"/>
              </w:rPr>
            </w:pPr>
            <w:r w:rsidRPr="00786F18">
              <w:rPr>
                <w:rFonts w:ascii="Verdana" w:hAnsi="Verdana"/>
                <w:b/>
                <w:sz w:val="20"/>
                <w:szCs w:val="20"/>
              </w:rPr>
              <w:t>Content:</w:t>
            </w:r>
          </w:p>
          <w:p w14:paraId="6F658174" w14:textId="77777777" w:rsidR="00A357CF" w:rsidRPr="00786F18" w:rsidRDefault="00A357CF" w:rsidP="00555417">
            <w:pPr>
              <w:rPr>
                <w:rFonts w:ascii="Verdana" w:hAnsi="Verdana"/>
                <w:sz w:val="20"/>
                <w:szCs w:val="20"/>
              </w:rPr>
            </w:pPr>
            <w:r w:rsidRPr="00F46E9D">
              <w:rPr>
                <w:rFonts w:ascii="Verdana" w:hAnsi="Verdana"/>
                <w:noProof/>
                <w:sz w:val="20"/>
                <w:szCs w:val="20"/>
              </w:rPr>
              <w:t>Hazard or exposure</w:t>
            </w:r>
          </w:p>
          <w:p w14:paraId="24243980" w14:textId="77777777" w:rsidR="00A357CF" w:rsidRPr="00786F18" w:rsidRDefault="00A357CF" w:rsidP="00555417">
            <w:pPr>
              <w:rPr>
                <w:rFonts w:ascii="Verdana" w:hAnsi="Verdana"/>
                <w:sz w:val="20"/>
                <w:szCs w:val="20"/>
              </w:rPr>
            </w:pPr>
          </w:p>
          <w:p w14:paraId="1CBEAECE" w14:textId="77777777" w:rsidR="00A357CF" w:rsidRPr="00786F18" w:rsidRDefault="00A357CF" w:rsidP="00555417">
            <w:pPr>
              <w:rPr>
                <w:rFonts w:ascii="Verdana" w:hAnsi="Verdana"/>
                <w:sz w:val="20"/>
                <w:szCs w:val="20"/>
              </w:rPr>
            </w:pPr>
            <w:r w:rsidRPr="00786F18">
              <w:rPr>
                <w:rFonts w:ascii="Verdana" w:hAnsi="Verdana"/>
                <w:b/>
                <w:sz w:val="20"/>
                <w:szCs w:val="20"/>
              </w:rPr>
              <w:t>Type:</w:t>
            </w:r>
            <w:r w:rsidRPr="00786F18">
              <w:rPr>
                <w:rFonts w:ascii="Verdana" w:hAnsi="Verdana"/>
                <w:sz w:val="20"/>
                <w:szCs w:val="20"/>
              </w:rPr>
              <w:t xml:space="preserve"> </w:t>
            </w:r>
            <w:r w:rsidRPr="00F46E9D">
              <w:rPr>
                <w:rFonts w:ascii="Verdana" w:hAnsi="Verdana"/>
                <w:noProof/>
                <w:sz w:val="20"/>
                <w:szCs w:val="20"/>
              </w:rPr>
              <w:t>BehalfOfAnOrganisation</w:t>
            </w:r>
          </w:p>
          <w:p w14:paraId="5A44DD5E" w14:textId="77777777" w:rsidR="00A357CF" w:rsidRPr="00786F18" w:rsidRDefault="00A357CF" w:rsidP="00555417">
            <w:pPr>
              <w:rPr>
                <w:rFonts w:ascii="Verdana" w:hAnsi="Verdana"/>
                <w:sz w:val="20"/>
                <w:szCs w:val="20"/>
              </w:rPr>
            </w:pPr>
          </w:p>
          <w:p w14:paraId="1EED3265" w14:textId="77777777" w:rsidR="00A357CF" w:rsidRPr="00786F18" w:rsidRDefault="00A357CF" w:rsidP="00555417">
            <w:pPr>
              <w:rPr>
                <w:rFonts w:ascii="Verdana" w:hAnsi="Verdana"/>
                <w:sz w:val="20"/>
                <w:szCs w:val="20"/>
              </w:rPr>
            </w:pPr>
            <w:r w:rsidRPr="00786F18">
              <w:rPr>
                <w:rFonts w:ascii="Verdana" w:hAnsi="Verdana"/>
                <w:b/>
                <w:sz w:val="20"/>
                <w:szCs w:val="20"/>
              </w:rPr>
              <w:t>Org. type:</w:t>
            </w:r>
            <w:r w:rsidRPr="00786F18">
              <w:rPr>
                <w:rFonts w:ascii="Verdana" w:hAnsi="Verdana"/>
                <w:sz w:val="20"/>
                <w:szCs w:val="20"/>
              </w:rPr>
              <w:t xml:space="preserve"> </w:t>
            </w:r>
            <w:r w:rsidRPr="00F46E9D">
              <w:rPr>
                <w:rFonts w:ascii="Verdana" w:hAnsi="Verdana"/>
                <w:noProof/>
                <w:sz w:val="20"/>
                <w:szCs w:val="20"/>
              </w:rPr>
              <w:t>National Authority</w:t>
            </w:r>
          </w:p>
          <w:p w14:paraId="0CB31EF7" w14:textId="77777777" w:rsidR="00A357CF" w:rsidRPr="00786F18" w:rsidRDefault="00A357CF" w:rsidP="00555417">
            <w:pPr>
              <w:rPr>
                <w:rFonts w:ascii="Verdana" w:hAnsi="Verdana"/>
                <w:sz w:val="20"/>
                <w:szCs w:val="20"/>
              </w:rPr>
            </w:pPr>
          </w:p>
          <w:p w14:paraId="4EB7AE24" w14:textId="77777777" w:rsidR="00A357CF" w:rsidRPr="00786F18" w:rsidRDefault="00A357CF" w:rsidP="00555417">
            <w:pPr>
              <w:rPr>
                <w:rFonts w:ascii="Verdana" w:hAnsi="Verdana"/>
                <w:sz w:val="20"/>
                <w:szCs w:val="20"/>
              </w:rPr>
            </w:pPr>
            <w:r w:rsidRPr="00786F18">
              <w:rPr>
                <w:rFonts w:ascii="Verdana" w:hAnsi="Verdana"/>
                <w:b/>
                <w:sz w:val="20"/>
                <w:szCs w:val="20"/>
              </w:rPr>
              <w:t>Org. name:</w:t>
            </w:r>
            <w:r w:rsidRPr="00786F18">
              <w:rPr>
                <w:rFonts w:ascii="Verdana" w:hAnsi="Verdana"/>
                <w:sz w:val="20"/>
                <w:szCs w:val="20"/>
              </w:rPr>
              <w:t xml:space="preserve"> </w:t>
            </w:r>
            <w:r w:rsidRPr="00F46E9D">
              <w:rPr>
                <w:rFonts w:ascii="Verdana" w:hAnsi="Verdana"/>
                <w:noProof/>
                <w:sz w:val="20"/>
                <w:szCs w:val="20"/>
              </w:rPr>
              <w:t>Environment Agency</w:t>
            </w:r>
          </w:p>
          <w:p w14:paraId="77A06EB2" w14:textId="77777777" w:rsidR="00A357CF" w:rsidRPr="00786F18" w:rsidRDefault="00A357CF" w:rsidP="00555417">
            <w:pPr>
              <w:rPr>
                <w:rFonts w:ascii="Verdana" w:hAnsi="Verdana"/>
                <w:sz w:val="20"/>
                <w:szCs w:val="20"/>
              </w:rPr>
            </w:pPr>
          </w:p>
          <w:p w14:paraId="60C397C6" w14:textId="77777777" w:rsidR="00A357CF" w:rsidRPr="00786F18" w:rsidRDefault="00A357CF" w:rsidP="00555417">
            <w:pPr>
              <w:rPr>
                <w:rFonts w:ascii="Verdana" w:hAnsi="Verdana"/>
                <w:sz w:val="20"/>
                <w:szCs w:val="20"/>
              </w:rPr>
            </w:pPr>
            <w:r w:rsidRPr="00786F18">
              <w:rPr>
                <w:rFonts w:ascii="Verdana" w:hAnsi="Verdana"/>
                <w:b/>
                <w:sz w:val="20"/>
                <w:szCs w:val="20"/>
              </w:rPr>
              <w:t>Org. country:</w:t>
            </w:r>
            <w:r w:rsidRPr="00786F18">
              <w:rPr>
                <w:rFonts w:ascii="Verdana" w:hAnsi="Verdana"/>
                <w:sz w:val="20"/>
                <w:szCs w:val="20"/>
              </w:rPr>
              <w:t xml:space="preserve"> </w:t>
            </w:r>
            <w:r w:rsidRPr="00F46E9D">
              <w:rPr>
                <w:rFonts w:ascii="Verdana" w:hAnsi="Verdana"/>
                <w:noProof/>
                <w:sz w:val="20"/>
                <w:szCs w:val="20"/>
              </w:rPr>
              <w:t>United Kingdom</w:t>
            </w:r>
          </w:p>
          <w:p w14:paraId="4AA28389" w14:textId="77777777" w:rsidR="00A357CF" w:rsidRPr="004E24F7" w:rsidRDefault="00A357CF" w:rsidP="00555417">
            <w:pPr>
              <w:rPr>
                <w:rFonts w:ascii="Verdana" w:hAnsi="Verdana"/>
                <w:sz w:val="20"/>
                <w:szCs w:val="20"/>
                <w:lang w:val="fr-FR"/>
              </w:rPr>
            </w:pPr>
          </w:p>
        </w:tc>
        <w:tc>
          <w:tcPr>
            <w:tcW w:w="3594" w:type="pct"/>
          </w:tcPr>
          <w:p w14:paraId="579CFB3B" w14:textId="77777777" w:rsidR="00A357CF" w:rsidRPr="00786F18" w:rsidRDefault="00A357CF" w:rsidP="00555417">
            <w:pPr>
              <w:rPr>
                <w:rFonts w:ascii="Verdana" w:hAnsi="Verdana"/>
                <w:b/>
                <w:sz w:val="20"/>
                <w:szCs w:val="20"/>
              </w:rPr>
            </w:pPr>
            <w:r w:rsidRPr="00786F18">
              <w:rPr>
                <w:rFonts w:ascii="Verdana" w:hAnsi="Verdana"/>
                <w:b/>
                <w:sz w:val="20"/>
                <w:szCs w:val="20"/>
              </w:rPr>
              <w:t>Comment:</w:t>
            </w:r>
          </w:p>
          <w:p w14:paraId="3C5EE5D1" w14:textId="77777777" w:rsidR="00A357CF" w:rsidRPr="00786F18" w:rsidRDefault="00A357CF" w:rsidP="00555417">
            <w:pPr>
              <w:rPr>
                <w:rFonts w:ascii="Verdana" w:hAnsi="Verdana"/>
                <w:sz w:val="20"/>
                <w:szCs w:val="20"/>
              </w:rPr>
            </w:pPr>
            <w:r w:rsidRPr="00F46E9D">
              <w:rPr>
                <w:rFonts w:ascii="Verdana" w:hAnsi="Verdana"/>
                <w:noProof/>
                <w:sz w:val="20"/>
                <w:szCs w:val="20"/>
              </w:rPr>
              <w:t xml:space="preserve">We are submitting analytical data on behalf of the </w:t>
            </w:r>
            <w:bookmarkStart w:id="4" w:name="_Hlk27997402"/>
            <w:r w:rsidRPr="00F46E9D">
              <w:rPr>
                <w:rFonts w:ascii="Verdana" w:hAnsi="Verdana"/>
                <w:noProof/>
                <w:sz w:val="20"/>
                <w:szCs w:val="20"/>
              </w:rPr>
              <w:t>Centre for Environment, Fisheries and Aquaculture Science (Cefas).</w:t>
            </w:r>
            <w:bookmarkEnd w:id="4"/>
          </w:p>
          <w:p w14:paraId="1FA36589" w14:textId="77777777" w:rsidR="00A357CF" w:rsidRPr="00786F18" w:rsidRDefault="00A357CF" w:rsidP="00555417">
            <w:pPr>
              <w:rPr>
                <w:rFonts w:ascii="Verdana" w:hAnsi="Verdana"/>
                <w:sz w:val="20"/>
                <w:szCs w:val="20"/>
              </w:rPr>
            </w:pPr>
          </w:p>
        </w:tc>
      </w:tr>
      <w:tr w:rsidR="00A357CF" w:rsidRPr="00786F18" w14:paraId="23210FCE" w14:textId="77777777" w:rsidTr="00A357CF">
        <w:trPr>
          <w:trHeight w:val="636"/>
        </w:trPr>
        <w:tc>
          <w:tcPr>
            <w:tcW w:w="301" w:type="pct"/>
            <w:vMerge/>
          </w:tcPr>
          <w:p w14:paraId="38FF7BF9" w14:textId="77777777" w:rsidR="00A357CF" w:rsidRPr="00786F18" w:rsidRDefault="00A357CF" w:rsidP="00555417">
            <w:pPr>
              <w:rPr>
                <w:rFonts w:ascii="Verdana" w:hAnsi="Verdana"/>
                <w:sz w:val="20"/>
                <w:szCs w:val="20"/>
              </w:rPr>
            </w:pPr>
          </w:p>
        </w:tc>
        <w:tc>
          <w:tcPr>
            <w:tcW w:w="1105" w:type="pct"/>
            <w:vMerge/>
          </w:tcPr>
          <w:p w14:paraId="3C43D327" w14:textId="77777777" w:rsidR="00A357CF" w:rsidRPr="00786F18" w:rsidRDefault="00A357CF" w:rsidP="00555417">
            <w:pPr>
              <w:rPr>
                <w:rFonts w:ascii="Verdana" w:hAnsi="Verdana"/>
                <w:sz w:val="20"/>
                <w:szCs w:val="20"/>
              </w:rPr>
            </w:pPr>
          </w:p>
        </w:tc>
        <w:tc>
          <w:tcPr>
            <w:tcW w:w="3594" w:type="pct"/>
          </w:tcPr>
          <w:p w14:paraId="110854E4" w14:textId="77777777" w:rsidR="00A357CF" w:rsidRPr="00786F18" w:rsidRDefault="00A357CF" w:rsidP="00555417">
            <w:pPr>
              <w:rPr>
                <w:rFonts w:ascii="Verdana" w:hAnsi="Verdana"/>
                <w:b/>
                <w:sz w:val="20"/>
                <w:szCs w:val="20"/>
              </w:rPr>
            </w:pPr>
            <w:r w:rsidRPr="00786F18">
              <w:rPr>
                <w:rFonts w:ascii="Verdana" w:hAnsi="Verdana"/>
                <w:b/>
                <w:sz w:val="20"/>
                <w:szCs w:val="20"/>
              </w:rPr>
              <w:t>Answer to specific info request 4:</w:t>
            </w:r>
          </w:p>
          <w:p w14:paraId="07AD5A84" w14:textId="77777777" w:rsidR="00A357CF" w:rsidRPr="00F46E9D" w:rsidRDefault="00A357CF" w:rsidP="00555417">
            <w:pPr>
              <w:rPr>
                <w:rFonts w:ascii="Verdana" w:hAnsi="Verdana"/>
                <w:noProof/>
                <w:sz w:val="20"/>
                <w:szCs w:val="20"/>
              </w:rPr>
            </w:pPr>
            <w:bookmarkStart w:id="5" w:name="_Hlk27997365"/>
            <w:r w:rsidRPr="00F46E9D">
              <w:rPr>
                <w:rFonts w:ascii="Verdana" w:hAnsi="Verdana"/>
                <w:noProof/>
                <w:sz w:val="20"/>
                <w:szCs w:val="20"/>
              </w:rPr>
              <w:t>Analysis of pooled (n=5) liver samples from fish caught off the UK coast in 2018 has provided the following statistics for PFHxS concentrations (wet weight):</w:t>
            </w:r>
          </w:p>
          <w:p w14:paraId="20762976" w14:textId="77777777" w:rsidR="00A357CF" w:rsidRPr="00F46E9D" w:rsidRDefault="00A357CF" w:rsidP="00555417">
            <w:pPr>
              <w:rPr>
                <w:rFonts w:ascii="Verdana" w:hAnsi="Verdana"/>
                <w:noProof/>
                <w:sz w:val="20"/>
                <w:szCs w:val="20"/>
              </w:rPr>
            </w:pPr>
            <w:r w:rsidRPr="00F46E9D">
              <w:rPr>
                <w:rFonts w:ascii="Verdana" w:hAnsi="Verdana"/>
                <w:noProof/>
                <w:sz w:val="20"/>
                <w:szCs w:val="20"/>
              </w:rPr>
              <w:t>Median measured concentration in Dab (Limanda limanda) was 0.115 μg/Kg (95-percentile 0.210 μg/Kg, n = 70);</w:t>
            </w:r>
          </w:p>
          <w:p w14:paraId="70214D7C" w14:textId="77777777" w:rsidR="00A357CF" w:rsidRPr="00F46E9D" w:rsidRDefault="00A357CF" w:rsidP="00555417">
            <w:pPr>
              <w:rPr>
                <w:rFonts w:ascii="Verdana" w:hAnsi="Verdana"/>
                <w:noProof/>
                <w:sz w:val="20"/>
                <w:szCs w:val="20"/>
              </w:rPr>
            </w:pPr>
            <w:r w:rsidRPr="00F46E9D">
              <w:rPr>
                <w:rFonts w:ascii="Verdana" w:hAnsi="Verdana"/>
                <w:noProof/>
                <w:sz w:val="20"/>
                <w:szCs w:val="20"/>
              </w:rPr>
              <w:t>Median measured concentration in European plaice (Pleuronectes platessa) was 0.0956 μg/Kg (maximum = 0.124 μg/Kg, n = 5);</w:t>
            </w:r>
          </w:p>
          <w:p w14:paraId="48A68209" w14:textId="77777777" w:rsidR="00A357CF" w:rsidRPr="00F46E9D" w:rsidRDefault="00A357CF" w:rsidP="00555417">
            <w:pPr>
              <w:rPr>
                <w:rFonts w:ascii="Verdana" w:hAnsi="Verdana"/>
                <w:noProof/>
                <w:sz w:val="20"/>
                <w:szCs w:val="20"/>
              </w:rPr>
            </w:pPr>
            <w:r w:rsidRPr="00F46E9D">
              <w:rPr>
                <w:rFonts w:ascii="Verdana" w:hAnsi="Verdana"/>
                <w:noProof/>
                <w:sz w:val="20"/>
                <w:szCs w:val="20"/>
              </w:rPr>
              <w:t>Measured concentrations in Whiting (Merlangius merlangus) were below the Level of Detection of 0.05 μg/Kg (n=4).</w:t>
            </w:r>
          </w:p>
          <w:p w14:paraId="36D77401" w14:textId="74D0A390" w:rsidR="00A357CF" w:rsidRPr="00F46E9D" w:rsidRDefault="00A357CF" w:rsidP="00555417">
            <w:pPr>
              <w:rPr>
                <w:rFonts w:ascii="Verdana" w:hAnsi="Verdana"/>
                <w:noProof/>
                <w:sz w:val="20"/>
                <w:szCs w:val="20"/>
              </w:rPr>
            </w:pPr>
            <w:r w:rsidRPr="00F46E9D">
              <w:rPr>
                <w:rFonts w:ascii="Verdana" w:hAnsi="Verdana"/>
                <w:noProof/>
                <w:sz w:val="20"/>
                <w:szCs w:val="20"/>
              </w:rPr>
              <w:t>Liver samples from 95 Harbour Porpoises (Phocoena phocoena) stranded or bycaught in UK coastal waters from 2012-17 contained a median measured PFHxS concentration of 0.424 μg/Kg (95-percentile 2.801 μg/Kg) (wet weight).</w:t>
            </w:r>
          </w:p>
          <w:p w14:paraId="028A10F3" w14:textId="031FC23A" w:rsidR="00A357CF" w:rsidRPr="00F46E9D" w:rsidRDefault="00A357CF" w:rsidP="00555417">
            <w:pPr>
              <w:rPr>
                <w:rFonts w:ascii="Verdana" w:hAnsi="Verdana"/>
                <w:noProof/>
                <w:sz w:val="20"/>
                <w:szCs w:val="20"/>
              </w:rPr>
            </w:pPr>
            <w:r w:rsidRPr="00F46E9D">
              <w:rPr>
                <w:rFonts w:ascii="Verdana" w:hAnsi="Verdana"/>
                <w:noProof/>
                <w:sz w:val="20"/>
                <w:szCs w:val="20"/>
              </w:rPr>
              <w:t>Liver samples from 50 adult European Otters collected in the UK from 2007-09 contained a median measured PFHxS concentration of 7.09 μg/Kg (95-percentile 42.03 μg/Kg) (wet weight).</w:t>
            </w:r>
          </w:p>
          <w:bookmarkEnd w:id="5"/>
          <w:p w14:paraId="05B8F1CE" w14:textId="77777777" w:rsidR="00A357CF" w:rsidRPr="00786F18" w:rsidRDefault="00A357CF" w:rsidP="00555417">
            <w:pPr>
              <w:rPr>
                <w:rFonts w:ascii="Verdana" w:hAnsi="Verdana"/>
                <w:sz w:val="20"/>
                <w:szCs w:val="20"/>
              </w:rPr>
            </w:pPr>
          </w:p>
        </w:tc>
      </w:tr>
      <w:tr w:rsidR="00A357CF" w:rsidRPr="00786F18" w14:paraId="4B0EFDB1" w14:textId="77777777" w:rsidTr="00A357CF">
        <w:trPr>
          <w:trHeight w:val="505"/>
        </w:trPr>
        <w:tc>
          <w:tcPr>
            <w:tcW w:w="301" w:type="pct"/>
            <w:vMerge/>
          </w:tcPr>
          <w:p w14:paraId="46682380" w14:textId="77777777" w:rsidR="00A357CF" w:rsidRPr="00786F18" w:rsidRDefault="00A357CF" w:rsidP="00555417">
            <w:pPr>
              <w:rPr>
                <w:rFonts w:ascii="Verdana" w:hAnsi="Verdana"/>
                <w:sz w:val="20"/>
                <w:szCs w:val="20"/>
              </w:rPr>
            </w:pPr>
          </w:p>
        </w:tc>
        <w:tc>
          <w:tcPr>
            <w:tcW w:w="1105" w:type="pct"/>
            <w:vMerge/>
          </w:tcPr>
          <w:p w14:paraId="2426AFA5" w14:textId="77777777" w:rsidR="00A357CF" w:rsidRPr="00786F18" w:rsidRDefault="00A357CF" w:rsidP="00555417">
            <w:pPr>
              <w:rPr>
                <w:rFonts w:ascii="Verdana" w:hAnsi="Verdana"/>
                <w:sz w:val="20"/>
                <w:szCs w:val="20"/>
              </w:rPr>
            </w:pPr>
          </w:p>
        </w:tc>
        <w:tc>
          <w:tcPr>
            <w:tcW w:w="3594" w:type="pct"/>
          </w:tcPr>
          <w:p w14:paraId="7B2D0955" w14:textId="77777777" w:rsidR="00A357CF" w:rsidRPr="00786F18" w:rsidRDefault="00A357CF" w:rsidP="00555417">
            <w:pPr>
              <w:rPr>
                <w:rFonts w:ascii="Verdana" w:hAnsi="Verdana"/>
                <w:b/>
                <w:sz w:val="20"/>
                <w:szCs w:val="20"/>
              </w:rPr>
            </w:pPr>
            <w:r w:rsidRPr="00786F18">
              <w:rPr>
                <w:rFonts w:ascii="Verdana" w:hAnsi="Verdana"/>
                <w:b/>
                <w:sz w:val="20"/>
                <w:szCs w:val="20"/>
              </w:rPr>
              <w:t>Dossier submitter response:</w:t>
            </w:r>
          </w:p>
          <w:p w14:paraId="6F8EC1D9" w14:textId="7C9EFE8F" w:rsidR="00EB6AA1" w:rsidRPr="00786F18" w:rsidRDefault="00EB6AA1" w:rsidP="00EB6AA1">
            <w:pPr>
              <w:rPr>
                <w:rFonts w:ascii="Verdana" w:hAnsi="Verdana"/>
                <w:sz w:val="20"/>
                <w:szCs w:val="20"/>
              </w:rPr>
            </w:pPr>
            <w:r w:rsidRPr="00EB6AA1">
              <w:rPr>
                <w:rFonts w:ascii="Verdana" w:hAnsi="Verdana"/>
                <w:sz w:val="20"/>
                <w:szCs w:val="20"/>
              </w:rPr>
              <w:t xml:space="preserve">Thank you for submitting the data. We have included them in </w:t>
            </w:r>
            <w:r w:rsidRPr="00B93986">
              <w:rPr>
                <w:rFonts w:ascii="Verdana" w:hAnsi="Verdana"/>
                <w:sz w:val="20"/>
                <w:szCs w:val="20"/>
              </w:rPr>
              <w:t>chapter B.4.3.</w:t>
            </w:r>
            <w:r w:rsidR="00B93986" w:rsidRPr="00B93986">
              <w:rPr>
                <w:rFonts w:ascii="Verdana" w:hAnsi="Verdana"/>
                <w:sz w:val="20"/>
                <w:szCs w:val="20"/>
              </w:rPr>
              <w:t>5</w:t>
            </w:r>
            <w:r w:rsidRPr="00EB6AA1">
              <w:rPr>
                <w:rFonts w:ascii="Verdana" w:hAnsi="Verdana"/>
                <w:sz w:val="20"/>
                <w:szCs w:val="20"/>
              </w:rPr>
              <w:t xml:space="preserve"> of the Background Document.</w:t>
            </w:r>
          </w:p>
          <w:p w14:paraId="6F0918F2" w14:textId="77777777" w:rsidR="00A357CF" w:rsidRPr="00786F18" w:rsidRDefault="00A357CF" w:rsidP="00555417">
            <w:pPr>
              <w:rPr>
                <w:rFonts w:ascii="Verdana" w:hAnsi="Verdana"/>
                <w:sz w:val="20"/>
                <w:szCs w:val="20"/>
              </w:rPr>
            </w:pPr>
          </w:p>
        </w:tc>
      </w:tr>
      <w:tr w:rsidR="00A357CF" w:rsidRPr="00786F18" w14:paraId="296BCA6C" w14:textId="77777777" w:rsidTr="00A357CF">
        <w:trPr>
          <w:trHeight w:val="561"/>
        </w:trPr>
        <w:tc>
          <w:tcPr>
            <w:tcW w:w="301" w:type="pct"/>
            <w:vMerge/>
          </w:tcPr>
          <w:p w14:paraId="192739DB" w14:textId="77777777" w:rsidR="00A357CF" w:rsidRPr="00786F18" w:rsidRDefault="00A357CF" w:rsidP="00555417">
            <w:pPr>
              <w:rPr>
                <w:rFonts w:ascii="Verdana" w:hAnsi="Verdana"/>
                <w:sz w:val="20"/>
                <w:szCs w:val="20"/>
              </w:rPr>
            </w:pPr>
          </w:p>
        </w:tc>
        <w:tc>
          <w:tcPr>
            <w:tcW w:w="1105" w:type="pct"/>
            <w:vMerge/>
          </w:tcPr>
          <w:p w14:paraId="10E35623" w14:textId="77777777" w:rsidR="00A357CF" w:rsidRPr="00786F18" w:rsidRDefault="00A357CF" w:rsidP="00555417">
            <w:pPr>
              <w:rPr>
                <w:rFonts w:ascii="Verdana" w:hAnsi="Verdana"/>
                <w:sz w:val="20"/>
                <w:szCs w:val="20"/>
              </w:rPr>
            </w:pPr>
          </w:p>
        </w:tc>
        <w:tc>
          <w:tcPr>
            <w:tcW w:w="3594" w:type="pct"/>
          </w:tcPr>
          <w:p w14:paraId="7C6C2C71" w14:textId="77777777" w:rsidR="00A357CF" w:rsidRPr="00786F18" w:rsidRDefault="00A357CF" w:rsidP="00555417">
            <w:pPr>
              <w:rPr>
                <w:rFonts w:ascii="Verdana" w:hAnsi="Verdana"/>
                <w:b/>
                <w:sz w:val="20"/>
                <w:szCs w:val="20"/>
              </w:rPr>
            </w:pPr>
            <w:r w:rsidRPr="00786F18">
              <w:rPr>
                <w:rFonts w:ascii="Verdana" w:hAnsi="Verdana"/>
                <w:b/>
                <w:sz w:val="20"/>
                <w:szCs w:val="20"/>
              </w:rPr>
              <w:t>RAC Rapporteurs comments:</w:t>
            </w:r>
          </w:p>
          <w:p w14:paraId="5CF1DFF0" w14:textId="50C3D648" w:rsidR="00A357CF" w:rsidRPr="00786F18" w:rsidRDefault="002D347F" w:rsidP="00555417">
            <w:pPr>
              <w:rPr>
                <w:rFonts w:ascii="Verdana" w:hAnsi="Verdana"/>
                <w:sz w:val="20"/>
                <w:szCs w:val="20"/>
              </w:rPr>
            </w:pPr>
            <w:r>
              <w:rPr>
                <w:rFonts w:ascii="Verdana" w:hAnsi="Verdana"/>
                <w:sz w:val="20"/>
                <w:szCs w:val="20"/>
              </w:rPr>
              <w:t xml:space="preserve">Noted, thank you. </w:t>
            </w:r>
          </w:p>
          <w:p w14:paraId="4628E1D0" w14:textId="77777777" w:rsidR="00A357CF" w:rsidRPr="00786F18" w:rsidRDefault="00A357CF" w:rsidP="00555417">
            <w:pPr>
              <w:rPr>
                <w:rFonts w:ascii="Verdana" w:hAnsi="Verdana"/>
                <w:sz w:val="20"/>
                <w:szCs w:val="20"/>
              </w:rPr>
            </w:pPr>
          </w:p>
        </w:tc>
      </w:tr>
      <w:tr w:rsidR="00A357CF" w:rsidRPr="00786F18" w14:paraId="4A7C04D5" w14:textId="77777777" w:rsidTr="00A357CF">
        <w:trPr>
          <w:trHeight w:val="991"/>
        </w:trPr>
        <w:tc>
          <w:tcPr>
            <w:tcW w:w="301" w:type="pct"/>
            <w:vMerge/>
          </w:tcPr>
          <w:p w14:paraId="27414D41" w14:textId="77777777" w:rsidR="00A357CF" w:rsidRPr="00786F18" w:rsidRDefault="00A357CF" w:rsidP="00555417">
            <w:pPr>
              <w:rPr>
                <w:rFonts w:ascii="Verdana" w:hAnsi="Verdana"/>
                <w:sz w:val="20"/>
                <w:szCs w:val="20"/>
              </w:rPr>
            </w:pPr>
          </w:p>
        </w:tc>
        <w:tc>
          <w:tcPr>
            <w:tcW w:w="1105" w:type="pct"/>
            <w:vMerge/>
          </w:tcPr>
          <w:p w14:paraId="0F3D7D0D" w14:textId="77777777" w:rsidR="00A357CF" w:rsidRPr="00786F18" w:rsidRDefault="00A357CF" w:rsidP="00555417">
            <w:pPr>
              <w:rPr>
                <w:rFonts w:ascii="Verdana" w:hAnsi="Verdana"/>
                <w:sz w:val="20"/>
                <w:szCs w:val="20"/>
              </w:rPr>
            </w:pPr>
          </w:p>
        </w:tc>
        <w:tc>
          <w:tcPr>
            <w:tcW w:w="3594" w:type="pct"/>
          </w:tcPr>
          <w:p w14:paraId="44F3054F" w14:textId="77777777" w:rsidR="00A357CF" w:rsidRPr="00786F18" w:rsidRDefault="00A357CF" w:rsidP="00555417">
            <w:pPr>
              <w:rPr>
                <w:rFonts w:ascii="Verdana" w:hAnsi="Verdana"/>
                <w:b/>
                <w:sz w:val="20"/>
                <w:szCs w:val="20"/>
              </w:rPr>
            </w:pPr>
            <w:r w:rsidRPr="00786F18">
              <w:rPr>
                <w:rFonts w:ascii="Verdana" w:hAnsi="Verdana"/>
                <w:b/>
                <w:sz w:val="20"/>
                <w:szCs w:val="20"/>
              </w:rPr>
              <w:t>SEAC Rapporteurs comments:</w:t>
            </w:r>
          </w:p>
          <w:p w14:paraId="3A1F7A45" w14:textId="77777777" w:rsidR="00A357CF" w:rsidRPr="00786F18" w:rsidRDefault="00A357CF" w:rsidP="00555417">
            <w:pPr>
              <w:rPr>
                <w:rFonts w:ascii="Verdana" w:hAnsi="Verdana"/>
                <w:sz w:val="20"/>
                <w:szCs w:val="20"/>
              </w:rPr>
            </w:pPr>
          </w:p>
          <w:p w14:paraId="64A28959" w14:textId="26B494E6" w:rsidR="00A357CF" w:rsidRPr="00786F18" w:rsidRDefault="00D02672" w:rsidP="00555417">
            <w:pPr>
              <w:rPr>
                <w:rFonts w:ascii="Verdana" w:hAnsi="Verdana"/>
                <w:sz w:val="20"/>
                <w:szCs w:val="20"/>
              </w:rPr>
            </w:pPr>
            <w:r>
              <w:rPr>
                <w:rFonts w:ascii="Verdana" w:hAnsi="Verdana"/>
                <w:sz w:val="20"/>
                <w:szCs w:val="20"/>
              </w:rPr>
              <w:t>Thank you for the information.</w:t>
            </w:r>
          </w:p>
        </w:tc>
      </w:tr>
    </w:tbl>
    <w:p w14:paraId="6D0C253F" w14:textId="77777777" w:rsidR="00970B70" w:rsidRPr="00786F18" w:rsidRDefault="00970B70" w:rsidP="00970B70">
      <w:pPr>
        <w:rPr>
          <w:rFonts w:ascii="Verdana" w:hAnsi="Verdana"/>
          <w:sz w:val="20"/>
          <w:szCs w:val="20"/>
        </w:rPr>
      </w:pPr>
    </w:p>
    <w:p w14:paraId="05FDCC83" w14:textId="77777777" w:rsidR="00970B70" w:rsidRPr="00786F18" w:rsidRDefault="00970B70" w:rsidP="00970B70">
      <w:pPr>
        <w:rPr>
          <w:rFonts w:ascii="Verdana" w:hAnsi="Verdana"/>
          <w:sz w:val="20"/>
          <w:szCs w:val="20"/>
        </w:rPr>
      </w:pPr>
    </w:p>
    <w:p w14:paraId="1D6840EB" w14:textId="77777777" w:rsidR="00DC17E7" w:rsidRPr="00786F18" w:rsidRDefault="00DC17E7" w:rsidP="00DC17E7">
      <w:pPr>
        <w:rPr>
          <w:rFonts w:ascii="Verdana" w:hAnsi="Verdana"/>
          <w:sz w:val="20"/>
          <w:szCs w:val="20"/>
        </w:rPr>
      </w:pPr>
    </w:p>
    <w:p w14:paraId="1D6840EC" w14:textId="77777777" w:rsidR="006A3AFA" w:rsidRDefault="006A3AFA" w:rsidP="001F20A0"/>
    <w:sectPr w:rsidR="006A3AFA" w:rsidSect="00A73A8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BA949" w14:textId="77777777" w:rsidR="007F6460" w:rsidRDefault="007F6460" w:rsidP="004E600F">
      <w:r>
        <w:separator/>
      </w:r>
    </w:p>
  </w:endnote>
  <w:endnote w:type="continuationSeparator" w:id="0">
    <w:p w14:paraId="42DF6BA7" w14:textId="77777777" w:rsidR="007F6460" w:rsidRDefault="007F6460" w:rsidP="004E600F">
      <w:r>
        <w:continuationSeparator/>
      </w:r>
    </w:p>
  </w:endnote>
  <w:endnote w:type="continuationNotice" w:id="1">
    <w:p w14:paraId="6044A79F" w14:textId="77777777" w:rsidR="007F6460" w:rsidRDefault="007F6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840F7" w14:textId="4348F4AF" w:rsidR="00DA6F0F" w:rsidRPr="00DF24D2" w:rsidRDefault="00DA6F0F" w:rsidP="00DF24D2">
    <w:pPr>
      <w:pStyle w:val="Footer"/>
      <w:jc w:val="right"/>
      <w:rPr>
        <w:sz w:val="11"/>
      </w:rPr>
    </w:pPr>
    <w:r w:rsidRPr="00DF24D2">
      <w:rPr>
        <w:sz w:val="16"/>
        <w:szCs w:val="18"/>
      </w:rPr>
      <w:fldChar w:fldCharType="begin"/>
    </w:r>
    <w:r w:rsidRPr="00DF24D2">
      <w:rPr>
        <w:sz w:val="16"/>
        <w:szCs w:val="18"/>
      </w:rPr>
      <w:instrText xml:space="preserve"> PAGE   \* MERGEFORMAT </w:instrText>
    </w:r>
    <w:r w:rsidRPr="00DF24D2">
      <w:rPr>
        <w:sz w:val="16"/>
        <w:szCs w:val="18"/>
      </w:rPr>
      <w:fldChar w:fldCharType="separate"/>
    </w:r>
    <w:r w:rsidR="00F83D46">
      <w:rPr>
        <w:noProof/>
        <w:sz w:val="16"/>
        <w:szCs w:val="18"/>
      </w:rPr>
      <w:t>15</w:t>
    </w:r>
    <w:r w:rsidRPr="00DF24D2">
      <w:rPr>
        <w:noProof/>
        <w:sz w:val="16"/>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84100" w14:textId="569F0E6A" w:rsidR="00DA6F0F" w:rsidRPr="00705B76" w:rsidRDefault="00DA6F0F" w:rsidP="00705B76">
    <w:pPr>
      <w:pStyle w:val="Footer"/>
      <w:jc w:val="right"/>
      <w:rPr>
        <w:sz w:val="16"/>
      </w:rPr>
    </w:pPr>
    <w:r w:rsidRPr="00D12D3D">
      <w:rPr>
        <w:sz w:val="16"/>
      </w:rPr>
      <w:fldChar w:fldCharType="begin"/>
    </w:r>
    <w:r w:rsidRPr="00D12D3D">
      <w:rPr>
        <w:sz w:val="16"/>
      </w:rPr>
      <w:instrText xml:space="preserve"> PAGE   \* MERGEFORMAT </w:instrText>
    </w:r>
    <w:r w:rsidRPr="00D12D3D">
      <w:rPr>
        <w:sz w:val="16"/>
      </w:rPr>
      <w:fldChar w:fldCharType="separate"/>
    </w:r>
    <w:r w:rsidR="00F83D46">
      <w:rPr>
        <w:noProof/>
        <w:sz w:val="16"/>
      </w:rPr>
      <w:t>1</w:t>
    </w:r>
    <w:r w:rsidRPr="00D12D3D">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639BC" w14:textId="77777777" w:rsidR="007F6460" w:rsidRDefault="007F6460" w:rsidP="004E600F">
      <w:r>
        <w:separator/>
      </w:r>
    </w:p>
  </w:footnote>
  <w:footnote w:type="continuationSeparator" w:id="0">
    <w:p w14:paraId="35806A11" w14:textId="77777777" w:rsidR="007F6460" w:rsidRDefault="007F6460" w:rsidP="004E600F">
      <w:r>
        <w:continuationSeparator/>
      </w:r>
    </w:p>
  </w:footnote>
  <w:footnote w:type="continuationNotice" w:id="1">
    <w:p w14:paraId="1BA2D860" w14:textId="77777777" w:rsidR="007F6460" w:rsidRDefault="007F6460"/>
  </w:footnote>
  <w:footnote w:id="2">
    <w:p w14:paraId="1D684101" w14:textId="77777777" w:rsidR="00DA6F0F" w:rsidRPr="00894F8E" w:rsidRDefault="00DA6F0F">
      <w:pPr>
        <w:pStyle w:val="FootnoteText"/>
        <w:rPr>
          <w:sz w:val="16"/>
          <w:szCs w:val="16"/>
        </w:rPr>
      </w:pPr>
      <w:r w:rsidRPr="00894F8E">
        <w:rPr>
          <w:rStyle w:val="FootnoteReference"/>
          <w:rFonts w:ascii="Verdana" w:hAnsi="Verdana"/>
          <w:szCs w:val="16"/>
        </w:rPr>
        <w:footnoteRef/>
      </w:r>
      <w:r w:rsidRPr="00894F8E">
        <w:rPr>
          <w:sz w:val="16"/>
          <w:szCs w:val="16"/>
        </w:rPr>
        <w:t xml:space="preserve"> </w:t>
      </w:r>
      <w:r w:rsidRPr="00894F8E">
        <w:rPr>
          <w:rFonts w:cs="Arial"/>
          <w:sz w:val="16"/>
          <w:szCs w:val="16"/>
        </w:rPr>
        <w:t>PFHxS, its salts and related substances is abbreviated in this note to ‘PFHxS’.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1" w:type="pct"/>
      <w:tblInd w:w="-34" w:type="dxa"/>
      <w:tblLook w:val="01E0" w:firstRow="1" w:lastRow="1" w:firstColumn="1" w:lastColumn="1" w:noHBand="0" w:noVBand="0"/>
    </w:tblPr>
    <w:tblGrid>
      <w:gridCol w:w="5998"/>
      <w:gridCol w:w="7963"/>
    </w:tblGrid>
    <w:tr w:rsidR="00DA6F0F" w:rsidRPr="00BB220D" w14:paraId="1D6840F5" w14:textId="77777777" w:rsidTr="00AE7B7A">
      <w:tc>
        <w:tcPr>
          <w:tcW w:w="2148" w:type="pct"/>
          <w:shd w:val="clear" w:color="auto" w:fill="auto"/>
        </w:tcPr>
        <w:p w14:paraId="1D6840F3" w14:textId="77777777" w:rsidR="00DA6F0F" w:rsidRPr="00BB220D" w:rsidRDefault="00DA6F0F" w:rsidP="00BB220D">
          <w:pPr>
            <w:rPr>
              <w:rFonts w:ascii="Verdana" w:hAnsi="Verdana"/>
              <w:sz w:val="20"/>
              <w:szCs w:val="20"/>
            </w:rPr>
          </w:pPr>
        </w:p>
      </w:tc>
      <w:tc>
        <w:tcPr>
          <w:tcW w:w="2852" w:type="pct"/>
          <w:shd w:val="clear" w:color="auto" w:fill="auto"/>
        </w:tcPr>
        <w:p w14:paraId="1D6840F4" w14:textId="77777777" w:rsidR="00DA6F0F" w:rsidRPr="00BB220D" w:rsidRDefault="00DA6F0F" w:rsidP="00945F6C">
          <w:pPr>
            <w:pStyle w:val="Header"/>
            <w:tabs>
              <w:tab w:val="clear" w:pos="4536"/>
              <w:tab w:val="left" w:pos="4287"/>
            </w:tabs>
            <w:jc w:val="right"/>
          </w:pPr>
        </w:p>
      </w:tc>
    </w:tr>
  </w:tbl>
  <w:p w14:paraId="1D6840F6" w14:textId="77777777" w:rsidR="00DA6F0F" w:rsidRPr="00B904DC" w:rsidRDefault="00DA6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1" w:type="pct"/>
      <w:tblInd w:w="-34" w:type="dxa"/>
      <w:tblLook w:val="01E0" w:firstRow="1" w:lastRow="1" w:firstColumn="1" w:lastColumn="1" w:noHBand="0" w:noVBand="0"/>
    </w:tblPr>
    <w:tblGrid>
      <w:gridCol w:w="3878"/>
      <w:gridCol w:w="5150"/>
    </w:tblGrid>
    <w:tr w:rsidR="00DA6F0F" w:rsidRPr="00EC1DEE" w14:paraId="1D6840FE" w14:textId="77777777" w:rsidTr="00555417">
      <w:tc>
        <w:tcPr>
          <w:tcW w:w="2148" w:type="pct"/>
          <w:shd w:val="clear" w:color="auto" w:fill="auto"/>
        </w:tcPr>
        <w:p w14:paraId="1D6840F8" w14:textId="77777777" w:rsidR="00DA6F0F" w:rsidRPr="00EC1DEE" w:rsidRDefault="00DA6F0F" w:rsidP="003D7818">
          <w:pPr>
            <w:rPr>
              <w:rFonts w:ascii="Verdana" w:hAnsi="Verdana"/>
              <w:sz w:val="20"/>
              <w:szCs w:val="20"/>
            </w:rPr>
          </w:pPr>
          <w:r w:rsidRPr="00EC1DEE">
            <w:rPr>
              <w:rFonts w:ascii="Verdana" w:hAnsi="Verdana"/>
              <w:b/>
              <w:sz w:val="20"/>
              <w:szCs w:val="20"/>
            </w:rPr>
            <w:t xml:space="preserve">Substance: </w:t>
          </w:r>
          <w:r w:rsidRPr="003D7818">
            <w:rPr>
              <w:rFonts w:ascii="Verdana" w:hAnsi="Verdana"/>
              <w:sz w:val="20"/>
              <w:szCs w:val="20"/>
            </w:rPr>
            <w:t>Perfluorohexane-1-sulphonic acid, its salts and related substances</w:t>
          </w:r>
        </w:p>
        <w:p w14:paraId="1D6840F9" w14:textId="77777777" w:rsidR="00DA6F0F" w:rsidRDefault="00DA6F0F" w:rsidP="00EC1DEE">
          <w:pPr>
            <w:rPr>
              <w:rFonts w:ascii="Verdana" w:hAnsi="Verdana"/>
              <w:sz w:val="20"/>
              <w:szCs w:val="20"/>
            </w:rPr>
          </w:pPr>
          <w:r w:rsidRPr="00EC1DEE">
            <w:rPr>
              <w:rFonts w:ascii="Verdana" w:hAnsi="Verdana"/>
              <w:b/>
              <w:sz w:val="20"/>
              <w:szCs w:val="20"/>
            </w:rPr>
            <w:t>EC number:</w:t>
          </w:r>
          <w:r w:rsidRPr="00EC1DEE">
            <w:rPr>
              <w:rFonts w:ascii="Verdana" w:hAnsi="Verdana"/>
              <w:sz w:val="20"/>
              <w:szCs w:val="20"/>
            </w:rPr>
            <w:t xml:space="preserve"> </w:t>
          </w:r>
          <w:r>
            <w:rPr>
              <w:rFonts w:ascii="Verdana" w:hAnsi="Verdana"/>
              <w:sz w:val="20"/>
              <w:szCs w:val="20"/>
            </w:rPr>
            <w:t>-</w:t>
          </w:r>
        </w:p>
        <w:p w14:paraId="1D6840FA" w14:textId="77777777" w:rsidR="00DA6F0F" w:rsidRPr="00EC1DEE" w:rsidRDefault="00DA6F0F" w:rsidP="00EC1DEE">
          <w:pPr>
            <w:rPr>
              <w:rFonts w:ascii="Verdana" w:hAnsi="Verdana"/>
              <w:sz w:val="20"/>
              <w:szCs w:val="20"/>
            </w:rPr>
          </w:pPr>
          <w:r w:rsidRPr="00EC1DEE">
            <w:rPr>
              <w:rFonts w:ascii="Verdana" w:hAnsi="Verdana"/>
              <w:b/>
              <w:sz w:val="20"/>
              <w:szCs w:val="20"/>
            </w:rPr>
            <w:t>CAS number:</w:t>
          </w:r>
          <w:r>
            <w:rPr>
              <w:rFonts w:ascii="Verdana" w:hAnsi="Verdana"/>
              <w:b/>
              <w:sz w:val="20"/>
              <w:szCs w:val="20"/>
            </w:rPr>
            <w:t xml:space="preserve"> -</w:t>
          </w:r>
          <w:r w:rsidRPr="00EC1DEE">
            <w:rPr>
              <w:rFonts w:ascii="Verdana" w:hAnsi="Verdana"/>
              <w:sz w:val="20"/>
              <w:szCs w:val="20"/>
            </w:rPr>
            <w:t xml:space="preserve"> </w:t>
          </w:r>
        </w:p>
      </w:tc>
      <w:tc>
        <w:tcPr>
          <w:tcW w:w="2852" w:type="pct"/>
          <w:shd w:val="clear" w:color="auto" w:fill="auto"/>
        </w:tcPr>
        <w:p w14:paraId="1D6840FB" w14:textId="77777777" w:rsidR="00DA6F0F" w:rsidRPr="00EC1DEE" w:rsidRDefault="00DA6F0F" w:rsidP="00DA69A2">
          <w:pPr>
            <w:pStyle w:val="Header"/>
            <w:jc w:val="right"/>
            <w:rPr>
              <w:noProof/>
            </w:rPr>
          </w:pPr>
          <w:r w:rsidRPr="00EC1DEE">
            <w:t>Comments and response to comments on Annex XV restriction</w:t>
          </w:r>
          <w:r>
            <w:t xml:space="preserve"> report</w:t>
          </w:r>
          <w:r w:rsidRPr="00EC1DEE">
            <w:t xml:space="preserve"> </w:t>
          </w:r>
        </w:p>
        <w:p w14:paraId="1D6840FC" w14:textId="77777777" w:rsidR="00DA6F0F" w:rsidRPr="00EC1DEE" w:rsidRDefault="00DA6F0F" w:rsidP="00555417">
          <w:pPr>
            <w:pStyle w:val="Header"/>
            <w:jc w:val="right"/>
            <w:rPr>
              <w:noProof/>
            </w:rPr>
          </w:pPr>
          <w:r w:rsidRPr="00EC1DEE">
            <w:rPr>
              <w:noProof/>
            </w:rPr>
            <w:t xml:space="preserve">submitted by </w:t>
          </w:r>
          <w:r>
            <w:rPr>
              <w:b/>
              <w:noProof/>
            </w:rPr>
            <w:t>Norway</w:t>
          </w:r>
          <w:r w:rsidRPr="00EC1DEE">
            <w:rPr>
              <w:noProof/>
            </w:rPr>
            <w:t xml:space="preserve"> on </w:t>
          </w:r>
          <w:r>
            <w:rPr>
              <w:b/>
              <w:noProof/>
            </w:rPr>
            <w:t>12/04/2019</w:t>
          </w:r>
        </w:p>
        <w:p w14:paraId="1D6840FD" w14:textId="77777777" w:rsidR="00DA6F0F" w:rsidRPr="00EC1DEE" w:rsidRDefault="00DA6F0F" w:rsidP="003D7818">
          <w:pPr>
            <w:pStyle w:val="Header"/>
            <w:tabs>
              <w:tab w:val="clear" w:pos="4536"/>
              <w:tab w:val="left" w:pos="4287"/>
            </w:tabs>
            <w:jc w:val="right"/>
          </w:pPr>
          <w:r w:rsidRPr="00EC1DEE">
            <w:rPr>
              <w:noProof/>
            </w:rPr>
            <w:t xml:space="preserve">Public consultation on Annex XV report started on </w:t>
          </w:r>
          <w:r>
            <w:rPr>
              <w:b/>
              <w:noProof/>
            </w:rPr>
            <w:t>19/06/2019</w:t>
          </w:r>
        </w:p>
      </w:tc>
    </w:tr>
  </w:tbl>
  <w:p w14:paraId="1D6840FF" w14:textId="77777777" w:rsidR="00DA6F0F" w:rsidRDefault="00DA6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0CD9"/>
    <w:multiLevelType w:val="multilevel"/>
    <w:tmpl w:val="6C2A04C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BD2DB9"/>
    <w:multiLevelType w:val="hybridMultilevel"/>
    <w:tmpl w:val="4C6C24B2"/>
    <w:lvl w:ilvl="0" w:tplc="FD98626E">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FC0866"/>
    <w:multiLevelType w:val="hybridMultilevel"/>
    <w:tmpl w:val="78D6376A"/>
    <w:lvl w:ilvl="0" w:tplc="FD98626E">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893E82"/>
    <w:multiLevelType w:val="hybridMultilevel"/>
    <w:tmpl w:val="78D6376A"/>
    <w:lvl w:ilvl="0" w:tplc="FD98626E">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E12687"/>
    <w:multiLevelType w:val="hybridMultilevel"/>
    <w:tmpl w:val="740E9FE4"/>
    <w:lvl w:ilvl="0" w:tplc="2ECEF7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21AD4"/>
    <w:multiLevelType w:val="hybridMultilevel"/>
    <w:tmpl w:val="5714F9E6"/>
    <w:lvl w:ilvl="0" w:tplc="2ECEF7A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1E64AC"/>
    <w:multiLevelType w:val="hybridMultilevel"/>
    <w:tmpl w:val="D74AF476"/>
    <w:lvl w:ilvl="0" w:tplc="FD98626E">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BB527F3"/>
    <w:multiLevelType w:val="hybridMultilevel"/>
    <w:tmpl w:val="5EAED0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C871AFA"/>
    <w:multiLevelType w:val="multilevel"/>
    <w:tmpl w:val="250224A4"/>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6"/>
  </w:num>
  <w:num w:numId="5">
    <w:abstractNumId w:val="7"/>
  </w:num>
  <w:num w:numId="6">
    <w:abstractNumId w:val="8"/>
  </w:num>
  <w:num w:numId="7">
    <w:abstractNumId w:val="4"/>
  </w:num>
  <w:num w:numId="8">
    <w:abstractNumId w:val="5"/>
  </w:num>
  <w:num w:numId="9">
    <w:abstractNumId w:val="2"/>
  </w:num>
  <w:num w:numId="10">
    <w:abstractNumId w:val="1"/>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F"/>
    <w:rsid w:val="00001280"/>
    <w:rsid w:val="000018E2"/>
    <w:rsid w:val="00004104"/>
    <w:rsid w:val="00005A78"/>
    <w:rsid w:val="00006D24"/>
    <w:rsid w:val="00023475"/>
    <w:rsid w:val="00032C5A"/>
    <w:rsid w:val="0003649C"/>
    <w:rsid w:val="000430DC"/>
    <w:rsid w:val="0004645F"/>
    <w:rsid w:val="00051CCA"/>
    <w:rsid w:val="00060183"/>
    <w:rsid w:val="00063F7E"/>
    <w:rsid w:val="00064748"/>
    <w:rsid w:val="000670DC"/>
    <w:rsid w:val="00067E04"/>
    <w:rsid w:val="000738CB"/>
    <w:rsid w:val="00081B9D"/>
    <w:rsid w:val="0009161B"/>
    <w:rsid w:val="000927BB"/>
    <w:rsid w:val="00094FE4"/>
    <w:rsid w:val="00095344"/>
    <w:rsid w:val="000B028A"/>
    <w:rsid w:val="000B2236"/>
    <w:rsid w:val="000B3C6A"/>
    <w:rsid w:val="000B48EE"/>
    <w:rsid w:val="000D08CF"/>
    <w:rsid w:val="000D4E7A"/>
    <w:rsid w:val="000E4046"/>
    <w:rsid w:val="000F11E0"/>
    <w:rsid w:val="000F39F8"/>
    <w:rsid w:val="00100F0A"/>
    <w:rsid w:val="00103A3F"/>
    <w:rsid w:val="00104666"/>
    <w:rsid w:val="00122EAE"/>
    <w:rsid w:val="0012329A"/>
    <w:rsid w:val="00145ADD"/>
    <w:rsid w:val="0015015F"/>
    <w:rsid w:val="001515E9"/>
    <w:rsid w:val="00155F9E"/>
    <w:rsid w:val="00157387"/>
    <w:rsid w:val="001605DC"/>
    <w:rsid w:val="00162AB5"/>
    <w:rsid w:val="00176F19"/>
    <w:rsid w:val="00187497"/>
    <w:rsid w:val="00194A98"/>
    <w:rsid w:val="00197889"/>
    <w:rsid w:val="001A6692"/>
    <w:rsid w:val="001C17F4"/>
    <w:rsid w:val="001C1894"/>
    <w:rsid w:val="001D6AAF"/>
    <w:rsid w:val="001D7092"/>
    <w:rsid w:val="001D74D9"/>
    <w:rsid w:val="001E3700"/>
    <w:rsid w:val="001E7A48"/>
    <w:rsid w:val="001F20A0"/>
    <w:rsid w:val="001F4C5C"/>
    <w:rsid w:val="001F5EF4"/>
    <w:rsid w:val="00204DB2"/>
    <w:rsid w:val="00205061"/>
    <w:rsid w:val="00210596"/>
    <w:rsid w:val="00220AB5"/>
    <w:rsid w:val="00223806"/>
    <w:rsid w:val="00224269"/>
    <w:rsid w:val="00225AAA"/>
    <w:rsid w:val="00233D95"/>
    <w:rsid w:val="00244917"/>
    <w:rsid w:val="00257FBB"/>
    <w:rsid w:val="00261128"/>
    <w:rsid w:val="002660CF"/>
    <w:rsid w:val="00270165"/>
    <w:rsid w:val="00277FD2"/>
    <w:rsid w:val="0028689F"/>
    <w:rsid w:val="0029101C"/>
    <w:rsid w:val="002D347F"/>
    <w:rsid w:val="002D3940"/>
    <w:rsid w:val="002E3E9D"/>
    <w:rsid w:val="002F3BAA"/>
    <w:rsid w:val="002F42A9"/>
    <w:rsid w:val="002F65F0"/>
    <w:rsid w:val="00327735"/>
    <w:rsid w:val="00327FD4"/>
    <w:rsid w:val="003300B8"/>
    <w:rsid w:val="0033520B"/>
    <w:rsid w:val="00335452"/>
    <w:rsid w:val="00356AB8"/>
    <w:rsid w:val="00357939"/>
    <w:rsid w:val="0037159A"/>
    <w:rsid w:val="00372284"/>
    <w:rsid w:val="003B1915"/>
    <w:rsid w:val="003C0ED9"/>
    <w:rsid w:val="003D7818"/>
    <w:rsid w:val="003E56F0"/>
    <w:rsid w:val="003E7EB7"/>
    <w:rsid w:val="003F35EB"/>
    <w:rsid w:val="00412174"/>
    <w:rsid w:val="00412FF5"/>
    <w:rsid w:val="004217B0"/>
    <w:rsid w:val="00427EE3"/>
    <w:rsid w:val="00435D4C"/>
    <w:rsid w:val="00437F0E"/>
    <w:rsid w:val="00440534"/>
    <w:rsid w:val="00446779"/>
    <w:rsid w:val="00460428"/>
    <w:rsid w:val="00460F82"/>
    <w:rsid w:val="00464BDA"/>
    <w:rsid w:val="00465760"/>
    <w:rsid w:val="00482C63"/>
    <w:rsid w:val="0048396B"/>
    <w:rsid w:val="004851B8"/>
    <w:rsid w:val="00494BF8"/>
    <w:rsid w:val="00496EBC"/>
    <w:rsid w:val="004B0ADD"/>
    <w:rsid w:val="004C1C7C"/>
    <w:rsid w:val="004D3F51"/>
    <w:rsid w:val="004D548F"/>
    <w:rsid w:val="004D5572"/>
    <w:rsid w:val="004D6E59"/>
    <w:rsid w:val="004E246C"/>
    <w:rsid w:val="004E2817"/>
    <w:rsid w:val="004E600F"/>
    <w:rsid w:val="004F0375"/>
    <w:rsid w:val="004F3FC7"/>
    <w:rsid w:val="004F4FDC"/>
    <w:rsid w:val="00503064"/>
    <w:rsid w:val="00504375"/>
    <w:rsid w:val="00510789"/>
    <w:rsid w:val="005258C5"/>
    <w:rsid w:val="00525F8A"/>
    <w:rsid w:val="0053455A"/>
    <w:rsid w:val="00541179"/>
    <w:rsid w:val="005446D7"/>
    <w:rsid w:val="00555417"/>
    <w:rsid w:val="00555854"/>
    <w:rsid w:val="00556F5D"/>
    <w:rsid w:val="00561A53"/>
    <w:rsid w:val="00564137"/>
    <w:rsid w:val="0057798A"/>
    <w:rsid w:val="0059332E"/>
    <w:rsid w:val="0059557A"/>
    <w:rsid w:val="005A1E33"/>
    <w:rsid w:val="005B2C3A"/>
    <w:rsid w:val="005B369D"/>
    <w:rsid w:val="005C4EAC"/>
    <w:rsid w:val="005D4B6A"/>
    <w:rsid w:val="005E25C2"/>
    <w:rsid w:val="005E3077"/>
    <w:rsid w:val="005E783A"/>
    <w:rsid w:val="00603CC0"/>
    <w:rsid w:val="00607710"/>
    <w:rsid w:val="00611B18"/>
    <w:rsid w:val="00612321"/>
    <w:rsid w:val="00623D91"/>
    <w:rsid w:val="00630126"/>
    <w:rsid w:val="006307F7"/>
    <w:rsid w:val="006309C8"/>
    <w:rsid w:val="00632D9F"/>
    <w:rsid w:val="006349CA"/>
    <w:rsid w:val="0064633A"/>
    <w:rsid w:val="00653AE7"/>
    <w:rsid w:val="006549E3"/>
    <w:rsid w:val="0066606C"/>
    <w:rsid w:val="006721AB"/>
    <w:rsid w:val="006742DB"/>
    <w:rsid w:val="00674458"/>
    <w:rsid w:val="00682798"/>
    <w:rsid w:val="0069011B"/>
    <w:rsid w:val="00692C3A"/>
    <w:rsid w:val="006947F0"/>
    <w:rsid w:val="00694EE9"/>
    <w:rsid w:val="006969A2"/>
    <w:rsid w:val="006A095D"/>
    <w:rsid w:val="006A3AFA"/>
    <w:rsid w:val="006B6AA7"/>
    <w:rsid w:val="006D016D"/>
    <w:rsid w:val="006E140F"/>
    <w:rsid w:val="006F52DB"/>
    <w:rsid w:val="00703722"/>
    <w:rsid w:val="00705B76"/>
    <w:rsid w:val="00725781"/>
    <w:rsid w:val="00726D38"/>
    <w:rsid w:val="00734178"/>
    <w:rsid w:val="00735EC0"/>
    <w:rsid w:val="00740BFA"/>
    <w:rsid w:val="0074382E"/>
    <w:rsid w:val="00771B9F"/>
    <w:rsid w:val="00773077"/>
    <w:rsid w:val="007736BD"/>
    <w:rsid w:val="00775E07"/>
    <w:rsid w:val="00780F0D"/>
    <w:rsid w:val="0078221B"/>
    <w:rsid w:val="00790245"/>
    <w:rsid w:val="00795E46"/>
    <w:rsid w:val="007A584D"/>
    <w:rsid w:val="007A5997"/>
    <w:rsid w:val="007A656A"/>
    <w:rsid w:val="007B3FC1"/>
    <w:rsid w:val="007C0126"/>
    <w:rsid w:val="007C7406"/>
    <w:rsid w:val="007E33A2"/>
    <w:rsid w:val="007E4448"/>
    <w:rsid w:val="007F6460"/>
    <w:rsid w:val="00813E2A"/>
    <w:rsid w:val="00814766"/>
    <w:rsid w:val="00817E51"/>
    <w:rsid w:val="0082028C"/>
    <w:rsid w:val="00822917"/>
    <w:rsid w:val="008354B8"/>
    <w:rsid w:val="00835971"/>
    <w:rsid w:val="00837DBE"/>
    <w:rsid w:val="00841212"/>
    <w:rsid w:val="00855150"/>
    <w:rsid w:val="00860F73"/>
    <w:rsid w:val="0086486E"/>
    <w:rsid w:val="008677DF"/>
    <w:rsid w:val="00881110"/>
    <w:rsid w:val="00886983"/>
    <w:rsid w:val="00886E18"/>
    <w:rsid w:val="00894F8E"/>
    <w:rsid w:val="008A1971"/>
    <w:rsid w:val="008A560E"/>
    <w:rsid w:val="008A6CAA"/>
    <w:rsid w:val="008C2A21"/>
    <w:rsid w:val="008C69C6"/>
    <w:rsid w:val="008E07EF"/>
    <w:rsid w:val="008F4379"/>
    <w:rsid w:val="00902589"/>
    <w:rsid w:val="00903084"/>
    <w:rsid w:val="00915323"/>
    <w:rsid w:val="00916212"/>
    <w:rsid w:val="00924F97"/>
    <w:rsid w:val="009274CF"/>
    <w:rsid w:val="00932AE0"/>
    <w:rsid w:val="00936D5B"/>
    <w:rsid w:val="00945F6C"/>
    <w:rsid w:val="009617E5"/>
    <w:rsid w:val="009644A6"/>
    <w:rsid w:val="00967F6E"/>
    <w:rsid w:val="00970B70"/>
    <w:rsid w:val="00973490"/>
    <w:rsid w:val="00973F33"/>
    <w:rsid w:val="0098028F"/>
    <w:rsid w:val="0098153B"/>
    <w:rsid w:val="00983899"/>
    <w:rsid w:val="00984B9F"/>
    <w:rsid w:val="00986611"/>
    <w:rsid w:val="00991E46"/>
    <w:rsid w:val="00996C5A"/>
    <w:rsid w:val="009B55EA"/>
    <w:rsid w:val="009B56D4"/>
    <w:rsid w:val="009C16A0"/>
    <w:rsid w:val="009C7AA3"/>
    <w:rsid w:val="009D1F27"/>
    <w:rsid w:val="009E6776"/>
    <w:rsid w:val="00A050A6"/>
    <w:rsid w:val="00A07B1A"/>
    <w:rsid w:val="00A149BB"/>
    <w:rsid w:val="00A25438"/>
    <w:rsid w:val="00A254BD"/>
    <w:rsid w:val="00A2601C"/>
    <w:rsid w:val="00A270EB"/>
    <w:rsid w:val="00A357A3"/>
    <w:rsid w:val="00A357CF"/>
    <w:rsid w:val="00A37D17"/>
    <w:rsid w:val="00A41B5E"/>
    <w:rsid w:val="00A53550"/>
    <w:rsid w:val="00A56EDF"/>
    <w:rsid w:val="00A6095E"/>
    <w:rsid w:val="00A60E3A"/>
    <w:rsid w:val="00A6359C"/>
    <w:rsid w:val="00A65BA7"/>
    <w:rsid w:val="00A709FF"/>
    <w:rsid w:val="00A73A89"/>
    <w:rsid w:val="00A73FAE"/>
    <w:rsid w:val="00A86889"/>
    <w:rsid w:val="00AB3BE7"/>
    <w:rsid w:val="00AB47FF"/>
    <w:rsid w:val="00AB4AD2"/>
    <w:rsid w:val="00AC0B90"/>
    <w:rsid w:val="00AC15C9"/>
    <w:rsid w:val="00AC48BE"/>
    <w:rsid w:val="00AC7D2E"/>
    <w:rsid w:val="00AD4D85"/>
    <w:rsid w:val="00AD50E1"/>
    <w:rsid w:val="00AE04C4"/>
    <w:rsid w:val="00AE65C2"/>
    <w:rsid w:val="00AE7B7A"/>
    <w:rsid w:val="00AF619B"/>
    <w:rsid w:val="00AF71E6"/>
    <w:rsid w:val="00B34D6B"/>
    <w:rsid w:val="00B47F81"/>
    <w:rsid w:val="00B60A59"/>
    <w:rsid w:val="00B61AF7"/>
    <w:rsid w:val="00B867FA"/>
    <w:rsid w:val="00B904DC"/>
    <w:rsid w:val="00B93986"/>
    <w:rsid w:val="00B95223"/>
    <w:rsid w:val="00B95A3E"/>
    <w:rsid w:val="00B95E02"/>
    <w:rsid w:val="00B96C45"/>
    <w:rsid w:val="00B97A0A"/>
    <w:rsid w:val="00BA25EE"/>
    <w:rsid w:val="00BA6C42"/>
    <w:rsid w:val="00BB220D"/>
    <w:rsid w:val="00BD4BAD"/>
    <w:rsid w:val="00BE06E2"/>
    <w:rsid w:val="00BF0B3B"/>
    <w:rsid w:val="00BF7F42"/>
    <w:rsid w:val="00C010F3"/>
    <w:rsid w:val="00C14E49"/>
    <w:rsid w:val="00C16143"/>
    <w:rsid w:val="00C34DE7"/>
    <w:rsid w:val="00C40477"/>
    <w:rsid w:val="00C602C8"/>
    <w:rsid w:val="00C65E7F"/>
    <w:rsid w:val="00C722EE"/>
    <w:rsid w:val="00C72B38"/>
    <w:rsid w:val="00C74FD6"/>
    <w:rsid w:val="00C758FD"/>
    <w:rsid w:val="00C767A3"/>
    <w:rsid w:val="00C8080C"/>
    <w:rsid w:val="00C815D7"/>
    <w:rsid w:val="00C9213F"/>
    <w:rsid w:val="00CA064C"/>
    <w:rsid w:val="00CA7D55"/>
    <w:rsid w:val="00CC09FC"/>
    <w:rsid w:val="00CC7444"/>
    <w:rsid w:val="00D02672"/>
    <w:rsid w:val="00D06866"/>
    <w:rsid w:val="00D16271"/>
    <w:rsid w:val="00D17BFE"/>
    <w:rsid w:val="00D23A81"/>
    <w:rsid w:val="00D3183C"/>
    <w:rsid w:val="00D417EB"/>
    <w:rsid w:val="00D54C45"/>
    <w:rsid w:val="00D62F64"/>
    <w:rsid w:val="00D66102"/>
    <w:rsid w:val="00D66879"/>
    <w:rsid w:val="00D92B4F"/>
    <w:rsid w:val="00DA69A2"/>
    <w:rsid w:val="00DA6DDF"/>
    <w:rsid w:val="00DA6F0F"/>
    <w:rsid w:val="00DB1ED4"/>
    <w:rsid w:val="00DB5095"/>
    <w:rsid w:val="00DC17E7"/>
    <w:rsid w:val="00DC5260"/>
    <w:rsid w:val="00DE0033"/>
    <w:rsid w:val="00DF24D2"/>
    <w:rsid w:val="00DF5F8A"/>
    <w:rsid w:val="00E03F1C"/>
    <w:rsid w:val="00E32C44"/>
    <w:rsid w:val="00E57BC4"/>
    <w:rsid w:val="00E75833"/>
    <w:rsid w:val="00E94F5E"/>
    <w:rsid w:val="00E95BD1"/>
    <w:rsid w:val="00E9648D"/>
    <w:rsid w:val="00EA170E"/>
    <w:rsid w:val="00EB6AA1"/>
    <w:rsid w:val="00EC1DEE"/>
    <w:rsid w:val="00ED2BB6"/>
    <w:rsid w:val="00ED4E01"/>
    <w:rsid w:val="00EE3566"/>
    <w:rsid w:val="00EF510F"/>
    <w:rsid w:val="00F013AF"/>
    <w:rsid w:val="00F06C50"/>
    <w:rsid w:val="00F2073A"/>
    <w:rsid w:val="00F2233C"/>
    <w:rsid w:val="00F252C5"/>
    <w:rsid w:val="00F40B22"/>
    <w:rsid w:val="00F414CA"/>
    <w:rsid w:val="00F424DD"/>
    <w:rsid w:val="00F424E3"/>
    <w:rsid w:val="00F55804"/>
    <w:rsid w:val="00F60BE7"/>
    <w:rsid w:val="00F63BB3"/>
    <w:rsid w:val="00F65571"/>
    <w:rsid w:val="00F717ED"/>
    <w:rsid w:val="00F72D36"/>
    <w:rsid w:val="00F815FD"/>
    <w:rsid w:val="00F838FF"/>
    <w:rsid w:val="00F83D46"/>
    <w:rsid w:val="00F91D3A"/>
    <w:rsid w:val="00FA309F"/>
    <w:rsid w:val="00FA3E36"/>
    <w:rsid w:val="00FB6710"/>
    <w:rsid w:val="00FB6F29"/>
    <w:rsid w:val="00FD04A7"/>
    <w:rsid w:val="00FD1D3B"/>
    <w:rsid w:val="00FD3307"/>
    <w:rsid w:val="00FD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8409E"/>
  <w15:docId w15:val="{E43E3B8A-1C34-4FA7-9196-3757C072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0F"/>
    <w:pPr>
      <w:spacing w:after="0" w:line="240" w:lineRule="auto"/>
    </w:pPr>
    <w:rPr>
      <w:rFonts w:ascii="Times New Roman" w:hAnsi="Times New Roman" w:cs="Times New Roman"/>
      <w:sz w:val="24"/>
      <w:szCs w:val="24"/>
      <w:lang w:eastAsia="en-GB"/>
    </w:rPr>
  </w:style>
  <w:style w:type="paragraph" w:styleId="Heading1">
    <w:name w:val="heading 1"/>
    <w:aliases w:val="ECHA Heading 1"/>
    <w:basedOn w:val="Normal"/>
    <w:next w:val="BodyText"/>
    <w:link w:val="Heading1Char"/>
    <w:qFormat/>
    <w:rsid w:val="00A41B5E"/>
    <w:pPr>
      <w:keepNext/>
      <w:keepLines/>
      <w:widowControl w:val="0"/>
      <w:spacing w:after="240"/>
      <w:outlineLvl w:val="0"/>
    </w:pPr>
    <w:rPr>
      <w:rFonts w:ascii="Verdana" w:hAnsi="Verdana"/>
      <w:b/>
      <w:snapToGrid w:val="0"/>
      <w:color w:val="0046AD"/>
      <w:sz w:val="28"/>
      <w:lang w:eastAsia="fi-FI"/>
    </w:rPr>
  </w:style>
  <w:style w:type="paragraph" w:styleId="Heading2">
    <w:name w:val="heading 2"/>
    <w:aliases w:val="ECHA Heading 2"/>
    <w:basedOn w:val="Heading1"/>
    <w:next w:val="BodyText"/>
    <w:link w:val="Heading2Char"/>
    <w:qFormat/>
    <w:rsid w:val="00A41B5E"/>
    <w:pPr>
      <w:outlineLvl w:val="1"/>
    </w:pPr>
    <w:rPr>
      <w:rFonts w:cs="Arial"/>
      <w:sz w:val="24"/>
      <w:szCs w:val="22"/>
    </w:rPr>
  </w:style>
  <w:style w:type="paragraph" w:styleId="Heading3">
    <w:name w:val="heading 3"/>
    <w:aliases w:val="ECHA Heading 3"/>
    <w:basedOn w:val="Heading2"/>
    <w:next w:val="BodyText"/>
    <w:link w:val="Heading3Char"/>
    <w:qFormat/>
    <w:rsid w:val="00A41B5E"/>
    <w:pPr>
      <w:outlineLvl w:val="2"/>
    </w:pPr>
    <w:rPr>
      <w:bCs/>
      <w:color w:val="000000"/>
      <w:sz w:val="22"/>
    </w:rPr>
  </w:style>
  <w:style w:type="paragraph" w:styleId="Heading4">
    <w:name w:val="heading 4"/>
    <w:aliases w:val="ECHA Heading 4"/>
    <w:basedOn w:val="Heading3"/>
    <w:next w:val="BodyText"/>
    <w:link w:val="Heading4Char"/>
    <w:qFormat/>
    <w:rsid w:val="00A41B5E"/>
    <w:pPr>
      <w:outlineLvl w:val="3"/>
    </w:pPr>
    <w:rPr>
      <w:b w:val="0"/>
      <w:bCs w:val="0"/>
      <w:szCs w:val="28"/>
    </w:rPr>
  </w:style>
  <w:style w:type="paragraph" w:styleId="Heading5">
    <w:name w:val="heading 5"/>
    <w:aliases w:val="ECHA Heading 5"/>
    <w:basedOn w:val="Heading3"/>
    <w:next w:val="BodyText"/>
    <w:link w:val="Heading5Char"/>
    <w:qFormat/>
    <w:rsid w:val="00A41B5E"/>
    <w:pPr>
      <w:outlineLvl w:val="4"/>
    </w:pPr>
    <w:rPr>
      <w:bCs w:val="0"/>
      <w:iCs/>
      <w:sz w:val="20"/>
      <w:szCs w:val="26"/>
    </w:rPr>
  </w:style>
  <w:style w:type="paragraph" w:styleId="Heading6">
    <w:name w:val="heading 6"/>
    <w:aliases w:val="ECHA Heading 6"/>
    <w:basedOn w:val="Heading5"/>
    <w:next w:val="BodyText"/>
    <w:link w:val="Heading6Char"/>
    <w:qFormat/>
    <w:rsid w:val="00A41B5E"/>
    <w:pPr>
      <w:outlineLvl w:val="5"/>
    </w:pPr>
    <w:rPr>
      <w:bCs/>
      <w:szCs w:val="22"/>
    </w:rPr>
  </w:style>
  <w:style w:type="paragraph" w:styleId="Heading7">
    <w:name w:val="heading 7"/>
    <w:aliases w:val="ECHA Heading 7"/>
    <w:basedOn w:val="Heading5"/>
    <w:next w:val="BodyText"/>
    <w:link w:val="Heading7Char"/>
    <w:qFormat/>
    <w:rsid w:val="00A41B5E"/>
    <w:pPr>
      <w:outlineLvl w:val="6"/>
    </w:pPr>
    <w:rPr>
      <w:szCs w:val="24"/>
    </w:rPr>
  </w:style>
  <w:style w:type="paragraph" w:styleId="Heading8">
    <w:name w:val="heading 8"/>
    <w:aliases w:val="ECHA Heading 8"/>
    <w:basedOn w:val="Heading5"/>
    <w:next w:val="BodyText"/>
    <w:link w:val="Heading8Char"/>
    <w:qFormat/>
    <w:rsid w:val="00A41B5E"/>
    <w:pPr>
      <w:outlineLvl w:val="7"/>
    </w:pPr>
    <w:rPr>
      <w:iCs w:val="0"/>
      <w:szCs w:val="24"/>
    </w:rPr>
  </w:style>
  <w:style w:type="paragraph" w:styleId="Heading9">
    <w:name w:val="heading 9"/>
    <w:aliases w:val="ECHA Heading 9"/>
    <w:basedOn w:val="Heading5"/>
    <w:next w:val="BodyText"/>
    <w:link w:val="Heading9Char"/>
    <w:qFormat/>
    <w:rsid w:val="00A41B5E"/>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CHABulletlist">
    <w:name w:val="ECHA Bullet list"/>
    <w:basedOn w:val="NoList"/>
    <w:rsid w:val="00A41B5E"/>
    <w:pPr>
      <w:numPr>
        <w:numId w:val="1"/>
      </w:numPr>
    </w:pPr>
  </w:style>
  <w:style w:type="numbering" w:customStyle="1" w:styleId="ECHANumberlist">
    <w:name w:val="ECHA Number list"/>
    <w:basedOn w:val="NoList"/>
    <w:rsid w:val="00A41B5E"/>
    <w:pPr>
      <w:numPr>
        <w:numId w:val="2"/>
      </w:numPr>
    </w:pPr>
  </w:style>
  <w:style w:type="character" w:customStyle="1" w:styleId="Heading1Char">
    <w:name w:val="Heading 1 Char"/>
    <w:aliases w:val="ECHA Heading 1 Char"/>
    <w:basedOn w:val="DefaultParagraphFont"/>
    <w:link w:val="Heading1"/>
    <w:rsid w:val="00682798"/>
    <w:rPr>
      <w:rFonts w:ascii="Verdana" w:eastAsia="Times New Roman" w:hAnsi="Verdana" w:cs="Times New Roman"/>
      <w:b/>
      <w:snapToGrid w:val="0"/>
      <w:color w:val="0046AD"/>
      <w:sz w:val="28"/>
      <w:szCs w:val="24"/>
      <w:lang w:eastAsia="fi-FI"/>
    </w:rPr>
  </w:style>
  <w:style w:type="paragraph" w:styleId="BodyText">
    <w:name w:val="Body Text"/>
    <w:aliases w:val="Text"/>
    <w:basedOn w:val="Normal"/>
    <w:link w:val="BodyTextChar"/>
    <w:rsid w:val="00A41B5E"/>
    <w:pPr>
      <w:widowControl w:val="0"/>
      <w:spacing w:after="240"/>
    </w:pPr>
    <w:rPr>
      <w:rFonts w:ascii="Verdana" w:hAnsi="Verdana"/>
      <w:snapToGrid w:val="0"/>
      <w:sz w:val="20"/>
      <w:szCs w:val="20"/>
      <w:lang w:eastAsia="fi-FI"/>
    </w:rPr>
  </w:style>
  <w:style w:type="character" w:customStyle="1" w:styleId="BodyTextChar">
    <w:name w:val="Body Text Char"/>
    <w:aliases w:val="Text Char"/>
    <w:basedOn w:val="DefaultParagraphFont"/>
    <w:link w:val="BodyText"/>
    <w:rsid w:val="00682798"/>
    <w:rPr>
      <w:rFonts w:ascii="Verdana" w:eastAsia="Times New Roman" w:hAnsi="Verdana" w:cs="Times New Roman"/>
      <w:snapToGrid w:val="0"/>
      <w:sz w:val="20"/>
      <w:szCs w:val="20"/>
      <w:lang w:eastAsia="fi-FI"/>
    </w:rPr>
  </w:style>
  <w:style w:type="character" w:customStyle="1" w:styleId="Heading2Char">
    <w:name w:val="Heading 2 Char"/>
    <w:aliases w:val="ECHA Heading 2 Char"/>
    <w:basedOn w:val="DefaultParagraphFont"/>
    <w:link w:val="Heading2"/>
    <w:rsid w:val="00682798"/>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682798"/>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682798"/>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682798"/>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682798"/>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682798"/>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682798"/>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682798"/>
    <w:rPr>
      <w:rFonts w:ascii="Verdana" w:eastAsia="Times New Roman" w:hAnsi="Verdana" w:cs="Arial"/>
      <w:b/>
      <w:iCs/>
      <w:snapToGrid w:val="0"/>
      <w:color w:val="000000"/>
      <w:sz w:val="20"/>
      <w:lang w:eastAsia="fi-FI"/>
    </w:rPr>
  </w:style>
  <w:style w:type="paragraph" w:styleId="Title">
    <w:name w:val="Title"/>
    <w:aliases w:val="ECHA Heading"/>
    <w:basedOn w:val="Heading1"/>
    <w:next w:val="BodyText"/>
    <w:link w:val="TitleChar"/>
    <w:qFormat/>
    <w:rsid w:val="00A41B5E"/>
    <w:rPr>
      <w:rFonts w:cs="Arial"/>
      <w:bCs/>
      <w:szCs w:val="32"/>
    </w:rPr>
  </w:style>
  <w:style w:type="character" w:customStyle="1" w:styleId="TitleChar">
    <w:name w:val="Title Char"/>
    <w:aliases w:val="ECHA Heading Char"/>
    <w:basedOn w:val="DefaultParagraphFont"/>
    <w:link w:val="Title"/>
    <w:rsid w:val="00682798"/>
    <w:rPr>
      <w:rFonts w:ascii="Verdana" w:eastAsia="Times New Roman" w:hAnsi="Verdana" w:cs="Arial"/>
      <w:b/>
      <w:bCs/>
      <w:snapToGrid w:val="0"/>
      <w:color w:val="0046AD"/>
      <w:sz w:val="28"/>
      <w:szCs w:val="32"/>
      <w:lang w:eastAsia="fi-FI"/>
    </w:rPr>
  </w:style>
  <w:style w:type="paragraph" w:styleId="BalloonText">
    <w:name w:val="Balloon Text"/>
    <w:basedOn w:val="Normal"/>
    <w:link w:val="BalloonTextChar"/>
    <w:semiHidden/>
    <w:rsid w:val="00A41B5E"/>
    <w:pPr>
      <w:widowControl w:val="0"/>
    </w:pPr>
    <w:rPr>
      <w:rFonts w:ascii="Tahoma" w:hAnsi="Tahoma" w:cs="Tahoma"/>
      <w:snapToGrid w:val="0"/>
      <w:sz w:val="16"/>
      <w:szCs w:val="16"/>
      <w:lang w:eastAsia="fi-FI"/>
    </w:rPr>
  </w:style>
  <w:style w:type="character" w:customStyle="1" w:styleId="BalloonTextChar">
    <w:name w:val="Balloon Text Char"/>
    <w:basedOn w:val="DefaultParagraphFont"/>
    <w:link w:val="BalloonText"/>
    <w:semiHidden/>
    <w:rsid w:val="00A41B5E"/>
    <w:rPr>
      <w:rFonts w:ascii="Tahoma" w:eastAsia="Times New Roman" w:hAnsi="Tahoma" w:cs="Tahoma"/>
      <w:snapToGrid w:val="0"/>
      <w:sz w:val="16"/>
      <w:szCs w:val="16"/>
      <w:lang w:eastAsia="fi-FI"/>
    </w:rPr>
  </w:style>
  <w:style w:type="paragraph" w:styleId="BodyTextFirstIndent">
    <w:name w:val="Body Text First Indent"/>
    <w:basedOn w:val="BodyText"/>
    <w:link w:val="BodyTextFirstIndentChar"/>
    <w:semiHidden/>
    <w:rsid w:val="00A41B5E"/>
    <w:pPr>
      <w:spacing w:after="120"/>
      <w:ind w:firstLine="210"/>
    </w:pPr>
  </w:style>
  <w:style w:type="character" w:customStyle="1" w:styleId="BodyTextFirstIndentChar">
    <w:name w:val="Body Text First Indent Char"/>
    <w:basedOn w:val="BodyTextChar"/>
    <w:link w:val="BodyTextFirstIndent"/>
    <w:semiHidden/>
    <w:rsid w:val="00A41B5E"/>
    <w:rPr>
      <w:rFonts w:ascii="Verdana" w:eastAsia="Times New Roman" w:hAnsi="Verdana" w:cs="Times New Roman"/>
      <w:snapToGrid w:val="0"/>
      <w:sz w:val="20"/>
      <w:szCs w:val="20"/>
      <w:lang w:eastAsia="fi-FI"/>
    </w:rPr>
  </w:style>
  <w:style w:type="paragraph" w:styleId="BodyTextIndent">
    <w:name w:val="Body Text Indent"/>
    <w:basedOn w:val="Normal"/>
    <w:link w:val="BodyTextIndentChar"/>
    <w:uiPriority w:val="99"/>
    <w:semiHidden/>
    <w:unhideWhenUsed/>
    <w:rsid w:val="00A41B5E"/>
    <w:pPr>
      <w:widowControl w:val="0"/>
      <w:spacing w:after="120"/>
      <w:ind w:left="283"/>
    </w:pPr>
    <w:rPr>
      <w:rFonts w:ascii="Verdana" w:hAnsi="Verdana"/>
      <w:snapToGrid w:val="0"/>
      <w:sz w:val="20"/>
      <w:szCs w:val="20"/>
      <w:lang w:eastAsia="fi-FI"/>
    </w:rPr>
  </w:style>
  <w:style w:type="character" w:customStyle="1" w:styleId="BodyTextIndentChar">
    <w:name w:val="Body Text Indent Char"/>
    <w:basedOn w:val="DefaultParagraphFont"/>
    <w:link w:val="BodyTextIndent"/>
    <w:uiPriority w:val="99"/>
    <w:semiHidden/>
    <w:rsid w:val="00A41B5E"/>
    <w:rPr>
      <w:rFonts w:ascii="Verdana" w:eastAsia="Times New Roman" w:hAnsi="Verdana" w:cs="Times New Roman"/>
      <w:snapToGrid w:val="0"/>
      <w:sz w:val="20"/>
      <w:szCs w:val="20"/>
      <w:lang w:eastAsia="fi-FI"/>
    </w:rPr>
  </w:style>
  <w:style w:type="paragraph" w:styleId="BodyTextFirstIndent2">
    <w:name w:val="Body Text First Indent 2"/>
    <w:basedOn w:val="Normal"/>
    <w:link w:val="BodyTextFirstIndent2Char"/>
    <w:semiHidden/>
    <w:rsid w:val="00A41B5E"/>
    <w:pPr>
      <w:widowControl w:val="0"/>
      <w:spacing w:after="120"/>
      <w:ind w:left="283" w:firstLine="210"/>
    </w:pPr>
    <w:rPr>
      <w:rFonts w:ascii="Verdana" w:hAnsi="Verdana"/>
      <w:snapToGrid w:val="0"/>
      <w:sz w:val="20"/>
      <w:szCs w:val="20"/>
      <w:lang w:eastAsia="fi-FI"/>
    </w:rPr>
  </w:style>
  <w:style w:type="character" w:customStyle="1" w:styleId="BodyTextFirstIndent2Char">
    <w:name w:val="Body Text First Indent 2 Char"/>
    <w:basedOn w:val="BodyTextIndentChar"/>
    <w:link w:val="BodyTextFirstIndent2"/>
    <w:semiHidden/>
    <w:rsid w:val="00A41B5E"/>
    <w:rPr>
      <w:rFonts w:ascii="Verdana" w:eastAsia="Times New Roman" w:hAnsi="Verdana" w:cs="Times New Roman"/>
      <w:snapToGrid w:val="0"/>
      <w:sz w:val="20"/>
      <w:szCs w:val="20"/>
      <w:lang w:eastAsia="fi-FI"/>
    </w:rPr>
  </w:style>
  <w:style w:type="character" w:customStyle="1" w:styleId="Bold">
    <w:name w:val="Bold"/>
    <w:basedOn w:val="DefaultParagraphFont"/>
    <w:rsid w:val="00A41B5E"/>
    <w:rPr>
      <w:rFonts w:ascii="Verdana" w:hAnsi="Verdana"/>
      <w:b/>
      <w:sz w:val="20"/>
    </w:rPr>
  </w:style>
  <w:style w:type="paragraph" w:customStyle="1" w:styleId="BulletedList1-usermanual">
    <w:name w:val="Bulleted List 1 - user manual"/>
    <w:basedOn w:val="Normal"/>
    <w:rsid w:val="00A41B5E"/>
    <w:pPr>
      <w:widowControl w:val="0"/>
      <w:numPr>
        <w:numId w:val="3"/>
      </w:numPr>
      <w:spacing w:line="360" w:lineRule="auto"/>
    </w:pPr>
    <w:rPr>
      <w:rFonts w:ascii="Verdana" w:hAnsi="Verdana"/>
      <w:snapToGrid w:val="0"/>
      <w:sz w:val="20"/>
      <w:szCs w:val="20"/>
      <w:lang w:eastAsia="fi-FI"/>
    </w:rPr>
  </w:style>
  <w:style w:type="character" w:styleId="CommentReference">
    <w:name w:val="annotation reference"/>
    <w:basedOn w:val="DefaultParagraphFont"/>
    <w:semiHidden/>
    <w:rsid w:val="00A41B5E"/>
    <w:rPr>
      <w:sz w:val="16"/>
      <w:szCs w:val="16"/>
    </w:rPr>
  </w:style>
  <w:style w:type="paragraph" w:styleId="CommentText">
    <w:name w:val="annotation text"/>
    <w:basedOn w:val="Normal"/>
    <w:link w:val="CommentTextChar"/>
    <w:semiHidden/>
    <w:rsid w:val="00A41B5E"/>
    <w:pPr>
      <w:widowControl w:val="0"/>
    </w:pPr>
    <w:rPr>
      <w:rFonts w:ascii="Verdana" w:hAnsi="Verdana"/>
      <w:snapToGrid w:val="0"/>
      <w:sz w:val="20"/>
      <w:szCs w:val="20"/>
      <w:lang w:eastAsia="fi-FI"/>
    </w:rPr>
  </w:style>
  <w:style w:type="character" w:customStyle="1" w:styleId="CommentTextChar">
    <w:name w:val="Comment Text Char"/>
    <w:basedOn w:val="DefaultParagraphFont"/>
    <w:link w:val="CommentText"/>
    <w:semiHidden/>
    <w:rsid w:val="00A41B5E"/>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semiHidden/>
    <w:rsid w:val="00A41B5E"/>
    <w:rPr>
      <w:b/>
      <w:bCs/>
    </w:rPr>
  </w:style>
  <w:style w:type="character" w:customStyle="1" w:styleId="CommentSubjectChar">
    <w:name w:val="Comment Subject Char"/>
    <w:basedOn w:val="CommentTextChar"/>
    <w:link w:val="CommentSubject"/>
    <w:semiHidden/>
    <w:rsid w:val="00A41B5E"/>
    <w:rPr>
      <w:rFonts w:ascii="Verdana" w:eastAsia="Times New Roman" w:hAnsi="Verdana" w:cs="Times New Roman"/>
      <w:b/>
      <w:bCs/>
      <w:snapToGrid w:val="0"/>
      <w:sz w:val="20"/>
      <w:szCs w:val="20"/>
      <w:lang w:eastAsia="fi-FI"/>
    </w:rPr>
  </w:style>
  <w:style w:type="paragraph" w:styleId="Footer">
    <w:name w:val="footer"/>
    <w:basedOn w:val="Normal"/>
    <w:link w:val="FooterChar"/>
    <w:uiPriority w:val="99"/>
    <w:rsid w:val="00A41B5E"/>
    <w:pPr>
      <w:widowControl w:val="0"/>
      <w:spacing w:line="160" w:lineRule="exact"/>
    </w:pPr>
    <w:rPr>
      <w:rFonts w:ascii="Verdana" w:hAnsi="Verdana"/>
      <w:snapToGrid w:val="0"/>
      <w:spacing w:val="2"/>
      <w:sz w:val="13"/>
      <w:szCs w:val="20"/>
      <w:lang w:eastAsia="fi-FI"/>
    </w:rPr>
  </w:style>
  <w:style w:type="character" w:customStyle="1" w:styleId="FooterChar">
    <w:name w:val="Footer Char"/>
    <w:basedOn w:val="DefaultParagraphFont"/>
    <w:link w:val="Footer"/>
    <w:uiPriority w:val="99"/>
    <w:rsid w:val="00A41B5E"/>
    <w:rPr>
      <w:rFonts w:ascii="Verdana" w:eastAsia="Times New Roman" w:hAnsi="Verdana" w:cs="Times New Roman"/>
      <w:snapToGrid w:val="0"/>
      <w:spacing w:val="2"/>
      <w:sz w:val="13"/>
      <w:szCs w:val="20"/>
      <w:lang w:eastAsia="fi-FI"/>
    </w:rPr>
  </w:style>
  <w:style w:type="paragraph" w:customStyle="1" w:styleId="Disclaimer">
    <w:name w:val="Disclaimer"/>
    <w:basedOn w:val="Footer"/>
    <w:rsid w:val="00A41B5E"/>
    <w:pPr>
      <w:spacing w:before="120" w:line="140" w:lineRule="exact"/>
    </w:pPr>
    <w:rPr>
      <w:spacing w:val="0"/>
      <w:sz w:val="11"/>
    </w:rPr>
  </w:style>
  <w:style w:type="character" w:styleId="FollowedHyperlink">
    <w:name w:val="FollowedHyperlink"/>
    <w:aliases w:val="Hyperlink opened"/>
    <w:basedOn w:val="DefaultParagraphFont"/>
    <w:rsid w:val="00A41B5E"/>
    <w:rPr>
      <w:rFonts w:ascii="Verdana" w:hAnsi="Verdana"/>
      <w:color w:val="800080"/>
      <w:sz w:val="20"/>
      <w:u w:val="single"/>
    </w:rPr>
  </w:style>
  <w:style w:type="character" w:styleId="FootnoteReference">
    <w:name w:val="footnote reference"/>
    <w:aliases w:val="Footnote"/>
    <w:basedOn w:val="DefaultParagraphFont"/>
    <w:semiHidden/>
    <w:rsid w:val="00A41B5E"/>
    <w:rPr>
      <w:rFonts w:ascii="Georgia" w:hAnsi="Georgia"/>
      <w:sz w:val="16"/>
      <w:vertAlign w:val="superscript"/>
    </w:rPr>
  </w:style>
  <w:style w:type="paragraph" w:styleId="FootnoteText">
    <w:name w:val="footnote text"/>
    <w:basedOn w:val="Normal"/>
    <w:link w:val="FootnoteTextChar"/>
    <w:semiHidden/>
    <w:rsid w:val="00A41B5E"/>
    <w:pPr>
      <w:widowControl w:val="0"/>
    </w:pPr>
    <w:rPr>
      <w:rFonts w:ascii="Verdana" w:hAnsi="Verdana"/>
      <w:snapToGrid w:val="0"/>
      <w:sz w:val="20"/>
      <w:szCs w:val="20"/>
      <w:lang w:eastAsia="fi-FI"/>
    </w:rPr>
  </w:style>
  <w:style w:type="character" w:customStyle="1" w:styleId="FootnoteTextChar">
    <w:name w:val="Footnote Text Char"/>
    <w:basedOn w:val="DefaultParagraphFont"/>
    <w:link w:val="FootnoteText"/>
    <w:semiHidden/>
    <w:rsid w:val="00A41B5E"/>
    <w:rPr>
      <w:rFonts w:ascii="Verdana" w:eastAsia="Times New Roman" w:hAnsi="Verdana" w:cs="Times New Roman"/>
      <w:snapToGrid w:val="0"/>
      <w:sz w:val="20"/>
      <w:szCs w:val="20"/>
      <w:lang w:eastAsia="fi-FI"/>
    </w:rPr>
  </w:style>
  <w:style w:type="paragraph" w:customStyle="1" w:styleId="Footnotes">
    <w:name w:val="Footnotes"/>
    <w:basedOn w:val="BodyText"/>
    <w:rsid w:val="00A41B5E"/>
    <w:rPr>
      <w:rFonts w:ascii="Georgia" w:hAnsi="Georgia"/>
      <w:sz w:val="18"/>
    </w:rPr>
  </w:style>
  <w:style w:type="paragraph" w:styleId="Header">
    <w:name w:val="header"/>
    <w:basedOn w:val="Normal"/>
    <w:link w:val="HeaderChar"/>
    <w:rsid w:val="00A41B5E"/>
    <w:pPr>
      <w:widowControl w:val="0"/>
      <w:tabs>
        <w:tab w:val="left" w:pos="4536"/>
        <w:tab w:val="left" w:pos="7088"/>
        <w:tab w:val="left" w:pos="8789"/>
      </w:tabs>
    </w:pPr>
    <w:rPr>
      <w:rFonts w:ascii="Verdana" w:hAnsi="Verdana"/>
      <w:snapToGrid w:val="0"/>
      <w:sz w:val="20"/>
      <w:szCs w:val="20"/>
      <w:lang w:eastAsia="fi-FI"/>
    </w:rPr>
  </w:style>
  <w:style w:type="character" w:customStyle="1" w:styleId="HeaderChar">
    <w:name w:val="Header Char"/>
    <w:basedOn w:val="DefaultParagraphFont"/>
    <w:link w:val="Header"/>
    <w:uiPriority w:val="99"/>
    <w:rsid w:val="00A41B5E"/>
    <w:rPr>
      <w:rFonts w:ascii="Verdana" w:eastAsia="Times New Roman" w:hAnsi="Verdana" w:cs="Times New Roman"/>
      <w:snapToGrid w:val="0"/>
      <w:sz w:val="20"/>
      <w:szCs w:val="20"/>
      <w:lang w:eastAsia="fi-FI"/>
    </w:rPr>
  </w:style>
  <w:style w:type="character" w:styleId="Hyperlink">
    <w:name w:val="Hyperlink"/>
    <w:basedOn w:val="DefaultParagraphFont"/>
    <w:rsid w:val="00A41B5E"/>
    <w:rPr>
      <w:rFonts w:ascii="Verdana" w:hAnsi="Verdana"/>
      <w:color w:val="0000FF"/>
      <w:sz w:val="20"/>
      <w:u w:val="single"/>
    </w:rPr>
  </w:style>
  <w:style w:type="character" w:customStyle="1" w:styleId="Italic">
    <w:name w:val="Italic"/>
    <w:basedOn w:val="DefaultParagraphFont"/>
    <w:rsid w:val="00A41B5E"/>
    <w:rPr>
      <w:rFonts w:ascii="Verdana" w:hAnsi="Verdana"/>
      <w:i/>
      <w:sz w:val="20"/>
    </w:rPr>
  </w:style>
  <w:style w:type="paragraph" w:customStyle="1" w:styleId="Leipteksti1">
    <w:name w:val="Leipäteksti1"/>
    <w:basedOn w:val="Normal"/>
    <w:semiHidden/>
    <w:rsid w:val="00A41B5E"/>
    <w:pPr>
      <w:ind w:left="2608"/>
    </w:pPr>
  </w:style>
  <w:style w:type="character" w:styleId="PageNumber">
    <w:name w:val="page number"/>
    <w:aliases w:val="Page number"/>
    <w:basedOn w:val="DefaultParagraphFont"/>
    <w:rsid w:val="00A41B5E"/>
    <w:rPr>
      <w:rFonts w:ascii="Verdana" w:hAnsi="Verdana"/>
      <w:sz w:val="20"/>
    </w:rPr>
  </w:style>
  <w:style w:type="table" w:styleId="TableGrid">
    <w:name w:val="Table Grid"/>
    <w:basedOn w:val="TableNormal"/>
    <w:rsid w:val="00A41B5E"/>
    <w:pPr>
      <w:widowControl w:val="0"/>
      <w:spacing w:after="0" w:line="240" w:lineRule="auto"/>
    </w:pPr>
    <w:rPr>
      <w:rFonts w:ascii="Verdana"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rsid w:val="00A41B5E"/>
    <w:pPr>
      <w:spacing w:after="120"/>
    </w:pPr>
    <w:rPr>
      <w:b/>
      <w:color w:val="FFCC00"/>
      <w:sz w:val="18"/>
      <w:szCs w:val="18"/>
    </w:rPr>
  </w:style>
  <w:style w:type="paragraph" w:customStyle="1" w:styleId="Tabletext">
    <w:name w:val="Tabletext"/>
    <w:basedOn w:val="BodyText"/>
    <w:rsid w:val="00A41B5E"/>
    <w:pPr>
      <w:spacing w:after="0"/>
    </w:pPr>
    <w:rPr>
      <w:sz w:val="18"/>
    </w:rPr>
  </w:style>
  <w:style w:type="paragraph" w:styleId="TOC1">
    <w:name w:val="toc 1"/>
    <w:basedOn w:val="Normal"/>
    <w:next w:val="Normal"/>
    <w:autoRedefine/>
    <w:rsid w:val="00A41B5E"/>
    <w:pPr>
      <w:widowControl w:val="0"/>
      <w:tabs>
        <w:tab w:val="right" w:leader="dot" w:pos="10196"/>
      </w:tabs>
      <w:ind w:left="425" w:hanging="425"/>
    </w:pPr>
    <w:rPr>
      <w:rFonts w:ascii="Verdana" w:hAnsi="Verdana"/>
      <w:noProof/>
      <w:snapToGrid w:val="0"/>
      <w:sz w:val="20"/>
      <w:szCs w:val="20"/>
      <w:lang w:eastAsia="fi-FI"/>
    </w:rPr>
  </w:style>
  <w:style w:type="paragraph" w:styleId="TOC2">
    <w:name w:val="toc 2"/>
    <w:basedOn w:val="Normal"/>
    <w:next w:val="Normal"/>
    <w:autoRedefine/>
    <w:rsid w:val="00A41B5E"/>
    <w:pPr>
      <w:widowControl w:val="0"/>
      <w:tabs>
        <w:tab w:val="right" w:leader="dot" w:pos="10196"/>
      </w:tabs>
      <w:ind w:left="992" w:hanging="567"/>
    </w:pPr>
    <w:rPr>
      <w:rFonts w:ascii="Verdana" w:hAnsi="Verdana"/>
      <w:noProof/>
      <w:snapToGrid w:val="0"/>
      <w:sz w:val="20"/>
      <w:szCs w:val="20"/>
      <w:lang w:eastAsia="fi-FI"/>
    </w:rPr>
  </w:style>
  <w:style w:type="paragraph" w:styleId="TOC3">
    <w:name w:val="toc 3"/>
    <w:basedOn w:val="Normal"/>
    <w:next w:val="Normal"/>
    <w:autoRedefine/>
    <w:rsid w:val="00A41B5E"/>
    <w:pPr>
      <w:widowControl w:val="0"/>
      <w:tabs>
        <w:tab w:val="right" w:leader="dot" w:pos="10196"/>
      </w:tabs>
      <w:ind w:left="1843" w:hanging="851"/>
    </w:pPr>
    <w:rPr>
      <w:rFonts w:ascii="Verdana" w:hAnsi="Verdana"/>
      <w:snapToGrid w:val="0"/>
      <w:sz w:val="20"/>
      <w:szCs w:val="20"/>
      <w:lang w:eastAsia="fi-FI"/>
    </w:rPr>
  </w:style>
  <w:style w:type="character" w:styleId="Strong">
    <w:name w:val="Strong"/>
    <w:qFormat/>
    <w:rsid w:val="004E600F"/>
    <w:rPr>
      <w:b/>
      <w:bCs/>
    </w:rPr>
  </w:style>
  <w:style w:type="paragraph" w:styleId="NormalWeb">
    <w:name w:val="Normal (Web)"/>
    <w:basedOn w:val="Normal"/>
    <w:rsid w:val="004E600F"/>
    <w:pPr>
      <w:spacing w:before="100" w:beforeAutospacing="1" w:after="240"/>
    </w:pPr>
  </w:style>
  <w:style w:type="character" w:customStyle="1" w:styleId="Ulstomtale1">
    <w:name w:val="Uløst omtale1"/>
    <w:basedOn w:val="DefaultParagraphFont"/>
    <w:uiPriority w:val="99"/>
    <w:semiHidden/>
    <w:unhideWhenUsed/>
    <w:rsid w:val="00B61AF7"/>
    <w:rPr>
      <w:color w:val="605E5C"/>
      <w:shd w:val="clear" w:color="auto" w:fill="E1DFDD"/>
    </w:rPr>
  </w:style>
  <w:style w:type="paragraph" w:styleId="ListParagraph">
    <w:name w:val="List Paragraph"/>
    <w:basedOn w:val="Normal"/>
    <w:uiPriority w:val="34"/>
    <w:qFormat/>
    <w:rsid w:val="00F40B22"/>
    <w:pPr>
      <w:ind w:left="720"/>
      <w:contextualSpacing/>
    </w:pPr>
  </w:style>
  <w:style w:type="paragraph" w:styleId="EndnoteText">
    <w:name w:val="endnote text"/>
    <w:basedOn w:val="Normal"/>
    <w:link w:val="EndnoteTextChar"/>
    <w:uiPriority w:val="99"/>
    <w:semiHidden/>
    <w:unhideWhenUsed/>
    <w:rsid w:val="00CC7444"/>
    <w:rPr>
      <w:sz w:val="20"/>
      <w:szCs w:val="20"/>
    </w:rPr>
  </w:style>
  <w:style w:type="character" w:customStyle="1" w:styleId="EndnoteTextChar">
    <w:name w:val="Endnote Text Char"/>
    <w:basedOn w:val="DefaultParagraphFont"/>
    <w:link w:val="EndnoteText"/>
    <w:uiPriority w:val="99"/>
    <w:semiHidden/>
    <w:rsid w:val="00CC7444"/>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CC7444"/>
    <w:rPr>
      <w:vertAlign w:val="superscript"/>
    </w:rPr>
  </w:style>
  <w:style w:type="paragraph" w:styleId="Revision">
    <w:name w:val="Revision"/>
    <w:hidden/>
    <w:uiPriority w:val="99"/>
    <w:semiHidden/>
    <w:rsid w:val="0006474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7995">
      <w:bodyDiv w:val="1"/>
      <w:marLeft w:val="0"/>
      <w:marRight w:val="0"/>
      <w:marTop w:val="0"/>
      <w:marBottom w:val="0"/>
      <w:divBdr>
        <w:top w:val="none" w:sz="0" w:space="0" w:color="auto"/>
        <w:left w:val="none" w:sz="0" w:space="0" w:color="auto"/>
        <w:bottom w:val="none" w:sz="0" w:space="0" w:color="auto"/>
        <w:right w:val="none" w:sz="0" w:space="0" w:color="auto"/>
      </w:divBdr>
    </w:div>
    <w:div w:id="332950930">
      <w:bodyDiv w:val="1"/>
      <w:marLeft w:val="0"/>
      <w:marRight w:val="0"/>
      <w:marTop w:val="0"/>
      <w:marBottom w:val="0"/>
      <w:divBdr>
        <w:top w:val="none" w:sz="0" w:space="0" w:color="auto"/>
        <w:left w:val="none" w:sz="0" w:space="0" w:color="auto"/>
        <w:bottom w:val="none" w:sz="0" w:space="0" w:color="auto"/>
        <w:right w:val="none" w:sz="0" w:space="0" w:color="auto"/>
      </w:divBdr>
      <w:divsChild>
        <w:div w:id="1558129411">
          <w:marLeft w:val="0"/>
          <w:marRight w:val="0"/>
          <w:marTop w:val="0"/>
          <w:marBottom w:val="0"/>
          <w:divBdr>
            <w:top w:val="none" w:sz="0" w:space="0" w:color="auto"/>
            <w:left w:val="none" w:sz="0" w:space="0" w:color="auto"/>
            <w:bottom w:val="none" w:sz="0" w:space="0" w:color="auto"/>
            <w:right w:val="none" w:sz="0" w:space="0" w:color="auto"/>
          </w:divBdr>
          <w:divsChild>
            <w:div w:id="1727680333">
              <w:marLeft w:val="0"/>
              <w:marRight w:val="0"/>
              <w:marTop w:val="0"/>
              <w:marBottom w:val="0"/>
              <w:divBdr>
                <w:top w:val="none" w:sz="0" w:space="0" w:color="auto"/>
                <w:left w:val="none" w:sz="0" w:space="0" w:color="auto"/>
                <w:bottom w:val="none" w:sz="0" w:space="0" w:color="auto"/>
                <w:right w:val="none" w:sz="0" w:space="0" w:color="auto"/>
              </w:divBdr>
              <w:divsChild>
                <w:div w:id="1919704063">
                  <w:marLeft w:val="0"/>
                  <w:marRight w:val="0"/>
                  <w:marTop w:val="0"/>
                  <w:marBottom w:val="0"/>
                  <w:divBdr>
                    <w:top w:val="none" w:sz="0" w:space="0" w:color="auto"/>
                    <w:left w:val="none" w:sz="0" w:space="0" w:color="auto"/>
                    <w:bottom w:val="none" w:sz="0" w:space="0" w:color="auto"/>
                    <w:right w:val="none" w:sz="0" w:space="0" w:color="auto"/>
                  </w:divBdr>
                  <w:divsChild>
                    <w:div w:id="133715473">
                      <w:marLeft w:val="0"/>
                      <w:marRight w:val="0"/>
                      <w:marTop w:val="0"/>
                      <w:marBottom w:val="0"/>
                      <w:divBdr>
                        <w:top w:val="none" w:sz="0" w:space="0" w:color="auto"/>
                        <w:left w:val="none" w:sz="0" w:space="0" w:color="auto"/>
                        <w:bottom w:val="none" w:sz="0" w:space="0" w:color="auto"/>
                        <w:right w:val="none" w:sz="0" w:space="0" w:color="auto"/>
                      </w:divBdr>
                      <w:divsChild>
                        <w:div w:id="1913851321">
                          <w:marLeft w:val="0"/>
                          <w:marRight w:val="0"/>
                          <w:marTop w:val="0"/>
                          <w:marBottom w:val="0"/>
                          <w:divBdr>
                            <w:top w:val="none" w:sz="0" w:space="0" w:color="auto"/>
                            <w:left w:val="none" w:sz="0" w:space="0" w:color="auto"/>
                            <w:bottom w:val="none" w:sz="0" w:space="0" w:color="auto"/>
                            <w:right w:val="none" w:sz="0" w:space="0" w:color="auto"/>
                          </w:divBdr>
                          <w:divsChild>
                            <w:div w:id="2127458835">
                              <w:marLeft w:val="-225"/>
                              <w:marRight w:val="-225"/>
                              <w:marTop w:val="0"/>
                              <w:marBottom w:val="0"/>
                              <w:divBdr>
                                <w:top w:val="none" w:sz="0" w:space="0" w:color="auto"/>
                                <w:left w:val="none" w:sz="0" w:space="0" w:color="auto"/>
                                <w:bottom w:val="none" w:sz="0" w:space="0" w:color="auto"/>
                                <w:right w:val="none" w:sz="0" w:space="0" w:color="auto"/>
                              </w:divBdr>
                              <w:divsChild>
                                <w:div w:id="1979921562">
                                  <w:marLeft w:val="0"/>
                                  <w:marRight w:val="0"/>
                                  <w:marTop w:val="0"/>
                                  <w:marBottom w:val="0"/>
                                  <w:divBdr>
                                    <w:top w:val="none" w:sz="0" w:space="0" w:color="auto"/>
                                    <w:left w:val="none" w:sz="0" w:space="0" w:color="auto"/>
                                    <w:bottom w:val="none" w:sz="0" w:space="0" w:color="auto"/>
                                    <w:right w:val="none" w:sz="0" w:space="0" w:color="auto"/>
                                  </w:divBdr>
                                  <w:divsChild>
                                    <w:div w:id="143010729">
                                      <w:marLeft w:val="0"/>
                                      <w:marRight w:val="0"/>
                                      <w:marTop w:val="0"/>
                                      <w:marBottom w:val="0"/>
                                      <w:divBdr>
                                        <w:top w:val="none" w:sz="0" w:space="0" w:color="auto"/>
                                        <w:left w:val="none" w:sz="0" w:space="0" w:color="auto"/>
                                        <w:bottom w:val="none" w:sz="0" w:space="0" w:color="auto"/>
                                        <w:right w:val="none" w:sz="0" w:space="0" w:color="auto"/>
                                      </w:divBdr>
                                      <w:divsChild>
                                        <w:div w:id="616523680">
                                          <w:marLeft w:val="0"/>
                                          <w:marRight w:val="0"/>
                                          <w:marTop w:val="0"/>
                                          <w:marBottom w:val="225"/>
                                          <w:divBdr>
                                            <w:top w:val="none" w:sz="0" w:space="0" w:color="auto"/>
                                            <w:left w:val="none" w:sz="0" w:space="0" w:color="auto"/>
                                            <w:bottom w:val="none" w:sz="0" w:space="0" w:color="auto"/>
                                            <w:right w:val="none" w:sz="0" w:space="0" w:color="auto"/>
                                          </w:divBdr>
                                          <w:divsChild>
                                            <w:div w:id="525103366">
                                              <w:marLeft w:val="0"/>
                                              <w:marRight w:val="0"/>
                                              <w:marTop w:val="0"/>
                                              <w:marBottom w:val="0"/>
                                              <w:divBdr>
                                                <w:top w:val="none" w:sz="0" w:space="0" w:color="auto"/>
                                                <w:left w:val="none" w:sz="0" w:space="0" w:color="auto"/>
                                                <w:bottom w:val="none" w:sz="0" w:space="0" w:color="auto"/>
                                                <w:right w:val="none" w:sz="0" w:space="0" w:color="auto"/>
                                              </w:divBdr>
                                              <w:divsChild>
                                                <w:div w:id="438111093">
                                                  <w:marLeft w:val="0"/>
                                                  <w:marRight w:val="0"/>
                                                  <w:marTop w:val="0"/>
                                                  <w:marBottom w:val="0"/>
                                                  <w:divBdr>
                                                    <w:top w:val="none" w:sz="0" w:space="0" w:color="auto"/>
                                                    <w:left w:val="none" w:sz="0" w:space="0" w:color="auto"/>
                                                    <w:bottom w:val="none" w:sz="0" w:space="0" w:color="auto"/>
                                                    <w:right w:val="none" w:sz="0" w:space="0" w:color="auto"/>
                                                  </w:divBdr>
                                                  <w:divsChild>
                                                    <w:div w:id="2077194112">
                                                      <w:marLeft w:val="0"/>
                                                      <w:marRight w:val="0"/>
                                                      <w:marTop w:val="0"/>
                                                      <w:marBottom w:val="0"/>
                                                      <w:divBdr>
                                                        <w:top w:val="none" w:sz="0" w:space="0" w:color="auto"/>
                                                        <w:left w:val="none" w:sz="0" w:space="0" w:color="auto"/>
                                                        <w:bottom w:val="none" w:sz="0" w:space="0" w:color="auto"/>
                                                        <w:right w:val="none" w:sz="0" w:space="0" w:color="auto"/>
                                                      </w:divBdr>
                                                      <w:divsChild>
                                                        <w:div w:id="1288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052311">
      <w:bodyDiv w:val="1"/>
      <w:marLeft w:val="0"/>
      <w:marRight w:val="0"/>
      <w:marTop w:val="0"/>
      <w:marBottom w:val="0"/>
      <w:divBdr>
        <w:top w:val="none" w:sz="0" w:space="0" w:color="auto"/>
        <w:left w:val="none" w:sz="0" w:space="0" w:color="auto"/>
        <w:bottom w:val="none" w:sz="0" w:space="0" w:color="auto"/>
        <w:right w:val="none" w:sz="0" w:space="0" w:color="auto"/>
      </w:divBdr>
    </w:div>
    <w:div w:id="544561100">
      <w:bodyDiv w:val="1"/>
      <w:marLeft w:val="0"/>
      <w:marRight w:val="0"/>
      <w:marTop w:val="0"/>
      <w:marBottom w:val="0"/>
      <w:divBdr>
        <w:top w:val="none" w:sz="0" w:space="0" w:color="auto"/>
        <w:left w:val="none" w:sz="0" w:space="0" w:color="auto"/>
        <w:bottom w:val="none" w:sz="0" w:space="0" w:color="auto"/>
        <w:right w:val="none" w:sz="0" w:space="0" w:color="auto"/>
      </w:divBdr>
    </w:div>
    <w:div w:id="666130823">
      <w:bodyDiv w:val="1"/>
      <w:marLeft w:val="0"/>
      <w:marRight w:val="0"/>
      <w:marTop w:val="0"/>
      <w:marBottom w:val="0"/>
      <w:divBdr>
        <w:top w:val="none" w:sz="0" w:space="0" w:color="auto"/>
        <w:left w:val="none" w:sz="0" w:space="0" w:color="auto"/>
        <w:bottom w:val="none" w:sz="0" w:space="0" w:color="auto"/>
        <w:right w:val="none" w:sz="0" w:space="0" w:color="auto"/>
      </w:divBdr>
    </w:div>
    <w:div w:id="696542661">
      <w:bodyDiv w:val="1"/>
      <w:marLeft w:val="0"/>
      <w:marRight w:val="0"/>
      <w:marTop w:val="0"/>
      <w:marBottom w:val="0"/>
      <w:divBdr>
        <w:top w:val="none" w:sz="0" w:space="0" w:color="auto"/>
        <w:left w:val="none" w:sz="0" w:space="0" w:color="auto"/>
        <w:bottom w:val="none" w:sz="0" w:space="0" w:color="auto"/>
        <w:right w:val="none" w:sz="0" w:space="0" w:color="auto"/>
      </w:divBdr>
    </w:div>
    <w:div w:id="1317878652">
      <w:bodyDiv w:val="1"/>
      <w:marLeft w:val="0"/>
      <w:marRight w:val="0"/>
      <w:marTop w:val="0"/>
      <w:marBottom w:val="0"/>
      <w:divBdr>
        <w:top w:val="none" w:sz="0" w:space="0" w:color="auto"/>
        <w:left w:val="none" w:sz="0" w:space="0" w:color="auto"/>
        <w:bottom w:val="none" w:sz="0" w:space="0" w:color="auto"/>
        <w:right w:val="none" w:sz="0" w:space="0" w:color="auto"/>
      </w:divBdr>
      <w:divsChild>
        <w:div w:id="1632593739">
          <w:marLeft w:val="0"/>
          <w:marRight w:val="0"/>
          <w:marTop w:val="0"/>
          <w:marBottom w:val="0"/>
          <w:divBdr>
            <w:top w:val="none" w:sz="0" w:space="0" w:color="auto"/>
            <w:left w:val="none" w:sz="0" w:space="0" w:color="auto"/>
            <w:bottom w:val="none" w:sz="0" w:space="0" w:color="auto"/>
            <w:right w:val="none" w:sz="0" w:space="0" w:color="auto"/>
          </w:divBdr>
          <w:divsChild>
            <w:div w:id="1199585480">
              <w:marLeft w:val="0"/>
              <w:marRight w:val="0"/>
              <w:marTop w:val="0"/>
              <w:marBottom w:val="0"/>
              <w:divBdr>
                <w:top w:val="none" w:sz="0" w:space="0" w:color="auto"/>
                <w:left w:val="none" w:sz="0" w:space="0" w:color="auto"/>
                <w:bottom w:val="none" w:sz="0" w:space="0" w:color="auto"/>
                <w:right w:val="none" w:sz="0" w:space="0" w:color="auto"/>
              </w:divBdr>
              <w:divsChild>
                <w:div w:id="990409648">
                  <w:marLeft w:val="0"/>
                  <w:marRight w:val="0"/>
                  <w:marTop w:val="0"/>
                  <w:marBottom w:val="0"/>
                  <w:divBdr>
                    <w:top w:val="none" w:sz="0" w:space="0" w:color="auto"/>
                    <w:left w:val="none" w:sz="0" w:space="0" w:color="auto"/>
                    <w:bottom w:val="none" w:sz="0" w:space="0" w:color="auto"/>
                    <w:right w:val="none" w:sz="0" w:space="0" w:color="auto"/>
                  </w:divBdr>
                  <w:divsChild>
                    <w:div w:id="1021667787">
                      <w:marLeft w:val="0"/>
                      <w:marRight w:val="0"/>
                      <w:marTop w:val="0"/>
                      <w:marBottom w:val="0"/>
                      <w:divBdr>
                        <w:top w:val="none" w:sz="0" w:space="0" w:color="auto"/>
                        <w:left w:val="none" w:sz="0" w:space="0" w:color="auto"/>
                        <w:bottom w:val="none" w:sz="0" w:space="0" w:color="auto"/>
                        <w:right w:val="none" w:sz="0" w:space="0" w:color="auto"/>
                      </w:divBdr>
                      <w:divsChild>
                        <w:div w:id="13227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24634">
      <w:bodyDiv w:val="1"/>
      <w:marLeft w:val="0"/>
      <w:marRight w:val="0"/>
      <w:marTop w:val="0"/>
      <w:marBottom w:val="0"/>
      <w:divBdr>
        <w:top w:val="none" w:sz="0" w:space="0" w:color="auto"/>
        <w:left w:val="none" w:sz="0" w:space="0" w:color="auto"/>
        <w:bottom w:val="none" w:sz="0" w:space="0" w:color="auto"/>
        <w:right w:val="none" w:sz="0" w:space="0" w:color="auto"/>
      </w:divBdr>
    </w:div>
    <w:div w:id="1771003484">
      <w:bodyDiv w:val="1"/>
      <w:marLeft w:val="0"/>
      <w:marRight w:val="0"/>
      <w:marTop w:val="0"/>
      <w:marBottom w:val="0"/>
      <w:divBdr>
        <w:top w:val="none" w:sz="0" w:space="0" w:color="auto"/>
        <w:left w:val="none" w:sz="0" w:space="0" w:color="auto"/>
        <w:bottom w:val="none" w:sz="0" w:space="0" w:color="auto"/>
        <w:right w:val="none" w:sz="0" w:space="0" w:color="auto"/>
      </w:divBdr>
    </w:div>
    <w:div w:id="1772629801">
      <w:bodyDiv w:val="1"/>
      <w:marLeft w:val="0"/>
      <w:marRight w:val="0"/>
      <w:marTop w:val="0"/>
      <w:marBottom w:val="0"/>
      <w:divBdr>
        <w:top w:val="none" w:sz="0" w:space="0" w:color="auto"/>
        <w:left w:val="none" w:sz="0" w:space="0" w:color="auto"/>
        <w:bottom w:val="none" w:sz="0" w:space="0" w:color="auto"/>
        <w:right w:val="none" w:sz="0" w:space="0" w:color="auto"/>
      </w:divBdr>
    </w:div>
    <w:div w:id="21064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c15e87e6184dc285cecc59dfe3e409 xmlns="99b93dda-0db1-4804-bcd9-79ac3408f7b3">
      <Terms xmlns="http://schemas.microsoft.com/office/infopath/2007/PartnerControls"/>
    </gdc15e87e6184dc285cecc59dfe3e409>
    <TaxCatchAll xmlns="99b93dda-0db1-4804-bcd9-79ac3408f7b3"/>
    <a707137999d24c5390df78a72943486a xmlns="99b93dda-0db1-4804-bcd9-79ac3408f7b3">
      <Terms xmlns="http://schemas.microsoft.com/office/infopath/2007/PartnerControls"/>
    </a707137999d24c5390df78a72943486a>
    <AvtaltDato xmlns="99b93dda-0db1-4804-bcd9-79ac3408f7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3010fb3-0ead-40f9-8418-3186255a05f9" ContentTypeId="0x010100D14BD004BF1C4459B890F3727F092580" PreviousValue="false"/>
</file>

<file path=customXml/item4.xml><?xml version="1.0" encoding="utf-8"?>
<ct:contentTypeSchema xmlns:ct="http://schemas.microsoft.com/office/2006/metadata/contentType" xmlns:ma="http://schemas.microsoft.com/office/2006/metadata/properties/metaAttributes" ct:_="" ma:_="" ma:contentTypeName="Miljødirektoratet Dokument" ma:contentTypeID="0x010100D14BD004BF1C4459B890F3727F09258000C10B7D9A9A7AD341815729CE09A3D434" ma:contentTypeVersion="4" ma:contentTypeDescription="Opprett et nytt dokument. " ma:contentTypeScope="" ma:versionID="37ae55820fc88ff641d07ec1db76ba17">
  <xsd:schema xmlns:xsd="http://www.w3.org/2001/XMLSchema" xmlns:xs="http://www.w3.org/2001/XMLSchema" xmlns:p="http://schemas.microsoft.com/office/2006/metadata/properties" xmlns:ns2="99b93dda-0db1-4804-bcd9-79ac3408f7b3" targetNamespace="http://schemas.microsoft.com/office/2006/metadata/properties" ma:root="true" ma:fieldsID="5bef8bf8e4f85788e4a31c8da29594a3" ns2:_="">
    <xsd:import namespace="99b93dda-0db1-4804-bcd9-79ac3408f7b3"/>
    <xsd:element name="properties">
      <xsd:complexType>
        <xsd:sequence>
          <xsd:element name="documentManagement">
            <xsd:complexType>
              <xsd:all>
                <xsd:element ref="ns2:gdc15e87e6184dc285cecc59dfe3e409" minOccurs="0"/>
                <xsd:element ref="ns2:TaxCatchAll" minOccurs="0"/>
                <xsd:element ref="ns2:TaxCatchAllLabel" minOccurs="0"/>
                <xsd:element ref="ns2:a707137999d24c5390df78a72943486a" minOccurs="0"/>
                <xsd:element ref="ns2:Avtalt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3dda-0db1-4804-bcd9-79ac3408f7b3" elementFormDefault="qualified">
    <xsd:import namespace="http://schemas.microsoft.com/office/2006/documentManagement/types"/>
    <xsd:import namespace="http://schemas.microsoft.com/office/infopath/2007/PartnerControls"/>
    <xsd:element name="gdc15e87e6184dc285cecc59dfe3e409" ma:index="8" nillable="true" ma:taxonomy="true" ma:internalName="gdc15e87e6184dc285cecc59dfe3e409" ma:taxonomyFieldName="Dokumentkategori" ma:displayName="Dokumentkategori" ma:default="" ma:fieldId="{0dc15e87-e618-4dc2-85ce-cc59dfe3e409}" ma:taxonomyMulti="true" ma:sspId="f3010fb3-0ead-40f9-8418-3186255a05f9" ma:termSetId="53e1fc6a-97c5-4630-8402-445232887b95"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a807457-02b1-4922-a100-8b9f7666ed64}" ma:internalName="TaxCatchAll" ma:showField="CatchAllData" ma:web="61f75e2d-7354-4603-8e40-a1495bb229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a807457-02b1-4922-a100-8b9f7666ed64}" ma:internalName="TaxCatchAllLabel" ma:readOnly="true" ma:showField="CatchAllDataLabel" ma:web="61f75e2d-7354-4603-8e40-a1495bb22980">
      <xsd:complexType>
        <xsd:complexContent>
          <xsd:extension base="dms:MultiChoiceLookup">
            <xsd:sequence>
              <xsd:element name="Value" type="dms:Lookup" maxOccurs="unbounded" minOccurs="0" nillable="true"/>
            </xsd:sequence>
          </xsd:extension>
        </xsd:complexContent>
      </xsd:complexType>
    </xsd:element>
    <xsd:element name="a707137999d24c5390df78a72943486a" ma:index="12" nillable="true" ma:taxonomy="true" ma:internalName="a707137999d24c5390df78a72943486a" ma:taxonomyFieldName="Stikkord" ma:displayName="Stikkord" ma:readOnly="false" ma:default="" ma:fieldId="{a7071379-99d2-4c53-90df-78a72943486a}" ma:taxonomyMulti="true" ma:sspId="f3010fb3-0ead-40f9-8418-3186255a05f9" ma:termSetId="5b9839b4-4137-4aaf-bfa7-b3e208cd477c" ma:anchorId="00000000-0000-0000-0000-000000000000" ma:open="true" ma:isKeyword="false">
      <xsd:complexType>
        <xsd:sequence>
          <xsd:element ref="pc:Terms" minOccurs="0" maxOccurs="1"/>
        </xsd:sequence>
      </xsd:complexType>
    </xsd:element>
    <xsd:element name="AvtaltDato" ma:index="14" nillable="true" ma:displayName="Avtalt dato" ma:format="DateOnly" ma:indexed="true" ma:internalName="AvtaltDato"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585B-58C1-4A56-9636-1006B90DCA2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9b93dda-0db1-4804-bcd9-79ac3408f7b3"/>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C088CAD-D9CF-4504-88B7-87544FA66874}">
  <ds:schemaRefs>
    <ds:schemaRef ds:uri="http://schemas.microsoft.com/sharepoint/v3/contenttype/forms"/>
  </ds:schemaRefs>
</ds:datastoreItem>
</file>

<file path=customXml/itemProps3.xml><?xml version="1.0" encoding="utf-8"?>
<ds:datastoreItem xmlns:ds="http://schemas.openxmlformats.org/officeDocument/2006/customXml" ds:itemID="{23DFA19A-A177-47F1-934E-98D281FCD78D}">
  <ds:schemaRefs>
    <ds:schemaRef ds:uri="Microsoft.SharePoint.Taxonomy.ContentTypeSync"/>
  </ds:schemaRefs>
</ds:datastoreItem>
</file>

<file path=customXml/itemProps4.xml><?xml version="1.0" encoding="utf-8"?>
<ds:datastoreItem xmlns:ds="http://schemas.openxmlformats.org/officeDocument/2006/customXml" ds:itemID="{04806146-FA0B-4862-BE0E-FACBDDEF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3dda-0db1-4804-bcd9-79ac3408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D85E9E-ECD4-4AB6-9C77-4A3A0CD6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F7B664C6.dotm</Template>
  <TotalTime>12</TotalTime>
  <Pages>16</Pages>
  <Words>5624</Words>
  <Characters>32059</Characters>
  <Application>Microsoft Office Word</Application>
  <DocSecurity>0</DocSecurity>
  <Lines>267</Lines>
  <Paragraphs>75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European Chemicals Agency</Company>
  <LinksUpToDate>false</LinksUpToDate>
  <CharactersWithSpaces>37608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PENNESE Daniele</dc:creator>
  <cp:lastModifiedBy>ECHA </cp:lastModifiedBy>
  <cp:revision>5</cp:revision>
  <cp:lastPrinted>2019-11-18T09:07:00Z</cp:lastPrinted>
  <dcterms:created xsi:type="dcterms:W3CDTF">2020-03-23T12:19:00Z</dcterms:created>
  <dcterms:modified xsi:type="dcterms:W3CDTF">2020-03-23T13:10:00Z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0x010100D14BD004BF1C4459B890F3727F09258000C10B7D9A9A7AD341815729CE09A3D434</vt:lpwstr>
  </property>
  <property fmtid="{D5CDD505-2E9C-101B-9397-08002B2CF9AE}" pid="3" name="Stikkord">
    <vt:lpwstr/>
  </property>
  <property fmtid="{D5CDD505-2E9C-101B-9397-08002B2CF9AE}" pid="4" name="Dokumentkategori">
    <vt:lpwstr/>
  </property>
</Properties>
</file>