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3996" w14:textId="77777777" w:rsidR="00F57736" w:rsidRPr="003016DF" w:rsidRDefault="00E86372" w:rsidP="00F57736">
      <w:r>
        <w:rPr>
          <w:rFonts w:eastAsiaTheme="minorHAnsi"/>
          <w:noProof/>
          <w:szCs w:val="24"/>
          <w:lang w:val="sv-SE" w:eastAsia="sv-SE"/>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C" w14:textId="157EB774" w:rsidR="00E86372" w:rsidRDefault="00E86372" w:rsidP="00E86372">
                            <w:pPr>
                              <w:rPr>
                                <w:color w:val="4F81BD" w:themeColor="accent1"/>
                              </w:rPr>
                            </w:pPr>
                          </w:p>
                          <w:p w14:paraId="68353A6D" w14:textId="36262A69" w:rsidR="00E86372" w:rsidRDefault="00BD47FF" w:rsidP="00E86372">
                            <w:pPr>
                              <w:rPr>
                                <w:color w:val="4F81BD" w:themeColor="accent1"/>
                              </w:rPr>
                            </w:pPr>
                            <w:r>
                              <w:rPr>
                                <w:noProof/>
                                <w:lang w:val="sv-SE" w:eastAsia="sv-SE"/>
                              </w:rPr>
                              <w:drawing>
                                <wp:inline distT="0" distB="0" distL="0" distR="0" wp14:anchorId="7135D0CA" wp14:editId="3897BCA3">
                                  <wp:extent cx="1222801" cy="641445"/>
                                  <wp:effectExtent l="0" t="0" r="0" b="635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1252" cy="645878"/>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" o:allowincell="f" filled="f" strokecolor="gray [1629]">
                <v:textbox inset="21.6pt,21.6pt,21.6pt,21.6pt">
                  <w:txbxContent>
                    <w:p w14:paraId="68353A6C" w14:textId="157EB774" w:rsidR="00E86372" w:rsidRDefault="00E86372" w:rsidP="00E86372">
                      <w:pPr>
                        <w:rPr>
                          <w:color w:val="4F81BD" w:themeColor="accent1"/>
                        </w:rPr>
                      </w:pPr>
                    </w:p>
                    <w:p w14:paraId="68353A6D" w14:textId="36262A69" w:rsidR="00E86372" w:rsidRDefault="00BD47FF" w:rsidP="00E86372">
                      <w:pPr>
                        <w:rPr>
                          <w:color w:val="4F81BD" w:themeColor="accent1"/>
                        </w:rPr>
                      </w:pPr>
                      <w:r>
                        <w:rPr>
                          <w:noProof/>
                          <w:lang w:val="sv-SE" w:eastAsia="sv-SE"/>
                        </w:rPr>
                        <w:drawing>
                          <wp:inline distT="0" distB="0" distL="0" distR="0" wp14:anchorId="7135D0CA" wp14:editId="3897BCA3">
                            <wp:extent cx="1222801" cy="641445"/>
                            <wp:effectExtent l="0" t="0" r="0" b="635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1252" cy="645878"/>
                                    </a:xfrm>
                                    <a:prstGeom prst="rect">
                                      <a:avLst/>
                                    </a:prstGeom>
                                  </pic:spPr>
                                </pic:pic>
                              </a:graphicData>
                            </a:graphic>
                          </wp:inline>
                        </w:drawing>
                      </w: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rdtext"/>
        <w:rPr>
          <w:b/>
        </w:rPr>
      </w:pPr>
    </w:p>
    <w:p w14:paraId="683539A4" w14:textId="10690336" w:rsidR="00E86372" w:rsidRPr="00937276" w:rsidRDefault="00E86372" w:rsidP="00E86372">
      <w:pPr>
        <w:pStyle w:val="Brdtext"/>
      </w:pPr>
      <w:r>
        <w:rPr>
          <w:b/>
        </w:rPr>
        <w:t>Substance Name</w:t>
      </w:r>
      <w:r w:rsidRPr="003607CA">
        <w:rPr>
          <w:b/>
        </w:rPr>
        <w:t>:</w:t>
      </w:r>
      <w:r w:rsidR="00542A8C">
        <w:rPr>
          <w:b/>
        </w:rPr>
        <w:t xml:space="preserve"> </w:t>
      </w:r>
      <w:r w:rsidR="00D961D7" w:rsidRPr="00D961D7">
        <w:t xml:space="preserve">Bis(2-ethylhexyl) </w:t>
      </w:r>
      <w:proofErr w:type="spellStart"/>
      <w:r w:rsidR="00D961D7" w:rsidRPr="00D961D7">
        <w:t>tetrabromophthalate</w:t>
      </w:r>
      <w:proofErr w:type="spellEnd"/>
    </w:p>
    <w:p w14:paraId="683539A5" w14:textId="3588EC7D" w:rsidR="00E86372" w:rsidRPr="00937276" w:rsidRDefault="00E86372" w:rsidP="00E86372">
      <w:pPr>
        <w:pStyle w:val="Brdtext"/>
      </w:pPr>
      <w:r w:rsidRPr="003607CA">
        <w:rPr>
          <w:b/>
        </w:rPr>
        <w:t>EC Number:</w:t>
      </w:r>
      <w:r w:rsidR="00542A8C">
        <w:rPr>
          <w:b/>
        </w:rPr>
        <w:t xml:space="preserve"> </w:t>
      </w:r>
      <w:r w:rsidR="00D961D7" w:rsidRPr="00D961D7">
        <w:t>247-426-5</w:t>
      </w:r>
    </w:p>
    <w:p w14:paraId="683539A6" w14:textId="5A11C612" w:rsidR="00E86372" w:rsidRPr="00937276" w:rsidRDefault="00E86372" w:rsidP="00E86372">
      <w:pPr>
        <w:pStyle w:val="Brdtext"/>
        <w:rPr>
          <w:sz w:val="32"/>
        </w:rPr>
      </w:pPr>
      <w:r w:rsidRPr="003607CA">
        <w:rPr>
          <w:b/>
        </w:rPr>
        <w:t>CAS Number:</w:t>
      </w:r>
      <w:r w:rsidR="00542A8C">
        <w:rPr>
          <w:b/>
        </w:rPr>
        <w:t xml:space="preserve"> </w:t>
      </w:r>
      <w:r w:rsidR="00D961D7" w:rsidRPr="00D961D7">
        <w:t>26040-51-7, 122857-50-5</w:t>
      </w:r>
    </w:p>
    <w:p w14:paraId="683539A7" w14:textId="77777777" w:rsidR="00E86372" w:rsidRDefault="00E86372" w:rsidP="00E86372">
      <w:pPr>
        <w:pStyle w:val="Brdtext"/>
        <w:rPr>
          <w:b/>
          <w:sz w:val="32"/>
        </w:rPr>
      </w:pPr>
    </w:p>
    <w:p w14:paraId="683539A8" w14:textId="7FF4DF3C" w:rsidR="00E86372" w:rsidRDefault="00E86372" w:rsidP="00E86372">
      <w:pPr>
        <w:pStyle w:val="Brdtext"/>
        <w:rPr>
          <w:b/>
          <w:sz w:val="32"/>
        </w:rPr>
      </w:pPr>
      <w:r w:rsidRPr="006119A2">
        <w:rPr>
          <w:b/>
        </w:rPr>
        <w:t>Authority:</w:t>
      </w:r>
      <w:r w:rsidR="00542A8C">
        <w:rPr>
          <w:b/>
        </w:rPr>
        <w:t xml:space="preserve"> Swedish Chemicals Agency</w:t>
      </w:r>
    </w:p>
    <w:p w14:paraId="683539A9" w14:textId="1B14B914" w:rsidR="00E86372" w:rsidRDefault="00E86372" w:rsidP="00E86372">
      <w:pPr>
        <w:pStyle w:val="Brdtext"/>
        <w:rPr>
          <w:b/>
        </w:rPr>
      </w:pPr>
      <w:r w:rsidRPr="003607CA">
        <w:rPr>
          <w:b/>
        </w:rPr>
        <w:t>Date:</w:t>
      </w:r>
      <w:r w:rsidR="003701C5">
        <w:rPr>
          <w:b/>
        </w:rPr>
        <w:t xml:space="preserve"> </w:t>
      </w:r>
      <w:r w:rsidR="00633EB4">
        <w:rPr>
          <w:b/>
        </w:rPr>
        <w:t>20</w:t>
      </w:r>
      <w:r w:rsidR="00D961D7">
        <w:rPr>
          <w:b/>
        </w:rPr>
        <w:t>20</w:t>
      </w:r>
      <w:r w:rsidR="00633EB4">
        <w:rPr>
          <w:b/>
        </w:rPr>
        <w:t>-</w:t>
      </w:r>
      <w:r w:rsidR="00D961D7">
        <w:rPr>
          <w:b/>
        </w:rPr>
        <w:t>12</w:t>
      </w:r>
      <w:r w:rsidR="00633EB4">
        <w:rPr>
          <w:b/>
        </w:rPr>
        <w:t>-</w:t>
      </w:r>
      <w:r w:rsidR="00D961D7">
        <w:rPr>
          <w:b/>
        </w:rPr>
        <w:t>1</w:t>
      </w:r>
      <w:r w:rsidR="00B571DD">
        <w:rPr>
          <w:b/>
        </w:rPr>
        <w:t>6</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5"/>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0"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rdtext"/>
        <w:jc w:val="center"/>
      </w:pPr>
    </w:p>
    <w:p w14:paraId="683539B6" w14:textId="77777777" w:rsidR="00AD40AE" w:rsidRDefault="00AD40AE" w:rsidP="00AD40AE">
      <w:pPr>
        <w:pStyle w:val="Brdtext"/>
        <w:jc w:val="center"/>
      </w:pPr>
    </w:p>
    <w:p w14:paraId="683539B7" w14:textId="183D0041" w:rsidR="007A39FF" w:rsidRDefault="007A39FF" w:rsidP="007A39FF">
      <w:pPr>
        <w:pStyle w:val="Brdtext"/>
      </w:pPr>
    </w:p>
    <w:p w14:paraId="683539BC" w14:textId="451BBF13" w:rsidR="007A39FF" w:rsidRDefault="001C1F13" w:rsidP="007A39FF">
      <w:pPr>
        <w:pStyle w:val="Brdtext"/>
        <w:jc w:val="both"/>
      </w:pPr>
      <w:r w:rsidRPr="001C1F13">
        <w:t>The author does not accept any liability with regard to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on the basis of available information and may change in light of newly available information or further assessment.</w:t>
      </w:r>
    </w:p>
    <w:p w14:paraId="683539BD" w14:textId="77777777" w:rsidR="007A39FF" w:rsidRPr="00270FFE" w:rsidRDefault="007A39FF" w:rsidP="007A39FF">
      <w:pPr>
        <w:pStyle w:val="Brdtext"/>
        <w:jc w:val="both"/>
        <w:sectPr w:rsidR="007A39FF" w:rsidRPr="00270FFE">
          <w:footerReference w:type="default" r:id="rId16"/>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Rubrik1"/>
        <w:rPr>
          <w:color w:val="4F81BD"/>
        </w:rPr>
      </w:pPr>
      <w:r w:rsidRPr="002E4026">
        <w:rPr>
          <w:color w:val="4F81BD"/>
        </w:rPr>
        <w:lastRenderedPageBreak/>
        <w:t>Foreword</w:t>
      </w:r>
      <w:bookmarkEnd w:id="0"/>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in order to conclude whether a substance is a 'relevant substance of very high concern (SVHC)' in the sense of the SVHC Roadmap to 2020</w:t>
      </w:r>
      <w:r>
        <w:rPr>
          <w:rStyle w:val="Fotnotsreferens"/>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(e.g. harmonised classification and labelling, Candidate List inclusion, restriction, other EU legislation) or that no regulatory action is required at EU level. Any subsequent regulatory processes under the REACH Regulation include consultation of interested parties and appropriate decision making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to conclude whether regulatory risk management activities are required for a substance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8" w14:textId="77777777" w:rsidR="00BE5AF4" w:rsidRPr="000711F7" w:rsidRDefault="009C2172" w:rsidP="00BE5AF4">
      <w:pPr>
        <w:pStyle w:val="Rubrik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2CE1A002" w14:textId="081FC1C0" w:rsidR="00AB46A0" w:rsidRPr="00A2305C" w:rsidRDefault="00AB46A0" w:rsidP="00AB46A0">
      <w:pPr>
        <w:pStyle w:val="Beskrivning"/>
        <w:rPr>
          <w:rFonts w:ascii="Verdana" w:hAnsi="Verdana"/>
          <w:b/>
          <w:sz w:val="20"/>
        </w:rPr>
      </w:pPr>
      <w:r w:rsidRPr="00A2305C">
        <w:rPr>
          <w:rFonts w:ascii="Verdana" w:hAnsi="Verdana"/>
          <w:b/>
          <w:sz w:val="20"/>
        </w:rPr>
        <w:t>Completed or ongoing processes</w:t>
      </w:r>
    </w:p>
    <w:p w14:paraId="64F38BFE" w14:textId="77777777" w:rsidR="00D961D7" w:rsidRDefault="00D961D7" w:rsidP="00D961D7">
      <w:pPr>
        <w:pStyle w:val="Brdtext"/>
      </w:pPr>
      <w:r>
        <w:t xml:space="preserve">A testing proposal evaluation was performed in 2015 and resulted in a request for a pre-natal developmental toxicity study (test method: OECD 414) in rats or rabbits via the oral route. </w:t>
      </w:r>
    </w:p>
    <w:p w14:paraId="6E4E7014" w14:textId="36578251" w:rsidR="00D961D7" w:rsidRDefault="00D961D7" w:rsidP="00D961D7">
      <w:pPr>
        <w:pStyle w:val="Brdtext"/>
      </w:pPr>
      <w:r>
        <w:t xml:space="preserve">A compliance check (CCH) was performed and a decision was sent to the Registrant(s) in 2016 with requests for a sub-chronic toxicity study (90-day), an in vitro gene mutation study in bacteria, a screening study for reproductive/developmental toxicity (OECD 421 or 422) and a dietary bioaccumulation study. In response to the requests in the CCH decision the Registrant(s) provided the requested information including a waiver for the screening study for reproductive/developmental toxicity which was accepted by ECHA. Also, the registration was updated with assessments of the potential endocrine disrupting properties of </w:t>
      </w:r>
      <w:r w:rsidR="00AE332A">
        <w:t>b</w:t>
      </w:r>
      <w:r w:rsidR="00AE332A" w:rsidRPr="00D961D7">
        <w:t xml:space="preserve">is(2-ethylhexyl) </w:t>
      </w:r>
      <w:proofErr w:type="spellStart"/>
      <w:r w:rsidR="00AE332A" w:rsidRPr="00D961D7">
        <w:t>tetrabromophthalate</w:t>
      </w:r>
      <w:proofErr w:type="spellEnd"/>
      <w:r w:rsidR="00AE332A">
        <w:t xml:space="preserve"> </w:t>
      </w:r>
      <w:r>
        <w:t>for the environment and human health.</w:t>
      </w:r>
    </w:p>
    <w:p w14:paraId="522EA32E" w14:textId="18D98B76" w:rsidR="00D961D7" w:rsidRDefault="00AE332A" w:rsidP="00D961D7">
      <w:pPr>
        <w:pStyle w:val="Brdtext"/>
      </w:pPr>
      <w:r w:rsidRPr="00D961D7">
        <w:t xml:space="preserve">Bis(2-ethylhexyl) </w:t>
      </w:r>
      <w:proofErr w:type="spellStart"/>
      <w:r w:rsidRPr="00D961D7">
        <w:t>tetrabromophthalate</w:t>
      </w:r>
      <w:proofErr w:type="spellEnd"/>
      <w:r>
        <w:t xml:space="preserve"> </w:t>
      </w:r>
      <w:r w:rsidR="00D961D7">
        <w:t>was included in the Community Rolling Action Plan (</w:t>
      </w:r>
      <w:proofErr w:type="spellStart"/>
      <w:r w:rsidR="00D961D7">
        <w:t>CoRAP</w:t>
      </w:r>
      <w:proofErr w:type="spellEnd"/>
      <w:r w:rsidR="00D961D7">
        <w:t>) for evaluation in 2019. The initial concerns were suspected PBT/</w:t>
      </w:r>
      <w:proofErr w:type="spellStart"/>
      <w:r w:rsidR="00D961D7">
        <w:t>vPvB</w:t>
      </w:r>
      <w:proofErr w:type="spellEnd"/>
      <w:r w:rsidR="00D961D7">
        <w:t xml:space="preserve">, potential endocrine disruptor, wide dispersive use, and exposure of the environment. The evaluation started in April 2019 using the Lead registrant’s dossier from March 2019. An extensive literature search was performed in the autumn 2019 mainly focused on finding monitoring data. </w:t>
      </w:r>
    </w:p>
    <w:p w14:paraId="33389CF6" w14:textId="6236F58C" w:rsidR="00AB46A0" w:rsidRDefault="00D961D7" w:rsidP="00D961D7">
      <w:pPr>
        <w:pStyle w:val="Brdtext"/>
      </w:pPr>
      <w:r>
        <w:t xml:space="preserve">A draft conclusion on the persistence and bioaccumulation properties was circulated to the PBT EG for comments in a written procedure in December 2019. Another written consultation with the PBT EG was performed in May 2020. The </w:t>
      </w:r>
      <w:proofErr w:type="spellStart"/>
      <w:r>
        <w:t>eMSCA</w:t>
      </w:r>
      <w:proofErr w:type="spellEnd"/>
      <w:r>
        <w:t xml:space="preserve"> concluded in July 2020 that TBPH meets the REACH Annex XIII </w:t>
      </w:r>
      <w:proofErr w:type="spellStart"/>
      <w:r>
        <w:t>vPvB</w:t>
      </w:r>
      <w:proofErr w:type="spellEnd"/>
      <w:r>
        <w:t xml:space="preserve"> criteria based on a weight of evidence approach including all available information (i.e. laboratory studies, monitoring data, (Q)SAR-predictions). There are indications for ED properties of the substance, based on the in vitro data, but these indications cannot be confirmed in vivo, based on the available information. However, as the </w:t>
      </w:r>
      <w:proofErr w:type="spellStart"/>
      <w:r>
        <w:t>eMSCA</w:t>
      </w:r>
      <w:proofErr w:type="spellEnd"/>
      <w:r>
        <w:t xml:space="preserve"> concluded that the substance meets the </w:t>
      </w:r>
      <w:proofErr w:type="spellStart"/>
      <w:r>
        <w:t>vPvB</w:t>
      </w:r>
      <w:proofErr w:type="spellEnd"/>
      <w:r>
        <w:t>-criteria, no further information requests regarding ED concern were considered.</w:t>
      </w:r>
    </w:p>
    <w:p w14:paraId="4FE3AB0D" w14:textId="77777777" w:rsidR="00D961D7" w:rsidRDefault="00D961D7" w:rsidP="00AB46A0">
      <w:pPr>
        <w:pStyle w:val="Brdtext"/>
      </w:pPr>
      <w:r w:rsidRPr="006F6FDE">
        <w:t xml:space="preserve">There are no ongoing processes for this substance except for this RMOA. </w:t>
      </w:r>
    </w:p>
    <w:p w14:paraId="185969D4" w14:textId="77777777" w:rsidR="003E1B3C" w:rsidRPr="00067433" w:rsidRDefault="003E1B3C" w:rsidP="00FB30A3">
      <w:pPr>
        <w:pStyle w:val="Brdtext"/>
      </w:pPr>
    </w:p>
    <w:p w14:paraId="683539CC" w14:textId="77777777" w:rsidR="00BE5AF4" w:rsidRPr="000711F7" w:rsidRDefault="00BE5AF4" w:rsidP="00BE5AF4">
      <w:pPr>
        <w:pStyle w:val="Rubrik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FB30A3">
      <w:r w:rsidRPr="00D53A3D">
        <w:t>This conclusion is based on the REACH and CLP data as well as other available relevant information taking into account the SVHC Roadmap to 2020, where appropriate.</w:t>
      </w:r>
    </w:p>
    <w:p w14:paraId="683539CE" w14:textId="77777777" w:rsidR="00D37806" w:rsidRDefault="00D37806" w:rsidP="00FB30A3">
      <w:pPr>
        <w:rPr>
          <w:i/>
        </w:rPr>
      </w:pPr>
    </w:p>
    <w:p w14:paraId="683539D0" w14:textId="77777777" w:rsidR="00BE5AF4" w:rsidRDefault="00BE5AF4" w:rsidP="00BE5AF4">
      <w:pPr>
        <w:pStyle w:val="Br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69BA8D3F" w:rsidR="00B2524D" w:rsidRPr="00B2524D" w:rsidRDefault="00B2524D" w:rsidP="00B2524D"/>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008170A0" w:rsidR="00B2524D" w:rsidRPr="00B2524D" w:rsidRDefault="00AB46A0" w:rsidP="00B2524D">
            <w:pPr>
              <w:jc w:val="center"/>
            </w:pPr>
            <w:r>
              <w:t>X</w:t>
            </w: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9E9" w14:textId="77777777" w:rsidR="00B2524D" w:rsidRDefault="00B2524D" w:rsidP="00BE5AF4">
      <w:pPr>
        <w:pStyle w:val="Brdtext"/>
      </w:pPr>
    </w:p>
    <w:p w14:paraId="68353A01" w14:textId="77777777" w:rsidR="00A446BC" w:rsidRDefault="00A446BC" w:rsidP="00471457"/>
    <w:p w14:paraId="68353A02" w14:textId="77777777" w:rsidR="00A446BC" w:rsidRPr="006E3CBA" w:rsidRDefault="00A446BC" w:rsidP="00471457"/>
    <w:p w14:paraId="68353A04" w14:textId="10ED0481" w:rsidR="00471457" w:rsidRPr="000711F7" w:rsidRDefault="00AF77F1" w:rsidP="00AF77F1">
      <w:pPr>
        <w:pStyle w:val="Rubrik3"/>
        <w:numPr>
          <w:ilvl w:val="0"/>
          <w:numId w:val="6"/>
        </w:numPr>
        <w:rPr>
          <w:color w:val="4F81BD" w:themeColor="accent1"/>
          <w:sz w:val="24"/>
          <w:szCs w:val="28"/>
        </w:rPr>
      </w:pPr>
      <w:r w:rsidRPr="00270FFE">
        <w:rPr>
          <w:caps/>
          <w:color w:val="4F81BD" w:themeColor="accent1"/>
          <w:sz w:val="24"/>
          <w:szCs w:val="28"/>
        </w:rPr>
        <w:lastRenderedPageBreak/>
        <w:t>Need for follow-up regulatory action at EU level</w:t>
      </w:r>
      <w:r w:rsidR="00471457" w:rsidRPr="000711F7">
        <w:rPr>
          <w:color w:val="4F81BD" w:themeColor="accent1"/>
          <w:sz w:val="24"/>
          <w:szCs w:val="28"/>
        </w:rPr>
        <w:t xml:space="preserve"> </w:t>
      </w:r>
    </w:p>
    <w:p w14:paraId="68353A09" w14:textId="7DE30C0C" w:rsidR="00AF77F1" w:rsidRPr="00B7088E" w:rsidRDefault="00B7088E" w:rsidP="00B7088E">
      <w:pPr>
        <w:pStyle w:val="Rubrik3"/>
        <w:widowControl/>
        <w:numPr>
          <w:ilvl w:val="1"/>
          <w:numId w:val="6"/>
        </w:numPr>
        <w:spacing w:before="200" w:after="0" w:line="276" w:lineRule="auto"/>
        <w:rPr>
          <w:color w:val="365F91" w:themeColor="accent1" w:themeShade="BF"/>
          <w:sz w:val="24"/>
          <w:szCs w:val="24"/>
        </w:rPr>
      </w:pPr>
      <w:bookmarkStart w:id="1" w:name="_Hlk59025738"/>
      <w:r w:rsidRPr="008A1880">
        <w:rPr>
          <w:color w:val="365F91" w:themeColor="accent1" w:themeShade="BF"/>
          <w:sz w:val="24"/>
          <w:szCs w:val="24"/>
        </w:rPr>
        <w:t>Identification as a substance of very high concern, SVHC (first step towards authorisation)</w:t>
      </w:r>
    </w:p>
    <w:p w14:paraId="1D4F26A5" w14:textId="77777777" w:rsidR="00067B0A" w:rsidRDefault="00067B0A" w:rsidP="00B7088E">
      <w:pPr>
        <w:pStyle w:val="Brdtext"/>
      </w:pPr>
      <w:bookmarkStart w:id="2" w:name="_Toc357683635"/>
      <w:bookmarkStart w:id="3" w:name="_Toc357683639"/>
      <w:bookmarkEnd w:id="2"/>
    </w:p>
    <w:p w14:paraId="12FC7F12" w14:textId="39619C3F" w:rsidR="00800DF4" w:rsidRDefault="00800DF4" w:rsidP="00B7088E">
      <w:pPr>
        <w:pStyle w:val="Brdtext"/>
        <w:rPr>
          <w:lang w:eastAsia="en-GB"/>
        </w:rPr>
      </w:pPr>
      <w:r>
        <w:rPr>
          <w:lang w:eastAsia="en-GB"/>
        </w:rPr>
        <w:t>B</w:t>
      </w:r>
      <w:r w:rsidRPr="004E6BE1">
        <w:rPr>
          <w:lang w:eastAsia="en-GB"/>
        </w:rPr>
        <w:t xml:space="preserve">is(2-ethylhexyl) </w:t>
      </w:r>
      <w:proofErr w:type="spellStart"/>
      <w:r w:rsidRPr="004E6BE1">
        <w:rPr>
          <w:lang w:eastAsia="en-GB"/>
        </w:rPr>
        <w:t>tetrabromophthalate</w:t>
      </w:r>
      <w:proofErr w:type="spellEnd"/>
      <w:r>
        <w:rPr>
          <w:lang w:eastAsia="en-GB"/>
        </w:rPr>
        <w:t xml:space="preserve"> has</w:t>
      </w:r>
      <w:r w:rsidRPr="006B5BDE">
        <w:rPr>
          <w:lang w:eastAsia="en-GB"/>
        </w:rPr>
        <w:t xml:space="preserve"> </w:t>
      </w:r>
      <w:r>
        <w:rPr>
          <w:lang w:eastAsia="en-GB"/>
        </w:rPr>
        <w:t xml:space="preserve">in a substance evaluation, performed by the Swedish Chemicals Agency, been </w:t>
      </w:r>
      <w:r w:rsidRPr="006B5BDE">
        <w:rPr>
          <w:lang w:eastAsia="en-GB"/>
        </w:rPr>
        <w:t xml:space="preserve">considered to fulfil the criteria for Article </w:t>
      </w:r>
      <w:r>
        <w:rPr>
          <w:lang w:eastAsia="en-GB"/>
        </w:rPr>
        <w:t>57e</w:t>
      </w:r>
      <w:r w:rsidRPr="006B5BDE">
        <w:rPr>
          <w:lang w:eastAsia="en-GB"/>
        </w:rPr>
        <w:t xml:space="preserve"> (</w:t>
      </w:r>
      <w:proofErr w:type="spellStart"/>
      <w:r w:rsidRPr="006B5BDE">
        <w:rPr>
          <w:lang w:eastAsia="en-GB"/>
        </w:rPr>
        <w:t>vPvB</w:t>
      </w:r>
      <w:proofErr w:type="spellEnd"/>
      <w:r w:rsidRPr="006B5BDE">
        <w:rPr>
          <w:lang w:eastAsia="en-GB"/>
        </w:rPr>
        <w:t>) of the REACH Regulation</w:t>
      </w:r>
      <w:r w:rsidR="00B5192D">
        <w:rPr>
          <w:lang w:eastAsia="en-GB"/>
        </w:rPr>
        <w:t>.</w:t>
      </w:r>
      <w:r w:rsidR="0043353A">
        <w:rPr>
          <w:lang w:eastAsia="en-GB"/>
        </w:rPr>
        <w:t xml:space="preserve"> </w:t>
      </w:r>
      <w:r w:rsidR="00B5192D">
        <w:rPr>
          <w:lang w:eastAsia="en-GB"/>
        </w:rPr>
        <w:t xml:space="preserve">It is </w:t>
      </w:r>
      <w:r w:rsidR="00B5192D">
        <w:rPr>
          <w:lang w:val="en-US"/>
        </w:rPr>
        <w:t xml:space="preserve">also </w:t>
      </w:r>
      <w:r w:rsidR="00B5192D">
        <w:rPr>
          <w:lang w:val="en-US"/>
        </w:rPr>
        <w:t>considered to meet the SVHC Roadmap relevancy criteria</w:t>
      </w:r>
      <w:r w:rsidR="0043353A">
        <w:rPr>
          <w:lang w:eastAsia="en-GB"/>
        </w:rPr>
        <w:t>.</w:t>
      </w:r>
    </w:p>
    <w:p w14:paraId="5A46A740" w14:textId="22DB5996" w:rsidR="00CF5E6A" w:rsidRDefault="00CF5E6A" w:rsidP="00B7088E">
      <w:pPr>
        <w:pStyle w:val="Brdtext"/>
        <w:rPr>
          <w:rFonts w:cs="Verdana"/>
          <w:lang w:eastAsia="en-GB"/>
        </w:rPr>
      </w:pPr>
      <w:r>
        <w:t xml:space="preserve">The Swedish Chemicals Agency </w:t>
      </w:r>
      <w:r w:rsidR="00B5192D">
        <w:t xml:space="preserve">therefore </w:t>
      </w:r>
      <w:r>
        <w:t>proposes to identify b</w:t>
      </w:r>
      <w:r w:rsidRPr="00D961D7">
        <w:t xml:space="preserve">is(2-ethylhexyl) </w:t>
      </w:r>
      <w:proofErr w:type="spellStart"/>
      <w:r w:rsidRPr="00D961D7">
        <w:t>tetrabromophthalate</w:t>
      </w:r>
      <w:proofErr w:type="spellEnd"/>
      <w:r>
        <w:t xml:space="preserve"> as an SVHC for inclusion in the Candidate List, </w:t>
      </w:r>
      <w:r w:rsidRPr="00D961D7">
        <w:t>in</w:t>
      </w:r>
      <w:r>
        <w:t xml:space="preserve"> </w:t>
      </w:r>
      <w:r w:rsidRPr="00D961D7">
        <w:t xml:space="preserve">order to obtain a transparent communication regarding the </w:t>
      </w:r>
      <w:proofErr w:type="spellStart"/>
      <w:r w:rsidRPr="00D961D7">
        <w:t>vPvB</w:t>
      </w:r>
      <w:proofErr w:type="spellEnd"/>
      <w:r w:rsidRPr="00D961D7">
        <w:t xml:space="preserve"> properties of </w:t>
      </w:r>
      <w:r>
        <w:t>the substance</w:t>
      </w:r>
      <w:r>
        <w:rPr>
          <w:rFonts w:cs="Verdana"/>
          <w:lang w:eastAsia="en-GB"/>
        </w:rPr>
        <w:t>.</w:t>
      </w:r>
    </w:p>
    <w:bookmarkEnd w:id="1"/>
    <w:p w14:paraId="469759BB" w14:textId="6BA03AB5" w:rsidR="004B110C" w:rsidRDefault="004B110C" w:rsidP="00B7088E">
      <w:pPr>
        <w:pStyle w:val="Brdtext"/>
        <w:rPr>
          <w:rFonts w:cs="Verdana"/>
          <w:lang w:eastAsia="en-GB"/>
        </w:rPr>
      </w:pPr>
    </w:p>
    <w:p w14:paraId="7CF92A4F" w14:textId="77777777" w:rsidR="004B110C" w:rsidRDefault="004B110C" w:rsidP="00B7088E">
      <w:pPr>
        <w:pStyle w:val="Brdtext"/>
        <w:rPr>
          <w:rFonts w:cs="Verdana"/>
          <w:lang w:eastAsia="en-GB"/>
        </w:rPr>
      </w:pPr>
    </w:p>
    <w:bookmarkEnd w:id="3"/>
    <w:p w14:paraId="68353A3C" w14:textId="3E86C7AC" w:rsidR="00DB0024" w:rsidRPr="00270FFE" w:rsidRDefault="006617E0" w:rsidP="00270FFE">
      <w:pPr>
        <w:pStyle w:val="Rubrik3"/>
        <w:numPr>
          <w:ilvl w:val="0"/>
          <w:numId w:val="6"/>
        </w:numPr>
        <w:rPr>
          <w:caps/>
          <w:color w:val="4F81BD" w:themeColor="accent1"/>
          <w:sz w:val="24"/>
          <w:szCs w:val="28"/>
        </w:rPr>
      </w:pPr>
      <w:r w:rsidRPr="00270FFE">
        <w:rPr>
          <w:caps/>
          <w:color w:val="4F81BD" w:themeColor="accent1"/>
          <w:sz w:val="24"/>
          <w:szCs w:val="28"/>
        </w:rPr>
        <w:t>TENTATIVE PLAN FOR FOLLOW-UP ACTIONS IF NECESSARY</w:t>
      </w:r>
    </w:p>
    <w:p w14:paraId="68353A4B" w14:textId="5C3AC0B7" w:rsidR="00A14C19" w:rsidRPr="00A14C19" w:rsidRDefault="00A14C19" w:rsidP="00FB30A3">
      <w:pPr>
        <w:spacing w:before="120"/>
        <w:rPr>
          <w:i/>
        </w:rPr>
      </w:pPr>
    </w:p>
    <w:p w14:paraId="68353A4C" w14:textId="77777777"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8" w14:textId="77777777" w:rsidTr="00A2050D">
        <w:trPr>
          <w:trHeight w:val="624"/>
        </w:trPr>
        <w:tc>
          <w:tcPr>
            <w:tcW w:w="2808" w:type="dxa"/>
            <w:shd w:val="clear" w:color="auto" w:fill="auto"/>
          </w:tcPr>
          <w:p w14:paraId="68353A55" w14:textId="422C1EA9" w:rsidR="00A14C19" w:rsidRPr="003016DF" w:rsidRDefault="00067433" w:rsidP="00B7088E">
            <w:r>
              <w:t xml:space="preserve">Submission of </w:t>
            </w:r>
            <w:r w:rsidR="00B7088E">
              <w:t>REACH</w:t>
            </w:r>
            <w:r w:rsidR="003E1B3C">
              <w:t xml:space="preserve"> Annex </w:t>
            </w:r>
            <w:r w:rsidR="00B7088E">
              <w:t>XV</w:t>
            </w:r>
            <w:r>
              <w:t xml:space="preserve"> dossier</w:t>
            </w:r>
            <w:r w:rsidR="00B7088E">
              <w:t xml:space="preserve"> for SVHC</w:t>
            </w:r>
          </w:p>
        </w:tc>
        <w:tc>
          <w:tcPr>
            <w:tcW w:w="2520" w:type="dxa"/>
            <w:shd w:val="clear" w:color="auto" w:fill="auto"/>
          </w:tcPr>
          <w:p w14:paraId="68353A56" w14:textId="7BFA8E47" w:rsidR="00A14C19" w:rsidRPr="003016DF" w:rsidRDefault="00D961D7" w:rsidP="00B7088E">
            <w:r>
              <w:t>August</w:t>
            </w:r>
            <w:r w:rsidR="00542A8C">
              <w:t>/20</w:t>
            </w:r>
            <w:r w:rsidR="00B7088E">
              <w:t>2</w:t>
            </w:r>
            <w:r w:rsidR="00AE332A">
              <w:t>1</w:t>
            </w:r>
          </w:p>
        </w:tc>
        <w:tc>
          <w:tcPr>
            <w:tcW w:w="3780" w:type="dxa"/>
            <w:shd w:val="clear" w:color="auto" w:fill="auto"/>
          </w:tcPr>
          <w:p w14:paraId="68353A57" w14:textId="3431DCEA" w:rsidR="00A14C19" w:rsidRPr="003016DF" w:rsidRDefault="00542A8C" w:rsidP="00A2050D">
            <w:r>
              <w:t>Sweden</w:t>
            </w:r>
          </w:p>
        </w:tc>
      </w:tr>
    </w:tbl>
    <w:p w14:paraId="68353A59" w14:textId="77777777" w:rsidR="00997177" w:rsidRDefault="00FE1178"/>
    <w:sectPr w:rsidR="0099717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3A68" w14:textId="35C61D94" w:rsidR="002E4026" w:rsidRPr="00B66083" w:rsidRDefault="00E86372" w:rsidP="002E4026">
    <w:pPr>
      <w:pStyle w:val="Sidfot"/>
      <w:jc w:val="center"/>
    </w:pPr>
    <w:r w:rsidRPr="009A61C8">
      <w:rPr>
        <w:sz w:val="18"/>
        <w:szCs w:val="18"/>
      </w:rPr>
      <w:t xml:space="preserve">EC no </w:t>
    </w:r>
    <w:r w:rsidR="00542A8C" w:rsidRPr="00D57311">
      <w:t>2</w:t>
    </w:r>
    <w:r w:rsidR="00D961D7">
      <w:t>47</w:t>
    </w:r>
    <w:r w:rsidR="00542A8C" w:rsidRPr="00D57311">
      <w:t>-</w:t>
    </w:r>
    <w:r w:rsidR="00D961D7">
      <w:t>426</w:t>
    </w:r>
    <w:r w:rsidR="00542A8C" w:rsidRPr="00D57311">
      <w:t>-</w:t>
    </w:r>
    <w:r w:rsidR="00D961D7">
      <w:t>5</w:t>
    </w:r>
    <w:r w:rsidRPr="009A61C8">
      <w:rPr>
        <w:sz w:val="18"/>
        <w:szCs w:val="18"/>
      </w:rPr>
      <w:tab/>
      <w:t xml:space="preserve">MSCA - </w:t>
    </w:r>
    <w:r w:rsidR="00542A8C">
      <w:rPr>
        <w:sz w:val="18"/>
        <w:szCs w:val="18"/>
      </w:rPr>
      <w:t>Sweden</w:t>
    </w:r>
    <w:r>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9237E3">
      <w:rPr>
        <w:noProof/>
        <w:sz w:val="18"/>
        <w:szCs w:val="18"/>
      </w:rPr>
      <w:t>3</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9237E3">
      <w:rPr>
        <w:noProof/>
        <w:sz w:val="18"/>
        <w:szCs w:val="18"/>
      </w:rPr>
      <w:t>6</w:t>
    </w:r>
    <w:r w:rsidR="002E4026" w:rsidRPr="009320DD">
      <w:rPr>
        <w:sz w:val="18"/>
        <w:szCs w:val="18"/>
      </w:rPr>
      <w:fldChar w:fldCharType="end"/>
    </w:r>
  </w:p>
  <w:p w14:paraId="68353A69" w14:textId="77777777" w:rsidR="002E4026" w:rsidRDefault="002E40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3A6A" w14:textId="4E47A989" w:rsidR="00C0335E" w:rsidRPr="00B66083" w:rsidRDefault="00E86372" w:rsidP="00B66083">
    <w:pPr>
      <w:pStyle w:val="Sidfot"/>
      <w:jc w:val="center"/>
    </w:pPr>
    <w:r w:rsidRPr="009A61C8">
      <w:rPr>
        <w:sz w:val="18"/>
        <w:szCs w:val="18"/>
      </w:rPr>
      <w:t xml:space="preserve">EC no </w:t>
    </w:r>
    <w:r w:rsidR="00D961D7">
      <w:t>247</w:t>
    </w:r>
    <w:r w:rsidR="00542A8C" w:rsidRPr="00D57311">
      <w:t>-</w:t>
    </w:r>
    <w:r w:rsidR="00D961D7">
      <w:t>426</w:t>
    </w:r>
    <w:r w:rsidR="00542A8C" w:rsidRPr="00D57311">
      <w:t>-</w:t>
    </w:r>
    <w:r w:rsidR="00D961D7">
      <w:t>5</w:t>
    </w:r>
    <w:r w:rsidRPr="009A61C8">
      <w:rPr>
        <w:sz w:val="18"/>
        <w:szCs w:val="18"/>
      </w:rPr>
      <w:tab/>
      <w:t xml:space="preserve">MSCA - </w:t>
    </w:r>
    <w:r w:rsidR="00542A8C">
      <w:rPr>
        <w:sz w:val="18"/>
        <w:szCs w:val="18"/>
      </w:rPr>
      <w:t>Sweden</w:t>
    </w:r>
    <w:r>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9237E3">
      <w:rPr>
        <w:noProof/>
        <w:sz w:val="18"/>
        <w:szCs w:val="18"/>
      </w:rPr>
      <w:t>6</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9237E3">
      <w:rPr>
        <w:noProof/>
        <w:sz w:val="18"/>
        <w:szCs w:val="18"/>
      </w:rPr>
      <w:t>6</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otnotstext"/>
      </w:pPr>
      <w:r>
        <w:rPr>
          <w:rStyle w:val="Fotnotsreferens"/>
        </w:rPr>
        <w:footnoteRef/>
      </w:r>
      <w:r>
        <w:t xml:space="preserve"> For more information on the SVHC Roadmap: </w:t>
      </w:r>
      <w:hyperlink r:id="rId1" w:history="1">
        <w:r w:rsidR="00A03E87" w:rsidRPr="0022686E">
          <w:rPr>
            <w:rStyle w:val="Hyperlnk"/>
          </w:rPr>
          <w:t>http://echa.europa.eu/addressing-chemicals-of-concern/substances-of-potential-concern/svhc-roadmap-to-2020-implementation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Sidhuvud"/>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7EEBA16"/>
    <w:lvl w:ilvl="0">
      <w:start w:val="1"/>
      <w:numFmt w:val="decimal"/>
      <w:pStyle w:val="Numreradlista"/>
      <w:lvlText w:val="%1."/>
      <w:lvlJc w:val="left"/>
      <w:pPr>
        <w:tabs>
          <w:tab w:val="num" w:pos="360"/>
        </w:tabs>
        <w:ind w:left="360" w:hanging="360"/>
      </w:pPr>
    </w:lvl>
  </w:abstractNum>
  <w:abstractNum w:abstractNumId="1"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1"/>
  </w:num>
  <w:num w:numId="3">
    <w:abstractNumId w:val="5"/>
  </w:num>
  <w:num w:numId="4">
    <w:abstractNumId w:val="1"/>
  </w:num>
  <w:num w:numId="5">
    <w:abstractNumId w:val="4"/>
  </w:num>
  <w:num w:numId="6">
    <w:abstractNumId w:val="13"/>
  </w:num>
  <w:num w:numId="7">
    <w:abstractNumId w:val="2"/>
  </w:num>
  <w:num w:numId="8">
    <w:abstractNumId w:val="3"/>
  </w:num>
  <w:num w:numId="9">
    <w:abstractNumId w:val="7"/>
  </w:num>
  <w:num w:numId="10">
    <w:abstractNumId w:val="8"/>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7"/>
    <w:rsid w:val="00002586"/>
    <w:rsid w:val="000042FA"/>
    <w:rsid w:val="0000560B"/>
    <w:rsid w:val="000122ED"/>
    <w:rsid w:val="0001476D"/>
    <w:rsid w:val="000204C4"/>
    <w:rsid w:val="00024D48"/>
    <w:rsid w:val="00037F48"/>
    <w:rsid w:val="00047BEE"/>
    <w:rsid w:val="00054356"/>
    <w:rsid w:val="000633BF"/>
    <w:rsid w:val="00067433"/>
    <w:rsid w:val="00067B0A"/>
    <w:rsid w:val="000711F7"/>
    <w:rsid w:val="00077E65"/>
    <w:rsid w:val="0009452D"/>
    <w:rsid w:val="000A3AEB"/>
    <w:rsid w:val="000D5B93"/>
    <w:rsid w:val="000E2FC2"/>
    <w:rsid w:val="000E4E5B"/>
    <w:rsid w:val="000E7032"/>
    <w:rsid w:val="00112815"/>
    <w:rsid w:val="0011467E"/>
    <w:rsid w:val="001259BB"/>
    <w:rsid w:val="0012634F"/>
    <w:rsid w:val="00126494"/>
    <w:rsid w:val="001273B3"/>
    <w:rsid w:val="001448AF"/>
    <w:rsid w:val="00144FCA"/>
    <w:rsid w:val="00166209"/>
    <w:rsid w:val="00183C4B"/>
    <w:rsid w:val="001915C8"/>
    <w:rsid w:val="001C1F13"/>
    <w:rsid w:val="001E6C1A"/>
    <w:rsid w:val="00201A44"/>
    <w:rsid w:val="00202966"/>
    <w:rsid w:val="00205775"/>
    <w:rsid w:val="002118D1"/>
    <w:rsid w:val="002163CF"/>
    <w:rsid w:val="00217EE3"/>
    <w:rsid w:val="00220442"/>
    <w:rsid w:val="00227B7E"/>
    <w:rsid w:val="002460BF"/>
    <w:rsid w:val="00256417"/>
    <w:rsid w:val="00262180"/>
    <w:rsid w:val="002650FC"/>
    <w:rsid w:val="00270FFE"/>
    <w:rsid w:val="0027431B"/>
    <w:rsid w:val="002920AC"/>
    <w:rsid w:val="00294316"/>
    <w:rsid w:val="002C515C"/>
    <w:rsid w:val="002C6ADA"/>
    <w:rsid w:val="002D0A2E"/>
    <w:rsid w:val="002D7699"/>
    <w:rsid w:val="002E3562"/>
    <w:rsid w:val="002E4026"/>
    <w:rsid w:val="002E4672"/>
    <w:rsid w:val="002F261C"/>
    <w:rsid w:val="003065EE"/>
    <w:rsid w:val="0032297A"/>
    <w:rsid w:val="00326F57"/>
    <w:rsid w:val="00332FF4"/>
    <w:rsid w:val="00363833"/>
    <w:rsid w:val="0036659A"/>
    <w:rsid w:val="003701C5"/>
    <w:rsid w:val="003746D1"/>
    <w:rsid w:val="003B32BD"/>
    <w:rsid w:val="003C1375"/>
    <w:rsid w:val="003C2E00"/>
    <w:rsid w:val="003C3793"/>
    <w:rsid w:val="003D4597"/>
    <w:rsid w:val="003E1455"/>
    <w:rsid w:val="003E1B3C"/>
    <w:rsid w:val="003E7258"/>
    <w:rsid w:val="00412208"/>
    <w:rsid w:val="00415B10"/>
    <w:rsid w:val="0042483F"/>
    <w:rsid w:val="0043353A"/>
    <w:rsid w:val="004364C9"/>
    <w:rsid w:val="00436C19"/>
    <w:rsid w:val="00441EE7"/>
    <w:rsid w:val="0044304E"/>
    <w:rsid w:val="00444011"/>
    <w:rsid w:val="00452825"/>
    <w:rsid w:val="00463240"/>
    <w:rsid w:val="0046464F"/>
    <w:rsid w:val="00467561"/>
    <w:rsid w:val="00467619"/>
    <w:rsid w:val="00471457"/>
    <w:rsid w:val="00483960"/>
    <w:rsid w:val="00490007"/>
    <w:rsid w:val="00492518"/>
    <w:rsid w:val="004A5B50"/>
    <w:rsid w:val="004B10B4"/>
    <w:rsid w:val="004B110C"/>
    <w:rsid w:val="004B48E4"/>
    <w:rsid w:val="004B63F1"/>
    <w:rsid w:val="004B7059"/>
    <w:rsid w:val="004C7EF4"/>
    <w:rsid w:val="004D24E8"/>
    <w:rsid w:val="004E0601"/>
    <w:rsid w:val="004E385D"/>
    <w:rsid w:val="004E7788"/>
    <w:rsid w:val="004F0B91"/>
    <w:rsid w:val="004F51B6"/>
    <w:rsid w:val="004F6831"/>
    <w:rsid w:val="00501202"/>
    <w:rsid w:val="00502ADE"/>
    <w:rsid w:val="00510C24"/>
    <w:rsid w:val="00513808"/>
    <w:rsid w:val="00515C08"/>
    <w:rsid w:val="00523442"/>
    <w:rsid w:val="00531303"/>
    <w:rsid w:val="005401E5"/>
    <w:rsid w:val="00542A8C"/>
    <w:rsid w:val="005437BE"/>
    <w:rsid w:val="005575E6"/>
    <w:rsid w:val="00572E19"/>
    <w:rsid w:val="00586832"/>
    <w:rsid w:val="00594EC4"/>
    <w:rsid w:val="00596A10"/>
    <w:rsid w:val="005A2AD2"/>
    <w:rsid w:val="005B7300"/>
    <w:rsid w:val="005C3710"/>
    <w:rsid w:val="005F2482"/>
    <w:rsid w:val="005F45D1"/>
    <w:rsid w:val="005F79AE"/>
    <w:rsid w:val="00600A04"/>
    <w:rsid w:val="00610621"/>
    <w:rsid w:val="00610DF1"/>
    <w:rsid w:val="00621CAC"/>
    <w:rsid w:val="00622985"/>
    <w:rsid w:val="00623882"/>
    <w:rsid w:val="006305CD"/>
    <w:rsid w:val="00633EB4"/>
    <w:rsid w:val="006617E0"/>
    <w:rsid w:val="00676DCA"/>
    <w:rsid w:val="00680C20"/>
    <w:rsid w:val="00690F3B"/>
    <w:rsid w:val="006941E7"/>
    <w:rsid w:val="006A4ADE"/>
    <w:rsid w:val="006D39F4"/>
    <w:rsid w:val="006E2B7B"/>
    <w:rsid w:val="006E6B1A"/>
    <w:rsid w:val="006F6774"/>
    <w:rsid w:val="006F6AE3"/>
    <w:rsid w:val="00705350"/>
    <w:rsid w:val="00713266"/>
    <w:rsid w:val="00741D90"/>
    <w:rsid w:val="00751518"/>
    <w:rsid w:val="00753065"/>
    <w:rsid w:val="00755D9F"/>
    <w:rsid w:val="00774DE9"/>
    <w:rsid w:val="00781EA6"/>
    <w:rsid w:val="00784A7F"/>
    <w:rsid w:val="0078730A"/>
    <w:rsid w:val="00791E13"/>
    <w:rsid w:val="007957E4"/>
    <w:rsid w:val="007A2C1C"/>
    <w:rsid w:val="007A39FF"/>
    <w:rsid w:val="007A3BA7"/>
    <w:rsid w:val="007B0208"/>
    <w:rsid w:val="007C0E6B"/>
    <w:rsid w:val="007C392B"/>
    <w:rsid w:val="007D3667"/>
    <w:rsid w:val="007D3F6A"/>
    <w:rsid w:val="007E6C05"/>
    <w:rsid w:val="007F0D03"/>
    <w:rsid w:val="00800DF4"/>
    <w:rsid w:val="00801152"/>
    <w:rsid w:val="0080484C"/>
    <w:rsid w:val="00817B80"/>
    <w:rsid w:val="00821610"/>
    <w:rsid w:val="00835373"/>
    <w:rsid w:val="00835C68"/>
    <w:rsid w:val="00840BD5"/>
    <w:rsid w:val="0084181C"/>
    <w:rsid w:val="00853E7D"/>
    <w:rsid w:val="00860FBA"/>
    <w:rsid w:val="00883931"/>
    <w:rsid w:val="008A1880"/>
    <w:rsid w:val="008A4ED5"/>
    <w:rsid w:val="008C0CC7"/>
    <w:rsid w:val="00920032"/>
    <w:rsid w:val="00922BBA"/>
    <w:rsid w:val="009237E3"/>
    <w:rsid w:val="00930C01"/>
    <w:rsid w:val="00933335"/>
    <w:rsid w:val="00933AC5"/>
    <w:rsid w:val="009369B2"/>
    <w:rsid w:val="00955691"/>
    <w:rsid w:val="00955D7A"/>
    <w:rsid w:val="00962549"/>
    <w:rsid w:val="00980AC4"/>
    <w:rsid w:val="00983286"/>
    <w:rsid w:val="00983FBD"/>
    <w:rsid w:val="00985B7B"/>
    <w:rsid w:val="00986A52"/>
    <w:rsid w:val="009A4F2F"/>
    <w:rsid w:val="009B0296"/>
    <w:rsid w:val="009B0E07"/>
    <w:rsid w:val="009B4D5D"/>
    <w:rsid w:val="009C2172"/>
    <w:rsid w:val="009C590C"/>
    <w:rsid w:val="009C5A06"/>
    <w:rsid w:val="009D3C1E"/>
    <w:rsid w:val="009E696B"/>
    <w:rsid w:val="009F191D"/>
    <w:rsid w:val="00A03E87"/>
    <w:rsid w:val="00A14C19"/>
    <w:rsid w:val="00A14EC1"/>
    <w:rsid w:val="00A2487E"/>
    <w:rsid w:val="00A263C9"/>
    <w:rsid w:val="00A41F93"/>
    <w:rsid w:val="00A429E9"/>
    <w:rsid w:val="00A4316B"/>
    <w:rsid w:val="00A436BB"/>
    <w:rsid w:val="00A446BC"/>
    <w:rsid w:val="00A45B6C"/>
    <w:rsid w:val="00A54C28"/>
    <w:rsid w:val="00A61DCA"/>
    <w:rsid w:val="00A75ACF"/>
    <w:rsid w:val="00A80DBE"/>
    <w:rsid w:val="00AB0322"/>
    <w:rsid w:val="00AB1228"/>
    <w:rsid w:val="00AB46A0"/>
    <w:rsid w:val="00AC5ED0"/>
    <w:rsid w:val="00AC7509"/>
    <w:rsid w:val="00AC79ED"/>
    <w:rsid w:val="00AD40AE"/>
    <w:rsid w:val="00AE2396"/>
    <w:rsid w:val="00AE332A"/>
    <w:rsid w:val="00AF5158"/>
    <w:rsid w:val="00AF63F4"/>
    <w:rsid w:val="00AF6E00"/>
    <w:rsid w:val="00AF77F1"/>
    <w:rsid w:val="00B03339"/>
    <w:rsid w:val="00B2524D"/>
    <w:rsid w:val="00B32C2E"/>
    <w:rsid w:val="00B37A42"/>
    <w:rsid w:val="00B5192D"/>
    <w:rsid w:val="00B571DD"/>
    <w:rsid w:val="00B66083"/>
    <w:rsid w:val="00B7088E"/>
    <w:rsid w:val="00B92E74"/>
    <w:rsid w:val="00BB0CE8"/>
    <w:rsid w:val="00BB3275"/>
    <w:rsid w:val="00BC35A3"/>
    <w:rsid w:val="00BC5A7C"/>
    <w:rsid w:val="00BD47FF"/>
    <w:rsid w:val="00BE1CEB"/>
    <w:rsid w:val="00BE5AF4"/>
    <w:rsid w:val="00BF5819"/>
    <w:rsid w:val="00BF63C3"/>
    <w:rsid w:val="00C0335E"/>
    <w:rsid w:val="00C0431D"/>
    <w:rsid w:val="00C0654A"/>
    <w:rsid w:val="00C32CBD"/>
    <w:rsid w:val="00C411EC"/>
    <w:rsid w:val="00C42DBF"/>
    <w:rsid w:val="00C52D40"/>
    <w:rsid w:val="00C54EBC"/>
    <w:rsid w:val="00C55123"/>
    <w:rsid w:val="00C629E5"/>
    <w:rsid w:val="00C70B2B"/>
    <w:rsid w:val="00C74112"/>
    <w:rsid w:val="00CB1FBE"/>
    <w:rsid w:val="00CB730C"/>
    <w:rsid w:val="00CC7A9E"/>
    <w:rsid w:val="00CE07AB"/>
    <w:rsid w:val="00CE2CAA"/>
    <w:rsid w:val="00CE5346"/>
    <w:rsid w:val="00CF5E6A"/>
    <w:rsid w:val="00D00E35"/>
    <w:rsid w:val="00D03326"/>
    <w:rsid w:val="00D11FC2"/>
    <w:rsid w:val="00D37806"/>
    <w:rsid w:val="00D462BD"/>
    <w:rsid w:val="00D5375D"/>
    <w:rsid w:val="00D53A3D"/>
    <w:rsid w:val="00D61F8B"/>
    <w:rsid w:val="00D70C76"/>
    <w:rsid w:val="00D961D7"/>
    <w:rsid w:val="00DA5A25"/>
    <w:rsid w:val="00DA6B85"/>
    <w:rsid w:val="00DB0024"/>
    <w:rsid w:val="00DC1F12"/>
    <w:rsid w:val="00DD1882"/>
    <w:rsid w:val="00E14856"/>
    <w:rsid w:val="00E36635"/>
    <w:rsid w:val="00E464B0"/>
    <w:rsid w:val="00E55E07"/>
    <w:rsid w:val="00E702C1"/>
    <w:rsid w:val="00E85A6B"/>
    <w:rsid w:val="00E86372"/>
    <w:rsid w:val="00E9015F"/>
    <w:rsid w:val="00EA326C"/>
    <w:rsid w:val="00EA6BD2"/>
    <w:rsid w:val="00EA7CF9"/>
    <w:rsid w:val="00EB3299"/>
    <w:rsid w:val="00ED048E"/>
    <w:rsid w:val="00ED10AD"/>
    <w:rsid w:val="00ED3704"/>
    <w:rsid w:val="00ED55A6"/>
    <w:rsid w:val="00ED5761"/>
    <w:rsid w:val="00EE475E"/>
    <w:rsid w:val="00F145F2"/>
    <w:rsid w:val="00F154FB"/>
    <w:rsid w:val="00F15680"/>
    <w:rsid w:val="00F4442B"/>
    <w:rsid w:val="00F503E3"/>
    <w:rsid w:val="00F545EA"/>
    <w:rsid w:val="00F57736"/>
    <w:rsid w:val="00F67BB5"/>
    <w:rsid w:val="00F826BC"/>
    <w:rsid w:val="00F92D91"/>
    <w:rsid w:val="00FA4598"/>
    <w:rsid w:val="00FB30A3"/>
    <w:rsid w:val="00FB4C3F"/>
    <w:rsid w:val="00FC3640"/>
    <w:rsid w:val="00FE0975"/>
    <w:rsid w:val="00FE1178"/>
    <w:rsid w:val="00FE25D1"/>
    <w:rsid w:val="00FE37D9"/>
    <w:rsid w:val="00FF45DE"/>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353996"/>
  <w15:docId w15:val="{CC0619B0-EF7F-439D-B093-28737393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Rubrik1">
    <w:name w:val="heading 1"/>
    <w:aliases w:val="ECHA Heading 1"/>
    <w:basedOn w:val="Normal"/>
    <w:next w:val="Brdtext"/>
    <w:link w:val="Rubrik1Char"/>
    <w:uiPriority w:val="9"/>
    <w:qFormat/>
    <w:rsid w:val="00EA7CF9"/>
    <w:pPr>
      <w:keepNext/>
      <w:keepLines/>
      <w:spacing w:after="240"/>
      <w:outlineLvl w:val="0"/>
    </w:pPr>
    <w:rPr>
      <w:b/>
      <w:snapToGrid/>
      <w:color w:val="0046AD"/>
      <w:sz w:val="28"/>
      <w:szCs w:val="24"/>
    </w:rPr>
  </w:style>
  <w:style w:type="paragraph" w:styleId="Rubrik2">
    <w:name w:val="heading 2"/>
    <w:aliases w:val="ECHA Heading 2"/>
    <w:basedOn w:val="Rubrik1"/>
    <w:next w:val="Brdtext"/>
    <w:link w:val="Rubrik2Char"/>
    <w:qFormat/>
    <w:rsid w:val="00EA7CF9"/>
    <w:pPr>
      <w:outlineLvl w:val="1"/>
    </w:pPr>
    <w:rPr>
      <w:rFonts w:cs="Arial"/>
      <w:sz w:val="24"/>
      <w:szCs w:val="22"/>
    </w:rPr>
  </w:style>
  <w:style w:type="paragraph" w:styleId="Rubrik3">
    <w:name w:val="heading 3"/>
    <w:aliases w:val="ECHA Heading 3"/>
    <w:basedOn w:val="Rubrik2"/>
    <w:next w:val="Brdtext"/>
    <w:link w:val="Rubrik3Char"/>
    <w:uiPriority w:val="9"/>
    <w:qFormat/>
    <w:rsid w:val="00EA7CF9"/>
    <w:pPr>
      <w:outlineLvl w:val="2"/>
    </w:pPr>
    <w:rPr>
      <w:bCs/>
      <w:color w:val="000000"/>
      <w:sz w:val="22"/>
    </w:rPr>
  </w:style>
  <w:style w:type="paragraph" w:styleId="Rubrik4">
    <w:name w:val="heading 4"/>
    <w:aliases w:val="ECHA Heading 4"/>
    <w:basedOn w:val="Rubrik3"/>
    <w:next w:val="Brdtext"/>
    <w:link w:val="Rubrik4Char"/>
    <w:qFormat/>
    <w:rsid w:val="00EA7CF9"/>
    <w:pPr>
      <w:outlineLvl w:val="3"/>
    </w:pPr>
    <w:rPr>
      <w:b w:val="0"/>
      <w:bCs w:val="0"/>
      <w:szCs w:val="28"/>
    </w:rPr>
  </w:style>
  <w:style w:type="paragraph" w:styleId="Rubrik5">
    <w:name w:val="heading 5"/>
    <w:aliases w:val="ECHA Heading 5"/>
    <w:basedOn w:val="Rubrik3"/>
    <w:next w:val="Brdtext"/>
    <w:link w:val="Rubrik5Char"/>
    <w:qFormat/>
    <w:rsid w:val="00EA7CF9"/>
    <w:pPr>
      <w:outlineLvl w:val="4"/>
    </w:pPr>
    <w:rPr>
      <w:bCs w:val="0"/>
      <w:iCs/>
      <w:sz w:val="20"/>
      <w:szCs w:val="26"/>
    </w:rPr>
  </w:style>
  <w:style w:type="paragraph" w:styleId="Rubrik6">
    <w:name w:val="heading 6"/>
    <w:aliases w:val="ECHA Heading 6"/>
    <w:basedOn w:val="Rubrik5"/>
    <w:next w:val="Brdtext"/>
    <w:link w:val="Rubrik6Char"/>
    <w:qFormat/>
    <w:rsid w:val="00EA7CF9"/>
    <w:pPr>
      <w:outlineLvl w:val="5"/>
    </w:pPr>
    <w:rPr>
      <w:bCs/>
      <w:szCs w:val="22"/>
    </w:rPr>
  </w:style>
  <w:style w:type="paragraph" w:styleId="Rubrik7">
    <w:name w:val="heading 7"/>
    <w:aliases w:val="ECHA Heading 7"/>
    <w:basedOn w:val="Rubrik5"/>
    <w:next w:val="Brdtext"/>
    <w:link w:val="Rubrik7Char"/>
    <w:qFormat/>
    <w:rsid w:val="00EA7CF9"/>
    <w:pPr>
      <w:outlineLvl w:val="6"/>
    </w:pPr>
    <w:rPr>
      <w:szCs w:val="24"/>
    </w:rPr>
  </w:style>
  <w:style w:type="paragraph" w:styleId="Rubrik8">
    <w:name w:val="heading 8"/>
    <w:aliases w:val="ECHA Heading 8"/>
    <w:basedOn w:val="Rubrik5"/>
    <w:next w:val="Brdtext"/>
    <w:link w:val="Rubrik8Char"/>
    <w:qFormat/>
    <w:rsid w:val="00EA7CF9"/>
    <w:pPr>
      <w:outlineLvl w:val="7"/>
    </w:pPr>
    <w:rPr>
      <w:iCs w:val="0"/>
      <w:szCs w:val="24"/>
    </w:rPr>
  </w:style>
  <w:style w:type="paragraph" w:styleId="Rubrik9">
    <w:name w:val="heading 9"/>
    <w:aliases w:val="ECHA Heading 9"/>
    <w:basedOn w:val="Rubrik5"/>
    <w:next w:val="Brdtext"/>
    <w:link w:val="Rubrik9Char"/>
    <w:qFormat/>
    <w:rsid w:val="00EA7CF9"/>
    <w:pPr>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ECHA Heading 1 Char"/>
    <w:basedOn w:val="Standardstycketeckensnitt"/>
    <w:link w:val="Rubrik1"/>
    <w:rsid w:val="00EA7CF9"/>
    <w:rPr>
      <w:rFonts w:ascii="Verdana" w:eastAsia="Times New Roman" w:hAnsi="Verdana" w:cs="Times New Roman"/>
      <w:b/>
      <w:snapToGrid w:val="0"/>
      <w:color w:val="0046AD"/>
      <w:sz w:val="28"/>
      <w:szCs w:val="24"/>
      <w:lang w:eastAsia="fi-FI"/>
    </w:rPr>
  </w:style>
  <w:style w:type="character" w:customStyle="1" w:styleId="Rubrik2Char">
    <w:name w:val="Rubrik 2 Char"/>
    <w:aliases w:val="ECHA Heading 2 Char"/>
    <w:basedOn w:val="Standardstycketeckensnitt"/>
    <w:link w:val="Rubrik2"/>
    <w:rsid w:val="00EA7CF9"/>
    <w:rPr>
      <w:rFonts w:ascii="Verdana" w:eastAsia="Times New Roman" w:hAnsi="Verdana" w:cs="Arial"/>
      <w:b/>
      <w:snapToGrid w:val="0"/>
      <w:color w:val="0046AD"/>
      <w:sz w:val="24"/>
      <w:lang w:eastAsia="fi-FI"/>
    </w:rPr>
  </w:style>
  <w:style w:type="character" w:customStyle="1" w:styleId="Rubrik3Char">
    <w:name w:val="Rubrik 3 Char"/>
    <w:aliases w:val="ECHA Heading 3 Char"/>
    <w:basedOn w:val="Standardstycketeckensnitt"/>
    <w:link w:val="Rubrik3"/>
    <w:rsid w:val="00EA7CF9"/>
    <w:rPr>
      <w:rFonts w:ascii="Verdana" w:eastAsia="Times New Roman" w:hAnsi="Verdana" w:cs="Arial"/>
      <w:b/>
      <w:bCs/>
      <w:snapToGrid w:val="0"/>
      <w:color w:val="000000"/>
      <w:lang w:eastAsia="fi-FI"/>
    </w:rPr>
  </w:style>
  <w:style w:type="character" w:customStyle="1" w:styleId="Rubrik4Char">
    <w:name w:val="Rubrik 4 Char"/>
    <w:aliases w:val="ECHA Heading 4 Char"/>
    <w:basedOn w:val="Standardstycketeckensnitt"/>
    <w:link w:val="Rubrik4"/>
    <w:rsid w:val="00EA7CF9"/>
    <w:rPr>
      <w:rFonts w:ascii="Verdana" w:eastAsia="Times New Roman" w:hAnsi="Verdana" w:cs="Arial"/>
      <w:snapToGrid w:val="0"/>
      <w:color w:val="000000"/>
      <w:szCs w:val="28"/>
      <w:lang w:eastAsia="fi-FI"/>
    </w:rPr>
  </w:style>
  <w:style w:type="character" w:customStyle="1" w:styleId="Rubrik5Char">
    <w:name w:val="Rubrik 5 Char"/>
    <w:aliases w:val="ECHA Heading 5 Char"/>
    <w:basedOn w:val="Standardstycketeckensnitt"/>
    <w:link w:val="Rubrik5"/>
    <w:rsid w:val="00EA7CF9"/>
    <w:rPr>
      <w:rFonts w:ascii="Verdana" w:eastAsia="Times New Roman" w:hAnsi="Verdana" w:cs="Arial"/>
      <w:b/>
      <w:iCs/>
      <w:snapToGrid w:val="0"/>
      <w:color w:val="000000"/>
      <w:sz w:val="20"/>
      <w:szCs w:val="26"/>
      <w:lang w:eastAsia="fi-FI"/>
    </w:rPr>
  </w:style>
  <w:style w:type="character" w:customStyle="1" w:styleId="Rubrik6Char">
    <w:name w:val="Rubrik 6 Char"/>
    <w:aliases w:val="ECHA Heading 6 Char"/>
    <w:basedOn w:val="Standardstycketeckensnitt"/>
    <w:link w:val="Rubrik6"/>
    <w:rsid w:val="00EA7CF9"/>
    <w:rPr>
      <w:rFonts w:ascii="Verdana" w:eastAsia="Times New Roman" w:hAnsi="Verdana" w:cs="Arial"/>
      <w:b/>
      <w:bCs/>
      <w:iCs/>
      <w:snapToGrid w:val="0"/>
      <w:color w:val="000000"/>
      <w:sz w:val="20"/>
      <w:lang w:eastAsia="fi-FI"/>
    </w:rPr>
  </w:style>
  <w:style w:type="character" w:customStyle="1" w:styleId="Rubrik7Char">
    <w:name w:val="Rubrik 7 Char"/>
    <w:aliases w:val="ECHA Heading 7 Char"/>
    <w:basedOn w:val="Standardstycketeckensnitt"/>
    <w:link w:val="Rubrik7"/>
    <w:rsid w:val="00EA7CF9"/>
    <w:rPr>
      <w:rFonts w:ascii="Verdana" w:eastAsia="Times New Roman" w:hAnsi="Verdana" w:cs="Arial"/>
      <w:b/>
      <w:iCs/>
      <w:snapToGrid w:val="0"/>
      <w:color w:val="000000"/>
      <w:sz w:val="20"/>
      <w:szCs w:val="24"/>
      <w:lang w:eastAsia="fi-FI"/>
    </w:rPr>
  </w:style>
  <w:style w:type="character" w:customStyle="1" w:styleId="Rubrik8Char">
    <w:name w:val="Rubrik 8 Char"/>
    <w:aliases w:val="ECHA Heading 8 Char"/>
    <w:basedOn w:val="Standardstycketeckensnitt"/>
    <w:link w:val="Rubrik8"/>
    <w:rsid w:val="00EA7CF9"/>
    <w:rPr>
      <w:rFonts w:ascii="Verdana" w:eastAsia="Times New Roman" w:hAnsi="Verdana" w:cs="Arial"/>
      <w:b/>
      <w:snapToGrid w:val="0"/>
      <w:color w:val="000000"/>
      <w:sz w:val="20"/>
      <w:szCs w:val="24"/>
      <w:lang w:eastAsia="fi-FI"/>
    </w:rPr>
  </w:style>
  <w:style w:type="character" w:customStyle="1" w:styleId="Rubrik9Char">
    <w:name w:val="Rubrik 9 Char"/>
    <w:aliases w:val="ECHA Heading 9 Char"/>
    <w:basedOn w:val="Standardstycketeckensnitt"/>
    <w:link w:val="Rubrik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Ingenlista"/>
    <w:rsid w:val="00EA7CF9"/>
    <w:pPr>
      <w:numPr>
        <w:numId w:val="1"/>
      </w:numPr>
    </w:pPr>
  </w:style>
  <w:style w:type="numbering" w:customStyle="1" w:styleId="ECHANumberlist">
    <w:name w:val="ECHA Number list"/>
    <w:basedOn w:val="Ingenlista"/>
    <w:rsid w:val="00EA7CF9"/>
    <w:pPr>
      <w:numPr>
        <w:numId w:val="2"/>
      </w:numPr>
    </w:pPr>
  </w:style>
  <w:style w:type="paragraph" w:styleId="Brdtext">
    <w:name w:val="Body Text"/>
    <w:aliases w:val="Text"/>
    <w:basedOn w:val="Normal"/>
    <w:link w:val="BrdtextChar"/>
    <w:unhideWhenUsed/>
    <w:rsid w:val="00EA7CF9"/>
    <w:pPr>
      <w:spacing w:after="120"/>
    </w:pPr>
  </w:style>
  <w:style w:type="character" w:customStyle="1" w:styleId="BrdtextChar">
    <w:name w:val="Brödtext Char"/>
    <w:aliases w:val="Text Char"/>
    <w:basedOn w:val="Standardstycketeckensnitt"/>
    <w:link w:val="Brdtext"/>
    <w:rsid w:val="00EA7CF9"/>
  </w:style>
  <w:style w:type="paragraph" w:styleId="Rubrik">
    <w:name w:val="Title"/>
    <w:aliases w:val="ECHA Heading"/>
    <w:basedOn w:val="Rubrik1"/>
    <w:next w:val="Brdtext"/>
    <w:link w:val="RubrikChar"/>
    <w:qFormat/>
    <w:rsid w:val="00EA7CF9"/>
    <w:rPr>
      <w:rFonts w:cs="Arial"/>
      <w:bCs/>
      <w:szCs w:val="32"/>
    </w:rPr>
  </w:style>
  <w:style w:type="character" w:customStyle="1" w:styleId="RubrikChar">
    <w:name w:val="Rubrik Char"/>
    <w:aliases w:val="ECHA Heading Char"/>
    <w:basedOn w:val="Standardstycketeckensnitt"/>
    <w:link w:val="Rubrik"/>
    <w:rsid w:val="00EA7CF9"/>
    <w:rPr>
      <w:rFonts w:ascii="Verdana" w:eastAsia="Times New Roman" w:hAnsi="Verdana" w:cs="Arial"/>
      <w:b/>
      <w:bCs/>
      <w:snapToGrid w:val="0"/>
      <w:color w:val="0046AD"/>
      <w:sz w:val="28"/>
      <w:szCs w:val="32"/>
      <w:lang w:eastAsia="fi-FI"/>
    </w:rPr>
  </w:style>
  <w:style w:type="paragraph" w:styleId="Fotnotstext">
    <w:name w:val="footnote text"/>
    <w:aliases w:val="Footnote Text Char Char"/>
    <w:basedOn w:val="Normal"/>
    <w:link w:val="FotnotstextChar"/>
    <w:qFormat/>
    <w:rsid w:val="00471457"/>
  </w:style>
  <w:style w:type="character" w:customStyle="1" w:styleId="FotnotstextChar">
    <w:name w:val="Fotnotstext Char"/>
    <w:aliases w:val="Footnote Text Char Char Char"/>
    <w:basedOn w:val="Standardstycketeckensnitt"/>
    <w:link w:val="Fotnotstext"/>
    <w:rsid w:val="00471457"/>
    <w:rPr>
      <w:rFonts w:ascii="Verdana" w:eastAsia="Times New Roman" w:hAnsi="Verdana" w:cs="Times New Roman"/>
      <w:snapToGrid w:val="0"/>
      <w:sz w:val="20"/>
      <w:szCs w:val="20"/>
      <w:lang w:eastAsia="fi-FI"/>
    </w:rPr>
  </w:style>
  <w:style w:type="character" w:styleId="Fotnotsreferens">
    <w:name w:val="footnote reference"/>
    <w:aliases w:val="Footnote,Footnote Reference/"/>
    <w:qFormat/>
    <w:rsid w:val="00471457"/>
    <w:rPr>
      <w:vertAlign w:val="superscript"/>
    </w:rPr>
  </w:style>
  <w:style w:type="paragraph" w:styleId="Liststycke">
    <w:name w:val="List Paragraph"/>
    <w:basedOn w:val="Normal"/>
    <w:uiPriority w:val="34"/>
    <w:qFormat/>
    <w:rsid w:val="00471457"/>
    <w:pPr>
      <w:ind w:left="720"/>
    </w:pPr>
  </w:style>
  <w:style w:type="paragraph" w:styleId="Ballongtext">
    <w:name w:val="Balloon Text"/>
    <w:basedOn w:val="Normal"/>
    <w:link w:val="BallongtextChar"/>
    <w:uiPriority w:val="99"/>
    <w:semiHidden/>
    <w:unhideWhenUsed/>
    <w:rsid w:val="005F45D1"/>
    <w:rPr>
      <w:rFonts w:ascii="Tahoma" w:hAnsi="Tahoma" w:cs="Tahoma"/>
      <w:sz w:val="16"/>
      <w:szCs w:val="16"/>
    </w:rPr>
  </w:style>
  <w:style w:type="character" w:customStyle="1" w:styleId="BallongtextChar">
    <w:name w:val="Ballongtext Char"/>
    <w:basedOn w:val="Standardstycketeckensnitt"/>
    <w:link w:val="Ballongtext"/>
    <w:uiPriority w:val="99"/>
    <w:semiHidden/>
    <w:rsid w:val="005F45D1"/>
    <w:rPr>
      <w:rFonts w:ascii="Tahoma" w:eastAsia="Times New Roman" w:hAnsi="Tahoma" w:cs="Tahoma"/>
      <w:snapToGrid w:val="0"/>
      <w:sz w:val="16"/>
      <w:szCs w:val="16"/>
      <w:lang w:eastAsia="fi-FI"/>
    </w:rPr>
  </w:style>
  <w:style w:type="character" w:styleId="Kommentarsreferens">
    <w:name w:val="annotation reference"/>
    <w:basedOn w:val="Standardstycketeckensnitt"/>
    <w:uiPriority w:val="99"/>
    <w:semiHidden/>
    <w:unhideWhenUsed/>
    <w:rsid w:val="002F261C"/>
    <w:rPr>
      <w:sz w:val="16"/>
      <w:szCs w:val="16"/>
    </w:rPr>
  </w:style>
  <w:style w:type="paragraph" w:styleId="Kommentarer">
    <w:name w:val="annotation text"/>
    <w:basedOn w:val="Normal"/>
    <w:link w:val="KommentarerChar"/>
    <w:uiPriority w:val="99"/>
    <w:unhideWhenUsed/>
    <w:rsid w:val="002F261C"/>
  </w:style>
  <w:style w:type="character" w:customStyle="1" w:styleId="KommentarerChar">
    <w:name w:val="Kommentarer Char"/>
    <w:basedOn w:val="Standardstycketeckensnitt"/>
    <w:link w:val="Kommentarer"/>
    <w:uiPriority w:val="99"/>
    <w:rsid w:val="002F261C"/>
    <w:rPr>
      <w:rFonts w:ascii="Verdana" w:eastAsia="Times New Roman" w:hAnsi="Verdana" w:cs="Times New Roman"/>
      <w:snapToGrid w:val="0"/>
      <w:sz w:val="20"/>
      <w:szCs w:val="20"/>
      <w:lang w:eastAsia="fi-FI"/>
    </w:rPr>
  </w:style>
  <w:style w:type="paragraph" w:styleId="Kommentarsmne">
    <w:name w:val="annotation subject"/>
    <w:basedOn w:val="Kommentarer"/>
    <w:next w:val="Kommentarer"/>
    <w:link w:val="KommentarsmneChar"/>
    <w:uiPriority w:val="99"/>
    <w:semiHidden/>
    <w:unhideWhenUsed/>
    <w:rsid w:val="002F261C"/>
    <w:rPr>
      <w:b/>
      <w:bCs/>
    </w:rPr>
  </w:style>
  <w:style w:type="character" w:customStyle="1" w:styleId="KommentarsmneChar">
    <w:name w:val="Kommentarsämne Char"/>
    <w:basedOn w:val="KommentarerChar"/>
    <w:link w:val="Kommentarsmne"/>
    <w:uiPriority w:val="99"/>
    <w:semiHidden/>
    <w:rsid w:val="002F261C"/>
    <w:rPr>
      <w:rFonts w:ascii="Verdana" w:eastAsia="Times New Roman" w:hAnsi="Verdana" w:cs="Times New Roman"/>
      <w:b/>
      <w:bCs/>
      <w:snapToGrid w:val="0"/>
      <w:sz w:val="20"/>
      <w:szCs w:val="20"/>
      <w:lang w:eastAsia="fi-FI"/>
    </w:rPr>
  </w:style>
  <w:style w:type="paragraph" w:styleId="Sidhuvud">
    <w:name w:val="header"/>
    <w:basedOn w:val="Normal"/>
    <w:link w:val="SidhuvudChar"/>
    <w:uiPriority w:val="99"/>
    <w:unhideWhenUsed/>
    <w:rsid w:val="00A41F93"/>
    <w:pPr>
      <w:tabs>
        <w:tab w:val="center" w:pos="4513"/>
        <w:tab w:val="right" w:pos="9026"/>
      </w:tabs>
    </w:pPr>
  </w:style>
  <w:style w:type="character" w:customStyle="1" w:styleId="SidhuvudChar">
    <w:name w:val="Sidhuvud Char"/>
    <w:basedOn w:val="Standardstycketeckensnitt"/>
    <w:link w:val="Sidhuvud"/>
    <w:uiPriority w:val="99"/>
    <w:rsid w:val="00A41F93"/>
    <w:rPr>
      <w:rFonts w:ascii="Verdana" w:eastAsia="Times New Roman" w:hAnsi="Verdana" w:cs="Times New Roman"/>
      <w:snapToGrid w:val="0"/>
      <w:sz w:val="20"/>
      <w:szCs w:val="20"/>
      <w:lang w:eastAsia="fi-FI"/>
    </w:rPr>
  </w:style>
  <w:style w:type="paragraph" w:styleId="Sidfot">
    <w:name w:val="footer"/>
    <w:basedOn w:val="Normal"/>
    <w:link w:val="SidfotChar"/>
    <w:uiPriority w:val="99"/>
    <w:unhideWhenUsed/>
    <w:rsid w:val="00A41F93"/>
    <w:pPr>
      <w:tabs>
        <w:tab w:val="center" w:pos="4513"/>
        <w:tab w:val="right" w:pos="9026"/>
      </w:tabs>
    </w:pPr>
  </w:style>
  <w:style w:type="character" w:customStyle="1" w:styleId="SidfotChar">
    <w:name w:val="Sidfot Char"/>
    <w:basedOn w:val="Standardstycketeckensnitt"/>
    <w:link w:val="Sidfot"/>
    <w:uiPriority w:val="99"/>
    <w:rsid w:val="00A41F93"/>
    <w:rPr>
      <w:rFonts w:ascii="Verdana" w:eastAsia="Times New Roman" w:hAnsi="Verdana" w:cs="Times New Roman"/>
      <w:snapToGrid w:val="0"/>
      <w:sz w:val="20"/>
      <w:szCs w:val="20"/>
      <w:lang w:eastAsia="fi-FI"/>
    </w:rPr>
  </w:style>
  <w:style w:type="character" w:styleId="Hyperlnk">
    <w:name w:val="Hyperlink"/>
    <w:basedOn w:val="Standardstycketeckensnitt"/>
    <w:uiPriority w:val="99"/>
    <w:rsid w:val="002E4026"/>
    <w:rPr>
      <w:rFonts w:ascii="Verdana" w:hAnsi="Verdana"/>
      <w:color w:val="0000FF"/>
      <w:sz w:val="20"/>
      <w:u w:val="single"/>
    </w:rPr>
  </w:style>
  <w:style w:type="character" w:styleId="AnvndHyperlnk">
    <w:name w:val="FollowedHyperlink"/>
    <w:basedOn w:val="Standardstycketeckensnitt"/>
    <w:uiPriority w:val="99"/>
    <w:semiHidden/>
    <w:unhideWhenUsed/>
    <w:rsid w:val="00A03E87"/>
    <w:rPr>
      <w:color w:val="800080" w:themeColor="followedHyperlink"/>
      <w:u w:val="single"/>
    </w:rPr>
  </w:style>
  <w:style w:type="paragraph" w:styleId="Numreradlista">
    <w:name w:val="List Number"/>
    <w:basedOn w:val="Normal"/>
    <w:uiPriority w:val="99"/>
    <w:semiHidden/>
    <w:unhideWhenUsed/>
    <w:rsid w:val="00542A8C"/>
    <w:pPr>
      <w:numPr>
        <w:numId w:val="14"/>
      </w:numPr>
      <w:contextualSpacing/>
    </w:pPr>
  </w:style>
  <w:style w:type="paragraph" w:styleId="Beskrivning">
    <w:name w:val="caption"/>
    <w:aliases w:val="Caption Table"/>
    <w:next w:val="Brdtext"/>
    <w:link w:val="BeskrivningChar"/>
    <w:qFormat/>
    <w:rsid w:val="00AB46A0"/>
    <w:pPr>
      <w:keepNext/>
      <w:spacing w:before="120" w:after="90" w:line="240" w:lineRule="auto"/>
      <w:ind w:left="57"/>
    </w:pPr>
    <w:rPr>
      <w:rFonts w:ascii="Times New Roman Bold" w:eastAsia="Times New Roman" w:hAnsi="Times New Roman Bold" w:cs="Times New Roman"/>
      <w:bCs/>
      <w:sz w:val="24"/>
      <w:szCs w:val="20"/>
    </w:rPr>
  </w:style>
  <w:style w:type="table" w:styleId="Tabellrutnt">
    <w:name w:val="Table Grid"/>
    <w:basedOn w:val="Normaltabell"/>
    <w:rsid w:val="00AB46A0"/>
    <w:pPr>
      <w:spacing w:after="18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krivningChar">
    <w:name w:val="Beskrivning Char"/>
    <w:aliases w:val="Caption Table Char"/>
    <w:link w:val="Beskrivning"/>
    <w:rsid w:val="00AB46A0"/>
    <w:rPr>
      <w:rFonts w:ascii="Times New Roman Bold" w:eastAsia="Times New Roman" w:hAnsi="Times New Roman Bold"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3.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A82C-9F0F-4A45-B5C2-5C8C1C023A73}">
  <ds:schemaRefs>
    <ds:schemaRef ds:uri="http://schemas.microsoft.com/sharepoint/events"/>
  </ds:schemaRefs>
</ds:datastoreItem>
</file>

<file path=customXml/itemProps2.xml><?xml version="1.0" encoding="utf-8"?>
<ds:datastoreItem xmlns:ds="http://schemas.openxmlformats.org/officeDocument/2006/customXml" ds:itemID="{FB8C6060-E70E-4A37-913A-A00BF7D052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11b924-dee2-413a-bdc8-2cc023473c17"/>
    <ds:schemaRef ds:uri="b80ede5c-af4c-4bf2-9a87-706a3579dc11"/>
    <ds:schemaRef ds:uri="http://www.w3.org/XML/1998/namespace"/>
    <ds:schemaRef ds:uri="http://purl.org/dc/dcmitype/"/>
  </ds:schemaRefs>
</ds:datastoreItem>
</file>

<file path=customXml/itemProps3.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4.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6.xml><?xml version="1.0" encoding="utf-8"?>
<ds:datastoreItem xmlns:ds="http://schemas.openxmlformats.org/officeDocument/2006/customXml" ds:itemID="{4614ED8E-4824-4998-9981-3FEFE309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1078</Words>
  <Characters>5716</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CLENAGHAN Conor</dc:creator>
  <cp:lastModifiedBy>Jörgen Henriksson</cp:lastModifiedBy>
  <cp:revision>7</cp:revision>
  <cp:lastPrinted>2019-06-24T10:22:00Z</cp:lastPrinted>
  <dcterms:created xsi:type="dcterms:W3CDTF">2020-12-15T13:59:00Z</dcterms:created>
  <dcterms:modified xsi:type="dcterms:W3CDTF">2020-12-16T14:54:00Z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