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D5" w:rsidRPr="001A37E7" w:rsidRDefault="009B2FD5">
      <w:pPr>
        <w:spacing w:line="240" w:lineRule="auto"/>
        <w:rPr>
          <w:rFonts w:ascii="Calibri" w:hAnsi="Calibri"/>
          <w:lang w:val="en-US"/>
        </w:rPr>
      </w:pPr>
    </w:p>
    <w:p w:rsidR="00A81FB4" w:rsidRPr="00B1753E" w:rsidRDefault="00A81FB4" w:rsidP="00A81FB4">
      <w:pPr>
        <w:spacing w:line="240" w:lineRule="auto"/>
        <w:rPr>
          <w:rFonts w:ascii="Verdana" w:hAnsi="Verdana" w:cs="Verdana"/>
          <w:lang w:val="nl-NL" w:eastAsia="en-US"/>
        </w:rPr>
      </w:pPr>
      <w:bookmarkStart w:id="0" w:name="_GoBack"/>
      <w:r>
        <w:rPr>
          <w:rFonts w:ascii="Verdana,Bold" w:hAnsi="Verdana,Bold" w:cs="Verdana,Bold"/>
          <w:b/>
          <w:bCs/>
          <w:lang w:val="nl-NL" w:eastAsia="en-US"/>
        </w:rPr>
        <w:t xml:space="preserve">BIJLAGE II </w:t>
      </w:r>
      <w:r w:rsidR="00B1753E">
        <w:rPr>
          <w:rFonts w:ascii="Verdana" w:hAnsi="Verdana" w:cs="Verdana"/>
          <w:lang w:val="nl-NL" w:eastAsia="en-US"/>
        </w:rPr>
        <w:t>bij het besluit d.d. 9</w:t>
      </w:r>
      <w:r>
        <w:rPr>
          <w:rFonts w:ascii="Verdana" w:hAnsi="Verdana" w:cs="Verdana"/>
          <w:lang w:val="nl-NL" w:eastAsia="en-US"/>
        </w:rPr>
        <w:t xml:space="preserve"> maart 2018 tot verlenging van d</w:t>
      </w:r>
      <w:r w:rsidR="00B1753E">
        <w:rPr>
          <w:rFonts w:ascii="Verdana" w:hAnsi="Verdana" w:cs="Verdana"/>
          <w:lang w:val="nl-NL" w:eastAsia="en-US"/>
        </w:rPr>
        <w:t>e toelating van het middel MAKI PAT</w:t>
      </w:r>
      <w:r w:rsidRPr="002B77EB">
        <w:rPr>
          <w:rFonts w:ascii="Verdana" w:hAnsi="Verdana" w:cs="Verdana"/>
          <w:lang w:val="nl-NL" w:eastAsia="en-US"/>
        </w:rPr>
        <w:t>, toelatingnummer</w:t>
      </w:r>
      <w:r>
        <w:rPr>
          <w:rFonts w:ascii="Verdana" w:hAnsi="Verdana" w:cs="Verdana"/>
          <w:lang w:val="nl-NL" w:eastAsia="en-US"/>
        </w:rPr>
        <w:t xml:space="preserve"> </w:t>
      </w:r>
      <w:r w:rsidR="00B1753E" w:rsidRPr="00B1753E">
        <w:rPr>
          <w:rFonts w:cs="Arial"/>
          <w:lang w:val="nl-NL"/>
        </w:rPr>
        <w:t>NL-0000827-0000</w:t>
      </w:r>
    </w:p>
    <w:bookmarkEnd w:id="0"/>
    <w:p w:rsidR="001950E3" w:rsidRPr="00A81FB4" w:rsidRDefault="001950E3" w:rsidP="001950E3">
      <w:pPr>
        <w:rPr>
          <w:rFonts w:ascii="Calibri" w:hAnsi="Calibri"/>
          <w:lang w:val="nl-NL"/>
        </w:rPr>
      </w:pPr>
    </w:p>
    <w:p w:rsidR="00E530CD" w:rsidRPr="004061A6" w:rsidRDefault="00E530CD" w:rsidP="00E530CD">
      <w:pPr>
        <w:tabs>
          <w:tab w:val="left" w:pos="8505"/>
        </w:tabs>
        <w:spacing w:before="480"/>
        <w:ind w:left="-142" w:right="-45"/>
        <w:jc w:val="center"/>
        <w:rPr>
          <w:rFonts w:cs="Arial"/>
          <w:sz w:val="36"/>
          <w:szCs w:val="36"/>
        </w:rPr>
      </w:pPr>
      <w:r w:rsidRPr="004061A6">
        <w:rPr>
          <w:rFonts w:cs="Arial"/>
          <w:noProof/>
          <w:sz w:val="36"/>
          <w:szCs w:val="36"/>
          <w:lang w:val="nl-NL" w:eastAsia="nl-NL"/>
        </w:rPr>
        <mc:AlternateContent>
          <mc:Choice Requires="wps">
            <w:drawing>
              <wp:anchor distT="0" distB="0" distL="114300" distR="114300" simplePos="0" relativeHeight="251659264" behindDoc="0" locked="0" layoutInCell="1" allowOverlap="1" wp14:anchorId="51870182" wp14:editId="4351CBD7">
                <wp:simplePos x="0" y="0"/>
                <wp:positionH relativeFrom="column">
                  <wp:posOffset>-393424</wp:posOffset>
                </wp:positionH>
                <wp:positionV relativeFrom="paragraph">
                  <wp:posOffset>9856</wp:posOffset>
                </wp:positionV>
                <wp:extent cx="6528435" cy="8102379"/>
                <wp:effectExtent l="0" t="0" r="24765" b="1333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3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1pt;margin-top:.8pt;width:514.0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" filled="f"/>
            </w:pict>
          </mc:Fallback>
        </mc:AlternateContent>
      </w:r>
      <w:r w:rsidRPr="00D90D48">
        <w:rPr>
          <w:rFonts w:cs="Arial"/>
          <w:sz w:val="36"/>
          <w:szCs w:val="36"/>
          <w:lang w:val="en-US"/>
        </w:rPr>
        <w:t>Regulation (EU) No 528/2012 concerning the making available on the market and use of biocidal produc</w:t>
      </w:r>
      <w:r w:rsidRPr="004061A6">
        <w:rPr>
          <w:rFonts w:cs="Arial"/>
          <w:sz w:val="36"/>
          <w:szCs w:val="36"/>
        </w:rPr>
        <w:t>ts</w:t>
      </w:r>
    </w:p>
    <w:p w:rsidR="00E530CD" w:rsidRPr="004061A6" w:rsidRDefault="00E530CD" w:rsidP="00E530CD">
      <w:pPr>
        <w:tabs>
          <w:tab w:val="left" w:pos="8505"/>
        </w:tabs>
        <w:ind w:left="-142" w:right="-45"/>
        <w:jc w:val="center"/>
        <w:rPr>
          <w:rFonts w:cs="Arial"/>
          <w:bCs/>
          <w:sz w:val="36"/>
          <w:szCs w:val="36"/>
        </w:rPr>
      </w:pPr>
    </w:p>
    <w:p w:rsidR="00E55958" w:rsidRPr="004061A6" w:rsidRDefault="00E55958" w:rsidP="00E55958">
      <w:pPr>
        <w:jc w:val="center"/>
        <w:rPr>
          <w:rFonts w:cs="Arial"/>
          <w:b/>
          <w:bCs/>
          <w:sz w:val="36"/>
          <w:szCs w:val="36"/>
        </w:rPr>
      </w:pPr>
      <w:r w:rsidRPr="004061A6">
        <w:rPr>
          <w:rFonts w:cs="Arial"/>
          <w:b/>
          <w:bCs/>
          <w:sz w:val="36"/>
          <w:szCs w:val="36"/>
        </w:rPr>
        <w:t xml:space="preserve">PRODUCT ASSESSMENT REPORT OF A BIOCIDAL PRODUCT FOR THE </w:t>
      </w:r>
      <w:r w:rsidRPr="004061A6">
        <w:rPr>
          <w:rFonts w:cs="Arial"/>
          <w:b/>
          <w:bCs/>
          <w:sz w:val="36"/>
          <w:szCs w:val="36"/>
          <w:u w:val="single"/>
        </w:rPr>
        <w:t>RENEWAL</w:t>
      </w:r>
      <w:r w:rsidRPr="004061A6">
        <w:rPr>
          <w:rFonts w:cs="Arial"/>
          <w:b/>
          <w:bCs/>
          <w:sz w:val="36"/>
          <w:szCs w:val="36"/>
        </w:rPr>
        <w:t xml:space="preserve"> OF A NATIONAL AUTHORISATION</w:t>
      </w:r>
    </w:p>
    <w:p w:rsidR="00E530CD" w:rsidRPr="004061A6" w:rsidRDefault="00E530CD" w:rsidP="00A71A07">
      <w:pPr>
        <w:jc w:val="center"/>
        <w:rPr>
          <w:rFonts w:cs="Arial"/>
          <w:noProof/>
          <w:lang w:eastAsia="en-GB"/>
        </w:rPr>
      </w:pPr>
      <w:r w:rsidRPr="004061A6">
        <w:rPr>
          <w:rFonts w:cs="Arial"/>
          <w:noProof/>
          <w:lang w:val="nl-NL" w:eastAsia="nl-NL"/>
        </w:rPr>
        <w:drawing>
          <wp:inline distT="0" distB="0" distL="0" distR="0" wp14:anchorId="3405DB5C" wp14:editId="5FBD339C">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rsidR="00A46534" w:rsidRPr="004061A6" w:rsidRDefault="00A46534" w:rsidP="00A71A07">
      <w:pPr>
        <w:jc w:val="center"/>
        <w:rPr>
          <w:rFonts w:cs="Arial"/>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061A6" w:rsidRPr="004061A6" w:rsidTr="0065089A">
        <w:tc>
          <w:tcPr>
            <w:tcW w:w="3227" w:type="dxa"/>
          </w:tcPr>
          <w:p w:rsidR="001865DB" w:rsidRPr="004061A6" w:rsidRDefault="001865DB" w:rsidP="000F7213">
            <w:pPr>
              <w:pStyle w:val="Tablebody"/>
            </w:pPr>
            <w:r w:rsidRPr="004061A6">
              <w:t>Product identifier in R4BP</w:t>
            </w:r>
          </w:p>
        </w:tc>
        <w:tc>
          <w:tcPr>
            <w:tcW w:w="5624" w:type="dxa"/>
          </w:tcPr>
          <w:p w:rsidR="001865DB" w:rsidRPr="004061A6" w:rsidRDefault="00FF4BF1" w:rsidP="009A1385">
            <w:pPr>
              <w:pStyle w:val="Tablebody"/>
              <w:rPr>
                <w:rFonts w:cs="Arial"/>
                <w:lang w:val="en-GB"/>
              </w:rPr>
            </w:pPr>
            <w:r w:rsidRPr="004061A6">
              <w:t>MAKI PAT’</w:t>
            </w:r>
          </w:p>
        </w:tc>
      </w:tr>
      <w:tr w:rsidR="004061A6" w:rsidRPr="004061A6" w:rsidTr="0065089A">
        <w:tc>
          <w:tcPr>
            <w:tcW w:w="3227" w:type="dxa"/>
          </w:tcPr>
          <w:p w:rsidR="001865DB" w:rsidRPr="004061A6" w:rsidRDefault="001865DB" w:rsidP="003A3723">
            <w:pPr>
              <w:pStyle w:val="Tablebody"/>
              <w:rPr>
                <w:rFonts w:cs="Arial"/>
                <w:lang w:val="en-GB"/>
              </w:rPr>
            </w:pPr>
            <w:r w:rsidRPr="004061A6">
              <w:rPr>
                <w:rFonts w:cs="Arial"/>
                <w:lang w:val="en-GB"/>
              </w:rPr>
              <w:t xml:space="preserve">Product type(s): </w:t>
            </w:r>
          </w:p>
        </w:tc>
        <w:tc>
          <w:tcPr>
            <w:tcW w:w="5624" w:type="dxa"/>
          </w:tcPr>
          <w:p w:rsidR="001865DB" w:rsidRPr="004061A6" w:rsidRDefault="00EB29E5" w:rsidP="00EB29E5">
            <w:pPr>
              <w:pStyle w:val="Tablebody"/>
              <w:rPr>
                <w:rFonts w:cs="Arial"/>
                <w:lang w:val="en-GB"/>
              </w:rPr>
            </w:pPr>
            <w:r w:rsidRPr="004061A6">
              <w:rPr>
                <w:rFonts w:cs="Arial"/>
                <w:lang w:val="en-GB"/>
              </w:rPr>
              <w:t>14</w:t>
            </w:r>
            <w:r w:rsidR="001865DB" w:rsidRPr="004061A6">
              <w:rPr>
                <w:rFonts w:cs="Arial"/>
                <w:lang w:val="en-GB"/>
              </w:rPr>
              <w:t xml:space="preserve"> (</w:t>
            </w:r>
            <w:r w:rsidRPr="004061A6">
              <w:rPr>
                <w:rFonts w:cs="Arial"/>
              </w:rPr>
              <w:t>Rodenticide</w:t>
            </w:r>
            <w:r w:rsidR="001865DB" w:rsidRPr="004061A6">
              <w:rPr>
                <w:rFonts w:cs="Arial"/>
                <w:lang w:val="en-GB"/>
              </w:rPr>
              <w:t>)</w:t>
            </w:r>
          </w:p>
        </w:tc>
      </w:tr>
      <w:tr w:rsidR="004061A6" w:rsidRPr="004061A6" w:rsidTr="0065089A">
        <w:tc>
          <w:tcPr>
            <w:tcW w:w="3227" w:type="dxa"/>
          </w:tcPr>
          <w:p w:rsidR="001865DB" w:rsidRPr="004061A6" w:rsidRDefault="001865DB" w:rsidP="003A3723">
            <w:pPr>
              <w:pStyle w:val="Tablebody"/>
              <w:rPr>
                <w:rFonts w:cs="Arial"/>
                <w:lang w:val="en-GB"/>
              </w:rPr>
            </w:pPr>
            <w:r w:rsidRPr="004061A6">
              <w:rPr>
                <w:rFonts w:cs="Arial"/>
                <w:lang w:val="en-GB"/>
              </w:rPr>
              <w:t>Active ingredient(s):</w:t>
            </w:r>
          </w:p>
        </w:tc>
        <w:tc>
          <w:tcPr>
            <w:tcW w:w="5624" w:type="dxa"/>
          </w:tcPr>
          <w:p w:rsidR="001865DB" w:rsidRPr="004061A6" w:rsidRDefault="00FF4BF1" w:rsidP="009A1385">
            <w:pPr>
              <w:pStyle w:val="Tablebody"/>
              <w:rPr>
                <w:rFonts w:cs="Arial"/>
                <w:lang w:val="en-GB"/>
              </w:rPr>
            </w:pPr>
            <w:r w:rsidRPr="004061A6">
              <w:t>Bromadiolone</w:t>
            </w:r>
          </w:p>
        </w:tc>
      </w:tr>
      <w:tr w:rsidR="004061A6" w:rsidRPr="004061A6" w:rsidTr="0065089A">
        <w:tc>
          <w:tcPr>
            <w:tcW w:w="3227" w:type="dxa"/>
          </w:tcPr>
          <w:p w:rsidR="001865DB" w:rsidRPr="004061A6" w:rsidRDefault="001865DB" w:rsidP="003A3723">
            <w:pPr>
              <w:pStyle w:val="Tablebody"/>
              <w:rPr>
                <w:rFonts w:cs="Arial"/>
                <w:lang w:val="en-GB"/>
              </w:rPr>
            </w:pPr>
            <w:r w:rsidRPr="004061A6">
              <w:rPr>
                <w:rFonts w:cs="Arial"/>
                <w:lang w:val="en-GB"/>
              </w:rPr>
              <w:t>Case No. in R4BP</w:t>
            </w:r>
          </w:p>
        </w:tc>
        <w:tc>
          <w:tcPr>
            <w:tcW w:w="5624" w:type="dxa"/>
          </w:tcPr>
          <w:p w:rsidR="001865DB" w:rsidRPr="004061A6" w:rsidRDefault="00C038DE" w:rsidP="009A1385">
            <w:pPr>
              <w:rPr>
                <w:rFonts w:cs="Arial"/>
                <w:sz w:val="18"/>
                <w:szCs w:val="18"/>
              </w:rPr>
            </w:pPr>
            <w:r w:rsidRPr="00C038DE">
              <w:rPr>
                <w:rFonts w:cs="Arial"/>
              </w:rPr>
              <w:t>BC-NX030543-15</w:t>
            </w:r>
          </w:p>
        </w:tc>
      </w:tr>
      <w:tr w:rsidR="004061A6" w:rsidRPr="004061A6" w:rsidTr="0065089A">
        <w:tc>
          <w:tcPr>
            <w:tcW w:w="3227" w:type="dxa"/>
          </w:tcPr>
          <w:p w:rsidR="001865DB" w:rsidRPr="004061A6" w:rsidRDefault="001865DB" w:rsidP="003A3723">
            <w:pPr>
              <w:pStyle w:val="Tablebody"/>
              <w:rPr>
                <w:rFonts w:cs="Arial"/>
                <w:lang w:val="en-GB"/>
              </w:rPr>
            </w:pPr>
            <w:r w:rsidRPr="004061A6">
              <w:rPr>
                <w:rFonts w:cs="Arial"/>
                <w:lang w:val="en-GB"/>
              </w:rPr>
              <w:t>Asset No. in R4BP</w:t>
            </w:r>
          </w:p>
        </w:tc>
        <w:tc>
          <w:tcPr>
            <w:tcW w:w="5624" w:type="dxa"/>
          </w:tcPr>
          <w:p w:rsidR="001865DB" w:rsidRPr="004061A6" w:rsidRDefault="00C038DE" w:rsidP="00C038DE">
            <w:pPr>
              <w:rPr>
                <w:rFonts w:cs="Arial"/>
              </w:rPr>
            </w:pPr>
            <w:r w:rsidRPr="00C038DE">
              <w:rPr>
                <w:rFonts w:cs="Arial"/>
              </w:rPr>
              <w:t>NL-0000827-0000</w:t>
            </w:r>
          </w:p>
        </w:tc>
      </w:tr>
      <w:tr w:rsidR="004061A6" w:rsidRPr="004061A6" w:rsidTr="0065089A">
        <w:tc>
          <w:tcPr>
            <w:tcW w:w="3227" w:type="dxa"/>
          </w:tcPr>
          <w:p w:rsidR="00E530CD" w:rsidRPr="004061A6" w:rsidRDefault="008513D8" w:rsidP="009A1385">
            <w:pPr>
              <w:pStyle w:val="Tablebody"/>
              <w:rPr>
                <w:rFonts w:cs="Arial"/>
                <w:lang w:val="en-GB"/>
              </w:rPr>
            </w:pPr>
            <w:r w:rsidRPr="004061A6">
              <w:rPr>
                <w:rFonts w:cs="Arial"/>
                <w:lang w:val="en-GB"/>
              </w:rPr>
              <w:t>Evaluating Competent Authority</w:t>
            </w:r>
          </w:p>
        </w:tc>
        <w:tc>
          <w:tcPr>
            <w:tcW w:w="5624" w:type="dxa"/>
          </w:tcPr>
          <w:p w:rsidR="00F160A9" w:rsidRPr="004061A6" w:rsidRDefault="00FF4BF1" w:rsidP="00FF4BF1">
            <w:pPr>
              <w:pStyle w:val="Tablebody"/>
              <w:rPr>
                <w:rFonts w:cs="Arial"/>
                <w:lang w:val="en-GB"/>
              </w:rPr>
            </w:pPr>
            <w:r w:rsidRPr="004061A6">
              <w:rPr>
                <w:rFonts w:cs="Arial"/>
                <w:lang w:val="en-GB"/>
              </w:rPr>
              <w:t>NL</w:t>
            </w:r>
            <w:r w:rsidR="00E530CD" w:rsidRPr="004061A6">
              <w:rPr>
                <w:rFonts w:cs="Arial"/>
                <w:lang w:val="en-GB"/>
              </w:rPr>
              <w:t xml:space="preserve"> (</w:t>
            </w:r>
            <w:r w:rsidRPr="004061A6">
              <w:rPr>
                <w:rFonts w:cs="Arial"/>
                <w:lang w:val="en-GB"/>
              </w:rPr>
              <w:t>Ctgb)</w:t>
            </w:r>
          </w:p>
        </w:tc>
      </w:tr>
      <w:tr w:rsidR="004061A6" w:rsidRPr="004061A6" w:rsidTr="0065089A">
        <w:tc>
          <w:tcPr>
            <w:tcW w:w="3227" w:type="dxa"/>
          </w:tcPr>
          <w:p w:rsidR="00E530CD" w:rsidRPr="004061A6" w:rsidRDefault="008513D8" w:rsidP="009A1385">
            <w:pPr>
              <w:pStyle w:val="Tablebody"/>
              <w:rPr>
                <w:rFonts w:cs="Arial"/>
                <w:lang w:val="en-GB"/>
              </w:rPr>
            </w:pPr>
            <w:r w:rsidRPr="004061A6">
              <w:rPr>
                <w:rFonts w:cs="Arial"/>
                <w:lang w:val="en-GB"/>
              </w:rPr>
              <w:t>Internal registration/file no</w:t>
            </w:r>
          </w:p>
        </w:tc>
        <w:tc>
          <w:tcPr>
            <w:tcW w:w="5624" w:type="dxa"/>
          </w:tcPr>
          <w:p w:rsidR="00E530CD" w:rsidRPr="004061A6" w:rsidRDefault="00E530CD" w:rsidP="001F18B8">
            <w:pPr>
              <w:pStyle w:val="Tablebody"/>
              <w:rPr>
                <w:rFonts w:cs="Arial"/>
                <w:lang w:val="en-GB"/>
              </w:rPr>
            </w:pPr>
          </w:p>
        </w:tc>
      </w:tr>
      <w:tr w:rsidR="00E530CD" w:rsidRPr="004061A6" w:rsidTr="00936FF3">
        <w:tc>
          <w:tcPr>
            <w:tcW w:w="3227" w:type="dxa"/>
            <w:shd w:val="clear" w:color="auto" w:fill="auto"/>
          </w:tcPr>
          <w:p w:rsidR="00E530CD" w:rsidRPr="004061A6" w:rsidRDefault="00E530CD" w:rsidP="009A1385">
            <w:pPr>
              <w:pStyle w:val="Tablebody"/>
              <w:rPr>
                <w:rFonts w:cs="Arial"/>
                <w:lang w:val="en-GB"/>
              </w:rPr>
            </w:pPr>
            <w:r w:rsidRPr="004061A6">
              <w:rPr>
                <w:rFonts w:cs="Arial"/>
                <w:lang w:val="en-GB"/>
              </w:rPr>
              <w:t>Date</w:t>
            </w:r>
          </w:p>
        </w:tc>
        <w:tc>
          <w:tcPr>
            <w:tcW w:w="5624" w:type="dxa"/>
            <w:shd w:val="clear" w:color="auto" w:fill="auto"/>
          </w:tcPr>
          <w:p w:rsidR="00C21CD7" w:rsidRPr="004061A6" w:rsidRDefault="00A81FB4" w:rsidP="00936FF3">
            <w:pPr>
              <w:pStyle w:val="Tablebody"/>
              <w:rPr>
                <w:rFonts w:cs="Arial"/>
                <w:lang w:val="en-GB"/>
              </w:rPr>
            </w:pPr>
            <w:r w:rsidRPr="00A81FB4">
              <w:rPr>
                <w:rFonts w:cs="Arial"/>
                <w:lang w:val="en-GB"/>
              </w:rPr>
              <w:t>09-03-2018</w:t>
            </w:r>
            <w:r w:rsidR="00885C20" w:rsidRPr="00A81FB4">
              <w:rPr>
                <w:rFonts w:cs="Arial"/>
                <w:lang w:val="en-GB"/>
              </w:rPr>
              <w:t xml:space="preserve"> (</w:t>
            </w:r>
            <w:r w:rsidR="00C07A0F" w:rsidRPr="00A81FB4">
              <w:rPr>
                <w:rFonts w:cs="Arial"/>
                <w:lang w:val="en-GB"/>
              </w:rPr>
              <w:t>renewal</w:t>
            </w:r>
            <w:r w:rsidR="00885C20" w:rsidRPr="00A81FB4">
              <w:rPr>
                <w:rFonts w:cs="Arial"/>
                <w:lang w:val="en-GB"/>
              </w:rPr>
              <w:t>)</w:t>
            </w:r>
          </w:p>
        </w:tc>
      </w:tr>
    </w:tbl>
    <w:p w:rsidR="00DB7641" w:rsidRPr="004061A6" w:rsidRDefault="00DB7641" w:rsidP="00DB7641">
      <w:pPr>
        <w:rPr>
          <w:b/>
        </w:rPr>
      </w:pPr>
    </w:p>
    <w:p w:rsidR="00AA21D2" w:rsidRPr="004061A6" w:rsidRDefault="00AA21D2">
      <w:pPr>
        <w:spacing w:line="240" w:lineRule="auto"/>
        <w:rPr>
          <w:rFonts w:cs="Arial"/>
          <w:b/>
          <w:noProof/>
          <w:sz w:val="24"/>
          <w:szCs w:val="24"/>
        </w:rPr>
      </w:pPr>
      <w:r w:rsidRPr="004061A6">
        <w:rPr>
          <w:rFonts w:cs="Arial"/>
          <w:b/>
          <w:noProof/>
          <w:sz w:val="24"/>
          <w:szCs w:val="24"/>
        </w:rPr>
        <w:br w:type="page"/>
      </w:r>
    </w:p>
    <w:p w:rsidR="00E530CD" w:rsidRPr="004061A6" w:rsidRDefault="00E530CD" w:rsidP="00E530CD">
      <w:pPr>
        <w:tabs>
          <w:tab w:val="left" w:pos="8505"/>
        </w:tabs>
        <w:ind w:left="-142" w:right="-45"/>
        <w:rPr>
          <w:rFonts w:cs="Arial"/>
          <w:b/>
          <w:noProof/>
          <w:sz w:val="24"/>
          <w:szCs w:val="24"/>
        </w:rPr>
      </w:pPr>
      <w:r w:rsidRPr="004061A6">
        <w:rPr>
          <w:rFonts w:cs="Arial"/>
          <w:b/>
          <w:noProof/>
          <w:sz w:val="24"/>
          <w:szCs w:val="24"/>
        </w:rPr>
        <w:lastRenderedPageBreak/>
        <w:t>Table of content</w:t>
      </w:r>
    </w:p>
    <w:p w:rsidR="00E530CD" w:rsidRPr="004061A6" w:rsidRDefault="00E530CD" w:rsidP="00E530CD">
      <w:pPr>
        <w:spacing w:line="276" w:lineRule="auto"/>
        <w:rPr>
          <w:rFonts w:cs="Arial"/>
          <w:caps/>
        </w:rPr>
      </w:pPr>
    </w:p>
    <w:p w:rsidR="00856838" w:rsidRDefault="00EA45CD">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r w:rsidRPr="004061A6">
        <w:rPr>
          <w:rFonts w:cs="Arial"/>
          <w:caps/>
        </w:rPr>
        <w:fldChar w:fldCharType="begin"/>
      </w:r>
      <w:r w:rsidRPr="004061A6">
        <w:rPr>
          <w:rFonts w:cs="Arial"/>
          <w:caps/>
        </w:rPr>
        <w:instrText xml:space="preserve"> TOC \o "1-2" \h \z \u </w:instrText>
      </w:r>
      <w:r w:rsidRPr="004061A6">
        <w:rPr>
          <w:rFonts w:cs="Arial"/>
          <w:caps/>
        </w:rPr>
        <w:fldChar w:fldCharType="separate"/>
      </w:r>
      <w:hyperlink w:anchor="_Toc500491636" w:history="1">
        <w:r w:rsidR="00856838" w:rsidRPr="00190DB5">
          <w:rPr>
            <w:rStyle w:val="Hyperlink"/>
            <w:noProof/>
          </w:rPr>
          <w:t>1</w:t>
        </w:r>
        <w:r w:rsidR="00856838">
          <w:rPr>
            <w:rFonts w:asciiTheme="minorHAnsi" w:eastAsiaTheme="minorEastAsia" w:hAnsiTheme="minorHAnsi" w:cstheme="minorBidi"/>
            <w:b w:val="0"/>
            <w:bCs w:val="0"/>
            <w:noProof/>
            <w:sz w:val="22"/>
            <w:szCs w:val="22"/>
            <w:lang w:val="nl-NL" w:eastAsia="nl-NL"/>
          </w:rPr>
          <w:tab/>
        </w:r>
        <w:r w:rsidR="00856838" w:rsidRPr="00190DB5">
          <w:rPr>
            <w:rStyle w:val="Hyperlink"/>
            <w:noProof/>
          </w:rPr>
          <w:t>Conclusion</w:t>
        </w:r>
        <w:r w:rsidR="00856838">
          <w:rPr>
            <w:noProof/>
            <w:webHidden/>
          </w:rPr>
          <w:tab/>
        </w:r>
        <w:r w:rsidR="00856838">
          <w:rPr>
            <w:noProof/>
            <w:webHidden/>
          </w:rPr>
          <w:fldChar w:fldCharType="begin"/>
        </w:r>
        <w:r w:rsidR="00856838">
          <w:rPr>
            <w:noProof/>
            <w:webHidden/>
          </w:rPr>
          <w:instrText xml:space="preserve"> PAGEREF _Toc500491636 \h </w:instrText>
        </w:r>
        <w:r w:rsidR="00856838">
          <w:rPr>
            <w:noProof/>
            <w:webHidden/>
          </w:rPr>
        </w:r>
        <w:r w:rsidR="00856838">
          <w:rPr>
            <w:noProof/>
            <w:webHidden/>
          </w:rPr>
          <w:fldChar w:fldCharType="separate"/>
        </w:r>
        <w:r w:rsidR="00856838">
          <w:rPr>
            <w:noProof/>
            <w:webHidden/>
          </w:rPr>
          <w:t>4</w:t>
        </w:r>
        <w:r w:rsidR="00856838">
          <w:rPr>
            <w:noProof/>
            <w:webHidden/>
          </w:rPr>
          <w:fldChar w:fldCharType="end"/>
        </w:r>
      </w:hyperlink>
    </w:p>
    <w:p w:rsidR="00856838" w:rsidRDefault="00B1753E">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hyperlink w:anchor="_Toc500491637" w:history="1">
        <w:r w:rsidR="00856838" w:rsidRPr="00190DB5">
          <w:rPr>
            <w:rStyle w:val="Hyperlink"/>
            <w:noProof/>
          </w:rPr>
          <w:t>2</w:t>
        </w:r>
        <w:r w:rsidR="00856838">
          <w:rPr>
            <w:rFonts w:asciiTheme="minorHAnsi" w:eastAsiaTheme="minorEastAsia" w:hAnsiTheme="minorHAnsi" w:cstheme="minorBidi"/>
            <w:b w:val="0"/>
            <w:bCs w:val="0"/>
            <w:noProof/>
            <w:sz w:val="22"/>
            <w:szCs w:val="22"/>
            <w:lang w:val="nl-NL" w:eastAsia="nl-NL"/>
          </w:rPr>
          <w:tab/>
        </w:r>
        <w:r w:rsidR="00856838" w:rsidRPr="00190DB5">
          <w:rPr>
            <w:rStyle w:val="Hyperlink"/>
            <w:noProof/>
          </w:rPr>
          <w:t>Summary of the product assessment</w:t>
        </w:r>
        <w:r w:rsidR="00856838">
          <w:rPr>
            <w:noProof/>
            <w:webHidden/>
          </w:rPr>
          <w:tab/>
        </w:r>
        <w:r w:rsidR="00856838">
          <w:rPr>
            <w:noProof/>
            <w:webHidden/>
          </w:rPr>
          <w:fldChar w:fldCharType="begin"/>
        </w:r>
        <w:r w:rsidR="00856838">
          <w:rPr>
            <w:noProof/>
            <w:webHidden/>
          </w:rPr>
          <w:instrText xml:space="preserve"> PAGEREF _Toc500491637 \h </w:instrText>
        </w:r>
        <w:r w:rsidR="00856838">
          <w:rPr>
            <w:noProof/>
            <w:webHidden/>
          </w:rPr>
        </w:r>
        <w:r w:rsidR="00856838">
          <w:rPr>
            <w:noProof/>
            <w:webHidden/>
          </w:rPr>
          <w:fldChar w:fldCharType="separate"/>
        </w:r>
        <w:r w:rsidR="00856838">
          <w:rPr>
            <w:noProof/>
            <w:webHidden/>
          </w:rPr>
          <w:t>6</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38" w:history="1">
        <w:r w:rsidR="00856838" w:rsidRPr="00190DB5">
          <w:rPr>
            <w:rStyle w:val="Hyperlink"/>
            <w:noProof/>
          </w:rPr>
          <w:t>2.1</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Administrative information</w:t>
        </w:r>
        <w:r w:rsidR="00856838">
          <w:rPr>
            <w:noProof/>
            <w:webHidden/>
          </w:rPr>
          <w:tab/>
        </w:r>
        <w:r w:rsidR="00856838">
          <w:rPr>
            <w:noProof/>
            <w:webHidden/>
          </w:rPr>
          <w:fldChar w:fldCharType="begin"/>
        </w:r>
        <w:r w:rsidR="00856838">
          <w:rPr>
            <w:noProof/>
            <w:webHidden/>
          </w:rPr>
          <w:instrText xml:space="preserve"> PAGEREF _Toc500491638 \h </w:instrText>
        </w:r>
        <w:r w:rsidR="00856838">
          <w:rPr>
            <w:noProof/>
            <w:webHidden/>
          </w:rPr>
        </w:r>
        <w:r w:rsidR="00856838">
          <w:rPr>
            <w:noProof/>
            <w:webHidden/>
          </w:rPr>
          <w:fldChar w:fldCharType="separate"/>
        </w:r>
        <w:r w:rsidR="00856838">
          <w:rPr>
            <w:noProof/>
            <w:webHidden/>
          </w:rPr>
          <w:t>6</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39" w:history="1">
        <w:r w:rsidR="00856838" w:rsidRPr="00190DB5">
          <w:rPr>
            <w:rStyle w:val="Hyperlink"/>
            <w:noProof/>
          </w:rPr>
          <w:t>2.2</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Composition and formulation</w:t>
        </w:r>
        <w:r w:rsidR="00856838">
          <w:rPr>
            <w:noProof/>
            <w:webHidden/>
          </w:rPr>
          <w:tab/>
        </w:r>
        <w:r w:rsidR="00856838">
          <w:rPr>
            <w:noProof/>
            <w:webHidden/>
          </w:rPr>
          <w:fldChar w:fldCharType="begin"/>
        </w:r>
        <w:r w:rsidR="00856838">
          <w:rPr>
            <w:noProof/>
            <w:webHidden/>
          </w:rPr>
          <w:instrText xml:space="preserve"> PAGEREF _Toc500491639 \h </w:instrText>
        </w:r>
        <w:r w:rsidR="00856838">
          <w:rPr>
            <w:noProof/>
            <w:webHidden/>
          </w:rPr>
        </w:r>
        <w:r w:rsidR="00856838">
          <w:rPr>
            <w:noProof/>
            <w:webHidden/>
          </w:rPr>
          <w:fldChar w:fldCharType="separate"/>
        </w:r>
        <w:r w:rsidR="00856838">
          <w:rPr>
            <w:noProof/>
            <w:webHidden/>
          </w:rPr>
          <w:t>7</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0" w:history="1">
        <w:r w:rsidR="00856838" w:rsidRPr="00190DB5">
          <w:rPr>
            <w:rStyle w:val="Hyperlink"/>
            <w:noProof/>
          </w:rPr>
          <w:t>2.3</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Classification and Labelling according to the Regulation (EC) No 1272/2008</w:t>
        </w:r>
        <w:r w:rsidR="00856838">
          <w:rPr>
            <w:noProof/>
            <w:webHidden/>
          </w:rPr>
          <w:tab/>
        </w:r>
        <w:r w:rsidR="00856838">
          <w:rPr>
            <w:noProof/>
            <w:webHidden/>
          </w:rPr>
          <w:fldChar w:fldCharType="begin"/>
        </w:r>
        <w:r w:rsidR="00856838">
          <w:rPr>
            <w:noProof/>
            <w:webHidden/>
          </w:rPr>
          <w:instrText xml:space="preserve"> PAGEREF _Toc500491640 \h </w:instrText>
        </w:r>
        <w:r w:rsidR="00856838">
          <w:rPr>
            <w:noProof/>
            <w:webHidden/>
          </w:rPr>
        </w:r>
        <w:r w:rsidR="00856838">
          <w:rPr>
            <w:noProof/>
            <w:webHidden/>
          </w:rPr>
          <w:fldChar w:fldCharType="separate"/>
        </w:r>
        <w:r w:rsidR="00856838">
          <w:rPr>
            <w:noProof/>
            <w:webHidden/>
          </w:rPr>
          <w:t>8</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1" w:history="1">
        <w:r w:rsidR="00856838" w:rsidRPr="00190DB5">
          <w:rPr>
            <w:rStyle w:val="Hyperlink"/>
            <w:noProof/>
          </w:rPr>
          <w:t>2.4</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Use(s) appropriate for further authorisation</w:t>
        </w:r>
        <w:r w:rsidR="00856838">
          <w:rPr>
            <w:noProof/>
            <w:webHidden/>
          </w:rPr>
          <w:tab/>
        </w:r>
        <w:r w:rsidR="00856838">
          <w:rPr>
            <w:noProof/>
            <w:webHidden/>
          </w:rPr>
          <w:fldChar w:fldCharType="begin"/>
        </w:r>
        <w:r w:rsidR="00856838">
          <w:rPr>
            <w:noProof/>
            <w:webHidden/>
          </w:rPr>
          <w:instrText xml:space="preserve"> PAGEREF _Toc500491641 \h </w:instrText>
        </w:r>
        <w:r w:rsidR="00856838">
          <w:rPr>
            <w:noProof/>
            <w:webHidden/>
          </w:rPr>
        </w:r>
        <w:r w:rsidR="00856838">
          <w:rPr>
            <w:noProof/>
            <w:webHidden/>
          </w:rPr>
          <w:fldChar w:fldCharType="separate"/>
        </w:r>
        <w:r w:rsidR="00856838">
          <w:rPr>
            <w:noProof/>
            <w:webHidden/>
          </w:rPr>
          <w:t>9</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2" w:history="1">
        <w:r w:rsidR="00856838" w:rsidRPr="00190DB5">
          <w:rPr>
            <w:rStyle w:val="Hyperlink"/>
            <w:noProof/>
          </w:rPr>
          <w:t>2.5</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General directions for use</w:t>
        </w:r>
        <w:r w:rsidR="00856838">
          <w:rPr>
            <w:noProof/>
            <w:webHidden/>
          </w:rPr>
          <w:tab/>
        </w:r>
        <w:r w:rsidR="00856838">
          <w:rPr>
            <w:noProof/>
            <w:webHidden/>
          </w:rPr>
          <w:fldChar w:fldCharType="begin"/>
        </w:r>
        <w:r w:rsidR="00856838">
          <w:rPr>
            <w:noProof/>
            <w:webHidden/>
          </w:rPr>
          <w:instrText xml:space="preserve"> PAGEREF _Toc500491642 \h </w:instrText>
        </w:r>
        <w:r w:rsidR="00856838">
          <w:rPr>
            <w:noProof/>
            <w:webHidden/>
          </w:rPr>
        </w:r>
        <w:r w:rsidR="00856838">
          <w:rPr>
            <w:noProof/>
            <w:webHidden/>
          </w:rPr>
          <w:fldChar w:fldCharType="separate"/>
        </w:r>
        <w:r w:rsidR="00856838">
          <w:rPr>
            <w:noProof/>
            <w:webHidden/>
          </w:rPr>
          <w:t>19</w:t>
        </w:r>
        <w:r w:rsidR="00856838">
          <w:rPr>
            <w:noProof/>
            <w:webHidden/>
          </w:rPr>
          <w:fldChar w:fldCharType="end"/>
        </w:r>
      </w:hyperlink>
    </w:p>
    <w:p w:rsidR="00856838" w:rsidRDefault="00B1753E">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hyperlink w:anchor="_Toc500491643" w:history="1">
        <w:r w:rsidR="00856838" w:rsidRPr="00190DB5">
          <w:rPr>
            <w:rStyle w:val="Hyperlink"/>
            <w:noProof/>
          </w:rPr>
          <w:t>3</w:t>
        </w:r>
        <w:r w:rsidR="00856838">
          <w:rPr>
            <w:rFonts w:asciiTheme="minorHAnsi" w:eastAsiaTheme="minorEastAsia" w:hAnsiTheme="minorHAnsi" w:cstheme="minorBidi"/>
            <w:b w:val="0"/>
            <w:bCs w:val="0"/>
            <w:noProof/>
            <w:sz w:val="22"/>
            <w:szCs w:val="22"/>
            <w:lang w:val="nl-NL" w:eastAsia="nl-NL"/>
          </w:rPr>
          <w:tab/>
        </w:r>
        <w:r w:rsidR="00856838" w:rsidRPr="00190DB5">
          <w:rPr>
            <w:rStyle w:val="Hyperlink"/>
            <w:noProof/>
          </w:rPr>
          <w:t>Assessment of the product</w:t>
        </w:r>
        <w:r w:rsidR="00856838">
          <w:rPr>
            <w:noProof/>
            <w:webHidden/>
          </w:rPr>
          <w:tab/>
        </w:r>
        <w:r w:rsidR="00856838">
          <w:rPr>
            <w:noProof/>
            <w:webHidden/>
          </w:rPr>
          <w:fldChar w:fldCharType="begin"/>
        </w:r>
        <w:r w:rsidR="00856838">
          <w:rPr>
            <w:noProof/>
            <w:webHidden/>
          </w:rPr>
          <w:instrText xml:space="preserve"> PAGEREF _Toc500491643 \h </w:instrText>
        </w:r>
        <w:r w:rsidR="00856838">
          <w:rPr>
            <w:noProof/>
            <w:webHidden/>
          </w:rPr>
        </w:r>
        <w:r w:rsidR="00856838">
          <w:rPr>
            <w:noProof/>
            <w:webHidden/>
          </w:rPr>
          <w:fldChar w:fldCharType="separate"/>
        </w:r>
        <w:r w:rsidR="00856838">
          <w:rPr>
            <w:noProof/>
            <w:webHidden/>
          </w:rPr>
          <w:t>22</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4" w:history="1">
        <w:r w:rsidR="00856838" w:rsidRPr="00190DB5">
          <w:rPr>
            <w:rStyle w:val="Hyperlink"/>
            <w:noProof/>
          </w:rPr>
          <w:t>3.1</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Use(s) considered appropriate for authorisation after former assessment</w:t>
        </w:r>
        <w:r w:rsidR="00856838">
          <w:rPr>
            <w:noProof/>
            <w:webHidden/>
          </w:rPr>
          <w:tab/>
        </w:r>
        <w:r w:rsidR="00856838">
          <w:rPr>
            <w:noProof/>
            <w:webHidden/>
          </w:rPr>
          <w:fldChar w:fldCharType="begin"/>
        </w:r>
        <w:r w:rsidR="00856838">
          <w:rPr>
            <w:noProof/>
            <w:webHidden/>
          </w:rPr>
          <w:instrText xml:space="preserve"> PAGEREF _Toc500491644 \h </w:instrText>
        </w:r>
        <w:r w:rsidR="00856838">
          <w:rPr>
            <w:noProof/>
            <w:webHidden/>
          </w:rPr>
        </w:r>
        <w:r w:rsidR="00856838">
          <w:rPr>
            <w:noProof/>
            <w:webHidden/>
          </w:rPr>
          <w:fldChar w:fldCharType="separate"/>
        </w:r>
        <w:r w:rsidR="00856838">
          <w:rPr>
            <w:noProof/>
            <w:webHidden/>
          </w:rPr>
          <w:t>22</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5" w:history="1">
        <w:r w:rsidR="00856838" w:rsidRPr="00190DB5">
          <w:rPr>
            <w:rStyle w:val="Hyperlink"/>
            <w:noProof/>
          </w:rPr>
          <w:t>3.2</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Physical, chemical and technical properties</w:t>
        </w:r>
        <w:r w:rsidR="00856838">
          <w:rPr>
            <w:noProof/>
            <w:webHidden/>
          </w:rPr>
          <w:tab/>
        </w:r>
        <w:r w:rsidR="00856838">
          <w:rPr>
            <w:noProof/>
            <w:webHidden/>
          </w:rPr>
          <w:fldChar w:fldCharType="begin"/>
        </w:r>
        <w:r w:rsidR="00856838">
          <w:rPr>
            <w:noProof/>
            <w:webHidden/>
          </w:rPr>
          <w:instrText xml:space="preserve"> PAGEREF _Toc500491645 \h </w:instrText>
        </w:r>
        <w:r w:rsidR="00856838">
          <w:rPr>
            <w:noProof/>
            <w:webHidden/>
          </w:rPr>
        </w:r>
        <w:r w:rsidR="00856838">
          <w:rPr>
            <w:noProof/>
            <w:webHidden/>
          </w:rPr>
          <w:fldChar w:fldCharType="separate"/>
        </w:r>
        <w:r w:rsidR="00856838">
          <w:rPr>
            <w:noProof/>
            <w:webHidden/>
          </w:rPr>
          <w:t>23</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6" w:history="1">
        <w:r w:rsidR="00856838" w:rsidRPr="00190DB5">
          <w:rPr>
            <w:rStyle w:val="Hyperlink"/>
            <w:noProof/>
          </w:rPr>
          <w:t>3.3</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Physical hazards and respective characteristics</w:t>
        </w:r>
        <w:r w:rsidR="00856838">
          <w:rPr>
            <w:noProof/>
            <w:webHidden/>
          </w:rPr>
          <w:tab/>
        </w:r>
        <w:r w:rsidR="00856838">
          <w:rPr>
            <w:noProof/>
            <w:webHidden/>
          </w:rPr>
          <w:fldChar w:fldCharType="begin"/>
        </w:r>
        <w:r w:rsidR="00856838">
          <w:rPr>
            <w:noProof/>
            <w:webHidden/>
          </w:rPr>
          <w:instrText xml:space="preserve"> PAGEREF _Toc500491646 \h </w:instrText>
        </w:r>
        <w:r w:rsidR="00856838">
          <w:rPr>
            <w:noProof/>
            <w:webHidden/>
          </w:rPr>
        </w:r>
        <w:r w:rsidR="00856838">
          <w:rPr>
            <w:noProof/>
            <w:webHidden/>
          </w:rPr>
          <w:fldChar w:fldCharType="separate"/>
        </w:r>
        <w:r w:rsidR="00856838">
          <w:rPr>
            <w:noProof/>
            <w:webHidden/>
          </w:rPr>
          <w:t>23</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7" w:history="1">
        <w:r w:rsidR="00856838" w:rsidRPr="00190DB5">
          <w:rPr>
            <w:rStyle w:val="Hyperlink"/>
            <w:noProof/>
          </w:rPr>
          <w:t>3.4</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Methods for detection and identification</w:t>
        </w:r>
        <w:r w:rsidR="00856838">
          <w:rPr>
            <w:noProof/>
            <w:webHidden/>
          </w:rPr>
          <w:tab/>
        </w:r>
        <w:r w:rsidR="00856838">
          <w:rPr>
            <w:noProof/>
            <w:webHidden/>
          </w:rPr>
          <w:fldChar w:fldCharType="begin"/>
        </w:r>
        <w:r w:rsidR="00856838">
          <w:rPr>
            <w:noProof/>
            <w:webHidden/>
          </w:rPr>
          <w:instrText xml:space="preserve"> PAGEREF _Toc500491647 \h </w:instrText>
        </w:r>
        <w:r w:rsidR="00856838">
          <w:rPr>
            <w:noProof/>
            <w:webHidden/>
          </w:rPr>
        </w:r>
        <w:r w:rsidR="00856838">
          <w:rPr>
            <w:noProof/>
            <w:webHidden/>
          </w:rPr>
          <w:fldChar w:fldCharType="separate"/>
        </w:r>
        <w:r w:rsidR="00856838">
          <w:rPr>
            <w:noProof/>
            <w:webHidden/>
          </w:rPr>
          <w:t>23</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8" w:history="1">
        <w:r w:rsidR="00856838" w:rsidRPr="00190DB5">
          <w:rPr>
            <w:rStyle w:val="Hyperlink"/>
            <w:noProof/>
          </w:rPr>
          <w:t>3.5</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Efficacy against target organisms</w:t>
        </w:r>
        <w:r w:rsidR="00856838">
          <w:rPr>
            <w:noProof/>
            <w:webHidden/>
          </w:rPr>
          <w:tab/>
        </w:r>
        <w:r w:rsidR="00856838">
          <w:rPr>
            <w:noProof/>
            <w:webHidden/>
          </w:rPr>
          <w:fldChar w:fldCharType="begin"/>
        </w:r>
        <w:r w:rsidR="00856838">
          <w:rPr>
            <w:noProof/>
            <w:webHidden/>
          </w:rPr>
          <w:instrText xml:space="preserve"> PAGEREF _Toc500491648 \h </w:instrText>
        </w:r>
        <w:r w:rsidR="00856838">
          <w:rPr>
            <w:noProof/>
            <w:webHidden/>
          </w:rPr>
        </w:r>
        <w:r w:rsidR="00856838">
          <w:rPr>
            <w:noProof/>
            <w:webHidden/>
          </w:rPr>
          <w:fldChar w:fldCharType="separate"/>
        </w:r>
        <w:r w:rsidR="00856838">
          <w:rPr>
            <w:noProof/>
            <w:webHidden/>
          </w:rPr>
          <w:t>23</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49" w:history="1">
        <w:r w:rsidR="00856838" w:rsidRPr="00190DB5">
          <w:rPr>
            <w:rStyle w:val="Hyperlink"/>
            <w:noProof/>
          </w:rPr>
          <w:t>3.6</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Risk assessment for human health</w:t>
        </w:r>
        <w:r w:rsidR="00856838">
          <w:rPr>
            <w:noProof/>
            <w:webHidden/>
          </w:rPr>
          <w:tab/>
        </w:r>
        <w:r w:rsidR="00856838">
          <w:rPr>
            <w:noProof/>
            <w:webHidden/>
          </w:rPr>
          <w:fldChar w:fldCharType="begin"/>
        </w:r>
        <w:r w:rsidR="00856838">
          <w:rPr>
            <w:noProof/>
            <w:webHidden/>
          </w:rPr>
          <w:instrText xml:space="preserve"> PAGEREF _Toc500491649 \h </w:instrText>
        </w:r>
        <w:r w:rsidR="00856838">
          <w:rPr>
            <w:noProof/>
            <w:webHidden/>
          </w:rPr>
        </w:r>
        <w:r w:rsidR="00856838">
          <w:rPr>
            <w:noProof/>
            <w:webHidden/>
          </w:rPr>
          <w:fldChar w:fldCharType="separate"/>
        </w:r>
        <w:r w:rsidR="00856838">
          <w:rPr>
            <w:noProof/>
            <w:webHidden/>
          </w:rPr>
          <w:t>24</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50" w:history="1">
        <w:r w:rsidR="00856838" w:rsidRPr="00190DB5">
          <w:rPr>
            <w:rStyle w:val="Hyperlink"/>
            <w:noProof/>
          </w:rPr>
          <w:t>3.7</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Risk assessment for animal health</w:t>
        </w:r>
        <w:r w:rsidR="00856838">
          <w:rPr>
            <w:noProof/>
            <w:webHidden/>
          </w:rPr>
          <w:tab/>
        </w:r>
        <w:r w:rsidR="00856838">
          <w:rPr>
            <w:noProof/>
            <w:webHidden/>
          </w:rPr>
          <w:fldChar w:fldCharType="begin"/>
        </w:r>
        <w:r w:rsidR="00856838">
          <w:rPr>
            <w:noProof/>
            <w:webHidden/>
          </w:rPr>
          <w:instrText xml:space="preserve"> PAGEREF _Toc500491650 \h </w:instrText>
        </w:r>
        <w:r w:rsidR="00856838">
          <w:rPr>
            <w:noProof/>
            <w:webHidden/>
          </w:rPr>
        </w:r>
        <w:r w:rsidR="00856838">
          <w:rPr>
            <w:noProof/>
            <w:webHidden/>
          </w:rPr>
          <w:fldChar w:fldCharType="separate"/>
        </w:r>
        <w:r w:rsidR="00856838">
          <w:rPr>
            <w:noProof/>
            <w:webHidden/>
          </w:rPr>
          <w:t>30</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51" w:history="1">
        <w:r w:rsidR="00856838" w:rsidRPr="00190DB5">
          <w:rPr>
            <w:rStyle w:val="Hyperlink"/>
            <w:noProof/>
          </w:rPr>
          <w:t>3.8</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Risk assessment for the environment</w:t>
        </w:r>
        <w:r w:rsidR="00856838">
          <w:rPr>
            <w:noProof/>
            <w:webHidden/>
          </w:rPr>
          <w:tab/>
        </w:r>
        <w:r w:rsidR="00856838">
          <w:rPr>
            <w:noProof/>
            <w:webHidden/>
          </w:rPr>
          <w:fldChar w:fldCharType="begin"/>
        </w:r>
        <w:r w:rsidR="00856838">
          <w:rPr>
            <w:noProof/>
            <w:webHidden/>
          </w:rPr>
          <w:instrText xml:space="preserve"> PAGEREF _Toc500491651 \h </w:instrText>
        </w:r>
        <w:r w:rsidR="00856838">
          <w:rPr>
            <w:noProof/>
            <w:webHidden/>
          </w:rPr>
        </w:r>
        <w:r w:rsidR="00856838">
          <w:rPr>
            <w:noProof/>
            <w:webHidden/>
          </w:rPr>
          <w:fldChar w:fldCharType="separate"/>
        </w:r>
        <w:r w:rsidR="00856838">
          <w:rPr>
            <w:noProof/>
            <w:webHidden/>
          </w:rPr>
          <w:t>30</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52" w:history="1">
        <w:r w:rsidR="00856838" w:rsidRPr="00190DB5">
          <w:rPr>
            <w:rStyle w:val="Hyperlink"/>
            <w:noProof/>
          </w:rPr>
          <w:t>3.9</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Assessment of a combination of biocidal products</w:t>
        </w:r>
        <w:r w:rsidR="00856838">
          <w:rPr>
            <w:noProof/>
            <w:webHidden/>
          </w:rPr>
          <w:tab/>
        </w:r>
        <w:r w:rsidR="00856838">
          <w:rPr>
            <w:noProof/>
            <w:webHidden/>
          </w:rPr>
          <w:fldChar w:fldCharType="begin"/>
        </w:r>
        <w:r w:rsidR="00856838">
          <w:rPr>
            <w:noProof/>
            <w:webHidden/>
          </w:rPr>
          <w:instrText xml:space="preserve"> PAGEREF _Toc500491652 \h </w:instrText>
        </w:r>
        <w:r w:rsidR="00856838">
          <w:rPr>
            <w:noProof/>
            <w:webHidden/>
          </w:rPr>
        </w:r>
        <w:r w:rsidR="00856838">
          <w:rPr>
            <w:noProof/>
            <w:webHidden/>
          </w:rPr>
          <w:fldChar w:fldCharType="separate"/>
        </w:r>
        <w:r w:rsidR="00856838">
          <w:rPr>
            <w:noProof/>
            <w:webHidden/>
          </w:rPr>
          <w:t>34</w:t>
        </w:r>
        <w:r w:rsidR="00856838">
          <w:rPr>
            <w:noProof/>
            <w:webHidden/>
          </w:rPr>
          <w:fldChar w:fldCharType="end"/>
        </w:r>
      </w:hyperlink>
    </w:p>
    <w:p w:rsidR="00856838" w:rsidRDefault="00B1753E">
      <w:pPr>
        <w:pStyle w:val="Inhopg2"/>
        <w:tabs>
          <w:tab w:val="left" w:pos="1000"/>
          <w:tab w:val="right" w:leader="dot" w:pos="9204"/>
        </w:tabs>
        <w:rPr>
          <w:rFonts w:asciiTheme="minorHAnsi" w:eastAsiaTheme="minorEastAsia" w:hAnsiTheme="minorHAnsi" w:cstheme="minorBidi"/>
          <w:noProof/>
          <w:sz w:val="22"/>
          <w:szCs w:val="22"/>
          <w:lang w:val="nl-NL" w:eastAsia="nl-NL"/>
        </w:rPr>
      </w:pPr>
      <w:hyperlink w:anchor="_Toc500491653" w:history="1">
        <w:r w:rsidR="00856838" w:rsidRPr="00190DB5">
          <w:rPr>
            <w:rStyle w:val="Hyperlink"/>
            <w:noProof/>
          </w:rPr>
          <w:t>3.10</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Comparative assessment</w:t>
        </w:r>
        <w:r w:rsidR="00856838">
          <w:rPr>
            <w:noProof/>
            <w:webHidden/>
          </w:rPr>
          <w:tab/>
        </w:r>
        <w:r w:rsidR="00856838">
          <w:rPr>
            <w:noProof/>
            <w:webHidden/>
          </w:rPr>
          <w:fldChar w:fldCharType="begin"/>
        </w:r>
        <w:r w:rsidR="00856838">
          <w:rPr>
            <w:noProof/>
            <w:webHidden/>
          </w:rPr>
          <w:instrText xml:space="preserve"> PAGEREF _Toc500491653 \h </w:instrText>
        </w:r>
        <w:r w:rsidR="00856838">
          <w:rPr>
            <w:noProof/>
            <w:webHidden/>
          </w:rPr>
        </w:r>
        <w:r w:rsidR="00856838">
          <w:rPr>
            <w:noProof/>
            <w:webHidden/>
          </w:rPr>
          <w:fldChar w:fldCharType="separate"/>
        </w:r>
        <w:r w:rsidR="00856838">
          <w:rPr>
            <w:noProof/>
            <w:webHidden/>
          </w:rPr>
          <w:t>34</w:t>
        </w:r>
        <w:r w:rsidR="00856838">
          <w:rPr>
            <w:noProof/>
            <w:webHidden/>
          </w:rPr>
          <w:fldChar w:fldCharType="end"/>
        </w:r>
      </w:hyperlink>
    </w:p>
    <w:p w:rsidR="00856838" w:rsidRDefault="00B1753E">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hyperlink w:anchor="_Toc500491654" w:history="1">
        <w:r w:rsidR="00856838" w:rsidRPr="00190DB5">
          <w:rPr>
            <w:rStyle w:val="Hyperlink"/>
            <w:noProof/>
          </w:rPr>
          <w:t>4</w:t>
        </w:r>
        <w:r w:rsidR="00856838">
          <w:rPr>
            <w:rFonts w:asciiTheme="minorHAnsi" w:eastAsiaTheme="minorEastAsia" w:hAnsiTheme="minorHAnsi" w:cstheme="minorBidi"/>
            <w:b w:val="0"/>
            <w:bCs w:val="0"/>
            <w:noProof/>
            <w:sz w:val="22"/>
            <w:szCs w:val="22"/>
            <w:lang w:val="nl-NL" w:eastAsia="nl-NL"/>
          </w:rPr>
          <w:tab/>
        </w:r>
        <w:r w:rsidR="00856838" w:rsidRPr="00190DB5">
          <w:rPr>
            <w:rStyle w:val="Hyperlink"/>
            <w:noProof/>
          </w:rPr>
          <w:t>Confidential annex (Access level: “Restricted” to applicant and authority)</w:t>
        </w:r>
        <w:r w:rsidR="00856838">
          <w:rPr>
            <w:noProof/>
            <w:webHidden/>
          </w:rPr>
          <w:tab/>
        </w:r>
        <w:r w:rsidR="00856838">
          <w:rPr>
            <w:noProof/>
            <w:webHidden/>
          </w:rPr>
          <w:fldChar w:fldCharType="begin"/>
        </w:r>
        <w:r w:rsidR="00856838">
          <w:rPr>
            <w:noProof/>
            <w:webHidden/>
          </w:rPr>
          <w:instrText xml:space="preserve"> PAGEREF _Toc500491654 \h </w:instrText>
        </w:r>
        <w:r w:rsidR="00856838">
          <w:rPr>
            <w:noProof/>
            <w:webHidden/>
          </w:rPr>
        </w:r>
        <w:r w:rsidR="00856838">
          <w:rPr>
            <w:noProof/>
            <w:webHidden/>
          </w:rPr>
          <w:fldChar w:fldCharType="separate"/>
        </w:r>
        <w:r w:rsidR="00856838">
          <w:rPr>
            <w:noProof/>
            <w:webHidden/>
          </w:rPr>
          <w:t>35</w:t>
        </w:r>
        <w:r w:rsidR="00856838">
          <w:rPr>
            <w:noProof/>
            <w:webHidden/>
          </w:rPr>
          <w:fldChar w:fldCharType="end"/>
        </w:r>
      </w:hyperlink>
    </w:p>
    <w:p w:rsidR="00856838" w:rsidRDefault="00B1753E">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491655" w:history="1">
        <w:r w:rsidR="00856838" w:rsidRPr="00190DB5">
          <w:rPr>
            <w:rStyle w:val="Hyperlink"/>
            <w:noProof/>
          </w:rPr>
          <w:t>4.1</w:t>
        </w:r>
        <w:r w:rsidR="00856838">
          <w:rPr>
            <w:rFonts w:asciiTheme="minorHAnsi" w:eastAsiaTheme="minorEastAsia" w:hAnsiTheme="minorHAnsi" w:cstheme="minorBidi"/>
            <w:noProof/>
            <w:sz w:val="22"/>
            <w:szCs w:val="22"/>
            <w:lang w:val="nl-NL" w:eastAsia="nl-NL"/>
          </w:rPr>
          <w:tab/>
        </w:r>
        <w:r w:rsidR="00856838" w:rsidRPr="00190DB5">
          <w:rPr>
            <w:rStyle w:val="Hyperlink"/>
            <w:noProof/>
          </w:rPr>
          <w:t>Full composition of the product</w:t>
        </w:r>
        <w:r w:rsidR="00856838">
          <w:rPr>
            <w:noProof/>
            <w:webHidden/>
          </w:rPr>
          <w:tab/>
        </w:r>
        <w:r w:rsidR="00856838">
          <w:rPr>
            <w:noProof/>
            <w:webHidden/>
          </w:rPr>
          <w:fldChar w:fldCharType="begin"/>
        </w:r>
        <w:r w:rsidR="00856838">
          <w:rPr>
            <w:noProof/>
            <w:webHidden/>
          </w:rPr>
          <w:instrText xml:space="preserve"> PAGEREF _Toc500491655 \h </w:instrText>
        </w:r>
        <w:r w:rsidR="00856838">
          <w:rPr>
            <w:noProof/>
            <w:webHidden/>
          </w:rPr>
        </w:r>
        <w:r w:rsidR="00856838">
          <w:rPr>
            <w:noProof/>
            <w:webHidden/>
          </w:rPr>
          <w:fldChar w:fldCharType="separate"/>
        </w:r>
        <w:r w:rsidR="00856838">
          <w:rPr>
            <w:noProof/>
            <w:webHidden/>
          </w:rPr>
          <w:t>35</w:t>
        </w:r>
        <w:r w:rsidR="00856838">
          <w:rPr>
            <w:noProof/>
            <w:webHidden/>
          </w:rPr>
          <w:fldChar w:fldCharType="end"/>
        </w:r>
      </w:hyperlink>
    </w:p>
    <w:p w:rsidR="00EA45CD" w:rsidRPr="004061A6" w:rsidRDefault="00EA45CD" w:rsidP="00E530CD">
      <w:pPr>
        <w:spacing w:line="276" w:lineRule="auto"/>
        <w:rPr>
          <w:rFonts w:cs="Arial"/>
          <w:caps/>
        </w:rPr>
      </w:pPr>
      <w:r w:rsidRPr="004061A6">
        <w:rPr>
          <w:rFonts w:cs="Arial"/>
          <w:caps/>
        </w:rPr>
        <w:fldChar w:fldCharType="end"/>
      </w:r>
    </w:p>
    <w:p w:rsidR="00EA45CD" w:rsidRPr="004061A6" w:rsidRDefault="00EA45CD" w:rsidP="00E530CD">
      <w:pPr>
        <w:spacing w:line="276" w:lineRule="auto"/>
        <w:rPr>
          <w:rFonts w:cs="Arial"/>
          <w:caps/>
        </w:rPr>
      </w:pPr>
    </w:p>
    <w:p w:rsidR="00EA45CD" w:rsidRPr="004061A6" w:rsidRDefault="00BA7C2C" w:rsidP="00E530CD">
      <w:pPr>
        <w:spacing w:line="276" w:lineRule="auto"/>
        <w:rPr>
          <w:rFonts w:cs="Arial"/>
          <w:caps/>
        </w:rPr>
      </w:pPr>
      <w:r>
        <w:rPr>
          <w:rFonts w:cs="Arial"/>
          <w:caps/>
        </w:rPr>
        <w:t>ANNEX: Product assessment report of the first authorisation</w:t>
      </w:r>
    </w:p>
    <w:p w:rsidR="00EA45CD" w:rsidRPr="004061A6" w:rsidRDefault="00EA45CD" w:rsidP="00E530CD">
      <w:pPr>
        <w:spacing w:line="276" w:lineRule="auto"/>
        <w:rPr>
          <w:rFonts w:cs="Arial"/>
          <w:caps/>
        </w:rPr>
      </w:pPr>
    </w:p>
    <w:p w:rsidR="001B406D" w:rsidRPr="004061A6" w:rsidRDefault="001B406D" w:rsidP="00E530CD">
      <w:pPr>
        <w:spacing w:line="276" w:lineRule="auto"/>
        <w:rPr>
          <w:rFonts w:cs="Arial"/>
          <w:b/>
          <w:bCs/>
        </w:rPr>
        <w:sectPr w:rsidR="001B406D" w:rsidRPr="004061A6" w:rsidSect="00307AA3">
          <w:headerReference w:type="default" r:id="rId10"/>
          <w:footerReference w:type="default" r:id="rId11"/>
          <w:headerReference w:type="first" r:id="rId12"/>
          <w:endnotePr>
            <w:numFmt w:val="decimal"/>
          </w:endnotePr>
          <w:type w:val="continuous"/>
          <w:pgSz w:w="11907" w:h="16840" w:code="9"/>
          <w:pgMar w:top="1474" w:right="1247" w:bottom="2013" w:left="1446" w:header="851" w:footer="851" w:gutter="0"/>
          <w:cols w:space="720"/>
          <w:docGrid w:linePitch="272"/>
        </w:sectPr>
      </w:pPr>
    </w:p>
    <w:p w:rsidR="00307AA3" w:rsidRDefault="00307AA3">
      <w:pPr>
        <w:spacing w:line="240" w:lineRule="auto"/>
        <w:rPr>
          <w:rFonts w:cs="Arial"/>
          <w:b/>
          <w:bCs/>
          <w:kern w:val="32"/>
          <w:sz w:val="32"/>
          <w:szCs w:val="32"/>
        </w:rPr>
      </w:pPr>
      <w:bookmarkStart w:id="1" w:name="_Toc406482062"/>
      <w:bookmarkStart w:id="2" w:name="_Toc406483807"/>
      <w:bookmarkStart w:id="3" w:name="_Toc406740504"/>
      <w:bookmarkStart w:id="4" w:name="_Toc406743879"/>
      <w:bookmarkStart w:id="5" w:name="_Toc408922821"/>
      <w:bookmarkStart w:id="6" w:name="_Toc408924009"/>
      <w:bookmarkStart w:id="7" w:name="_Ref421688474"/>
      <w:bookmarkStart w:id="8" w:name="_Toc429660944"/>
      <w:r>
        <w:lastRenderedPageBreak/>
        <w:br w:type="page"/>
      </w:r>
    </w:p>
    <w:p w:rsidR="005F46B1" w:rsidRPr="004061A6" w:rsidRDefault="005F46B1" w:rsidP="00C84FAF">
      <w:pPr>
        <w:pStyle w:val="Kop1"/>
        <w:numPr>
          <w:ilvl w:val="0"/>
          <w:numId w:val="4"/>
        </w:numPr>
        <w:spacing w:after="360"/>
        <w:jc w:val="both"/>
      </w:pPr>
      <w:bookmarkStart w:id="9" w:name="_Toc500491636"/>
      <w:r w:rsidRPr="004061A6">
        <w:lastRenderedPageBreak/>
        <w:t>Conclusion</w:t>
      </w:r>
      <w:bookmarkEnd w:id="9"/>
    </w:p>
    <w:p w:rsidR="00D90D48" w:rsidRPr="00B037E8" w:rsidRDefault="00D90D48" w:rsidP="00D90D48">
      <w:pPr>
        <w:rPr>
          <w:b/>
          <w:sz w:val="22"/>
        </w:rPr>
      </w:pPr>
      <w:r w:rsidRPr="00B037E8">
        <w:rPr>
          <w:b/>
          <w:sz w:val="22"/>
        </w:rPr>
        <w:t>First renewal authorisation:</w:t>
      </w:r>
    </w:p>
    <w:p w:rsidR="00D90D48" w:rsidRDefault="00F67601" w:rsidP="00D90D48">
      <w:r>
        <w:t>Originally,</w:t>
      </w:r>
      <w:r w:rsidR="00D90D48">
        <w:t xml:space="preserve"> MAKI</w:t>
      </w:r>
      <w:r w:rsidR="00D90D48" w:rsidRPr="00212B9B">
        <w:t xml:space="preserve"> PAT’ </w:t>
      </w:r>
      <w:r>
        <w:t xml:space="preserve">is </w:t>
      </w:r>
      <w:r w:rsidR="00D90D48">
        <w:t xml:space="preserve">authorised </w:t>
      </w:r>
      <w:r w:rsidR="00D90D48" w:rsidRPr="00212B9B">
        <w:t xml:space="preserve">as a rodenticide against rats and </w:t>
      </w:r>
      <w:r w:rsidR="00D90D48">
        <w:t xml:space="preserve">house </w:t>
      </w:r>
      <w:r w:rsidR="00D90D48" w:rsidRPr="00212B9B">
        <w:t>mice for the following use</w:t>
      </w:r>
      <w:r w:rsidR="001C46CA">
        <w:t>s</w:t>
      </w:r>
      <w:r w:rsidR="00D90D48" w:rsidRPr="00212B9B">
        <w:t>: in and around buildings (professional and non-professional use), open areas (professional use only) and waste dump</w:t>
      </w:r>
      <w:r w:rsidR="00D90D48">
        <w:t>s</w:t>
      </w:r>
      <w:r w:rsidR="00D90D48" w:rsidRPr="00212B9B">
        <w:t xml:space="preserve"> (professional use only).</w:t>
      </w:r>
      <w:r w:rsidR="00D90D48">
        <w:t xml:space="preserve"> For the renewal </w:t>
      </w:r>
      <w:r>
        <w:t xml:space="preserve">application </w:t>
      </w:r>
      <w:r w:rsidR="00D90D48">
        <w:t>of the product</w:t>
      </w:r>
      <w:r>
        <w:t>,</w:t>
      </w:r>
      <w:r w:rsidR="00D90D48">
        <w:t xml:space="preserve"> the intended use</w:t>
      </w:r>
      <w:r>
        <w:t>s</w:t>
      </w:r>
      <w:r w:rsidR="00D90D48">
        <w:t xml:space="preserve"> as a rodenticide against rats and house mice </w:t>
      </w:r>
      <w:r>
        <w:t>are modified to</w:t>
      </w:r>
      <w:r w:rsidR="00D90D48">
        <w:t xml:space="preserve"> the following use</w:t>
      </w:r>
      <w:r w:rsidR="001C46CA">
        <w:t>s</w:t>
      </w:r>
      <w:r w:rsidR="00D90D48">
        <w:t xml:space="preserve">: in and around buildings by (trained) professionals and in open areas and waste dumps by trained professionals only. </w:t>
      </w:r>
      <w:r w:rsidR="00305436">
        <w:t>Use by trained professionals includes permanent baiting.</w:t>
      </w:r>
      <w:r w:rsidR="00D90D48">
        <w:t xml:space="preserve"> Use of the product by non-professionals is no longer intended. This is due to the fact the product </w:t>
      </w:r>
      <w:r>
        <w:t>will be</w:t>
      </w:r>
      <w:r w:rsidR="00D90D48">
        <w:t xml:space="preserve"> classified with Repr. 1B after application of the 9</w:t>
      </w:r>
      <w:r w:rsidR="00D90D48" w:rsidRPr="00B037E8">
        <w:rPr>
          <w:vertAlign w:val="superscript"/>
        </w:rPr>
        <w:t>th</w:t>
      </w:r>
      <w:r w:rsidR="00D90D48">
        <w:t xml:space="preserve"> ATP on March 01, 2018. Non-professional use will not be permitted after this date.</w:t>
      </w:r>
    </w:p>
    <w:p w:rsidR="006566EA" w:rsidRDefault="00D90D48" w:rsidP="00D90D48">
      <w:pPr>
        <w:rPr>
          <w:szCs w:val="22"/>
        </w:rPr>
      </w:pPr>
      <w:r>
        <w:rPr>
          <w:szCs w:val="22"/>
        </w:rPr>
        <w:t xml:space="preserve">The  Dutch CA considers the information provided for the first authorisation sufficient for the renewal of the product. Therefore, the first renewal </w:t>
      </w:r>
      <w:r w:rsidR="00D57FB5">
        <w:rPr>
          <w:szCs w:val="22"/>
        </w:rPr>
        <w:t xml:space="preserve">evaluation </w:t>
      </w:r>
      <w:r>
        <w:rPr>
          <w:szCs w:val="22"/>
        </w:rPr>
        <w:t xml:space="preserve">of MAKI PAT’  against rats and house mice </w:t>
      </w:r>
      <w:r w:rsidR="00D57FB5">
        <w:rPr>
          <w:szCs w:val="22"/>
        </w:rPr>
        <w:t xml:space="preserve">includes </w:t>
      </w:r>
      <w:r>
        <w:rPr>
          <w:szCs w:val="22"/>
        </w:rPr>
        <w:t>the following use</w:t>
      </w:r>
      <w:r w:rsidR="00D57FB5">
        <w:rPr>
          <w:szCs w:val="22"/>
        </w:rPr>
        <w:t>s</w:t>
      </w:r>
      <w:r>
        <w:rPr>
          <w:szCs w:val="22"/>
        </w:rPr>
        <w:t xml:space="preserve"> : in and around buildings by (trained) professionals and in open areas and waste dumps by trained professionals only.</w:t>
      </w:r>
      <w:r w:rsidR="00305436">
        <w:rPr>
          <w:szCs w:val="22"/>
        </w:rPr>
        <w:t xml:space="preserve"> Use by trained professionals includes permanent baiting.</w:t>
      </w:r>
      <w:r w:rsidR="001D363E">
        <w:rPr>
          <w:szCs w:val="22"/>
        </w:rPr>
        <w:t xml:space="preserve"> The uses </w:t>
      </w:r>
      <w:r w:rsidR="00F67601">
        <w:rPr>
          <w:szCs w:val="22"/>
        </w:rPr>
        <w:t xml:space="preserve">for mice and rats </w:t>
      </w:r>
      <w:r w:rsidR="001D363E">
        <w:rPr>
          <w:szCs w:val="22"/>
        </w:rPr>
        <w:t xml:space="preserve">have been split due to the risk assessment for human health as </w:t>
      </w:r>
      <w:r w:rsidR="0082770E">
        <w:rPr>
          <w:szCs w:val="22"/>
        </w:rPr>
        <w:t xml:space="preserve">the smaller </w:t>
      </w:r>
      <w:r w:rsidR="001D363E">
        <w:rPr>
          <w:szCs w:val="22"/>
        </w:rPr>
        <w:t xml:space="preserve">sachet sizes are only safely applicable for mice. </w:t>
      </w:r>
    </w:p>
    <w:p w:rsidR="00653241" w:rsidRDefault="00653241" w:rsidP="00653241">
      <w:pPr>
        <w:rPr>
          <w:szCs w:val="22"/>
        </w:rPr>
      </w:pPr>
    </w:p>
    <w:tbl>
      <w:tblPr>
        <w:tblStyle w:val="Tabelraster"/>
        <w:tblW w:w="0" w:type="auto"/>
        <w:tblLook w:val="04A0" w:firstRow="1" w:lastRow="0" w:firstColumn="1" w:lastColumn="0" w:noHBand="0" w:noVBand="1"/>
      </w:tblPr>
      <w:tblGrid>
        <w:gridCol w:w="530"/>
        <w:gridCol w:w="4072"/>
        <w:gridCol w:w="392"/>
        <w:gridCol w:w="4210"/>
      </w:tblGrid>
      <w:tr w:rsidR="00D90D48" w:rsidTr="007D57CE">
        <w:tc>
          <w:tcPr>
            <w:tcW w:w="4602" w:type="dxa"/>
            <w:gridSpan w:val="2"/>
            <w:shd w:val="clear" w:color="auto" w:fill="BFBFBF" w:themeFill="background1" w:themeFillShade="BF"/>
          </w:tcPr>
          <w:p w:rsidR="00D90D48" w:rsidRDefault="001A37E7" w:rsidP="009935EA">
            <w:pPr>
              <w:pStyle w:val="Tablehead0"/>
            </w:pPr>
            <w:r>
              <w:t>U</w:t>
            </w:r>
            <w:r w:rsidRPr="006E000B">
              <w:t>se(s) considered appropriate for authorisation after former assessment (uses currently under authorisation)</w:t>
            </w:r>
          </w:p>
        </w:tc>
        <w:tc>
          <w:tcPr>
            <w:tcW w:w="4602" w:type="dxa"/>
            <w:gridSpan w:val="2"/>
            <w:shd w:val="clear" w:color="auto" w:fill="BFBFBF" w:themeFill="background1" w:themeFillShade="BF"/>
          </w:tcPr>
          <w:p w:rsidR="00D90D48" w:rsidRDefault="00D90D48" w:rsidP="007D57CE">
            <w:pPr>
              <w:pStyle w:val="Tablehead0"/>
            </w:pPr>
            <w:r w:rsidRPr="006E000B">
              <w:t>Use</w:t>
            </w:r>
            <w:r>
              <w:t>(s)</w:t>
            </w:r>
            <w:r w:rsidRPr="006E000B">
              <w:t xml:space="preserve"> appropriate for </w:t>
            </w:r>
            <w:r w:rsidRPr="0015774D">
              <w:rPr>
                <w:i/>
              </w:rPr>
              <w:t>further</w:t>
            </w:r>
            <w:r w:rsidRPr="006E000B">
              <w:t xml:space="preserve"> authorisation</w:t>
            </w:r>
            <w:r>
              <w:t xml:space="preserve"> (first renewal authorisation)</w:t>
            </w:r>
          </w:p>
        </w:tc>
      </w:tr>
      <w:tr w:rsidR="001D363E" w:rsidTr="007D57CE">
        <w:trPr>
          <w:trHeight w:val="780"/>
        </w:trPr>
        <w:tc>
          <w:tcPr>
            <w:tcW w:w="530" w:type="dxa"/>
            <w:vMerge w:val="restart"/>
          </w:tcPr>
          <w:p w:rsidR="001D363E" w:rsidRPr="000345DB" w:rsidRDefault="001D363E" w:rsidP="007D57CE">
            <w:pPr>
              <w:spacing w:line="260" w:lineRule="atLeast"/>
              <w:rPr>
                <w:rFonts w:eastAsia="Calibri" w:cs="Arial"/>
                <w:lang w:eastAsia="en-US"/>
              </w:rPr>
            </w:pPr>
            <w:r w:rsidRPr="000345DB">
              <w:rPr>
                <w:rFonts w:eastAsia="Calibri" w:cs="Arial"/>
                <w:lang w:eastAsia="en-US"/>
              </w:rPr>
              <w:t>1</w:t>
            </w:r>
          </w:p>
        </w:tc>
        <w:tc>
          <w:tcPr>
            <w:tcW w:w="4072" w:type="dxa"/>
            <w:vMerge w:val="restart"/>
          </w:tcPr>
          <w:p w:rsidR="001D363E" w:rsidRPr="000345DB" w:rsidRDefault="001D363E" w:rsidP="007D57CE">
            <w:pPr>
              <w:spacing w:line="260" w:lineRule="atLeast"/>
              <w:rPr>
                <w:rFonts w:eastAsia="Calibri" w:cs="Arial"/>
                <w:lang w:eastAsia="en-US"/>
              </w:rPr>
            </w:pPr>
            <w:r>
              <w:rPr>
                <w:rFonts w:eastAsia="Calibri" w:cs="Arial"/>
                <w:lang w:eastAsia="en-US"/>
              </w:rPr>
              <w:t xml:space="preserve">Rats and house mice </w:t>
            </w:r>
            <w:r w:rsidRPr="000345DB">
              <w:rPr>
                <w:rFonts w:eastAsia="Calibri" w:cs="Arial"/>
                <w:lang w:eastAsia="en-US"/>
              </w:rPr>
              <w:t>(</w:t>
            </w:r>
            <w:r>
              <w:rPr>
                <w:rFonts w:eastAsia="Calibri" w:cs="Arial"/>
                <w:lang w:eastAsia="en-US"/>
              </w:rPr>
              <w:t xml:space="preserve">open areas and waste dumps, </w:t>
            </w:r>
            <w:r w:rsidR="00A33C93">
              <w:rPr>
                <w:rFonts w:eastAsia="Calibri" w:cs="Arial"/>
                <w:lang w:eastAsia="en-US"/>
              </w:rPr>
              <w:t xml:space="preserve">trained </w:t>
            </w:r>
            <w:r>
              <w:rPr>
                <w:rFonts w:eastAsia="Calibri" w:cs="Arial"/>
                <w:lang w:eastAsia="en-US"/>
              </w:rPr>
              <w:t>professionals</w:t>
            </w:r>
            <w:r w:rsidRPr="000345DB">
              <w:rPr>
                <w:rFonts w:eastAsia="Calibri" w:cs="Arial"/>
                <w:lang w:eastAsia="en-US"/>
              </w:rPr>
              <w:t>)</w:t>
            </w:r>
            <w:r>
              <w:rPr>
                <w:rFonts w:eastAsia="Calibri" w:cs="Arial"/>
                <w:lang w:eastAsia="en-US"/>
              </w:rPr>
              <w:t xml:space="preserve"> </w:t>
            </w:r>
          </w:p>
        </w:tc>
        <w:tc>
          <w:tcPr>
            <w:tcW w:w="392" w:type="dxa"/>
          </w:tcPr>
          <w:p w:rsidR="001D363E" w:rsidRPr="000345DB" w:rsidRDefault="001D363E" w:rsidP="007D57CE">
            <w:pPr>
              <w:spacing w:line="260" w:lineRule="atLeast"/>
              <w:rPr>
                <w:rFonts w:eastAsia="Calibri" w:cs="Arial"/>
                <w:lang w:eastAsia="en-US"/>
              </w:rPr>
            </w:pPr>
            <w:r w:rsidRPr="000345DB">
              <w:rPr>
                <w:rFonts w:eastAsia="Calibri" w:cs="Arial"/>
                <w:lang w:eastAsia="en-US"/>
              </w:rPr>
              <w:t>1</w:t>
            </w:r>
          </w:p>
        </w:tc>
        <w:tc>
          <w:tcPr>
            <w:tcW w:w="4210" w:type="dxa"/>
          </w:tcPr>
          <w:p w:rsidR="002C5726" w:rsidRPr="000345DB" w:rsidRDefault="001D363E" w:rsidP="00F37F9D">
            <w:pPr>
              <w:spacing w:line="260" w:lineRule="atLeast"/>
              <w:rPr>
                <w:rFonts w:eastAsia="Calibri" w:cs="Arial"/>
                <w:lang w:eastAsia="en-US"/>
              </w:rPr>
            </w:pPr>
            <w:r>
              <w:rPr>
                <w:rFonts w:eastAsia="Calibri" w:cs="Arial"/>
                <w:lang w:eastAsia="en-US"/>
              </w:rPr>
              <w:t>Rats and house mice</w:t>
            </w:r>
            <w:r w:rsidRPr="000345DB">
              <w:rPr>
                <w:rFonts w:eastAsia="Calibri" w:cs="Arial"/>
                <w:lang w:eastAsia="en-US"/>
              </w:rPr>
              <w:t xml:space="preserve"> (in and around buildings</w:t>
            </w:r>
            <w:r w:rsidR="00F37F9D">
              <w:rPr>
                <w:rFonts w:eastAsia="Calibri" w:cs="Arial"/>
                <w:lang w:eastAsia="en-US"/>
              </w:rPr>
              <w:t xml:space="preserve">, </w:t>
            </w:r>
            <w:r>
              <w:rPr>
                <w:rFonts w:eastAsia="Calibri" w:cs="Arial"/>
                <w:lang w:eastAsia="en-US"/>
              </w:rPr>
              <w:t>open areas</w:t>
            </w:r>
            <w:r w:rsidR="002C5726">
              <w:rPr>
                <w:rFonts w:eastAsia="Calibri" w:cs="Arial"/>
                <w:lang w:eastAsia="en-US"/>
              </w:rPr>
              <w:t>), brown rats</w:t>
            </w:r>
            <w:r w:rsidR="00237A53">
              <w:rPr>
                <w:rFonts w:eastAsia="Calibri" w:cs="Arial"/>
                <w:lang w:eastAsia="en-US"/>
              </w:rPr>
              <w:t xml:space="preserve"> </w:t>
            </w:r>
            <w:r w:rsidR="002C5726">
              <w:rPr>
                <w:rFonts w:eastAsia="Calibri" w:cs="Arial"/>
                <w:lang w:eastAsia="en-US"/>
              </w:rPr>
              <w:t>(</w:t>
            </w:r>
            <w:r>
              <w:rPr>
                <w:rFonts w:eastAsia="Calibri" w:cs="Arial"/>
                <w:lang w:eastAsia="en-US"/>
              </w:rPr>
              <w:t>waste dumps</w:t>
            </w:r>
            <w:r w:rsidR="002C5726">
              <w:rPr>
                <w:rFonts w:eastAsia="Calibri" w:cs="Arial"/>
                <w:lang w:eastAsia="en-US"/>
              </w:rPr>
              <w:t>)</w:t>
            </w:r>
            <w:r>
              <w:rPr>
                <w:rFonts w:eastAsia="Calibri" w:cs="Arial"/>
                <w:lang w:eastAsia="en-US"/>
              </w:rPr>
              <w:t xml:space="preserve">, </w:t>
            </w:r>
            <w:r w:rsidR="002C5726">
              <w:rPr>
                <w:rFonts w:eastAsia="Calibri" w:cs="Arial"/>
                <w:lang w:eastAsia="en-US"/>
              </w:rPr>
              <w:t>(</w:t>
            </w:r>
            <w:r w:rsidRPr="000345DB">
              <w:rPr>
                <w:rFonts w:eastAsia="Calibri" w:cs="Arial"/>
                <w:lang w:eastAsia="en-US"/>
              </w:rPr>
              <w:t>trained professionals)</w:t>
            </w:r>
            <w:r>
              <w:rPr>
                <w:rFonts w:eastAsia="Calibri" w:cs="Arial"/>
                <w:lang w:eastAsia="en-US"/>
              </w:rPr>
              <w:t xml:space="preserve"> </w:t>
            </w:r>
            <w:r w:rsidR="0082770E">
              <w:rPr>
                <w:rFonts w:eastAsia="Calibri" w:cs="Arial"/>
                <w:lang w:eastAsia="en-US"/>
              </w:rPr>
              <w:t>Sachet size: 20-40 g</w:t>
            </w:r>
          </w:p>
        </w:tc>
      </w:tr>
      <w:tr w:rsidR="001D363E" w:rsidTr="007D57CE">
        <w:trPr>
          <w:trHeight w:val="780"/>
        </w:trPr>
        <w:tc>
          <w:tcPr>
            <w:tcW w:w="530" w:type="dxa"/>
            <w:vMerge/>
          </w:tcPr>
          <w:p w:rsidR="001D363E" w:rsidRPr="000345DB" w:rsidRDefault="001D363E" w:rsidP="007D57CE">
            <w:pPr>
              <w:spacing w:line="260" w:lineRule="atLeast"/>
              <w:rPr>
                <w:rFonts w:eastAsia="Calibri" w:cs="Arial"/>
                <w:lang w:eastAsia="en-US"/>
              </w:rPr>
            </w:pPr>
          </w:p>
        </w:tc>
        <w:tc>
          <w:tcPr>
            <w:tcW w:w="4072" w:type="dxa"/>
            <w:vMerge/>
          </w:tcPr>
          <w:p w:rsidR="001D363E" w:rsidRDefault="001D363E" w:rsidP="007D57CE">
            <w:pPr>
              <w:spacing w:line="260" w:lineRule="atLeast"/>
              <w:rPr>
                <w:rFonts w:eastAsia="Calibri" w:cs="Arial"/>
                <w:lang w:eastAsia="en-US"/>
              </w:rPr>
            </w:pPr>
          </w:p>
        </w:tc>
        <w:tc>
          <w:tcPr>
            <w:tcW w:w="392" w:type="dxa"/>
          </w:tcPr>
          <w:p w:rsidR="001D363E" w:rsidRPr="000345DB" w:rsidRDefault="001D363E" w:rsidP="007D57CE">
            <w:pPr>
              <w:spacing w:line="260" w:lineRule="atLeast"/>
              <w:rPr>
                <w:rFonts w:eastAsia="Calibri" w:cs="Arial"/>
                <w:lang w:eastAsia="en-US"/>
              </w:rPr>
            </w:pPr>
            <w:r>
              <w:rPr>
                <w:rFonts w:eastAsia="Calibri" w:cs="Arial"/>
                <w:lang w:eastAsia="en-US"/>
              </w:rPr>
              <w:t>2</w:t>
            </w:r>
          </w:p>
        </w:tc>
        <w:tc>
          <w:tcPr>
            <w:tcW w:w="4210" w:type="dxa"/>
          </w:tcPr>
          <w:p w:rsidR="001D363E" w:rsidRDefault="001D363E" w:rsidP="0082770E">
            <w:pPr>
              <w:spacing w:line="260" w:lineRule="atLeast"/>
              <w:rPr>
                <w:rFonts w:eastAsia="Calibri" w:cs="Arial"/>
                <w:lang w:eastAsia="en-US"/>
              </w:rPr>
            </w:pPr>
            <w:r>
              <w:rPr>
                <w:rFonts w:eastAsia="Calibri" w:cs="Arial"/>
                <w:lang w:eastAsia="en-US"/>
              </w:rPr>
              <w:t xml:space="preserve">House mice </w:t>
            </w:r>
            <w:r w:rsidRPr="000345DB">
              <w:rPr>
                <w:rFonts w:eastAsia="Calibri" w:cs="Arial"/>
                <w:lang w:eastAsia="en-US"/>
              </w:rPr>
              <w:t>(in and around buildings,</w:t>
            </w:r>
            <w:r w:rsidR="003438D5">
              <w:rPr>
                <w:rFonts w:eastAsia="Calibri" w:cs="Arial"/>
                <w:lang w:eastAsia="en-US"/>
              </w:rPr>
              <w:t xml:space="preserve"> open areas,</w:t>
            </w:r>
            <w:r w:rsidRPr="000345DB">
              <w:rPr>
                <w:rFonts w:eastAsia="Calibri" w:cs="Arial"/>
                <w:lang w:eastAsia="en-US"/>
              </w:rPr>
              <w:t xml:space="preserve"> trained professionals)</w:t>
            </w:r>
            <w:r w:rsidR="0082770E">
              <w:rPr>
                <w:rFonts w:eastAsia="Calibri" w:cs="Arial"/>
                <w:lang w:eastAsia="en-US"/>
              </w:rPr>
              <w:t xml:space="preserve"> Sachet size:10-15 g.</w:t>
            </w:r>
          </w:p>
        </w:tc>
      </w:tr>
      <w:tr w:rsidR="001D363E" w:rsidTr="007D57CE">
        <w:tc>
          <w:tcPr>
            <w:tcW w:w="530" w:type="dxa"/>
            <w:vMerge w:val="restart"/>
          </w:tcPr>
          <w:p w:rsidR="001D363E" w:rsidRPr="000345DB" w:rsidRDefault="001D363E" w:rsidP="007D57CE">
            <w:pPr>
              <w:spacing w:line="260" w:lineRule="atLeast"/>
              <w:rPr>
                <w:rFonts w:eastAsia="Calibri" w:cs="Arial"/>
                <w:lang w:eastAsia="en-US"/>
              </w:rPr>
            </w:pPr>
            <w:r>
              <w:rPr>
                <w:rFonts w:eastAsia="Calibri" w:cs="Arial"/>
                <w:lang w:eastAsia="en-US"/>
              </w:rPr>
              <w:t>2</w:t>
            </w:r>
          </w:p>
        </w:tc>
        <w:tc>
          <w:tcPr>
            <w:tcW w:w="4072" w:type="dxa"/>
            <w:vMerge w:val="restart"/>
          </w:tcPr>
          <w:p w:rsidR="001D363E" w:rsidRPr="000345DB" w:rsidRDefault="001D363E" w:rsidP="00A33C93">
            <w:pPr>
              <w:spacing w:line="260" w:lineRule="atLeast"/>
              <w:rPr>
                <w:rFonts w:eastAsia="Calibri" w:cs="Arial"/>
                <w:lang w:eastAsia="en-US"/>
              </w:rPr>
            </w:pPr>
            <w:r>
              <w:rPr>
                <w:rFonts w:eastAsia="Calibri" w:cs="Arial"/>
                <w:lang w:eastAsia="en-US"/>
              </w:rPr>
              <w:t>Rats and house mice (in and around buildings, professionals)</w:t>
            </w:r>
          </w:p>
        </w:tc>
        <w:tc>
          <w:tcPr>
            <w:tcW w:w="392" w:type="dxa"/>
          </w:tcPr>
          <w:p w:rsidR="001D363E" w:rsidRPr="000345DB" w:rsidRDefault="001D363E" w:rsidP="007D57CE">
            <w:pPr>
              <w:spacing w:line="260" w:lineRule="atLeast"/>
              <w:rPr>
                <w:rFonts w:eastAsia="Calibri" w:cs="Arial"/>
                <w:lang w:eastAsia="en-US"/>
              </w:rPr>
            </w:pPr>
            <w:r>
              <w:rPr>
                <w:rFonts w:eastAsia="Calibri" w:cs="Arial"/>
                <w:lang w:eastAsia="en-US"/>
              </w:rPr>
              <w:t>3</w:t>
            </w:r>
          </w:p>
        </w:tc>
        <w:tc>
          <w:tcPr>
            <w:tcW w:w="4210" w:type="dxa"/>
          </w:tcPr>
          <w:p w:rsidR="001D363E" w:rsidRPr="000345DB" w:rsidRDefault="001D363E" w:rsidP="007D57CE">
            <w:pPr>
              <w:spacing w:line="260" w:lineRule="atLeast"/>
              <w:rPr>
                <w:rFonts w:eastAsia="Calibri" w:cs="Arial"/>
                <w:lang w:eastAsia="en-US"/>
              </w:rPr>
            </w:pPr>
            <w:r>
              <w:rPr>
                <w:rFonts w:eastAsia="Calibri" w:cs="Arial"/>
                <w:lang w:eastAsia="en-US"/>
              </w:rPr>
              <w:t>Rats and house mice (in and around buildings, professionals)</w:t>
            </w:r>
            <w:r w:rsidR="0082770E">
              <w:rPr>
                <w:rFonts w:eastAsia="Calibri" w:cs="Arial"/>
                <w:lang w:eastAsia="en-US"/>
              </w:rPr>
              <w:t xml:space="preserve"> Sachet size 20-40 g</w:t>
            </w:r>
          </w:p>
        </w:tc>
      </w:tr>
      <w:tr w:rsidR="001D363E" w:rsidTr="007D57CE">
        <w:tc>
          <w:tcPr>
            <w:tcW w:w="530" w:type="dxa"/>
            <w:vMerge/>
          </w:tcPr>
          <w:p w:rsidR="001D363E" w:rsidRDefault="001D363E" w:rsidP="007D57CE">
            <w:pPr>
              <w:spacing w:line="260" w:lineRule="atLeast"/>
              <w:rPr>
                <w:rFonts w:eastAsia="Calibri" w:cs="Arial"/>
                <w:lang w:eastAsia="en-US"/>
              </w:rPr>
            </w:pPr>
          </w:p>
        </w:tc>
        <w:tc>
          <w:tcPr>
            <w:tcW w:w="4072" w:type="dxa"/>
            <w:vMerge/>
          </w:tcPr>
          <w:p w:rsidR="001D363E" w:rsidRDefault="001D363E" w:rsidP="007D57CE">
            <w:pPr>
              <w:spacing w:line="260" w:lineRule="atLeast"/>
              <w:rPr>
                <w:rFonts w:eastAsia="Calibri" w:cs="Arial"/>
                <w:lang w:eastAsia="en-US"/>
              </w:rPr>
            </w:pPr>
          </w:p>
        </w:tc>
        <w:tc>
          <w:tcPr>
            <w:tcW w:w="392" w:type="dxa"/>
          </w:tcPr>
          <w:p w:rsidR="001D363E" w:rsidRDefault="0082770E" w:rsidP="007D57CE">
            <w:pPr>
              <w:spacing w:line="260" w:lineRule="atLeast"/>
              <w:rPr>
                <w:rFonts w:eastAsia="Calibri" w:cs="Arial"/>
                <w:lang w:eastAsia="en-US"/>
              </w:rPr>
            </w:pPr>
            <w:r>
              <w:rPr>
                <w:rFonts w:eastAsia="Calibri" w:cs="Arial"/>
                <w:lang w:eastAsia="en-US"/>
              </w:rPr>
              <w:t>4</w:t>
            </w:r>
          </w:p>
        </w:tc>
        <w:tc>
          <w:tcPr>
            <w:tcW w:w="4210" w:type="dxa"/>
          </w:tcPr>
          <w:p w:rsidR="001D363E" w:rsidRDefault="0082770E" w:rsidP="007D57CE">
            <w:pPr>
              <w:spacing w:line="260" w:lineRule="atLeast"/>
              <w:rPr>
                <w:rFonts w:eastAsia="Calibri" w:cs="Arial"/>
                <w:lang w:eastAsia="en-US"/>
              </w:rPr>
            </w:pPr>
            <w:r>
              <w:rPr>
                <w:rFonts w:eastAsia="Calibri" w:cs="Arial"/>
                <w:lang w:eastAsia="en-US"/>
              </w:rPr>
              <w:t>House mice (in and around buildings, professionals). Sachet size: 10-15 g</w:t>
            </w:r>
          </w:p>
        </w:tc>
      </w:tr>
    </w:tbl>
    <w:p w:rsidR="00D90D48" w:rsidRDefault="00D90D48" w:rsidP="00653241">
      <w:pPr>
        <w:rPr>
          <w:szCs w:val="22"/>
        </w:rPr>
      </w:pPr>
    </w:p>
    <w:p w:rsidR="00D90D48" w:rsidRDefault="00D90D48" w:rsidP="00D90D48">
      <w:r>
        <w:t xml:space="preserve">Some </w:t>
      </w:r>
      <w:r w:rsidRPr="00212B9B">
        <w:t xml:space="preserve"> restrictions </w:t>
      </w:r>
      <w:r w:rsidR="009935EA">
        <w:t>in usage</w:t>
      </w:r>
      <w:r>
        <w:t xml:space="preserve"> </w:t>
      </w:r>
      <w:r w:rsidRPr="00212B9B">
        <w:t>are necessary to prevent access of</w:t>
      </w:r>
      <w:r>
        <w:t xml:space="preserve"> children and</w:t>
      </w:r>
      <w:r w:rsidRPr="00212B9B">
        <w:t xml:space="preserve"> non-t</w:t>
      </w:r>
      <w:r w:rsidRPr="00452037">
        <w:rPr>
          <w:lang w:val="en-US"/>
        </w:rPr>
        <w:t>arget animals to the product</w:t>
      </w:r>
      <w:r w:rsidR="009935EA">
        <w:rPr>
          <w:lang w:val="en-US"/>
        </w:rPr>
        <w:t>. For details</w:t>
      </w:r>
      <w:r w:rsidRPr="00452037">
        <w:rPr>
          <w:lang w:val="en-US"/>
        </w:rPr>
        <w:t>, please refer to the SPC</w:t>
      </w:r>
      <w:r>
        <w:rPr>
          <w:lang w:val="en-US"/>
        </w:rPr>
        <w:t xml:space="preserve"> </w:t>
      </w:r>
      <w:r w:rsidRPr="00931C81">
        <w:rPr>
          <w:lang w:val="en-US"/>
        </w:rPr>
        <w:t>(Su</w:t>
      </w:r>
      <w:r>
        <w:rPr>
          <w:lang w:val="en-US"/>
        </w:rPr>
        <w:t>mmary of product characteristics</w:t>
      </w:r>
      <w:r w:rsidRPr="00931C81">
        <w:rPr>
          <w:lang w:val="en-US"/>
        </w:rPr>
        <w:t>)</w:t>
      </w:r>
      <w:r w:rsidRPr="00452037">
        <w:rPr>
          <w:lang w:val="en-US"/>
        </w:rPr>
        <w:t>. Prior to renewing the approval of anticoagulant active substances and renewing the authorisations of the respective products discussions took place at EU-level to harmonise use instructions and risk mitigation measures to the greatest possible extend. As an outcome of these discussions a set of three standard SPCs compiling the relevant sentences for the uses that</w:t>
      </w:r>
      <w:r w:rsidRPr="00931C81">
        <w:rPr>
          <w:lang w:val="en-US"/>
        </w:rPr>
        <w:t xml:space="preserve"> may be authorised for each of the three user categories (general public, professionals and trained professionals) has been produced (for details please refer to </w:t>
      </w:r>
      <w:r w:rsidRPr="00931C81">
        <w:rPr>
          <w:lang w:val="en-US"/>
        </w:rPr>
        <w:lastRenderedPageBreak/>
        <w:t xml:space="preserve">document CA-Nov16-Doc.4.1.b – Final). The SPC for renewal of </w:t>
      </w:r>
      <w:r>
        <w:t>MAKI</w:t>
      </w:r>
      <w:r w:rsidRPr="00212B9B">
        <w:t xml:space="preserve"> PAT’</w:t>
      </w:r>
      <w:r>
        <w:t xml:space="preserve"> has been updated with the relevant sentences accordingly.</w:t>
      </w:r>
    </w:p>
    <w:p w:rsidR="00132077" w:rsidRDefault="00132077" w:rsidP="00D90D48"/>
    <w:p w:rsidR="00132077" w:rsidRDefault="00132077" w:rsidP="00132077">
      <w:pPr>
        <w:rPr>
          <w:szCs w:val="22"/>
        </w:rPr>
      </w:pPr>
      <w:r w:rsidRPr="00850ED1">
        <w:rPr>
          <w:rFonts w:eastAsia="Calibri" w:cs="Arial"/>
          <w:lang w:eastAsia="en-US"/>
        </w:rPr>
        <w:t xml:space="preserve">NL follows the recommendations on packaging size in the BPC opinion </w:t>
      </w:r>
      <w:r>
        <w:rPr>
          <w:rFonts w:eastAsia="Calibri" w:cs="Arial"/>
          <w:lang w:eastAsia="en-US"/>
        </w:rPr>
        <w:t>on broma</w:t>
      </w:r>
      <w:r w:rsidRPr="004061A6">
        <w:t>diolone</w:t>
      </w:r>
      <w:r>
        <w:t>.</w:t>
      </w:r>
      <w:r w:rsidRPr="00850ED1">
        <w:rPr>
          <w:rFonts w:eastAsia="Calibri" w:cs="Arial"/>
          <w:lang w:eastAsia="en-US"/>
        </w:rPr>
        <w:t xml:space="preserve"> The minimum pack size is therefore set </w:t>
      </w:r>
      <w:r>
        <w:rPr>
          <w:rFonts w:eastAsia="Calibri" w:cs="Arial"/>
          <w:lang w:eastAsia="en-US"/>
        </w:rPr>
        <w:t>at</w:t>
      </w:r>
      <w:r w:rsidRPr="00850ED1">
        <w:rPr>
          <w:rFonts w:eastAsia="Calibri" w:cs="Arial"/>
          <w:lang w:eastAsia="en-US"/>
        </w:rPr>
        <w:t xml:space="preserve"> 5 kg</w:t>
      </w:r>
      <w:r w:rsidR="00821C57">
        <w:rPr>
          <w:rFonts w:eastAsia="Calibri" w:cs="Arial"/>
          <w:lang w:eastAsia="en-US"/>
        </w:rPr>
        <w:t xml:space="preserve">, whereas packaging sizes as proposed by the applicant did not specify a minimum, and a plastic container up to 1.5 kg was also applied for. </w:t>
      </w:r>
    </w:p>
    <w:p w:rsidR="00132077" w:rsidRDefault="00132077" w:rsidP="00D90D48"/>
    <w:p w:rsidR="00D90D48" w:rsidRDefault="00D90D48" w:rsidP="00D90D48"/>
    <w:p w:rsidR="00D90D48" w:rsidRPr="009F00B1" w:rsidRDefault="00D90D48" w:rsidP="00D90D48">
      <w:pPr>
        <w:rPr>
          <w:b/>
          <w:sz w:val="22"/>
        </w:rPr>
      </w:pPr>
      <w:r w:rsidRPr="009F00B1">
        <w:rPr>
          <w:b/>
          <w:sz w:val="22"/>
        </w:rPr>
        <w:t>National specific regulations in the Netherlands:</w:t>
      </w:r>
    </w:p>
    <w:p w:rsidR="00D90D48" w:rsidRDefault="00D90D48" w:rsidP="00D90D48">
      <w:r>
        <w:t>Due to Dutch national specific regulations in the Netherlands,</w:t>
      </w:r>
      <w:r w:rsidRPr="00B8095F">
        <w:t xml:space="preserve"> only trained professionals are allowed to apply </w:t>
      </w:r>
      <w:r w:rsidR="009935EA">
        <w:t xml:space="preserve">these </w:t>
      </w:r>
      <w:r w:rsidRPr="00B8095F">
        <w:t>rodenticides (no professional use)</w:t>
      </w:r>
      <w:r w:rsidR="009935EA">
        <w:t>. An</w:t>
      </w:r>
      <w:r>
        <w:t xml:space="preserve"> </w:t>
      </w:r>
      <w:r w:rsidRPr="00B8095F">
        <w:t>additional IPM training is needed for outdoor application of rodenticides</w:t>
      </w:r>
      <w:r>
        <w:t xml:space="preserve"> (around buildings and food storage locations). </w:t>
      </w:r>
      <w:r w:rsidRPr="00B8095F">
        <w:t>In addition, the use against house mice is restricted to use in buildings</w:t>
      </w:r>
      <w:r w:rsidR="00D82AAE">
        <w:t>,</w:t>
      </w:r>
      <w:r w:rsidRPr="00B8095F">
        <w:t xml:space="preserve"> an</w:t>
      </w:r>
      <w:r>
        <w:t xml:space="preserve">d for both house mice and rats </w:t>
      </w:r>
      <w:r w:rsidRPr="00B8095F">
        <w:t>use in covered and protec</w:t>
      </w:r>
      <w:r w:rsidR="0017745F">
        <w:t>ted bait points is not allowed</w:t>
      </w:r>
      <w:r w:rsidRPr="00B8095F">
        <w:t>.</w:t>
      </w:r>
      <w:r>
        <w:t xml:space="preserve"> </w:t>
      </w:r>
      <w:r w:rsidR="00D82AAE">
        <w:t>Furthermore</w:t>
      </w:r>
      <w:r>
        <w:t xml:space="preserve">, </w:t>
      </w:r>
      <w:r w:rsidR="00D82AAE">
        <w:t xml:space="preserve">in the Netherlands, the </w:t>
      </w:r>
      <w:r>
        <w:t>use of anticoagulants is not approved for open areas and/or waste dumps</w:t>
      </w:r>
      <w:r w:rsidR="00D82AAE">
        <w:t>,</w:t>
      </w:r>
      <w:r w:rsidR="00305436">
        <w:t xml:space="preserve"> </w:t>
      </w:r>
      <w:r w:rsidR="00305436" w:rsidRPr="00D82AAE">
        <w:t>and p</w:t>
      </w:r>
      <w:r w:rsidR="00B0097A" w:rsidRPr="00D82AAE">
        <w:t>ermanent baiting is not allowed.</w:t>
      </w:r>
    </w:p>
    <w:p w:rsidR="00D90D48" w:rsidRDefault="00D90D48" w:rsidP="00D90D48"/>
    <w:p w:rsidR="00D90D48" w:rsidRDefault="00D90D48" w:rsidP="00D90D48">
      <w:r>
        <w:t xml:space="preserve">Therefore, in the Netherlands the authorised use of this product will </w:t>
      </w:r>
      <w:r w:rsidR="00D82AAE">
        <w:t>be restricted to the</w:t>
      </w:r>
      <w:r>
        <w:t xml:space="preserve"> use in buildings against rats and house mice </w:t>
      </w:r>
      <w:r w:rsidR="00B00602">
        <w:t xml:space="preserve">and the use around buildings and food storage locations against rats </w:t>
      </w:r>
      <w:r>
        <w:t>by trained professionals . The only application method of the product in the Netherlands will be in tamper-resistant bait boxes.</w:t>
      </w:r>
    </w:p>
    <w:p w:rsidR="00A27AB7" w:rsidRDefault="00A27AB7" w:rsidP="00D90D48"/>
    <w:tbl>
      <w:tblPr>
        <w:tblStyle w:val="Tabelraster"/>
        <w:tblW w:w="0" w:type="auto"/>
        <w:tblLook w:val="04A0" w:firstRow="1" w:lastRow="0" w:firstColumn="1" w:lastColumn="0" w:noHBand="0" w:noVBand="1"/>
      </w:tblPr>
      <w:tblGrid>
        <w:gridCol w:w="530"/>
        <w:gridCol w:w="4072"/>
        <w:gridCol w:w="392"/>
        <w:gridCol w:w="4210"/>
      </w:tblGrid>
      <w:tr w:rsidR="00D90D48" w:rsidTr="007D57CE">
        <w:tc>
          <w:tcPr>
            <w:tcW w:w="4602" w:type="dxa"/>
            <w:gridSpan w:val="2"/>
            <w:shd w:val="clear" w:color="auto" w:fill="BFBFBF" w:themeFill="background1" w:themeFillShade="BF"/>
          </w:tcPr>
          <w:p w:rsidR="00D90D48" w:rsidRDefault="001A37E7" w:rsidP="00D82AAE">
            <w:pPr>
              <w:pStyle w:val="Tablehead0"/>
            </w:pPr>
            <w:r>
              <w:t>U</w:t>
            </w:r>
            <w:r w:rsidRPr="006E000B">
              <w:t>se(s) considered appropriate for authorisation after former assessment (uses currently under authorisation</w:t>
            </w:r>
            <w:r>
              <w:t xml:space="preserve"> in Netherlands</w:t>
            </w:r>
            <w:r w:rsidRPr="006E000B">
              <w:t>)</w:t>
            </w:r>
          </w:p>
        </w:tc>
        <w:tc>
          <w:tcPr>
            <w:tcW w:w="4602" w:type="dxa"/>
            <w:gridSpan w:val="2"/>
            <w:shd w:val="clear" w:color="auto" w:fill="BFBFBF" w:themeFill="background1" w:themeFillShade="BF"/>
          </w:tcPr>
          <w:p w:rsidR="00D90D48" w:rsidRDefault="00D90D48" w:rsidP="007D57CE">
            <w:pPr>
              <w:pStyle w:val="Tablehead0"/>
            </w:pPr>
            <w:r w:rsidRPr="006E000B">
              <w:t>Use</w:t>
            </w:r>
            <w:r>
              <w:t>(s)</w:t>
            </w:r>
            <w:r w:rsidRPr="006E000B">
              <w:t xml:space="preserve"> appropriate for </w:t>
            </w:r>
            <w:r w:rsidRPr="0015774D">
              <w:rPr>
                <w:i/>
              </w:rPr>
              <w:t>further</w:t>
            </w:r>
            <w:r w:rsidRPr="006E000B">
              <w:t xml:space="preserve"> authorisation</w:t>
            </w:r>
            <w:r>
              <w:t xml:space="preserve"> in the Netherlands (first renewal authorisation).</w:t>
            </w:r>
          </w:p>
        </w:tc>
      </w:tr>
      <w:tr w:rsidR="001D363E" w:rsidTr="007D57CE">
        <w:trPr>
          <w:trHeight w:val="780"/>
        </w:trPr>
        <w:tc>
          <w:tcPr>
            <w:tcW w:w="530" w:type="dxa"/>
            <w:vMerge w:val="restart"/>
          </w:tcPr>
          <w:p w:rsidR="001D363E" w:rsidRPr="000345DB" w:rsidRDefault="001D363E" w:rsidP="007D57CE">
            <w:pPr>
              <w:spacing w:line="260" w:lineRule="atLeast"/>
              <w:rPr>
                <w:rFonts w:eastAsia="Calibri" w:cs="Arial"/>
                <w:lang w:eastAsia="en-US"/>
              </w:rPr>
            </w:pPr>
            <w:r w:rsidRPr="000345DB">
              <w:rPr>
                <w:rFonts w:eastAsia="Calibri" w:cs="Arial"/>
                <w:lang w:eastAsia="en-US"/>
              </w:rPr>
              <w:t>1</w:t>
            </w:r>
          </w:p>
        </w:tc>
        <w:tc>
          <w:tcPr>
            <w:tcW w:w="4072" w:type="dxa"/>
            <w:vMerge w:val="restart"/>
          </w:tcPr>
          <w:p w:rsidR="001D363E" w:rsidRPr="000345DB" w:rsidRDefault="001D363E" w:rsidP="00690901">
            <w:pPr>
              <w:spacing w:line="260" w:lineRule="atLeast"/>
              <w:rPr>
                <w:rFonts w:eastAsia="Calibri" w:cs="Arial"/>
                <w:lang w:eastAsia="en-US"/>
              </w:rPr>
            </w:pPr>
            <w:r>
              <w:rPr>
                <w:rFonts w:eastAsia="Calibri" w:cs="Arial"/>
                <w:lang w:eastAsia="en-US"/>
              </w:rPr>
              <w:t xml:space="preserve">Rats and house mice </w:t>
            </w:r>
            <w:r w:rsidRPr="000345DB">
              <w:rPr>
                <w:rFonts w:eastAsia="Calibri" w:cs="Arial"/>
                <w:lang w:eastAsia="en-US"/>
              </w:rPr>
              <w:t>(</w:t>
            </w:r>
            <w:r>
              <w:rPr>
                <w:rFonts w:eastAsia="Calibri" w:cs="Arial"/>
                <w:lang w:eastAsia="en-US"/>
              </w:rPr>
              <w:t xml:space="preserve">in </w:t>
            </w:r>
            <w:r w:rsidR="00465B52">
              <w:rPr>
                <w:rFonts w:eastAsia="Calibri" w:cs="Arial"/>
                <w:lang w:eastAsia="en-US"/>
              </w:rPr>
              <w:t xml:space="preserve">and around </w:t>
            </w:r>
            <w:r>
              <w:rPr>
                <w:rFonts w:eastAsia="Calibri" w:cs="Arial"/>
                <w:lang w:eastAsia="en-US"/>
              </w:rPr>
              <w:t>buildings</w:t>
            </w:r>
            <w:r w:rsidR="00465B52">
              <w:rPr>
                <w:rFonts w:eastAsia="Calibri" w:cs="Arial"/>
                <w:lang w:eastAsia="en-US"/>
              </w:rPr>
              <w:t xml:space="preserve"> and food storage locations</w:t>
            </w:r>
            <w:r>
              <w:rPr>
                <w:rFonts w:eastAsia="Calibri" w:cs="Arial"/>
                <w:lang w:eastAsia="en-US"/>
              </w:rPr>
              <w:t>, professionals</w:t>
            </w:r>
            <w:r w:rsidRPr="000345DB">
              <w:rPr>
                <w:rFonts w:eastAsia="Calibri" w:cs="Arial"/>
                <w:lang w:eastAsia="en-US"/>
              </w:rPr>
              <w:t>)</w:t>
            </w:r>
            <w:r>
              <w:rPr>
                <w:rFonts w:eastAsia="Calibri" w:cs="Arial"/>
                <w:lang w:eastAsia="en-US"/>
              </w:rPr>
              <w:t xml:space="preserve"> </w:t>
            </w:r>
          </w:p>
        </w:tc>
        <w:tc>
          <w:tcPr>
            <w:tcW w:w="392" w:type="dxa"/>
          </w:tcPr>
          <w:p w:rsidR="001D363E" w:rsidRPr="000345DB" w:rsidRDefault="001D363E" w:rsidP="007D57CE">
            <w:pPr>
              <w:spacing w:line="260" w:lineRule="atLeast"/>
              <w:rPr>
                <w:rFonts w:eastAsia="Calibri" w:cs="Arial"/>
                <w:lang w:eastAsia="en-US"/>
              </w:rPr>
            </w:pPr>
            <w:r w:rsidRPr="000345DB">
              <w:rPr>
                <w:rFonts w:eastAsia="Calibri" w:cs="Arial"/>
                <w:lang w:eastAsia="en-US"/>
              </w:rPr>
              <w:t>1</w:t>
            </w:r>
          </w:p>
        </w:tc>
        <w:tc>
          <w:tcPr>
            <w:tcW w:w="4210" w:type="dxa"/>
          </w:tcPr>
          <w:p w:rsidR="001D363E" w:rsidRPr="000345DB" w:rsidRDefault="001D363E" w:rsidP="005B678C">
            <w:pPr>
              <w:spacing w:line="260" w:lineRule="atLeast"/>
              <w:rPr>
                <w:rFonts w:eastAsia="Calibri" w:cs="Arial"/>
                <w:lang w:eastAsia="en-US"/>
              </w:rPr>
            </w:pPr>
            <w:r>
              <w:rPr>
                <w:rFonts w:eastAsia="Calibri" w:cs="Arial"/>
                <w:lang w:eastAsia="en-US"/>
              </w:rPr>
              <w:t>Rats and house mice (in</w:t>
            </w:r>
            <w:r w:rsidR="005B678C">
              <w:rPr>
                <w:rFonts w:eastAsia="Calibri" w:cs="Arial"/>
                <w:lang w:eastAsia="en-US"/>
              </w:rPr>
              <w:t>door</w:t>
            </w:r>
            <w:r>
              <w:rPr>
                <w:rFonts w:eastAsia="Calibri" w:cs="Arial"/>
                <w:lang w:eastAsia="en-US"/>
              </w:rPr>
              <w:t xml:space="preserve">, </w:t>
            </w:r>
            <w:r w:rsidRPr="000345DB">
              <w:rPr>
                <w:rFonts w:eastAsia="Calibri" w:cs="Arial"/>
                <w:lang w:eastAsia="en-US"/>
              </w:rPr>
              <w:t>trained professionals)</w:t>
            </w:r>
            <w:r w:rsidR="00C27E3A">
              <w:rPr>
                <w:rFonts w:eastAsia="Calibri" w:cs="Arial"/>
                <w:lang w:eastAsia="en-US"/>
              </w:rPr>
              <w:t>. Sachet size: 20-40 g</w:t>
            </w:r>
          </w:p>
        </w:tc>
      </w:tr>
      <w:tr w:rsidR="001D363E" w:rsidTr="007D57CE">
        <w:tc>
          <w:tcPr>
            <w:tcW w:w="530" w:type="dxa"/>
            <w:vMerge/>
          </w:tcPr>
          <w:p w:rsidR="001D363E" w:rsidRPr="000345DB" w:rsidRDefault="001D363E" w:rsidP="007D57CE">
            <w:pPr>
              <w:spacing w:line="260" w:lineRule="atLeast"/>
              <w:rPr>
                <w:rFonts w:eastAsia="Calibri" w:cs="Arial"/>
                <w:lang w:eastAsia="en-US"/>
              </w:rPr>
            </w:pPr>
          </w:p>
        </w:tc>
        <w:tc>
          <w:tcPr>
            <w:tcW w:w="4072" w:type="dxa"/>
            <w:vMerge/>
          </w:tcPr>
          <w:p w:rsidR="001D363E" w:rsidRPr="000345DB" w:rsidRDefault="001D363E" w:rsidP="007D57CE">
            <w:pPr>
              <w:spacing w:line="260" w:lineRule="atLeast"/>
              <w:rPr>
                <w:rFonts w:eastAsia="Calibri" w:cs="Arial"/>
                <w:lang w:eastAsia="en-US"/>
              </w:rPr>
            </w:pPr>
          </w:p>
        </w:tc>
        <w:tc>
          <w:tcPr>
            <w:tcW w:w="392" w:type="dxa"/>
          </w:tcPr>
          <w:p w:rsidR="001D363E" w:rsidRPr="000345DB" w:rsidRDefault="001D363E" w:rsidP="007D57CE">
            <w:pPr>
              <w:spacing w:line="260" w:lineRule="atLeast"/>
              <w:rPr>
                <w:rFonts w:eastAsia="Calibri" w:cs="Arial"/>
                <w:lang w:eastAsia="en-US"/>
              </w:rPr>
            </w:pPr>
            <w:r>
              <w:rPr>
                <w:rFonts w:eastAsia="Calibri" w:cs="Arial"/>
                <w:lang w:eastAsia="en-US"/>
              </w:rPr>
              <w:t>2</w:t>
            </w:r>
          </w:p>
        </w:tc>
        <w:tc>
          <w:tcPr>
            <w:tcW w:w="4210" w:type="dxa"/>
          </w:tcPr>
          <w:p w:rsidR="001D363E" w:rsidRPr="000345DB" w:rsidRDefault="001D363E" w:rsidP="005B678C">
            <w:pPr>
              <w:spacing w:line="260" w:lineRule="atLeast"/>
              <w:rPr>
                <w:rFonts w:eastAsia="Calibri" w:cs="Arial"/>
                <w:lang w:eastAsia="en-US"/>
              </w:rPr>
            </w:pPr>
            <w:r>
              <w:rPr>
                <w:rFonts w:eastAsia="Calibri" w:cs="Arial"/>
                <w:lang w:eastAsia="en-US"/>
              </w:rPr>
              <w:t>House mice</w:t>
            </w:r>
            <w:r w:rsidR="00690901">
              <w:rPr>
                <w:rFonts w:eastAsia="Calibri" w:cs="Arial"/>
                <w:lang w:eastAsia="en-US"/>
              </w:rPr>
              <w:t xml:space="preserve"> (</w:t>
            </w:r>
            <w:r>
              <w:rPr>
                <w:rFonts w:eastAsia="Calibri" w:cs="Arial"/>
                <w:lang w:eastAsia="en-US"/>
              </w:rPr>
              <w:t>in</w:t>
            </w:r>
            <w:r w:rsidR="005B678C">
              <w:rPr>
                <w:rFonts w:eastAsia="Calibri" w:cs="Arial"/>
                <w:lang w:eastAsia="en-US"/>
              </w:rPr>
              <w:t>door</w:t>
            </w:r>
            <w:r>
              <w:rPr>
                <w:rFonts w:eastAsia="Calibri" w:cs="Arial"/>
                <w:lang w:eastAsia="en-US"/>
              </w:rPr>
              <w:t>, trained professionals)</w:t>
            </w:r>
            <w:r w:rsidR="00C27E3A">
              <w:rPr>
                <w:rFonts w:eastAsia="Calibri" w:cs="Arial"/>
                <w:lang w:eastAsia="en-US"/>
              </w:rPr>
              <w:t>. Sachet size: 10-15 g</w:t>
            </w:r>
          </w:p>
        </w:tc>
      </w:tr>
      <w:tr w:rsidR="001D363E" w:rsidTr="007D57CE">
        <w:tc>
          <w:tcPr>
            <w:tcW w:w="530" w:type="dxa"/>
            <w:vMerge/>
          </w:tcPr>
          <w:p w:rsidR="001D363E" w:rsidRPr="000345DB" w:rsidRDefault="001D363E" w:rsidP="007D57CE">
            <w:pPr>
              <w:spacing w:line="260" w:lineRule="atLeast"/>
              <w:rPr>
                <w:rFonts w:eastAsia="Calibri" w:cs="Arial"/>
                <w:lang w:eastAsia="en-US"/>
              </w:rPr>
            </w:pPr>
          </w:p>
        </w:tc>
        <w:tc>
          <w:tcPr>
            <w:tcW w:w="4072" w:type="dxa"/>
            <w:vMerge/>
          </w:tcPr>
          <w:p w:rsidR="001D363E" w:rsidRPr="000345DB" w:rsidRDefault="001D363E" w:rsidP="007D57CE">
            <w:pPr>
              <w:spacing w:line="260" w:lineRule="atLeast"/>
              <w:rPr>
                <w:rFonts w:eastAsia="Calibri" w:cs="Arial"/>
                <w:lang w:eastAsia="en-US"/>
              </w:rPr>
            </w:pPr>
          </w:p>
        </w:tc>
        <w:tc>
          <w:tcPr>
            <w:tcW w:w="392" w:type="dxa"/>
          </w:tcPr>
          <w:p w:rsidR="001D363E" w:rsidRDefault="001D363E" w:rsidP="007D57CE">
            <w:pPr>
              <w:spacing w:line="260" w:lineRule="atLeast"/>
              <w:rPr>
                <w:rFonts w:eastAsia="Calibri" w:cs="Arial"/>
                <w:lang w:eastAsia="en-US"/>
              </w:rPr>
            </w:pPr>
            <w:r>
              <w:rPr>
                <w:rFonts w:eastAsia="Calibri" w:cs="Arial"/>
                <w:lang w:eastAsia="en-US"/>
              </w:rPr>
              <w:t>3</w:t>
            </w:r>
          </w:p>
        </w:tc>
        <w:tc>
          <w:tcPr>
            <w:tcW w:w="4210" w:type="dxa"/>
          </w:tcPr>
          <w:p w:rsidR="001D363E" w:rsidRDefault="001D363E" w:rsidP="007D57CE">
            <w:pPr>
              <w:spacing w:line="260" w:lineRule="atLeast"/>
              <w:rPr>
                <w:rFonts w:eastAsia="Calibri" w:cs="Arial"/>
                <w:lang w:eastAsia="en-US"/>
              </w:rPr>
            </w:pPr>
            <w:r>
              <w:rPr>
                <w:rFonts w:eastAsia="Calibri" w:cs="Arial"/>
                <w:lang w:eastAsia="en-US"/>
              </w:rPr>
              <w:t>Rats (</w:t>
            </w:r>
            <w:r w:rsidR="005B678C">
              <w:rPr>
                <w:rFonts w:eastAsia="Calibri" w:cs="Arial"/>
                <w:lang w:eastAsia="en-US"/>
              </w:rPr>
              <w:t xml:space="preserve">outdoor </w:t>
            </w:r>
            <w:r>
              <w:rPr>
                <w:rFonts w:eastAsia="Calibri" w:cs="Arial"/>
                <w:lang w:eastAsia="en-US"/>
              </w:rPr>
              <w:t>around buildings and food storage locations, trained professionals with additional IPM training)</w:t>
            </w:r>
            <w:r w:rsidR="00C27E3A">
              <w:rPr>
                <w:rFonts w:eastAsia="Calibri" w:cs="Arial"/>
                <w:lang w:eastAsia="en-US"/>
              </w:rPr>
              <w:t>. Sachet size: 20-40 g</w:t>
            </w:r>
          </w:p>
        </w:tc>
      </w:tr>
      <w:bookmarkEnd w:id="1"/>
      <w:bookmarkEnd w:id="2"/>
      <w:bookmarkEnd w:id="3"/>
      <w:bookmarkEnd w:id="4"/>
      <w:bookmarkEnd w:id="5"/>
      <w:bookmarkEnd w:id="6"/>
      <w:bookmarkEnd w:id="7"/>
      <w:bookmarkEnd w:id="8"/>
    </w:tbl>
    <w:p w:rsidR="00D90D48" w:rsidRDefault="00D90D48" w:rsidP="00D90D48"/>
    <w:p w:rsidR="001B406D" w:rsidRDefault="001B406D" w:rsidP="00E530CD">
      <w:pPr>
        <w:spacing w:line="260" w:lineRule="atLeast"/>
        <w:rPr>
          <w:rFonts w:eastAsia="Calibri" w:cs="Arial"/>
          <w:lang w:eastAsia="en-US"/>
        </w:rPr>
      </w:pPr>
    </w:p>
    <w:p w:rsidR="00E530CD" w:rsidRPr="004061A6" w:rsidRDefault="00DC7D5F" w:rsidP="00A864A8">
      <w:pPr>
        <w:pStyle w:val="Kop1"/>
        <w:numPr>
          <w:ilvl w:val="0"/>
          <w:numId w:val="4"/>
        </w:numPr>
        <w:spacing w:after="360"/>
        <w:jc w:val="both"/>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00491637"/>
      <w:bookmarkEnd w:id="10"/>
      <w:bookmarkEnd w:id="11"/>
      <w:bookmarkEnd w:id="12"/>
      <w:bookmarkEnd w:id="13"/>
      <w:bookmarkEnd w:id="14"/>
      <w:bookmarkEnd w:id="15"/>
      <w:bookmarkEnd w:id="16"/>
      <w:bookmarkEnd w:id="17"/>
      <w:r w:rsidRPr="004061A6">
        <w:lastRenderedPageBreak/>
        <w:t xml:space="preserve">Summary of the </w:t>
      </w:r>
      <w:r w:rsidR="00704133" w:rsidRPr="004061A6">
        <w:t xml:space="preserve">product </w:t>
      </w:r>
      <w:r w:rsidRPr="004061A6">
        <w:t>assessment</w:t>
      </w:r>
      <w:bookmarkEnd w:id="18"/>
      <w:bookmarkEnd w:id="19"/>
    </w:p>
    <w:p w:rsidR="00103C37" w:rsidRPr="004061A6" w:rsidRDefault="00103C37" w:rsidP="00186C57">
      <w:pPr>
        <w:pStyle w:val="Kop2"/>
        <w:numPr>
          <w:ilvl w:val="1"/>
          <w:numId w:val="4"/>
        </w:numPr>
        <w:spacing w:after="280"/>
        <w:jc w:val="both"/>
      </w:pPr>
      <w:bookmarkStart w:id="20" w:name="_Toc429660946"/>
      <w:bookmarkStart w:id="21" w:name="_Toc500491638"/>
      <w:r w:rsidRPr="004061A6">
        <w:t>Administrative information</w:t>
      </w:r>
      <w:bookmarkEnd w:id="20"/>
      <w:bookmarkEnd w:id="21"/>
    </w:p>
    <w:p w:rsidR="00103C37" w:rsidRPr="004061A6" w:rsidRDefault="00513242" w:rsidP="00457204">
      <w:pPr>
        <w:pStyle w:val="Kop3"/>
      </w:pPr>
      <w:bookmarkStart w:id="22" w:name="_Toc429660947"/>
      <w:r w:rsidRPr="004061A6">
        <w:t>I</w:t>
      </w:r>
      <w:r w:rsidR="00103C37" w:rsidRPr="004061A6">
        <w:t>dentifier in R4BP</w:t>
      </w:r>
      <w:bookmarkEnd w:id="2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4061A6"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00602" w:rsidRPr="004061A6" w:rsidRDefault="00FF4BF1" w:rsidP="00AB5BAF">
            <w:pPr>
              <w:rPr>
                <w:rFonts w:cs="Arial"/>
              </w:rPr>
            </w:pPr>
            <w:bookmarkStart w:id="23" w:name="_Toc387244929"/>
            <w:bookmarkStart w:id="24" w:name="_Toc387250753"/>
            <w:bookmarkStart w:id="25" w:name="_Toc387244930"/>
            <w:bookmarkStart w:id="26" w:name="_Toc387250754"/>
            <w:bookmarkEnd w:id="23"/>
            <w:bookmarkEnd w:id="24"/>
            <w:bookmarkEnd w:id="25"/>
            <w:bookmarkEnd w:id="26"/>
            <w:r w:rsidRPr="004061A6">
              <w:t>MAKI PAT’</w:t>
            </w:r>
          </w:p>
        </w:tc>
      </w:tr>
    </w:tbl>
    <w:p w:rsidR="007E522A" w:rsidRPr="004061A6" w:rsidRDefault="007E522A" w:rsidP="000447F1">
      <w:pPr>
        <w:pStyle w:val="Kop3"/>
      </w:pPr>
      <w:bookmarkStart w:id="27" w:name="_Toc429660948"/>
      <w:r w:rsidRPr="004061A6">
        <w:t>Manufacturer(s) of the product</w:t>
      </w:r>
      <w:bookmarkEnd w:id="2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4061A6" w:rsidRPr="00C038DE" w:rsidTr="007E522A">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522A" w:rsidRPr="004061A6" w:rsidRDefault="007E522A" w:rsidP="007E522A">
            <w:pPr>
              <w:rPr>
                <w:rFonts w:cs="Arial"/>
                <w:b/>
              </w:rPr>
            </w:pPr>
            <w:r w:rsidRPr="00C038DE">
              <w:rPr>
                <w:rFonts w:cs="Arial"/>
                <w:b/>
                <w:bCs/>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7E522A" w:rsidRPr="004061A6" w:rsidRDefault="00FF4BF1" w:rsidP="007E522A">
            <w:pPr>
              <w:rPr>
                <w:rFonts w:cs="Arial"/>
              </w:rPr>
            </w:pPr>
            <w:r w:rsidRPr="004061A6">
              <w:rPr>
                <w:rFonts w:cs="Arial"/>
              </w:rPr>
              <w:t>LIPHATEC</w:t>
            </w:r>
            <w:r w:rsidR="00264DC8" w:rsidRPr="004061A6">
              <w:rPr>
                <w:rFonts w:cs="Arial"/>
              </w:rPr>
              <w:t>H</w:t>
            </w:r>
            <w:r w:rsidRPr="004061A6">
              <w:rPr>
                <w:rFonts w:cs="Arial"/>
              </w:rPr>
              <w:t xml:space="preserve"> SAS</w:t>
            </w:r>
          </w:p>
        </w:tc>
      </w:tr>
      <w:tr w:rsidR="004061A6" w:rsidRPr="00C038DE"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4061A6" w:rsidRDefault="007E522A" w:rsidP="007E522A">
            <w:pPr>
              <w:rPr>
                <w:rFonts w:cs="Arial"/>
                <w:b/>
              </w:rPr>
            </w:pPr>
            <w:r w:rsidRPr="00C038DE">
              <w:rPr>
                <w:rFonts w:cs="Arial"/>
                <w:b/>
                <w:bCs/>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7E522A" w:rsidRPr="004061A6" w:rsidRDefault="00FF4BF1" w:rsidP="007E522A">
            <w:pPr>
              <w:rPr>
                <w:rFonts w:cs="Arial"/>
              </w:rPr>
            </w:pPr>
            <w:r w:rsidRPr="004061A6">
              <w:rPr>
                <w:rFonts w:cs="Arial"/>
              </w:rPr>
              <w:t>Bonnel – CS 10005</w:t>
            </w:r>
          </w:p>
          <w:p w:rsidR="00FF4BF1" w:rsidRPr="004061A6" w:rsidRDefault="00FF4BF1" w:rsidP="007E522A">
            <w:pPr>
              <w:rPr>
                <w:rFonts w:cs="Arial"/>
              </w:rPr>
            </w:pPr>
            <w:r w:rsidRPr="004061A6">
              <w:rPr>
                <w:rFonts w:cs="Arial"/>
              </w:rPr>
              <w:t>47480</w:t>
            </w:r>
          </w:p>
          <w:p w:rsidR="00FF4BF1" w:rsidRPr="004061A6" w:rsidRDefault="00FF4BF1" w:rsidP="007E522A">
            <w:pPr>
              <w:rPr>
                <w:rFonts w:cs="Arial"/>
              </w:rPr>
            </w:pPr>
            <w:r w:rsidRPr="004061A6">
              <w:rPr>
                <w:rFonts w:cs="Arial"/>
              </w:rPr>
              <w:t>Pont du Casse</w:t>
            </w:r>
          </w:p>
          <w:p w:rsidR="00FF4BF1" w:rsidRPr="00C038DE" w:rsidRDefault="00FF4BF1" w:rsidP="007E522A">
            <w:pPr>
              <w:rPr>
                <w:rFonts w:cs="Arial"/>
              </w:rPr>
            </w:pPr>
            <w:r w:rsidRPr="00C038DE">
              <w:rPr>
                <w:rFonts w:cs="Arial"/>
              </w:rPr>
              <w:t>France</w:t>
            </w:r>
          </w:p>
        </w:tc>
      </w:tr>
      <w:tr w:rsidR="004061A6" w:rsidRPr="00C038DE"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4061A6" w:rsidRDefault="007E522A" w:rsidP="007E522A">
            <w:pPr>
              <w:rPr>
                <w:rFonts w:cs="Arial"/>
                <w:b/>
              </w:rPr>
            </w:pPr>
            <w:r w:rsidRPr="00C038DE">
              <w:rPr>
                <w:rFonts w:cs="Arial"/>
                <w:b/>
                <w:bCs/>
                <w:szCs w:val="24"/>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7E522A" w:rsidRPr="004061A6" w:rsidRDefault="00FF4BF1" w:rsidP="00FF4BF1">
            <w:pPr>
              <w:rPr>
                <w:rFonts w:cs="Arial"/>
                <w:lang w:val="fr-FR"/>
              </w:rPr>
            </w:pPr>
            <w:r w:rsidRPr="004061A6">
              <w:rPr>
                <w:rFonts w:cs="Arial"/>
                <w:lang w:val="fr-FR"/>
              </w:rPr>
              <w:t>Production centre, Avenue Jean Serres, ZA Malère</w:t>
            </w:r>
          </w:p>
          <w:p w:rsidR="00FF4BF1" w:rsidRPr="004061A6" w:rsidRDefault="00FF4BF1" w:rsidP="00FF4BF1">
            <w:pPr>
              <w:rPr>
                <w:rFonts w:cs="Arial"/>
              </w:rPr>
            </w:pPr>
            <w:r w:rsidRPr="004061A6">
              <w:rPr>
                <w:rFonts w:cs="Arial"/>
              </w:rPr>
              <w:t>47480</w:t>
            </w:r>
          </w:p>
          <w:p w:rsidR="00FF4BF1" w:rsidRPr="004061A6" w:rsidRDefault="00FF4BF1" w:rsidP="00FF4BF1">
            <w:pPr>
              <w:rPr>
                <w:rFonts w:cs="Arial"/>
              </w:rPr>
            </w:pPr>
            <w:r w:rsidRPr="004061A6">
              <w:rPr>
                <w:rFonts w:cs="Arial"/>
              </w:rPr>
              <w:t>Pont du Casse</w:t>
            </w:r>
          </w:p>
          <w:p w:rsidR="00FF4BF1" w:rsidRPr="00C038DE" w:rsidRDefault="00FF4BF1" w:rsidP="00FF4BF1">
            <w:pPr>
              <w:rPr>
                <w:rFonts w:cs="Arial"/>
              </w:rPr>
            </w:pPr>
            <w:r w:rsidRPr="00C038DE">
              <w:rPr>
                <w:rFonts w:cs="Arial"/>
              </w:rPr>
              <w:t>France</w:t>
            </w:r>
          </w:p>
        </w:tc>
      </w:tr>
    </w:tbl>
    <w:p w:rsidR="007E522A" w:rsidRPr="00C038DE" w:rsidRDefault="007E522A" w:rsidP="000447F1">
      <w:pPr>
        <w:pStyle w:val="Kop3"/>
      </w:pPr>
      <w:bookmarkStart w:id="28" w:name="_Ref421110767"/>
      <w:bookmarkStart w:id="29" w:name="_Toc429660949"/>
      <w:r w:rsidRPr="00C038DE">
        <w:t>Manufacturer(s) of the active substance(s)</w:t>
      </w:r>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4061A6" w:rsidRPr="00C038DE" w:rsidTr="007E522A">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F4BF1" w:rsidRPr="004061A6" w:rsidRDefault="00FF4BF1" w:rsidP="007E522A">
            <w:pPr>
              <w:rPr>
                <w:rFonts w:cs="Arial"/>
                <w:b/>
              </w:rPr>
            </w:pPr>
            <w:r w:rsidRPr="00C038DE">
              <w:rPr>
                <w:rFonts w:cs="Arial"/>
                <w:b/>
                <w:bCs/>
                <w:szCs w:val="24"/>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FF4BF1" w:rsidRPr="004061A6" w:rsidRDefault="00FF4BF1" w:rsidP="003A0B38">
            <w:pPr>
              <w:rPr>
                <w:rFonts w:cs="Arial"/>
              </w:rPr>
            </w:pPr>
            <w:r w:rsidRPr="004061A6">
              <w:rPr>
                <w:rFonts w:cs="Arial"/>
              </w:rPr>
              <w:t>Bromadiolone</w:t>
            </w:r>
          </w:p>
        </w:tc>
      </w:tr>
      <w:tr w:rsidR="004061A6" w:rsidRPr="00C038DE"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FF4BF1" w:rsidRPr="004061A6" w:rsidRDefault="00FF4BF1" w:rsidP="007E522A">
            <w:pPr>
              <w:rPr>
                <w:rFonts w:cs="Arial"/>
                <w:b/>
              </w:rPr>
            </w:pPr>
            <w:r w:rsidRPr="00C038DE">
              <w:rPr>
                <w:rFonts w:cs="Arial"/>
                <w:b/>
                <w:bCs/>
                <w:szCs w:val="24"/>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FF4BF1" w:rsidRPr="004061A6" w:rsidRDefault="00FF4BF1" w:rsidP="003A0B38">
            <w:pPr>
              <w:rPr>
                <w:rFonts w:cs="Arial"/>
              </w:rPr>
            </w:pPr>
            <w:r w:rsidRPr="004061A6">
              <w:rPr>
                <w:rFonts w:cs="Arial"/>
              </w:rPr>
              <w:t>LIPHATEC</w:t>
            </w:r>
            <w:r w:rsidR="00C33BC2" w:rsidRPr="004061A6">
              <w:rPr>
                <w:rFonts w:cs="Arial"/>
              </w:rPr>
              <w:t>H</w:t>
            </w:r>
            <w:r w:rsidRPr="004061A6">
              <w:rPr>
                <w:rFonts w:cs="Arial"/>
              </w:rPr>
              <w:t xml:space="preserve"> SAS</w:t>
            </w:r>
          </w:p>
        </w:tc>
      </w:tr>
      <w:tr w:rsidR="004061A6" w:rsidRPr="002C2256"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4061A6" w:rsidRDefault="007E522A" w:rsidP="007E522A">
            <w:pPr>
              <w:rPr>
                <w:rFonts w:cs="Arial"/>
                <w:b/>
              </w:rPr>
            </w:pPr>
            <w:r w:rsidRPr="00C038DE">
              <w:rPr>
                <w:rFonts w:cs="Arial"/>
                <w:b/>
                <w:bCs/>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FF4BF1" w:rsidRPr="004061A6" w:rsidRDefault="00FF4BF1" w:rsidP="00FF4BF1">
            <w:pPr>
              <w:rPr>
                <w:rFonts w:cs="Arial"/>
                <w:lang w:val="fr-FR"/>
              </w:rPr>
            </w:pPr>
            <w:r w:rsidRPr="004061A6">
              <w:rPr>
                <w:rFonts w:cs="Arial"/>
                <w:lang w:val="fr-FR"/>
              </w:rPr>
              <w:t>Bonnel – CS 10005</w:t>
            </w:r>
          </w:p>
          <w:p w:rsidR="00FF4BF1" w:rsidRPr="004061A6" w:rsidRDefault="00FF4BF1" w:rsidP="00FF4BF1">
            <w:pPr>
              <w:rPr>
                <w:rFonts w:cs="Arial"/>
                <w:lang w:val="fr-FR"/>
              </w:rPr>
            </w:pPr>
            <w:r w:rsidRPr="004061A6">
              <w:rPr>
                <w:rFonts w:cs="Arial"/>
                <w:lang w:val="fr-FR"/>
              </w:rPr>
              <w:t>47480</w:t>
            </w:r>
          </w:p>
          <w:p w:rsidR="00FF4BF1" w:rsidRPr="004061A6" w:rsidRDefault="00FF4BF1" w:rsidP="00FF4BF1">
            <w:pPr>
              <w:rPr>
                <w:rFonts w:cs="Arial"/>
                <w:lang w:val="fr-FR"/>
              </w:rPr>
            </w:pPr>
            <w:r w:rsidRPr="004061A6">
              <w:rPr>
                <w:rFonts w:cs="Arial"/>
                <w:lang w:val="fr-FR"/>
              </w:rPr>
              <w:t>Pont du Casse</w:t>
            </w:r>
          </w:p>
          <w:p w:rsidR="00FF4BF1" w:rsidRPr="00C038DE" w:rsidRDefault="00FF4BF1" w:rsidP="00FF4BF1">
            <w:pPr>
              <w:rPr>
                <w:rFonts w:cs="Arial"/>
                <w:lang w:val="fr-FR"/>
              </w:rPr>
            </w:pPr>
            <w:r w:rsidRPr="00C038DE">
              <w:rPr>
                <w:rFonts w:cs="Arial"/>
                <w:lang w:val="fr-FR"/>
              </w:rPr>
              <w:t>France</w:t>
            </w:r>
          </w:p>
        </w:tc>
      </w:tr>
      <w:tr w:rsidR="004061A6" w:rsidRPr="00C038DE" w:rsidTr="004061A6">
        <w:trPr>
          <w:trHeight w:val="1269"/>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4061A6" w:rsidRDefault="007E522A" w:rsidP="007E522A">
            <w:pPr>
              <w:rPr>
                <w:rFonts w:cs="Arial"/>
                <w:b/>
              </w:rPr>
            </w:pPr>
            <w:r w:rsidRPr="00C038DE">
              <w:rPr>
                <w:rFonts w:cs="Arial"/>
                <w:b/>
                <w:bCs/>
                <w:szCs w:val="24"/>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FF4BF1" w:rsidRPr="004061A6" w:rsidRDefault="00FF4BF1" w:rsidP="00FF4BF1">
            <w:pPr>
              <w:rPr>
                <w:rFonts w:cs="Arial"/>
              </w:rPr>
            </w:pPr>
            <w:r w:rsidRPr="004061A6">
              <w:rPr>
                <w:rFonts w:cs="Arial"/>
              </w:rPr>
              <w:t>LIPHATECH S.A.S at AlzChem Trostberg GmbH</w:t>
            </w:r>
          </w:p>
          <w:p w:rsidR="00FF4BF1" w:rsidRPr="004061A6" w:rsidRDefault="00FF4BF1" w:rsidP="00FF4BF1">
            <w:pPr>
              <w:rPr>
                <w:rFonts w:cs="Arial"/>
                <w:lang w:val="de-DE"/>
              </w:rPr>
            </w:pPr>
            <w:r w:rsidRPr="004061A6">
              <w:rPr>
                <w:rFonts w:cs="Arial"/>
                <w:lang w:val="de-DE"/>
              </w:rPr>
              <w:t>Chemie Park Trostberg</w:t>
            </w:r>
          </w:p>
          <w:p w:rsidR="00FF4BF1" w:rsidRPr="00C038DE" w:rsidRDefault="00FF4BF1" w:rsidP="00FF4BF1">
            <w:pPr>
              <w:rPr>
                <w:rFonts w:cs="Arial"/>
                <w:lang w:val="de-DE"/>
              </w:rPr>
            </w:pPr>
            <w:r w:rsidRPr="00C038DE">
              <w:rPr>
                <w:rFonts w:cs="Arial"/>
                <w:lang w:val="de-DE"/>
              </w:rPr>
              <w:t>Dr Albert Frank Strasse 32</w:t>
            </w:r>
          </w:p>
          <w:p w:rsidR="00FF4BF1" w:rsidRPr="00C038DE" w:rsidRDefault="00FF4BF1" w:rsidP="00FF4BF1">
            <w:pPr>
              <w:rPr>
                <w:rFonts w:cs="Arial"/>
                <w:lang w:val="de-DE"/>
              </w:rPr>
            </w:pPr>
            <w:r w:rsidRPr="00C038DE">
              <w:rPr>
                <w:rFonts w:cs="Arial"/>
                <w:lang w:val="de-DE"/>
              </w:rPr>
              <w:t>Trostberg</w:t>
            </w:r>
          </w:p>
          <w:p w:rsidR="00FF4BF1" w:rsidRPr="00C038DE" w:rsidRDefault="00FF4BF1" w:rsidP="00FF4BF1">
            <w:pPr>
              <w:rPr>
                <w:rFonts w:cs="Arial"/>
                <w:lang w:val="de-DE"/>
              </w:rPr>
            </w:pPr>
            <w:r w:rsidRPr="00C038DE">
              <w:rPr>
                <w:rFonts w:cs="Arial"/>
                <w:lang w:val="de-DE"/>
              </w:rPr>
              <w:t>83308</w:t>
            </w:r>
          </w:p>
          <w:p w:rsidR="007E522A" w:rsidRPr="00C038DE" w:rsidRDefault="00FF4BF1" w:rsidP="00FF4BF1">
            <w:pPr>
              <w:rPr>
                <w:rFonts w:cs="Arial"/>
              </w:rPr>
            </w:pPr>
            <w:r w:rsidRPr="00C038DE">
              <w:rPr>
                <w:rFonts w:cs="Arial"/>
              </w:rPr>
              <w:t>Germany</w:t>
            </w:r>
          </w:p>
        </w:tc>
      </w:tr>
    </w:tbl>
    <w:p w:rsidR="007E522A" w:rsidRPr="00C038DE" w:rsidRDefault="007E522A" w:rsidP="00E530CD">
      <w:pPr>
        <w:spacing w:line="260" w:lineRule="atLeast"/>
        <w:rPr>
          <w:rFonts w:eastAsia="Calibri" w:cs="Arial"/>
          <w:lang w:eastAsia="en-US"/>
        </w:rPr>
      </w:pPr>
    </w:p>
    <w:p w:rsidR="007E522A" w:rsidRPr="00C038DE" w:rsidRDefault="00513242" w:rsidP="00A864A8">
      <w:pPr>
        <w:pStyle w:val="Kop2"/>
        <w:numPr>
          <w:ilvl w:val="1"/>
          <w:numId w:val="4"/>
        </w:numPr>
        <w:spacing w:after="280"/>
        <w:jc w:val="both"/>
      </w:pPr>
      <w:bookmarkStart w:id="30" w:name="_Toc429660950"/>
      <w:bookmarkStart w:id="31" w:name="_Ref432659976"/>
      <w:bookmarkStart w:id="32" w:name="_Ref432659985"/>
      <w:bookmarkStart w:id="33" w:name="_Toc500491639"/>
      <w:r w:rsidRPr="00C038DE">
        <w:lastRenderedPageBreak/>
        <w:t>C</w:t>
      </w:r>
      <w:r w:rsidR="007E522A" w:rsidRPr="00C038DE">
        <w:t>omposition and formulation</w:t>
      </w:r>
      <w:bookmarkEnd w:id="30"/>
      <w:bookmarkEnd w:id="31"/>
      <w:bookmarkEnd w:id="32"/>
      <w:bookmarkEnd w:id="33"/>
    </w:p>
    <w:p w:rsidR="00A6719C" w:rsidRPr="00C038DE" w:rsidRDefault="00A6719C" w:rsidP="000447F1">
      <w:pPr>
        <w:pStyle w:val="Kop3"/>
      </w:pPr>
      <w:bookmarkStart w:id="34" w:name="_Toc429660951"/>
      <w:bookmarkStart w:id="35" w:name="_Ref408924445"/>
      <w:r w:rsidRPr="00C038DE">
        <w:t>Qualitative and quantitative information on the composition</w:t>
      </w:r>
      <w:bookmarkEnd w:id="34"/>
    </w:p>
    <w:p w:rsidR="00A6719C" w:rsidRPr="00C038DE" w:rsidRDefault="00A6719C" w:rsidP="00A6719C">
      <w:pPr>
        <w:pStyle w:val="Bijschrift"/>
        <w:rPr>
          <w:rFonts w:cs="Arial"/>
        </w:rPr>
      </w:pPr>
      <w:bookmarkStart w:id="36" w:name="_Ref421686592"/>
      <w:r w:rsidRPr="00C038DE">
        <w:rPr>
          <w:rFonts w:cs="Arial"/>
        </w:rPr>
        <w:t xml:space="preserve">Table </w:t>
      </w:r>
      <w:r w:rsidRPr="00C038DE">
        <w:rPr>
          <w:rFonts w:cs="Arial"/>
        </w:rPr>
        <w:fldChar w:fldCharType="begin"/>
      </w:r>
      <w:r w:rsidRPr="00C038DE">
        <w:rPr>
          <w:rFonts w:cs="Arial"/>
        </w:rPr>
        <w:instrText xml:space="preserve"> SEQ Table \* ARABIC </w:instrText>
      </w:r>
      <w:r w:rsidRPr="00C038DE">
        <w:rPr>
          <w:rFonts w:cs="Arial"/>
        </w:rPr>
        <w:fldChar w:fldCharType="separate"/>
      </w:r>
      <w:r w:rsidR="00FF08E1" w:rsidRPr="00C038DE">
        <w:rPr>
          <w:rFonts w:cs="Arial"/>
          <w:noProof/>
        </w:rPr>
        <w:t>1</w:t>
      </w:r>
      <w:r w:rsidRPr="00C038DE">
        <w:rPr>
          <w:rFonts w:cs="Arial"/>
        </w:rPr>
        <w:fldChar w:fldCharType="end"/>
      </w:r>
      <w:bookmarkEnd w:id="35"/>
      <w:bookmarkEnd w:id="3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6"/>
        <w:gridCol w:w="1353"/>
        <w:gridCol w:w="1353"/>
        <w:gridCol w:w="1353"/>
        <w:gridCol w:w="1353"/>
        <w:gridCol w:w="1353"/>
      </w:tblGrid>
      <w:tr w:rsidR="004061A6" w:rsidRPr="00C038DE" w:rsidTr="003362CF">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BFBFBF"/>
            <w:tcMar>
              <w:top w:w="40" w:type="dxa"/>
              <w:left w:w="40" w:type="dxa"/>
              <w:bottom w:w="40" w:type="dxa"/>
              <w:right w:w="40" w:type="dxa"/>
            </w:tcMar>
            <w:hideMark/>
          </w:tcPr>
          <w:p w:rsidR="00A6719C" w:rsidRPr="00C038DE" w:rsidRDefault="00A6719C" w:rsidP="003362CF">
            <w:pPr>
              <w:pStyle w:val="Tablehead0"/>
              <w:rPr>
                <w:bCs/>
                <w:lang w:val="de-DE"/>
              </w:rPr>
            </w:pPr>
            <w:bookmarkStart w:id="37" w:name="d0e356"/>
            <w:r w:rsidRPr="00C038DE">
              <w:t>Common name</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C038DE" w:rsidRDefault="00A6719C" w:rsidP="003362CF">
            <w:pPr>
              <w:pStyle w:val="Tablehead0"/>
              <w:rPr>
                <w:bCs/>
                <w:lang w:val="de-DE"/>
              </w:rPr>
            </w:pPr>
            <w:r w:rsidRPr="00C038DE">
              <w:t>IUPAC name</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C038DE" w:rsidRDefault="00A6719C" w:rsidP="003362CF">
            <w:pPr>
              <w:pStyle w:val="Tablehead0"/>
              <w:rPr>
                <w:bCs/>
                <w:lang w:val="de-DE"/>
              </w:rPr>
            </w:pPr>
            <w:r w:rsidRPr="00C038DE">
              <w:t>Function</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C038DE" w:rsidRDefault="00A6719C" w:rsidP="003362CF">
            <w:pPr>
              <w:pStyle w:val="Tablehead0"/>
              <w:rPr>
                <w:bCs/>
                <w:lang w:val="de-DE"/>
              </w:rPr>
            </w:pPr>
            <w:r w:rsidRPr="00C038DE">
              <w:t>CAS number</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C038DE" w:rsidRDefault="00A6719C" w:rsidP="003362CF">
            <w:pPr>
              <w:pStyle w:val="Tablehead0"/>
              <w:rPr>
                <w:bCs/>
                <w:lang w:val="de-DE"/>
              </w:rPr>
            </w:pPr>
            <w:r w:rsidRPr="00C038DE">
              <w:t>EC number</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C038DE" w:rsidRDefault="00A6719C" w:rsidP="003362CF">
            <w:pPr>
              <w:pStyle w:val="Tablehead0"/>
              <w:rPr>
                <w:bCs/>
                <w:lang w:val="de-DE"/>
              </w:rPr>
            </w:pPr>
            <w:r w:rsidRPr="00C038DE">
              <w:t>Content (%)</w:t>
            </w:r>
          </w:p>
        </w:tc>
      </w:tr>
      <w:bookmarkEnd w:id="37"/>
      <w:tr w:rsidR="004061A6" w:rsidRPr="00C038DE" w:rsidTr="00336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C038DE" w:rsidRDefault="00163CB9" w:rsidP="003362CF">
            <w:pPr>
              <w:pStyle w:val="tablebody0"/>
            </w:pPr>
            <w:r w:rsidRPr="00C038DE">
              <w:t>Bromadiolone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C038DE" w:rsidRDefault="00BF2FDB" w:rsidP="003362CF">
            <w:pPr>
              <w:pStyle w:val="tablebody0"/>
            </w:pPr>
            <w:r w:rsidRPr="00C038DE">
              <w:t>3-[3-(4'-Bromo[1,1'-biphenyl]-4-yl)-3-hydroxy-1-phenylpropyl]-4-hydroxy-2H-1-benzopyran-2-one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6719C" w:rsidRPr="00C038DE" w:rsidRDefault="00A6719C" w:rsidP="003362CF">
            <w:pPr>
              <w:pStyle w:val="tablebody0"/>
            </w:pPr>
            <w:r w:rsidRPr="00C038DE">
              <w:t>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C038DE" w:rsidRDefault="00BF2FDB" w:rsidP="003362CF">
            <w:pPr>
              <w:pStyle w:val="tablebody0"/>
              <w:rPr>
                <w:lang w:val="de-DE"/>
              </w:rPr>
            </w:pPr>
            <w:r w:rsidRPr="00C038DE">
              <w:t>28772-56-7</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C038DE" w:rsidRDefault="00BF2FDB" w:rsidP="003362CF">
            <w:pPr>
              <w:pStyle w:val="tablebody0"/>
            </w:pPr>
            <w:r w:rsidRPr="00C038DE">
              <w:t>249-205-9</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Default="00BF2FDB" w:rsidP="003362CF">
            <w:pPr>
              <w:pStyle w:val="tablebody0"/>
              <w:rPr>
                <w:lang w:val="de-DE"/>
              </w:rPr>
            </w:pPr>
            <w:r w:rsidRPr="00C038DE">
              <w:rPr>
                <w:lang w:val="de-DE"/>
              </w:rPr>
              <w:t>0.005</w:t>
            </w:r>
          </w:p>
          <w:p w:rsidR="00DC4CD7" w:rsidRPr="00C038DE" w:rsidRDefault="00DC4CD7" w:rsidP="003362CF">
            <w:pPr>
              <w:pStyle w:val="tablebody0"/>
              <w:rPr>
                <w:lang w:val="de-DE"/>
              </w:rPr>
            </w:pPr>
            <w:r>
              <w:rPr>
                <w:lang w:val="de-DE"/>
              </w:rPr>
              <w:t>(pure active)</w:t>
            </w:r>
          </w:p>
        </w:tc>
      </w:tr>
      <w:tr w:rsidR="00A6719C" w:rsidRPr="00C038DE" w:rsidTr="00336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C038DE"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C038DE"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6719C" w:rsidRPr="00C038DE" w:rsidRDefault="00A6719C" w:rsidP="00E2467B">
            <w:pPr>
              <w:pStyle w:val="tablebody0"/>
            </w:pPr>
            <w:r w:rsidRPr="00C038DE">
              <w:t>Non-active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4061A6"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4061A6"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4061A6" w:rsidRDefault="00BF2FDB" w:rsidP="003362CF">
            <w:pPr>
              <w:pStyle w:val="tablebody0"/>
            </w:pPr>
            <w:r w:rsidRPr="004061A6">
              <w:t>Refer to Confi</w:t>
            </w:r>
            <w:r w:rsidR="008B40FC" w:rsidRPr="004061A6">
              <w:t>d</w:t>
            </w:r>
            <w:r w:rsidRPr="004061A6">
              <w:t>ential Annex 4.1</w:t>
            </w:r>
          </w:p>
        </w:tc>
      </w:tr>
    </w:tbl>
    <w:p w:rsidR="00DA009A" w:rsidRPr="00C038DE" w:rsidRDefault="00DA009A" w:rsidP="00A6719C">
      <w:pPr>
        <w:spacing w:line="260" w:lineRule="atLeast"/>
        <w:rPr>
          <w:rFonts w:eastAsia="Calibri" w:cs="Arial"/>
          <w:lang w:eastAsia="en-US"/>
        </w:rPr>
      </w:pPr>
    </w:p>
    <w:p w:rsidR="00C525A7" w:rsidRPr="00C038DE" w:rsidRDefault="00C525A7" w:rsidP="00BA7C2C">
      <w:pPr>
        <w:pStyle w:val="Lijstalinea"/>
        <w:numPr>
          <w:ilvl w:val="0"/>
          <w:numId w:val="9"/>
        </w:numPr>
        <w:rPr>
          <w:rFonts w:cs="Arial"/>
        </w:rPr>
      </w:pPr>
      <w:r w:rsidRPr="00C038DE">
        <w:rPr>
          <w:rFonts w:cs="Arial"/>
        </w:rPr>
        <w:t>The product contains a bittering agent and a dye.</w:t>
      </w:r>
    </w:p>
    <w:p w:rsidR="00A6719C" w:rsidRPr="004061A6" w:rsidRDefault="00A6719C" w:rsidP="0007041D">
      <w:pPr>
        <w:numPr>
          <w:ilvl w:val="0"/>
          <w:numId w:val="7"/>
        </w:numPr>
        <w:spacing w:line="260" w:lineRule="atLeast"/>
        <w:rPr>
          <w:rFonts w:eastAsia="Calibri" w:cs="Arial"/>
          <w:lang w:eastAsia="en-US"/>
        </w:rPr>
      </w:pPr>
      <w:r w:rsidRPr="00C038DE">
        <w:rPr>
          <w:rFonts w:eastAsia="Calibri" w:cs="Arial"/>
          <w:lang w:eastAsia="en-US"/>
        </w:rPr>
        <w:t>Information on the full composition is provided in the confidential</w:t>
      </w:r>
      <w:r w:rsidR="00AA06DF" w:rsidRPr="004061A6">
        <w:rPr>
          <w:rStyle w:val="Voetnootmarkering"/>
          <w:rFonts w:eastAsia="Calibri" w:cs="Arial"/>
          <w:lang w:eastAsia="en-US"/>
        </w:rPr>
        <w:footnoteReference w:id="1"/>
      </w:r>
      <w:r w:rsidRPr="004061A6">
        <w:rPr>
          <w:rFonts w:eastAsia="Calibri" w:cs="Arial"/>
          <w:lang w:eastAsia="en-US"/>
        </w:rPr>
        <w:t xml:space="preserve"> annex</w:t>
      </w:r>
      <w:r w:rsidR="00AA06DF" w:rsidRPr="004061A6">
        <w:rPr>
          <w:rFonts w:eastAsia="Calibri" w:cs="Arial"/>
          <w:lang w:eastAsia="en-US"/>
        </w:rPr>
        <w:t xml:space="preserve"> </w:t>
      </w:r>
      <w:r w:rsidR="00AA06DF" w:rsidRPr="004061A6">
        <w:rPr>
          <w:rFonts w:eastAsia="Calibri"/>
          <w:lang w:eastAsia="en-US"/>
        </w:rPr>
        <w:t xml:space="preserve">(see chapter </w:t>
      </w:r>
      <w:r w:rsidR="00AA06DF" w:rsidRPr="004061A6">
        <w:rPr>
          <w:rFonts w:eastAsia="Calibri"/>
          <w:lang w:eastAsia="en-US"/>
        </w:rPr>
        <w:fldChar w:fldCharType="begin"/>
      </w:r>
      <w:r w:rsidR="00AA06DF" w:rsidRPr="00C038DE">
        <w:rPr>
          <w:rFonts w:eastAsia="Calibri"/>
          <w:lang w:eastAsia="en-US"/>
        </w:rPr>
        <w:instrText xml:space="preserve"> REF _Ref425322190 \r \h </w:instrText>
      </w:r>
      <w:r w:rsidR="00AA06DF" w:rsidRPr="004061A6">
        <w:rPr>
          <w:rFonts w:eastAsia="Calibri"/>
          <w:lang w:eastAsia="en-US"/>
        </w:rPr>
      </w:r>
      <w:r w:rsidR="00AA06DF" w:rsidRPr="004061A6">
        <w:rPr>
          <w:rFonts w:eastAsia="Calibri"/>
          <w:lang w:eastAsia="en-US"/>
        </w:rPr>
        <w:fldChar w:fldCharType="separate"/>
      </w:r>
      <w:r w:rsidR="00FF08E1" w:rsidRPr="004061A6">
        <w:rPr>
          <w:rFonts w:eastAsia="Calibri"/>
          <w:lang w:eastAsia="en-US"/>
        </w:rPr>
        <w:t>4</w:t>
      </w:r>
      <w:r w:rsidR="00AA06DF" w:rsidRPr="004061A6">
        <w:rPr>
          <w:rFonts w:eastAsia="Calibri"/>
          <w:lang w:eastAsia="en-US"/>
        </w:rPr>
        <w:fldChar w:fldCharType="end"/>
      </w:r>
      <w:r w:rsidR="00AA06DF" w:rsidRPr="004061A6">
        <w:rPr>
          <w:rFonts w:eastAsia="Calibri"/>
          <w:lang w:eastAsia="en-US"/>
        </w:rPr>
        <w:t>)</w:t>
      </w:r>
      <w:r w:rsidRPr="004061A6">
        <w:rPr>
          <w:rFonts w:eastAsia="Calibri" w:cs="Arial"/>
          <w:lang w:eastAsia="en-US"/>
        </w:rPr>
        <w:t>.</w:t>
      </w:r>
    </w:p>
    <w:p w:rsidR="00A6719C" w:rsidRPr="004061A6" w:rsidRDefault="00A6719C" w:rsidP="00A6719C">
      <w:pPr>
        <w:spacing w:line="260" w:lineRule="atLeast"/>
        <w:rPr>
          <w:rFonts w:eastAsia="Calibri" w:cs="Arial"/>
          <w:lang w:eastAsia="en-US"/>
        </w:rPr>
      </w:pPr>
    </w:p>
    <w:p w:rsidR="00F231EF" w:rsidRPr="00C038DE" w:rsidRDefault="00F231EF" w:rsidP="0007041D">
      <w:pPr>
        <w:numPr>
          <w:ilvl w:val="0"/>
          <w:numId w:val="6"/>
        </w:numPr>
        <w:spacing w:line="260" w:lineRule="atLeast"/>
        <w:ind w:left="567" w:hanging="567"/>
        <w:jc w:val="both"/>
        <w:rPr>
          <w:rFonts w:eastAsia="Calibri" w:cs="Arial"/>
          <w:lang w:eastAsia="en-US"/>
        </w:rPr>
      </w:pPr>
      <w:r w:rsidRPr="004061A6">
        <w:rPr>
          <w:rFonts w:eastAsia="Calibri" w:cs="Arial"/>
          <w:lang w:eastAsia="en-US"/>
        </w:rPr>
        <w:t xml:space="preserve">According to the information provided the product </w:t>
      </w:r>
      <w:r w:rsidR="00163CB9" w:rsidRPr="004061A6">
        <w:rPr>
          <w:rFonts w:eastAsia="Calibri" w:cs="Arial"/>
          <w:lang w:eastAsia="en-US"/>
        </w:rPr>
        <w:t>con</w:t>
      </w:r>
      <w:r w:rsidRPr="004061A6">
        <w:rPr>
          <w:rFonts w:eastAsia="Calibri" w:cs="Arial"/>
          <w:lang w:eastAsia="en-US"/>
        </w:rPr>
        <w:t xml:space="preserve">tains </w:t>
      </w:r>
      <w:r w:rsidRPr="004061A6">
        <w:rPr>
          <w:rFonts w:eastAsia="Calibri" w:cs="Arial"/>
          <w:u w:val="single"/>
          <w:lang w:eastAsia="en-US"/>
        </w:rPr>
        <w:t>no</w:t>
      </w:r>
      <w:r w:rsidRPr="004061A6">
        <w:rPr>
          <w:rFonts w:eastAsia="Calibri" w:cs="Arial"/>
          <w:lang w:eastAsia="en-US"/>
        </w:rPr>
        <w:t xml:space="preserve"> nanomaterial as </w:t>
      </w:r>
      <w:r w:rsidRPr="00C038DE">
        <w:rPr>
          <w:rFonts w:eastAsia="Calibri" w:cs="Arial"/>
          <w:lang w:eastAsia="en-US"/>
        </w:rPr>
        <w:t>defined in Article 3 paragraph 1 (z) of Regulation No. 528/2012:</w:t>
      </w:r>
    </w:p>
    <w:p w:rsidR="00E530CD" w:rsidRPr="00C038DE" w:rsidRDefault="00E530CD" w:rsidP="00E530CD">
      <w:pPr>
        <w:spacing w:line="260" w:lineRule="atLeast"/>
        <w:rPr>
          <w:rFonts w:eastAsia="Calibri" w:cs="Arial"/>
          <w:lang w:eastAsia="en-US"/>
        </w:rPr>
      </w:pPr>
      <w:bookmarkStart w:id="38" w:name="_Toc387244935"/>
      <w:bookmarkStart w:id="39" w:name="_Toc387250759"/>
      <w:bookmarkStart w:id="40" w:name="_Toc388281243"/>
      <w:bookmarkStart w:id="41" w:name="_Toc388281699"/>
      <w:bookmarkStart w:id="42" w:name="_Toc388282181"/>
      <w:bookmarkStart w:id="43" w:name="_Toc388282629"/>
      <w:bookmarkStart w:id="44" w:name="_Toc387244936"/>
      <w:bookmarkStart w:id="45" w:name="_Toc387250760"/>
      <w:bookmarkStart w:id="46" w:name="_Toc388281244"/>
      <w:bookmarkStart w:id="47" w:name="_Toc388281700"/>
      <w:bookmarkStart w:id="48" w:name="_Toc388282182"/>
      <w:bookmarkStart w:id="49" w:name="_Toc388282630"/>
      <w:bookmarkStart w:id="50" w:name="_Toc387244937"/>
      <w:bookmarkStart w:id="51" w:name="_Toc387250761"/>
      <w:bookmarkStart w:id="52" w:name="_Toc388281245"/>
      <w:bookmarkStart w:id="53" w:name="_Toc388281701"/>
      <w:bookmarkStart w:id="54" w:name="_Toc388282183"/>
      <w:bookmarkStart w:id="55" w:name="_Toc388282631"/>
      <w:bookmarkStart w:id="56" w:name="_Toc387244938"/>
      <w:bookmarkStart w:id="57" w:name="_Toc387250762"/>
      <w:bookmarkStart w:id="58" w:name="_Toc388281246"/>
      <w:bookmarkStart w:id="59" w:name="_Toc388281702"/>
      <w:bookmarkStart w:id="60" w:name="_Toc388282184"/>
      <w:bookmarkStart w:id="61" w:name="_Toc388282632"/>
      <w:bookmarkStart w:id="62" w:name="_Toc387244939"/>
      <w:bookmarkStart w:id="63" w:name="_Toc387250763"/>
      <w:bookmarkStart w:id="64" w:name="_Toc388281247"/>
      <w:bookmarkStart w:id="65" w:name="_Toc388281703"/>
      <w:bookmarkStart w:id="66" w:name="_Toc388282185"/>
      <w:bookmarkStart w:id="67" w:name="_Toc388282633"/>
      <w:bookmarkStart w:id="68" w:name="_Toc387244940"/>
      <w:bookmarkStart w:id="69" w:name="_Toc387250764"/>
      <w:bookmarkStart w:id="70" w:name="_Toc388281248"/>
      <w:bookmarkStart w:id="71" w:name="_Toc388281704"/>
      <w:bookmarkStart w:id="72" w:name="_Toc388282186"/>
      <w:bookmarkStart w:id="73" w:name="_Toc388282634"/>
      <w:bookmarkStart w:id="74" w:name="_Toc387244941"/>
      <w:bookmarkStart w:id="75" w:name="_Toc387250765"/>
      <w:bookmarkStart w:id="76" w:name="_Toc388281249"/>
      <w:bookmarkStart w:id="77" w:name="_Toc388281705"/>
      <w:bookmarkStart w:id="78" w:name="_Toc388282187"/>
      <w:bookmarkStart w:id="79" w:name="_Toc388282635"/>
      <w:bookmarkStart w:id="80" w:name="_Toc387244943"/>
      <w:bookmarkStart w:id="81" w:name="_Toc388281250"/>
      <w:bookmarkStart w:id="82" w:name="_Toc388281706"/>
      <w:bookmarkStart w:id="83" w:name="_Toc388282188"/>
      <w:bookmarkStart w:id="84" w:name="_Toc388282636"/>
      <w:bookmarkStart w:id="85" w:name="_Toc388284908"/>
      <w:bookmarkStart w:id="86" w:name="_Toc389726028"/>
      <w:bookmarkStart w:id="87" w:name="_Toc389727080"/>
      <w:bookmarkStart w:id="88" w:name="_Toc389727438"/>
      <w:bookmarkStart w:id="89" w:name="_Toc389727797"/>
      <w:bookmarkStart w:id="90" w:name="_Toc389728156"/>
      <w:bookmarkStart w:id="91" w:name="_Toc389728516"/>
      <w:bookmarkStart w:id="92" w:name="_Toc389728874"/>
      <w:bookmarkStart w:id="93" w:name="_Toc387244959"/>
      <w:bookmarkStart w:id="94" w:name="_Toc387250768"/>
      <w:bookmarkStart w:id="95" w:name="_Toc388281266"/>
      <w:bookmarkStart w:id="96" w:name="_Toc388281722"/>
      <w:bookmarkStart w:id="97" w:name="_Toc388282204"/>
      <w:bookmarkStart w:id="98" w:name="_Toc388282652"/>
      <w:bookmarkStart w:id="99" w:name="_Toc388284924"/>
      <w:bookmarkStart w:id="100" w:name="_Toc388374069"/>
      <w:bookmarkStart w:id="101" w:name="_Toc388281275"/>
      <w:bookmarkStart w:id="102" w:name="_Toc388281731"/>
      <w:bookmarkStart w:id="103" w:name="_Toc388282213"/>
      <w:bookmarkStart w:id="104" w:name="_Toc388282661"/>
      <w:bookmarkStart w:id="105" w:name="_Toc388284930"/>
      <w:bookmarkStart w:id="106" w:name="_Toc388374075"/>
      <w:bookmarkStart w:id="107" w:name="_Toc388281276"/>
      <w:bookmarkStart w:id="108" w:name="_Toc388281732"/>
      <w:bookmarkStart w:id="109" w:name="_Toc388282214"/>
      <w:bookmarkStart w:id="110" w:name="_Toc388282662"/>
      <w:bookmarkStart w:id="111" w:name="_Toc388284931"/>
      <w:bookmarkStart w:id="112" w:name="_Toc388281277"/>
      <w:bookmarkStart w:id="113" w:name="_Toc388281733"/>
      <w:bookmarkStart w:id="114" w:name="_Toc388282215"/>
      <w:bookmarkStart w:id="115" w:name="_Toc388282663"/>
      <w:bookmarkStart w:id="116" w:name="_Toc388284932"/>
      <w:bookmarkStart w:id="117" w:name="_Toc388374077"/>
      <w:bookmarkStart w:id="118" w:name="_Toc377644220"/>
      <w:bookmarkStart w:id="119" w:name="_Toc377644817"/>
      <w:bookmarkStart w:id="120" w:name="_Toc377646047"/>
      <w:bookmarkStart w:id="121" w:name="_Toc377648982"/>
      <w:bookmarkStart w:id="122" w:name="_Toc377650835"/>
      <w:bookmarkStart w:id="123" w:name="_Toc377650962"/>
      <w:bookmarkStart w:id="124" w:name="_Toc377653231"/>
      <w:bookmarkStart w:id="125" w:name="_Toc378351536"/>
      <w:bookmarkStart w:id="126" w:name="_Toc378681285"/>
      <w:bookmarkStart w:id="127" w:name="_Toc378682205"/>
      <w:bookmarkStart w:id="128" w:name="_Toc378683652"/>
      <w:bookmarkStart w:id="129" w:name="_Toc378685340"/>
      <w:bookmarkStart w:id="130" w:name="_Toc378685476"/>
      <w:bookmarkStart w:id="131" w:name="_Toc378691685"/>
      <w:bookmarkStart w:id="132" w:name="_Toc378692142"/>
      <w:bookmarkStart w:id="133" w:name="_Toc378692279"/>
      <w:bookmarkStart w:id="134" w:name="_Toc378692416"/>
      <w:bookmarkStart w:id="135" w:name="_Toc378761118"/>
      <w:bookmarkStart w:id="136" w:name="_Toc378761261"/>
      <w:bookmarkStart w:id="137" w:name="_Toc378761404"/>
      <w:bookmarkStart w:id="138" w:name="_Toc378761547"/>
      <w:bookmarkStart w:id="139" w:name="_Toc378761860"/>
      <w:bookmarkStart w:id="140" w:name="_Toc378762000"/>
      <w:bookmarkStart w:id="141" w:name="_Toc378762138"/>
      <w:bookmarkStart w:id="142" w:name="_Toc378765615"/>
      <w:bookmarkStart w:id="143" w:name="_Toc378767363"/>
      <w:bookmarkStart w:id="144" w:name="_Toc378774958"/>
      <w:bookmarkStart w:id="145" w:name="_Toc378776153"/>
      <w:bookmarkStart w:id="146" w:name="_Toc378841233"/>
      <w:bookmarkStart w:id="147" w:name="_Toc378858832"/>
      <w:bookmarkStart w:id="148" w:name="_Toc378859060"/>
      <w:bookmarkStart w:id="149" w:name="_Toc377646048"/>
      <w:bookmarkStart w:id="150" w:name="_Toc377648983"/>
      <w:bookmarkStart w:id="151" w:name="_Toc377650836"/>
      <w:bookmarkStart w:id="152" w:name="_Toc377650963"/>
      <w:bookmarkStart w:id="153" w:name="_Toc377653232"/>
      <w:bookmarkStart w:id="154" w:name="_Toc378351537"/>
      <w:bookmarkStart w:id="155" w:name="_Toc378681286"/>
      <w:bookmarkStart w:id="156" w:name="_Toc378682206"/>
      <w:bookmarkStart w:id="157" w:name="_Toc378683653"/>
      <w:bookmarkStart w:id="158" w:name="_Toc378685341"/>
      <w:bookmarkStart w:id="159" w:name="_Toc378685477"/>
      <w:bookmarkStart w:id="160" w:name="_Toc378691686"/>
      <w:bookmarkStart w:id="161" w:name="_Toc378692143"/>
      <w:bookmarkStart w:id="162" w:name="_Toc378692280"/>
      <w:bookmarkStart w:id="163" w:name="_Toc378692417"/>
      <w:bookmarkStart w:id="164" w:name="_Toc378761119"/>
      <w:bookmarkStart w:id="165" w:name="_Toc378761262"/>
      <w:bookmarkStart w:id="166" w:name="_Toc378761405"/>
      <w:bookmarkStart w:id="167" w:name="_Toc378761548"/>
      <w:bookmarkStart w:id="168" w:name="_Toc378761861"/>
      <w:bookmarkStart w:id="169" w:name="_Toc378762001"/>
      <w:bookmarkStart w:id="170" w:name="_Toc378762139"/>
      <w:bookmarkStart w:id="171" w:name="_Toc378765616"/>
      <w:bookmarkStart w:id="172" w:name="_Toc378767364"/>
      <w:bookmarkStart w:id="173" w:name="_Toc378774959"/>
      <w:bookmarkStart w:id="174" w:name="_Toc378776154"/>
      <w:bookmarkStart w:id="175" w:name="_Toc378841234"/>
      <w:bookmarkStart w:id="176" w:name="_Toc378858833"/>
      <w:bookmarkStart w:id="177" w:name="_Toc378859061"/>
      <w:bookmarkStart w:id="178" w:name="_Toc377646049"/>
      <w:bookmarkStart w:id="179" w:name="_Toc377648984"/>
      <w:bookmarkStart w:id="180" w:name="_Toc377650837"/>
      <w:bookmarkStart w:id="181" w:name="_Toc377650964"/>
      <w:bookmarkStart w:id="182" w:name="_Toc377653233"/>
      <w:bookmarkStart w:id="183" w:name="_Toc378351538"/>
      <w:bookmarkStart w:id="184" w:name="_Toc378681287"/>
      <w:bookmarkStart w:id="185" w:name="_Toc378682207"/>
      <w:bookmarkStart w:id="186" w:name="_Toc378683654"/>
      <w:bookmarkStart w:id="187" w:name="_Toc378685342"/>
      <w:bookmarkStart w:id="188" w:name="_Toc378685478"/>
      <w:bookmarkStart w:id="189" w:name="_Toc378691687"/>
      <w:bookmarkStart w:id="190" w:name="_Toc378692144"/>
      <w:bookmarkStart w:id="191" w:name="_Toc378692281"/>
      <w:bookmarkStart w:id="192" w:name="_Toc378692418"/>
      <w:bookmarkStart w:id="193" w:name="_Toc378761120"/>
      <w:bookmarkStart w:id="194" w:name="_Toc378761263"/>
      <w:bookmarkStart w:id="195" w:name="_Toc378761406"/>
      <w:bookmarkStart w:id="196" w:name="_Toc378761549"/>
      <w:bookmarkStart w:id="197" w:name="_Toc378761862"/>
      <w:bookmarkStart w:id="198" w:name="_Toc378762002"/>
      <w:bookmarkStart w:id="199" w:name="_Toc378762140"/>
      <w:bookmarkStart w:id="200" w:name="_Toc378765617"/>
      <w:bookmarkStart w:id="201" w:name="_Toc378767365"/>
      <w:bookmarkStart w:id="202" w:name="_Toc378774960"/>
      <w:bookmarkStart w:id="203" w:name="_Toc378776155"/>
      <w:bookmarkStart w:id="204" w:name="_Toc378841235"/>
      <w:bookmarkStart w:id="205" w:name="_Toc378858834"/>
      <w:bookmarkStart w:id="206" w:name="_Toc378859062"/>
      <w:bookmarkStart w:id="207" w:name="_Toc377646050"/>
      <w:bookmarkStart w:id="208" w:name="_Toc377648985"/>
      <w:bookmarkStart w:id="209" w:name="_Toc377650838"/>
      <w:bookmarkStart w:id="210" w:name="_Toc377650965"/>
      <w:bookmarkStart w:id="211" w:name="_Toc377653234"/>
      <w:bookmarkStart w:id="212" w:name="_Toc378351539"/>
      <w:bookmarkStart w:id="213" w:name="_Toc378681288"/>
      <w:bookmarkStart w:id="214" w:name="_Toc378682208"/>
      <w:bookmarkStart w:id="215" w:name="_Toc378683655"/>
      <w:bookmarkStart w:id="216" w:name="_Toc378685343"/>
      <w:bookmarkStart w:id="217" w:name="_Toc378685479"/>
      <w:bookmarkStart w:id="218" w:name="_Toc378691688"/>
      <w:bookmarkStart w:id="219" w:name="_Toc378692145"/>
      <w:bookmarkStart w:id="220" w:name="_Toc378692282"/>
      <w:bookmarkStart w:id="221" w:name="_Toc378692419"/>
      <w:bookmarkStart w:id="222" w:name="_Toc378761121"/>
      <w:bookmarkStart w:id="223" w:name="_Toc378761264"/>
      <w:bookmarkStart w:id="224" w:name="_Toc378761407"/>
      <w:bookmarkStart w:id="225" w:name="_Toc378761550"/>
      <w:bookmarkStart w:id="226" w:name="_Toc378761863"/>
      <w:bookmarkStart w:id="227" w:name="_Toc378762003"/>
      <w:bookmarkStart w:id="228" w:name="_Toc378762141"/>
      <w:bookmarkStart w:id="229" w:name="_Toc378765618"/>
      <w:bookmarkStart w:id="230" w:name="_Toc378767366"/>
      <w:bookmarkStart w:id="231" w:name="_Toc378774961"/>
      <w:bookmarkStart w:id="232" w:name="_Toc378776156"/>
      <w:bookmarkStart w:id="233" w:name="_Toc378841236"/>
      <w:bookmarkStart w:id="234" w:name="_Toc378858835"/>
      <w:bookmarkStart w:id="235" w:name="_Toc378859063"/>
      <w:bookmarkStart w:id="236" w:name="_Toc388281278"/>
      <w:bookmarkStart w:id="237" w:name="_Toc388281734"/>
      <w:bookmarkStart w:id="238" w:name="_Toc388282216"/>
      <w:bookmarkStart w:id="239" w:name="_Toc388282664"/>
      <w:bookmarkStart w:id="240" w:name="_Toc388284933"/>
      <w:bookmarkStart w:id="241" w:name="_Toc388281292"/>
      <w:bookmarkStart w:id="242" w:name="_Toc388281748"/>
      <w:bookmarkStart w:id="243" w:name="_Toc388282230"/>
      <w:bookmarkStart w:id="244" w:name="_Toc388282678"/>
      <w:bookmarkStart w:id="245" w:name="_Toc388284947"/>
      <w:bookmarkStart w:id="246" w:name="_Toc388374088"/>
      <w:bookmarkStart w:id="247" w:name="_Toc388281295"/>
      <w:bookmarkStart w:id="248" w:name="_Toc388281751"/>
      <w:bookmarkStart w:id="249" w:name="_Toc388282233"/>
      <w:bookmarkStart w:id="250" w:name="_Toc388282681"/>
      <w:bookmarkStart w:id="251" w:name="_Toc388284950"/>
      <w:bookmarkStart w:id="252" w:name="_Toc388374090"/>
      <w:bookmarkStart w:id="253" w:name="_Toc388281298"/>
      <w:bookmarkStart w:id="254" w:name="_Toc388281754"/>
      <w:bookmarkStart w:id="255" w:name="_Toc388282236"/>
      <w:bookmarkStart w:id="256" w:name="_Toc388282684"/>
      <w:bookmarkStart w:id="257" w:name="_Toc388284953"/>
      <w:bookmarkStart w:id="258" w:name="_Toc388374092"/>
      <w:bookmarkStart w:id="259" w:name="_Toc388281301"/>
      <w:bookmarkStart w:id="260" w:name="_Toc388281757"/>
      <w:bookmarkStart w:id="261" w:name="_Toc388282239"/>
      <w:bookmarkStart w:id="262" w:name="_Toc388282687"/>
      <w:bookmarkStart w:id="263" w:name="_Toc388284956"/>
      <w:bookmarkStart w:id="264" w:name="_Toc388374094"/>
      <w:bookmarkStart w:id="265" w:name="_Toc388281313"/>
      <w:bookmarkStart w:id="266" w:name="_Toc388281769"/>
      <w:bookmarkStart w:id="267" w:name="_Toc388282251"/>
      <w:bookmarkStart w:id="268" w:name="_Toc388282699"/>
      <w:bookmarkStart w:id="269" w:name="_Toc388284968"/>
      <w:bookmarkStart w:id="270" w:name="_Toc388374102"/>
      <w:bookmarkStart w:id="271" w:name="_Toc387244977"/>
      <w:bookmarkStart w:id="272" w:name="_Toc388281327"/>
      <w:bookmarkStart w:id="273" w:name="_Toc388281783"/>
      <w:bookmarkStart w:id="274" w:name="_Toc388282265"/>
      <w:bookmarkStart w:id="275" w:name="_Toc388282713"/>
      <w:bookmarkStart w:id="276" w:name="_Toc388284979"/>
      <w:bookmarkStart w:id="277" w:name="_Toc388374113"/>
      <w:bookmarkStart w:id="278" w:name="_Toc387244978"/>
      <w:bookmarkStart w:id="279" w:name="_Toc388281328"/>
      <w:bookmarkStart w:id="280" w:name="_Toc388281784"/>
      <w:bookmarkStart w:id="281" w:name="_Toc388282266"/>
      <w:bookmarkStart w:id="282" w:name="_Toc388282714"/>
      <w:bookmarkStart w:id="283" w:name="_Toc388284980"/>
      <w:bookmarkStart w:id="284" w:name="_Toc387245003"/>
      <w:bookmarkStart w:id="285" w:name="_Toc388281353"/>
      <w:bookmarkStart w:id="286" w:name="_Toc388281809"/>
      <w:bookmarkStart w:id="287" w:name="_Toc388282291"/>
      <w:bookmarkStart w:id="288" w:name="_Toc388282739"/>
      <w:bookmarkStart w:id="289" w:name="_Toc388285005"/>
      <w:bookmarkStart w:id="290" w:name="_Toc388374131"/>
      <w:bookmarkStart w:id="291" w:name="_Toc387245028"/>
      <w:bookmarkStart w:id="292" w:name="_Toc388281378"/>
      <w:bookmarkStart w:id="293" w:name="_Toc388281834"/>
      <w:bookmarkStart w:id="294" w:name="_Toc388282316"/>
      <w:bookmarkStart w:id="295" w:name="_Toc388282764"/>
      <w:bookmarkStart w:id="296" w:name="_Toc388285030"/>
      <w:bookmarkStart w:id="297" w:name="_Toc388374148"/>
      <w:bookmarkStart w:id="298" w:name="_Toc387245029"/>
      <w:bookmarkStart w:id="299" w:name="_Toc388281379"/>
      <w:bookmarkStart w:id="300" w:name="_Toc388281835"/>
      <w:bookmarkStart w:id="301" w:name="_Toc388282317"/>
      <w:bookmarkStart w:id="302" w:name="_Toc388282765"/>
      <w:bookmarkStart w:id="303" w:name="_Toc388285031"/>
      <w:bookmarkStart w:id="304" w:name="_Toc388374149"/>
      <w:bookmarkStart w:id="305" w:name="_Toc387245030"/>
      <w:bookmarkStart w:id="306" w:name="_Toc388281380"/>
      <w:bookmarkStart w:id="307" w:name="_Toc388281836"/>
      <w:bookmarkStart w:id="308" w:name="_Toc388282318"/>
      <w:bookmarkStart w:id="309" w:name="_Toc388282766"/>
      <w:bookmarkStart w:id="310" w:name="_Toc388285032"/>
      <w:bookmarkStart w:id="311" w:name="_Toc388374150"/>
      <w:bookmarkStart w:id="312" w:name="_Toc387245031"/>
      <w:bookmarkStart w:id="313" w:name="_Toc388281381"/>
      <w:bookmarkStart w:id="314" w:name="_Toc388281837"/>
      <w:bookmarkStart w:id="315" w:name="_Toc388282319"/>
      <w:bookmarkStart w:id="316" w:name="_Toc388282767"/>
      <w:bookmarkStart w:id="317" w:name="_Toc388285033"/>
      <w:bookmarkStart w:id="318" w:name="_Toc388374151"/>
      <w:bookmarkStart w:id="319" w:name="_Toc387245032"/>
      <w:bookmarkStart w:id="320" w:name="_Toc388281382"/>
      <w:bookmarkStart w:id="321" w:name="_Toc388281838"/>
      <w:bookmarkStart w:id="322" w:name="_Toc388282320"/>
      <w:bookmarkStart w:id="323" w:name="_Toc388282768"/>
      <w:bookmarkStart w:id="324" w:name="_Toc388285034"/>
      <w:bookmarkStart w:id="325" w:name="_Toc388374152"/>
      <w:bookmarkStart w:id="326" w:name="_Toc387245033"/>
      <w:bookmarkStart w:id="327" w:name="_Toc388281383"/>
      <w:bookmarkStart w:id="328" w:name="_Toc388281839"/>
      <w:bookmarkStart w:id="329" w:name="_Toc388282321"/>
      <w:bookmarkStart w:id="330" w:name="_Toc388282769"/>
      <w:bookmarkStart w:id="331" w:name="_Toc388285035"/>
      <w:bookmarkStart w:id="332" w:name="_Toc387245106"/>
      <w:bookmarkStart w:id="333" w:name="_Toc388281456"/>
      <w:bookmarkStart w:id="334" w:name="_Toc388281912"/>
      <w:bookmarkStart w:id="335" w:name="_Toc388282394"/>
      <w:bookmarkStart w:id="336" w:name="_Toc388282842"/>
      <w:bookmarkStart w:id="337" w:name="_Toc388285108"/>
      <w:bookmarkStart w:id="338" w:name="_Toc388374208"/>
      <w:bookmarkStart w:id="339" w:name="_Toc377646054"/>
      <w:bookmarkStart w:id="340" w:name="_Toc377648989"/>
      <w:bookmarkStart w:id="341" w:name="_Toc377650842"/>
      <w:bookmarkStart w:id="342" w:name="_Toc377650969"/>
      <w:bookmarkStart w:id="343" w:name="_Toc377653238"/>
      <w:bookmarkStart w:id="344" w:name="_Toc378351543"/>
      <w:bookmarkStart w:id="345" w:name="_Toc378681292"/>
      <w:bookmarkStart w:id="346" w:name="_Toc378682212"/>
      <w:bookmarkStart w:id="347" w:name="_Toc378683659"/>
      <w:bookmarkStart w:id="348" w:name="_Toc378685347"/>
      <w:bookmarkStart w:id="349" w:name="_Toc378685483"/>
      <w:bookmarkStart w:id="350" w:name="_Toc378691692"/>
      <w:bookmarkStart w:id="351" w:name="_Toc378692149"/>
      <w:bookmarkStart w:id="352" w:name="_Toc378692286"/>
      <w:bookmarkStart w:id="353" w:name="_Toc378692423"/>
      <w:bookmarkStart w:id="354" w:name="_Toc378761125"/>
      <w:bookmarkStart w:id="355" w:name="_Toc378761268"/>
      <w:bookmarkStart w:id="356" w:name="_Toc378761411"/>
      <w:bookmarkStart w:id="357" w:name="_Toc378761554"/>
      <w:bookmarkStart w:id="358" w:name="_Toc378761867"/>
      <w:bookmarkStart w:id="359" w:name="_Toc378762007"/>
      <w:bookmarkStart w:id="360" w:name="_Toc378762145"/>
      <w:bookmarkStart w:id="361" w:name="_Toc378765622"/>
      <w:bookmarkStart w:id="362" w:name="_Toc378767370"/>
      <w:bookmarkStart w:id="363" w:name="_Toc378774965"/>
      <w:bookmarkStart w:id="364" w:name="_Toc378776160"/>
      <w:bookmarkStart w:id="365" w:name="_Toc378841240"/>
      <w:bookmarkStart w:id="366" w:name="_Toc378858839"/>
      <w:bookmarkStart w:id="367" w:name="_Toc378859067"/>
      <w:bookmarkStart w:id="368" w:name="_Toc377646055"/>
      <w:bookmarkStart w:id="369" w:name="_Toc377648990"/>
      <w:bookmarkStart w:id="370" w:name="_Toc377650843"/>
      <w:bookmarkStart w:id="371" w:name="_Toc377650970"/>
      <w:bookmarkStart w:id="372" w:name="_Toc377653239"/>
      <w:bookmarkStart w:id="373" w:name="_Toc378351544"/>
      <w:bookmarkStart w:id="374" w:name="_Toc378681293"/>
      <w:bookmarkStart w:id="375" w:name="_Toc378682213"/>
      <w:bookmarkStart w:id="376" w:name="_Toc378683660"/>
      <w:bookmarkStart w:id="377" w:name="_Toc378685348"/>
      <w:bookmarkStart w:id="378" w:name="_Toc378685484"/>
      <w:bookmarkStart w:id="379" w:name="_Toc378691693"/>
      <w:bookmarkStart w:id="380" w:name="_Toc378692150"/>
      <w:bookmarkStart w:id="381" w:name="_Toc378692287"/>
      <w:bookmarkStart w:id="382" w:name="_Toc378692424"/>
      <w:bookmarkStart w:id="383" w:name="_Toc378761126"/>
      <w:bookmarkStart w:id="384" w:name="_Toc378761269"/>
      <w:bookmarkStart w:id="385" w:name="_Toc378761412"/>
      <w:bookmarkStart w:id="386" w:name="_Toc378761555"/>
      <w:bookmarkStart w:id="387" w:name="_Toc378761868"/>
      <w:bookmarkStart w:id="388" w:name="_Toc378762008"/>
      <w:bookmarkStart w:id="389" w:name="_Toc378762146"/>
      <w:bookmarkStart w:id="390" w:name="_Toc378765623"/>
      <w:bookmarkStart w:id="391" w:name="_Toc378767371"/>
      <w:bookmarkStart w:id="392" w:name="_Toc378774966"/>
      <w:bookmarkStart w:id="393" w:name="_Toc378776161"/>
      <w:bookmarkStart w:id="394" w:name="_Toc378841241"/>
      <w:bookmarkStart w:id="395" w:name="_Toc378858840"/>
      <w:bookmarkStart w:id="396" w:name="_Toc378859068"/>
      <w:bookmarkStart w:id="397" w:name="_Toc377646056"/>
      <w:bookmarkStart w:id="398" w:name="_Toc377648991"/>
      <w:bookmarkStart w:id="399" w:name="_Toc377650844"/>
      <w:bookmarkStart w:id="400" w:name="_Toc377650971"/>
      <w:bookmarkStart w:id="401" w:name="_Toc377653240"/>
      <w:bookmarkStart w:id="402" w:name="_Toc378351545"/>
      <w:bookmarkStart w:id="403" w:name="_Toc378681294"/>
      <w:bookmarkStart w:id="404" w:name="_Toc378682214"/>
      <w:bookmarkStart w:id="405" w:name="_Toc378683661"/>
      <w:bookmarkStart w:id="406" w:name="_Toc378685349"/>
      <w:bookmarkStart w:id="407" w:name="_Toc378685485"/>
      <w:bookmarkStart w:id="408" w:name="_Toc378691694"/>
      <w:bookmarkStart w:id="409" w:name="_Toc378692151"/>
      <w:bookmarkStart w:id="410" w:name="_Toc378692288"/>
      <w:bookmarkStart w:id="411" w:name="_Toc378692425"/>
      <w:bookmarkStart w:id="412" w:name="_Toc378761127"/>
      <w:bookmarkStart w:id="413" w:name="_Toc378761270"/>
      <w:bookmarkStart w:id="414" w:name="_Toc378761413"/>
      <w:bookmarkStart w:id="415" w:name="_Toc378761556"/>
      <w:bookmarkStart w:id="416" w:name="_Toc378761869"/>
      <w:bookmarkStart w:id="417" w:name="_Toc378762009"/>
      <w:bookmarkStart w:id="418" w:name="_Toc378762147"/>
      <w:bookmarkStart w:id="419" w:name="_Toc378765624"/>
      <w:bookmarkStart w:id="420" w:name="_Toc378767372"/>
      <w:bookmarkStart w:id="421" w:name="_Toc378774967"/>
      <w:bookmarkStart w:id="422" w:name="_Toc378776162"/>
      <w:bookmarkStart w:id="423" w:name="_Toc378841242"/>
      <w:bookmarkStart w:id="424" w:name="_Toc378858841"/>
      <w:bookmarkStart w:id="425" w:name="_Toc378859069"/>
      <w:bookmarkStart w:id="426" w:name="_Toc377646057"/>
      <w:bookmarkStart w:id="427" w:name="_Toc377648992"/>
      <w:bookmarkStart w:id="428" w:name="_Toc377650845"/>
      <w:bookmarkStart w:id="429" w:name="_Toc377650972"/>
      <w:bookmarkStart w:id="430" w:name="_Toc377653241"/>
      <w:bookmarkStart w:id="431" w:name="_Toc378351546"/>
      <w:bookmarkStart w:id="432" w:name="_Toc378681295"/>
      <w:bookmarkStart w:id="433" w:name="_Toc378682215"/>
      <w:bookmarkStart w:id="434" w:name="_Toc378683662"/>
      <w:bookmarkStart w:id="435" w:name="_Toc378685350"/>
      <w:bookmarkStart w:id="436" w:name="_Toc378685486"/>
      <w:bookmarkStart w:id="437" w:name="_Toc378691695"/>
      <w:bookmarkStart w:id="438" w:name="_Toc378692152"/>
      <w:bookmarkStart w:id="439" w:name="_Toc378692289"/>
      <w:bookmarkStart w:id="440" w:name="_Toc378692426"/>
      <w:bookmarkStart w:id="441" w:name="_Toc378761128"/>
      <w:bookmarkStart w:id="442" w:name="_Toc378761271"/>
      <w:bookmarkStart w:id="443" w:name="_Toc378761414"/>
      <w:bookmarkStart w:id="444" w:name="_Toc378761557"/>
      <w:bookmarkStart w:id="445" w:name="_Toc378761870"/>
      <w:bookmarkStart w:id="446" w:name="_Toc378762010"/>
      <w:bookmarkStart w:id="447" w:name="_Toc378762148"/>
      <w:bookmarkStart w:id="448" w:name="_Toc378765625"/>
      <w:bookmarkStart w:id="449" w:name="_Toc378767373"/>
      <w:bookmarkStart w:id="450" w:name="_Toc378774968"/>
      <w:bookmarkStart w:id="451" w:name="_Toc378776163"/>
      <w:bookmarkStart w:id="452" w:name="_Toc378841243"/>
      <w:bookmarkStart w:id="453" w:name="_Toc378858842"/>
      <w:bookmarkStart w:id="454" w:name="_Toc378859070"/>
      <w:bookmarkStart w:id="455" w:name="_Toc377646058"/>
      <w:bookmarkStart w:id="456" w:name="_Toc377648993"/>
      <w:bookmarkStart w:id="457" w:name="_Toc377650846"/>
      <w:bookmarkStart w:id="458" w:name="_Toc377650973"/>
      <w:bookmarkStart w:id="459" w:name="_Toc377653242"/>
      <w:bookmarkStart w:id="460" w:name="_Toc378351547"/>
      <w:bookmarkStart w:id="461" w:name="_Toc378681296"/>
      <w:bookmarkStart w:id="462" w:name="_Toc378682216"/>
      <w:bookmarkStart w:id="463" w:name="_Toc378683663"/>
      <w:bookmarkStart w:id="464" w:name="_Toc378685351"/>
      <w:bookmarkStart w:id="465" w:name="_Toc378685487"/>
      <w:bookmarkStart w:id="466" w:name="_Toc378691696"/>
      <w:bookmarkStart w:id="467" w:name="_Toc378692153"/>
      <w:bookmarkStart w:id="468" w:name="_Toc378692290"/>
      <w:bookmarkStart w:id="469" w:name="_Toc378692427"/>
      <w:bookmarkStart w:id="470" w:name="_Toc378761129"/>
      <w:bookmarkStart w:id="471" w:name="_Toc378761272"/>
      <w:bookmarkStart w:id="472" w:name="_Toc378761415"/>
      <w:bookmarkStart w:id="473" w:name="_Toc378761558"/>
      <w:bookmarkStart w:id="474" w:name="_Toc378761871"/>
      <w:bookmarkStart w:id="475" w:name="_Toc378762011"/>
      <w:bookmarkStart w:id="476" w:name="_Toc378762149"/>
      <w:bookmarkStart w:id="477" w:name="_Toc378765626"/>
      <w:bookmarkStart w:id="478" w:name="_Toc378767374"/>
      <w:bookmarkStart w:id="479" w:name="_Toc378774969"/>
      <w:bookmarkStart w:id="480" w:name="_Toc378776164"/>
      <w:bookmarkStart w:id="481" w:name="_Toc378841244"/>
      <w:bookmarkStart w:id="482" w:name="_Toc378858843"/>
      <w:bookmarkStart w:id="483" w:name="_Toc378859071"/>
      <w:bookmarkStart w:id="484" w:name="_Toc377646059"/>
      <w:bookmarkStart w:id="485" w:name="_Toc377648994"/>
      <w:bookmarkStart w:id="486" w:name="_Toc377650847"/>
      <w:bookmarkStart w:id="487" w:name="_Toc377650974"/>
      <w:bookmarkStart w:id="488" w:name="_Toc377653243"/>
      <w:bookmarkStart w:id="489" w:name="_Toc378351548"/>
      <w:bookmarkStart w:id="490" w:name="_Toc378681297"/>
      <w:bookmarkStart w:id="491" w:name="_Toc378682217"/>
      <w:bookmarkStart w:id="492" w:name="_Toc378683664"/>
      <w:bookmarkStart w:id="493" w:name="_Toc378685352"/>
      <w:bookmarkStart w:id="494" w:name="_Toc378685488"/>
      <w:bookmarkStart w:id="495" w:name="_Toc378691697"/>
      <w:bookmarkStart w:id="496" w:name="_Toc378692154"/>
      <w:bookmarkStart w:id="497" w:name="_Toc378692291"/>
      <w:bookmarkStart w:id="498" w:name="_Toc378692428"/>
      <w:bookmarkStart w:id="499" w:name="_Toc378761130"/>
      <w:bookmarkStart w:id="500" w:name="_Toc378761273"/>
      <w:bookmarkStart w:id="501" w:name="_Toc378761416"/>
      <w:bookmarkStart w:id="502" w:name="_Toc378761559"/>
      <w:bookmarkStart w:id="503" w:name="_Toc378761872"/>
      <w:bookmarkStart w:id="504" w:name="_Toc378762012"/>
      <w:bookmarkStart w:id="505" w:name="_Toc378762150"/>
      <w:bookmarkStart w:id="506" w:name="_Toc378765627"/>
      <w:bookmarkStart w:id="507" w:name="_Toc378767375"/>
      <w:bookmarkStart w:id="508" w:name="_Toc378774970"/>
      <w:bookmarkStart w:id="509" w:name="_Toc378776165"/>
      <w:bookmarkStart w:id="510" w:name="_Toc378841245"/>
      <w:bookmarkStart w:id="511" w:name="_Toc378858844"/>
      <w:bookmarkStart w:id="512" w:name="_Toc378859072"/>
      <w:bookmarkStart w:id="513" w:name="_Toc377646060"/>
      <w:bookmarkStart w:id="514" w:name="_Toc377648995"/>
      <w:bookmarkStart w:id="515" w:name="_Toc377650848"/>
      <w:bookmarkStart w:id="516" w:name="_Toc377650975"/>
      <w:bookmarkStart w:id="517" w:name="_Toc377653244"/>
      <w:bookmarkStart w:id="518" w:name="_Toc378351549"/>
      <w:bookmarkStart w:id="519" w:name="_Toc378681298"/>
      <w:bookmarkStart w:id="520" w:name="_Toc378682218"/>
      <w:bookmarkStart w:id="521" w:name="_Toc378683665"/>
      <w:bookmarkStart w:id="522" w:name="_Toc378685353"/>
      <w:bookmarkStart w:id="523" w:name="_Toc378685489"/>
      <w:bookmarkStart w:id="524" w:name="_Toc378691698"/>
      <w:bookmarkStart w:id="525" w:name="_Toc378692155"/>
      <w:bookmarkStart w:id="526" w:name="_Toc378692292"/>
      <w:bookmarkStart w:id="527" w:name="_Toc378692429"/>
      <w:bookmarkStart w:id="528" w:name="_Toc378761131"/>
      <w:bookmarkStart w:id="529" w:name="_Toc378761274"/>
      <w:bookmarkStart w:id="530" w:name="_Toc378761417"/>
      <w:bookmarkStart w:id="531" w:name="_Toc378761560"/>
      <w:bookmarkStart w:id="532" w:name="_Toc378761873"/>
      <w:bookmarkStart w:id="533" w:name="_Toc378762013"/>
      <w:bookmarkStart w:id="534" w:name="_Toc378762151"/>
      <w:bookmarkStart w:id="535" w:name="_Toc378765628"/>
      <w:bookmarkStart w:id="536" w:name="_Toc378767376"/>
      <w:bookmarkStart w:id="537" w:name="_Toc378774971"/>
      <w:bookmarkStart w:id="538" w:name="_Toc378776166"/>
      <w:bookmarkStart w:id="539" w:name="_Toc378841246"/>
      <w:bookmarkStart w:id="540" w:name="_Toc378858845"/>
      <w:bookmarkStart w:id="541" w:name="_Toc378859073"/>
      <w:bookmarkStart w:id="542" w:name="_Toc387245107"/>
      <w:bookmarkStart w:id="543" w:name="_Toc388281457"/>
      <w:bookmarkStart w:id="544" w:name="_Toc388281913"/>
      <w:bookmarkStart w:id="545" w:name="_Toc388282395"/>
      <w:bookmarkStart w:id="546" w:name="_Toc388282843"/>
      <w:bookmarkStart w:id="547" w:name="_Toc388285109"/>
      <w:bookmarkStart w:id="548" w:name="_Toc387245108"/>
      <w:bookmarkStart w:id="549" w:name="_Toc388281458"/>
      <w:bookmarkStart w:id="550" w:name="_Toc388281914"/>
      <w:bookmarkStart w:id="551" w:name="_Toc388282396"/>
      <w:bookmarkStart w:id="552" w:name="_Toc388282844"/>
      <w:bookmarkStart w:id="553" w:name="_Toc388285110"/>
      <w:bookmarkStart w:id="554" w:name="_Toc387245109"/>
      <w:bookmarkStart w:id="555" w:name="_Toc388281459"/>
      <w:bookmarkStart w:id="556" w:name="_Toc388281915"/>
      <w:bookmarkStart w:id="557" w:name="_Toc388282397"/>
      <w:bookmarkStart w:id="558" w:name="_Toc388282845"/>
      <w:bookmarkStart w:id="559" w:name="_Toc388285111"/>
      <w:bookmarkStart w:id="560" w:name="_Toc388374211"/>
      <w:bookmarkStart w:id="561" w:name="_Toc387245110"/>
      <w:bookmarkStart w:id="562" w:name="_Toc388281460"/>
      <w:bookmarkStart w:id="563" w:name="_Toc388281916"/>
      <w:bookmarkStart w:id="564" w:name="_Toc388282398"/>
      <w:bookmarkStart w:id="565" w:name="_Toc388282846"/>
      <w:bookmarkStart w:id="566" w:name="_Toc388285112"/>
      <w:bookmarkStart w:id="567" w:name="_Toc388374212"/>
      <w:bookmarkStart w:id="568" w:name="_Toc387245111"/>
      <w:bookmarkStart w:id="569" w:name="_Toc388281461"/>
      <w:bookmarkStart w:id="570" w:name="_Toc388281917"/>
      <w:bookmarkStart w:id="571" w:name="_Toc388282399"/>
      <w:bookmarkStart w:id="572" w:name="_Toc388282847"/>
      <w:bookmarkStart w:id="573" w:name="_Toc388285113"/>
      <w:bookmarkStart w:id="574" w:name="_Toc387245148"/>
      <w:bookmarkStart w:id="575" w:name="_Toc387250792"/>
      <w:bookmarkStart w:id="576" w:name="_Toc388281498"/>
      <w:bookmarkStart w:id="577" w:name="_Toc388281954"/>
      <w:bookmarkStart w:id="578" w:name="_Toc388282436"/>
      <w:bookmarkStart w:id="579" w:name="_Toc388282884"/>
      <w:bookmarkStart w:id="580" w:name="_Toc388285150"/>
      <w:bookmarkStart w:id="581" w:name="_Toc388374241"/>
      <w:bookmarkStart w:id="582" w:name="_Toc387245149"/>
      <w:bookmarkStart w:id="583" w:name="_Toc387250793"/>
      <w:bookmarkStart w:id="584" w:name="_Toc388281499"/>
      <w:bookmarkStart w:id="585" w:name="_Toc388281955"/>
      <w:bookmarkStart w:id="586" w:name="_Toc388282437"/>
      <w:bookmarkStart w:id="587" w:name="_Toc388282885"/>
      <w:bookmarkStart w:id="588" w:name="_Toc388285151"/>
      <w:bookmarkStart w:id="589" w:name="_Toc388374242"/>
      <w:bookmarkStart w:id="590" w:name="_Toc389728856"/>
      <w:bookmarkStart w:id="591" w:name="_Toc40347270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E530CD" w:rsidRPr="00C038DE" w:rsidRDefault="00E530CD" w:rsidP="000447F1">
      <w:pPr>
        <w:pStyle w:val="Kop3"/>
      </w:pPr>
      <w:bookmarkStart w:id="592" w:name="_Toc406482073"/>
      <w:bookmarkStart w:id="593" w:name="_Ref406505140"/>
      <w:bookmarkStart w:id="594" w:name="_Toc406740511"/>
      <w:bookmarkStart w:id="595" w:name="_Toc406743886"/>
      <w:bookmarkStart w:id="596" w:name="_Toc408922828"/>
      <w:bookmarkStart w:id="597" w:name="_Ref422213326"/>
      <w:bookmarkStart w:id="598" w:name="_Toc429660953"/>
      <w:bookmarkStart w:id="599" w:name="_Ref432659953"/>
      <w:r w:rsidRPr="00C038DE">
        <w:t>Information on the substance(s) of concern</w:t>
      </w:r>
      <w:bookmarkEnd w:id="590"/>
      <w:bookmarkEnd w:id="591"/>
      <w:bookmarkEnd w:id="592"/>
      <w:bookmarkEnd w:id="593"/>
      <w:bookmarkEnd w:id="594"/>
      <w:bookmarkEnd w:id="595"/>
      <w:bookmarkEnd w:id="596"/>
      <w:bookmarkEnd w:id="597"/>
      <w:bookmarkEnd w:id="598"/>
      <w:bookmarkEnd w:id="599"/>
    </w:p>
    <w:p w:rsidR="00E530CD" w:rsidRPr="00C038DE" w:rsidRDefault="00E530CD" w:rsidP="00E530CD">
      <w:pPr>
        <w:spacing w:line="260" w:lineRule="atLeast"/>
        <w:rPr>
          <w:rFonts w:eastAsia="Calibri" w:cs="Arial"/>
          <w:lang w:eastAsia="en-US"/>
        </w:rPr>
      </w:pPr>
      <w:r w:rsidRPr="00C038DE">
        <w:rPr>
          <w:rFonts w:eastAsia="Calibri" w:cs="Arial"/>
          <w:lang w:eastAsia="en-US"/>
        </w:rPr>
        <w:t xml:space="preserve">No substance of concern was </w:t>
      </w:r>
      <w:r w:rsidR="00D203E9" w:rsidRPr="00C038DE">
        <w:rPr>
          <w:rFonts w:eastAsia="Calibri" w:cs="Arial"/>
          <w:lang w:eastAsia="en-US"/>
        </w:rPr>
        <w:t>identified</w:t>
      </w:r>
      <w:r w:rsidR="009D729D" w:rsidRPr="00C038DE">
        <w:rPr>
          <w:rFonts w:eastAsia="Calibri" w:cs="Arial"/>
          <w:lang w:eastAsia="en-US"/>
        </w:rPr>
        <w:t xml:space="preserve"> upon initial assessment</w:t>
      </w:r>
      <w:r w:rsidR="009E5232" w:rsidRPr="00C038DE">
        <w:rPr>
          <w:rFonts w:eastAsia="Calibri" w:cs="Arial"/>
          <w:lang w:eastAsia="en-US"/>
        </w:rPr>
        <w:t xml:space="preserve"> (the application for authorisation was </w:t>
      </w:r>
      <w:r w:rsidR="004D5CD1" w:rsidRPr="00C038DE">
        <w:rPr>
          <w:rFonts w:eastAsia="Calibri" w:cs="Arial"/>
          <w:lang w:eastAsia="en-US"/>
        </w:rPr>
        <w:t>submitted</w:t>
      </w:r>
      <w:r w:rsidR="009E5232" w:rsidRPr="00C038DE">
        <w:rPr>
          <w:rFonts w:eastAsia="Calibri" w:cs="Arial"/>
          <w:lang w:eastAsia="en-US"/>
        </w:rPr>
        <w:t xml:space="preserve"> and the assessment took place before the Biocidal Products Regulation 528/2012 entered into force)</w:t>
      </w:r>
      <w:r w:rsidR="00E37C4A" w:rsidRPr="00E37C4A">
        <w:t xml:space="preserve"> </w:t>
      </w:r>
      <w:r w:rsidR="00E37C4A" w:rsidRPr="00E37C4A">
        <w:rPr>
          <w:rFonts w:eastAsia="Calibri" w:cs="Arial"/>
          <w:lang w:eastAsia="en-US"/>
        </w:rPr>
        <w:t>or upon this renewal.</w:t>
      </w:r>
    </w:p>
    <w:p w:rsidR="00E735C4" w:rsidRPr="00C038DE" w:rsidRDefault="00E735C4" w:rsidP="00E530CD">
      <w:pPr>
        <w:spacing w:line="260" w:lineRule="atLeast"/>
        <w:rPr>
          <w:rFonts w:eastAsia="Calibri" w:cs="Arial"/>
          <w:lang w:eastAsia="en-US"/>
        </w:rPr>
      </w:pPr>
    </w:p>
    <w:p w:rsidR="009D729D" w:rsidRPr="00C038DE" w:rsidRDefault="009D729D" w:rsidP="00E530CD">
      <w:pPr>
        <w:spacing w:line="260" w:lineRule="atLeast"/>
        <w:rPr>
          <w:rFonts w:eastAsia="Calibri" w:cs="Arial"/>
          <w:lang w:eastAsia="en-US"/>
        </w:rPr>
      </w:pPr>
    </w:p>
    <w:p w:rsidR="00E530CD" w:rsidRPr="00C038DE" w:rsidRDefault="00E530CD" w:rsidP="000447F1">
      <w:pPr>
        <w:pStyle w:val="Kop3"/>
      </w:pPr>
      <w:bookmarkStart w:id="600" w:name="_Toc389728872"/>
      <w:bookmarkStart w:id="601" w:name="_Toc403472721"/>
      <w:bookmarkStart w:id="602" w:name="_Toc405362759"/>
      <w:bookmarkStart w:id="603" w:name="_Toc405454680"/>
      <w:bookmarkStart w:id="604" w:name="_Toc406482090"/>
      <w:bookmarkStart w:id="605" w:name="_Toc406740512"/>
      <w:bookmarkStart w:id="606" w:name="_Toc406743887"/>
      <w:bookmarkStart w:id="607" w:name="_Ref408573947"/>
      <w:bookmarkStart w:id="608" w:name="_Toc408922829"/>
      <w:bookmarkStart w:id="609" w:name="_Toc429660954"/>
      <w:bookmarkStart w:id="610" w:name="_Ref432660587"/>
      <w:r w:rsidRPr="00C038DE">
        <w:t>Candidate(s) for substitution</w:t>
      </w:r>
      <w:bookmarkEnd w:id="600"/>
      <w:bookmarkEnd w:id="601"/>
      <w:bookmarkEnd w:id="602"/>
      <w:bookmarkEnd w:id="603"/>
      <w:bookmarkEnd w:id="604"/>
      <w:bookmarkEnd w:id="605"/>
      <w:bookmarkEnd w:id="606"/>
      <w:bookmarkEnd w:id="607"/>
      <w:bookmarkEnd w:id="608"/>
      <w:bookmarkEnd w:id="609"/>
      <w:bookmarkEnd w:id="610"/>
    </w:p>
    <w:p w:rsidR="00F35099" w:rsidRPr="00C038DE" w:rsidRDefault="00F35099" w:rsidP="00F35099">
      <w:pPr>
        <w:spacing w:line="260" w:lineRule="atLeast"/>
        <w:rPr>
          <w:rFonts w:eastAsia="Calibri" w:cs="Arial"/>
          <w:lang w:eastAsia="en-US"/>
        </w:rPr>
      </w:pPr>
      <w:r w:rsidRPr="00C038DE">
        <w:rPr>
          <w:rFonts w:eastAsia="Calibri" w:cs="Arial"/>
          <w:lang w:eastAsia="en-US"/>
        </w:rPr>
        <w:t>No c</w:t>
      </w:r>
      <w:r w:rsidRPr="00C038DE">
        <w:t>andidate for substitution</w:t>
      </w:r>
      <w:r w:rsidRPr="00C038DE">
        <w:rPr>
          <w:rFonts w:eastAsia="Calibri" w:cs="Arial"/>
          <w:lang w:eastAsia="en-US"/>
        </w:rPr>
        <w:t xml:space="preserve"> was identified upon initial assessment (the application for authorisation was submitted and the assessment took place before the Biocidal Products Regulation 528/2012 entered into force).</w:t>
      </w:r>
    </w:p>
    <w:p w:rsidR="00E735C4" w:rsidRPr="00C038DE" w:rsidRDefault="00E735C4" w:rsidP="004578D2"/>
    <w:p w:rsidR="00232424" w:rsidRPr="00C038DE" w:rsidRDefault="00232424" w:rsidP="00232424">
      <w:pPr>
        <w:spacing w:line="260" w:lineRule="atLeast"/>
        <w:rPr>
          <w:rFonts w:eastAsia="Calibri" w:cs="Arial"/>
          <w:lang w:eastAsia="en-US"/>
        </w:rPr>
      </w:pPr>
      <w:r w:rsidRPr="00C038DE">
        <w:rPr>
          <w:rFonts w:eastAsia="Calibri" w:cs="Arial"/>
          <w:lang w:eastAsia="en-US"/>
        </w:rPr>
        <w:t>Now that the Biocidal Products Regulation 528/2012 entered into force, the following substance(s) was/were identified as candidate(s) for substitution upon this renewal:</w:t>
      </w:r>
    </w:p>
    <w:p w:rsidR="00C33BC2" w:rsidRPr="00C038DE" w:rsidRDefault="00C33BC2" w:rsidP="00DB5148">
      <w:pPr>
        <w:numPr>
          <w:ilvl w:val="0"/>
          <w:numId w:val="5"/>
        </w:numPr>
        <w:spacing w:line="260" w:lineRule="atLeast"/>
        <w:rPr>
          <w:rFonts w:eastAsia="Calibri" w:cs="Arial"/>
          <w:lang w:eastAsia="en-US"/>
        </w:rPr>
      </w:pPr>
      <w:r w:rsidRPr="00C038DE">
        <w:rPr>
          <w:rFonts w:eastAsia="Calibri" w:cs="Arial"/>
          <w:lang w:eastAsia="en-US"/>
        </w:rPr>
        <w:lastRenderedPageBreak/>
        <w:t>Bromadiolone</w:t>
      </w:r>
    </w:p>
    <w:p w:rsidR="00DB5148" w:rsidRPr="00C038DE" w:rsidRDefault="00DB5148" w:rsidP="00DB5148">
      <w:pPr>
        <w:rPr>
          <w:rFonts w:eastAsia="Calibri" w:cs="Arial"/>
          <w:lang w:eastAsia="en-US"/>
        </w:rPr>
      </w:pPr>
    </w:p>
    <w:p w:rsidR="00C33BC2" w:rsidRPr="00C038DE" w:rsidRDefault="00C33BC2" w:rsidP="00DB5148">
      <w:pPr>
        <w:rPr>
          <w:rFonts w:eastAsia="Calibri" w:cs="Arial"/>
          <w:lang w:eastAsia="en-US"/>
        </w:rPr>
      </w:pPr>
      <w:r w:rsidRPr="00C038DE">
        <w:rPr>
          <w:rFonts w:eastAsia="Calibri" w:cs="Arial"/>
          <w:lang w:eastAsia="en-US"/>
        </w:rPr>
        <w:t>Bromadiolone does meet the exclusion criteria according to Article 5(1) BPR. Because the following exclusion criteria are met:</w:t>
      </w:r>
    </w:p>
    <w:p w:rsidR="00C33BC2" w:rsidRPr="00C038DE" w:rsidRDefault="00C33BC2" w:rsidP="00DB5148">
      <w:pPr>
        <w:pStyle w:val="Lijstalinea"/>
        <w:spacing w:line="260" w:lineRule="atLeast"/>
        <w:rPr>
          <w:rFonts w:eastAsia="Calibri" w:cs="Arial"/>
          <w:lang w:eastAsia="en-US"/>
        </w:rPr>
      </w:pPr>
      <w:r w:rsidRPr="00C038DE">
        <w:rPr>
          <w:rFonts w:eastAsia="Calibri" w:cs="Arial"/>
          <w:lang w:eastAsia="en-US"/>
        </w:rPr>
        <w:t>•</w:t>
      </w:r>
      <w:r w:rsidRPr="00C038DE">
        <w:rPr>
          <w:rFonts w:eastAsia="Calibri" w:cs="Arial"/>
          <w:lang w:eastAsia="en-US"/>
        </w:rPr>
        <w:tab/>
        <w:t>toxic for reproduction category 1B</w:t>
      </w:r>
    </w:p>
    <w:p w:rsidR="00C33BC2" w:rsidRPr="00C038DE" w:rsidRDefault="00C33BC2" w:rsidP="005937DC">
      <w:pPr>
        <w:pStyle w:val="Lijstalinea"/>
        <w:spacing w:line="260" w:lineRule="atLeast"/>
        <w:rPr>
          <w:rFonts w:eastAsia="Calibri" w:cs="Arial"/>
          <w:lang w:eastAsia="en-US"/>
        </w:rPr>
      </w:pPr>
      <w:r w:rsidRPr="00C038DE">
        <w:rPr>
          <w:rFonts w:eastAsia="Calibri" w:cs="Arial"/>
          <w:lang w:eastAsia="en-US"/>
        </w:rPr>
        <w:t>•</w:t>
      </w:r>
      <w:r w:rsidRPr="00C038DE">
        <w:rPr>
          <w:rFonts w:eastAsia="Calibri" w:cs="Arial"/>
          <w:lang w:eastAsia="en-US"/>
        </w:rPr>
        <w:tab/>
        <w:t>persistent, bioaccumulative and toxic</w:t>
      </w:r>
    </w:p>
    <w:p w:rsidR="00DB5148" w:rsidRPr="00C038DE" w:rsidRDefault="00DB5148" w:rsidP="005937DC">
      <w:pPr>
        <w:rPr>
          <w:rFonts w:eastAsia="Calibri" w:cs="Arial"/>
          <w:lang w:eastAsia="en-US"/>
        </w:rPr>
      </w:pPr>
    </w:p>
    <w:p w:rsidR="00DB5148" w:rsidRPr="00C038DE" w:rsidRDefault="00DB5148" w:rsidP="00DB5148">
      <w:r w:rsidRPr="00C038DE">
        <w:t>And therefore, Bro</w:t>
      </w:r>
      <w:r w:rsidR="0017745F">
        <w:t>madiolone</w:t>
      </w:r>
      <w:r w:rsidRPr="00C038DE">
        <w:t xml:space="preserve"> meet</w:t>
      </w:r>
      <w:r w:rsidR="00D57FB5">
        <w:t>s</w:t>
      </w:r>
      <w:r w:rsidRPr="00C038DE">
        <w:t xml:space="preserve"> the conditions laid down in Article 10 BPR, and is consequently a candidate for substitution.</w:t>
      </w:r>
    </w:p>
    <w:p w:rsidR="009D729D" w:rsidRPr="00C038DE" w:rsidRDefault="009D729D" w:rsidP="0084416B"/>
    <w:p w:rsidR="005F4F04" w:rsidRPr="00C038DE" w:rsidRDefault="005F4F04" w:rsidP="000447F1">
      <w:pPr>
        <w:pStyle w:val="Kop3"/>
      </w:pPr>
      <w:bookmarkStart w:id="611" w:name="_Toc429660955"/>
      <w:r w:rsidRPr="00C038DE">
        <w:t>Type of formulation</w:t>
      </w:r>
      <w:bookmarkEnd w:id="6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133A" w:rsidRPr="00C038DE"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21D2" w:rsidRPr="00C038DE" w:rsidRDefault="00C33BC2" w:rsidP="00BF2FDB">
            <w:r w:rsidRPr="00C038DE">
              <w:t xml:space="preserve">RB - </w:t>
            </w:r>
            <w:r w:rsidR="00AA21D2" w:rsidRPr="00C038DE">
              <w:t xml:space="preserve">Ready-to-use bait: </w:t>
            </w:r>
            <w:r w:rsidR="00BF2FDB" w:rsidRPr="00C038DE">
              <w:t>paste</w:t>
            </w:r>
          </w:p>
        </w:tc>
      </w:tr>
    </w:tbl>
    <w:p w:rsidR="005F4F04" w:rsidRPr="00C038DE" w:rsidRDefault="005F4F04" w:rsidP="00E530CD">
      <w:pPr>
        <w:pStyle w:val="Absatz"/>
        <w:ind w:left="0"/>
      </w:pPr>
    </w:p>
    <w:p w:rsidR="00712C10" w:rsidRPr="00C038DE" w:rsidRDefault="00712C10" w:rsidP="00712C10">
      <w:pPr>
        <w:pStyle w:val="Kop2"/>
        <w:numPr>
          <w:ilvl w:val="1"/>
          <w:numId w:val="4"/>
        </w:numPr>
        <w:spacing w:after="280"/>
        <w:jc w:val="both"/>
      </w:pPr>
      <w:bookmarkStart w:id="612" w:name="_Toc429660956"/>
      <w:bookmarkStart w:id="613" w:name="_Ref432659905"/>
      <w:bookmarkStart w:id="614" w:name="_Ref432660107"/>
      <w:bookmarkStart w:id="615" w:name="_Toc500491640"/>
      <w:r w:rsidRPr="00C038DE">
        <w:t>Classification and Labelling</w:t>
      </w:r>
      <w:r w:rsidR="005C17C2" w:rsidRPr="00C038DE">
        <w:t xml:space="preserve"> according to the Regulation (EC) </w:t>
      </w:r>
      <w:r w:rsidR="00C512C7" w:rsidRPr="00C038DE">
        <w:t xml:space="preserve">No </w:t>
      </w:r>
      <w:r w:rsidR="005C17C2" w:rsidRPr="00C038DE">
        <w:t>1272/2008</w:t>
      </w:r>
      <w:r w:rsidR="005C17C2" w:rsidRPr="00C038DE">
        <w:rPr>
          <w:sz w:val="24"/>
          <w:szCs w:val="26"/>
          <w:vertAlign w:val="superscript"/>
        </w:rPr>
        <w:footnoteReference w:id="2"/>
      </w:r>
      <w:bookmarkEnd w:id="612"/>
      <w:bookmarkEnd w:id="613"/>
      <w:bookmarkEnd w:id="614"/>
      <w:bookmarkEnd w:id="615"/>
    </w:p>
    <w:p w:rsidR="00DE2227" w:rsidRPr="00C038DE" w:rsidRDefault="00DE2227" w:rsidP="00AD4CA3"/>
    <w:p w:rsidR="003362CF" w:rsidRPr="00C038DE" w:rsidRDefault="003362CF" w:rsidP="003362CF">
      <w:pPr>
        <w:pStyle w:val="Bijschrift"/>
        <w:rPr>
          <w:rFonts w:cs="Arial"/>
        </w:rPr>
      </w:pPr>
      <w:r w:rsidRPr="00C038DE">
        <w:rPr>
          <w:rFonts w:cs="Arial"/>
        </w:rPr>
        <w:t xml:space="preserve">Table </w:t>
      </w:r>
      <w:r w:rsidRPr="00C038DE">
        <w:rPr>
          <w:rFonts w:cs="Arial"/>
        </w:rPr>
        <w:fldChar w:fldCharType="begin"/>
      </w:r>
      <w:r w:rsidRPr="00C038DE">
        <w:rPr>
          <w:rFonts w:cs="Arial"/>
        </w:rPr>
        <w:instrText xml:space="preserve"> SEQ Table \* ARABIC </w:instrText>
      </w:r>
      <w:r w:rsidRPr="00C038DE">
        <w:rPr>
          <w:rFonts w:cs="Arial"/>
        </w:rPr>
        <w:fldChar w:fldCharType="separate"/>
      </w:r>
      <w:r w:rsidR="00FF08E1" w:rsidRPr="00C038DE">
        <w:rPr>
          <w:rFonts w:cs="Arial"/>
          <w:noProof/>
        </w:rPr>
        <w:t>2</w:t>
      </w:r>
      <w:r w:rsidRPr="00C038DE">
        <w:rPr>
          <w:rFonts w:cs="Arial"/>
        </w:rPr>
        <w:fldChar w:fldCharType="end"/>
      </w:r>
    </w:p>
    <w:tbl>
      <w:tblPr>
        <w:tblW w:w="9015" w:type="dxa"/>
        <w:jc w:val="center"/>
        <w:tblLayout w:type="fixed"/>
        <w:tblLook w:val="04A0" w:firstRow="1" w:lastRow="0" w:firstColumn="1" w:lastColumn="0" w:noHBand="0" w:noVBand="1"/>
      </w:tblPr>
      <w:tblGrid>
        <w:gridCol w:w="3587"/>
        <w:gridCol w:w="5428"/>
      </w:tblGrid>
      <w:tr w:rsidR="004061A6" w:rsidRPr="00C038DE" w:rsidTr="00723E47">
        <w:trPr>
          <w:cantSplit/>
          <w:tblHeader/>
          <w:jc w:val="center"/>
        </w:trPr>
        <w:tc>
          <w:tcPr>
            <w:tcW w:w="3587" w:type="dxa"/>
            <w:tcBorders>
              <w:top w:val="single" w:sz="2" w:space="0" w:color="auto"/>
              <w:left w:val="single" w:sz="2" w:space="0" w:color="auto"/>
              <w:bottom w:val="single" w:sz="2" w:space="0" w:color="auto"/>
            </w:tcBorders>
            <w:shd w:val="clear" w:color="auto" w:fill="BFBFBF"/>
            <w:hideMark/>
          </w:tcPr>
          <w:p w:rsidR="003362CF" w:rsidRPr="00C038DE" w:rsidRDefault="003362CF" w:rsidP="003362CF">
            <w:pPr>
              <w:pStyle w:val="Tablehead0"/>
            </w:pPr>
            <w:r w:rsidRPr="00C038DE">
              <w:t>Classification</w:t>
            </w:r>
          </w:p>
          <w:p w:rsidR="003362CF" w:rsidRPr="00C038DE" w:rsidRDefault="003362CF" w:rsidP="003362CF">
            <w:pPr>
              <w:pStyle w:val="Tablehead0"/>
            </w:pPr>
            <w:r w:rsidRPr="00C038DE">
              <w:t>Hazard classes, Hazard categories</w:t>
            </w:r>
          </w:p>
        </w:tc>
        <w:tc>
          <w:tcPr>
            <w:tcW w:w="5428" w:type="dxa"/>
            <w:tcBorders>
              <w:top w:val="single" w:sz="2" w:space="0" w:color="auto"/>
              <w:left w:val="nil"/>
              <w:bottom w:val="single" w:sz="2" w:space="0" w:color="auto"/>
              <w:right w:val="single" w:sz="2" w:space="0" w:color="auto"/>
            </w:tcBorders>
            <w:shd w:val="clear" w:color="auto" w:fill="BFBFBF"/>
          </w:tcPr>
          <w:p w:rsidR="003362CF" w:rsidRPr="00C038DE" w:rsidRDefault="003362CF" w:rsidP="003362CF">
            <w:pPr>
              <w:pStyle w:val="Tablehead0"/>
            </w:pPr>
          </w:p>
          <w:p w:rsidR="003362CF" w:rsidRPr="00C038DE" w:rsidRDefault="003362CF" w:rsidP="003362CF">
            <w:pPr>
              <w:pStyle w:val="Tablehead0"/>
            </w:pPr>
            <w:r w:rsidRPr="00C038DE">
              <w:t>Hazard statements</w:t>
            </w:r>
          </w:p>
        </w:tc>
      </w:tr>
      <w:tr w:rsidR="004061A6" w:rsidRPr="00C038DE" w:rsidTr="00723E47">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rsidR="003362CF" w:rsidRPr="00C038DE" w:rsidRDefault="008D4A50" w:rsidP="003362CF">
            <w:pPr>
              <w:pStyle w:val="tablebody0"/>
            </w:pPr>
            <w:r w:rsidRPr="00C038DE">
              <w:t>Repr. 1B</w:t>
            </w:r>
          </w:p>
        </w:tc>
        <w:tc>
          <w:tcPr>
            <w:tcW w:w="5428" w:type="dxa"/>
            <w:tcBorders>
              <w:top w:val="single" w:sz="2" w:space="0" w:color="auto"/>
              <w:left w:val="single" w:sz="2" w:space="0" w:color="auto"/>
              <w:bottom w:val="single" w:sz="2" w:space="0" w:color="auto"/>
              <w:right w:val="single" w:sz="2" w:space="0" w:color="auto"/>
            </w:tcBorders>
          </w:tcPr>
          <w:p w:rsidR="003362CF" w:rsidRPr="00C038DE" w:rsidRDefault="008D4A50" w:rsidP="003362CF">
            <w:pPr>
              <w:pStyle w:val="tablebody0"/>
            </w:pPr>
            <w:r w:rsidRPr="00C038DE">
              <w:t>H360D</w:t>
            </w:r>
            <w:r w:rsidR="003362CF" w:rsidRPr="00C038DE">
              <w:t xml:space="preserve"> </w:t>
            </w:r>
          </w:p>
        </w:tc>
      </w:tr>
      <w:tr w:rsidR="003362CF" w:rsidRPr="00C038DE" w:rsidTr="00723E47">
        <w:trPr>
          <w:cantSplit/>
          <w:tblHeader/>
          <w:jc w:val="center"/>
        </w:trPr>
        <w:tc>
          <w:tcPr>
            <w:tcW w:w="3587" w:type="dxa"/>
            <w:tcBorders>
              <w:top w:val="single" w:sz="2" w:space="0" w:color="auto"/>
              <w:left w:val="single" w:sz="2" w:space="0" w:color="auto"/>
              <w:bottom w:val="single" w:sz="2" w:space="0" w:color="auto"/>
              <w:right w:val="single" w:sz="2" w:space="0" w:color="auto"/>
            </w:tcBorders>
          </w:tcPr>
          <w:p w:rsidR="003362CF" w:rsidRPr="00C038DE" w:rsidRDefault="008D4A50" w:rsidP="008D4A50">
            <w:pPr>
              <w:pStyle w:val="tablebody0"/>
            </w:pPr>
            <w:r w:rsidRPr="00C038DE">
              <w:t>STOT RE 1</w:t>
            </w:r>
          </w:p>
        </w:tc>
        <w:tc>
          <w:tcPr>
            <w:tcW w:w="5428" w:type="dxa"/>
            <w:tcBorders>
              <w:top w:val="single" w:sz="2" w:space="0" w:color="auto"/>
              <w:left w:val="single" w:sz="2" w:space="0" w:color="auto"/>
              <w:bottom w:val="single" w:sz="2" w:space="0" w:color="auto"/>
              <w:right w:val="single" w:sz="2" w:space="0" w:color="auto"/>
            </w:tcBorders>
          </w:tcPr>
          <w:p w:rsidR="003362CF" w:rsidRPr="00C038DE" w:rsidRDefault="008D4A50" w:rsidP="003362CF">
            <w:pPr>
              <w:pStyle w:val="tablebody0"/>
            </w:pPr>
            <w:r w:rsidRPr="00C038DE">
              <w:t>H372</w:t>
            </w:r>
            <w:r w:rsidR="003362CF" w:rsidRPr="00C038DE">
              <w:t xml:space="preserve"> </w:t>
            </w:r>
          </w:p>
        </w:tc>
      </w:tr>
    </w:tbl>
    <w:p w:rsidR="003362CF" w:rsidRPr="00C038DE" w:rsidRDefault="003362CF" w:rsidP="00AD4CA3"/>
    <w:p w:rsidR="00362624" w:rsidRPr="00C038DE" w:rsidRDefault="00362624" w:rsidP="00362624">
      <w:pPr>
        <w:pStyle w:val="Bijschrift"/>
        <w:rPr>
          <w:rFonts w:cs="Arial"/>
        </w:rPr>
      </w:pPr>
      <w:r w:rsidRPr="00C038DE">
        <w:rPr>
          <w:rFonts w:cs="Arial"/>
        </w:rPr>
        <w:t xml:space="preserve">Table </w:t>
      </w:r>
      <w:r w:rsidRPr="00C038DE">
        <w:rPr>
          <w:rFonts w:cs="Arial"/>
        </w:rPr>
        <w:fldChar w:fldCharType="begin"/>
      </w:r>
      <w:r w:rsidRPr="00C038DE">
        <w:rPr>
          <w:rFonts w:cs="Arial"/>
        </w:rPr>
        <w:instrText xml:space="preserve"> SEQ Table \* ARABIC </w:instrText>
      </w:r>
      <w:r w:rsidRPr="00C038DE">
        <w:rPr>
          <w:rFonts w:cs="Arial"/>
        </w:rPr>
        <w:fldChar w:fldCharType="separate"/>
      </w:r>
      <w:r w:rsidR="00FF08E1" w:rsidRPr="00C038DE">
        <w:rPr>
          <w:rFonts w:cs="Arial"/>
          <w:noProof/>
        </w:rPr>
        <w:t>3</w:t>
      </w:r>
      <w:r w:rsidRPr="00C038DE">
        <w:rPr>
          <w:rFonts w:cs="Arial"/>
        </w:rPr>
        <w:fldChar w:fldCharType="end"/>
      </w:r>
    </w:p>
    <w:tbl>
      <w:tblPr>
        <w:tblW w:w="9015" w:type="dxa"/>
        <w:jc w:val="center"/>
        <w:tblLayout w:type="fixed"/>
        <w:tblLook w:val="04A0" w:firstRow="1" w:lastRow="0" w:firstColumn="1" w:lastColumn="0" w:noHBand="0" w:noVBand="1"/>
      </w:tblPr>
      <w:tblGrid>
        <w:gridCol w:w="3587"/>
        <w:gridCol w:w="1134"/>
        <w:gridCol w:w="4294"/>
      </w:tblGrid>
      <w:tr w:rsidR="004061A6" w:rsidRPr="00C038DE" w:rsidTr="008D4A50">
        <w:trPr>
          <w:cantSplit/>
          <w:tblHeader/>
          <w:jc w:val="center"/>
        </w:trPr>
        <w:tc>
          <w:tcPr>
            <w:tcW w:w="3587" w:type="dxa"/>
            <w:tcBorders>
              <w:top w:val="single" w:sz="2" w:space="0" w:color="auto"/>
              <w:left w:val="single" w:sz="2" w:space="0" w:color="auto"/>
              <w:bottom w:val="single" w:sz="2" w:space="0" w:color="auto"/>
            </w:tcBorders>
            <w:shd w:val="clear" w:color="auto" w:fill="BFBFBF"/>
            <w:hideMark/>
          </w:tcPr>
          <w:p w:rsidR="008A5CAA" w:rsidRPr="00C038DE" w:rsidRDefault="008A5CAA" w:rsidP="003362CF">
            <w:pPr>
              <w:pStyle w:val="Tablehead0"/>
            </w:pPr>
            <w:r w:rsidRPr="00C038DE">
              <w:t>Labelling</w:t>
            </w:r>
          </w:p>
        </w:tc>
        <w:tc>
          <w:tcPr>
            <w:tcW w:w="1134" w:type="dxa"/>
            <w:tcBorders>
              <w:top w:val="single" w:sz="2" w:space="0" w:color="auto"/>
              <w:bottom w:val="single" w:sz="2" w:space="0" w:color="auto"/>
            </w:tcBorders>
            <w:shd w:val="clear" w:color="auto" w:fill="BFBFBF"/>
          </w:tcPr>
          <w:p w:rsidR="008A5CAA" w:rsidRPr="00C038DE" w:rsidRDefault="008A5CAA" w:rsidP="003362CF">
            <w:pPr>
              <w:pStyle w:val="Tablehead0"/>
            </w:pPr>
          </w:p>
          <w:p w:rsidR="008A5CAA" w:rsidRPr="00C038DE" w:rsidRDefault="008A5CAA" w:rsidP="003362CF">
            <w:pPr>
              <w:pStyle w:val="Tablehead0"/>
            </w:pPr>
            <w:r w:rsidRPr="00C038DE">
              <w:t>Code</w:t>
            </w:r>
          </w:p>
        </w:tc>
        <w:tc>
          <w:tcPr>
            <w:tcW w:w="4294" w:type="dxa"/>
            <w:tcBorders>
              <w:top w:val="single" w:sz="2" w:space="0" w:color="auto"/>
              <w:left w:val="nil"/>
              <w:bottom w:val="single" w:sz="2" w:space="0" w:color="auto"/>
              <w:right w:val="single" w:sz="2" w:space="0" w:color="auto"/>
            </w:tcBorders>
            <w:shd w:val="clear" w:color="auto" w:fill="BFBFBF"/>
          </w:tcPr>
          <w:p w:rsidR="008A5CAA" w:rsidRPr="00C038DE" w:rsidRDefault="008A5CAA" w:rsidP="003362CF">
            <w:pPr>
              <w:pStyle w:val="Tablehead0"/>
            </w:pPr>
          </w:p>
          <w:p w:rsidR="008A5CAA" w:rsidRPr="00C038DE" w:rsidRDefault="00A46534" w:rsidP="003362CF">
            <w:pPr>
              <w:pStyle w:val="Tablehead0"/>
            </w:pPr>
            <w:r w:rsidRPr="00C038DE">
              <w:t xml:space="preserve">Pictogram / </w:t>
            </w:r>
            <w:r w:rsidR="008A5CAA" w:rsidRPr="00C038DE">
              <w:t>Wording</w:t>
            </w:r>
          </w:p>
        </w:tc>
      </w:tr>
      <w:tr w:rsidR="004061A6" w:rsidRPr="004E25F5" w:rsidTr="008D4A50">
        <w:trPr>
          <w:cantSplit/>
          <w:tblHeader/>
          <w:jc w:val="center"/>
        </w:trPr>
        <w:tc>
          <w:tcPr>
            <w:tcW w:w="3587" w:type="dxa"/>
            <w:tcBorders>
              <w:left w:val="single" w:sz="2" w:space="0" w:color="auto"/>
              <w:right w:val="single" w:sz="2" w:space="0" w:color="auto"/>
            </w:tcBorders>
          </w:tcPr>
          <w:p w:rsidR="00A46534" w:rsidRPr="004E25F5" w:rsidRDefault="008D4A50" w:rsidP="003362CF">
            <w:pPr>
              <w:pStyle w:val="tablebody0"/>
            </w:pPr>
            <w:r w:rsidRPr="004E25F5">
              <w:t>Pictograms</w:t>
            </w:r>
          </w:p>
        </w:tc>
        <w:tc>
          <w:tcPr>
            <w:tcW w:w="1134" w:type="dxa"/>
            <w:tcBorders>
              <w:top w:val="single" w:sz="2" w:space="0" w:color="auto"/>
              <w:left w:val="single" w:sz="2" w:space="0" w:color="auto"/>
              <w:bottom w:val="single" w:sz="2" w:space="0" w:color="auto"/>
              <w:right w:val="single" w:sz="2" w:space="0" w:color="auto"/>
            </w:tcBorders>
          </w:tcPr>
          <w:p w:rsidR="00A46534" w:rsidRPr="004E25F5" w:rsidRDefault="00A46534" w:rsidP="003362CF">
            <w:pPr>
              <w:pStyle w:val="tablebody0"/>
              <w:rPr>
                <w:lang w:eastAsia="fi-FI"/>
              </w:rPr>
            </w:pPr>
            <w:r w:rsidRPr="004E25F5">
              <w:rPr>
                <w:lang w:eastAsia="fi-FI"/>
              </w:rPr>
              <w:t>GHS08</w:t>
            </w:r>
          </w:p>
        </w:tc>
        <w:tc>
          <w:tcPr>
            <w:tcW w:w="4294" w:type="dxa"/>
            <w:tcBorders>
              <w:top w:val="single" w:sz="2" w:space="0" w:color="auto"/>
              <w:left w:val="single" w:sz="2" w:space="0" w:color="auto"/>
              <w:bottom w:val="single" w:sz="2" w:space="0" w:color="auto"/>
              <w:right w:val="single" w:sz="2" w:space="0" w:color="auto"/>
            </w:tcBorders>
          </w:tcPr>
          <w:p w:rsidR="00A46534" w:rsidRPr="004E25F5" w:rsidRDefault="002A2623" w:rsidP="003362CF">
            <w:pPr>
              <w:pStyle w:val="tablebody0"/>
              <w:rPr>
                <w:lang w:eastAsia="fi-FI"/>
              </w:rPr>
            </w:pPr>
            <w:r w:rsidRPr="004E25F5">
              <w:rPr>
                <w:noProof/>
                <w:lang w:val="nl-NL" w:eastAsia="nl-NL"/>
              </w:rPr>
              <w:drawing>
                <wp:inline distT="0" distB="0" distL="0" distR="0" wp14:anchorId="2CF7DAC4" wp14:editId="3B9055EA">
                  <wp:extent cx="777600" cy="77760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600" cy="777600"/>
                          </a:xfrm>
                          <a:prstGeom prst="rect">
                            <a:avLst/>
                          </a:prstGeom>
                        </pic:spPr>
                      </pic:pic>
                    </a:graphicData>
                  </a:graphic>
                </wp:inline>
              </w:drawing>
            </w:r>
          </w:p>
        </w:tc>
      </w:tr>
      <w:tr w:rsidR="004061A6" w:rsidRPr="004E25F5" w:rsidTr="008D4A50">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rsidR="008A5CAA" w:rsidRPr="004E25F5" w:rsidRDefault="008A5CAA" w:rsidP="003362CF">
            <w:pPr>
              <w:pStyle w:val="tablebody0"/>
              <w:rPr>
                <w:highlight w:val="green"/>
              </w:rPr>
            </w:pPr>
            <w:r w:rsidRPr="004E25F5">
              <w:t>Signal word</w:t>
            </w:r>
          </w:p>
        </w:tc>
        <w:tc>
          <w:tcPr>
            <w:tcW w:w="1134" w:type="dxa"/>
            <w:tcBorders>
              <w:top w:val="single" w:sz="2" w:space="0" w:color="auto"/>
              <w:left w:val="single" w:sz="2" w:space="0" w:color="auto"/>
              <w:bottom w:val="single" w:sz="2" w:space="0" w:color="auto"/>
              <w:right w:val="single" w:sz="2" w:space="0" w:color="auto"/>
            </w:tcBorders>
          </w:tcPr>
          <w:p w:rsidR="008A5CAA" w:rsidRPr="004E25F5" w:rsidRDefault="0029678C" w:rsidP="003362CF">
            <w:pPr>
              <w:pStyle w:val="tablebody0"/>
              <w:rPr>
                <w:lang w:eastAsia="fi-FI"/>
              </w:rPr>
            </w:pPr>
            <w:r w:rsidRPr="004E25F5">
              <w:rPr>
                <w:lang w:eastAsia="fi-FI"/>
              </w:rPr>
              <w:t>-</w:t>
            </w:r>
          </w:p>
        </w:tc>
        <w:tc>
          <w:tcPr>
            <w:tcW w:w="4294" w:type="dxa"/>
            <w:tcBorders>
              <w:top w:val="single" w:sz="2" w:space="0" w:color="auto"/>
              <w:left w:val="single" w:sz="2" w:space="0" w:color="auto"/>
              <w:bottom w:val="single" w:sz="2" w:space="0" w:color="auto"/>
              <w:right w:val="single" w:sz="2" w:space="0" w:color="auto"/>
            </w:tcBorders>
          </w:tcPr>
          <w:p w:rsidR="008A5CAA" w:rsidRPr="004E25F5" w:rsidRDefault="008D4A50" w:rsidP="003362CF">
            <w:pPr>
              <w:pStyle w:val="tablebody0"/>
              <w:rPr>
                <w:lang w:eastAsia="fi-FI"/>
              </w:rPr>
            </w:pPr>
            <w:r w:rsidRPr="004E25F5">
              <w:rPr>
                <w:lang w:eastAsia="fi-FI"/>
              </w:rPr>
              <w:t>Danger</w:t>
            </w:r>
          </w:p>
        </w:tc>
      </w:tr>
      <w:tr w:rsidR="004061A6" w:rsidRPr="004E25F5" w:rsidTr="008D4A50">
        <w:trPr>
          <w:cantSplit/>
          <w:tblHeader/>
          <w:jc w:val="center"/>
        </w:trPr>
        <w:tc>
          <w:tcPr>
            <w:tcW w:w="3587" w:type="dxa"/>
            <w:vMerge w:val="restart"/>
            <w:tcBorders>
              <w:top w:val="single" w:sz="2" w:space="0" w:color="auto"/>
              <w:left w:val="single" w:sz="2" w:space="0" w:color="auto"/>
              <w:right w:val="single" w:sz="2" w:space="0" w:color="auto"/>
            </w:tcBorders>
            <w:hideMark/>
          </w:tcPr>
          <w:p w:rsidR="004B46D9" w:rsidRPr="004E25F5" w:rsidRDefault="004B46D9" w:rsidP="003362CF">
            <w:pPr>
              <w:pStyle w:val="tablebody0"/>
            </w:pPr>
            <w:r w:rsidRPr="004E25F5">
              <w:t>Hazard statements</w:t>
            </w:r>
          </w:p>
        </w:tc>
        <w:tc>
          <w:tcPr>
            <w:tcW w:w="1134" w:type="dxa"/>
            <w:tcBorders>
              <w:top w:val="single" w:sz="2" w:space="0" w:color="auto"/>
              <w:left w:val="single" w:sz="2" w:space="0" w:color="auto"/>
              <w:bottom w:val="single" w:sz="2" w:space="0" w:color="auto"/>
              <w:right w:val="single" w:sz="2" w:space="0" w:color="auto"/>
            </w:tcBorders>
          </w:tcPr>
          <w:p w:rsidR="004B46D9" w:rsidRPr="004E25F5" w:rsidRDefault="008D4A50" w:rsidP="003362CF">
            <w:pPr>
              <w:pStyle w:val="tablebody0"/>
              <w:rPr>
                <w:lang w:eastAsia="fi-FI"/>
              </w:rPr>
            </w:pPr>
            <w:r w:rsidRPr="004E25F5">
              <w:rPr>
                <w:lang w:eastAsia="fi-FI"/>
              </w:rPr>
              <w:t>H360D</w:t>
            </w:r>
          </w:p>
        </w:tc>
        <w:tc>
          <w:tcPr>
            <w:tcW w:w="4294" w:type="dxa"/>
            <w:tcBorders>
              <w:top w:val="single" w:sz="2" w:space="0" w:color="auto"/>
              <w:left w:val="single" w:sz="2" w:space="0" w:color="auto"/>
              <w:bottom w:val="single" w:sz="2" w:space="0" w:color="auto"/>
              <w:right w:val="single" w:sz="2" w:space="0" w:color="auto"/>
            </w:tcBorders>
          </w:tcPr>
          <w:p w:rsidR="004B46D9" w:rsidRPr="004E25F5" w:rsidRDefault="008D4A50" w:rsidP="008D4A50">
            <w:pPr>
              <w:pStyle w:val="tablebody0"/>
              <w:tabs>
                <w:tab w:val="left" w:pos="1040"/>
              </w:tabs>
              <w:rPr>
                <w:lang w:eastAsia="fi-FI"/>
              </w:rPr>
            </w:pPr>
            <w:r w:rsidRPr="004E25F5">
              <w:rPr>
                <w:rStyle w:val="ng-scope"/>
              </w:rPr>
              <w:t>May damage the unborn child.</w:t>
            </w:r>
          </w:p>
        </w:tc>
      </w:tr>
      <w:tr w:rsidR="004061A6" w:rsidRPr="004E25F5" w:rsidTr="008D4A50">
        <w:trPr>
          <w:cantSplit/>
          <w:tblHeader/>
          <w:jc w:val="center"/>
        </w:trPr>
        <w:tc>
          <w:tcPr>
            <w:tcW w:w="3587" w:type="dxa"/>
            <w:vMerge/>
            <w:tcBorders>
              <w:left w:val="single" w:sz="2" w:space="0" w:color="auto"/>
              <w:bottom w:val="single" w:sz="2" w:space="0" w:color="auto"/>
              <w:right w:val="single" w:sz="2" w:space="0" w:color="auto"/>
            </w:tcBorders>
          </w:tcPr>
          <w:p w:rsidR="004B46D9" w:rsidRPr="004E25F5" w:rsidRDefault="004B46D9"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4B46D9" w:rsidRPr="004E25F5" w:rsidRDefault="008D4A50" w:rsidP="003362CF">
            <w:pPr>
              <w:pStyle w:val="tablebody0"/>
              <w:rPr>
                <w:lang w:eastAsia="fi-FI"/>
              </w:rPr>
            </w:pPr>
            <w:r w:rsidRPr="004E25F5">
              <w:rPr>
                <w:lang w:eastAsia="fi-FI"/>
              </w:rPr>
              <w:t>H372</w:t>
            </w:r>
          </w:p>
        </w:tc>
        <w:tc>
          <w:tcPr>
            <w:tcW w:w="4294" w:type="dxa"/>
            <w:tcBorders>
              <w:top w:val="single" w:sz="2" w:space="0" w:color="auto"/>
              <w:left w:val="single" w:sz="2" w:space="0" w:color="auto"/>
              <w:bottom w:val="single" w:sz="2" w:space="0" w:color="auto"/>
              <w:right w:val="single" w:sz="2" w:space="0" w:color="auto"/>
            </w:tcBorders>
          </w:tcPr>
          <w:p w:rsidR="004B46D9" w:rsidRPr="004E25F5" w:rsidRDefault="008D4A50" w:rsidP="004E25F5">
            <w:pPr>
              <w:pStyle w:val="tablebody0"/>
              <w:rPr>
                <w:lang w:eastAsia="fi-FI"/>
              </w:rPr>
            </w:pPr>
            <w:r w:rsidRPr="004E25F5">
              <w:rPr>
                <w:rStyle w:val="ng-scope"/>
              </w:rPr>
              <w:t xml:space="preserve">Causes damage to </w:t>
            </w:r>
            <w:r w:rsidR="004E25F5" w:rsidRPr="004E25F5">
              <w:rPr>
                <w:rStyle w:val="ng-scope"/>
              </w:rPr>
              <w:t>the blood through prolonged or repeated exposure.</w:t>
            </w:r>
          </w:p>
        </w:tc>
      </w:tr>
      <w:tr w:rsidR="004061A6" w:rsidRPr="004E25F5" w:rsidTr="008D4A50">
        <w:trPr>
          <w:cantSplit/>
          <w:tblHeader/>
          <w:jc w:val="center"/>
        </w:trPr>
        <w:tc>
          <w:tcPr>
            <w:tcW w:w="3587" w:type="dxa"/>
            <w:tcBorders>
              <w:top w:val="single" w:sz="2" w:space="0" w:color="auto"/>
              <w:left w:val="single" w:sz="2" w:space="0" w:color="auto"/>
              <w:right w:val="single" w:sz="2" w:space="0" w:color="auto"/>
            </w:tcBorders>
          </w:tcPr>
          <w:p w:rsidR="004B46D9" w:rsidRPr="004E25F5" w:rsidRDefault="004B46D9" w:rsidP="003362CF">
            <w:pPr>
              <w:pStyle w:val="tablebody0"/>
            </w:pPr>
            <w:r w:rsidRPr="004E25F5">
              <w:t>Supplemental hazard information</w:t>
            </w:r>
          </w:p>
        </w:tc>
        <w:tc>
          <w:tcPr>
            <w:tcW w:w="1134" w:type="dxa"/>
            <w:tcBorders>
              <w:top w:val="single" w:sz="2" w:space="0" w:color="auto"/>
              <w:left w:val="single" w:sz="2" w:space="0" w:color="auto"/>
              <w:bottom w:val="single" w:sz="2" w:space="0" w:color="auto"/>
              <w:right w:val="single" w:sz="2" w:space="0" w:color="auto"/>
            </w:tcBorders>
          </w:tcPr>
          <w:p w:rsidR="004B46D9" w:rsidRPr="004E25F5" w:rsidRDefault="00A4270D" w:rsidP="003362CF">
            <w:pPr>
              <w:pStyle w:val="tablebody0"/>
              <w:rPr>
                <w:lang w:eastAsia="fi-FI"/>
              </w:rPr>
            </w:pPr>
            <w:r w:rsidRPr="004E25F5">
              <w:rPr>
                <w:lang w:eastAsia="fi-FI"/>
              </w:rPr>
              <w:t>-</w:t>
            </w:r>
          </w:p>
        </w:tc>
        <w:tc>
          <w:tcPr>
            <w:tcW w:w="4294" w:type="dxa"/>
            <w:tcBorders>
              <w:top w:val="single" w:sz="2" w:space="0" w:color="auto"/>
              <w:left w:val="single" w:sz="2" w:space="0" w:color="auto"/>
              <w:bottom w:val="single" w:sz="2" w:space="0" w:color="auto"/>
              <w:right w:val="single" w:sz="2" w:space="0" w:color="auto"/>
            </w:tcBorders>
          </w:tcPr>
          <w:p w:rsidR="004B46D9" w:rsidRPr="004E25F5" w:rsidRDefault="00A4270D" w:rsidP="003362CF">
            <w:pPr>
              <w:pStyle w:val="tablebody0"/>
              <w:rPr>
                <w:lang w:eastAsia="fi-FI"/>
              </w:rPr>
            </w:pPr>
            <w:r w:rsidRPr="004E25F5">
              <w:rPr>
                <w:lang w:eastAsia="fi-FI"/>
              </w:rPr>
              <w:t>-</w:t>
            </w:r>
          </w:p>
        </w:tc>
      </w:tr>
      <w:tr w:rsidR="004061A6" w:rsidRPr="004E25F5" w:rsidTr="008D4A50">
        <w:trPr>
          <w:cantSplit/>
          <w:tblHeader/>
          <w:jc w:val="center"/>
        </w:trPr>
        <w:tc>
          <w:tcPr>
            <w:tcW w:w="3587" w:type="dxa"/>
            <w:tcBorders>
              <w:top w:val="single" w:sz="2" w:space="0" w:color="auto"/>
              <w:left w:val="single" w:sz="2" w:space="0" w:color="auto"/>
              <w:right w:val="single" w:sz="2" w:space="0" w:color="auto"/>
            </w:tcBorders>
          </w:tcPr>
          <w:p w:rsidR="004B46D9" w:rsidRPr="004E25F5" w:rsidRDefault="004B46D9" w:rsidP="003362CF">
            <w:pPr>
              <w:pStyle w:val="tablebody0"/>
            </w:pPr>
            <w:r w:rsidRPr="004E25F5">
              <w:t>Supplemental label elements</w:t>
            </w:r>
          </w:p>
        </w:tc>
        <w:tc>
          <w:tcPr>
            <w:tcW w:w="1134" w:type="dxa"/>
            <w:tcBorders>
              <w:top w:val="single" w:sz="2" w:space="0" w:color="auto"/>
              <w:left w:val="single" w:sz="2" w:space="0" w:color="auto"/>
              <w:bottom w:val="single" w:sz="2" w:space="0" w:color="auto"/>
              <w:right w:val="single" w:sz="2" w:space="0" w:color="auto"/>
            </w:tcBorders>
          </w:tcPr>
          <w:p w:rsidR="004B46D9" w:rsidRPr="004E25F5" w:rsidRDefault="00A4270D" w:rsidP="003362CF">
            <w:pPr>
              <w:pStyle w:val="tablebody0"/>
              <w:rPr>
                <w:lang w:eastAsia="fi-FI"/>
              </w:rPr>
            </w:pPr>
            <w:r w:rsidRPr="004E25F5">
              <w:rPr>
                <w:lang w:eastAsia="fi-FI"/>
              </w:rPr>
              <w:t>-</w:t>
            </w:r>
          </w:p>
        </w:tc>
        <w:tc>
          <w:tcPr>
            <w:tcW w:w="4294" w:type="dxa"/>
            <w:tcBorders>
              <w:top w:val="single" w:sz="2" w:space="0" w:color="auto"/>
              <w:left w:val="single" w:sz="2" w:space="0" w:color="auto"/>
              <w:bottom w:val="single" w:sz="2" w:space="0" w:color="auto"/>
              <w:right w:val="single" w:sz="2" w:space="0" w:color="auto"/>
            </w:tcBorders>
          </w:tcPr>
          <w:p w:rsidR="004B46D9" w:rsidRPr="004E25F5" w:rsidRDefault="00A4270D" w:rsidP="003362CF">
            <w:pPr>
              <w:pStyle w:val="tablebody0"/>
              <w:rPr>
                <w:lang w:eastAsia="fi-FI"/>
              </w:rPr>
            </w:pPr>
            <w:r w:rsidRPr="004E25F5">
              <w:rPr>
                <w:lang w:eastAsia="fi-FI"/>
              </w:rPr>
              <w:t>-</w:t>
            </w:r>
          </w:p>
        </w:tc>
      </w:tr>
      <w:tr w:rsidR="004061A6" w:rsidRPr="004E25F5" w:rsidTr="008D4A50">
        <w:trPr>
          <w:cantSplit/>
          <w:tblHeader/>
          <w:jc w:val="center"/>
        </w:trPr>
        <w:tc>
          <w:tcPr>
            <w:tcW w:w="3587" w:type="dxa"/>
            <w:vMerge w:val="restart"/>
            <w:tcBorders>
              <w:top w:val="single" w:sz="2" w:space="0" w:color="auto"/>
              <w:left w:val="single" w:sz="2" w:space="0" w:color="auto"/>
              <w:right w:val="single" w:sz="2" w:space="0" w:color="auto"/>
            </w:tcBorders>
            <w:hideMark/>
          </w:tcPr>
          <w:p w:rsidR="008D4A50" w:rsidRPr="004E25F5" w:rsidRDefault="008D4A50" w:rsidP="003362CF">
            <w:pPr>
              <w:pStyle w:val="tablebody0"/>
            </w:pPr>
            <w:r w:rsidRPr="004E25F5">
              <w:t>Precautionary statements</w:t>
            </w:r>
          </w:p>
        </w:tc>
        <w:tc>
          <w:tcPr>
            <w:tcW w:w="1134" w:type="dxa"/>
            <w:tcBorders>
              <w:top w:val="single" w:sz="2" w:space="0" w:color="auto"/>
              <w:left w:val="single" w:sz="2" w:space="0" w:color="auto"/>
              <w:bottom w:val="single" w:sz="2" w:space="0" w:color="auto"/>
              <w:right w:val="single" w:sz="2" w:space="0" w:color="auto"/>
            </w:tcBorders>
          </w:tcPr>
          <w:p w:rsidR="008D4A50" w:rsidRPr="004E25F5" w:rsidRDefault="008D4A50" w:rsidP="003362CF">
            <w:pPr>
              <w:pStyle w:val="tablebody0"/>
              <w:rPr>
                <w:lang w:eastAsia="fi-FI"/>
              </w:rPr>
            </w:pPr>
          </w:p>
        </w:tc>
        <w:tc>
          <w:tcPr>
            <w:tcW w:w="4294" w:type="dxa"/>
            <w:tcBorders>
              <w:top w:val="single" w:sz="2" w:space="0" w:color="auto"/>
              <w:left w:val="single" w:sz="2" w:space="0" w:color="auto"/>
              <w:bottom w:val="single" w:sz="2" w:space="0" w:color="auto"/>
              <w:right w:val="single" w:sz="2" w:space="0" w:color="auto"/>
            </w:tcBorders>
          </w:tcPr>
          <w:p w:rsidR="008D4A50" w:rsidRPr="004E25F5" w:rsidRDefault="008D4A50" w:rsidP="008D4A50">
            <w:pPr>
              <w:pStyle w:val="tablebody0"/>
              <w:rPr>
                <w:rStyle w:val="ng-scope"/>
              </w:rPr>
            </w:pPr>
          </w:p>
        </w:tc>
      </w:tr>
      <w:tr w:rsidR="009A2BD7" w:rsidRPr="004E25F5" w:rsidTr="009A2BD7">
        <w:trPr>
          <w:cantSplit/>
          <w:trHeight w:val="254"/>
          <w:tblHeader/>
          <w:jc w:val="center"/>
        </w:trPr>
        <w:tc>
          <w:tcPr>
            <w:tcW w:w="3587" w:type="dxa"/>
            <w:vMerge/>
            <w:tcBorders>
              <w:left w:val="single" w:sz="2" w:space="0" w:color="auto"/>
              <w:right w:val="single" w:sz="2" w:space="0" w:color="auto"/>
            </w:tcBorders>
          </w:tcPr>
          <w:p w:rsidR="009A2BD7" w:rsidRPr="004E25F5" w:rsidRDefault="009A2BD7"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9A2BD7" w:rsidRPr="004E25F5" w:rsidRDefault="009A2BD7" w:rsidP="003362CF">
            <w:pPr>
              <w:pStyle w:val="tablebody0"/>
              <w:rPr>
                <w:lang w:eastAsia="fi-FI"/>
              </w:rPr>
            </w:pPr>
            <w:r w:rsidRPr="004E25F5">
              <w:rPr>
                <w:lang w:eastAsia="fi-FI"/>
              </w:rPr>
              <w:t>P201</w:t>
            </w:r>
          </w:p>
        </w:tc>
        <w:tc>
          <w:tcPr>
            <w:tcW w:w="4294" w:type="dxa"/>
            <w:tcBorders>
              <w:top w:val="single" w:sz="2" w:space="0" w:color="auto"/>
              <w:left w:val="single" w:sz="2" w:space="0" w:color="auto"/>
              <w:bottom w:val="single" w:sz="2" w:space="0" w:color="auto"/>
              <w:right w:val="single" w:sz="2" w:space="0" w:color="auto"/>
            </w:tcBorders>
          </w:tcPr>
          <w:p w:rsidR="009A2BD7" w:rsidRPr="004E25F5" w:rsidRDefault="009A2BD7" w:rsidP="008D4A50">
            <w:pPr>
              <w:pStyle w:val="tablebody0"/>
              <w:rPr>
                <w:rStyle w:val="ng-scope"/>
              </w:rPr>
            </w:pPr>
            <w:r w:rsidRPr="004E25F5">
              <w:rPr>
                <w:lang w:val="en-GB" w:eastAsia="fi-FI"/>
              </w:rPr>
              <w:t>Obtain special instructions before use.</w:t>
            </w:r>
          </w:p>
        </w:tc>
      </w:tr>
      <w:tr w:rsidR="004061A6" w:rsidRPr="004E25F5" w:rsidTr="009A2BD7">
        <w:trPr>
          <w:cantSplit/>
          <w:trHeight w:val="254"/>
          <w:tblHeader/>
          <w:jc w:val="center"/>
        </w:trPr>
        <w:tc>
          <w:tcPr>
            <w:tcW w:w="3587" w:type="dxa"/>
            <w:vMerge/>
            <w:tcBorders>
              <w:left w:val="single" w:sz="2" w:space="0" w:color="auto"/>
              <w:right w:val="single" w:sz="2" w:space="0" w:color="auto"/>
            </w:tcBorders>
          </w:tcPr>
          <w:p w:rsidR="008D4A50" w:rsidRPr="004E25F5" w:rsidRDefault="008D4A50"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8D4A50" w:rsidRPr="004E25F5" w:rsidRDefault="008D4A50" w:rsidP="003362CF">
            <w:pPr>
              <w:pStyle w:val="tablebody0"/>
              <w:rPr>
                <w:lang w:eastAsia="fi-FI"/>
              </w:rPr>
            </w:pPr>
            <w:r w:rsidRPr="004E25F5">
              <w:rPr>
                <w:lang w:eastAsia="fi-FI"/>
              </w:rPr>
              <w:t>P202</w:t>
            </w:r>
          </w:p>
        </w:tc>
        <w:tc>
          <w:tcPr>
            <w:tcW w:w="4294" w:type="dxa"/>
            <w:tcBorders>
              <w:top w:val="single" w:sz="2" w:space="0" w:color="auto"/>
              <w:left w:val="single" w:sz="2" w:space="0" w:color="auto"/>
              <w:bottom w:val="single" w:sz="2" w:space="0" w:color="auto"/>
              <w:right w:val="single" w:sz="2" w:space="0" w:color="auto"/>
            </w:tcBorders>
          </w:tcPr>
          <w:p w:rsidR="008D4A50" w:rsidRPr="004E25F5" w:rsidRDefault="008D4A50" w:rsidP="008D4A50">
            <w:pPr>
              <w:pStyle w:val="tablebody0"/>
              <w:rPr>
                <w:rStyle w:val="ng-scope"/>
              </w:rPr>
            </w:pPr>
            <w:r w:rsidRPr="004E25F5">
              <w:rPr>
                <w:rStyle w:val="ng-scope"/>
              </w:rPr>
              <w:t>Do not handle until all safety precautions have been read and understood.</w:t>
            </w:r>
          </w:p>
        </w:tc>
      </w:tr>
      <w:tr w:rsidR="004061A6" w:rsidRPr="004E25F5" w:rsidTr="008D4A50">
        <w:trPr>
          <w:cantSplit/>
          <w:tblHeader/>
          <w:jc w:val="center"/>
        </w:trPr>
        <w:tc>
          <w:tcPr>
            <w:tcW w:w="3587" w:type="dxa"/>
            <w:vMerge/>
            <w:tcBorders>
              <w:left w:val="single" w:sz="2" w:space="0" w:color="auto"/>
              <w:right w:val="single" w:sz="2" w:space="0" w:color="auto"/>
            </w:tcBorders>
          </w:tcPr>
          <w:p w:rsidR="008D4A50" w:rsidRPr="004E25F5" w:rsidRDefault="008D4A50"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8D4A50" w:rsidRPr="004E25F5" w:rsidRDefault="008D4A50" w:rsidP="003362CF">
            <w:pPr>
              <w:pStyle w:val="tablebody0"/>
              <w:rPr>
                <w:lang w:eastAsia="fi-FI"/>
              </w:rPr>
            </w:pPr>
            <w:r w:rsidRPr="004E25F5">
              <w:rPr>
                <w:lang w:eastAsia="fi-FI"/>
              </w:rPr>
              <w:t>P270</w:t>
            </w:r>
          </w:p>
        </w:tc>
        <w:tc>
          <w:tcPr>
            <w:tcW w:w="4294" w:type="dxa"/>
            <w:tcBorders>
              <w:top w:val="single" w:sz="2" w:space="0" w:color="auto"/>
              <w:left w:val="single" w:sz="2" w:space="0" w:color="auto"/>
              <w:bottom w:val="single" w:sz="2" w:space="0" w:color="auto"/>
              <w:right w:val="single" w:sz="2" w:space="0" w:color="auto"/>
            </w:tcBorders>
          </w:tcPr>
          <w:p w:rsidR="008D4A50" w:rsidRPr="004E25F5" w:rsidRDefault="008D4A50" w:rsidP="008D4A50">
            <w:pPr>
              <w:pStyle w:val="tablebody0"/>
              <w:rPr>
                <w:rStyle w:val="ng-scope"/>
              </w:rPr>
            </w:pPr>
            <w:r w:rsidRPr="004E25F5">
              <w:rPr>
                <w:rStyle w:val="ng-scope"/>
              </w:rPr>
              <w:t>Do not eat, drink or smoke when using this product</w:t>
            </w:r>
          </w:p>
        </w:tc>
      </w:tr>
      <w:tr w:rsidR="004061A6" w:rsidRPr="004E25F5" w:rsidTr="008D4A50">
        <w:trPr>
          <w:cantSplit/>
          <w:tblHeader/>
          <w:jc w:val="center"/>
        </w:trPr>
        <w:tc>
          <w:tcPr>
            <w:tcW w:w="3587" w:type="dxa"/>
            <w:vMerge/>
            <w:tcBorders>
              <w:left w:val="single" w:sz="2" w:space="0" w:color="auto"/>
              <w:right w:val="single" w:sz="2" w:space="0" w:color="auto"/>
            </w:tcBorders>
          </w:tcPr>
          <w:p w:rsidR="008D4A50" w:rsidRPr="004E25F5" w:rsidRDefault="008D4A50"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8D4A50" w:rsidRPr="004E25F5" w:rsidRDefault="008D4A50" w:rsidP="003362CF">
            <w:pPr>
              <w:pStyle w:val="tablebody0"/>
              <w:rPr>
                <w:lang w:eastAsia="fi-FI"/>
              </w:rPr>
            </w:pPr>
            <w:r w:rsidRPr="004E25F5">
              <w:rPr>
                <w:lang w:eastAsia="fi-FI"/>
              </w:rPr>
              <w:t>P280</w:t>
            </w:r>
          </w:p>
        </w:tc>
        <w:tc>
          <w:tcPr>
            <w:tcW w:w="4294" w:type="dxa"/>
            <w:tcBorders>
              <w:top w:val="single" w:sz="2" w:space="0" w:color="auto"/>
              <w:left w:val="single" w:sz="2" w:space="0" w:color="auto"/>
              <w:bottom w:val="single" w:sz="2" w:space="0" w:color="auto"/>
              <w:right w:val="single" w:sz="2" w:space="0" w:color="auto"/>
            </w:tcBorders>
          </w:tcPr>
          <w:p w:rsidR="008D4A50" w:rsidRPr="004E25F5" w:rsidRDefault="004E25F5" w:rsidP="00163FA4">
            <w:pPr>
              <w:pStyle w:val="tablebody0"/>
              <w:rPr>
                <w:rStyle w:val="ng-scope"/>
              </w:rPr>
            </w:pPr>
            <w:r w:rsidRPr="004E25F5">
              <w:rPr>
                <w:rStyle w:val="ng-scope"/>
              </w:rPr>
              <w:t>Wear protective gloves.</w:t>
            </w:r>
          </w:p>
        </w:tc>
      </w:tr>
      <w:tr w:rsidR="004061A6" w:rsidRPr="004E25F5" w:rsidTr="008D4A50">
        <w:trPr>
          <w:cantSplit/>
          <w:tblHeader/>
          <w:jc w:val="center"/>
        </w:trPr>
        <w:tc>
          <w:tcPr>
            <w:tcW w:w="3587" w:type="dxa"/>
            <w:vMerge/>
            <w:tcBorders>
              <w:left w:val="single" w:sz="2" w:space="0" w:color="auto"/>
              <w:right w:val="single" w:sz="2" w:space="0" w:color="auto"/>
            </w:tcBorders>
          </w:tcPr>
          <w:p w:rsidR="008D4A50" w:rsidRPr="004E25F5" w:rsidRDefault="008D4A50"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8D4A50" w:rsidRPr="004E25F5" w:rsidRDefault="008D4A50" w:rsidP="00163FA4">
            <w:pPr>
              <w:pStyle w:val="tablebody0"/>
              <w:rPr>
                <w:lang w:eastAsia="fi-FI"/>
              </w:rPr>
            </w:pPr>
            <w:r w:rsidRPr="004E25F5">
              <w:rPr>
                <w:lang w:eastAsia="fi-FI"/>
              </w:rPr>
              <w:t>P308+</w:t>
            </w:r>
            <w:r w:rsidR="00163FA4" w:rsidRPr="004E25F5">
              <w:rPr>
                <w:lang w:eastAsia="fi-FI"/>
              </w:rPr>
              <w:t>31</w:t>
            </w:r>
            <w:r w:rsidR="00163FA4">
              <w:rPr>
                <w:lang w:eastAsia="fi-FI"/>
              </w:rPr>
              <w:t>3</w:t>
            </w:r>
          </w:p>
        </w:tc>
        <w:tc>
          <w:tcPr>
            <w:tcW w:w="4294" w:type="dxa"/>
            <w:tcBorders>
              <w:top w:val="single" w:sz="2" w:space="0" w:color="auto"/>
              <w:left w:val="single" w:sz="2" w:space="0" w:color="auto"/>
              <w:bottom w:val="single" w:sz="2" w:space="0" w:color="auto"/>
              <w:right w:val="single" w:sz="2" w:space="0" w:color="auto"/>
            </w:tcBorders>
          </w:tcPr>
          <w:p w:rsidR="008D4A50" w:rsidRPr="004E25F5" w:rsidRDefault="008D4A50" w:rsidP="008D4A50">
            <w:pPr>
              <w:tabs>
                <w:tab w:val="left" w:pos="2023"/>
              </w:tabs>
              <w:ind w:right="245"/>
              <w:rPr>
                <w:rStyle w:val="ng-scope"/>
                <w:rFonts w:eastAsia="Calibri" w:cs="Arial"/>
                <w:bCs/>
                <w:lang w:val="pl-PL" w:eastAsia="en-US"/>
              </w:rPr>
            </w:pPr>
            <w:r w:rsidRPr="004E25F5">
              <w:rPr>
                <w:rStyle w:val="ng-scope"/>
                <w:rFonts w:eastAsia="Calibri" w:cs="Arial"/>
                <w:bCs/>
                <w:lang w:val="pl-PL" w:eastAsia="en-US"/>
              </w:rPr>
              <w:t xml:space="preserve">IF exposed or concerned: </w:t>
            </w:r>
            <w:r w:rsidR="00163FA4" w:rsidRPr="00163FA4">
              <w:rPr>
                <w:rStyle w:val="ng-scope"/>
                <w:rFonts w:eastAsia="Calibri" w:cs="Arial"/>
                <w:bCs/>
                <w:lang w:val="pl-PL" w:eastAsia="en-US"/>
              </w:rPr>
              <w:t>Get medical advice/attention.</w:t>
            </w:r>
          </w:p>
        </w:tc>
      </w:tr>
      <w:tr w:rsidR="004061A6" w:rsidRPr="004E25F5" w:rsidTr="008D4A50">
        <w:trPr>
          <w:cantSplit/>
          <w:tblHeader/>
          <w:jc w:val="center"/>
        </w:trPr>
        <w:tc>
          <w:tcPr>
            <w:tcW w:w="3587" w:type="dxa"/>
            <w:vMerge/>
            <w:tcBorders>
              <w:left w:val="single" w:sz="2" w:space="0" w:color="auto"/>
              <w:bottom w:val="single" w:sz="2" w:space="0" w:color="auto"/>
              <w:right w:val="single" w:sz="2" w:space="0" w:color="auto"/>
            </w:tcBorders>
          </w:tcPr>
          <w:p w:rsidR="008D4A50" w:rsidRPr="004E25F5" w:rsidRDefault="008D4A50" w:rsidP="003362CF">
            <w:pPr>
              <w:pStyle w:val="tablebody0"/>
            </w:pPr>
          </w:p>
        </w:tc>
        <w:tc>
          <w:tcPr>
            <w:tcW w:w="1134" w:type="dxa"/>
            <w:tcBorders>
              <w:top w:val="single" w:sz="2" w:space="0" w:color="auto"/>
              <w:left w:val="single" w:sz="2" w:space="0" w:color="auto"/>
              <w:bottom w:val="single" w:sz="2" w:space="0" w:color="auto"/>
              <w:right w:val="single" w:sz="2" w:space="0" w:color="auto"/>
            </w:tcBorders>
          </w:tcPr>
          <w:p w:rsidR="008D4A50" w:rsidRPr="004E25F5" w:rsidRDefault="008D4A50" w:rsidP="003362CF">
            <w:pPr>
              <w:pStyle w:val="tablebody0"/>
              <w:rPr>
                <w:lang w:eastAsia="fi-FI"/>
              </w:rPr>
            </w:pPr>
            <w:r w:rsidRPr="004E25F5">
              <w:rPr>
                <w:lang w:eastAsia="fi-FI"/>
              </w:rPr>
              <w:t>P501</w:t>
            </w:r>
          </w:p>
        </w:tc>
        <w:tc>
          <w:tcPr>
            <w:tcW w:w="4294" w:type="dxa"/>
            <w:tcBorders>
              <w:top w:val="single" w:sz="2" w:space="0" w:color="auto"/>
              <w:left w:val="single" w:sz="2" w:space="0" w:color="auto"/>
              <w:bottom w:val="single" w:sz="2" w:space="0" w:color="auto"/>
              <w:right w:val="single" w:sz="2" w:space="0" w:color="auto"/>
            </w:tcBorders>
          </w:tcPr>
          <w:p w:rsidR="008D4A50" w:rsidRPr="004E25F5" w:rsidRDefault="008D4A50" w:rsidP="00A4270D">
            <w:pPr>
              <w:pStyle w:val="tablebody0"/>
              <w:rPr>
                <w:rStyle w:val="ng-scope"/>
              </w:rPr>
            </w:pPr>
            <w:r w:rsidRPr="004E25F5">
              <w:rPr>
                <w:rStyle w:val="ng-scope"/>
              </w:rPr>
              <w:t>Dispose of contents</w:t>
            </w:r>
            <w:r w:rsidR="00A4270D" w:rsidRPr="004E25F5">
              <w:rPr>
                <w:rStyle w:val="ng-scope"/>
              </w:rPr>
              <w:t>/</w:t>
            </w:r>
            <w:r w:rsidRPr="004E25F5">
              <w:rPr>
                <w:rStyle w:val="ng-scope"/>
              </w:rPr>
              <w:t xml:space="preserve">container </w:t>
            </w:r>
            <w:r w:rsidR="00A4270D" w:rsidRPr="004E25F5">
              <w:rPr>
                <w:rStyle w:val="ng-scope"/>
              </w:rPr>
              <w:t>to...</w:t>
            </w:r>
          </w:p>
        </w:tc>
      </w:tr>
      <w:tr w:rsidR="008A5CAA" w:rsidRPr="004E25F5" w:rsidTr="008D4A50">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rsidR="008A5CAA" w:rsidRPr="004E25F5" w:rsidRDefault="008A5CAA" w:rsidP="003362CF">
            <w:pPr>
              <w:pStyle w:val="tablebody0"/>
              <w:rPr>
                <w:lang w:eastAsia="fi-FI"/>
              </w:rPr>
            </w:pPr>
            <w:r w:rsidRPr="004E25F5">
              <w:t>Note</w:t>
            </w:r>
          </w:p>
        </w:tc>
        <w:tc>
          <w:tcPr>
            <w:tcW w:w="1134" w:type="dxa"/>
            <w:tcBorders>
              <w:top w:val="single" w:sz="2" w:space="0" w:color="auto"/>
              <w:left w:val="single" w:sz="2" w:space="0" w:color="auto"/>
              <w:bottom w:val="single" w:sz="2" w:space="0" w:color="auto"/>
              <w:right w:val="single" w:sz="2" w:space="0" w:color="auto"/>
            </w:tcBorders>
          </w:tcPr>
          <w:p w:rsidR="008A5CAA" w:rsidRPr="004E25F5" w:rsidRDefault="0029678C" w:rsidP="003362CF">
            <w:pPr>
              <w:pStyle w:val="tablebody0"/>
              <w:rPr>
                <w:lang w:eastAsia="fi-FI"/>
              </w:rPr>
            </w:pPr>
            <w:r w:rsidRPr="004E25F5">
              <w:rPr>
                <w:lang w:eastAsia="fi-FI"/>
              </w:rPr>
              <w:t>-</w:t>
            </w:r>
          </w:p>
        </w:tc>
        <w:tc>
          <w:tcPr>
            <w:tcW w:w="4294" w:type="dxa"/>
            <w:tcBorders>
              <w:top w:val="single" w:sz="2" w:space="0" w:color="auto"/>
              <w:left w:val="single" w:sz="2" w:space="0" w:color="auto"/>
              <w:bottom w:val="single" w:sz="2" w:space="0" w:color="auto"/>
              <w:right w:val="single" w:sz="2" w:space="0" w:color="auto"/>
            </w:tcBorders>
          </w:tcPr>
          <w:p w:rsidR="008A5CAA" w:rsidRPr="004E25F5" w:rsidRDefault="008A5CAA" w:rsidP="003362CF">
            <w:pPr>
              <w:pStyle w:val="tablebody0"/>
              <w:rPr>
                <w:lang w:eastAsia="fi-FI"/>
              </w:rPr>
            </w:pPr>
          </w:p>
        </w:tc>
      </w:tr>
    </w:tbl>
    <w:p w:rsidR="0079772C" w:rsidRPr="004E25F5" w:rsidRDefault="0079772C" w:rsidP="00DE2227">
      <w:pPr>
        <w:pStyle w:val="Absatz"/>
        <w:ind w:left="0"/>
        <w:rPr>
          <w:rFonts w:ascii="Arial" w:hAnsi="Arial" w:cs="Arial"/>
        </w:rPr>
      </w:pPr>
    </w:p>
    <w:p w:rsidR="006446EA" w:rsidRPr="00C038DE" w:rsidRDefault="006446EA" w:rsidP="00DE2227">
      <w:pPr>
        <w:pStyle w:val="Absatz"/>
        <w:ind w:left="0"/>
      </w:pPr>
    </w:p>
    <w:p w:rsidR="00E530CD" w:rsidRPr="00C038DE" w:rsidRDefault="006F7983" w:rsidP="00936FF3">
      <w:pPr>
        <w:pStyle w:val="Kop2"/>
        <w:numPr>
          <w:ilvl w:val="1"/>
          <w:numId w:val="4"/>
        </w:numPr>
        <w:spacing w:after="280"/>
        <w:jc w:val="both"/>
      </w:pPr>
      <w:bookmarkStart w:id="616" w:name="_Toc500491641"/>
      <w:r w:rsidRPr="00C038DE">
        <w:t>U</w:t>
      </w:r>
      <w:r w:rsidR="00E530CD" w:rsidRPr="00C038DE">
        <w:t>se(s)</w:t>
      </w:r>
      <w:r w:rsidRPr="00C038DE">
        <w:t xml:space="preserve"> appropriate for </w:t>
      </w:r>
      <w:r w:rsidR="00FF0AAB" w:rsidRPr="00C038DE">
        <w:rPr>
          <w:u w:val="single"/>
        </w:rPr>
        <w:t>further</w:t>
      </w:r>
      <w:r w:rsidR="00FF0AAB" w:rsidRPr="00C038DE">
        <w:t xml:space="preserve"> </w:t>
      </w:r>
      <w:r w:rsidRPr="00C038DE">
        <w:t>authorisation</w:t>
      </w:r>
      <w:bookmarkEnd w:id="616"/>
    </w:p>
    <w:p w:rsidR="00BD610C" w:rsidRPr="00D57FB5" w:rsidRDefault="00BD610C" w:rsidP="00BD610C">
      <w:pPr>
        <w:pStyle w:val="Lijstalinea"/>
        <w:ind w:left="432"/>
        <w:rPr>
          <w:rStyle w:val="ng-scope"/>
          <w:rFonts w:eastAsia="Calibri" w:cs="Arial"/>
          <w:bCs/>
          <w:lang w:val="pl-PL" w:eastAsia="en-US"/>
        </w:rPr>
      </w:pPr>
      <w:r w:rsidRPr="00D57FB5">
        <w:rPr>
          <w:rStyle w:val="ng-scope"/>
          <w:rFonts w:eastAsia="Calibri"/>
          <w:lang w:val="pl-PL" w:eastAsia="en-US"/>
        </w:rPr>
        <w:t xml:space="preserve">For national specific regulations in the Netherlands see </w:t>
      </w:r>
      <w:r w:rsidR="000261A9">
        <w:rPr>
          <w:rStyle w:val="ng-scope"/>
          <w:rFonts w:eastAsia="Calibri"/>
          <w:lang w:val="pl-PL" w:eastAsia="en-US"/>
        </w:rPr>
        <w:t>C</w:t>
      </w:r>
      <w:r w:rsidRPr="00D57FB5">
        <w:rPr>
          <w:rStyle w:val="ng-scope"/>
          <w:rFonts w:eastAsia="Calibri"/>
          <w:lang w:val="pl-PL" w:eastAsia="en-US"/>
        </w:rPr>
        <w:t>onclusion.</w:t>
      </w:r>
    </w:p>
    <w:p w:rsidR="00431B5B" w:rsidRPr="00C038DE" w:rsidRDefault="00431B5B" w:rsidP="00431B5B">
      <w:pPr>
        <w:spacing w:line="260" w:lineRule="atLeast"/>
        <w:rPr>
          <w:rFonts w:eastAsia="Calibri" w:cs="Arial"/>
          <w:lang w:eastAsia="en-US"/>
        </w:rPr>
      </w:pPr>
    </w:p>
    <w:p w:rsidR="00E530CD" w:rsidRPr="00C038DE" w:rsidRDefault="006F7983" w:rsidP="00936FF3">
      <w:pPr>
        <w:pStyle w:val="Kop3"/>
      </w:pPr>
      <w:bookmarkStart w:id="617" w:name="_Toc406740514"/>
      <w:bookmarkStart w:id="618" w:name="_Toc406743889"/>
      <w:bookmarkStart w:id="619" w:name="_Toc408922831"/>
      <w:bookmarkStart w:id="620" w:name="_Toc429660958"/>
      <w:r w:rsidRPr="00C038DE">
        <w:t xml:space="preserve">Use 1 appropriate for </w:t>
      </w:r>
      <w:r w:rsidR="00FF0AAB" w:rsidRPr="00C038DE">
        <w:rPr>
          <w:u w:val="single"/>
        </w:rPr>
        <w:t>further</w:t>
      </w:r>
      <w:r w:rsidR="00FF0AAB" w:rsidRPr="00C038DE">
        <w:t xml:space="preserve"> </w:t>
      </w:r>
      <w:r w:rsidRPr="00C038DE">
        <w:t>authorisation</w:t>
      </w:r>
      <w:r w:rsidR="00E530CD" w:rsidRPr="00C038DE">
        <w:t xml:space="preserve"> – </w:t>
      </w:r>
      <w:r w:rsidR="00BD610C">
        <w:t>House mice and rats- t</w:t>
      </w:r>
      <w:r w:rsidR="003A0B38" w:rsidRPr="00C038DE">
        <w:t>rained professionals</w:t>
      </w:r>
      <w:bookmarkEnd w:id="617"/>
      <w:bookmarkEnd w:id="618"/>
      <w:bookmarkEnd w:id="619"/>
      <w:bookmarkEnd w:id="620"/>
      <w:r w:rsidR="00BD610C">
        <w:t>- in and around buildings, open areas and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061A6" w:rsidRPr="0073424C" w:rsidTr="0065089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E530CD" w:rsidRPr="0073424C" w:rsidRDefault="00E530CD" w:rsidP="0065089A">
            <w:pPr>
              <w:spacing w:line="260" w:lineRule="atLeast"/>
              <w:rPr>
                <w:rFonts w:eastAsia="Calibri" w:cs="Arial"/>
                <w:bCs/>
                <w:lang w:val="de-DE" w:eastAsia="en-US"/>
              </w:rPr>
            </w:pPr>
            <w:r w:rsidRPr="0073424C">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E530CD" w:rsidRPr="0073424C" w:rsidRDefault="00B7553E" w:rsidP="00670596">
            <w:pPr>
              <w:spacing w:line="260" w:lineRule="atLeast"/>
              <w:rPr>
                <w:rFonts w:eastAsia="Calibri" w:cs="Arial"/>
                <w:bCs/>
                <w:lang w:val="de-DE" w:eastAsia="en-US"/>
              </w:rPr>
            </w:pPr>
            <w:r w:rsidRPr="0073424C">
              <w:rPr>
                <w:rFonts w:cs="Arial"/>
              </w:rPr>
              <w:t>14</w:t>
            </w:r>
          </w:p>
        </w:tc>
      </w:tr>
      <w:tr w:rsidR="004061A6"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E530CD" w:rsidP="00B033BC">
            <w:pPr>
              <w:spacing w:line="260" w:lineRule="atLeast"/>
              <w:rPr>
                <w:rFonts w:eastAsia="Calibri" w:cs="Arial"/>
                <w:bCs/>
                <w:lang w:val="en-US" w:eastAsia="en-US"/>
              </w:rPr>
            </w:pPr>
            <w:r w:rsidRPr="0073424C">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530CD" w:rsidRPr="0073424C" w:rsidRDefault="00E530CD" w:rsidP="0065089A">
            <w:pPr>
              <w:spacing w:line="260" w:lineRule="atLeast"/>
              <w:rPr>
                <w:rFonts w:eastAsia="Calibri" w:cs="Arial"/>
                <w:bCs/>
                <w:lang w:eastAsia="en-US"/>
              </w:rPr>
            </w:pPr>
          </w:p>
        </w:tc>
      </w:tr>
      <w:tr w:rsidR="004061A6"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E530CD" w:rsidP="0065089A">
            <w:pPr>
              <w:spacing w:line="260" w:lineRule="atLeast"/>
              <w:rPr>
                <w:rFonts w:eastAsia="Calibri" w:cs="Arial"/>
                <w:bCs/>
                <w:lang w:val="en-US" w:eastAsia="en-US"/>
              </w:rPr>
            </w:pPr>
            <w:r w:rsidRPr="0073424C">
              <w:rPr>
                <w:rFonts w:eastAsia="Calibri" w:cs="Arial"/>
                <w:bCs/>
                <w:lang w:eastAsia="en-US"/>
              </w:rPr>
              <w:t>Target organism</w:t>
            </w:r>
            <w:r w:rsidR="00B033BC" w:rsidRPr="0073424C">
              <w:rPr>
                <w:rFonts w:eastAsia="Calibri" w:cs="Arial"/>
                <w:bCs/>
                <w:lang w:eastAsia="en-US"/>
              </w:rPr>
              <w:t>(s)</w:t>
            </w:r>
            <w:r w:rsidRPr="0073424C">
              <w:rPr>
                <w:rFonts w:eastAsia="Calibri" w:cs="Arial"/>
                <w:bCs/>
                <w:lang w:eastAsia="en-US"/>
              </w:rPr>
              <w:t xml:space="preserve">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530CD" w:rsidRPr="0073424C" w:rsidRDefault="003A0B38" w:rsidP="0065089A">
            <w:pPr>
              <w:spacing w:line="260" w:lineRule="atLeast"/>
              <w:rPr>
                <w:rFonts w:eastAsia="Calibri" w:cs="Arial"/>
                <w:bCs/>
                <w:lang w:eastAsia="en-US"/>
              </w:rPr>
            </w:pPr>
            <w:r w:rsidRPr="0073424C">
              <w:rPr>
                <w:rFonts w:eastAsia="Calibri" w:cs="Arial"/>
                <w:bCs/>
                <w:i/>
                <w:lang w:eastAsia="en-US"/>
              </w:rPr>
              <w:t>Mus musculus</w:t>
            </w:r>
            <w:r w:rsidRPr="0073424C">
              <w:rPr>
                <w:rFonts w:eastAsia="Calibri" w:cs="Arial"/>
                <w:bCs/>
                <w:lang w:eastAsia="en-US"/>
              </w:rPr>
              <w:t xml:space="preserve"> (House mouse – all development stages)</w:t>
            </w:r>
          </w:p>
          <w:p w:rsidR="003A0B38" w:rsidRPr="0073424C" w:rsidRDefault="003A0B38" w:rsidP="003A0B38">
            <w:pPr>
              <w:spacing w:line="260" w:lineRule="atLeast"/>
              <w:rPr>
                <w:rFonts w:eastAsia="Calibri" w:cs="Arial"/>
                <w:bCs/>
                <w:lang w:eastAsia="en-US"/>
              </w:rPr>
            </w:pPr>
            <w:r w:rsidRPr="0073424C">
              <w:rPr>
                <w:rFonts w:eastAsia="Calibri" w:cs="Arial"/>
                <w:bCs/>
                <w:i/>
                <w:lang w:eastAsia="en-US"/>
              </w:rPr>
              <w:t>Rattus rattus</w:t>
            </w:r>
            <w:r w:rsidRPr="0073424C">
              <w:rPr>
                <w:rFonts w:eastAsia="Calibri" w:cs="Arial"/>
                <w:bCs/>
                <w:lang w:eastAsia="en-US"/>
              </w:rPr>
              <w:t xml:space="preserve"> (Black/roof rat – all development stages)</w:t>
            </w:r>
          </w:p>
          <w:p w:rsidR="003A0B38" w:rsidRPr="0073424C" w:rsidRDefault="003A0B38" w:rsidP="003A0B38">
            <w:pPr>
              <w:spacing w:line="260" w:lineRule="atLeast"/>
              <w:rPr>
                <w:rFonts w:eastAsia="Calibri" w:cs="Arial"/>
                <w:bCs/>
                <w:lang w:eastAsia="en-US"/>
              </w:rPr>
            </w:pPr>
            <w:r w:rsidRPr="0073424C">
              <w:rPr>
                <w:rFonts w:eastAsia="Calibri" w:cs="Arial"/>
                <w:bCs/>
                <w:i/>
                <w:lang w:eastAsia="en-US"/>
              </w:rPr>
              <w:t>Rattus norvegicus</w:t>
            </w:r>
            <w:r w:rsidRPr="0073424C">
              <w:rPr>
                <w:rFonts w:eastAsia="Calibri" w:cs="Arial"/>
                <w:bCs/>
                <w:lang w:eastAsia="en-US"/>
              </w:rPr>
              <w:t xml:space="preserve"> (Brown rat – all development stages)</w:t>
            </w:r>
          </w:p>
        </w:tc>
      </w:tr>
      <w:tr w:rsidR="004061A6"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E530CD" w:rsidP="0065089A">
            <w:pPr>
              <w:spacing w:line="260" w:lineRule="atLeast"/>
              <w:rPr>
                <w:rFonts w:eastAsia="Calibri" w:cs="Arial"/>
                <w:bCs/>
                <w:lang w:val="de-DE" w:eastAsia="en-US"/>
              </w:rPr>
            </w:pPr>
            <w:r w:rsidRPr="0073424C">
              <w:rPr>
                <w:rFonts w:eastAsia="Calibri" w:cs="Arial"/>
                <w:bCs/>
                <w:lang w:eastAsia="en-US"/>
              </w:rPr>
              <w:t>Field</w:t>
            </w:r>
            <w:r w:rsidR="00B033BC" w:rsidRPr="0073424C">
              <w:rPr>
                <w:rFonts w:eastAsia="Calibri" w:cs="Arial"/>
                <w:bCs/>
                <w:lang w:eastAsia="en-US"/>
              </w:rPr>
              <w:t>(s)</w:t>
            </w:r>
            <w:r w:rsidRPr="0073424C">
              <w:rPr>
                <w:rFonts w:eastAsia="Calibri" w:cs="Arial"/>
                <w:bCs/>
                <w:lang w:eastAsia="en-US"/>
              </w:rPr>
              <w:t xml:space="preserve">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530CD" w:rsidRPr="0073424C" w:rsidRDefault="003A0B38" w:rsidP="0065089A">
            <w:pPr>
              <w:spacing w:line="260" w:lineRule="atLeast"/>
              <w:rPr>
                <w:rFonts w:eastAsia="Calibri" w:cs="Arial"/>
                <w:bCs/>
                <w:lang w:eastAsia="en-US"/>
              </w:rPr>
            </w:pPr>
            <w:r w:rsidRPr="0073424C">
              <w:rPr>
                <w:rFonts w:eastAsia="Calibri" w:cs="Arial"/>
                <w:bCs/>
                <w:lang w:eastAsia="en-US"/>
              </w:rPr>
              <w:t>Indoor</w:t>
            </w:r>
            <w:r w:rsidR="00EC101C">
              <w:rPr>
                <w:rFonts w:eastAsia="Calibri" w:cs="Arial"/>
                <w:bCs/>
                <w:lang w:eastAsia="en-US"/>
              </w:rPr>
              <w:t xml:space="preserve"> (House mice and rats)</w:t>
            </w:r>
          </w:p>
          <w:p w:rsidR="000A08BE" w:rsidRPr="0073424C" w:rsidRDefault="000A08BE" w:rsidP="0015336C">
            <w:pPr>
              <w:spacing w:line="260" w:lineRule="atLeast"/>
              <w:rPr>
                <w:rFonts w:eastAsia="Calibri" w:cs="Arial"/>
                <w:bCs/>
                <w:lang w:eastAsia="en-US"/>
              </w:rPr>
            </w:pPr>
            <w:r w:rsidRPr="0073424C">
              <w:rPr>
                <w:rFonts w:eastAsia="Calibri" w:cs="Arial"/>
                <w:bCs/>
                <w:lang w:eastAsia="en-US"/>
              </w:rPr>
              <w:t>Outdoor around buildings</w:t>
            </w:r>
            <w:r w:rsidR="00310967">
              <w:rPr>
                <w:rFonts w:eastAsia="Calibri" w:cs="Arial"/>
                <w:bCs/>
                <w:lang w:eastAsia="en-US"/>
              </w:rPr>
              <w:t xml:space="preserve"> (H</w:t>
            </w:r>
            <w:r w:rsidR="00BD610C">
              <w:rPr>
                <w:rFonts w:eastAsia="Calibri" w:cs="Arial"/>
                <w:bCs/>
                <w:lang w:eastAsia="en-US"/>
              </w:rPr>
              <w:t>ouse mice and rats)</w:t>
            </w:r>
            <w:r w:rsidR="00FD771A" w:rsidRPr="0073424C">
              <w:rPr>
                <w:rFonts w:eastAsia="Calibri" w:cs="Arial"/>
                <w:bCs/>
                <w:lang w:eastAsia="en-US"/>
              </w:rPr>
              <w:t xml:space="preserve"> </w:t>
            </w:r>
          </w:p>
          <w:p w:rsidR="000A08BE" w:rsidRPr="0073424C" w:rsidRDefault="000A08BE" w:rsidP="0015336C">
            <w:pPr>
              <w:spacing w:line="260" w:lineRule="atLeast"/>
              <w:rPr>
                <w:rFonts w:eastAsia="Calibri" w:cs="Arial"/>
                <w:bCs/>
                <w:lang w:eastAsia="en-US"/>
              </w:rPr>
            </w:pPr>
            <w:r w:rsidRPr="0073424C">
              <w:rPr>
                <w:rFonts w:eastAsia="Calibri" w:cs="Arial"/>
                <w:bCs/>
                <w:lang w:eastAsia="en-US"/>
              </w:rPr>
              <w:t>Outdoor open areas</w:t>
            </w:r>
            <w:r w:rsidR="00FD771A" w:rsidRPr="0073424C">
              <w:rPr>
                <w:rFonts w:eastAsia="Calibri" w:cs="Arial"/>
                <w:bCs/>
                <w:lang w:eastAsia="en-US"/>
              </w:rPr>
              <w:t xml:space="preserve"> </w:t>
            </w:r>
            <w:r w:rsidR="00BD610C">
              <w:rPr>
                <w:rFonts w:eastAsia="Calibri" w:cs="Arial"/>
                <w:bCs/>
                <w:lang w:eastAsia="en-US"/>
              </w:rPr>
              <w:t>(</w:t>
            </w:r>
            <w:r w:rsidR="003438D5">
              <w:rPr>
                <w:rFonts w:eastAsia="Calibri" w:cs="Arial"/>
                <w:bCs/>
                <w:lang w:eastAsia="en-US"/>
              </w:rPr>
              <w:t xml:space="preserve">House mice and </w:t>
            </w:r>
            <w:r w:rsidR="00BD610C">
              <w:rPr>
                <w:rFonts w:eastAsia="Calibri" w:cs="Arial"/>
                <w:bCs/>
                <w:lang w:eastAsia="en-US"/>
              </w:rPr>
              <w:t>rats)</w:t>
            </w:r>
          </w:p>
          <w:p w:rsidR="003A0B38" w:rsidRPr="0073424C" w:rsidRDefault="000A08BE" w:rsidP="000A08BE">
            <w:pPr>
              <w:spacing w:line="260" w:lineRule="atLeast"/>
              <w:rPr>
                <w:rFonts w:eastAsia="Calibri" w:cs="Arial"/>
                <w:bCs/>
                <w:lang w:eastAsia="en-US"/>
              </w:rPr>
            </w:pPr>
            <w:r w:rsidRPr="0073424C">
              <w:rPr>
                <w:rFonts w:eastAsia="Calibri" w:cs="Arial"/>
                <w:bCs/>
                <w:lang w:eastAsia="en-US"/>
              </w:rPr>
              <w:t>Outdoor w</w:t>
            </w:r>
            <w:r w:rsidR="003A0B38" w:rsidRPr="0073424C">
              <w:rPr>
                <w:rFonts w:eastAsia="Calibri" w:cs="Arial"/>
                <w:bCs/>
                <w:lang w:eastAsia="en-US"/>
              </w:rPr>
              <w:t>aste dumps</w:t>
            </w:r>
            <w:r w:rsidR="00BD610C">
              <w:rPr>
                <w:rFonts w:eastAsia="Calibri" w:cs="Arial"/>
                <w:bCs/>
                <w:lang w:eastAsia="en-US"/>
              </w:rPr>
              <w:t xml:space="preserve"> (</w:t>
            </w:r>
            <w:r w:rsidR="003A0B38" w:rsidRPr="0073424C">
              <w:rPr>
                <w:rFonts w:eastAsia="Calibri" w:cs="Arial"/>
                <w:bCs/>
                <w:lang w:eastAsia="en-US"/>
              </w:rPr>
              <w:t>Brown rats only</w:t>
            </w:r>
            <w:r w:rsidR="00BD610C">
              <w:rPr>
                <w:rFonts w:eastAsia="Calibri" w:cs="Arial"/>
                <w:bCs/>
                <w:lang w:eastAsia="en-US"/>
              </w:rPr>
              <w:t>)</w:t>
            </w:r>
          </w:p>
          <w:p w:rsidR="00202874" w:rsidRPr="0073424C" w:rsidRDefault="00202874" w:rsidP="000A08BE">
            <w:pPr>
              <w:spacing w:line="260" w:lineRule="atLeast"/>
              <w:rPr>
                <w:rFonts w:eastAsia="Calibri" w:cs="Arial"/>
                <w:bCs/>
                <w:lang w:eastAsia="en-US"/>
              </w:rPr>
            </w:pPr>
          </w:p>
        </w:tc>
      </w:tr>
      <w:tr w:rsidR="004061A6"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E530CD" w:rsidP="0065089A">
            <w:pPr>
              <w:spacing w:line="260" w:lineRule="atLeast"/>
              <w:rPr>
                <w:rFonts w:eastAsia="Calibri" w:cs="Arial"/>
                <w:bCs/>
                <w:lang w:val="de-DE" w:eastAsia="en-US"/>
              </w:rPr>
            </w:pPr>
            <w:r w:rsidRPr="0073424C">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530CD" w:rsidRPr="0073424C" w:rsidRDefault="003A0B38" w:rsidP="0065089A">
            <w:pPr>
              <w:spacing w:line="260" w:lineRule="atLeast"/>
              <w:rPr>
                <w:rFonts w:eastAsia="Calibri" w:cs="Arial"/>
                <w:bCs/>
                <w:lang w:eastAsia="en-US"/>
              </w:rPr>
            </w:pPr>
            <w:r w:rsidRPr="0073424C">
              <w:rPr>
                <w:rFonts w:eastAsia="Calibri" w:cs="Arial"/>
                <w:bCs/>
                <w:lang w:eastAsia="en-US"/>
              </w:rPr>
              <w:t>Bait application</w:t>
            </w:r>
          </w:p>
          <w:p w:rsidR="00BD610C" w:rsidRDefault="00BD610C" w:rsidP="00260429">
            <w:pPr>
              <w:spacing w:line="260" w:lineRule="atLeast"/>
              <w:rPr>
                <w:rFonts w:cs="Arial"/>
              </w:rPr>
            </w:pPr>
            <w:r>
              <w:rPr>
                <w:rFonts w:cs="Arial"/>
              </w:rPr>
              <w:t>-</w:t>
            </w:r>
            <w:r w:rsidR="003A0B38" w:rsidRPr="0073424C">
              <w:rPr>
                <w:rFonts w:cs="Arial"/>
              </w:rPr>
              <w:t>Ready-to-use bait to be used in</w:t>
            </w:r>
            <w:r>
              <w:rPr>
                <w:rFonts w:cs="Arial"/>
              </w:rPr>
              <w:t xml:space="preserve"> tamper-resistant</w:t>
            </w:r>
            <w:r w:rsidR="003A0B38" w:rsidRPr="0073424C">
              <w:rPr>
                <w:rFonts w:cs="Arial"/>
              </w:rPr>
              <w:t xml:space="preserve"> bait stations</w:t>
            </w:r>
            <w:r>
              <w:rPr>
                <w:rFonts w:cs="Arial"/>
              </w:rPr>
              <w:t>.</w:t>
            </w:r>
          </w:p>
          <w:p w:rsidR="003A0B38" w:rsidRDefault="00BD610C" w:rsidP="00260429">
            <w:pPr>
              <w:spacing w:line="260" w:lineRule="atLeast"/>
              <w:rPr>
                <w:rFonts w:cs="Arial"/>
              </w:rPr>
            </w:pPr>
            <w:r>
              <w:rPr>
                <w:rFonts w:cs="Arial"/>
              </w:rPr>
              <w:t>-C</w:t>
            </w:r>
            <w:r w:rsidR="003A0B38" w:rsidRPr="0073424C">
              <w:rPr>
                <w:rFonts w:cs="Arial"/>
              </w:rPr>
              <w:t>overed and protected baiting points</w:t>
            </w:r>
            <w:r>
              <w:rPr>
                <w:rFonts w:cs="Arial"/>
              </w:rPr>
              <w:t xml:space="preserve"> (as long as they provide the same level of protection for non-target species and huma</w:t>
            </w:r>
            <w:r w:rsidR="00B154FE">
              <w:rPr>
                <w:rFonts w:cs="Arial"/>
              </w:rPr>
              <w:t>n</w:t>
            </w:r>
            <w:r>
              <w:rPr>
                <w:rFonts w:cs="Arial"/>
              </w:rPr>
              <w:t>s as tamper-resistant bait stations)</w:t>
            </w:r>
            <w:r w:rsidR="003A0B38" w:rsidRPr="0073424C">
              <w:rPr>
                <w:rFonts w:cs="Arial"/>
              </w:rPr>
              <w:t>.</w:t>
            </w:r>
          </w:p>
          <w:p w:rsidR="00E816D1" w:rsidRPr="0073424C" w:rsidRDefault="00E816D1" w:rsidP="00260429">
            <w:pPr>
              <w:spacing w:line="260" w:lineRule="atLeast"/>
              <w:rPr>
                <w:rFonts w:cs="Arial"/>
              </w:rPr>
            </w:pPr>
            <w:r>
              <w:rPr>
                <w:rFonts w:cs="Arial"/>
              </w:rPr>
              <w:t>- Direct application of ready-to-use bait into the burrow.</w:t>
            </w:r>
          </w:p>
          <w:p w:rsidR="00260429" w:rsidRPr="0073424C" w:rsidRDefault="00260429" w:rsidP="00056822">
            <w:pPr>
              <w:spacing w:line="260" w:lineRule="atLeast"/>
              <w:rPr>
                <w:rFonts w:eastAsia="Calibri" w:cs="Arial"/>
                <w:bCs/>
                <w:lang w:eastAsia="en-US"/>
              </w:rPr>
            </w:pPr>
          </w:p>
        </w:tc>
      </w:tr>
      <w:tr w:rsidR="004061A6"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E530CD" w:rsidP="0065089A">
            <w:pPr>
              <w:spacing w:line="260" w:lineRule="atLeast"/>
              <w:rPr>
                <w:rFonts w:eastAsia="Calibri" w:cs="Arial"/>
                <w:bCs/>
                <w:lang w:val="en-US" w:eastAsia="en-US"/>
              </w:rPr>
            </w:pPr>
            <w:r w:rsidRPr="0073424C">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D610C" w:rsidRPr="00D57FB5" w:rsidRDefault="00BD610C" w:rsidP="00D57FB5">
            <w:pPr>
              <w:spacing w:line="240" w:lineRule="auto"/>
            </w:pPr>
            <w:r>
              <w:t>Mice: 30-50</w:t>
            </w:r>
            <w:r w:rsidRPr="00F509E7">
              <w:t xml:space="preserve"> g of bait per bait station. </w:t>
            </w:r>
          </w:p>
          <w:p w:rsidR="00BD610C" w:rsidRDefault="00BD610C" w:rsidP="00BD610C"/>
          <w:p w:rsidR="00BD610C" w:rsidRDefault="00BD610C" w:rsidP="00BD610C">
            <w:pPr>
              <w:shd w:val="clear" w:color="auto" w:fill="FFFFFF"/>
              <w:spacing w:after="128" w:line="240" w:lineRule="auto"/>
              <w:rPr>
                <w:rFonts w:cs="Arial"/>
                <w:lang w:eastAsia="en-GB"/>
              </w:rPr>
            </w:pPr>
            <w:r>
              <w:t>Rats: 100-200</w:t>
            </w:r>
            <w:r w:rsidRPr="00F509E7">
              <w:t xml:space="preserve"> g of bait per bait station. </w:t>
            </w:r>
          </w:p>
          <w:p w:rsidR="00B7553E" w:rsidRPr="00D909D0" w:rsidRDefault="003A0B38" w:rsidP="003A0B38">
            <w:pPr>
              <w:shd w:val="clear" w:color="auto" w:fill="FFFFFF"/>
              <w:spacing w:line="240" w:lineRule="auto"/>
              <w:rPr>
                <w:rFonts w:cs="Arial"/>
                <w:lang w:eastAsia="en-GB"/>
              </w:rPr>
            </w:pPr>
            <w:r w:rsidRPr="00D909D0">
              <w:rPr>
                <w:rFonts w:cs="Arial"/>
                <w:lang w:eastAsia="en-GB"/>
              </w:rPr>
              <w:t>Permanent baiting is authorised at sites with a high potential for reinvasion when other methods of control have been proven insufficient.</w:t>
            </w:r>
          </w:p>
          <w:p w:rsidR="00EE3616" w:rsidRPr="0073424C" w:rsidRDefault="00EE3616" w:rsidP="00056822">
            <w:pPr>
              <w:shd w:val="clear" w:color="auto" w:fill="FFFFFF"/>
              <w:spacing w:line="240" w:lineRule="auto"/>
              <w:rPr>
                <w:rFonts w:cs="Arial"/>
                <w:lang w:eastAsia="en-GB"/>
              </w:rPr>
            </w:pPr>
          </w:p>
        </w:tc>
      </w:tr>
      <w:tr w:rsidR="004061A6"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B033BC" w:rsidP="0065089A">
            <w:pPr>
              <w:spacing w:line="260" w:lineRule="atLeast"/>
              <w:rPr>
                <w:rFonts w:eastAsia="Calibri" w:cs="Arial"/>
                <w:bCs/>
                <w:lang w:eastAsia="en-US"/>
              </w:rPr>
            </w:pPr>
            <w:r w:rsidRPr="0073424C">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530CD" w:rsidRPr="0073424C" w:rsidRDefault="003A0B38" w:rsidP="0065089A">
            <w:pPr>
              <w:spacing w:line="260" w:lineRule="atLeast"/>
              <w:rPr>
                <w:rFonts w:eastAsia="Calibri" w:cs="Arial"/>
                <w:bCs/>
                <w:lang w:eastAsia="en-US"/>
              </w:rPr>
            </w:pPr>
            <w:r w:rsidRPr="0073424C">
              <w:rPr>
                <w:rFonts w:eastAsia="Calibri" w:cs="Arial"/>
                <w:bCs/>
                <w:lang w:eastAsia="en-US"/>
              </w:rPr>
              <w:t>Trained professionals</w:t>
            </w:r>
          </w:p>
          <w:p w:rsidR="00CD23AB" w:rsidRPr="0073424C" w:rsidRDefault="00CD23AB" w:rsidP="0065089A">
            <w:pPr>
              <w:spacing w:line="260" w:lineRule="atLeast"/>
              <w:rPr>
                <w:rFonts w:eastAsia="Calibri" w:cs="Arial"/>
                <w:bCs/>
                <w:lang w:eastAsia="en-US"/>
              </w:rPr>
            </w:pPr>
          </w:p>
          <w:p w:rsidR="00CD23AB" w:rsidRPr="0073424C" w:rsidRDefault="00CD23AB" w:rsidP="0065089A">
            <w:pPr>
              <w:spacing w:line="260" w:lineRule="atLeast"/>
              <w:rPr>
                <w:rFonts w:eastAsia="Calibri" w:cs="Arial"/>
                <w:bCs/>
                <w:lang w:eastAsia="en-US"/>
              </w:rPr>
            </w:pPr>
          </w:p>
        </w:tc>
      </w:tr>
      <w:tr w:rsidR="00E530CD" w:rsidRPr="0073424C"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73424C" w:rsidRDefault="00E530CD" w:rsidP="00B47186">
            <w:pPr>
              <w:spacing w:line="260" w:lineRule="atLeast"/>
              <w:rPr>
                <w:rFonts w:eastAsia="Calibri" w:cs="Arial"/>
                <w:bCs/>
                <w:lang w:val="en-US" w:eastAsia="en-US"/>
              </w:rPr>
            </w:pPr>
            <w:r w:rsidRPr="0073424C">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A0B38" w:rsidRPr="0073424C" w:rsidRDefault="003A0B38" w:rsidP="003A0B38">
            <w:pPr>
              <w:shd w:val="clear" w:color="auto" w:fill="FFFFFF"/>
              <w:spacing w:after="128" w:line="240" w:lineRule="auto"/>
              <w:rPr>
                <w:rFonts w:cs="Arial"/>
                <w:lang w:eastAsia="en-GB"/>
              </w:rPr>
            </w:pPr>
            <w:r w:rsidRPr="0073424C">
              <w:rPr>
                <w:rFonts w:cs="Arial"/>
                <w:lang w:eastAsia="en-GB"/>
              </w:rPr>
              <w:t>Paper bag</w:t>
            </w:r>
            <w:r w:rsidR="001F20DA">
              <w:rPr>
                <w:rFonts w:cs="Arial"/>
                <w:lang w:eastAsia="en-GB"/>
              </w:rPr>
              <w:t xml:space="preserve"> or </w:t>
            </w:r>
            <w:r w:rsidRPr="0073424C">
              <w:rPr>
                <w:rFonts w:cs="Arial"/>
                <w:lang w:eastAsia="en-GB"/>
              </w:rPr>
              <w:t xml:space="preserve">PP sachet: </w:t>
            </w:r>
            <w:r w:rsidR="00366607">
              <w:rPr>
                <w:rFonts w:cs="Arial"/>
                <w:lang w:eastAsia="en-GB"/>
              </w:rPr>
              <w:t>20</w:t>
            </w:r>
            <w:r w:rsidRPr="0073424C">
              <w:rPr>
                <w:rFonts w:cs="Arial"/>
                <w:lang w:eastAsia="en-GB"/>
              </w:rPr>
              <w:t xml:space="preserve"> to 40 g</w:t>
            </w:r>
            <w:r w:rsidR="001F20DA">
              <w:rPr>
                <w:rFonts w:cs="Arial"/>
                <w:lang w:eastAsia="en-GB"/>
              </w:rPr>
              <w:t xml:space="preserve"> further packed</w:t>
            </w:r>
            <w:r w:rsidRPr="0073424C">
              <w:rPr>
                <w:rFonts w:cs="Arial"/>
                <w:lang w:eastAsia="en-GB"/>
              </w:rPr>
              <w:t xml:space="preserve"> in</w:t>
            </w:r>
          </w:p>
          <w:p w:rsidR="00E530CD" w:rsidRPr="0073424C" w:rsidRDefault="008B40FC" w:rsidP="003438D5">
            <w:pPr>
              <w:shd w:val="clear" w:color="auto" w:fill="FFFFFF"/>
              <w:spacing w:line="240" w:lineRule="auto"/>
              <w:rPr>
                <w:rFonts w:cs="Arial"/>
                <w:lang w:eastAsia="en-GB"/>
              </w:rPr>
            </w:pPr>
            <w:r w:rsidRPr="0073424C">
              <w:rPr>
                <w:rFonts w:cs="Arial"/>
                <w:lang w:eastAsia="en-GB"/>
              </w:rPr>
              <w:t xml:space="preserve">- </w:t>
            </w:r>
            <w:r w:rsidR="003A0B38" w:rsidRPr="0073424C">
              <w:rPr>
                <w:rFonts w:cs="Arial"/>
                <w:lang w:eastAsia="en-GB"/>
              </w:rPr>
              <w:t>PP bucket with lid </w:t>
            </w:r>
            <w:r w:rsidR="003438D5">
              <w:rPr>
                <w:rFonts w:cs="Arial"/>
                <w:lang w:eastAsia="en-GB"/>
              </w:rPr>
              <w:t>3</w:t>
            </w:r>
            <w:r w:rsidR="006E544A">
              <w:rPr>
                <w:rFonts w:cs="Arial"/>
                <w:lang w:eastAsia="en-GB"/>
              </w:rPr>
              <w:t>-</w:t>
            </w:r>
            <w:r w:rsidR="003A0B38" w:rsidRPr="0073424C">
              <w:rPr>
                <w:rFonts w:cs="Arial"/>
                <w:lang w:eastAsia="en-GB"/>
              </w:rPr>
              <w:t>21 kg</w:t>
            </w:r>
            <w:r w:rsidR="003A0B38" w:rsidRPr="0073424C">
              <w:rPr>
                <w:rFonts w:cs="Arial"/>
                <w:lang w:eastAsia="en-GB"/>
              </w:rPr>
              <w:br/>
            </w:r>
            <w:r w:rsidRPr="0073424C">
              <w:rPr>
                <w:rFonts w:cs="Arial"/>
                <w:lang w:eastAsia="en-GB"/>
              </w:rPr>
              <w:t xml:space="preserve">- </w:t>
            </w:r>
            <w:r w:rsidR="003A0B38" w:rsidRPr="0073424C">
              <w:rPr>
                <w:rFonts w:cs="Arial"/>
                <w:lang w:eastAsia="en-GB"/>
              </w:rPr>
              <w:t>Cardboard carton with integral plastic (PP/PE) bag </w:t>
            </w:r>
            <w:r w:rsidR="003438D5">
              <w:rPr>
                <w:rFonts w:cs="Arial"/>
                <w:lang w:eastAsia="en-GB"/>
              </w:rPr>
              <w:t>3</w:t>
            </w:r>
            <w:r w:rsidR="006E544A">
              <w:rPr>
                <w:rFonts w:cs="Arial"/>
                <w:lang w:eastAsia="en-GB"/>
              </w:rPr>
              <w:t>-</w:t>
            </w:r>
            <w:r w:rsidR="003A0B38" w:rsidRPr="0073424C">
              <w:rPr>
                <w:rFonts w:cs="Arial"/>
                <w:lang w:eastAsia="en-GB"/>
              </w:rPr>
              <w:t xml:space="preserve"> 25 kg</w:t>
            </w:r>
            <w:r w:rsidR="003A0B38" w:rsidRPr="0073424C">
              <w:rPr>
                <w:rFonts w:cs="Arial"/>
                <w:lang w:eastAsia="en-GB"/>
              </w:rPr>
              <w:br/>
            </w:r>
            <w:r w:rsidR="003A0B38" w:rsidRPr="0073424C">
              <w:rPr>
                <w:rFonts w:cs="Arial"/>
                <w:lang w:eastAsia="en-GB"/>
              </w:rPr>
              <w:br/>
            </w:r>
            <w:r w:rsidRPr="0073424C">
              <w:rPr>
                <w:rFonts w:cs="Arial"/>
                <w:lang w:eastAsia="en-GB"/>
              </w:rPr>
              <w:t xml:space="preserve">- </w:t>
            </w:r>
            <w:r w:rsidR="003A0B38" w:rsidRPr="0073424C">
              <w:rPr>
                <w:rFonts w:cs="Arial"/>
                <w:lang w:eastAsia="en-GB"/>
              </w:rPr>
              <w:t>Plastic (PP/PE) pouch  </w:t>
            </w:r>
            <w:r w:rsidR="0089442D">
              <w:rPr>
                <w:rFonts w:cs="Arial"/>
                <w:lang w:eastAsia="en-GB"/>
              </w:rPr>
              <w:t>3</w:t>
            </w:r>
            <w:r w:rsidR="006E544A">
              <w:rPr>
                <w:rFonts w:cs="Arial"/>
                <w:lang w:eastAsia="en-GB"/>
              </w:rPr>
              <w:t>-</w:t>
            </w:r>
            <w:r w:rsidR="003A0B38" w:rsidRPr="0073424C">
              <w:rPr>
                <w:rFonts w:cs="Arial"/>
                <w:lang w:eastAsia="en-GB"/>
              </w:rPr>
              <w:t xml:space="preserve"> 20 kg</w:t>
            </w:r>
            <w:r w:rsidR="003A0B38" w:rsidRPr="0073424C">
              <w:rPr>
                <w:rFonts w:cs="Arial"/>
                <w:lang w:eastAsia="en-GB"/>
              </w:rPr>
              <w:br/>
            </w:r>
            <w:r w:rsidR="007D1D93">
              <w:rPr>
                <w:rFonts w:cs="Arial"/>
                <w:lang w:eastAsia="en-GB"/>
              </w:rPr>
              <w:t xml:space="preserve">- </w:t>
            </w:r>
            <w:r w:rsidR="003A0B38" w:rsidRPr="0073424C">
              <w:rPr>
                <w:rFonts w:cs="Arial"/>
                <w:lang w:eastAsia="en-GB"/>
              </w:rPr>
              <w:t>Carton containing prefilled PP/HDPE/PS bait stations </w:t>
            </w:r>
            <w:r w:rsidR="003438D5">
              <w:rPr>
                <w:rFonts w:cs="Arial"/>
                <w:lang w:eastAsia="en-GB"/>
              </w:rPr>
              <w:t>3</w:t>
            </w:r>
            <w:r w:rsidR="006E544A">
              <w:rPr>
                <w:rFonts w:cs="Arial"/>
                <w:lang w:eastAsia="en-GB"/>
              </w:rPr>
              <w:t>-</w:t>
            </w:r>
            <w:r w:rsidR="003A0B38" w:rsidRPr="0073424C">
              <w:rPr>
                <w:rFonts w:cs="Arial"/>
                <w:lang w:eastAsia="en-GB"/>
              </w:rPr>
              <w:t xml:space="preserve"> 10 kg</w:t>
            </w:r>
          </w:p>
        </w:tc>
      </w:tr>
    </w:tbl>
    <w:p w:rsidR="00E530CD" w:rsidRPr="00C038DE" w:rsidRDefault="00E530CD" w:rsidP="00E530CD">
      <w:pPr>
        <w:spacing w:line="260" w:lineRule="atLeast"/>
        <w:rPr>
          <w:rFonts w:eastAsia="Calibri" w:cs="Arial"/>
          <w:i/>
          <w:lang w:eastAsia="en-US"/>
        </w:rPr>
      </w:pPr>
    </w:p>
    <w:p w:rsidR="004945C5" w:rsidRPr="00C038DE" w:rsidRDefault="004945C5" w:rsidP="00DE5656">
      <w:pPr>
        <w:pStyle w:val="Kop4"/>
      </w:pPr>
      <w:r w:rsidRPr="00C038DE">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177A62"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E6DDE"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Remove the remaining product at the end of treatment period. (except when use</w:t>
            </w:r>
            <w:r w:rsidR="002E6DDE" w:rsidRPr="00177A62">
              <w:rPr>
                <w:rFonts w:ascii="Helvetica" w:hAnsi="Helvetica" w:cs="Arial"/>
                <w:sz w:val="18"/>
                <w:szCs w:val="18"/>
                <w:lang w:eastAsia="en-GB"/>
              </w:rPr>
              <w:t>d</w:t>
            </w:r>
            <w:r w:rsidRPr="00177A62">
              <w:rPr>
                <w:rFonts w:ascii="Helvetica" w:hAnsi="Helvetica" w:cs="Arial"/>
                <w:sz w:val="18"/>
                <w:szCs w:val="18"/>
                <w:lang w:eastAsia="en-GB"/>
              </w:rPr>
              <w:t xml:space="preserve"> for permanent baiting)</w:t>
            </w:r>
          </w:p>
          <w:p w:rsidR="0089442D"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product should be placed in the immediate vicinity of places where rodent activity has been previously explored (e.g. travel paths, nesting sites, feedlots, holes, burrows etc.).</w:t>
            </w:r>
          </w:p>
          <w:p w:rsidR="00BF3C31"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89442D" w:rsidRDefault="003A0B38" w:rsidP="003A0B38">
            <w:pPr>
              <w:spacing w:line="240" w:lineRule="auto"/>
              <w:rPr>
                <w:rFonts w:ascii="Helvetica" w:hAnsi="Helvetica" w:cs="Arial"/>
                <w:sz w:val="18"/>
                <w:szCs w:val="18"/>
                <w:lang w:eastAsia="en-GB"/>
              </w:rPr>
            </w:pPr>
            <w:r w:rsidRPr="00177A62">
              <w:rPr>
                <w:rFonts w:ascii="Helvetica" w:hAnsi="Helvetica" w:cs="Arial"/>
                <w:sz w:val="18"/>
                <w:szCs w:val="18"/>
                <w:lang w:eastAsia="en-GB"/>
              </w:rPr>
              <w:br/>
              <w:t>- When use</w:t>
            </w:r>
            <w:r w:rsidR="002E6DDE" w:rsidRPr="00177A62">
              <w:rPr>
                <w:rFonts w:ascii="Helvetica" w:hAnsi="Helvetica" w:cs="Arial"/>
                <w:sz w:val="18"/>
                <w:szCs w:val="18"/>
                <w:lang w:eastAsia="en-GB"/>
              </w:rPr>
              <w:t>d</w:t>
            </w:r>
            <w:r w:rsidRPr="00177A62">
              <w:rPr>
                <w:rFonts w:ascii="Helvetica" w:hAnsi="Helvetica" w:cs="Arial"/>
                <w:sz w:val="18"/>
                <w:szCs w:val="18"/>
                <w:lang w:eastAsia="en-GB"/>
              </w:rPr>
              <w:t xml:space="preserve"> in permanent baiting : Where possible, it is recommended that the treated area is revisited every 4 weeks at the latest in order to avoid any selection of a resistant population.</w:t>
            </w:r>
          </w:p>
          <w:p w:rsidR="0089442D" w:rsidRDefault="0089442D" w:rsidP="003A0B38">
            <w:pPr>
              <w:spacing w:line="240" w:lineRule="auto"/>
              <w:rPr>
                <w:rFonts w:ascii="Helvetica" w:hAnsi="Helvetica" w:cs="Arial"/>
                <w:sz w:val="18"/>
                <w:szCs w:val="18"/>
                <w:lang w:eastAsia="en-GB"/>
              </w:rPr>
            </w:pPr>
          </w:p>
          <w:p w:rsidR="0089442D" w:rsidRDefault="003A0B38" w:rsidP="003A0B38">
            <w:pPr>
              <w:spacing w:line="240" w:lineRule="auto"/>
              <w:rPr>
                <w:rFonts w:ascii="Helvetica" w:hAnsi="Helvetica" w:cs="Arial"/>
                <w:sz w:val="18"/>
                <w:szCs w:val="18"/>
                <w:lang w:eastAsia="en-GB"/>
              </w:rPr>
            </w:pPr>
            <w:r w:rsidRPr="00177A62">
              <w:rPr>
                <w:rFonts w:ascii="Helvetica" w:hAnsi="Helvetica" w:cs="Arial"/>
                <w:sz w:val="18"/>
                <w:szCs w:val="18"/>
                <w:lang w:eastAsia="en-GB"/>
              </w:rPr>
              <w:t>Outdoor use (around building / open area</w:t>
            </w:r>
            <w:r w:rsidR="00BF3C31" w:rsidRPr="00177A62">
              <w:rPr>
                <w:rFonts w:ascii="Helvetica" w:hAnsi="Helvetica" w:cs="Arial"/>
                <w:sz w:val="18"/>
                <w:szCs w:val="18"/>
                <w:lang w:eastAsia="en-GB"/>
              </w:rPr>
              <w:t>s</w:t>
            </w:r>
            <w:r w:rsidRPr="00177A62">
              <w:rPr>
                <w:rFonts w:ascii="Helvetica" w:hAnsi="Helvetica" w:cs="Arial"/>
                <w:sz w:val="18"/>
                <w:szCs w:val="18"/>
                <w:lang w:eastAsia="en-GB"/>
              </w:rPr>
              <w:t xml:space="preserve"> / waste dumps):</w:t>
            </w:r>
          </w:p>
          <w:p w:rsidR="003A0B38" w:rsidRDefault="003A0B38" w:rsidP="003A0B38">
            <w:pPr>
              <w:spacing w:line="240" w:lineRule="auto"/>
              <w:rPr>
                <w:rFonts w:ascii="Helvetica" w:hAnsi="Helvetica" w:cs="Arial"/>
                <w:sz w:val="18"/>
                <w:szCs w:val="18"/>
                <w:lang w:eastAsia="en-GB"/>
              </w:rPr>
            </w:pPr>
            <w:r w:rsidRPr="00177A62">
              <w:rPr>
                <w:rFonts w:ascii="Helvetica" w:hAnsi="Helvetica" w:cs="Arial"/>
                <w:sz w:val="18"/>
                <w:szCs w:val="18"/>
                <w:lang w:eastAsia="en-GB"/>
              </w:rPr>
              <w:t>- Protect bait from the atmospheric conditions. Place the baiting points in areas not liable to flooding.</w:t>
            </w:r>
            <w:r w:rsidRPr="00177A62">
              <w:rPr>
                <w:rFonts w:ascii="Helvetica" w:hAnsi="Helvetica" w:cs="Arial"/>
                <w:sz w:val="18"/>
                <w:szCs w:val="18"/>
                <w:lang w:eastAsia="en-GB"/>
              </w:rPr>
              <w:br/>
              <w:t>- Replace any bait in baiting points in which bait has been damaged by water or contaminated by dirt.</w:t>
            </w:r>
            <w:r w:rsidRPr="00177A62">
              <w:rPr>
                <w:rFonts w:ascii="Helvetica" w:hAnsi="Helvetica" w:cs="Arial"/>
                <w:sz w:val="18"/>
                <w:szCs w:val="18"/>
                <w:lang w:eastAsia="en-GB"/>
              </w:rPr>
              <w:br/>
              <w:t>- Baiting points must be covered and placed in strategic sites to minimise the exposure to non-target species.</w:t>
            </w:r>
          </w:p>
          <w:p w:rsidR="0089442D" w:rsidRDefault="0089442D" w:rsidP="003A0B38">
            <w:pPr>
              <w:spacing w:line="240" w:lineRule="auto"/>
              <w:rPr>
                <w:rFonts w:ascii="Helvetica" w:hAnsi="Helvetica" w:cs="Arial"/>
                <w:sz w:val="18"/>
                <w:szCs w:val="18"/>
                <w:lang w:eastAsia="en-GB"/>
              </w:rPr>
            </w:pPr>
          </w:p>
          <w:p w:rsidR="0089442D" w:rsidRDefault="0089442D" w:rsidP="0089442D">
            <w:pPr>
              <w:spacing w:after="128" w:line="240" w:lineRule="auto"/>
              <w:rPr>
                <w:rFonts w:ascii="Helvetica" w:hAnsi="Helvetica" w:cs="Arial"/>
                <w:sz w:val="18"/>
                <w:szCs w:val="18"/>
                <w:lang w:eastAsia="en-GB"/>
              </w:rPr>
            </w:pPr>
            <w:r>
              <w:rPr>
                <w:rFonts w:ascii="Helvetica" w:hAnsi="Helvetica" w:cs="Arial"/>
                <w:sz w:val="18"/>
                <w:szCs w:val="18"/>
                <w:lang w:eastAsia="en-GB"/>
              </w:rPr>
              <w:t xml:space="preserve">Burrow baiting: </w:t>
            </w:r>
          </w:p>
          <w:p w:rsidR="00DF7F3B" w:rsidRPr="00177A62" w:rsidRDefault="0089442D" w:rsidP="00DF7F3B">
            <w:pPr>
              <w:spacing w:line="240" w:lineRule="auto"/>
              <w:rPr>
                <w:rFonts w:cs="Arial"/>
              </w:rPr>
            </w:pPr>
            <w:r>
              <w:rPr>
                <w:rFonts w:ascii="Helvetica" w:hAnsi="Helvetica" w:cs="Arial"/>
                <w:sz w:val="18"/>
                <w:szCs w:val="18"/>
                <w:lang w:eastAsia="en-GB"/>
              </w:rPr>
              <w:t>- Baits must be placed to minimise the exposure to non-target species and children.</w:t>
            </w:r>
            <w:r>
              <w:rPr>
                <w:rFonts w:ascii="Helvetica" w:hAnsi="Helvetica" w:cs="Arial"/>
                <w:sz w:val="18"/>
                <w:szCs w:val="18"/>
                <w:lang w:eastAsia="en-GB"/>
              </w:rPr>
              <w:br/>
              <w:t>- Cover or block the entrances of baited burrows to reduce the risks of bait being rejected and spilled.</w:t>
            </w:r>
            <w:r>
              <w:rPr>
                <w:rFonts w:ascii="Helvetica" w:hAnsi="Helvetica" w:cs="Arial"/>
                <w:sz w:val="18"/>
                <w:szCs w:val="18"/>
                <w:lang w:eastAsia="en-GB"/>
              </w:rPr>
              <w:br/>
              <w:t xml:space="preserve">- </w:t>
            </w:r>
            <w:r w:rsidRPr="00A01433">
              <w:rPr>
                <w:rFonts w:ascii="Helvetica" w:hAnsi="Helvetica" w:cs="Arial"/>
                <w:i/>
                <w:sz w:val="18"/>
                <w:szCs w:val="18"/>
                <w:lang w:eastAsia="en-GB"/>
              </w:rPr>
              <w:t>[When available]</w:t>
            </w:r>
            <w:r>
              <w:rPr>
                <w:rFonts w:ascii="Helvetica" w:hAnsi="Helvetica" w:cs="Arial"/>
                <w:sz w:val="18"/>
                <w:szCs w:val="18"/>
                <w:lang w:eastAsia="en-GB"/>
              </w:rPr>
              <w:t xml:space="preserve"> Follow any additional instructions provided by the relevant code of best practice.</w:t>
            </w:r>
          </w:p>
        </w:tc>
      </w:tr>
    </w:tbl>
    <w:p w:rsidR="004945C5" w:rsidRPr="00C038DE" w:rsidRDefault="004945C5" w:rsidP="004945C5">
      <w:pPr>
        <w:rPr>
          <w:rFonts w:cs="Arial"/>
        </w:rPr>
      </w:pPr>
    </w:p>
    <w:p w:rsidR="004945C5" w:rsidRPr="00C038DE" w:rsidRDefault="004945C5" w:rsidP="00DE5656">
      <w:pPr>
        <w:pStyle w:val="Kop4"/>
      </w:pPr>
      <w:r w:rsidRPr="00C038DE">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C038DE"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F3C31" w:rsidRPr="00177A62" w:rsidRDefault="003A0B38" w:rsidP="003A0B38">
            <w:pPr>
              <w:spacing w:after="128" w:line="240" w:lineRule="auto"/>
              <w:rPr>
                <w:rFonts w:ascii="Helvetica" w:hAnsi="Helvetica" w:cs="Arial"/>
                <w:sz w:val="18"/>
                <w:szCs w:val="18"/>
                <w:lang w:eastAsia="en-GB"/>
              </w:rPr>
            </w:pPr>
            <w:r w:rsidRPr="00C038DE">
              <w:rPr>
                <w:rFonts w:ascii="Helvetica" w:hAnsi="Helvetica" w:cs="Arial"/>
                <w:sz w:val="18"/>
                <w:szCs w:val="18"/>
                <w:lang w:eastAsia="en-GB"/>
              </w:rPr>
              <w:br/>
            </w:r>
            <w:r w:rsidRPr="00177A62">
              <w:rPr>
                <w:rFonts w:ascii="Helvetica" w:hAnsi="Helvetica" w:cs="Arial"/>
                <w:sz w:val="18"/>
                <w:szCs w:val="18"/>
                <w:lang w:eastAsia="en-GB"/>
              </w:rPr>
              <w:t xml:space="preserve">- To reduce risk of secondary poisoning, search for and remove dead rodents during treatment at frequent intervals, in line with the recommendations provided by the relevant code of best practice. </w:t>
            </w:r>
          </w:p>
          <w:p w:rsidR="00BF3C31"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r>
            <w:r w:rsidRPr="00177A62">
              <w:rPr>
                <w:rFonts w:ascii="Helvetica" w:hAnsi="Helvetica" w:cs="Arial"/>
                <w:sz w:val="18"/>
                <w:szCs w:val="18"/>
                <w:lang w:eastAsia="en-GB"/>
              </w:rPr>
              <w:lastRenderedPageBreak/>
              <w:t>- Permanent baiting is strictly limited to sites with a high potential for reinvasion when other methods of control have proven insufficient.</w:t>
            </w:r>
          </w:p>
          <w:p w:rsidR="00D909D0"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permanent baiting strategy shall be periodically reviewed in the context of integrated pest management (IPM) and the assessment of the risk for re-infestation.</w:t>
            </w:r>
          </w:p>
          <w:p w:rsidR="005579F2" w:rsidRPr="00177A62" w:rsidRDefault="005579F2" w:rsidP="003A0B38">
            <w:pPr>
              <w:spacing w:after="128" w:line="240" w:lineRule="auto"/>
              <w:rPr>
                <w:rFonts w:ascii="Helvetica" w:hAnsi="Helvetica" w:cs="Arial"/>
                <w:sz w:val="18"/>
                <w:szCs w:val="18"/>
                <w:lang w:eastAsia="en-GB"/>
              </w:rPr>
            </w:pPr>
            <w:r w:rsidRPr="00177A62">
              <w:rPr>
                <w:rFonts w:ascii="Helvetica" w:hAnsi="Helvetica" w:cs="Arial"/>
                <w:color w:val="333333"/>
                <w:sz w:val="18"/>
                <w:szCs w:val="18"/>
              </w:rPr>
              <w:t>-Do not use this product in pulsed baiting treatments</w:t>
            </w:r>
          </w:p>
          <w:p w:rsidR="002E6DDE"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C75E22" w:rsidRPr="00177A62">
              <w:rPr>
                <w:rFonts w:ascii="Helvetica" w:hAnsi="Helvetica" w:cs="Arial"/>
                <w:sz w:val="18"/>
                <w:szCs w:val="18"/>
                <w:lang w:eastAsia="en-GB"/>
              </w:rPr>
              <w:t>)</w:t>
            </w:r>
            <w:r w:rsidRPr="00177A62">
              <w:rPr>
                <w:rFonts w:ascii="Helvetica" w:hAnsi="Helvetica" w:cs="Arial"/>
                <w:sz w:val="18"/>
                <w:szCs w:val="18"/>
                <w:lang w:eastAsia="en-GB"/>
              </w:rPr>
              <w:t>.</w:t>
            </w:r>
          </w:p>
          <w:p w:rsidR="002E6DDE"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Do not use in areas where resistance to the active substance can be suspected.</w:t>
            </w:r>
            <w:r w:rsidRPr="00177A62">
              <w:rPr>
                <w:rFonts w:ascii="Helvetica" w:hAnsi="Helvetica" w:cs="Arial"/>
                <w:sz w:val="18"/>
                <w:szCs w:val="18"/>
                <w:lang w:eastAsia="en-GB"/>
              </w:rPr>
              <w:br/>
              <w:t xml:space="preserve">- Products shall not be used beyond 35 days without an evaluation of the state of the infestation and of the efficacy of the treatment [unless in case of permanent baiting treatments]. </w:t>
            </w:r>
          </w:p>
          <w:p w:rsidR="002E6DDE"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Do not rotate the use of different anticoagulants with comparable or weaker potency for resistance management purposes. For rotational use, consider using a non-anticoagulant rodenticide, if available, or a more potent anticoagulant.</w:t>
            </w:r>
          </w:p>
          <w:p w:rsidR="003A0B38" w:rsidRPr="00177A62"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Do not wash the bait stations or utensils used in covered and protected bait points with water between applications.</w:t>
            </w:r>
          </w:p>
          <w:p w:rsidR="003A0B38" w:rsidRPr="00C038DE" w:rsidRDefault="003A0B38" w:rsidP="003A0B3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[FOR</w:t>
            </w:r>
            <w:r w:rsidR="00BC3B22" w:rsidRPr="00177A62">
              <w:rPr>
                <w:rFonts w:ascii="Helvetica" w:hAnsi="Helvetica" w:cs="Arial"/>
                <w:sz w:val="18"/>
                <w:szCs w:val="18"/>
                <w:lang w:eastAsia="en-GB"/>
              </w:rPr>
              <w:t xml:space="preserve"> USE</w:t>
            </w:r>
            <w:r w:rsidRPr="00177A62">
              <w:rPr>
                <w:rFonts w:ascii="Helvetica" w:hAnsi="Helvetica" w:cs="Arial"/>
                <w:sz w:val="18"/>
                <w:szCs w:val="18"/>
                <w:lang w:eastAsia="en-GB"/>
              </w:rPr>
              <w:t xml:space="preserve"> IN AND AROUND</w:t>
            </w:r>
            <w:r w:rsidR="00BC3B22" w:rsidRPr="00177A62">
              <w:rPr>
                <w:rFonts w:ascii="Helvetica" w:hAnsi="Helvetica" w:cs="Arial"/>
                <w:sz w:val="18"/>
                <w:szCs w:val="18"/>
                <w:lang w:eastAsia="en-GB"/>
              </w:rPr>
              <w:t xml:space="preserve"> BUILDINGS</w:t>
            </w:r>
            <w:r w:rsidRPr="00177A62">
              <w:rPr>
                <w:rFonts w:ascii="Helvetica" w:hAnsi="Helvetica" w:cs="Arial"/>
                <w:sz w:val="18"/>
                <w:szCs w:val="18"/>
                <w:lang w:eastAsia="en-GB"/>
              </w:rPr>
              <w:t>]:</w:t>
            </w:r>
            <w:r w:rsidRPr="00177A62">
              <w:rPr>
                <w:rFonts w:ascii="Helvetica" w:hAnsi="Helvetica" w:cs="Arial"/>
                <w:sz w:val="18"/>
                <w:szCs w:val="18"/>
                <w:lang w:eastAsia="en-GB"/>
              </w:rPr>
              <w:br/>
              <w:t>- Consider preventive control measures (e.g. plug holes, remove potential food and drinking as far as possible) to improve product intake and reduce the likelihood of reinvasion.</w:t>
            </w:r>
          </w:p>
          <w:p w:rsidR="00F36D70" w:rsidRPr="00C038DE" w:rsidRDefault="00F36D70" w:rsidP="00F80C2A">
            <w:pPr>
              <w:spacing w:line="240" w:lineRule="auto"/>
              <w:rPr>
                <w:rFonts w:ascii="Helvetica" w:hAnsi="Helvetica" w:cs="Arial"/>
                <w:sz w:val="18"/>
                <w:szCs w:val="18"/>
                <w:lang w:eastAsia="en-GB"/>
              </w:rPr>
            </w:pPr>
          </w:p>
        </w:tc>
      </w:tr>
    </w:tbl>
    <w:p w:rsidR="004945C5" w:rsidRPr="00C038DE" w:rsidRDefault="004945C5" w:rsidP="004945C5">
      <w:pPr>
        <w:rPr>
          <w:rFonts w:cs="Arial"/>
        </w:rPr>
      </w:pPr>
    </w:p>
    <w:p w:rsidR="004945C5" w:rsidRPr="00C038DE" w:rsidRDefault="004945C5" w:rsidP="00DE5656">
      <w:pPr>
        <w:pStyle w:val="Kop4"/>
      </w:pPr>
      <w:r w:rsidRPr="00C038DE">
        <w:t>Where specific to the use, the particulars of likely direct or indirect effects, first aid instructions and emergency measu</w:t>
      </w:r>
      <w:r w:rsidR="00694B02" w:rsidRPr="00C038DE">
        <w:t>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C038DE"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C6958" w:rsidRPr="00177A62" w:rsidRDefault="00E5662B" w:rsidP="00FC695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For i</w:t>
            </w:r>
            <w:r w:rsidR="00FC6958" w:rsidRPr="00177A62">
              <w:rPr>
                <w:rFonts w:ascii="Helvetica" w:hAnsi="Helvetica" w:cs="Arial"/>
                <w:sz w:val="18"/>
                <w:szCs w:val="18"/>
                <w:lang w:eastAsia="en-GB"/>
              </w:rPr>
              <w:t>ndoor</w:t>
            </w:r>
            <w:r w:rsidRPr="00177A62">
              <w:rPr>
                <w:rFonts w:ascii="Helvetica" w:hAnsi="Helvetica" w:cs="Arial"/>
                <w:sz w:val="18"/>
                <w:szCs w:val="18"/>
                <w:lang w:eastAsia="en-GB"/>
              </w:rPr>
              <w:t xml:space="preserve"> use</w:t>
            </w:r>
            <w:r w:rsidR="00FC6958" w:rsidRPr="00177A62">
              <w:rPr>
                <w:rFonts w:ascii="Helvetica" w:hAnsi="Helvetica" w:cs="Arial"/>
                <w:sz w:val="18"/>
                <w:szCs w:val="18"/>
                <w:lang w:eastAsia="en-GB"/>
              </w:rPr>
              <w:t>:</w:t>
            </w:r>
            <w:r w:rsidR="00FC6958" w:rsidRPr="00177A62">
              <w:rPr>
                <w:rFonts w:ascii="Helvetica" w:hAnsi="Helvetica" w:cs="Arial"/>
                <w:sz w:val="18"/>
                <w:szCs w:val="18"/>
                <w:lang w:eastAsia="en-GB"/>
              </w:rPr>
              <w:br/>
              <w:t>- When placing bait stations close to water drainage systems, ensure that bait contact with water is avoided.</w:t>
            </w:r>
          </w:p>
          <w:p w:rsidR="004945C5" w:rsidRPr="00C038DE" w:rsidRDefault="00E5662B" w:rsidP="00E5662B">
            <w:pPr>
              <w:spacing w:line="240" w:lineRule="auto"/>
              <w:rPr>
                <w:rFonts w:ascii="Helvetica" w:hAnsi="Helvetica" w:cs="Arial"/>
                <w:sz w:val="18"/>
                <w:szCs w:val="18"/>
                <w:lang w:eastAsia="en-GB"/>
              </w:rPr>
            </w:pPr>
            <w:r w:rsidRPr="00177A62">
              <w:rPr>
                <w:rFonts w:ascii="Helvetica" w:hAnsi="Helvetica" w:cs="Arial"/>
                <w:sz w:val="18"/>
                <w:szCs w:val="18"/>
                <w:lang w:eastAsia="en-GB"/>
              </w:rPr>
              <w:t>For use a</w:t>
            </w:r>
            <w:r w:rsidR="00FC6958" w:rsidRPr="00177A62">
              <w:rPr>
                <w:rFonts w:ascii="Helvetica" w:hAnsi="Helvetica" w:cs="Arial"/>
                <w:sz w:val="18"/>
                <w:szCs w:val="18"/>
                <w:lang w:eastAsia="en-GB"/>
              </w:rPr>
              <w:t>round</w:t>
            </w:r>
            <w:r w:rsidR="00BC3B22" w:rsidRPr="00177A62">
              <w:rPr>
                <w:rFonts w:ascii="Helvetica" w:hAnsi="Helvetica" w:cs="Arial"/>
                <w:sz w:val="18"/>
                <w:szCs w:val="18"/>
                <w:lang w:eastAsia="en-GB"/>
              </w:rPr>
              <w:t xml:space="preserve"> buildings</w:t>
            </w:r>
            <w:r w:rsidRPr="00177A62">
              <w:rPr>
                <w:rFonts w:ascii="Helvetica" w:hAnsi="Helvetica" w:cs="Arial"/>
                <w:sz w:val="18"/>
                <w:szCs w:val="18"/>
                <w:lang w:eastAsia="en-GB"/>
              </w:rPr>
              <w:t xml:space="preserve"> and in open areas and waste dumps</w:t>
            </w:r>
            <w:r w:rsidR="00FC6958" w:rsidRPr="00177A62">
              <w:rPr>
                <w:rFonts w:ascii="Helvetica" w:hAnsi="Helvetica" w:cs="Arial"/>
                <w:sz w:val="18"/>
                <w:szCs w:val="18"/>
                <w:lang w:eastAsia="en-GB"/>
              </w:rPr>
              <w:t>:</w:t>
            </w:r>
            <w:r w:rsidR="00FC6958" w:rsidRPr="00177A62">
              <w:rPr>
                <w:rFonts w:ascii="Helvetica" w:hAnsi="Helvetica" w:cs="Arial"/>
                <w:sz w:val="18"/>
                <w:szCs w:val="18"/>
                <w:lang w:eastAsia="en-GB"/>
              </w:rPr>
              <w:br/>
              <w:t>- When placing bait stations close to surface waters (e.g. rivers, ponds, water channels, dykes, irrigation ditches) or water drainage systems, ensure that bait contact with water is avoided.</w:t>
            </w:r>
          </w:p>
        </w:tc>
      </w:tr>
    </w:tbl>
    <w:p w:rsidR="004945C5" w:rsidRPr="00C038DE" w:rsidRDefault="004945C5" w:rsidP="004945C5">
      <w:pPr>
        <w:rPr>
          <w:rFonts w:cs="Arial"/>
        </w:rPr>
      </w:pPr>
    </w:p>
    <w:p w:rsidR="004945C5" w:rsidRPr="00C038DE" w:rsidRDefault="004945C5" w:rsidP="00DE5656">
      <w:pPr>
        <w:pStyle w:val="Kop4"/>
      </w:pPr>
      <w:r w:rsidRPr="00C038DE">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C038DE"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4061A6" w:rsidRDefault="00FC6958" w:rsidP="00FC6958">
            <w:pPr>
              <w:rPr>
                <w:rFonts w:cs="Arial"/>
              </w:rPr>
            </w:pPr>
            <w:r w:rsidRPr="00C038DE">
              <w:rPr>
                <w:rFonts w:ascii="Helvetica" w:hAnsi="Helvetica" w:cs="Arial"/>
                <w:sz w:val="18"/>
                <w:szCs w:val="18"/>
                <w:lang w:eastAsia="en-GB"/>
              </w:rPr>
              <w:t>See general instructions</w:t>
            </w:r>
            <w:r w:rsidR="00511226">
              <w:rPr>
                <w:rFonts w:ascii="Helvetica" w:hAnsi="Helvetica" w:cs="Arial"/>
                <w:sz w:val="18"/>
                <w:szCs w:val="18"/>
                <w:lang w:eastAsia="en-GB"/>
              </w:rPr>
              <w:t xml:space="preserve"> for use</w:t>
            </w:r>
          </w:p>
        </w:tc>
      </w:tr>
    </w:tbl>
    <w:p w:rsidR="004945C5" w:rsidRPr="00C038DE" w:rsidRDefault="004945C5" w:rsidP="00DE5656">
      <w:pPr>
        <w:pStyle w:val="Kop4"/>
      </w:pPr>
      <w:r w:rsidRPr="00C038DE">
        <w:lastRenderedPageBreak/>
        <w:t>Where specific to the use, the conditions of storage and shelf-life of the product under normal conditions of storage</w:t>
      </w:r>
    </w:p>
    <w:tbl>
      <w:tblPr>
        <w:tblpPr w:leftFromText="180" w:rightFromText="180" w:vertAnchor="text" w:tblpY="269"/>
        <w:tblW w:w="0" w:type="auto"/>
        <w:tblLayout w:type="fixed"/>
        <w:tblCellMar>
          <w:left w:w="0" w:type="dxa"/>
          <w:right w:w="0" w:type="dxa"/>
        </w:tblCellMar>
        <w:tblLook w:val="0000" w:firstRow="0" w:lastRow="0" w:firstColumn="0" w:lastColumn="0" w:noHBand="0" w:noVBand="0"/>
      </w:tblPr>
      <w:tblGrid>
        <w:gridCol w:w="9026"/>
      </w:tblGrid>
      <w:tr w:rsidR="004061A6" w:rsidRPr="00C038DE" w:rsidTr="00B0025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0025A" w:rsidRPr="00C038DE" w:rsidRDefault="00B0025A" w:rsidP="00B0025A">
            <w:pPr>
              <w:rPr>
                <w:rFonts w:ascii="Helvetica" w:hAnsi="Helvetica" w:cs="Arial"/>
                <w:sz w:val="18"/>
                <w:szCs w:val="18"/>
                <w:lang w:eastAsia="en-GB"/>
              </w:rPr>
            </w:pPr>
            <w:r w:rsidRPr="00C038DE">
              <w:rPr>
                <w:rFonts w:ascii="Helvetica" w:hAnsi="Helvetica" w:cs="Arial"/>
                <w:sz w:val="18"/>
                <w:szCs w:val="18"/>
                <w:lang w:eastAsia="en-GB"/>
              </w:rPr>
              <w:t>See general instructions</w:t>
            </w:r>
            <w:r w:rsidR="00511226">
              <w:rPr>
                <w:rFonts w:ascii="Helvetica" w:hAnsi="Helvetica" w:cs="Arial"/>
                <w:sz w:val="18"/>
                <w:szCs w:val="18"/>
                <w:lang w:eastAsia="en-GB"/>
              </w:rPr>
              <w:t xml:space="preserve"> for use</w:t>
            </w:r>
          </w:p>
          <w:p w:rsidR="00B0025A" w:rsidRPr="004061A6" w:rsidRDefault="00B0025A" w:rsidP="00B0025A">
            <w:pPr>
              <w:rPr>
                <w:rFonts w:cs="Arial"/>
              </w:rPr>
            </w:pPr>
          </w:p>
        </w:tc>
      </w:tr>
    </w:tbl>
    <w:p w:rsidR="00B0025A" w:rsidRPr="00C038DE" w:rsidRDefault="00B0025A"/>
    <w:p w:rsidR="00421303" w:rsidRDefault="00421303">
      <w:pPr>
        <w:spacing w:line="240" w:lineRule="auto"/>
      </w:pPr>
    </w:p>
    <w:p w:rsidR="00421303" w:rsidRPr="00C038DE" w:rsidRDefault="00421303" w:rsidP="00421303">
      <w:pPr>
        <w:pStyle w:val="Kop3"/>
      </w:pPr>
      <w:r>
        <w:t>Use 2</w:t>
      </w:r>
      <w:r w:rsidRPr="00C038DE">
        <w:t xml:space="preserve"> appropriate for </w:t>
      </w:r>
      <w:r w:rsidRPr="00C038DE">
        <w:rPr>
          <w:u w:val="single"/>
        </w:rPr>
        <w:t>further</w:t>
      </w:r>
      <w:r w:rsidRPr="00C038DE">
        <w:t xml:space="preserve"> authorisation – </w:t>
      </w:r>
      <w:r>
        <w:t>House mice- t</w:t>
      </w:r>
      <w:r w:rsidRPr="00C038DE">
        <w:t>rained professionals</w:t>
      </w:r>
      <w:r>
        <w:t xml:space="preserve">- in and around </w:t>
      </w:r>
      <w:r w:rsidR="0082770E">
        <w:t>buildings</w:t>
      </w:r>
      <w:r w:rsidR="00896C19">
        <w:t xml:space="preserve"> and outdoor open areas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21303" w:rsidRPr="0073424C" w:rsidTr="001D363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421303" w:rsidRPr="0073424C" w:rsidRDefault="00421303" w:rsidP="001D363E">
            <w:pPr>
              <w:spacing w:line="260" w:lineRule="atLeast"/>
              <w:rPr>
                <w:rFonts w:eastAsia="Calibri" w:cs="Arial"/>
                <w:bCs/>
                <w:lang w:val="de-DE" w:eastAsia="en-US"/>
              </w:rPr>
            </w:pPr>
            <w:r w:rsidRPr="0073424C">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421303" w:rsidRPr="0073424C" w:rsidRDefault="00421303" w:rsidP="001D363E">
            <w:pPr>
              <w:spacing w:line="260" w:lineRule="atLeast"/>
              <w:rPr>
                <w:rFonts w:eastAsia="Calibri" w:cs="Arial"/>
                <w:bCs/>
                <w:lang w:val="de-DE" w:eastAsia="en-US"/>
              </w:rPr>
            </w:pPr>
            <w:r w:rsidRPr="0073424C">
              <w:rPr>
                <w:rFonts w:cs="Arial"/>
              </w:rPr>
              <w:t>14</w:t>
            </w: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val="en-US" w:eastAsia="en-US"/>
              </w:rPr>
            </w:pPr>
            <w:r w:rsidRPr="0073424C">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73424C" w:rsidRDefault="00421303" w:rsidP="001D363E">
            <w:pPr>
              <w:spacing w:line="260" w:lineRule="atLeast"/>
              <w:rPr>
                <w:rFonts w:eastAsia="Calibri" w:cs="Arial"/>
                <w:bCs/>
                <w:lang w:eastAsia="en-US"/>
              </w:rPr>
            </w:pP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val="en-US" w:eastAsia="en-US"/>
              </w:rPr>
            </w:pPr>
            <w:r w:rsidRPr="0073424C">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73424C" w:rsidRDefault="00421303" w:rsidP="001D363E">
            <w:pPr>
              <w:spacing w:line="260" w:lineRule="atLeast"/>
              <w:rPr>
                <w:rFonts w:eastAsia="Calibri" w:cs="Arial"/>
                <w:bCs/>
                <w:lang w:eastAsia="en-US"/>
              </w:rPr>
            </w:pPr>
            <w:r w:rsidRPr="0073424C">
              <w:rPr>
                <w:rFonts w:eastAsia="Calibri" w:cs="Arial"/>
                <w:bCs/>
                <w:i/>
                <w:lang w:eastAsia="en-US"/>
              </w:rPr>
              <w:t>Mus musculus</w:t>
            </w:r>
            <w:r w:rsidRPr="0073424C">
              <w:rPr>
                <w:rFonts w:eastAsia="Calibri" w:cs="Arial"/>
                <w:bCs/>
                <w:lang w:eastAsia="en-US"/>
              </w:rPr>
              <w:t xml:space="preserve"> (House mouse – all development stages)</w:t>
            </w:r>
          </w:p>
          <w:p w:rsidR="00421303" w:rsidRPr="0073424C" w:rsidRDefault="00421303" w:rsidP="001D363E">
            <w:pPr>
              <w:spacing w:line="260" w:lineRule="atLeast"/>
              <w:rPr>
                <w:rFonts w:eastAsia="Calibri" w:cs="Arial"/>
                <w:bCs/>
                <w:lang w:eastAsia="en-US"/>
              </w:rPr>
            </w:pP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val="de-DE" w:eastAsia="en-US"/>
              </w:rPr>
            </w:pPr>
            <w:r w:rsidRPr="0073424C">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96C19" w:rsidRDefault="0082770E" w:rsidP="001D363E">
            <w:pPr>
              <w:spacing w:line="260" w:lineRule="atLeast"/>
              <w:rPr>
                <w:rFonts w:eastAsia="Calibri" w:cs="Arial"/>
                <w:bCs/>
                <w:lang w:eastAsia="en-US"/>
              </w:rPr>
            </w:pPr>
            <w:r>
              <w:rPr>
                <w:rFonts w:eastAsia="Calibri" w:cs="Arial"/>
                <w:bCs/>
                <w:lang w:eastAsia="en-US"/>
              </w:rPr>
              <w:t>In</w:t>
            </w:r>
            <w:r w:rsidR="00527B0B">
              <w:rPr>
                <w:rFonts w:eastAsia="Calibri" w:cs="Arial"/>
                <w:bCs/>
                <w:lang w:eastAsia="en-US"/>
              </w:rPr>
              <w:t xml:space="preserve"> and </w:t>
            </w:r>
            <w:r w:rsidR="00421303" w:rsidRPr="0073424C">
              <w:rPr>
                <w:rFonts w:eastAsia="Calibri" w:cs="Arial"/>
                <w:bCs/>
                <w:lang w:eastAsia="en-US"/>
              </w:rPr>
              <w:t>around buildings</w:t>
            </w:r>
          </w:p>
          <w:p w:rsidR="00421303" w:rsidRPr="0073424C" w:rsidRDefault="00896C19" w:rsidP="001D363E">
            <w:pPr>
              <w:spacing w:line="260" w:lineRule="atLeast"/>
              <w:rPr>
                <w:rFonts w:eastAsia="Calibri" w:cs="Arial"/>
                <w:bCs/>
                <w:lang w:eastAsia="en-US"/>
              </w:rPr>
            </w:pPr>
            <w:r>
              <w:rPr>
                <w:rFonts w:eastAsia="Calibri" w:cs="Arial"/>
                <w:bCs/>
                <w:lang w:eastAsia="en-US"/>
              </w:rPr>
              <w:t>Outdoor open areas</w:t>
            </w:r>
          </w:p>
          <w:p w:rsidR="00421303" w:rsidRPr="0073424C" w:rsidRDefault="00421303" w:rsidP="00421303">
            <w:pPr>
              <w:spacing w:line="260" w:lineRule="atLeast"/>
              <w:rPr>
                <w:rFonts w:eastAsia="Calibri" w:cs="Arial"/>
                <w:bCs/>
                <w:lang w:eastAsia="en-US"/>
              </w:rPr>
            </w:pP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val="de-DE" w:eastAsia="en-US"/>
              </w:rPr>
            </w:pPr>
            <w:r w:rsidRPr="0073424C">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73424C" w:rsidRDefault="00421303" w:rsidP="001D363E">
            <w:pPr>
              <w:spacing w:line="260" w:lineRule="atLeast"/>
              <w:rPr>
                <w:rFonts w:eastAsia="Calibri" w:cs="Arial"/>
                <w:bCs/>
                <w:lang w:eastAsia="en-US"/>
              </w:rPr>
            </w:pPr>
            <w:r w:rsidRPr="0073424C">
              <w:rPr>
                <w:rFonts w:eastAsia="Calibri" w:cs="Arial"/>
                <w:bCs/>
                <w:lang w:eastAsia="en-US"/>
              </w:rPr>
              <w:t>Bait application</w:t>
            </w:r>
          </w:p>
          <w:p w:rsidR="00421303" w:rsidRDefault="00421303" w:rsidP="001D363E">
            <w:pPr>
              <w:spacing w:line="260" w:lineRule="atLeast"/>
              <w:rPr>
                <w:rFonts w:cs="Arial"/>
              </w:rPr>
            </w:pPr>
            <w:r>
              <w:rPr>
                <w:rFonts w:cs="Arial"/>
              </w:rPr>
              <w:t>-</w:t>
            </w:r>
            <w:r w:rsidRPr="0073424C">
              <w:rPr>
                <w:rFonts w:cs="Arial"/>
              </w:rPr>
              <w:t>Ready-to-use bait to be used in</w:t>
            </w:r>
            <w:r>
              <w:rPr>
                <w:rFonts w:cs="Arial"/>
              </w:rPr>
              <w:t xml:space="preserve"> tamper-resistant</w:t>
            </w:r>
            <w:r w:rsidRPr="0073424C">
              <w:rPr>
                <w:rFonts w:cs="Arial"/>
              </w:rPr>
              <w:t xml:space="preserve"> bait stations</w:t>
            </w:r>
            <w:r>
              <w:rPr>
                <w:rFonts w:cs="Arial"/>
              </w:rPr>
              <w:t>.</w:t>
            </w:r>
          </w:p>
          <w:p w:rsidR="00421303" w:rsidRDefault="00421303" w:rsidP="001D363E">
            <w:pPr>
              <w:spacing w:line="260" w:lineRule="atLeast"/>
              <w:rPr>
                <w:rFonts w:cs="Arial"/>
              </w:rPr>
            </w:pPr>
            <w:r>
              <w:rPr>
                <w:rFonts w:cs="Arial"/>
              </w:rPr>
              <w:t>-C</w:t>
            </w:r>
            <w:r w:rsidRPr="0073424C">
              <w:rPr>
                <w:rFonts w:cs="Arial"/>
              </w:rPr>
              <w:t>overed and protected baiting points</w:t>
            </w:r>
            <w:r>
              <w:rPr>
                <w:rFonts w:cs="Arial"/>
              </w:rPr>
              <w:t xml:space="preserve"> (as long as they provide the same level of protection for non-target species and huma</w:t>
            </w:r>
            <w:r w:rsidR="00D2353C">
              <w:rPr>
                <w:rFonts w:cs="Arial"/>
              </w:rPr>
              <w:t>n</w:t>
            </w:r>
            <w:r>
              <w:rPr>
                <w:rFonts w:cs="Arial"/>
              </w:rPr>
              <w:t>s as tamper-resistant bait stations)</w:t>
            </w:r>
            <w:r w:rsidRPr="0073424C">
              <w:rPr>
                <w:rFonts w:cs="Arial"/>
              </w:rPr>
              <w:t>.</w:t>
            </w:r>
          </w:p>
          <w:p w:rsidR="0064684B" w:rsidRDefault="0064684B" w:rsidP="001D363E">
            <w:pPr>
              <w:spacing w:line="260" w:lineRule="atLeast"/>
              <w:rPr>
                <w:rFonts w:cs="Arial"/>
              </w:rPr>
            </w:pPr>
            <w:r>
              <w:rPr>
                <w:rFonts w:cs="Arial"/>
              </w:rPr>
              <w:t>- Direct application of ready-to-use bait into the burrow.</w:t>
            </w:r>
          </w:p>
          <w:p w:rsidR="0064684B" w:rsidRPr="0073424C" w:rsidRDefault="0064684B" w:rsidP="001D363E">
            <w:pPr>
              <w:spacing w:line="260" w:lineRule="atLeast"/>
              <w:rPr>
                <w:rFonts w:cs="Arial"/>
              </w:rPr>
            </w:pPr>
          </w:p>
          <w:p w:rsidR="00421303" w:rsidRPr="0073424C" w:rsidRDefault="00421303" w:rsidP="001D363E">
            <w:pPr>
              <w:spacing w:line="260" w:lineRule="atLeast"/>
              <w:rPr>
                <w:rFonts w:eastAsia="Calibri" w:cs="Arial"/>
                <w:bCs/>
                <w:lang w:eastAsia="en-US"/>
              </w:rPr>
            </w:pP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val="en-US" w:eastAsia="en-US"/>
              </w:rPr>
            </w:pPr>
            <w:r w:rsidRPr="0073424C">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Default="00421303" w:rsidP="001D363E">
            <w:r>
              <w:t>Mice: 30-50</w:t>
            </w:r>
            <w:r w:rsidRPr="00F509E7">
              <w:t xml:space="preserve"> g of bait per bait station. </w:t>
            </w:r>
          </w:p>
          <w:p w:rsidR="00421303" w:rsidRPr="0073424C" w:rsidRDefault="00421303" w:rsidP="001D363E">
            <w:pPr>
              <w:shd w:val="clear" w:color="auto" w:fill="FFFFFF"/>
              <w:spacing w:line="240" w:lineRule="auto"/>
              <w:rPr>
                <w:rFonts w:cs="Arial"/>
                <w:lang w:eastAsia="en-GB"/>
              </w:rPr>
            </w:pPr>
            <w:r w:rsidRPr="00D909D0">
              <w:rPr>
                <w:rFonts w:cs="Arial"/>
                <w:lang w:eastAsia="en-GB"/>
              </w:rPr>
              <w:t>Permanent baiting is authorised at sites with a high potential for reinvasion when other methods of control have been proven insufficient.</w:t>
            </w: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eastAsia="en-US"/>
              </w:rPr>
            </w:pPr>
            <w:r w:rsidRPr="0073424C">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73424C" w:rsidRDefault="00421303" w:rsidP="001D363E">
            <w:pPr>
              <w:spacing w:line="260" w:lineRule="atLeast"/>
              <w:rPr>
                <w:rFonts w:eastAsia="Calibri" w:cs="Arial"/>
                <w:bCs/>
                <w:lang w:eastAsia="en-US"/>
              </w:rPr>
            </w:pPr>
            <w:r w:rsidRPr="0073424C">
              <w:rPr>
                <w:rFonts w:eastAsia="Calibri" w:cs="Arial"/>
                <w:bCs/>
                <w:lang w:eastAsia="en-US"/>
              </w:rPr>
              <w:t>Trained professionals</w:t>
            </w:r>
          </w:p>
          <w:p w:rsidR="00421303" w:rsidRPr="0073424C" w:rsidRDefault="00421303" w:rsidP="001D363E">
            <w:pPr>
              <w:spacing w:line="260" w:lineRule="atLeast"/>
              <w:rPr>
                <w:rFonts w:eastAsia="Calibri" w:cs="Arial"/>
                <w:bCs/>
                <w:lang w:eastAsia="en-US"/>
              </w:rPr>
            </w:pPr>
          </w:p>
          <w:p w:rsidR="00421303" w:rsidRPr="0073424C" w:rsidRDefault="00421303" w:rsidP="001D363E">
            <w:pPr>
              <w:spacing w:line="260" w:lineRule="atLeast"/>
              <w:rPr>
                <w:rFonts w:eastAsia="Calibri" w:cs="Arial"/>
                <w:bCs/>
                <w:lang w:eastAsia="en-US"/>
              </w:rPr>
            </w:pPr>
          </w:p>
        </w:tc>
      </w:tr>
      <w:tr w:rsidR="00421303" w:rsidRPr="0073424C"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73424C" w:rsidRDefault="00421303" w:rsidP="001D363E">
            <w:pPr>
              <w:spacing w:line="260" w:lineRule="atLeast"/>
              <w:rPr>
                <w:rFonts w:eastAsia="Calibri" w:cs="Arial"/>
                <w:bCs/>
                <w:lang w:val="en-US" w:eastAsia="en-US"/>
              </w:rPr>
            </w:pPr>
            <w:r w:rsidRPr="0073424C">
              <w:rPr>
                <w:rFonts w:eastAsia="Calibri" w:cs="Arial"/>
                <w:bCs/>
                <w:lang w:eastAsia="en-US"/>
              </w:rPr>
              <w:t>Pack sizes and packaging material</w:t>
            </w:r>
            <w:r w:rsidRPr="0073424C">
              <w:rPr>
                <w:rStyle w:val="Voetnootmarkering"/>
                <w:rFonts w:eastAsia="Calibri" w:cs="Arial"/>
                <w:bCs/>
                <w:sz w:val="20"/>
                <w:lang w:eastAsia="en-US"/>
              </w:rPr>
              <w:footnoteReference w:id="3"/>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73424C" w:rsidRDefault="00421303" w:rsidP="001D363E">
            <w:pPr>
              <w:shd w:val="clear" w:color="auto" w:fill="FFFFFF"/>
              <w:spacing w:after="128" w:line="240" w:lineRule="auto"/>
              <w:rPr>
                <w:rFonts w:cs="Arial"/>
                <w:lang w:eastAsia="en-GB"/>
              </w:rPr>
            </w:pPr>
            <w:r w:rsidRPr="0073424C">
              <w:rPr>
                <w:rFonts w:cs="Arial"/>
                <w:lang w:eastAsia="en-GB"/>
              </w:rPr>
              <w:t>Paper bag</w:t>
            </w:r>
            <w:r>
              <w:rPr>
                <w:rFonts w:cs="Arial"/>
                <w:lang w:eastAsia="en-GB"/>
              </w:rPr>
              <w:t xml:space="preserve"> or </w:t>
            </w:r>
            <w:r w:rsidRPr="0073424C">
              <w:rPr>
                <w:rFonts w:cs="Arial"/>
                <w:lang w:eastAsia="en-GB"/>
              </w:rPr>
              <w:t xml:space="preserve">PP sachet: </w:t>
            </w:r>
            <w:r>
              <w:rPr>
                <w:rFonts w:cs="Arial"/>
                <w:lang w:eastAsia="en-GB"/>
              </w:rPr>
              <w:t>10</w:t>
            </w:r>
            <w:r w:rsidR="0082770E">
              <w:rPr>
                <w:rFonts w:cs="Arial"/>
                <w:lang w:eastAsia="en-GB"/>
              </w:rPr>
              <w:t>-15</w:t>
            </w:r>
            <w:r w:rsidRPr="0073424C">
              <w:rPr>
                <w:rFonts w:cs="Arial"/>
                <w:lang w:eastAsia="en-GB"/>
              </w:rPr>
              <w:t xml:space="preserve"> g</w:t>
            </w:r>
            <w:r>
              <w:rPr>
                <w:rFonts w:cs="Arial"/>
                <w:lang w:eastAsia="en-GB"/>
              </w:rPr>
              <w:t xml:space="preserve"> further packed</w:t>
            </w:r>
            <w:r w:rsidRPr="0073424C">
              <w:rPr>
                <w:rFonts w:cs="Arial"/>
                <w:lang w:eastAsia="en-GB"/>
              </w:rPr>
              <w:t xml:space="preserve"> in</w:t>
            </w:r>
          </w:p>
          <w:p w:rsidR="00421303" w:rsidRPr="0073424C" w:rsidRDefault="00421303" w:rsidP="001D363E">
            <w:pPr>
              <w:shd w:val="clear" w:color="auto" w:fill="FFFFFF"/>
              <w:spacing w:line="240" w:lineRule="auto"/>
              <w:rPr>
                <w:rFonts w:cs="Arial"/>
                <w:lang w:eastAsia="en-GB"/>
              </w:rPr>
            </w:pPr>
            <w:r w:rsidRPr="0073424C">
              <w:rPr>
                <w:rFonts w:cs="Arial"/>
                <w:lang w:eastAsia="en-GB"/>
              </w:rPr>
              <w:t>- PP bucket with lid </w:t>
            </w:r>
            <w:r w:rsidR="003438D5">
              <w:rPr>
                <w:rFonts w:cs="Arial"/>
                <w:lang w:eastAsia="en-GB"/>
              </w:rPr>
              <w:t>3</w:t>
            </w:r>
            <w:r>
              <w:rPr>
                <w:rFonts w:cs="Arial"/>
                <w:lang w:eastAsia="en-GB"/>
              </w:rPr>
              <w:t>-</w:t>
            </w:r>
            <w:r w:rsidRPr="0073424C">
              <w:rPr>
                <w:rFonts w:cs="Arial"/>
                <w:lang w:eastAsia="en-GB"/>
              </w:rPr>
              <w:t>21 kg</w:t>
            </w:r>
            <w:r w:rsidRPr="0073424C">
              <w:rPr>
                <w:rFonts w:cs="Arial"/>
                <w:lang w:eastAsia="en-GB"/>
              </w:rPr>
              <w:br/>
              <w:t>- Cardboard carton with integral plastic (PP/PE) bag </w:t>
            </w:r>
            <w:r w:rsidR="003438D5">
              <w:rPr>
                <w:rFonts w:cs="Arial"/>
                <w:lang w:eastAsia="en-GB"/>
              </w:rPr>
              <w:t>3</w:t>
            </w:r>
            <w:r>
              <w:rPr>
                <w:rFonts w:cs="Arial"/>
                <w:lang w:eastAsia="en-GB"/>
              </w:rPr>
              <w:t>-</w:t>
            </w:r>
            <w:r w:rsidRPr="0073424C">
              <w:rPr>
                <w:rFonts w:cs="Arial"/>
                <w:lang w:eastAsia="en-GB"/>
              </w:rPr>
              <w:t xml:space="preserve"> 25 kg</w:t>
            </w:r>
            <w:r w:rsidRPr="0073424C">
              <w:rPr>
                <w:rFonts w:cs="Arial"/>
                <w:lang w:eastAsia="en-GB"/>
              </w:rPr>
              <w:br/>
            </w:r>
            <w:r w:rsidRPr="0073424C">
              <w:rPr>
                <w:rFonts w:cs="Arial"/>
                <w:lang w:eastAsia="en-GB"/>
              </w:rPr>
              <w:br/>
              <w:t>- Plastic (PP/PE) pouch  </w:t>
            </w:r>
            <w:r w:rsidR="003438D5">
              <w:rPr>
                <w:rFonts w:cs="Arial"/>
                <w:lang w:eastAsia="en-GB"/>
              </w:rPr>
              <w:t>3</w:t>
            </w:r>
            <w:r>
              <w:rPr>
                <w:rFonts w:cs="Arial"/>
                <w:lang w:eastAsia="en-GB"/>
              </w:rPr>
              <w:t>-</w:t>
            </w:r>
            <w:r w:rsidRPr="0073424C">
              <w:rPr>
                <w:rFonts w:cs="Arial"/>
                <w:lang w:eastAsia="en-GB"/>
              </w:rPr>
              <w:t xml:space="preserve"> 20 kg</w:t>
            </w:r>
            <w:r w:rsidRPr="0073424C">
              <w:rPr>
                <w:rFonts w:cs="Arial"/>
                <w:lang w:eastAsia="en-GB"/>
              </w:rPr>
              <w:br/>
            </w:r>
            <w:r>
              <w:rPr>
                <w:rFonts w:cs="Arial"/>
                <w:lang w:eastAsia="en-GB"/>
              </w:rPr>
              <w:t xml:space="preserve">- </w:t>
            </w:r>
            <w:r w:rsidRPr="0073424C">
              <w:rPr>
                <w:rFonts w:cs="Arial"/>
                <w:lang w:eastAsia="en-GB"/>
              </w:rPr>
              <w:t>Carton containing prefilled PP/HDPE/PS bait stations </w:t>
            </w:r>
            <w:r w:rsidR="003438D5">
              <w:rPr>
                <w:rFonts w:cs="Arial"/>
                <w:lang w:eastAsia="en-GB"/>
              </w:rPr>
              <w:t>3</w:t>
            </w:r>
            <w:r>
              <w:rPr>
                <w:rFonts w:cs="Arial"/>
                <w:lang w:eastAsia="en-GB"/>
              </w:rPr>
              <w:t>-</w:t>
            </w:r>
            <w:r w:rsidRPr="0073424C">
              <w:rPr>
                <w:rFonts w:cs="Arial"/>
                <w:lang w:eastAsia="en-GB"/>
              </w:rPr>
              <w:t xml:space="preserve"> 10 kg</w:t>
            </w:r>
          </w:p>
        </w:tc>
      </w:tr>
    </w:tbl>
    <w:p w:rsidR="00421303" w:rsidRPr="00C038DE" w:rsidRDefault="00421303" w:rsidP="00421303">
      <w:pPr>
        <w:spacing w:line="260" w:lineRule="atLeast"/>
        <w:rPr>
          <w:rFonts w:eastAsia="Calibri" w:cs="Arial"/>
          <w:i/>
          <w:lang w:eastAsia="en-US"/>
        </w:rPr>
      </w:pPr>
    </w:p>
    <w:p w:rsidR="00421303" w:rsidRPr="00C038DE" w:rsidRDefault="00421303" w:rsidP="00421303">
      <w:pPr>
        <w:pStyle w:val="Kop4"/>
      </w:pPr>
      <w:r w:rsidRPr="00C038DE">
        <w:lastRenderedPageBreak/>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C038DE"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Remove the remaining product at the end of treatment period. (except when used for permanent baiting)</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product should be placed in the immediate vicinity of places where rodent activity has been previously explored (e.g. travel paths, nesting sites, feedlots, holes, burrows etc.).</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421303" w:rsidRPr="00177A62" w:rsidRDefault="00421303" w:rsidP="001D363E">
            <w:pPr>
              <w:spacing w:line="240" w:lineRule="auto"/>
              <w:rPr>
                <w:rFonts w:ascii="Helvetica" w:hAnsi="Helvetica" w:cs="Arial"/>
                <w:sz w:val="18"/>
                <w:szCs w:val="18"/>
                <w:lang w:eastAsia="en-GB"/>
              </w:rPr>
            </w:pPr>
            <w:r w:rsidRPr="00177A62">
              <w:rPr>
                <w:rFonts w:ascii="Helvetica" w:hAnsi="Helvetica" w:cs="Arial"/>
                <w:sz w:val="18"/>
                <w:szCs w:val="18"/>
                <w:lang w:eastAsia="en-GB"/>
              </w:rPr>
              <w:br/>
              <w:t>- When used in permanent baiting : Where possible, it is recommended that the treated area is revisited every 4 weeks at the latest in order to avoid any selection of a resistant population.</w:t>
            </w:r>
          </w:p>
          <w:p w:rsidR="00421303" w:rsidRPr="00177A62" w:rsidRDefault="00421303" w:rsidP="001D363E">
            <w:pPr>
              <w:spacing w:line="240" w:lineRule="auto"/>
              <w:rPr>
                <w:rFonts w:ascii="Helvetica" w:hAnsi="Helvetica" w:cs="Arial"/>
                <w:sz w:val="18"/>
                <w:szCs w:val="18"/>
                <w:lang w:eastAsia="en-GB"/>
              </w:rPr>
            </w:pPr>
          </w:p>
          <w:p w:rsidR="00421303" w:rsidRPr="00177A62" w:rsidRDefault="00421303" w:rsidP="001D363E">
            <w:pPr>
              <w:spacing w:line="240" w:lineRule="auto"/>
              <w:rPr>
                <w:rFonts w:ascii="Helvetica" w:hAnsi="Helvetica" w:cs="Arial"/>
                <w:sz w:val="18"/>
                <w:szCs w:val="18"/>
                <w:lang w:eastAsia="en-GB"/>
              </w:rPr>
            </w:pPr>
            <w:r w:rsidRPr="00177A62">
              <w:rPr>
                <w:rFonts w:ascii="Helvetica" w:hAnsi="Helvetica" w:cs="Arial"/>
                <w:sz w:val="18"/>
                <w:szCs w:val="18"/>
                <w:lang w:eastAsia="en-GB"/>
              </w:rPr>
              <w:t>Outdoor use around building:</w:t>
            </w:r>
          </w:p>
          <w:p w:rsidR="00A01433" w:rsidRDefault="00421303" w:rsidP="00A01433">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Protect bait from the atmospheric conditions. Place the baiting points in areas not liable to flooding.</w:t>
            </w:r>
            <w:r w:rsidRPr="00177A62">
              <w:rPr>
                <w:rFonts w:ascii="Helvetica" w:hAnsi="Helvetica" w:cs="Arial"/>
                <w:sz w:val="18"/>
                <w:szCs w:val="18"/>
                <w:lang w:eastAsia="en-GB"/>
              </w:rPr>
              <w:br/>
              <w:t>- Replace any bait in baiting points in which bait has been damaged by water or contaminated by dirt.</w:t>
            </w:r>
            <w:r w:rsidRPr="00177A62">
              <w:rPr>
                <w:rFonts w:ascii="Helvetica" w:hAnsi="Helvetica" w:cs="Arial"/>
                <w:sz w:val="18"/>
                <w:szCs w:val="18"/>
                <w:lang w:eastAsia="en-GB"/>
              </w:rPr>
              <w:br/>
              <w:t>- Baiting points must be covered and placed in strategic sites to minimise the exposure to non-target species.</w:t>
            </w:r>
          </w:p>
          <w:p w:rsidR="0064684B" w:rsidRDefault="0064684B" w:rsidP="0064684B">
            <w:pPr>
              <w:spacing w:after="128" w:line="240" w:lineRule="auto"/>
              <w:rPr>
                <w:rFonts w:ascii="Helvetica" w:hAnsi="Helvetica" w:cs="Arial"/>
                <w:sz w:val="18"/>
                <w:szCs w:val="18"/>
                <w:lang w:eastAsia="en-GB"/>
              </w:rPr>
            </w:pPr>
            <w:r>
              <w:rPr>
                <w:rFonts w:ascii="Helvetica" w:hAnsi="Helvetica" w:cs="Arial"/>
                <w:sz w:val="18"/>
                <w:szCs w:val="18"/>
                <w:lang w:eastAsia="en-GB"/>
              </w:rPr>
              <w:t xml:space="preserve">Burrow baiting: </w:t>
            </w:r>
          </w:p>
          <w:p w:rsidR="0064684B" w:rsidRPr="00177A62" w:rsidRDefault="0064684B" w:rsidP="0064684B">
            <w:pPr>
              <w:spacing w:after="128" w:line="240" w:lineRule="auto"/>
              <w:rPr>
                <w:rFonts w:ascii="Helvetica" w:hAnsi="Helvetica" w:cs="Arial"/>
                <w:sz w:val="18"/>
                <w:szCs w:val="18"/>
                <w:lang w:eastAsia="en-GB"/>
              </w:rPr>
            </w:pPr>
            <w:r>
              <w:rPr>
                <w:rFonts w:ascii="Helvetica" w:hAnsi="Helvetica" w:cs="Arial"/>
                <w:sz w:val="18"/>
                <w:szCs w:val="18"/>
                <w:lang w:eastAsia="en-GB"/>
              </w:rPr>
              <w:t>- Baits must be placed to minimise the exposure to non-target species and children.</w:t>
            </w:r>
            <w:r>
              <w:rPr>
                <w:rFonts w:ascii="Helvetica" w:hAnsi="Helvetica" w:cs="Arial"/>
                <w:sz w:val="18"/>
                <w:szCs w:val="18"/>
                <w:lang w:eastAsia="en-GB"/>
              </w:rPr>
              <w:br/>
              <w:t>- Cover or block the entrances of baited burrows to reduce the risks of bait being rejected and spilled.</w:t>
            </w:r>
            <w:r>
              <w:rPr>
                <w:rFonts w:ascii="Helvetica" w:hAnsi="Helvetica" w:cs="Arial"/>
                <w:sz w:val="18"/>
                <w:szCs w:val="18"/>
                <w:lang w:eastAsia="en-GB"/>
              </w:rPr>
              <w:br/>
              <w:t xml:space="preserve">- </w:t>
            </w:r>
            <w:r w:rsidRPr="00A01433">
              <w:rPr>
                <w:rFonts w:ascii="Helvetica" w:hAnsi="Helvetica" w:cs="Arial"/>
                <w:i/>
                <w:sz w:val="18"/>
                <w:szCs w:val="18"/>
                <w:lang w:eastAsia="en-GB"/>
              </w:rPr>
              <w:t>[When available]</w:t>
            </w:r>
            <w:r>
              <w:rPr>
                <w:rFonts w:ascii="Helvetica" w:hAnsi="Helvetica" w:cs="Arial"/>
                <w:sz w:val="18"/>
                <w:szCs w:val="18"/>
                <w:lang w:eastAsia="en-GB"/>
              </w:rPr>
              <w:t xml:space="preserve"> Follow any additional instructions provided by the relevant code of best practice.</w:t>
            </w:r>
          </w:p>
          <w:p w:rsidR="00421303" w:rsidRPr="00177A62" w:rsidRDefault="00421303" w:rsidP="001D363E">
            <w:pPr>
              <w:spacing w:line="240" w:lineRule="auto"/>
              <w:rPr>
                <w:rFonts w:cs="Arial"/>
              </w:rPr>
            </w:pPr>
          </w:p>
        </w:tc>
      </w:tr>
    </w:tbl>
    <w:p w:rsidR="00421303" w:rsidRPr="00C038DE" w:rsidRDefault="00421303" w:rsidP="00421303">
      <w:pPr>
        <w:rPr>
          <w:rFonts w:cs="Arial"/>
        </w:rPr>
      </w:pPr>
    </w:p>
    <w:p w:rsidR="00421303" w:rsidRPr="00C038DE" w:rsidRDefault="00421303" w:rsidP="00421303">
      <w:pPr>
        <w:pStyle w:val="Kop4"/>
      </w:pPr>
      <w:r w:rsidRPr="00C038DE">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C038DE"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spacing w:after="128" w:line="240" w:lineRule="auto"/>
              <w:rPr>
                <w:rFonts w:ascii="Helvetica" w:hAnsi="Helvetica" w:cs="Arial"/>
                <w:sz w:val="18"/>
                <w:szCs w:val="18"/>
                <w:lang w:eastAsia="en-GB"/>
              </w:rPr>
            </w:pPr>
            <w:r w:rsidRPr="00C038DE">
              <w:rPr>
                <w:rFonts w:ascii="Helvetica" w:hAnsi="Helvetica" w:cs="Arial"/>
                <w:sz w:val="18"/>
                <w:szCs w:val="18"/>
                <w:lang w:eastAsia="en-GB"/>
              </w:rPr>
              <w:br/>
            </w:r>
            <w:r w:rsidRPr="006333A9">
              <w:rPr>
                <w:rFonts w:ascii="Helvetica" w:hAnsi="Helvetica" w:cs="Arial"/>
                <w:sz w:val="18"/>
                <w:szCs w:val="18"/>
                <w:highlight w:val="yellow"/>
                <w:lang w:eastAsia="en-GB"/>
              </w:rPr>
              <w:t xml:space="preserve">- </w:t>
            </w:r>
            <w:r w:rsidRPr="00177A62">
              <w:rPr>
                <w:rFonts w:ascii="Helvetica" w:hAnsi="Helvetica" w:cs="Arial"/>
                <w:sz w:val="18"/>
                <w:szCs w:val="18"/>
                <w:lang w:eastAsia="en-GB"/>
              </w:rPr>
              <w:t xml:space="preserve">To reduce risk of secondary poisoning, search for and remove dead rodents during treatment at frequent intervals, in line with the recommendations provided by the relevant code of best practice. </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Permanent baiting is strictly limited to sites with a high potential for reinvasion when other methods of control have proven insufficient.</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permanent baiting strategy shall be periodically reviewed in the context of integrated pest management (IPM) and the assessment of the risk for re-infestation.</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Do not use in areas where resistance to the active substance can be suspected.</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xml:space="preserve">- Products shall not be used beyond 35 days without an evaluation of the state of the infestation and of the efficacy of the treatment [unless in case of permanent baiting treatments]. </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Do not rotate the use of different anticoagulants with comparable or weaker potency for resistance management purposes. For rotational use, consider using a non-anticoagulant rodenticide, if available, or a more potent anticoagulant.</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xml:space="preserve">- Do not wash the bait stations or utensils used in covered and protected bait points with water between </w:t>
            </w:r>
            <w:r w:rsidRPr="00177A62">
              <w:rPr>
                <w:rFonts w:ascii="Helvetica" w:hAnsi="Helvetica" w:cs="Arial"/>
                <w:sz w:val="18"/>
                <w:szCs w:val="18"/>
                <w:lang w:eastAsia="en-GB"/>
              </w:rPr>
              <w:lastRenderedPageBreak/>
              <w:t>applications.</w:t>
            </w:r>
          </w:p>
          <w:p w:rsidR="005579F2" w:rsidRPr="00177A62" w:rsidRDefault="005579F2" w:rsidP="001D363E">
            <w:pPr>
              <w:spacing w:after="128" w:line="240" w:lineRule="auto"/>
              <w:rPr>
                <w:rFonts w:ascii="Helvetica" w:hAnsi="Helvetica" w:cs="Arial"/>
                <w:sz w:val="18"/>
                <w:szCs w:val="18"/>
                <w:lang w:eastAsia="en-GB"/>
              </w:rPr>
            </w:pPr>
            <w:r w:rsidRPr="00177A62">
              <w:rPr>
                <w:rFonts w:ascii="Helvetica" w:hAnsi="Helvetica" w:cs="Arial"/>
                <w:color w:val="333333"/>
                <w:sz w:val="18"/>
                <w:szCs w:val="18"/>
              </w:rPr>
              <w:t>-Do not use this product in pulsed baiting treatments</w:t>
            </w:r>
          </w:p>
          <w:p w:rsidR="00421303" w:rsidRPr="00C038DE" w:rsidRDefault="00421303" w:rsidP="00421303">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Consider preventive control measures (e.g. plug holes, remove potential food and drinking as far as possible) to improve product intake and reduce the likelihood of reinvasion.</w:t>
            </w:r>
          </w:p>
        </w:tc>
      </w:tr>
    </w:tbl>
    <w:p w:rsidR="00421303" w:rsidRPr="00C038DE" w:rsidRDefault="00421303" w:rsidP="00421303">
      <w:pPr>
        <w:rPr>
          <w:rFonts w:cs="Arial"/>
        </w:rPr>
      </w:pPr>
    </w:p>
    <w:p w:rsidR="00421303" w:rsidRPr="00C038DE" w:rsidRDefault="00421303" w:rsidP="00421303">
      <w:pPr>
        <w:pStyle w:val="Kop4"/>
      </w:pPr>
      <w:r w:rsidRPr="00C038DE">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C038DE"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spacing w:after="128" w:line="240" w:lineRule="auto"/>
              <w:rPr>
                <w:rFonts w:ascii="Helvetica" w:hAnsi="Helvetica" w:cs="Arial"/>
                <w:sz w:val="18"/>
                <w:szCs w:val="18"/>
                <w:lang w:eastAsia="en-GB"/>
              </w:rPr>
            </w:pPr>
            <w:r>
              <w:rPr>
                <w:rFonts w:ascii="Helvetica" w:hAnsi="Helvetica" w:cs="Arial"/>
                <w:sz w:val="18"/>
                <w:szCs w:val="18"/>
                <w:lang w:eastAsia="en-GB"/>
              </w:rPr>
              <w:t>For i</w:t>
            </w:r>
            <w:r w:rsidRPr="00C038DE">
              <w:rPr>
                <w:rFonts w:ascii="Helvetica" w:hAnsi="Helvetica" w:cs="Arial"/>
                <w:sz w:val="18"/>
                <w:szCs w:val="18"/>
                <w:lang w:eastAsia="en-GB"/>
              </w:rPr>
              <w:t>ndoor</w:t>
            </w:r>
            <w:r>
              <w:rPr>
                <w:rFonts w:ascii="Helvetica" w:hAnsi="Helvetica" w:cs="Arial"/>
                <w:sz w:val="18"/>
                <w:szCs w:val="18"/>
                <w:lang w:eastAsia="en-GB"/>
              </w:rPr>
              <w:t xml:space="preserve"> use</w:t>
            </w:r>
            <w:r w:rsidRPr="00C038DE">
              <w:rPr>
                <w:rFonts w:ascii="Helvetica" w:hAnsi="Helvetica" w:cs="Arial"/>
                <w:sz w:val="18"/>
                <w:szCs w:val="18"/>
                <w:lang w:eastAsia="en-GB"/>
              </w:rPr>
              <w:t>:</w:t>
            </w:r>
            <w:r w:rsidRPr="00C038DE">
              <w:rPr>
                <w:rFonts w:ascii="Helvetica" w:hAnsi="Helvetica" w:cs="Arial"/>
                <w:sz w:val="18"/>
                <w:szCs w:val="18"/>
                <w:lang w:eastAsia="en-GB"/>
              </w:rPr>
              <w:br/>
            </w:r>
            <w:r w:rsidRPr="00177A62">
              <w:rPr>
                <w:rFonts w:ascii="Helvetica" w:hAnsi="Helvetica" w:cs="Arial"/>
                <w:sz w:val="18"/>
                <w:szCs w:val="18"/>
                <w:lang w:eastAsia="en-GB"/>
              </w:rPr>
              <w:t>- When placing bait stations close to water drainage systems, ensure that bait contact with water is avoided.</w:t>
            </w:r>
          </w:p>
          <w:p w:rsidR="00421303" w:rsidRPr="00C038DE" w:rsidRDefault="00421303" w:rsidP="00421303">
            <w:pPr>
              <w:spacing w:line="240" w:lineRule="auto"/>
              <w:rPr>
                <w:rFonts w:ascii="Helvetica" w:hAnsi="Helvetica" w:cs="Arial"/>
                <w:sz w:val="18"/>
                <w:szCs w:val="18"/>
                <w:lang w:eastAsia="en-GB"/>
              </w:rPr>
            </w:pPr>
            <w:r w:rsidRPr="00177A62">
              <w:rPr>
                <w:rFonts w:ascii="Helvetica" w:hAnsi="Helvetica" w:cs="Arial"/>
                <w:sz w:val="18"/>
                <w:szCs w:val="18"/>
                <w:lang w:eastAsia="en-GB"/>
              </w:rPr>
              <w:t>For use around buildings:</w:t>
            </w:r>
            <w:r w:rsidRPr="00177A62">
              <w:rPr>
                <w:rFonts w:ascii="Helvetica" w:hAnsi="Helvetica" w:cs="Arial"/>
                <w:sz w:val="18"/>
                <w:szCs w:val="18"/>
                <w:lang w:eastAsia="en-GB"/>
              </w:rPr>
              <w:br/>
              <w:t>- When placing bait stations close to surface waters (e.g. rivers, ponds, water channels, dykes, irrigation ditches) or water drainage systems, ensure that bait contact with water is avoided.</w:t>
            </w:r>
          </w:p>
        </w:tc>
      </w:tr>
    </w:tbl>
    <w:p w:rsidR="00421303" w:rsidRPr="00C038DE" w:rsidRDefault="00421303" w:rsidP="00421303">
      <w:pPr>
        <w:rPr>
          <w:rFonts w:cs="Arial"/>
        </w:rPr>
      </w:pPr>
    </w:p>
    <w:p w:rsidR="00421303" w:rsidRPr="00C038DE" w:rsidRDefault="00421303" w:rsidP="00421303">
      <w:pPr>
        <w:pStyle w:val="Kop4"/>
      </w:pPr>
      <w:r w:rsidRPr="00C038DE">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C038DE"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4061A6" w:rsidRDefault="00421303" w:rsidP="001D363E">
            <w:pPr>
              <w:rPr>
                <w:rFonts w:cs="Arial"/>
              </w:rPr>
            </w:pPr>
            <w:r w:rsidRPr="00C038DE">
              <w:rPr>
                <w:rFonts w:ascii="Helvetica" w:hAnsi="Helvetica" w:cs="Arial"/>
                <w:sz w:val="18"/>
                <w:szCs w:val="18"/>
                <w:lang w:eastAsia="en-GB"/>
              </w:rPr>
              <w:t>See general instructions</w:t>
            </w:r>
            <w:r>
              <w:rPr>
                <w:rFonts w:ascii="Helvetica" w:hAnsi="Helvetica" w:cs="Arial"/>
                <w:sz w:val="18"/>
                <w:szCs w:val="18"/>
                <w:lang w:eastAsia="en-GB"/>
              </w:rPr>
              <w:t xml:space="preserve"> for use</w:t>
            </w:r>
          </w:p>
        </w:tc>
      </w:tr>
    </w:tbl>
    <w:p w:rsidR="00421303" w:rsidRPr="00C038DE" w:rsidRDefault="00421303" w:rsidP="00421303">
      <w:pPr>
        <w:pStyle w:val="Kop4"/>
      </w:pPr>
      <w:r w:rsidRPr="00C038DE">
        <w:t>Where specific to the use, the conditions of storage and shelf-life of the product under normal conditions of storage</w:t>
      </w:r>
    </w:p>
    <w:tbl>
      <w:tblPr>
        <w:tblpPr w:leftFromText="180" w:rightFromText="180" w:vertAnchor="text" w:tblpY="269"/>
        <w:tblW w:w="0" w:type="auto"/>
        <w:tblLayout w:type="fixed"/>
        <w:tblCellMar>
          <w:left w:w="0" w:type="dxa"/>
          <w:right w:w="0" w:type="dxa"/>
        </w:tblCellMar>
        <w:tblLook w:val="0000" w:firstRow="0" w:lastRow="0" w:firstColumn="0" w:lastColumn="0" w:noHBand="0" w:noVBand="0"/>
      </w:tblPr>
      <w:tblGrid>
        <w:gridCol w:w="9026"/>
      </w:tblGrid>
      <w:tr w:rsidR="00421303" w:rsidRPr="00C038DE"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C038DE" w:rsidRDefault="00421303" w:rsidP="001D363E">
            <w:pPr>
              <w:rPr>
                <w:rFonts w:ascii="Helvetica" w:hAnsi="Helvetica" w:cs="Arial"/>
                <w:sz w:val="18"/>
                <w:szCs w:val="18"/>
                <w:lang w:eastAsia="en-GB"/>
              </w:rPr>
            </w:pPr>
            <w:r w:rsidRPr="00C038DE">
              <w:rPr>
                <w:rFonts w:ascii="Helvetica" w:hAnsi="Helvetica" w:cs="Arial"/>
                <w:sz w:val="18"/>
                <w:szCs w:val="18"/>
                <w:lang w:eastAsia="en-GB"/>
              </w:rPr>
              <w:t>See general instructions</w:t>
            </w:r>
            <w:r>
              <w:rPr>
                <w:rFonts w:ascii="Helvetica" w:hAnsi="Helvetica" w:cs="Arial"/>
                <w:sz w:val="18"/>
                <w:szCs w:val="18"/>
                <w:lang w:eastAsia="en-GB"/>
              </w:rPr>
              <w:t xml:space="preserve"> for use</w:t>
            </w:r>
          </w:p>
          <w:p w:rsidR="00421303" w:rsidRPr="004061A6" w:rsidRDefault="00421303" w:rsidP="001D363E">
            <w:pPr>
              <w:rPr>
                <w:rFonts w:cs="Arial"/>
              </w:rPr>
            </w:pPr>
          </w:p>
        </w:tc>
      </w:tr>
    </w:tbl>
    <w:p w:rsidR="00421303" w:rsidRPr="00C038DE" w:rsidRDefault="00421303" w:rsidP="00421303"/>
    <w:p w:rsidR="00421303" w:rsidRDefault="00421303">
      <w:pPr>
        <w:spacing w:line="240" w:lineRule="auto"/>
        <w:rPr>
          <w:rFonts w:cs="Arial"/>
          <w:b/>
          <w:bCs/>
          <w:sz w:val="24"/>
          <w:szCs w:val="26"/>
        </w:rPr>
      </w:pPr>
      <w:r>
        <w:br w:type="page"/>
      </w:r>
    </w:p>
    <w:p w:rsidR="00B0025A" w:rsidRPr="00C038DE" w:rsidRDefault="00B0025A" w:rsidP="00B0025A">
      <w:pPr>
        <w:pStyle w:val="Kop3"/>
      </w:pPr>
      <w:r w:rsidRPr="00C038DE">
        <w:lastRenderedPageBreak/>
        <w:t xml:space="preserve">Use </w:t>
      </w:r>
      <w:r w:rsidR="00421303">
        <w:t>3</w:t>
      </w:r>
      <w:r w:rsidRPr="00C038DE">
        <w:t xml:space="preserve"> appropriate for </w:t>
      </w:r>
      <w:r w:rsidRPr="00C038DE">
        <w:rPr>
          <w:u w:val="single"/>
        </w:rPr>
        <w:t>further</w:t>
      </w:r>
      <w:r w:rsidRPr="00C038DE">
        <w:t xml:space="preserve"> authorisation –</w:t>
      </w:r>
      <w:r w:rsidR="00511226">
        <w:t>House mice and rats- p</w:t>
      </w:r>
      <w:r w:rsidRPr="00C038DE">
        <w:t>rofessionals</w:t>
      </w:r>
      <w:r w:rsidR="00511226">
        <w:t>- in and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061A6" w:rsidRPr="00C038DE" w:rsidTr="000447A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B0025A" w:rsidRPr="004061A6" w:rsidRDefault="00B0025A" w:rsidP="000447A1">
            <w:pPr>
              <w:spacing w:line="260" w:lineRule="atLeast"/>
              <w:rPr>
                <w:rFonts w:eastAsia="Calibri" w:cs="Arial"/>
                <w:bCs/>
                <w:lang w:val="de-DE" w:eastAsia="en-US"/>
              </w:rPr>
            </w:pPr>
            <w:r w:rsidRPr="004061A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B0025A" w:rsidRPr="004061A6" w:rsidRDefault="00B0025A" w:rsidP="000447A1">
            <w:pPr>
              <w:spacing w:line="260" w:lineRule="atLeast"/>
              <w:rPr>
                <w:rFonts w:eastAsia="Calibri" w:cs="Arial"/>
                <w:bCs/>
                <w:lang w:val="de-DE" w:eastAsia="en-US"/>
              </w:rPr>
            </w:pPr>
            <w:r w:rsidRPr="004061A6">
              <w:rPr>
                <w:rFonts w:cs="Arial"/>
              </w:rPr>
              <w:t>14</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C038DE" w:rsidRDefault="00B0025A" w:rsidP="000447A1">
            <w:pPr>
              <w:spacing w:line="260" w:lineRule="atLeast"/>
              <w:rPr>
                <w:rFonts w:eastAsia="Calibri" w:cs="Arial"/>
                <w:bCs/>
                <w:lang w:val="en-US" w:eastAsia="en-US"/>
              </w:rPr>
            </w:pPr>
            <w:r w:rsidRPr="00C038DE">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0025A" w:rsidRPr="00C038DE" w:rsidRDefault="00B0025A" w:rsidP="000447A1">
            <w:pPr>
              <w:spacing w:line="260" w:lineRule="atLeast"/>
              <w:rPr>
                <w:rFonts w:eastAsia="Calibri" w:cs="Arial"/>
                <w:bCs/>
                <w:lang w:eastAsia="en-US"/>
              </w:rPr>
            </w:pP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C038DE" w:rsidRDefault="00B0025A" w:rsidP="000447A1">
            <w:pPr>
              <w:spacing w:line="260" w:lineRule="atLeast"/>
              <w:rPr>
                <w:rFonts w:eastAsia="Calibri" w:cs="Arial"/>
                <w:bCs/>
                <w:lang w:val="en-US" w:eastAsia="en-US"/>
              </w:rPr>
            </w:pPr>
            <w:r w:rsidRPr="00C038D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0025A" w:rsidRPr="00C038DE" w:rsidRDefault="00B0025A" w:rsidP="000447A1">
            <w:pPr>
              <w:spacing w:line="260" w:lineRule="atLeast"/>
              <w:rPr>
                <w:rFonts w:eastAsia="Calibri" w:cs="Arial"/>
                <w:bCs/>
                <w:lang w:eastAsia="en-US"/>
              </w:rPr>
            </w:pPr>
            <w:r w:rsidRPr="00C038DE">
              <w:rPr>
                <w:rFonts w:eastAsia="Calibri" w:cs="Arial"/>
                <w:bCs/>
                <w:i/>
                <w:lang w:eastAsia="en-US"/>
              </w:rPr>
              <w:t>Mus musculus</w:t>
            </w:r>
            <w:r w:rsidRPr="00C038DE">
              <w:rPr>
                <w:rFonts w:eastAsia="Calibri" w:cs="Arial"/>
                <w:bCs/>
                <w:lang w:eastAsia="en-US"/>
              </w:rPr>
              <w:t xml:space="preserve"> (House mouse – all development stages)</w:t>
            </w:r>
          </w:p>
          <w:p w:rsidR="00B0025A" w:rsidRPr="00C038DE" w:rsidRDefault="00B0025A" w:rsidP="000447A1">
            <w:pPr>
              <w:spacing w:line="260" w:lineRule="atLeast"/>
              <w:rPr>
                <w:rFonts w:eastAsia="Calibri" w:cs="Arial"/>
                <w:bCs/>
                <w:lang w:eastAsia="en-US"/>
              </w:rPr>
            </w:pPr>
            <w:r w:rsidRPr="00C038DE">
              <w:rPr>
                <w:rFonts w:eastAsia="Calibri" w:cs="Arial"/>
                <w:bCs/>
                <w:i/>
                <w:lang w:eastAsia="en-US"/>
              </w:rPr>
              <w:t>Rattus rattus</w:t>
            </w:r>
            <w:r w:rsidRPr="00C038DE">
              <w:rPr>
                <w:rFonts w:eastAsia="Calibri" w:cs="Arial"/>
                <w:bCs/>
                <w:lang w:eastAsia="en-US"/>
              </w:rPr>
              <w:t xml:space="preserve"> (Black/roof rat – all development stages)</w:t>
            </w:r>
          </w:p>
          <w:p w:rsidR="00B0025A" w:rsidRPr="00C038DE" w:rsidRDefault="00B0025A" w:rsidP="000447A1">
            <w:pPr>
              <w:spacing w:line="260" w:lineRule="atLeast"/>
              <w:rPr>
                <w:rFonts w:eastAsia="Calibri" w:cs="Arial"/>
                <w:bCs/>
                <w:lang w:eastAsia="en-US"/>
              </w:rPr>
            </w:pPr>
            <w:r w:rsidRPr="00C038DE">
              <w:rPr>
                <w:rFonts w:eastAsia="Calibri" w:cs="Arial"/>
                <w:bCs/>
                <w:i/>
                <w:lang w:eastAsia="en-US"/>
              </w:rPr>
              <w:t>Rattus norvegicus</w:t>
            </w:r>
            <w:r w:rsidRPr="00C038DE">
              <w:rPr>
                <w:rFonts w:eastAsia="Calibri" w:cs="Arial"/>
                <w:bCs/>
                <w:lang w:eastAsia="en-US"/>
              </w:rPr>
              <w:t xml:space="preserve"> (Brown rat – all development stages)</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C038DE" w:rsidRDefault="00B0025A" w:rsidP="000447A1">
            <w:pPr>
              <w:spacing w:line="260" w:lineRule="atLeast"/>
              <w:rPr>
                <w:rFonts w:eastAsia="Calibri" w:cs="Arial"/>
                <w:bCs/>
                <w:lang w:val="de-DE" w:eastAsia="en-US"/>
              </w:rPr>
            </w:pPr>
            <w:r w:rsidRPr="00C038DE">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0025A" w:rsidRPr="00C038DE" w:rsidRDefault="00B0025A" w:rsidP="000447A1">
            <w:pPr>
              <w:spacing w:line="260" w:lineRule="atLeast"/>
              <w:rPr>
                <w:rFonts w:eastAsia="Calibri" w:cs="Arial"/>
                <w:bCs/>
                <w:lang w:eastAsia="en-US"/>
              </w:rPr>
            </w:pPr>
            <w:r w:rsidRPr="00C038DE">
              <w:rPr>
                <w:rFonts w:eastAsia="Calibri" w:cs="Arial"/>
                <w:bCs/>
                <w:lang w:eastAsia="en-US"/>
              </w:rPr>
              <w:t>Indoor</w:t>
            </w:r>
          </w:p>
          <w:p w:rsidR="00B0025A" w:rsidRPr="00C038DE" w:rsidRDefault="00B0025A" w:rsidP="00726267">
            <w:pPr>
              <w:spacing w:line="260" w:lineRule="atLeast"/>
              <w:rPr>
                <w:rFonts w:eastAsia="Calibri" w:cs="Arial"/>
                <w:bCs/>
                <w:lang w:eastAsia="en-US"/>
              </w:rPr>
            </w:pPr>
            <w:r w:rsidRPr="00C038DE">
              <w:rPr>
                <w:rFonts w:eastAsia="Calibri" w:cs="Arial"/>
                <w:bCs/>
                <w:lang w:eastAsia="en-US"/>
              </w:rPr>
              <w:t xml:space="preserve">Outdoor </w:t>
            </w:r>
            <w:r w:rsidR="00726267">
              <w:rPr>
                <w:rFonts w:eastAsia="Calibri" w:cs="Arial"/>
                <w:bCs/>
                <w:lang w:eastAsia="en-US"/>
              </w:rPr>
              <w:t>a</w:t>
            </w:r>
            <w:r w:rsidRPr="00C038DE">
              <w:rPr>
                <w:rFonts w:eastAsia="Calibri" w:cs="Arial"/>
                <w:bCs/>
                <w:lang w:eastAsia="en-US"/>
              </w:rPr>
              <w:t>round buildings</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C038DE" w:rsidRDefault="00B0025A" w:rsidP="000447A1">
            <w:pPr>
              <w:spacing w:line="260" w:lineRule="atLeast"/>
              <w:rPr>
                <w:rFonts w:eastAsia="Calibri" w:cs="Arial"/>
                <w:bCs/>
                <w:lang w:val="de-DE" w:eastAsia="en-US"/>
              </w:rPr>
            </w:pPr>
            <w:r w:rsidRPr="00C038DE">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0025A" w:rsidRPr="004061A6" w:rsidRDefault="00B0025A" w:rsidP="00A31A32">
            <w:pPr>
              <w:spacing w:line="260" w:lineRule="atLeast"/>
              <w:rPr>
                <w:rFonts w:eastAsia="Calibri" w:cs="Arial"/>
                <w:bCs/>
                <w:lang w:eastAsia="en-US"/>
              </w:rPr>
            </w:pPr>
            <w:r w:rsidRPr="00C038DE">
              <w:rPr>
                <w:rFonts w:ascii="Helvetica" w:hAnsi="Helvetica" w:cs="Arial"/>
                <w:sz w:val="18"/>
                <w:szCs w:val="18"/>
              </w:rPr>
              <w:t xml:space="preserve">Ready-to-use bait to be used in </w:t>
            </w:r>
            <w:r w:rsidR="00A31A32">
              <w:rPr>
                <w:rFonts w:ascii="Helvetica" w:hAnsi="Helvetica" w:cs="Arial"/>
                <w:sz w:val="18"/>
                <w:szCs w:val="18"/>
              </w:rPr>
              <w:t xml:space="preserve">tamper-resistant </w:t>
            </w:r>
            <w:r w:rsidRPr="00C038DE">
              <w:rPr>
                <w:rFonts w:ascii="Helvetica" w:hAnsi="Helvetica" w:cs="Arial"/>
                <w:sz w:val="18"/>
                <w:szCs w:val="18"/>
              </w:rPr>
              <w:t>bait stations </w:t>
            </w:r>
            <w:r w:rsidR="00A31A32" w:rsidRPr="00C038DE" w:rsidDel="00A31A32">
              <w:rPr>
                <w:rFonts w:ascii="Helvetica" w:hAnsi="Helvetica" w:cs="Arial"/>
                <w:sz w:val="18"/>
                <w:szCs w:val="18"/>
              </w:rPr>
              <w:t xml:space="preserve"> </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C038DE" w:rsidRDefault="00B0025A" w:rsidP="000447A1">
            <w:pPr>
              <w:spacing w:line="260" w:lineRule="atLeast"/>
              <w:rPr>
                <w:rFonts w:eastAsia="Calibri" w:cs="Arial"/>
                <w:bCs/>
                <w:lang w:val="en-US" w:eastAsia="en-US"/>
              </w:rPr>
            </w:pPr>
            <w:r w:rsidRPr="00C038DE">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11226" w:rsidRPr="006B0405" w:rsidRDefault="00511226" w:rsidP="00511226">
            <w:pPr>
              <w:shd w:val="clear" w:color="auto" w:fill="FFFFFF"/>
              <w:spacing w:after="128" w:line="240" w:lineRule="auto"/>
              <w:rPr>
                <w:rFonts w:cs="Arial"/>
                <w:szCs w:val="18"/>
                <w:lang w:eastAsia="en-GB"/>
              </w:rPr>
            </w:pPr>
            <w:r>
              <w:t>Mice: 30-50</w:t>
            </w:r>
            <w:r w:rsidRPr="00F509E7">
              <w:t xml:space="preserve"> g of bait per bait station. </w:t>
            </w:r>
            <w:r>
              <w:t xml:space="preserve">If more than one </w:t>
            </w:r>
            <w:r w:rsidRPr="00F509E7">
              <w:t>bait station</w:t>
            </w:r>
            <w:r>
              <w:t xml:space="preserve"> is needed, the minimum distance between bait stations should be of 1-3 </w:t>
            </w:r>
            <w:r w:rsidRPr="00F509E7">
              <w:t>m</w:t>
            </w:r>
            <w:r>
              <w:t>eters.</w:t>
            </w:r>
          </w:p>
          <w:p w:rsidR="00511226" w:rsidRDefault="00511226" w:rsidP="00511226"/>
          <w:p w:rsidR="00511226" w:rsidRDefault="00511226" w:rsidP="00511226">
            <w:pPr>
              <w:shd w:val="clear" w:color="auto" w:fill="FFFFFF"/>
              <w:spacing w:after="128" w:line="240" w:lineRule="auto"/>
            </w:pPr>
            <w:r>
              <w:t>Rats: 100-200</w:t>
            </w:r>
            <w:r w:rsidRPr="00F509E7">
              <w:t xml:space="preserve"> g of bait per bait station. </w:t>
            </w:r>
            <w:r>
              <w:t xml:space="preserve">If more than one </w:t>
            </w:r>
            <w:r w:rsidRPr="00F509E7">
              <w:t>bait station</w:t>
            </w:r>
            <w:r>
              <w:t xml:space="preserve"> is needed, the minimum distance between bait stations should be of 4-10 </w:t>
            </w:r>
            <w:r w:rsidRPr="00F509E7">
              <w:t>m</w:t>
            </w:r>
            <w:r>
              <w:t>eters.</w:t>
            </w:r>
          </w:p>
          <w:p w:rsidR="00511226" w:rsidRDefault="00511226" w:rsidP="00511226">
            <w:pPr>
              <w:shd w:val="clear" w:color="auto" w:fill="FFFFFF"/>
              <w:spacing w:after="128" w:line="240" w:lineRule="auto"/>
              <w:rPr>
                <w:rFonts w:ascii="Helvetica" w:hAnsi="Helvetica" w:cs="Arial"/>
                <w:sz w:val="18"/>
                <w:szCs w:val="18"/>
                <w:lang w:eastAsia="en-GB"/>
              </w:rPr>
            </w:pPr>
          </w:p>
          <w:p w:rsidR="00B0025A" w:rsidRPr="00C038DE" w:rsidRDefault="00B0025A" w:rsidP="001967AF">
            <w:pPr>
              <w:shd w:val="clear" w:color="auto" w:fill="FFFFFF"/>
              <w:spacing w:after="128" w:line="240" w:lineRule="auto"/>
              <w:rPr>
                <w:rFonts w:ascii="Helvetica" w:hAnsi="Helvetica" w:cs="Arial"/>
                <w:sz w:val="18"/>
                <w:szCs w:val="18"/>
                <w:lang w:eastAsia="en-GB"/>
              </w:rPr>
            </w:pP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C038DE" w:rsidRDefault="00B0025A" w:rsidP="000447A1">
            <w:pPr>
              <w:spacing w:line="260" w:lineRule="atLeast"/>
              <w:rPr>
                <w:rFonts w:eastAsia="Calibri" w:cs="Arial"/>
                <w:bCs/>
                <w:lang w:eastAsia="en-US"/>
              </w:rPr>
            </w:pPr>
            <w:r w:rsidRPr="00C038DE">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0025A" w:rsidRPr="00C038DE" w:rsidRDefault="00952A22" w:rsidP="000447A1">
            <w:pPr>
              <w:spacing w:line="260" w:lineRule="atLeast"/>
              <w:rPr>
                <w:rFonts w:eastAsia="Calibri" w:cs="Arial"/>
                <w:bCs/>
                <w:lang w:eastAsia="en-US"/>
              </w:rPr>
            </w:pPr>
            <w:r w:rsidRPr="00C038DE">
              <w:rPr>
                <w:rFonts w:eastAsia="Calibri" w:cs="Arial"/>
                <w:bCs/>
                <w:lang w:eastAsia="en-US"/>
              </w:rPr>
              <w:t>P</w:t>
            </w:r>
            <w:r w:rsidR="00B0025A" w:rsidRPr="00C038DE">
              <w:rPr>
                <w:rFonts w:eastAsia="Calibri" w:cs="Arial"/>
                <w:bCs/>
                <w:lang w:eastAsia="en-US"/>
              </w:rPr>
              <w:t>rofessionals</w:t>
            </w:r>
          </w:p>
        </w:tc>
      </w:tr>
      <w:tr w:rsidR="00B0025A"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0025A" w:rsidRPr="004061A6" w:rsidRDefault="00B0025A" w:rsidP="000447A1">
            <w:pPr>
              <w:spacing w:line="260" w:lineRule="atLeast"/>
              <w:rPr>
                <w:rFonts w:eastAsia="Calibri" w:cs="Arial"/>
                <w:bCs/>
                <w:lang w:val="en-US" w:eastAsia="en-US"/>
              </w:rPr>
            </w:pPr>
            <w:r w:rsidRPr="00C038DE">
              <w:rPr>
                <w:rFonts w:eastAsia="Calibri" w:cs="Arial"/>
                <w:bCs/>
                <w:lang w:eastAsia="en-US"/>
              </w:rPr>
              <w:t>Pack sizes and packaging material</w:t>
            </w:r>
            <w:r w:rsidRPr="004061A6">
              <w:rPr>
                <w:rStyle w:val="Voetnootmarkering"/>
                <w:rFonts w:eastAsia="Calibri" w:cs="Arial"/>
                <w:bCs/>
                <w:lang w:eastAsia="en-US"/>
              </w:rPr>
              <w:footnoteReference w:id="4"/>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0025A" w:rsidRPr="00C038DE" w:rsidRDefault="00B0025A" w:rsidP="000447A1">
            <w:pPr>
              <w:shd w:val="clear" w:color="auto" w:fill="FFFFFF"/>
              <w:spacing w:after="128" w:line="240" w:lineRule="auto"/>
              <w:rPr>
                <w:rFonts w:ascii="Helvetica" w:hAnsi="Helvetica" w:cs="Arial"/>
                <w:sz w:val="18"/>
                <w:szCs w:val="18"/>
                <w:lang w:eastAsia="en-GB"/>
              </w:rPr>
            </w:pPr>
            <w:r w:rsidRPr="00C038DE">
              <w:rPr>
                <w:rFonts w:ascii="Helvetica" w:hAnsi="Helvetica" w:cs="Arial"/>
                <w:sz w:val="18"/>
                <w:szCs w:val="18"/>
                <w:lang w:eastAsia="en-GB"/>
              </w:rPr>
              <w:t>Paper bag</w:t>
            </w:r>
            <w:r w:rsidR="001F20DA">
              <w:rPr>
                <w:rFonts w:ascii="Helvetica" w:hAnsi="Helvetica" w:cs="Arial"/>
                <w:sz w:val="18"/>
                <w:szCs w:val="18"/>
                <w:lang w:eastAsia="en-GB"/>
              </w:rPr>
              <w:t xml:space="preserve"> or </w:t>
            </w:r>
            <w:r w:rsidRPr="00C038DE">
              <w:rPr>
                <w:rFonts w:ascii="Helvetica" w:hAnsi="Helvetica" w:cs="Arial"/>
                <w:sz w:val="18"/>
                <w:szCs w:val="18"/>
                <w:lang w:eastAsia="en-GB"/>
              </w:rPr>
              <w:t xml:space="preserve">PP sachet: </w:t>
            </w:r>
            <w:r w:rsidR="00366607">
              <w:rPr>
                <w:rFonts w:ascii="Helvetica" w:hAnsi="Helvetica" w:cs="Arial"/>
                <w:sz w:val="18"/>
                <w:szCs w:val="18"/>
                <w:lang w:eastAsia="en-GB"/>
              </w:rPr>
              <w:t>20</w:t>
            </w:r>
            <w:r w:rsidRPr="00C038DE">
              <w:rPr>
                <w:rFonts w:ascii="Helvetica" w:hAnsi="Helvetica" w:cs="Arial"/>
                <w:sz w:val="18"/>
                <w:szCs w:val="18"/>
                <w:lang w:eastAsia="en-GB"/>
              </w:rPr>
              <w:t xml:space="preserve"> to 40 g </w:t>
            </w:r>
            <w:r w:rsidR="001F20DA">
              <w:rPr>
                <w:rFonts w:ascii="Helvetica" w:hAnsi="Helvetica" w:cs="Arial"/>
                <w:sz w:val="18"/>
                <w:szCs w:val="18"/>
                <w:lang w:eastAsia="en-GB"/>
              </w:rPr>
              <w:t>further packed in</w:t>
            </w:r>
          </w:p>
          <w:p w:rsidR="00B0025A" w:rsidRPr="00C038DE" w:rsidRDefault="008B40FC" w:rsidP="0053000F">
            <w:pPr>
              <w:shd w:val="clear" w:color="auto" w:fill="FFFFFF"/>
              <w:spacing w:line="240" w:lineRule="auto"/>
              <w:rPr>
                <w:rFonts w:ascii="Helvetica" w:hAnsi="Helvetica" w:cs="Arial"/>
                <w:sz w:val="18"/>
                <w:szCs w:val="18"/>
                <w:lang w:eastAsia="en-GB"/>
              </w:rPr>
            </w:pPr>
            <w:r w:rsidRPr="00C038DE">
              <w:rPr>
                <w:rFonts w:ascii="Helvetica" w:hAnsi="Helvetica" w:cs="Arial"/>
                <w:sz w:val="18"/>
                <w:szCs w:val="18"/>
                <w:lang w:eastAsia="en-GB"/>
              </w:rPr>
              <w:t xml:space="preserve">- </w:t>
            </w:r>
            <w:r w:rsidR="00B0025A" w:rsidRPr="00C038DE">
              <w:rPr>
                <w:rFonts w:ascii="Helvetica" w:hAnsi="Helvetica" w:cs="Arial"/>
                <w:sz w:val="18"/>
                <w:szCs w:val="18"/>
                <w:lang w:eastAsia="en-GB"/>
              </w:rPr>
              <w:t>PP bucket with lid </w:t>
            </w:r>
            <w:r w:rsidR="003438D5">
              <w:rPr>
                <w:rFonts w:ascii="Helvetica" w:hAnsi="Helvetica" w:cs="Arial"/>
                <w:sz w:val="18"/>
                <w:szCs w:val="18"/>
                <w:lang w:eastAsia="en-GB"/>
              </w:rPr>
              <w:t>3</w:t>
            </w:r>
            <w:r w:rsidR="00B0025A" w:rsidRPr="00C038DE">
              <w:rPr>
                <w:rFonts w:ascii="Helvetica" w:hAnsi="Helvetica" w:cs="Arial"/>
                <w:sz w:val="18"/>
                <w:szCs w:val="18"/>
                <w:lang w:eastAsia="en-GB"/>
              </w:rPr>
              <w:t xml:space="preserve"> kg</w:t>
            </w:r>
            <w:r w:rsidR="00B0025A" w:rsidRPr="00C038DE">
              <w:rPr>
                <w:rFonts w:ascii="Helvetica" w:hAnsi="Helvetica" w:cs="Arial"/>
                <w:sz w:val="18"/>
                <w:szCs w:val="18"/>
                <w:lang w:eastAsia="en-GB"/>
              </w:rPr>
              <w:br/>
            </w:r>
            <w:r w:rsidRPr="00C038DE">
              <w:rPr>
                <w:rFonts w:ascii="Helvetica" w:hAnsi="Helvetica" w:cs="Arial"/>
                <w:sz w:val="18"/>
                <w:szCs w:val="18"/>
                <w:lang w:eastAsia="en-GB"/>
              </w:rPr>
              <w:t xml:space="preserve">- </w:t>
            </w:r>
            <w:r w:rsidR="00B0025A" w:rsidRPr="00C038DE">
              <w:rPr>
                <w:rFonts w:ascii="Helvetica" w:hAnsi="Helvetica" w:cs="Arial"/>
                <w:sz w:val="18"/>
                <w:szCs w:val="18"/>
                <w:lang w:eastAsia="en-GB"/>
              </w:rPr>
              <w:t>Cardboard carton with integral plastic (PP/PE) bag </w:t>
            </w:r>
            <w:r w:rsidR="003438D5">
              <w:rPr>
                <w:rFonts w:ascii="Helvetica" w:hAnsi="Helvetica" w:cs="Arial"/>
                <w:sz w:val="18"/>
                <w:szCs w:val="18"/>
                <w:lang w:eastAsia="en-GB"/>
              </w:rPr>
              <w:t>3</w:t>
            </w:r>
            <w:r w:rsidR="006E544A">
              <w:rPr>
                <w:rFonts w:ascii="Helvetica" w:hAnsi="Helvetica" w:cs="Arial"/>
                <w:sz w:val="18"/>
                <w:szCs w:val="18"/>
                <w:lang w:eastAsia="en-GB"/>
              </w:rPr>
              <w:t>-</w:t>
            </w:r>
            <w:r w:rsidR="00B0025A" w:rsidRPr="00C038DE">
              <w:rPr>
                <w:rFonts w:ascii="Helvetica" w:hAnsi="Helvetica" w:cs="Arial"/>
                <w:sz w:val="18"/>
                <w:szCs w:val="18"/>
                <w:lang w:eastAsia="en-GB"/>
              </w:rPr>
              <w:t xml:space="preserve"> 25 kg</w:t>
            </w:r>
            <w:r w:rsidR="00B0025A" w:rsidRPr="00C038DE">
              <w:rPr>
                <w:rFonts w:ascii="Helvetica" w:hAnsi="Helvetica" w:cs="Arial"/>
                <w:sz w:val="18"/>
                <w:szCs w:val="18"/>
                <w:lang w:eastAsia="en-GB"/>
              </w:rPr>
              <w:br/>
            </w:r>
            <w:r w:rsidR="00B0025A" w:rsidRPr="00C038DE">
              <w:rPr>
                <w:rFonts w:ascii="Helvetica" w:hAnsi="Helvetica" w:cs="Arial"/>
                <w:sz w:val="18"/>
                <w:szCs w:val="18"/>
                <w:lang w:eastAsia="en-GB"/>
              </w:rPr>
              <w:br/>
            </w:r>
            <w:r w:rsidRPr="00C038DE">
              <w:rPr>
                <w:rFonts w:ascii="Helvetica" w:hAnsi="Helvetica" w:cs="Arial"/>
                <w:sz w:val="18"/>
                <w:szCs w:val="18"/>
                <w:lang w:eastAsia="en-GB"/>
              </w:rPr>
              <w:t xml:space="preserve">- </w:t>
            </w:r>
            <w:r w:rsidR="00B0025A" w:rsidRPr="00C038DE">
              <w:rPr>
                <w:rFonts w:ascii="Helvetica" w:hAnsi="Helvetica" w:cs="Arial"/>
                <w:sz w:val="18"/>
                <w:szCs w:val="18"/>
                <w:lang w:eastAsia="en-GB"/>
              </w:rPr>
              <w:t>Plastic (PP/PE) pouch  </w:t>
            </w:r>
            <w:r w:rsidR="0053000F">
              <w:rPr>
                <w:rFonts w:ascii="Helvetica" w:hAnsi="Helvetica" w:cs="Arial"/>
                <w:sz w:val="18"/>
                <w:szCs w:val="18"/>
                <w:lang w:eastAsia="en-GB"/>
              </w:rPr>
              <w:t>3</w:t>
            </w:r>
            <w:r w:rsidR="006E544A">
              <w:rPr>
                <w:rFonts w:ascii="Helvetica" w:hAnsi="Helvetica" w:cs="Arial"/>
                <w:sz w:val="18"/>
                <w:szCs w:val="18"/>
                <w:lang w:eastAsia="en-GB"/>
              </w:rPr>
              <w:t>-</w:t>
            </w:r>
            <w:r w:rsidR="00B0025A" w:rsidRPr="00C038DE">
              <w:rPr>
                <w:rFonts w:ascii="Helvetica" w:hAnsi="Helvetica" w:cs="Arial"/>
                <w:sz w:val="18"/>
                <w:szCs w:val="18"/>
                <w:lang w:eastAsia="en-GB"/>
              </w:rPr>
              <w:t xml:space="preserve"> 20 kg</w:t>
            </w:r>
            <w:r w:rsidR="00B0025A" w:rsidRPr="00C038DE">
              <w:rPr>
                <w:rFonts w:ascii="Helvetica" w:hAnsi="Helvetica" w:cs="Arial"/>
                <w:sz w:val="18"/>
                <w:szCs w:val="18"/>
                <w:lang w:eastAsia="en-GB"/>
              </w:rPr>
              <w:br/>
            </w:r>
            <w:r w:rsidRPr="00C038DE">
              <w:rPr>
                <w:rFonts w:ascii="Helvetica" w:hAnsi="Helvetica" w:cs="Arial"/>
                <w:sz w:val="18"/>
                <w:szCs w:val="18"/>
                <w:lang w:eastAsia="en-GB"/>
              </w:rPr>
              <w:t xml:space="preserve">- </w:t>
            </w:r>
            <w:r w:rsidR="00B0025A" w:rsidRPr="00C038DE">
              <w:rPr>
                <w:rFonts w:ascii="Helvetica" w:hAnsi="Helvetica" w:cs="Arial"/>
                <w:sz w:val="18"/>
                <w:szCs w:val="18"/>
                <w:lang w:eastAsia="en-GB"/>
              </w:rPr>
              <w:t>Carton containing prefilled PP/HDPE/PS bait stations </w:t>
            </w:r>
            <w:r w:rsidR="003438D5">
              <w:rPr>
                <w:rFonts w:ascii="Helvetica" w:hAnsi="Helvetica" w:cs="Arial"/>
                <w:sz w:val="18"/>
                <w:szCs w:val="18"/>
                <w:lang w:eastAsia="en-GB"/>
              </w:rPr>
              <w:t>3</w:t>
            </w:r>
            <w:r w:rsidR="006E544A">
              <w:rPr>
                <w:rFonts w:ascii="Helvetica" w:hAnsi="Helvetica" w:cs="Arial"/>
                <w:sz w:val="18"/>
                <w:szCs w:val="18"/>
                <w:lang w:eastAsia="en-GB"/>
              </w:rPr>
              <w:t>-</w:t>
            </w:r>
            <w:r w:rsidR="00B0025A" w:rsidRPr="00C038DE">
              <w:rPr>
                <w:rFonts w:ascii="Helvetica" w:hAnsi="Helvetica" w:cs="Arial"/>
                <w:sz w:val="18"/>
                <w:szCs w:val="18"/>
                <w:lang w:eastAsia="en-GB"/>
              </w:rPr>
              <w:t xml:space="preserve"> 10 kg</w:t>
            </w:r>
          </w:p>
        </w:tc>
      </w:tr>
    </w:tbl>
    <w:p w:rsidR="00B0025A" w:rsidRPr="00C038DE" w:rsidRDefault="00B0025A" w:rsidP="00B0025A">
      <w:pPr>
        <w:spacing w:line="260" w:lineRule="atLeast"/>
        <w:rPr>
          <w:rFonts w:eastAsia="Calibri" w:cs="Arial"/>
          <w:i/>
          <w:lang w:eastAsia="en-US"/>
        </w:rPr>
      </w:pPr>
    </w:p>
    <w:p w:rsidR="00B0025A" w:rsidRPr="00C038DE" w:rsidRDefault="00B0025A" w:rsidP="00B0025A">
      <w:pPr>
        <w:pStyle w:val="Kop4"/>
      </w:pPr>
      <w:r w:rsidRPr="00C038DE">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0025A" w:rsidRPr="00C038DE" w:rsidTr="000447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E6DDE" w:rsidRPr="00177A62" w:rsidRDefault="00B0025A" w:rsidP="00B0025A">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Consider preventive control measures (e.g. plug holes, remove potential food and drinking as far as possible) to improve product intake and reduce the likelihood of reinvasion.</w:t>
            </w:r>
          </w:p>
          <w:p w:rsidR="002E6DDE" w:rsidRPr="00177A62" w:rsidRDefault="00B0025A" w:rsidP="00B0025A">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Bait stations should be placed in the immediate vicinity of places where rodent activity has been previously observed (e.g. travel paths, nesting sites, feedlots, holes, burrows etc.).</w:t>
            </w:r>
          </w:p>
          <w:p w:rsidR="002E6DDE" w:rsidRPr="00177A62" w:rsidRDefault="00B0025A" w:rsidP="00B0025A">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bait stations should be visited at least every 2 to 3 days (for use against mice) at the beginning or only 5 to 7 days after the beginning (for use against rats) of the treatment and at least weekly afterwards, in order to check whether the bait is accepted, the bait stations are intact and to remove rodent bodies. Re-fill bait when necessary.</w:t>
            </w:r>
          </w:p>
          <w:p w:rsidR="001145F8" w:rsidRPr="00177A62" w:rsidRDefault="00B0025A" w:rsidP="000C16A6">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r>
            <w:r w:rsidRPr="00177A62">
              <w:rPr>
                <w:rFonts w:ascii="Helvetica" w:hAnsi="Helvetica" w:cs="Arial"/>
                <w:sz w:val="18"/>
                <w:szCs w:val="18"/>
                <w:lang w:eastAsia="en-GB"/>
              </w:rPr>
              <w:lastRenderedPageBreak/>
              <w:t>- Remove the remaining bait or the bait stations at the end of the treatment period</w:t>
            </w:r>
          </w:p>
          <w:p w:rsidR="00B0025A" w:rsidRPr="00C038DE" w:rsidRDefault="001E4D6E" w:rsidP="001145F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U</w:t>
            </w:r>
            <w:r w:rsidR="00E93932" w:rsidRPr="00177A62">
              <w:rPr>
                <w:rFonts w:ascii="Helvetica" w:hAnsi="Helvetica" w:cs="Arial"/>
                <w:sz w:val="18"/>
                <w:szCs w:val="18"/>
                <w:lang w:eastAsia="en-GB"/>
              </w:rPr>
              <w:t>se a</w:t>
            </w:r>
            <w:r w:rsidR="00B0025A" w:rsidRPr="00177A62">
              <w:rPr>
                <w:rFonts w:ascii="Helvetica" w:hAnsi="Helvetica" w:cs="Arial"/>
                <w:sz w:val="18"/>
                <w:szCs w:val="18"/>
                <w:lang w:eastAsia="en-GB"/>
              </w:rPr>
              <w:t>round building</w:t>
            </w:r>
            <w:r w:rsidR="00E93932" w:rsidRPr="00177A62">
              <w:rPr>
                <w:rFonts w:ascii="Helvetica" w:hAnsi="Helvetica" w:cs="Arial"/>
                <w:sz w:val="18"/>
                <w:szCs w:val="18"/>
                <w:lang w:eastAsia="en-GB"/>
              </w:rPr>
              <w:t>s</w:t>
            </w:r>
            <w:r w:rsidR="00B0025A" w:rsidRPr="00177A62">
              <w:rPr>
                <w:rFonts w:ascii="Helvetica" w:hAnsi="Helvetica" w:cs="Arial"/>
                <w:sz w:val="18"/>
                <w:szCs w:val="18"/>
                <w:lang w:eastAsia="en-GB"/>
              </w:rPr>
              <w:t>:</w:t>
            </w:r>
            <w:r w:rsidR="00B0025A" w:rsidRPr="00177A62">
              <w:rPr>
                <w:rFonts w:ascii="Helvetica" w:hAnsi="Helvetica" w:cs="Arial"/>
                <w:sz w:val="18"/>
                <w:szCs w:val="18"/>
                <w:lang w:eastAsia="en-GB"/>
              </w:rPr>
              <w:br/>
              <w:t>- Protect bait from the atmospheric conditions (e.g. rain, snow, etc.). Place the bait stations in areas not liable to flooding.</w:t>
            </w:r>
            <w:r w:rsidR="00B0025A" w:rsidRPr="00177A62">
              <w:rPr>
                <w:rFonts w:ascii="Helvetica" w:hAnsi="Helvetica" w:cs="Arial"/>
                <w:sz w:val="18"/>
                <w:szCs w:val="18"/>
                <w:lang w:eastAsia="en-GB"/>
              </w:rPr>
              <w:br/>
              <w:t>- Replace any bait in a bait station in which bait has been damaged by water or contaminated by dirt</w:t>
            </w:r>
            <w:r w:rsidR="00B0025A" w:rsidRPr="00882A1E">
              <w:rPr>
                <w:rFonts w:ascii="Helvetica" w:hAnsi="Helvetica" w:cs="Arial"/>
                <w:sz w:val="18"/>
                <w:szCs w:val="18"/>
                <w:highlight w:val="yellow"/>
                <w:lang w:eastAsia="en-GB"/>
              </w:rPr>
              <w:t>.</w:t>
            </w:r>
          </w:p>
        </w:tc>
      </w:tr>
    </w:tbl>
    <w:p w:rsidR="00B0025A" w:rsidRPr="00C038DE" w:rsidRDefault="00B0025A" w:rsidP="00B0025A">
      <w:pPr>
        <w:rPr>
          <w:rFonts w:cs="Arial"/>
        </w:rPr>
      </w:pPr>
    </w:p>
    <w:p w:rsidR="00B0025A" w:rsidRPr="00C038DE" w:rsidRDefault="00B0025A" w:rsidP="00B0025A">
      <w:pPr>
        <w:pStyle w:val="Kop4"/>
      </w:pPr>
      <w:r w:rsidRPr="00C038DE">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0025A" w:rsidRPr="00C038DE" w:rsidTr="000447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1683D" w:rsidRPr="00177A62" w:rsidRDefault="00B0025A" w:rsidP="0031683D">
            <w:pPr>
              <w:spacing w:line="240" w:lineRule="auto"/>
              <w:ind w:left="123" w:hanging="123"/>
              <w:rPr>
                <w:rFonts w:ascii="Helvetica" w:hAnsi="Helvetica" w:cs="Arial"/>
                <w:sz w:val="18"/>
                <w:szCs w:val="18"/>
                <w:lang w:eastAsia="en-GB"/>
              </w:rPr>
            </w:pPr>
            <w:r w:rsidRPr="00177A62">
              <w:rPr>
                <w:rFonts w:ascii="Helvetica" w:hAnsi="Helvetica" w:cs="Arial"/>
                <w:sz w:val="18"/>
                <w:szCs w:val="18"/>
                <w:lang w:eastAsia="en-GB"/>
              </w:rPr>
              <w:t>- To reduce risk of secondary poisoning, search for and remove dead rodents at frequent intervals during treatment (e.g. at least twice a week).</w:t>
            </w:r>
          </w:p>
          <w:p w:rsidR="00D07978" w:rsidRPr="00177A62" w:rsidRDefault="00D07978" w:rsidP="0031683D">
            <w:pPr>
              <w:spacing w:line="240" w:lineRule="auto"/>
              <w:ind w:left="123" w:hanging="123"/>
              <w:rPr>
                <w:rFonts w:ascii="Helvetica" w:hAnsi="Helvetica" w:cs="Arial"/>
                <w:sz w:val="18"/>
                <w:szCs w:val="18"/>
                <w:lang w:eastAsia="en-GB"/>
              </w:rPr>
            </w:pPr>
          </w:p>
          <w:p w:rsidR="0031683D" w:rsidRPr="00177A62" w:rsidRDefault="00B0025A" w:rsidP="0031683D">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xml:space="preserve">- Products shall not be used beyond 35 days without an evaluation of the state of the infestation and of the efficacy of the treatment. </w:t>
            </w:r>
          </w:p>
          <w:p w:rsidR="00D07978" w:rsidRPr="00177A62" w:rsidRDefault="00D07978" w:rsidP="0031683D">
            <w:pPr>
              <w:spacing w:line="240" w:lineRule="auto"/>
              <w:ind w:left="137" w:hanging="137"/>
              <w:rPr>
                <w:rFonts w:ascii="Helvetica" w:hAnsi="Helvetica" w:cs="Arial"/>
                <w:sz w:val="18"/>
                <w:szCs w:val="18"/>
                <w:lang w:eastAsia="en-GB"/>
              </w:rPr>
            </w:pPr>
          </w:p>
          <w:p w:rsidR="0031683D" w:rsidRPr="00177A62" w:rsidRDefault="00B0025A" w:rsidP="0031683D">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Do not use baits containing anticoagulant active substances as permanent baits for the prevention of rodent infestation or monitoring of rodent activities.</w:t>
            </w:r>
            <w:r w:rsidR="0031683D" w:rsidRPr="00177A62">
              <w:rPr>
                <w:rFonts w:ascii="Helvetica" w:hAnsi="Helvetica" w:cs="Arial"/>
                <w:sz w:val="18"/>
                <w:szCs w:val="18"/>
                <w:lang w:eastAsia="en-GB"/>
              </w:rPr>
              <w:t xml:space="preserve"> </w:t>
            </w:r>
          </w:p>
          <w:p w:rsidR="00511226" w:rsidRPr="00177A62" w:rsidRDefault="00511226" w:rsidP="0031683D">
            <w:pPr>
              <w:spacing w:line="240" w:lineRule="auto"/>
              <w:ind w:left="137" w:hanging="137"/>
              <w:rPr>
                <w:rFonts w:ascii="Helvetica" w:hAnsi="Helvetica" w:cs="Arial"/>
                <w:sz w:val="18"/>
                <w:szCs w:val="18"/>
                <w:lang w:eastAsia="en-GB"/>
              </w:rPr>
            </w:pPr>
          </w:p>
          <w:p w:rsidR="00511226" w:rsidRPr="00177A62" w:rsidRDefault="00511226" w:rsidP="00511226">
            <w:pPr>
              <w:spacing w:line="240" w:lineRule="auto"/>
              <w:rPr>
                <w:rFonts w:ascii="Helvetica" w:hAnsi="Helvetica" w:cs="Helvetica"/>
                <w:sz w:val="18"/>
                <w:szCs w:val="18"/>
              </w:rPr>
            </w:pPr>
            <w:r w:rsidRPr="00177A62">
              <w:rPr>
                <w:rFonts w:ascii="Helvetica" w:hAnsi="Helvetica" w:cs="Helvetica"/>
                <w:sz w:val="18"/>
                <w:szCs w:val="18"/>
              </w:rPr>
              <w:t>- The product information (i.e. label and/or leaflet) shall clearly show that:</w:t>
            </w:r>
          </w:p>
          <w:p w:rsidR="00511226" w:rsidRPr="00177A62" w:rsidRDefault="00511226" w:rsidP="00BA7C2C">
            <w:pPr>
              <w:pStyle w:val="Lijstalinea"/>
              <w:numPr>
                <w:ilvl w:val="0"/>
                <w:numId w:val="10"/>
              </w:numPr>
              <w:spacing w:line="240" w:lineRule="auto"/>
              <w:rPr>
                <w:rFonts w:ascii="Helvetica" w:hAnsi="Helvetica" w:cs="Helvetica"/>
                <w:sz w:val="18"/>
                <w:szCs w:val="18"/>
              </w:rPr>
            </w:pPr>
            <w:r w:rsidRPr="00177A62">
              <w:rPr>
                <w:rFonts w:ascii="Helvetica" w:hAnsi="Helvetica" w:cs="Helvetica"/>
                <w:sz w:val="18"/>
                <w:szCs w:val="18"/>
              </w:rPr>
              <w:t>The product shall not be supplied to the general public (e.g. "for professionals only").</w:t>
            </w:r>
          </w:p>
          <w:p w:rsidR="00511226" w:rsidRPr="00177A62" w:rsidRDefault="00511226" w:rsidP="00BA7C2C">
            <w:pPr>
              <w:pStyle w:val="Lijstalinea"/>
              <w:numPr>
                <w:ilvl w:val="0"/>
                <w:numId w:val="10"/>
              </w:numPr>
              <w:spacing w:line="240" w:lineRule="auto"/>
              <w:rPr>
                <w:rFonts w:ascii="Helvetica" w:hAnsi="Helvetica" w:cs="Helvetica"/>
                <w:sz w:val="18"/>
                <w:szCs w:val="18"/>
              </w:rPr>
            </w:pPr>
            <w:r w:rsidRPr="00177A62">
              <w:rPr>
                <w:rFonts w:ascii="Helvetica" w:hAnsi="Helvetica" w:cs="Helvetica"/>
                <w:sz w:val="18"/>
                <w:szCs w:val="18"/>
              </w:rPr>
              <w:t xml:space="preserve"> The product shall be used in adequate tamper resistant bait stations (e.g. "use in tamper  resistant bait stations only").</w:t>
            </w:r>
          </w:p>
          <w:p w:rsidR="00511226" w:rsidRPr="00177A62" w:rsidRDefault="00511226" w:rsidP="00BA7C2C">
            <w:pPr>
              <w:pStyle w:val="Lijstalinea"/>
              <w:numPr>
                <w:ilvl w:val="0"/>
                <w:numId w:val="10"/>
              </w:numPr>
              <w:spacing w:line="240" w:lineRule="auto"/>
              <w:rPr>
                <w:rFonts w:ascii="Helvetica" w:hAnsi="Helvetica" w:cs="Helvetica"/>
                <w:sz w:val="18"/>
                <w:szCs w:val="18"/>
              </w:rPr>
            </w:pPr>
            <w:r w:rsidRPr="00177A62">
              <w:rPr>
                <w:rFonts w:ascii="Helvetica" w:hAnsi="Helvetica" w:cs="Helvetica"/>
                <w:sz w:val="18"/>
                <w:szCs w:val="18"/>
              </w:rPr>
              <w:t> Users shall properly label bait stations with the information referred to in section 5.3 of the SPC (e.g. label bait stations according to the product recommendations").</w:t>
            </w:r>
          </w:p>
          <w:p w:rsidR="00511226" w:rsidRPr="00177A62" w:rsidRDefault="00511226" w:rsidP="0031683D">
            <w:pPr>
              <w:spacing w:line="240" w:lineRule="auto"/>
              <w:ind w:left="137" w:hanging="137"/>
              <w:rPr>
                <w:rFonts w:ascii="Helvetica" w:hAnsi="Helvetica" w:cs="Arial"/>
                <w:sz w:val="18"/>
                <w:szCs w:val="18"/>
                <w:lang w:eastAsia="en-GB"/>
              </w:rPr>
            </w:pPr>
          </w:p>
          <w:p w:rsidR="0031683D" w:rsidRPr="00177A62" w:rsidRDefault="00B0025A" w:rsidP="0031683D">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D07978" w:rsidRPr="00177A62" w:rsidRDefault="00D07978" w:rsidP="0031683D">
            <w:pPr>
              <w:spacing w:line="240" w:lineRule="auto"/>
              <w:ind w:left="137" w:hanging="137"/>
              <w:rPr>
                <w:rFonts w:ascii="Helvetica" w:hAnsi="Helvetica" w:cs="Arial"/>
                <w:sz w:val="18"/>
                <w:szCs w:val="18"/>
                <w:lang w:eastAsia="en-GB"/>
              </w:rPr>
            </w:pPr>
          </w:p>
          <w:p w:rsidR="00B0025A" w:rsidRDefault="00B0025A" w:rsidP="0031683D">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Do not wash the bait stations with water between applications.</w:t>
            </w:r>
          </w:p>
          <w:p w:rsidR="001B0878" w:rsidRDefault="001B0878" w:rsidP="0031683D">
            <w:pPr>
              <w:spacing w:line="240" w:lineRule="auto"/>
              <w:ind w:left="137" w:hanging="137"/>
              <w:rPr>
                <w:rFonts w:ascii="Helvetica" w:hAnsi="Helvetica" w:cs="Arial"/>
                <w:sz w:val="18"/>
                <w:szCs w:val="18"/>
                <w:lang w:eastAsia="en-GB"/>
              </w:rPr>
            </w:pPr>
          </w:p>
          <w:p w:rsidR="00B13380" w:rsidRPr="0031683D" w:rsidRDefault="001B0878" w:rsidP="000447A1">
            <w:pPr>
              <w:spacing w:line="240" w:lineRule="auto"/>
              <w:rPr>
                <w:rFonts w:ascii="Helvetica" w:hAnsi="Helvetica" w:cs="Arial"/>
                <w:sz w:val="18"/>
                <w:szCs w:val="18"/>
                <w:highlight w:val="green"/>
                <w:lang w:eastAsia="en-GB"/>
              </w:rPr>
            </w:pPr>
            <w:r>
              <w:rPr>
                <w:rFonts w:ascii="Helvetica" w:hAnsi="Helvetica" w:cs="Arial"/>
                <w:color w:val="333333"/>
                <w:sz w:val="18"/>
                <w:szCs w:val="18"/>
              </w:rPr>
              <w:t>- Do not apply this product directly in the burrows.</w:t>
            </w:r>
          </w:p>
        </w:tc>
      </w:tr>
    </w:tbl>
    <w:p w:rsidR="00B0025A" w:rsidRPr="00C038DE" w:rsidRDefault="00B0025A" w:rsidP="00B0025A">
      <w:pPr>
        <w:rPr>
          <w:rFonts w:cs="Arial"/>
        </w:rPr>
      </w:pPr>
    </w:p>
    <w:p w:rsidR="00B0025A" w:rsidRPr="00C038DE" w:rsidRDefault="00B0025A" w:rsidP="00B0025A">
      <w:pPr>
        <w:pStyle w:val="Kop4"/>
      </w:pPr>
      <w:r w:rsidRPr="00C038DE">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0025A" w:rsidRPr="00C038DE" w:rsidTr="000447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9665D" w:rsidRPr="00177A62" w:rsidRDefault="00E62C0B" w:rsidP="000447A1">
            <w:pPr>
              <w:spacing w:line="240" w:lineRule="auto"/>
              <w:rPr>
                <w:rFonts w:ascii="Helvetica" w:hAnsi="Helvetica" w:cs="Arial"/>
                <w:sz w:val="18"/>
                <w:szCs w:val="18"/>
                <w:lang w:eastAsia="en-GB"/>
              </w:rPr>
            </w:pPr>
            <w:r w:rsidRPr="00177A62">
              <w:rPr>
                <w:rFonts w:ascii="Helvetica" w:hAnsi="Helvetica" w:cs="Arial"/>
                <w:sz w:val="18"/>
                <w:szCs w:val="18"/>
                <w:lang w:eastAsia="en-GB"/>
              </w:rPr>
              <w:t xml:space="preserve">Indoor: </w:t>
            </w:r>
            <w:r w:rsidRPr="00177A62">
              <w:rPr>
                <w:rFonts w:ascii="Helvetica" w:hAnsi="Helvetica" w:cs="Arial"/>
                <w:sz w:val="18"/>
                <w:szCs w:val="18"/>
                <w:lang w:eastAsia="en-GB"/>
              </w:rPr>
              <w:br/>
              <w:t>- When placing bait stations close to water drainage systems, ensure that bait contact with water is avoided.</w:t>
            </w:r>
            <w:r w:rsidRPr="00177A62">
              <w:rPr>
                <w:rFonts w:ascii="Helvetica" w:hAnsi="Helvetica" w:cs="Arial"/>
                <w:sz w:val="18"/>
                <w:szCs w:val="18"/>
                <w:lang w:eastAsia="en-GB"/>
              </w:rPr>
              <w:br/>
            </w:r>
          </w:p>
          <w:p w:rsidR="00B0025A" w:rsidRPr="00C038DE" w:rsidRDefault="00E62C0B" w:rsidP="000447A1">
            <w:pPr>
              <w:spacing w:line="240" w:lineRule="auto"/>
              <w:rPr>
                <w:rFonts w:ascii="Helvetica" w:hAnsi="Helvetica" w:cs="Arial"/>
                <w:sz w:val="18"/>
                <w:szCs w:val="18"/>
                <w:lang w:eastAsia="en-GB"/>
              </w:rPr>
            </w:pPr>
            <w:r w:rsidRPr="00177A62">
              <w:rPr>
                <w:rFonts w:ascii="Helvetica" w:hAnsi="Helvetica" w:cs="Arial"/>
                <w:sz w:val="18"/>
                <w:szCs w:val="18"/>
                <w:lang w:eastAsia="en-GB"/>
              </w:rPr>
              <w:t>Around</w:t>
            </w:r>
            <w:r w:rsidR="00E93932" w:rsidRPr="00177A62">
              <w:rPr>
                <w:rFonts w:ascii="Helvetica" w:hAnsi="Helvetica" w:cs="Arial"/>
                <w:sz w:val="18"/>
                <w:szCs w:val="18"/>
                <w:lang w:eastAsia="en-GB"/>
              </w:rPr>
              <w:t xml:space="preserve"> buildings</w:t>
            </w:r>
            <w:r w:rsidRPr="00177A62">
              <w:rPr>
                <w:rFonts w:ascii="Helvetica" w:hAnsi="Helvetica" w:cs="Arial"/>
                <w:sz w:val="18"/>
                <w:szCs w:val="18"/>
                <w:lang w:eastAsia="en-GB"/>
              </w:rPr>
              <w:t>:</w:t>
            </w:r>
            <w:r w:rsidRPr="00177A62">
              <w:rPr>
                <w:rFonts w:ascii="Helvetica" w:hAnsi="Helvetica" w:cs="Arial"/>
                <w:sz w:val="18"/>
                <w:szCs w:val="18"/>
                <w:lang w:eastAsia="en-GB"/>
              </w:rPr>
              <w:br/>
              <w:t>- When placing bait stations close to surface waters (e.g. rivers, ponds, water channels, dykes, irrigation ditches) or water drainage systems, ensure that bait contact with water is avoided.</w:t>
            </w:r>
          </w:p>
        </w:tc>
      </w:tr>
    </w:tbl>
    <w:p w:rsidR="00B0025A" w:rsidRPr="00C038DE" w:rsidRDefault="00B0025A" w:rsidP="00B0025A">
      <w:pPr>
        <w:rPr>
          <w:rFonts w:cs="Arial"/>
        </w:rPr>
      </w:pPr>
    </w:p>
    <w:p w:rsidR="00B0025A" w:rsidRPr="00C038DE" w:rsidRDefault="00B0025A" w:rsidP="00B0025A">
      <w:pPr>
        <w:pStyle w:val="Kop4"/>
      </w:pPr>
      <w:r w:rsidRPr="00C038DE">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C038DE" w:rsidTr="000447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0025A" w:rsidRPr="004061A6" w:rsidRDefault="00B0025A" w:rsidP="000447A1">
            <w:pPr>
              <w:rPr>
                <w:rFonts w:cs="Arial"/>
              </w:rPr>
            </w:pPr>
            <w:r w:rsidRPr="00C038DE">
              <w:rPr>
                <w:rFonts w:ascii="Helvetica" w:hAnsi="Helvetica" w:cs="Arial"/>
                <w:sz w:val="18"/>
                <w:szCs w:val="18"/>
                <w:lang w:eastAsia="en-GB"/>
              </w:rPr>
              <w:t>See general instructions</w:t>
            </w:r>
            <w:r w:rsidR="00511226">
              <w:rPr>
                <w:rFonts w:ascii="Helvetica" w:hAnsi="Helvetica" w:cs="Arial"/>
                <w:sz w:val="18"/>
                <w:szCs w:val="18"/>
                <w:lang w:eastAsia="en-GB"/>
              </w:rPr>
              <w:t xml:space="preserve"> for use</w:t>
            </w:r>
          </w:p>
        </w:tc>
      </w:tr>
    </w:tbl>
    <w:p w:rsidR="00B0025A" w:rsidRPr="00C038DE" w:rsidRDefault="00B0025A" w:rsidP="00B0025A">
      <w:pPr>
        <w:pStyle w:val="Kop4"/>
      </w:pPr>
      <w:r w:rsidRPr="00C038DE">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0025A" w:rsidRPr="00C038DE" w:rsidTr="000447A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0025A" w:rsidRPr="00C038DE" w:rsidRDefault="00B0025A" w:rsidP="000447A1">
            <w:pPr>
              <w:rPr>
                <w:rFonts w:ascii="Helvetica" w:hAnsi="Helvetica" w:cs="Arial"/>
                <w:sz w:val="18"/>
                <w:szCs w:val="18"/>
                <w:lang w:eastAsia="en-GB"/>
              </w:rPr>
            </w:pPr>
            <w:r w:rsidRPr="00C038DE">
              <w:rPr>
                <w:rFonts w:ascii="Helvetica" w:hAnsi="Helvetica" w:cs="Arial"/>
                <w:sz w:val="18"/>
                <w:szCs w:val="18"/>
                <w:lang w:eastAsia="en-GB"/>
              </w:rPr>
              <w:t>See general instructions</w:t>
            </w:r>
            <w:r w:rsidR="00511226">
              <w:rPr>
                <w:rFonts w:ascii="Helvetica" w:hAnsi="Helvetica" w:cs="Arial"/>
                <w:sz w:val="18"/>
                <w:szCs w:val="18"/>
                <w:lang w:eastAsia="en-GB"/>
              </w:rPr>
              <w:t xml:space="preserve"> for use</w:t>
            </w:r>
          </w:p>
          <w:p w:rsidR="00B0025A" w:rsidRPr="004061A6" w:rsidRDefault="00B0025A" w:rsidP="000447A1">
            <w:pPr>
              <w:rPr>
                <w:rFonts w:cs="Arial"/>
              </w:rPr>
            </w:pPr>
          </w:p>
        </w:tc>
      </w:tr>
    </w:tbl>
    <w:p w:rsidR="00B0025A" w:rsidRPr="00C038DE" w:rsidRDefault="00B0025A"/>
    <w:p w:rsidR="00B0025A" w:rsidRPr="00C038DE" w:rsidRDefault="00B0025A"/>
    <w:p w:rsidR="00B0025A" w:rsidRPr="00C038DE" w:rsidRDefault="00B0025A"/>
    <w:p w:rsidR="00421303" w:rsidRPr="00C038DE" w:rsidRDefault="00421303" w:rsidP="00421303">
      <w:pPr>
        <w:pStyle w:val="Kop3"/>
      </w:pPr>
      <w:bookmarkStart w:id="621" w:name="_Toc420919331"/>
      <w:bookmarkStart w:id="622" w:name="_Ref427233609"/>
      <w:bookmarkStart w:id="623" w:name="_Toc429660959"/>
      <w:r w:rsidRPr="00C038DE">
        <w:t xml:space="preserve">Use </w:t>
      </w:r>
      <w:r>
        <w:t>4</w:t>
      </w:r>
      <w:r w:rsidRPr="00C038DE">
        <w:t xml:space="preserve"> appropriate for </w:t>
      </w:r>
      <w:r w:rsidRPr="00C038DE">
        <w:rPr>
          <w:u w:val="single"/>
        </w:rPr>
        <w:t>further</w:t>
      </w:r>
      <w:r w:rsidRPr="00C038DE">
        <w:t xml:space="preserve"> authorisation –</w:t>
      </w:r>
      <w:r>
        <w:t>House mice - p</w:t>
      </w:r>
      <w:r w:rsidRPr="00C038DE">
        <w:t>rofessionals</w:t>
      </w:r>
      <w:r>
        <w:t>- in and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21303" w:rsidRPr="00C038DE" w:rsidTr="001D363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421303" w:rsidRPr="004061A6" w:rsidRDefault="00421303" w:rsidP="001D363E">
            <w:pPr>
              <w:spacing w:line="260" w:lineRule="atLeast"/>
              <w:rPr>
                <w:rFonts w:eastAsia="Calibri" w:cs="Arial"/>
                <w:bCs/>
                <w:lang w:val="de-DE" w:eastAsia="en-US"/>
              </w:rPr>
            </w:pPr>
            <w:r w:rsidRPr="004061A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421303" w:rsidRPr="004061A6" w:rsidRDefault="00421303" w:rsidP="001D363E">
            <w:pPr>
              <w:spacing w:line="260" w:lineRule="atLeast"/>
              <w:rPr>
                <w:rFonts w:eastAsia="Calibri" w:cs="Arial"/>
                <w:bCs/>
                <w:lang w:val="de-DE" w:eastAsia="en-US"/>
              </w:rPr>
            </w:pPr>
            <w:r w:rsidRPr="004061A6">
              <w:rPr>
                <w:rFonts w:cs="Arial"/>
              </w:rPr>
              <w:t>14</w:t>
            </w: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C038DE" w:rsidRDefault="00421303" w:rsidP="001D363E">
            <w:pPr>
              <w:spacing w:line="260" w:lineRule="atLeast"/>
              <w:rPr>
                <w:rFonts w:eastAsia="Calibri" w:cs="Arial"/>
                <w:bCs/>
                <w:lang w:val="en-US" w:eastAsia="en-US"/>
              </w:rPr>
            </w:pPr>
            <w:r w:rsidRPr="00C038DE">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C038DE" w:rsidRDefault="00421303" w:rsidP="001D363E">
            <w:pPr>
              <w:spacing w:line="260" w:lineRule="atLeast"/>
              <w:rPr>
                <w:rFonts w:eastAsia="Calibri" w:cs="Arial"/>
                <w:bCs/>
                <w:lang w:eastAsia="en-US"/>
              </w:rPr>
            </w:pP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C038DE" w:rsidRDefault="00421303" w:rsidP="001D363E">
            <w:pPr>
              <w:spacing w:line="260" w:lineRule="atLeast"/>
              <w:rPr>
                <w:rFonts w:eastAsia="Calibri" w:cs="Arial"/>
                <w:bCs/>
                <w:lang w:val="en-US" w:eastAsia="en-US"/>
              </w:rPr>
            </w:pPr>
            <w:r w:rsidRPr="00C038D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C038DE" w:rsidRDefault="00421303" w:rsidP="001D363E">
            <w:pPr>
              <w:spacing w:line="260" w:lineRule="atLeast"/>
              <w:rPr>
                <w:rFonts w:eastAsia="Calibri" w:cs="Arial"/>
                <w:bCs/>
                <w:lang w:eastAsia="en-US"/>
              </w:rPr>
            </w:pPr>
            <w:r w:rsidRPr="00C038DE">
              <w:rPr>
                <w:rFonts w:eastAsia="Calibri" w:cs="Arial"/>
                <w:bCs/>
                <w:i/>
                <w:lang w:eastAsia="en-US"/>
              </w:rPr>
              <w:t>Mus musculus</w:t>
            </w:r>
            <w:r w:rsidRPr="00C038DE">
              <w:rPr>
                <w:rFonts w:eastAsia="Calibri" w:cs="Arial"/>
                <w:bCs/>
                <w:lang w:eastAsia="en-US"/>
              </w:rPr>
              <w:t xml:space="preserve"> (House mouse – all development stages)</w:t>
            </w:r>
          </w:p>
          <w:p w:rsidR="00421303" w:rsidRPr="00C038DE" w:rsidRDefault="00421303" w:rsidP="001D363E">
            <w:pPr>
              <w:spacing w:line="260" w:lineRule="atLeast"/>
              <w:rPr>
                <w:rFonts w:eastAsia="Calibri" w:cs="Arial"/>
                <w:bCs/>
                <w:lang w:eastAsia="en-US"/>
              </w:rPr>
            </w:pP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C038DE" w:rsidRDefault="00421303" w:rsidP="001D363E">
            <w:pPr>
              <w:spacing w:line="260" w:lineRule="atLeast"/>
              <w:rPr>
                <w:rFonts w:eastAsia="Calibri" w:cs="Arial"/>
                <w:bCs/>
                <w:lang w:val="de-DE" w:eastAsia="en-US"/>
              </w:rPr>
            </w:pPr>
            <w:r w:rsidRPr="00C038DE">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C038DE" w:rsidRDefault="00421303" w:rsidP="001D363E">
            <w:pPr>
              <w:spacing w:line="260" w:lineRule="atLeast"/>
              <w:rPr>
                <w:rFonts w:eastAsia="Calibri" w:cs="Arial"/>
                <w:bCs/>
                <w:lang w:eastAsia="en-US"/>
              </w:rPr>
            </w:pPr>
            <w:r w:rsidRPr="00C038DE">
              <w:rPr>
                <w:rFonts w:eastAsia="Calibri" w:cs="Arial"/>
                <w:bCs/>
                <w:lang w:eastAsia="en-US"/>
              </w:rPr>
              <w:t>Indoor</w:t>
            </w:r>
          </w:p>
          <w:p w:rsidR="00421303" w:rsidRPr="00C038DE" w:rsidRDefault="00421303" w:rsidP="001D363E">
            <w:pPr>
              <w:spacing w:line="260" w:lineRule="atLeast"/>
              <w:rPr>
                <w:rFonts w:eastAsia="Calibri" w:cs="Arial"/>
                <w:bCs/>
                <w:lang w:eastAsia="en-US"/>
              </w:rPr>
            </w:pPr>
            <w:r w:rsidRPr="00C038DE">
              <w:rPr>
                <w:rFonts w:eastAsia="Calibri" w:cs="Arial"/>
                <w:bCs/>
                <w:lang w:eastAsia="en-US"/>
              </w:rPr>
              <w:t xml:space="preserve">Outdoor </w:t>
            </w:r>
            <w:r>
              <w:rPr>
                <w:rFonts w:eastAsia="Calibri" w:cs="Arial"/>
                <w:bCs/>
                <w:lang w:eastAsia="en-US"/>
              </w:rPr>
              <w:t>a</w:t>
            </w:r>
            <w:r w:rsidRPr="00C038DE">
              <w:rPr>
                <w:rFonts w:eastAsia="Calibri" w:cs="Arial"/>
                <w:bCs/>
                <w:lang w:eastAsia="en-US"/>
              </w:rPr>
              <w:t>round buildings</w:t>
            </w: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C038DE" w:rsidRDefault="00421303" w:rsidP="001D363E">
            <w:pPr>
              <w:spacing w:line="260" w:lineRule="atLeast"/>
              <w:rPr>
                <w:rFonts w:eastAsia="Calibri" w:cs="Arial"/>
                <w:bCs/>
                <w:lang w:val="de-DE" w:eastAsia="en-US"/>
              </w:rPr>
            </w:pPr>
            <w:r w:rsidRPr="00C038DE">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4061A6" w:rsidRDefault="00421303" w:rsidP="001D363E">
            <w:pPr>
              <w:spacing w:line="260" w:lineRule="atLeast"/>
              <w:rPr>
                <w:rFonts w:eastAsia="Calibri" w:cs="Arial"/>
                <w:bCs/>
                <w:lang w:eastAsia="en-US"/>
              </w:rPr>
            </w:pPr>
            <w:r w:rsidRPr="00C038DE">
              <w:rPr>
                <w:rFonts w:ascii="Helvetica" w:hAnsi="Helvetica" w:cs="Arial"/>
                <w:sz w:val="18"/>
                <w:szCs w:val="18"/>
              </w:rPr>
              <w:t xml:space="preserve">Ready-to-use bait to be used in </w:t>
            </w:r>
            <w:r>
              <w:rPr>
                <w:rFonts w:ascii="Helvetica" w:hAnsi="Helvetica" w:cs="Arial"/>
                <w:sz w:val="18"/>
                <w:szCs w:val="18"/>
              </w:rPr>
              <w:t xml:space="preserve">tamper-resistant </w:t>
            </w:r>
            <w:r w:rsidRPr="00C038DE">
              <w:rPr>
                <w:rFonts w:ascii="Helvetica" w:hAnsi="Helvetica" w:cs="Arial"/>
                <w:sz w:val="18"/>
                <w:szCs w:val="18"/>
              </w:rPr>
              <w:t>bait stations </w:t>
            </w:r>
            <w:r w:rsidRPr="00C038DE" w:rsidDel="00A31A32">
              <w:rPr>
                <w:rFonts w:ascii="Helvetica" w:hAnsi="Helvetica" w:cs="Arial"/>
                <w:sz w:val="18"/>
                <w:szCs w:val="18"/>
              </w:rPr>
              <w:t xml:space="preserve"> </w:t>
            </w: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C038DE" w:rsidRDefault="00421303" w:rsidP="001D363E">
            <w:pPr>
              <w:spacing w:line="260" w:lineRule="atLeast"/>
              <w:rPr>
                <w:rFonts w:eastAsia="Calibri" w:cs="Arial"/>
                <w:bCs/>
                <w:lang w:val="en-US" w:eastAsia="en-US"/>
              </w:rPr>
            </w:pPr>
            <w:r w:rsidRPr="00C038DE">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421303" w:rsidRDefault="00421303" w:rsidP="001D363E">
            <w:pPr>
              <w:shd w:val="clear" w:color="auto" w:fill="FFFFFF"/>
              <w:spacing w:after="128" w:line="240" w:lineRule="auto"/>
              <w:rPr>
                <w:rFonts w:cs="Arial"/>
                <w:szCs w:val="18"/>
                <w:lang w:eastAsia="en-GB"/>
              </w:rPr>
            </w:pPr>
            <w:r>
              <w:t>Mice: 30-50</w:t>
            </w:r>
            <w:r w:rsidRPr="00F509E7">
              <w:t xml:space="preserve"> g of bait per bait station. </w:t>
            </w:r>
            <w:r>
              <w:t xml:space="preserve">If more than one </w:t>
            </w:r>
            <w:r w:rsidRPr="00F509E7">
              <w:t>bait station</w:t>
            </w:r>
            <w:r>
              <w:t xml:space="preserve"> is needed, the minimum distance between bait stations should be of 1-3 </w:t>
            </w:r>
            <w:r w:rsidRPr="00F509E7">
              <w:t>m</w:t>
            </w:r>
            <w:r>
              <w:t>eters.</w:t>
            </w: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C038DE" w:rsidRDefault="00421303" w:rsidP="001D363E">
            <w:pPr>
              <w:spacing w:line="260" w:lineRule="atLeast"/>
              <w:rPr>
                <w:rFonts w:eastAsia="Calibri" w:cs="Arial"/>
                <w:bCs/>
                <w:lang w:eastAsia="en-US"/>
              </w:rPr>
            </w:pPr>
            <w:r w:rsidRPr="00C038DE">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C038DE" w:rsidRDefault="00421303" w:rsidP="001D363E">
            <w:pPr>
              <w:spacing w:line="260" w:lineRule="atLeast"/>
              <w:rPr>
                <w:rFonts w:eastAsia="Calibri" w:cs="Arial"/>
                <w:bCs/>
                <w:lang w:eastAsia="en-US"/>
              </w:rPr>
            </w:pPr>
            <w:r w:rsidRPr="00C038DE">
              <w:rPr>
                <w:rFonts w:eastAsia="Calibri" w:cs="Arial"/>
                <w:bCs/>
                <w:lang w:eastAsia="en-US"/>
              </w:rPr>
              <w:t>Professionals</w:t>
            </w:r>
          </w:p>
        </w:tc>
      </w:tr>
      <w:tr w:rsidR="00421303" w:rsidRPr="00C038DE" w:rsidTr="001D363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21303" w:rsidRPr="004061A6" w:rsidRDefault="00421303" w:rsidP="001D363E">
            <w:pPr>
              <w:spacing w:line="260" w:lineRule="atLeast"/>
              <w:rPr>
                <w:rFonts w:eastAsia="Calibri" w:cs="Arial"/>
                <w:bCs/>
                <w:lang w:val="en-US" w:eastAsia="en-US"/>
              </w:rPr>
            </w:pPr>
            <w:r w:rsidRPr="00C038DE">
              <w:rPr>
                <w:rFonts w:eastAsia="Calibri" w:cs="Arial"/>
                <w:bCs/>
                <w:lang w:eastAsia="en-US"/>
              </w:rPr>
              <w:t>Pack sizes and packaging material</w:t>
            </w:r>
            <w:r w:rsidRPr="004061A6">
              <w:rPr>
                <w:rStyle w:val="Voetnootmarkering"/>
                <w:rFonts w:eastAsia="Calibri" w:cs="Arial"/>
                <w:bCs/>
                <w:lang w:eastAsia="en-US"/>
              </w:rPr>
              <w:footnoteReference w:id="5"/>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1303" w:rsidRPr="00C038DE" w:rsidRDefault="00421303" w:rsidP="001D363E">
            <w:pPr>
              <w:shd w:val="clear" w:color="auto" w:fill="FFFFFF"/>
              <w:spacing w:after="128" w:line="240" w:lineRule="auto"/>
              <w:rPr>
                <w:rFonts w:ascii="Helvetica" w:hAnsi="Helvetica" w:cs="Arial"/>
                <w:sz w:val="18"/>
                <w:szCs w:val="18"/>
                <w:lang w:eastAsia="en-GB"/>
              </w:rPr>
            </w:pPr>
            <w:r w:rsidRPr="00C038DE">
              <w:rPr>
                <w:rFonts w:ascii="Helvetica" w:hAnsi="Helvetica" w:cs="Arial"/>
                <w:sz w:val="18"/>
                <w:szCs w:val="18"/>
                <w:lang w:eastAsia="en-GB"/>
              </w:rPr>
              <w:t>Paper bag</w:t>
            </w:r>
            <w:r>
              <w:rPr>
                <w:rFonts w:ascii="Helvetica" w:hAnsi="Helvetica" w:cs="Arial"/>
                <w:sz w:val="18"/>
                <w:szCs w:val="18"/>
                <w:lang w:eastAsia="en-GB"/>
              </w:rPr>
              <w:t xml:space="preserve"> or </w:t>
            </w:r>
            <w:r w:rsidRPr="00C038DE">
              <w:rPr>
                <w:rFonts w:ascii="Helvetica" w:hAnsi="Helvetica" w:cs="Arial"/>
                <w:sz w:val="18"/>
                <w:szCs w:val="18"/>
                <w:lang w:eastAsia="en-GB"/>
              </w:rPr>
              <w:t xml:space="preserve">PP sachet: </w:t>
            </w:r>
            <w:r>
              <w:rPr>
                <w:rFonts w:ascii="Helvetica" w:hAnsi="Helvetica" w:cs="Arial"/>
                <w:sz w:val="18"/>
                <w:szCs w:val="18"/>
                <w:lang w:eastAsia="en-GB"/>
              </w:rPr>
              <w:t>10</w:t>
            </w:r>
            <w:r w:rsidR="0082770E">
              <w:rPr>
                <w:rFonts w:ascii="Helvetica" w:hAnsi="Helvetica" w:cs="Arial"/>
                <w:sz w:val="18"/>
                <w:szCs w:val="18"/>
                <w:lang w:eastAsia="en-GB"/>
              </w:rPr>
              <w:t>-15</w:t>
            </w:r>
            <w:r w:rsidRPr="00C038DE">
              <w:rPr>
                <w:rFonts w:ascii="Helvetica" w:hAnsi="Helvetica" w:cs="Arial"/>
                <w:sz w:val="18"/>
                <w:szCs w:val="18"/>
                <w:lang w:eastAsia="en-GB"/>
              </w:rPr>
              <w:t xml:space="preserve"> g </w:t>
            </w:r>
            <w:r>
              <w:rPr>
                <w:rFonts w:ascii="Helvetica" w:hAnsi="Helvetica" w:cs="Arial"/>
                <w:sz w:val="18"/>
                <w:szCs w:val="18"/>
                <w:lang w:eastAsia="en-GB"/>
              </w:rPr>
              <w:t>further packed in</w:t>
            </w:r>
          </w:p>
          <w:p w:rsidR="00421303" w:rsidRPr="00C038DE" w:rsidRDefault="00421303" w:rsidP="0053000F">
            <w:pPr>
              <w:shd w:val="clear" w:color="auto" w:fill="FFFFFF"/>
              <w:spacing w:line="240" w:lineRule="auto"/>
              <w:rPr>
                <w:rFonts w:ascii="Helvetica" w:hAnsi="Helvetica" w:cs="Arial"/>
                <w:sz w:val="18"/>
                <w:szCs w:val="18"/>
                <w:lang w:eastAsia="en-GB"/>
              </w:rPr>
            </w:pPr>
            <w:r w:rsidRPr="00C038DE">
              <w:rPr>
                <w:rFonts w:ascii="Helvetica" w:hAnsi="Helvetica" w:cs="Arial"/>
                <w:sz w:val="18"/>
                <w:szCs w:val="18"/>
                <w:lang w:eastAsia="en-GB"/>
              </w:rPr>
              <w:t>- PP bucket with lid </w:t>
            </w:r>
            <w:r w:rsidR="003438D5">
              <w:rPr>
                <w:rFonts w:ascii="Helvetica" w:hAnsi="Helvetica" w:cs="Arial"/>
                <w:sz w:val="18"/>
                <w:szCs w:val="18"/>
                <w:lang w:eastAsia="en-GB"/>
              </w:rPr>
              <w:t>3</w:t>
            </w:r>
            <w:r w:rsidRPr="00C038DE">
              <w:rPr>
                <w:rFonts w:ascii="Helvetica" w:hAnsi="Helvetica" w:cs="Arial"/>
                <w:sz w:val="18"/>
                <w:szCs w:val="18"/>
                <w:lang w:eastAsia="en-GB"/>
              </w:rPr>
              <w:t xml:space="preserve"> kg</w:t>
            </w:r>
            <w:r w:rsidRPr="00C038DE">
              <w:rPr>
                <w:rFonts w:ascii="Helvetica" w:hAnsi="Helvetica" w:cs="Arial"/>
                <w:sz w:val="18"/>
                <w:szCs w:val="18"/>
                <w:lang w:eastAsia="en-GB"/>
              </w:rPr>
              <w:br/>
              <w:t>- Cardboard carton with integral plastic (PP/PE) bag </w:t>
            </w:r>
            <w:r w:rsidR="003438D5">
              <w:rPr>
                <w:rFonts w:ascii="Helvetica" w:hAnsi="Helvetica" w:cs="Arial"/>
                <w:sz w:val="18"/>
                <w:szCs w:val="18"/>
                <w:lang w:eastAsia="en-GB"/>
              </w:rPr>
              <w:t>3</w:t>
            </w:r>
            <w:r>
              <w:rPr>
                <w:rFonts w:ascii="Helvetica" w:hAnsi="Helvetica" w:cs="Arial"/>
                <w:sz w:val="18"/>
                <w:szCs w:val="18"/>
                <w:lang w:eastAsia="en-GB"/>
              </w:rPr>
              <w:t>-</w:t>
            </w:r>
            <w:r w:rsidRPr="00C038DE">
              <w:rPr>
                <w:rFonts w:ascii="Helvetica" w:hAnsi="Helvetica" w:cs="Arial"/>
                <w:sz w:val="18"/>
                <w:szCs w:val="18"/>
                <w:lang w:eastAsia="en-GB"/>
              </w:rPr>
              <w:t xml:space="preserve"> 25 kg</w:t>
            </w:r>
            <w:r w:rsidRPr="00C038DE">
              <w:rPr>
                <w:rFonts w:ascii="Helvetica" w:hAnsi="Helvetica" w:cs="Arial"/>
                <w:sz w:val="18"/>
                <w:szCs w:val="18"/>
                <w:lang w:eastAsia="en-GB"/>
              </w:rPr>
              <w:br/>
            </w:r>
            <w:r w:rsidRPr="00C038DE">
              <w:rPr>
                <w:rFonts w:ascii="Helvetica" w:hAnsi="Helvetica" w:cs="Arial"/>
                <w:sz w:val="18"/>
                <w:szCs w:val="18"/>
                <w:lang w:eastAsia="en-GB"/>
              </w:rPr>
              <w:br/>
              <w:t>- Plastic (PP/PE) pouch  </w:t>
            </w:r>
            <w:r w:rsidR="0053000F">
              <w:rPr>
                <w:rFonts w:ascii="Helvetica" w:hAnsi="Helvetica" w:cs="Arial"/>
                <w:sz w:val="18"/>
                <w:szCs w:val="18"/>
                <w:lang w:eastAsia="en-GB"/>
              </w:rPr>
              <w:t>3</w:t>
            </w:r>
            <w:r>
              <w:rPr>
                <w:rFonts w:ascii="Helvetica" w:hAnsi="Helvetica" w:cs="Arial"/>
                <w:sz w:val="18"/>
                <w:szCs w:val="18"/>
                <w:lang w:eastAsia="en-GB"/>
              </w:rPr>
              <w:t>-</w:t>
            </w:r>
            <w:r w:rsidRPr="00C038DE">
              <w:rPr>
                <w:rFonts w:ascii="Helvetica" w:hAnsi="Helvetica" w:cs="Arial"/>
                <w:sz w:val="18"/>
                <w:szCs w:val="18"/>
                <w:lang w:eastAsia="en-GB"/>
              </w:rPr>
              <w:t xml:space="preserve"> 20 kg</w:t>
            </w:r>
            <w:r w:rsidRPr="00C038DE">
              <w:rPr>
                <w:rFonts w:ascii="Helvetica" w:hAnsi="Helvetica" w:cs="Arial"/>
                <w:sz w:val="18"/>
                <w:szCs w:val="18"/>
                <w:lang w:eastAsia="en-GB"/>
              </w:rPr>
              <w:br/>
              <w:t>- Carton containing prefilled PP/HDPE/PS bait stations </w:t>
            </w:r>
            <w:r w:rsidR="003438D5">
              <w:rPr>
                <w:rFonts w:ascii="Helvetica" w:hAnsi="Helvetica" w:cs="Arial"/>
                <w:sz w:val="18"/>
                <w:szCs w:val="18"/>
                <w:lang w:eastAsia="en-GB"/>
              </w:rPr>
              <w:t>3</w:t>
            </w:r>
            <w:r>
              <w:rPr>
                <w:rFonts w:ascii="Helvetica" w:hAnsi="Helvetica" w:cs="Arial"/>
                <w:sz w:val="18"/>
                <w:szCs w:val="18"/>
                <w:lang w:eastAsia="en-GB"/>
              </w:rPr>
              <w:t>-</w:t>
            </w:r>
            <w:r w:rsidRPr="00C038DE">
              <w:rPr>
                <w:rFonts w:ascii="Helvetica" w:hAnsi="Helvetica" w:cs="Arial"/>
                <w:sz w:val="18"/>
                <w:szCs w:val="18"/>
                <w:lang w:eastAsia="en-GB"/>
              </w:rPr>
              <w:t>10 kg</w:t>
            </w:r>
          </w:p>
        </w:tc>
      </w:tr>
    </w:tbl>
    <w:p w:rsidR="00421303" w:rsidRPr="00C038DE" w:rsidRDefault="00421303" w:rsidP="00421303">
      <w:pPr>
        <w:spacing w:line="260" w:lineRule="atLeast"/>
        <w:rPr>
          <w:rFonts w:eastAsia="Calibri" w:cs="Arial"/>
          <w:i/>
          <w:lang w:eastAsia="en-US"/>
        </w:rPr>
      </w:pPr>
    </w:p>
    <w:p w:rsidR="00421303" w:rsidRPr="00C038DE" w:rsidRDefault="00421303" w:rsidP="00421303">
      <w:pPr>
        <w:pStyle w:val="Kop4"/>
      </w:pPr>
      <w:r w:rsidRPr="00C038DE">
        <w:lastRenderedPageBreak/>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177A62"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Consider preventive control measures (e.g. plug holes, remove potential food and drinking as far as possible) to improve product intake and reduce the likelihood of reinvasion.</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Bait stations should be placed in the immediate vicinity of places where rodent activity has been previously observed (e.g. travel paths, nesting sites, feedlots, holes, burrows etc.).</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The bait stations should be visited at least every 2 to 3 days at the beginning after the beginning of the treatment and at least weekly afterwards, in order to check whether the bait is accepted, the bait stations are intact and to remove rodent bodies. Re-fill bait when necessary.</w:t>
            </w:r>
          </w:p>
          <w:p w:rsidR="00421303" w:rsidRPr="00177A62"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br/>
              <w:t>- Remove the remaining bait or the bait stations at the end of the treatment period</w:t>
            </w:r>
          </w:p>
          <w:p w:rsidR="00421303" w:rsidRDefault="00421303" w:rsidP="001D363E">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Use around buildings :</w:t>
            </w:r>
            <w:r w:rsidRPr="00177A62">
              <w:rPr>
                <w:rFonts w:ascii="Helvetica" w:hAnsi="Helvetica" w:cs="Arial"/>
                <w:sz w:val="18"/>
                <w:szCs w:val="18"/>
                <w:lang w:eastAsia="en-GB"/>
              </w:rPr>
              <w:br/>
              <w:t>- Protect bait from the atmospheric conditions (e.g. rain, snow, etc.). Place the bait stations in areas not liable to flooding.</w:t>
            </w:r>
            <w:r w:rsidRPr="00177A62">
              <w:rPr>
                <w:rFonts w:ascii="Helvetica" w:hAnsi="Helvetica" w:cs="Arial"/>
                <w:sz w:val="18"/>
                <w:szCs w:val="18"/>
                <w:lang w:eastAsia="en-GB"/>
              </w:rPr>
              <w:br/>
              <w:t>- Replace any bait in a bait station in which bait has been damaged by water or contaminated by dirt.</w:t>
            </w:r>
          </w:p>
          <w:p w:rsidR="00A01433" w:rsidRPr="00177A62" w:rsidRDefault="00A01433" w:rsidP="001D363E">
            <w:pPr>
              <w:spacing w:after="128" w:line="240" w:lineRule="auto"/>
              <w:rPr>
                <w:rFonts w:ascii="Helvetica" w:hAnsi="Helvetica" w:cs="Arial"/>
                <w:sz w:val="18"/>
                <w:szCs w:val="18"/>
                <w:lang w:eastAsia="en-GB"/>
              </w:rPr>
            </w:pPr>
          </w:p>
        </w:tc>
      </w:tr>
    </w:tbl>
    <w:p w:rsidR="00421303" w:rsidRPr="00177A62" w:rsidRDefault="00421303" w:rsidP="00421303">
      <w:pPr>
        <w:rPr>
          <w:rFonts w:cs="Arial"/>
        </w:rPr>
      </w:pPr>
    </w:p>
    <w:p w:rsidR="00421303" w:rsidRPr="00177A62" w:rsidRDefault="00421303" w:rsidP="00421303">
      <w:pPr>
        <w:pStyle w:val="Kop4"/>
      </w:pPr>
      <w:r w:rsidRPr="00177A62">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C038DE"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spacing w:line="240" w:lineRule="auto"/>
              <w:ind w:left="123" w:hanging="123"/>
              <w:rPr>
                <w:rFonts w:ascii="Helvetica" w:hAnsi="Helvetica" w:cs="Arial"/>
                <w:sz w:val="18"/>
                <w:szCs w:val="18"/>
                <w:lang w:eastAsia="en-GB"/>
              </w:rPr>
            </w:pPr>
            <w:r w:rsidRPr="00177A62">
              <w:rPr>
                <w:rFonts w:ascii="Helvetica" w:hAnsi="Helvetica" w:cs="Arial"/>
                <w:sz w:val="18"/>
                <w:szCs w:val="18"/>
                <w:lang w:eastAsia="en-GB"/>
              </w:rPr>
              <w:t>- To reduce risk of secondary poisoning, search for and remove dead rodents at frequent intervals during treatment (e.g. at least twice a week).</w:t>
            </w:r>
          </w:p>
          <w:p w:rsidR="00421303" w:rsidRPr="00177A62" w:rsidRDefault="00421303" w:rsidP="001D363E">
            <w:pPr>
              <w:spacing w:line="240" w:lineRule="auto"/>
              <w:ind w:left="123" w:hanging="123"/>
              <w:rPr>
                <w:rFonts w:ascii="Helvetica" w:hAnsi="Helvetica" w:cs="Arial"/>
                <w:sz w:val="18"/>
                <w:szCs w:val="18"/>
                <w:lang w:eastAsia="en-GB"/>
              </w:rPr>
            </w:pPr>
          </w:p>
          <w:p w:rsidR="00421303" w:rsidRPr="00177A62" w:rsidRDefault="00421303" w:rsidP="001D363E">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xml:space="preserve">- Products shall not be used beyond 35 days without an evaluation of the state of the infestation and of the efficacy of the treatment. </w:t>
            </w:r>
          </w:p>
          <w:p w:rsidR="00421303" w:rsidRPr="00177A62" w:rsidRDefault="00421303" w:rsidP="001D363E">
            <w:pPr>
              <w:spacing w:line="240" w:lineRule="auto"/>
              <w:ind w:left="137" w:hanging="137"/>
              <w:rPr>
                <w:rFonts w:ascii="Helvetica" w:hAnsi="Helvetica" w:cs="Arial"/>
                <w:sz w:val="18"/>
                <w:szCs w:val="18"/>
                <w:lang w:eastAsia="en-GB"/>
              </w:rPr>
            </w:pPr>
          </w:p>
          <w:p w:rsidR="00421303" w:rsidRPr="00177A62" w:rsidRDefault="00421303" w:rsidP="001D363E">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xml:space="preserve">- Do not use baits containing anticoagulant active substances as permanent baits for the prevention of rodent infestation or monitoring of rodent activities. </w:t>
            </w:r>
          </w:p>
          <w:p w:rsidR="00421303" w:rsidRPr="00177A62" w:rsidRDefault="00421303" w:rsidP="001D363E">
            <w:pPr>
              <w:spacing w:line="240" w:lineRule="auto"/>
              <w:ind w:left="137" w:hanging="137"/>
              <w:rPr>
                <w:rFonts w:ascii="Helvetica" w:hAnsi="Helvetica" w:cs="Arial"/>
                <w:sz w:val="18"/>
                <w:szCs w:val="18"/>
                <w:lang w:eastAsia="en-GB"/>
              </w:rPr>
            </w:pPr>
          </w:p>
          <w:p w:rsidR="00421303" w:rsidRPr="00177A62" w:rsidRDefault="00421303" w:rsidP="001D363E">
            <w:pPr>
              <w:spacing w:line="240" w:lineRule="auto"/>
              <w:rPr>
                <w:rFonts w:ascii="Helvetica" w:hAnsi="Helvetica" w:cs="Helvetica"/>
                <w:sz w:val="18"/>
                <w:szCs w:val="18"/>
              </w:rPr>
            </w:pPr>
            <w:r w:rsidRPr="00177A62">
              <w:rPr>
                <w:rFonts w:ascii="Helvetica" w:hAnsi="Helvetica" w:cs="Helvetica"/>
                <w:sz w:val="18"/>
                <w:szCs w:val="18"/>
              </w:rPr>
              <w:t>- The product information (i.e. label and/or leaflet) shall clearly show that:</w:t>
            </w:r>
          </w:p>
          <w:p w:rsidR="00421303" w:rsidRPr="00177A62" w:rsidRDefault="00421303" w:rsidP="00BA7C2C">
            <w:pPr>
              <w:pStyle w:val="Lijstalinea"/>
              <w:numPr>
                <w:ilvl w:val="0"/>
                <w:numId w:val="10"/>
              </w:numPr>
              <w:spacing w:line="240" w:lineRule="auto"/>
              <w:rPr>
                <w:rFonts w:ascii="Helvetica" w:hAnsi="Helvetica" w:cs="Helvetica"/>
                <w:sz w:val="18"/>
                <w:szCs w:val="18"/>
              </w:rPr>
            </w:pPr>
            <w:r w:rsidRPr="00177A62">
              <w:rPr>
                <w:rFonts w:ascii="Helvetica" w:hAnsi="Helvetica" w:cs="Helvetica"/>
                <w:sz w:val="18"/>
                <w:szCs w:val="18"/>
              </w:rPr>
              <w:t>The product shall not be supplied to the general public (e.g. "for professionals only").</w:t>
            </w:r>
          </w:p>
          <w:p w:rsidR="00421303" w:rsidRPr="00177A62" w:rsidRDefault="00421303" w:rsidP="00BA7C2C">
            <w:pPr>
              <w:pStyle w:val="Lijstalinea"/>
              <w:numPr>
                <w:ilvl w:val="0"/>
                <w:numId w:val="10"/>
              </w:numPr>
              <w:spacing w:line="240" w:lineRule="auto"/>
              <w:rPr>
                <w:rFonts w:ascii="Helvetica" w:hAnsi="Helvetica" w:cs="Helvetica"/>
                <w:sz w:val="18"/>
                <w:szCs w:val="18"/>
              </w:rPr>
            </w:pPr>
            <w:r w:rsidRPr="00177A62">
              <w:rPr>
                <w:rFonts w:ascii="Helvetica" w:hAnsi="Helvetica" w:cs="Helvetica"/>
                <w:sz w:val="18"/>
                <w:szCs w:val="18"/>
              </w:rPr>
              <w:t xml:space="preserve"> The product shall be used in adequate tamper resistant bait stations (e.g. "use in tamper  resistant bait stations only").</w:t>
            </w:r>
          </w:p>
          <w:p w:rsidR="00421303" w:rsidRPr="00177A62" w:rsidRDefault="00421303" w:rsidP="00BA7C2C">
            <w:pPr>
              <w:pStyle w:val="Lijstalinea"/>
              <w:numPr>
                <w:ilvl w:val="0"/>
                <w:numId w:val="10"/>
              </w:numPr>
              <w:spacing w:line="240" w:lineRule="auto"/>
              <w:rPr>
                <w:rFonts w:ascii="Helvetica" w:hAnsi="Helvetica" w:cs="Helvetica"/>
                <w:sz w:val="18"/>
                <w:szCs w:val="18"/>
              </w:rPr>
            </w:pPr>
            <w:r w:rsidRPr="00177A62">
              <w:rPr>
                <w:rFonts w:ascii="Helvetica" w:hAnsi="Helvetica" w:cs="Helvetica"/>
                <w:sz w:val="18"/>
                <w:szCs w:val="18"/>
              </w:rPr>
              <w:t> Users shall properly label bait stations with the information referred to in section 5.3 of the SPC (e.g. label bait stations according to the product recommendations").</w:t>
            </w:r>
          </w:p>
          <w:p w:rsidR="00421303" w:rsidRPr="00177A62" w:rsidRDefault="00421303" w:rsidP="001D363E">
            <w:pPr>
              <w:spacing w:line="240" w:lineRule="auto"/>
              <w:ind w:left="137" w:hanging="137"/>
              <w:rPr>
                <w:rFonts w:ascii="Helvetica" w:hAnsi="Helvetica" w:cs="Arial"/>
                <w:sz w:val="18"/>
                <w:szCs w:val="18"/>
                <w:lang w:eastAsia="en-GB"/>
              </w:rPr>
            </w:pPr>
          </w:p>
          <w:p w:rsidR="00421303" w:rsidRPr="00177A62" w:rsidRDefault="00421303" w:rsidP="001D363E">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421303" w:rsidRPr="00177A62" w:rsidRDefault="00421303" w:rsidP="001D363E">
            <w:pPr>
              <w:spacing w:line="240" w:lineRule="auto"/>
              <w:ind w:left="137" w:hanging="137"/>
              <w:rPr>
                <w:rFonts w:ascii="Helvetica" w:hAnsi="Helvetica" w:cs="Arial"/>
                <w:sz w:val="18"/>
                <w:szCs w:val="18"/>
                <w:lang w:eastAsia="en-GB"/>
              </w:rPr>
            </w:pPr>
          </w:p>
          <w:p w:rsidR="00421303" w:rsidRDefault="00421303" w:rsidP="001D363E">
            <w:pPr>
              <w:spacing w:line="240" w:lineRule="auto"/>
              <w:ind w:left="137" w:hanging="137"/>
              <w:rPr>
                <w:rFonts w:ascii="Helvetica" w:hAnsi="Helvetica" w:cs="Arial"/>
                <w:sz w:val="18"/>
                <w:szCs w:val="18"/>
                <w:lang w:eastAsia="en-GB"/>
              </w:rPr>
            </w:pPr>
            <w:r w:rsidRPr="00177A62">
              <w:rPr>
                <w:rFonts w:ascii="Helvetica" w:hAnsi="Helvetica" w:cs="Arial"/>
                <w:sz w:val="18"/>
                <w:szCs w:val="18"/>
                <w:lang w:eastAsia="en-GB"/>
              </w:rPr>
              <w:t>- Do not wash the bait stations with water between applications.</w:t>
            </w:r>
          </w:p>
          <w:p w:rsidR="001B0878" w:rsidRDefault="001B0878" w:rsidP="001D363E">
            <w:pPr>
              <w:spacing w:line="240" w:lineRule="auto"/>
              <w:ind w:left="137" w:hanging="137"/>
              <w:rPr>
                <w:rFonts w:ascii="Helvetica" w:hAnsi="Helvetica" w:cs="Arial"/>
                <w:sz w:val="18"/>
                <w:szCs w:val="18"/>
                <w:lang w:eastAsia="en-GB"/>
              </w:rPr>
            </w:pPr>
          </w:p>
          <w:p w:rsidR="001B0878" w:rsidRPr="00177A62" w:rsidRDefault="001B0878" w:rsidP="001D363E">
            <w:pPr>
              <w:spacing w:line="240" w:lineRule="auto"/>
              <w:ind w:left="137" w:hanging="137"/>
              <w:rPr>
                <w:rFonts w:ascii="Helvetica" w:hAnsi="Helvetica" w:cs="Arial"/>
                <w:sz w:val="18"/>
                <w:szCs w:val="18"/>
                <w:lang w:eastAsia="en-GB"/>
              </w:rPr>
            </w:pPr>
            <w:r>
              <w:rPr>
                <w:rFonts w:ascii="Helvetica" w:hAnsi="Helvetica" w:cs="Arial"/>
                <w:color w:val="333333"/>
                <w:sz w:val="18"/>
                <w:szCs w:val="18"/>
              </w:rPr>
              <w:t>- Do not apply this product directly in the burrows.</w:t>
            </w:r>
          </w:p>
          <w:p w:rsidR="00421303" w:rsidRPr="00177A62" w:rsidRDefault="00421303" w:rsidP="001D363E">
            <w:pPr>
              <w:spacing w:line="240" w:lineRule="auto"/>
              <w:rPr>
                <w:rFonts w:ascii="Helvetica" w:hAnsi="Helvetica" w:cs="Arial"/>
                <w:sz w:val="18"/>
                <w:szCs w:val="18"/>
                <w:lang w:eastAsia="en-GB"/>
              </w:rPr>
            </w:pPr>
          </w:p>
        </w:tc>
      </w:tr>
    </w:tbl>
    <w:p w:rsidR="00421303" w:rsidRPr="00C038DE" w:rsidRDefault="00421303" w:rsidP="00421303">
      <w:pPr>
        <w:rPr>
          <w:rFonts w:cs="Arial"/>
        </w:rPr>
      </w:pPr>
    </w:p>
    <w:p w:rsidR="00421303" w:rsidRPr="00C038DE" w:rsidRDefault="00421303" w:rsidP="00421303">
      <w:pPr>
        <w:pStyle w:val="Kop4"/>
      </w:pPr>
      <w:r w:rsidRPr="00C038DE">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177A62"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spacing w:line="240" w:lineRule="auto"/>
              <w:rPr>
                <w:rFonts w:ascii="Helvetica" w:hAnsi="Helvetica" w:cs="Arial"/>
                <w:sz w:val="18"/>
                <w:szCs w:val="18"/>
                <w:lang w:eastAsia="en-GB"/>
              </w:rPr>
            </w:pPr>
            <w:r w:rsidRPr="00177A62">
              <w:rPr>
                <w:rFonts w:ascii="Helvetica" w:hAnsi="Helvetica" w:cs="Arial"/>
                <w:sz w:val="18"/>
                <w:szCs w:val="18"/>
                <w:lang w:eastAsia="en-GB"/>
              </w:rPr>
              <w:t xml:space="preserve">Indoor: </w:t>
            </w:r>
            <w:r w:rsidRPr="00177A62">
              <w:rPr>
                <w:rFonts w:ascii="Helvetica" w:hAnsi="Helvetica" w:cs="Arial"/>
                <w:sz w:val="18"/>
                <w:szCs w:val="18"/>
                <w:lang w:eastAsia="en-GB"/>
              </w:rPr>
              <w:br/>
              <w:t>- When placing bait stations close to water drainage systems, ensure that bait contact with water is avoided.</w:t>
            </w:r>
            <w:r w:rsidRPr="00177A62">
              <w:rPr>
                <w:rFonts w:ascii="Helvetica" w:hAnsi="Helvetica" w:cs="Arial"/>
                <w:sz w:val="18"/>
                <w:szCs w:val="18"/>
                <w:lang w:eastAsia="en-GB"/>
              </w:rPr>
              <w:br/>
            </w:r>
          </w:p>
          <w:p w:rsidR="00421303" w:rsidRPr="00177A62" w:rsidRDefault="00421303" w:rsidP="001D363E">
            <w:pPr>
              <w:spacing w:line="240" w:lineRule="auto"/>
              <w:rPr>
                <w:rFonts w:ascii="Helvetica" w:hAnsi="Helvetica" w:cs="Arial"/>
                <w:sz w:val="18"/>
                <w:szCs w:val="18"/>
                <w:lang w:eastAsia="en-GB"/>
              </w:rPr>
            </w:pPr>
            <w:r w:rsidRPr="00177A62">
              <w:rPr>
                <w:rFonts w:ascii="Helvetica" w:hAnsi="Helvetica" w:cs="Arial"/>
                <w:sz w:val="18"/>
                <w:szCs w:val="18"/>
                <w:lang w:eastAsia="en-GB"/>
              </w:rPr>
              <w:t>Around buildings:</w:t>
            </w:r>
            <w:r w:rsidRPr="00177A62">
              <w:rPr>
                <w:rFonts w:ascii="Helvetica" w:hAnsi="Helvetica" w:cs="Arial"/>
                <w:sz w:val="18"/>
                <w:szCs w:val="18"/>
                <w:lang w:eastAsia="en-GB"/>
              </w:rPr>
              <w:br/>
              <w:t>- When placing bait stations close to surface waters (e.g. rivers, ponds, water channels, dykes, irrigation ditches) or water drainage systems, ensure that bait contact with water is avoided.</w:t>
            </w:r>
          </w:p>
        </w:tc>
      </w:tr>
    </w:tbl>
    <w:p w:rsidR="00421303" w:rsidRPr="00177A62" w:rsidRDefault="00421303" w:rsidP="00421303">
      <w:pPr>
        <w:rPr>
          <w:rFonts w:cs="Arial"/>
        </w:rPr>
      </w:pPr>
    </w:p>
    <w:p w:rsidR="00421303" w:rsidRPr="00177A62" w:rsidRDefault="00421303" w:rsidP="00421303">
      <w:pPr>
        <w:pStyle w:val="Kop4"/>
      </w:pPr>
      <w:r w:rsidRPr="00177A62">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177A62"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rPr>
                <w:rFonts w:cs="Arial"/>
              </w:rPr>
            </w:pPr>
            <w:r w:rsidRPr="00177A62">
              <w:rPr>
                <w:rFonts w:ascii="Helvetica" w:hAnsi="Helvetica" w:cs="Arial"/>
                <w:sz w:val="18"/>
                <w:szCs w:val="18"/>
                <w:lang w:eastAsia="en-GB"/>
              </w:rPr>
              <w:t>See general instructions for use</w:t>
            </w:r>
          </w:p>
        </w:tc>
      </w:tr>
    </w:tbl>
    <w:p w:rsidR="00421303" w:rsidRPr="00177A62" w:rsidRDefault="00421303" w:rsidP="00421303">
      <w:pPr>
        <w:pStyle w:val="Kop4"/>
      </w:pPr>
      <w:r w:rsidRPr="00177A62">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21303" w:rsidRPr="00177A62" w:rsidTr="001D363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21303" w:rsidRPr="00177A62" w:rsidRDefault="00421303" w:rsidP="001D363E">
            <w:pPr>
              <w:rPr>
                <w:rFonts w:ascii="Helvetica" w:hAnsi="Helvetica" w:cs="Arial"/>
                <w:sz w:val="18"/>
                <w:szCs w:val="18"/>
                <w:lang w:eastAsia="en-GB"/>
              </w:rPr>
            </w:pPr>
            <w:r w:rsidRPr="00177A62">
              <w:rPr>
                <w:rFonts w:ascii="Helvetica" w:hAnsi="Helvetica" w:cs="Arial"/>
                <w:sz w:val="18"/>
                <w:szCs w:val="18"/>
                <w:lang w:eastAsia="en-GB"/>
              </w:rPr>
              <w:t>See general instructions for use</w:t>
            </w:r>
          </w:p>
        </w:tc>
      </w:tr>
    </w:tbl>
    <w:p w:rsidR="00421303" w:rsidRPr="00177A62" w:rsidRDefault="00421303" w:rsidP="00421303"/>
    <w:p w:rsidR="00421303" w:rsidRPr="00177A62" w:rsidRDefault="00421303" w:rsidP="007978C2">
      <w:pPr>
        <w:pStyle w:val="Kop2"/>
        <w:numPr>
          <w:ilvl w:val="0"/>
          <w:numId w:val="0"/>
        </w:numPr>
        <w:spacing w:after="280"/>
        <w:ind w:left="360" w:hanging="360"/>
        <w:jc w:val="both"/>
      </w:pPr>
    </w:p>
    <w:p w:rsidR="004945C5" w:rsidRPr="00177A62" w:rsidRDefault="004945C5" w:rsidP="00A864A8">
      <w:pPr>
        <w:pStyle w:val="Kop2"/>
        <w:numPr>
          <w:ilvl w:val="1"/>
          <w:numId w:val="4"/>
        </w:numPr>
        <w:spacing w:after="280"/>
        <w:jc w:val="both"/>
      </w:pPr>
      <w:bookmarkStart w:id="624" w:name="_Toc500491642"/>
      <w:r w:rsidRPr="00177A62">
        <w:t>General directions for use</w:t>
      </w:r>
      <w:bookmarkEnd w:id="621"/>
      <w:bookmarkEnd w:id="622"/>
      <w:bookmarkEnd w:id="623"/>
      <w:bookmarkEnd w:id="624"/>
    </w:p>
    <w:p w:rsidR="004945C5" w:rsidRPr="00177A62" w:rsidRDefault="004945C5" w:rsidP="000447F1">
      <w:pPr>
        <w:pStyle w:val="Kop3"/>
      </w:pPr>
      <w:bookmarkStart w:id="625" w:name="_Toc420919332"/>
      <w:bookmarkStart w:id="626" w:name="_Toc429660960"/>
      <w:r w:rsidRPr="00177A62">
        <w:t>Instructions for use</w:t>
      </w:r>
      <w:bookmarkEnd w:id="625"/>
      <w:bookmarkEnd w:id="62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C038DE"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883000" w:rsidRPr="00177A62" w:rsidRDefault="00FC6958" w:rsidP="00FC6958">
            <w:pPr>
              <w:rPr>
                <w:rFonts w:ascii="Helvetica" w:hAnsi="Helvetica" w:cs="Arial"/>
                <w:sz w:val="18"/>
                <w:szCs w:val="18"/>
                <w:lang w:eastAsia="en-GB"/>
              </w:rPr>
            </w:pPr>
            <w:r w:rsidRPr="00177A62">
              <w:rPr>
                <w:rFonts w:ascii="Helvetica" w:hAnsi="Helvetica" w:cs="Arial"/>
                <w:sz w:val="18"/>
                <w:szCs w:val="18"/>
                <w:lang w:eastAsia="en-GB"/>
              </w:rPr>
              <w:t>- Read and follow the product information as well as any information accompanying the product or provided at the point of sale before using it.</w:t>
            </w:r>
            <w:r w:rsidRPr="00177A62">
              <w:rPr>
                <w:rFonts w:ascii="Helvetica" w:hAnsi="Helvetica" w:cs="Arial"/>
                <w:sz w:val="18"/>
                <w:szCs w:val="18"/>
                <w:lang w:eastAsia="en-GB"/>
              </w:rPr>
              <w:br/>
              <w:t>- Remove food which is readily attainable for rodents (e.g. spilled grain or food waste). Apart from this, do not clean up the infested area just before the treatment, as this only disturbs the rodent population and makes bait acceptance more difficult to achieve.</w:t>
            </w:r>
          </w:p>
          <w:p w:rsidR="00883000" w:rsidRPr="00177A62" w:rsidRDefault="00FC6958" w:rsidP="00FC6958">
            <w:pPr>
              <w:rPr>
                <w:rFonts w:ascii="Helvetica" w:hAnsi="Helvetica" w:cs="Arial"/>
                <w:sz w:val="18"/>
                <w:szCs w:val="18"/>
                <w:lang w:eastAsia="en-GB"/>
              </w:rPr>
            </w:pPr>
            <w:r w:rsidRPr="00177A62">
              <w:rPr>
                <w:rFonts w:ascii="Helvetica" w:hAnsi="Helvetica" w:cs="Arial"/>
                <w:sz w:val="18"/>
                <w:szCs w:val="18"/>
                <w:lang w:eastAsia="en-GB"/>
              </w:rPr>
              <w:t xml:space="preserve">- Where possible, bait stations must be fixed to the ground or other structures. </w:t>
            </w:r>
          </w:p>
          <w:p w:rsidR="006315C2" w:rsidRPr="00177A62" w:rsidRDefault="006315C2" w:rsidP="006315C2">
            <w:pPr>
              <w:spacing w:line="260" w:lineRule="atLeast"/>
              <w:jc w:val="both"/>
            </w:pPr>
            <w:r w:rsidRPr="00177A62">
              <w:t xml:space="preserve">Bait stations must be clearly labelled to show they contain rodenticides and that they must not be moved or opened </w:t>
            </w:r>
            <w:r w:rsidRPr="00177A62">
              <w:rPr>
                <w:i/>
              </w:rPr>
              <w:t>(see section 5.3 of the SPC for the information to be shown on the label)</w:t>
            </w:r>
            <w:r w:rsidRPr="00177A62">
              <w:t>.</w:t>
            </w:r>
          </w:p>
          <w:p w:rsidR="006315C2" w:rsidRPr="00177A62" w:rsidRDefault="006315C2" w:rsidP="00FC6958">
            <w:pPr>
              <w:rPr>
                <w:rFonts w:ascii="Helvetica" w:hAnsi="Helvetica" w:cs="Arial"/>
                <w:sz w:val="18"/>
                <w:szCs w:val="18"/>
                <w:lang w:eastAsia="en-GB"/>
              </w:rPr>
            </w:pPr>
          </w:p>
          <w:p w:rsidR="006315C2" w:rsidRPr="00177A62" w:rsidRDefault="006315C2" w:rsidP="006315C2">
            <w:pPr>
              <w:spacing w:after="120"/>
            </w:pPr>
            <w:r w:rsidRPr="00177A62">
              <w:t xml:space="preserve">Carry out a pre-baiting survey of the infested area and an on-site assessment in order to identify the rodent species, their places of activity and determine the likely cause and the extent of the </w:t>
            </w:r>
            <w:r w:rsidRPr="00177A62">
              <w:lastRenderedPageBreak/>
              <w:t>infestation.</w:t>
            </w:r>
          </w:p>
          <w:p w:rsidR="006315C2" w:rsidRPr="00177A62" w:rsidRDefault="006315C2" w:rsidP="00FC6958">
            <w:pPr>
              <w:rPr>
                <w:rFonts w:ascii="Helvetica" w:hAnsi="Helvetica" w:cs="Arial"/>
                <w:sz w:val="18"/>
                <w:szCs w:val="18"/>
                <w:lang w:eastAsia="en-GB"/>
              </w:rPr>
            </w:pPr>
          </w:p>
          <w:p w:rsidR="006315C2" w:rsidRPr="00177A62" w:rsidRDefault="006315C2" w:rsidP="006315C2">
            <w:pPr>
              <w:rPr>
                <w:rFonts w:ascii="Helvetica" w:hAnsi="Helvetica" w:cs="Arial"/>
                <w:sz w:val="18"/>
                <w:szCs w:val="18"/>
                <w:lang w:eastAsia="en-GB"/>
              </w:rPr>
            </w:pPr>
            <w:r w:rsidRPr="00177A62">
              <w:rPr>
                <w:rFonts w:ascii="Helvetica" w:hAnsi="Helvetica" w:cs="Arial"/>
                <w:sz w:val="18"/>
                <w:szCs w:val="18"/>
                <w:lang w:eastAsia="en-GB"/>
              </w:rPr>
              <w:t>-The product should only be used as part of an integrated pest management (IPM) system, including, amongst others, hygiene measures and, where possible, physical methods of control.</w:t>
            </w:r>
          </w:p>
          <w:p w:rsidR="006315C2" w:rsidRPr="00177A62" w:rsidRDefault="006315C2" w:rsidP="00FC6958">
            <w:pPr>
              <w:rPr>
                <w:rFonts w:ascii="Helvetica" w:hAnsi="Helvetica" w:cs="Arial"/>
                <w:sz w:val="18"/>
                <w:szCs w:val="18"/>
                <w:lang w:eastAsia="en-GB"/>
              </w:rPr>
            </w:pPr>
          </w:p>
          <w:p w:rsidR="0056509D" w:rsidRPr="00177A62" w:rsidRDefault="0056509D" w:rsidP="0056509D">
            <w:pPr>
              <w:rPr>
                <w:rFonts w:ascii="Helvetica" w:hAnsi="Helvetica" w:cs="Arial"/>
                <w:sz w:val="18"/>
                <w:szCs w:val="18"/>
                <w:lang w:eastAsia="en-GB"/>
              </w:rPr>
            </w:pPr>
            <w:r w:rsidRPr="00177A62">
              <w:rPr>
                <w:rFonts w:ascii="Helvetica" w:hAnsi="Helvetica" w:cs="Arial"/>
                <w:sz w:val="18"/>
                <w:szCs w:val="18"/>
                <w:lang w:eastAsia="en-GB"/>
              </w:rPr>
              <w:t>-[if national policy or legislation requires is]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 the baits.</w:t>
            </w:r>
          </w:p>
          <w:p w:rsidR="0056509D" w:rsidRDefault="0056509D" w:rsidP="0056509D">
            <w:pPr>
              <w:rPr>
                <w:rFonts w:ascii="Helvetica" w:hAnsi="Helvetica" w:cs="Arial"/>
                <w:sz w:val="18"/>
                <w:szCs w:val="18"/>
                <w:lang w:eastAsia="en-GB"/>
              </w:rPr>
            </w:pPr>
            <w:r w:rsidRPr="00177A62">
              <w:rPr>
                <w:rFonts w:ascii="Helvetica" w:hAnsi="Helvetica" w:cs="Arial"/>
                <w:sz w:val="18"/>
                <w:szCs w:val="18"/>
                <w:lang w:eastAsia="en-GB"/>
              </w:rPr>
              <w:t xml:space="preserve"> - Bait should be secured so that it cannot be dragged away from the bait station.</w:t>
            </w:r>
          </w:p>
          <w:p w:rsidR="005A509B" w:rsidRPr="00177A62" w:rsidRDefault="005A509B" w:rsidP="005A509B">
            <w:pPr>
              <w:rPr>
                <w:rFonts w:ascii="Helvetica" w:hAnsi="Helvetica" w:cs="Arial"/>
                <w:sz w:val="18"/>
                <w:szCs w:val="18"/>
                <w:lang w:eastAsia="en-GB"/>
              </w:rPr>
            </w:pPr>
            <w:r w:rsidRPr="00177A62">
              <w:rPr>
                <w:rFonts w:ascii="Helvetica" w:hAnsi="Helvetica" w:cs="Arial"/>
                <w:sz w:val="18"/>
                <w:szCs w:val="18"/>
                <w:lang w:eastAsia="en-GB"/>
              </w:rPr>
              <w:t>- Place the product out of the reach of children, birds, pets and farm animals and other non-targeted animals.</w:t>
            </w:r>
          </w:p>
          <w:p w:rsidR="005A509B" w:rsidRPr="00177A62" w:rsidRDefault="005A509B" w:rsidP="005A509B">
            <w:pPr>
              <w:rPr>
                <w:rFonts w:cs="Helvetica"/>
                <w:lang w:eastAsia="en-GB"/>
              </w:rPr>
            </w:pPr>
            <w:r w:rsidRPr="00177A62">
              <w:rPr>
                <w:rFonts w:ascii="Helvetica" w:hAnsi="Helvetica" w:cs="Arial"/>
                <w:sz w:val="18"/>
                <w:szCs w:val="18"/>
                <w:lang w:eastAsia="en-GB"/>
              </w:rPr>
              <w:t>- Place the product away from food, drink and animal feeding stuffs, as well as from utensils or surfaces that have contact with these.</w:t>
            </w:r>
            <w:r>
              <w:rPr>
                <w:rFonts w:cs="Helvetica"/>
                <w:lang w:eastAsia="en-GB"/>
              </w:rPr>
              <w:t xml:space="preserve">- </w:t>
            </w:r>
            <w:r w:rsidRPr="00FA691D">
              <w:rPr>
                <w:rFonts w:ascii="Helvetica" w:hAnsi="Helvetica" w:cs="Arial"/>
                <w:sz w:val="18"/>
                <w:szCs w:val="18"/>
                <w:lang w:eastAsia="en-GB"/>
              </w:rPr>
              <w:t>Wear protective chemical resistant gloves during product handling phase (glove material to be specified by the authorisation holder with the product information).</w:t>
            </w:r>
          </w:p>
          <w:p w:rsidR="00654DB2" w:rsidRPr="00177A62" w:rsidRDefault="00FC6958" w:rsidP="00FC6958">
            <w:pPr>
              <w:rPr>
                <w:rFonts w:ascii="Helvetica" w:hAnsi="Helvetica" w:cs="Arial"/>
                <w:sz w:val="18"/>
                <w:szCs w:val="18"/>
                <w:lang w:eastAsia="en-GB"/>
              </w:rPr>
            </w:pPr>
            <w:r w:rsidRPr="00177A62">
              <w:rPr>
                <w:rFonts w:ascii="Helvetica" w:hAnsi="Helvetica" w:cs="Arial"/>
                <w:sz w:val="18"/>
                <w:szCs w:val="18"/>
                <w:lang w:eastAsia="en-GB"/>
              </w:rPr>
              <w:br/>
              <w:t>- When using the product do not eat, drink or smoke. Wash hands and directly exposed skin after using the product.</w:t>
            </w:r>
          </w:p>
          <w:p w:rsidR="00D07978" w:rsidRPr="00177A62" w:rsidRDefault="00D07978" w:rsidP="00FC6958">
            <w:pPr>
              <w:rPr>
                <w:rFonts w:ascii="Helvetica" w:hAnsi="Helvetica" w:cs="Arial"/>
                <w:sz w:val="18"/>
                <w:szCs w:val="18"/>
                <w:lang w:eastAsia="en-GB"/>
              </w:rPr>
            </w:pPr>
          </w:p>
          <w:p w:rsidR="00D07978" w:rsidRPr="00177A62" w:rsidRDefault="00D07978" w:rsidP="00D07978">
            <w:pPr>
              <w:spacing w:after="128" w:line="240" w:lineRule="auto"/>
              <w:rPr>
                <w:rFonts w:ascii="Helvetica" w:hAnsi="Helvetica" w:cs="Arial"/>
                <w:sz w:val="18"/>
                <w:szCs w:val="18"/>
                <w:lang w:eastAsia="en-GB"/>
              </w:rPr>
            </w:pPr>
            <w:r w:rsidRPr="00177A62">
              <w:rPr>
                <w:rFonts w:ascii="Helvetica" w:hAnsi="Helvetica" w:cs="Arial"/>
                <w:sz w:val="18"/>
                <w:szCs w:val="18"/>
                <w:lang w:eastAsia="en-GB"/>
              </w:rPr>
              <w:t>- [When available] Follow any additional instructions provided by the relevant code of best practice.</w:t>
            </w:r>
          </w:p>
          <w:p w:rsidR="00D07978" w:rsidRPr="00177A62" w:rsidRDefault="00D07978" w:rsidP="00FC6958">
            <w:pPr>
              <w:rPr>
                <w:rFonts w:ascii="Helvetica" w:hAnsi="Helvetica" w:cs="Arial"/>
                <w:sz w:val="18"/>
                <w:szCs w:val="18"/>
                <w:lang w:eastAsia="en-GB"/>
              </w:rPr>
            </w:pPr>
          </w:p>
          <w:p w:rsidR="001F2611" w:rsidRPr="00177A62" w:rsidRDefault="001F2611" w:rsidP="00FC6958">
            <w:pPr>
              <w:rPr>
                <w:rFonts w:ascii="Helvetica" w:hAnsi="Helvetica" w:cs="Arial"/>
                <w:sz w:val="18"/>
                <w:szCs w:val="18"/>
                <w:lang w:eastAsia="en-GB"/>
              </w:rPr>
            </w:pPr>
            <w:r w:rsidRPr="00177A62">
              <w:rPr>
                <w:rFonts w:ascii="Helvetica" w:hAnsi="Helvetica" w:cs="Arial"/>
                <w:sz w:val="18"/>
                <w:szCs w:val="18"/>
                <w:lang w:eastAsia="en-GB"/>
              </w:rPr>
              <w:t>-If bait uptake is low relative to the apparent size of the infestation, consider the replacement of bait points to further places and the possibility to change to another bait formulation.</w:t>
            </w:r>
          </w:p>
          <w:p w:rsidR="006315C2" w:rsidRPr="00177A62" w:rsidRDefault="006315C2" w:rsidP="00FC6958">
            <w:pPr>
              <w:rPr>
                <w:rFonts w:ascii="Helvetica" w:hAnsi="Helvetica" w:cs="Arial"/>
                <w:sz w:val="18"/>
                <w:szCs w:val="18"/>
                <w:lang w:eastAsia="en-GB"/>
              </w:rPr>
            </w:pPr>
          </w:p>
          <w:p w:rsidR="001F2611" w:rsidRPr="00177A62" w:rsidRDefault="001F2611" w:rsidP="00FC6958">
            <w:pPr>
              <w:rPr>
                <w:rFonts w:ascii="Helvetica" w:hAnsi="Helvetica" w:cs="Arial"/>
                <w:sz w:val="18"/>
                <w:szCs w:val="18"/>
                <w:lang w:eastAsia="en-GB"/>
              </w:rPr>
            </w:pPr>
            <w:r w:rsidRPr="00177A62">
              <w:rPr>
                <w:rFonts w:ascii="Helvetica" w:hAnsi="Helvetica" w:cs="Arial"/>
                <w:sz w:val="18"/>
                <w:szCs w:val="18"/>
                <w:lang w:eastAsia="en-GB"/>
              </w:rPr>
              <w:t xml:space="preserve">-If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 </w:t>
            </w:r>
          </w:p>
          <w:p w:rsidR="006315C2" w:rsidRPr="00177A62" w:rsidRDefault="006315C2" w:rsidP="00FC6958">
            <w:pPr>
              <w:rPr>
                <w:rFonts w:ascii="Helvetica" w:hAnsi="Helvetica" w:cs="Arial"/>
                <w:sz w:val="18"/>
                <w:szCs w:val="18"/>
                <w:lang w:eastAsia="en-GB"/>
              </w:rPr>
            </w:pPr>
          </w:p>
          <w:p w:rsidR="0056509D" w:rsidRPr="00883000" w:rsidRDefault="003B5094" w:rsidP="0056509D">
            <w:pPr>
              <w:rPr>
                <w:rFonts w:ascii="Helvetica" w:hAnsi="Helvetica" w:cs="Arial"/>
                <w:sz w:val="18"/>
                <w:szCs w:val="18"/>
                <w:lang w:eastAsia="en-GB"/>
              </w:rPr>
            </w:pPr>
            <w:r w:rsidRPr="00177A62">
              <w:rPr>
                <w:rFonts w:ascii="Helvetica" w:hAnsi="Helvetica" w:cs="Arial"/>
                <w:sz w:val="18"/>
                <w:szCs w:val="18"/>
                <w:lang w:eastAsia="en-GB"/>
              </w:rPr>
              <w:t>-Bait in sachets: Do not open the sachets containing the bait</w:t>
            </w:r>
          </w:p>
        </w:tc>
      </w:tr>
    </w:tbl>
    <w:p w:rsidR="004945C5" w:rsidRPr="00C038DE" w:rsidRDefault="004945C5" w:rsidP="000447F1">
      <w:pPr>
        <w:pStyle w:val="Kop3"/>
      </w:pPr>
      <w:bookmarkStart w:id="627" w:name="_Toc420919333"/>
      <w:bookmarkStart w:id="628" w:name="_Toc429660961"/>
      <w:r w:rsidRPr="004061A6">
        <w:lastRenderedPageBreak/>
        <w:t>Risk mitigation measures</w:t>
      </w:r>
      <w:bookmarkEnd w:id="627"/>
      <w:bookmarkEnd w:id="62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177A62"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71CD3" w:rsidRPr="00177A62" w:rsidRDefault="00171CD3" w:rsidP="00FC6958">
            <w:pPr>
              <w:rPr>
                <w:rFonts w:ascii="Helvetica" w:hAnsi="Helvetica" w:cs="Arial"/>
                <w:sz w:val="18"/>
                <w:szCs w:val="18"/>
                <w:lang w:eastAsia="en-GB"/>
              </w:rPr>
            </w:pPr>
          </w:p>
          <w:p w:rsidR="00511226" w:rsidRPr="00177A62" w:rsidRDefault="00FC6958" w:rsidP="00FC6958">
            <w:pPr>
              <w:rPr>
                <w:rFonts w:ascii="Helvetica" w:hAnsi="Helvetica" w:cs="Arial"/>
                <w:sz w:val="18"/>
                <w:szCs w:val="18"/>
                <w:lang w:eastAsia="en-GB"/>
              </w:rPr>
            </w:pPr>
            <w:r w:rsidRPr="00177A62">
              <w:rPr>
                <w:rFonts w:ascii="Helvetica" w:hAnsi="Helvetica" w:cs="Arial"/>
                <w:sz w:val="18"/>
                <w:szCs w:val="18"/>
                <w:lang w:eastAsia="en-GB"/>
              </w:rPr>
              <w:t>- Do not use this product in pulsed baiting treatments.</w:t>
            </w:r>
          </w:p>
          <w:p w:rsidR="004945C5" w:rsidRPr="00177A62" w:rsidRDefault="00FC6958" w:rsidP="00FC6958">
            <w:pPr>
              <w:rPr>
                <w:rFonts w:ascii="Helvetica" w:hAnsi="Helvetica" w:cs="Arial"/>
                <w:sz w:val="18"/>
                <w:szCs w:val="18"/>
                <w:lang w:eastAsia="en-GB"/>
              </w:rPr>
            </w:pPr>
            <w:r w:rsidRPr="00177A62">
              <w:rPr>
                <w:rFonts w:ascii="Helvetica" w:hAnsi="Helvetica" w:cs="Arial"/>
                <w:sz w:val="18"/>
                <w:szCs w:val="18"/>
                <w:lang w:eastAsia="en-GB"/>
              </w:rPr>
              <w:br/>
              <w:t>- Where possible, prior to the treatment inform any possible bystanders (e.g. users of the treated area and their surroundings) about the rodent control campaign [in accordance with the applicable code of good practice, if any].</w:t>
            </w:r>
            <w:r w:rsidRPr="00177A62">
              <w:rPr>
                <w:rFonts w:ascii="Helvetica" w:hAnsi="Helvetica" w:cs="Arial"/>
                <w:sz w:val="18"/>
                <w:szCs w:val="18"/>
                <w:lang w:eastAsia="en-GB"/>
              </w:rPr>
              <w:br/>
              <w:t>- Dispose dead rodents in accordance with local requirements [The method of disposal shall be described specifically in the national SPC and be reflected on the product label].</w:t>
            </w:r>
          </w:p>
          <w:p w:rsidR="00F12B11" w:rsidRPr="00177A62" w:rsidRDefault="00F12B11" w:rsidP="00FC6958">
            <w:pPr>
              <w:rPr>
                <w:rFonts w:ascii="Helvetica" w:hAnsi="Helvetica" w:cs="Arial"/>
                <w:sz w:val="18"/>
                <w:szCs w:val="18"/>
                <w:lang w:eastAsia="en-GB"/>
              </w:rPr>
            </w:pPr>
          </w:p>
          <w:p w:rsidR="00E3420D" w:rsidRPr="00177A62" w:rsidRDefault="00E3420D" w:rsidP="005A509B">
            <w:pPr>
              <w:rPr>
                <w:rFonts w:cs="Arial"/>
              </w:rPr>
            </w:pPr>
          </w:p>
        </w:tc>
      </w:tr>
    </w:tbl>
    <w:p w:rsidR="004945C5" w:rsidRPr="00177A62" w:rsidRDefault="004945C5" w:rsidP="000447F1">
      <w:pPr>
        <w:pStyle w:val="Kop3"/>
      </w:pPr>
      <w:bookmarkStart w:id="629" w:name="_Toc420919334"/>
      <w:bookmarkStart w:id="630" w:name="_Toc429660962"/>
      <w:r w:rsidRPr="00177A62">
        <w:lastRenderedPageBreak/>
        <w:t>Particulars of likely direct or indirect effects, first aid instructions and emergency measures to protect the environment</w:t>
      </w:r>
      <w:bookmarkEnd w:id="629"/>
      <w:bookmarkEnd w:id="63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177A62"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177A62" w:rsidRDefault="00FC6958" w:rsidP="00FC6958">
            <w:pPr>
              <w:rPr>
                <w:rFonts w:cs="Arial"/>
              </w:rPr>
            </w:pPr>
            <w:r w:rsidRPr="00177A62">
              <w:rPr>
                <w:rFonts w:ascii="Helvetica" w:hAnsi="Helvetica" w:cs="Arial"/>
                <w:sz w:val="18"/>
                <w:szCs w:val="18"/>
                <w:lang w:eastAsia="en-GB"/>
              </w:rPr>
              <w:t>- This product contains an anticoagulant substance. If ingested, symptoms, which may be delayed, may include nosebleed and bleeding gums. In severe cases, there may be bruising and blood present in the faeces or urine.</w:t>
            </w:r>
            <w:r w:rsidRPr="00177A62">
              <w:rPr>
                <w:rFonts w:ascii="Helvetica" w:hAnsi="Helvetica" w:cs="Arial"/>
                <w:sz w:val="18"/>
                <w:szCs w:val="18"/>
                <w:lang w:eastAsia="en-GB"/>
              </w:rPr>
              <w:br/>
              <w:t xml:space="preserve">- Antidote: Vitamin K1 administered by medical/veterinary personnel only.    </w:t>
            </w:r>
            <w:r w:rsidRPr="00177A62">
              <w:rPr>
                <w:rFonts w:ascii="Helvetica" w:hAnsi="Helvetica" w:cs="Arial"/>
                <w:sz w:val="18"/>
                <w:szCs w:val="18"/>
                <w:lang w:eastAsia="en-GB"/>
              </w:rPr>
              <w:br/>
              <w:t>- In case of:</w:t>
            </w:r>
            <w:r w:rsidRPr="00177A62">
              <w:rPr>
                <w:rFonts w:ascii="Helvetica" w:hAnsi="Helvetica" w:cs="Arial"/>
                <w:sz w:val="18"/>
                <w:szCs w:val="18"/>
                <w:lang w:eastAsia="en-GB"/>
              </w:rPr>
              <w:br/>
              <w:t xml:space="preserve">- Dermal exposure, wash skin with water and then with water and soap. </w:t>
            </w:r>
            <w:r w:rsidRPr="00177A62">
              <w:rPr>
                <w:rFonts w:ascii="Helvetica" w:hAnsi="Helvetica" w:cs="Arial"/>
                <w:sz w:val="18"/>
                <w:szCs w:val="18"/>
                <w:lang w:eastAsia="en-GB"/>
              </w:rPr>
              <w:br/>
              <w:t xml:space="preserve">- Eye exposure, rinse eyes with eyes-rinse liquid or water, keep eyes lids open at least 10 minutes. </w:t>
            </w:r>
            <w:r w:rsidRPr="00177A62">
              <w:rPr>
                <w:rFonts w:ascii="Helvetica" w:hAnsi="Helvetica" w:cs="Arial"/>
                <w:sz w:val="18"/>
                <w:szCs w:val="18"/>
                <w:lang w:eastAsia="en-GB"/>
              </w:rPr>
              <w:br/>
              <w:t>- 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r w:rsidRPr="00177A62">
              <w:rPr>
                <w:rFonts w:ascii="Helvetica" w:hAnsi="Helvetica" w:cs="Arial"/>
                <w:sz w:val="18"/>
                <w:szCs w:val="18"/>
                <w:lang w:eastAsia="en-GB"/>
              </w:rPr>
              <w:br/>
              <w:t>- Bait stations must be labelled with the following information: "do not move or open"; "contains a rodenticide"; "product name or authorisation number"; "active substance(s)" and "in case of incident, call a poison centre [insert national phone number]".</w:t>
            </w:r>
            <w:r w:rsidRPr="00177A62">
              <w:rPr>
                <w:rFonts w:ascii="Helvetica" w:hAnsi="Helvetica" w:cs="Arial"/>
                <w:sz w:val="18"/>
                <w:szCs w:val="18"/>
                <w:lang w:eastAsia="en-GB"/>
              </w:rPr>
              <w:br/>
              <w:t>- Hazardous to wildlife.</w:t>
            </w:r>
          </w:p>
        </w:tc>
      </w:tr>
    </w:tbl>
    <w:p w:rsidR="004945C5" w:rsidRPr="00177A62" w:rsidRDefault="004945C5" w:rsidP="000447F1">
      <w:pPr>
        <w:pStyle w:val="Kop3"/>
      </w:pPr>
      <w:bookmarkStart w:id="631" w:name="_Toc420919335"/>
      <w:bookmarkStart w:id="632" w:name="_Toc429660963"/>
      <w:r w:rsidRPr="00177A62">
        <w:t>Instructions for safe disposal of the product and its packaging</w:t>
      </w:r>
      <w:bookmarkEnd w:id="631"/>
      <w:bookmarkEnd w:id="63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177A62"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177A62" w:rsidRDefault="00FC6958" w:rsidP="00FC6958">
            <w:pPr>
              <w:rPr>
                <w:rFonts w:cs="Arial"/>
              </w:rPr>
            </w:pPr>
            <w:r w:rsidRPr="00177A62">
              <w:rPr>
                <w:rFonts w:ascii="Helvetica" w:hAnsi="Helvetica" w:cs="Arial"/>
                <w:sz w:val="18"/>
                <w:szCs w:val="18"/>
                <w:lang w:eastAsia="en-GB"/>
              </w:rPr>
              <w:t>- At the end of the treatment, dispose the uneaten bait and the packaging in accordance with local requirements [The method of disposal shall be described specifically in the national SPC and be reflected on the product label].</w:t>
            </w:r>
          </w:p>
        </w:tc>
      </w:tr>
    </w:tbl>
    <w:p w:rsidR="004945C5" w:rsidRPr="00177A62" w:rsidRDefault="004945C5" w:rsidP="000447F1">
      <w:pPr>
        <w:pStyle w:val="Kop3"/>
      </w:pPr>
      <w:bookmarkStart w:id="633" w:name="_Toc420919336"/>
      <w:bookmarkStart w:id="634" w:name="_Toc429660964"/>
      <w:r w:rsidRPr="00177A62">
        <w:t>Conditions of storage and shelf-life of the product under normal conditions of storage</w:t>
      </w:r>
      <w:bookmarkEnd w:id="633"/>
      <w:bookmarkEnd w:id="63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061A6" w:rsidRPr="00177A62"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177A62" w:rsidRDefault="00FC6958" w:rsidP="004061A6">
            <w:pPr>
              <w:rPr>
                <w:rFonts w:cs="Arial"/>
              </w:rPr>
            </w:pPr>
            <w:r w:rsidRPr="00177A62">
              <w:rPr>
                <w:rFonts w:ascii="Helvetica" w:hAnsi="Helvetica" w:cs="Arial"/>
                <w:sz w:val="18"/>
                <w:szCs w:val="18"/>
                <w:lang w:eastAsia="en-GB"/>
              </w:rPr>
              <w:t>- Store in a dry, cool and well ventilated place. Keep the container closed and away from direct sunlight.</w:t>
            </w:r>
            <w:r w:rsidRPr="00177A62">
              <w:rPr>
                <w:rFonts w:ascii="Helvetica" w:hAnsi="Helvetica" w:cs="Arial"/>
                <w:sz w:val="18"/>
                <w:szCs w:val="18"/>
                <w:lang w:eastAsia="en-GB"/>
              </w:rPr>
              <w:br/>
              <w:t>- Store in places prevented from the access of children, birds, pets and farm animals.</w:t>
            </w:r>
            <w:r w:rsidRPr="00177A62">
              <w:rPr>
                <w:rFonts w:ascii="Helvetica" w:hAnsi="Helvetica" w:cs="Arial"/>
                <w:sz w:val="18"/>
                <w:szCs w:val="18"/>
                <w:lang w:eastAsia="en-GB"/>
              </w:rPr>
              <w:br/>
              <w:t xml:space="preserve">- Shelf life: </w:t>
            </w:r>
            <w:r w:rsidR="00B016C4" w:rsidRPr="00177A62">
              <w:rPr>
                <w:rFonts w:ascii="Helvetica" w:hAnsi="Helvetica" w:cs="Arial"/>
                <w:sz w:val="18"/>
                <w:szCs w:val="18"/>
                <w:lang w:eastAsia="en-GB"/>
              </w:rPr>
              <w:t xml:space="preserve">2 </w:t>
            </w:r>
            <w:r w:rsidRPr="00177A62">
              <w:rPr>
                <w:rFonts w:ascii="Helvetica" w:hAnsi="Helvetica" w:cs="Arial"/>
                <w:sz w:val="18"/>
                <w:szCs w:val="18"/>
                <w:lang w:eastAsia="en-GB"/>
              </w:rPr>
              <w:t>years</w:t>
            </w:r>
          </w:p>
        </w:tc>
      </w:tr>
    </w:tbl>
    <w:p w:rsidR="004945C5" w:rsidRPr="00177A62" w:rsidRDefault="004945C5" w:rsidP="000447F1">
      <w:pPr>
        <w:pStyle w:val="Kop3"/>
      </w:pPr>
      <w:bookmarkStart w:id="635" w:name="_Toc420919337"/>
      <w:bookmarkStart w:id="636" w:name="_Toc429660965"/>
      <w:r w:rsidRPr="00177A62">
        <w:t>Other information</w:t>
      </w:r>
      <w:bookmarkEnd w:id="635"/>
      <w:bookmarkEnd w:id="63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C038DE"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4061A6" w:rsidRDefault="00FC6958" w:rsidP="00FC6958">
            <w:pPr>
              <w:pStyle w:val="Lijstalinea"/>
              <w:ind w:left="97"/>
              <w:rPr>
                <w:rFonts w:cs="Arial"/>
              </w:rPr>
            </w:pPr>
            <w:r w:rsidRPr="00177A62">
              <w:rPr>
                <w:rFonts w:ascii="Helvetica" w:hAnsi="Helvetica" w:cs="Arial"/>
                <w:sz w:val="18"/>
                <w:szCs w:val="18"/>
                <w:lang w:eastAsia="en-GB"/>
              </w:rPr>
              <w:t>- Because of their delayed mode of action, anticoagulant rodenticides may take from 4 to 10 days to be effective after effective consumption of the bait.</w:t>
            </w:r>
            <w:r w:rsidRPr="00177A62">
              <w:rPr>
                <w:rFonts w:ascii="Helvetica" w:hAnsi="Helvetica" w:cs="Arial"/>
                <w:sz w:val="18"/>
                <w:szCs w:val="18"/>
                <w:lang w:eastAsia="en-GB"/>
              </w:rPr>
              <w:br/>
              <w:t xml:space="preserve">- Rodents can be disease carriers. Do not touch dead rodents with bare hands, use gloves or use tools such as </w:t>
            </w:r>
            <w:r w:rsidRPr="00177A62">
              <w:rPr>
                <w:rFonts w:ascii="Helvetica" w:hAnsi="Helvetica" w:cs="Arial"/>
                <w:sz w:val="18"/>
                <w:szCs w:val="18"/>
                <w:lang w:eastAsia="en-GB"/>
              </w:rPr>
              <w:lastRenderedPageBreak/>
              <w:t>tongs when disposing them.</w:t>
            </w:r>
            <w:r w:rsidRPr="00177A62">
              <w:rPr>
                <w:rFonts w:ascii="Helvetica" w:hAnsi="Helvetica" w:cs="Arial"/>
                <w:sz w:val="18"/>
                <w:szCs w:val="18"/>
              </w:rPr>
              <w:br/>
              <w:t>- This product contains a bittering agent and a dye.</w:t>
            </w:r>
          </w:p>
        </w:tc>
      </w:tr>
    </w:tbl>
    <w:p w:rsidR="001B406D" w:rsidRPr="00C038DE" w:rsidRDefault="001B406D" w:rsidP="00F34BB6">
      <w:pPr>
        <w:rPr>
          <w:rFonts w:eastAsia="Calibri"/>
          <w:lang w:eastAsia="en-US"/>
        </w:rPr>
      </w:pPr>
    </w:p>
    <w:p w:rsidR="001B406D" w:rsidRPr="00C038DE" w:rsidRDefault="001B406D" w:rsidP="00F34BB6">
      <w:pPr>
        <w:rPr>
          <w:rFonts w:eastAsia="Calibri"/>
          <w:lang w:eastAsia="en-US"/>
        </w:rPr>
      </w:pPr>
    </w:p>
    <w:p w:rsidR="001B406D" w:rsidRPr="00C038DE" w:rsidRDefault="001B406D" w:rsidP="00F34BB6">
      <w:pPr>
        <w:sectPr w:rsidR="001B406D" w:rsidRPr="00C038DE" w:rsidSect="00307AA3">
          <w:headerReference w:type="even" r:id="rId14"/>
          <w:footerReference w:type="default" r:id="rId15"/>
          <w:headerReference w:type="first" r:id="rId16"/>
          <w:endnotePr>
            <w:numFmt w:val="decimal"/>
          </w:endnotePr>
          <w:type w:val="continuous"/>
          <w:pgSz w:w="11907" w:h="16840" w:code="9"/>
          <w:pgMar w:top="1474" w:right="1247" w:bottom="2013" w:left="1446" w:header="851" w:footer="851" w:gutter="0"/>
          <w:cols w:space="720"/>
          <w:docGrid w:linePitch="272"/>
        </w:sectPr>
      </w:pPr>
    </w:p>
    <w:p w:rsidR="00E35DBC" w:rsidRPr="00C038DE" w:rsidRDefault="009D729D" w:rsidP="00936FF3">
      <w:pPr>
        <w:pStyle w:val="Kop1"/>
        <w:numPr>
          <w:ilvl w:val="0"/>
          <w:numId w:val="4"/>
        </w:numPr>
        <w:spacing w:after="360"/>
        <w:jc w:val="both"/>
      </w:pPr>
      <w:bookmarkStart w:id="637" w:name="_Toc429660983"/>
      <w:bookmarkStart w:id="638" w:name="_Toc500491643"/>
      <w:r w:rsidRPr="00C038DE">
        <w:lastRenderedPageBreak/>
        <w:t>A</w:t>
      </w:r>
      <w:r w:rsidR="00E35DBC" w:rsidRPr="00C038DE">
        <w:t>ssessment of the product</w:t>
      </w:r>
      <w:bookmarkEnd w:id="637"/>
      <w:bookmarkEnd w:id="638"/>
    </w:p>
    <w:p w:rsidR="00646AB4" w:rsidRPr="00C038DE" w:rsidRDefault="00C628F0" w:rsidP="00936FF3">
      <w:pPr>
        <w:pStyle w:val="Kop2"/>
        <w:numPr>
          <w:ilvl w:val="1"/>
          <w:numId w:val="4"/>
        </w:numPr>
        <w:spacing w:after="280"/>
        <w:jc w:val="both"/>
      </w:pPr>
      <w:bookmarkStart w:id="639" w:name="_Ref453677445"/>
      <w:bookmarkStart w:id="640" w:name="_Ref453677589"/>
      <w:bookmarkStart w:id="641" w:name="_Toc500491644"/>
      <w:r w:rsidRPr="00C038DE">
        <w:t>Use(s)</w:t>
      </w:r>
      <w:r w:rsidR="00133156" w:rsidRPr="00C038DE">
        <w:t xml:space="preserve"> </w:t>
      </w:r>
      <w:r w:rsidRPr="00C038DE">
        <w:t xml:space="preserve">considered appropriate for authorisation </w:t>
      </w:r>
      <w:r w:rsidR="00133156" w:rsidRPr="00C038DE">
        <w:t>after</w:t>
      </w:r>
      <w:r w:rsidRPr="00C038DE">
        <w:t xml:space="preserve"> </w:t>
      </w:r>
      <w:r w:rsidR="003128F7" w:rsidRPr="00C038DE">
        <w:t xml:space="preserve">former </w:t>
      </w:r>
      <w:r w:rsidRPr="00C038DE">
        <w:t>assessment</w:t>
      </w:r>
      <w:bookmarkEnd w:id="639"/>
      <w:bookmarkEnd w:id="640"/>
      <w:bookmarkEnd w:id="641"/>
    </w:p>
    <w:p w:rsidR="006379D7" w:rsidRPr="00C038DE" w:rsidRDefault="006379D7" w:rsidP="009D08FE">
      <w:r w:rsidRPr="00C038DE">
        <w:t xml:space="preserve">The following information </w:t>
      </w:r>
      <w:r w:rsidR="00E93932">
        <w:t>is</w:t>
      </w:r>
      <w:r w:rsidR="00E93932" w:rsidRPr="00C038DE">
        <w:t xml:space="preserve"> </w:t>
      </w:r>
      <w:r w:rsidRPr="00C038DE">
        <w:t xml:space="preserve">based on the PAR (updated version) </w:t>
      </w:r>
      <w:r w:rsidR="00D57FB5">
        <w:t>prepared</w:t>
      </w:r>
      <w:r w:rsidR="00D57FB5" w:rsidRPr="00C038DE">
        <w:t xml:space="preserve"> </w:t>
      </w:r>
      <w:r w:rsidRPr="00C038DE">
        <w:t>by NL</w:t>
      </w:r>
      <w:r w:rsidR="008D0FB7" w:rsidRPr="00C038DE">
        <w:t>-CA (Ctgb)</w:t>
      </w:r>
      <w:r w:rsidRPr="00C038DE">
        <w:t xml:space="preserve"> as reference MS for the initial authorisation of the product and </w:t>
      </w:r>
      <w:r w:rsidR="00B155EE">
        <w:t>does not contain</w:t>
      </w:r>
      <w:r w:rsidRPr="00C038DE">
        <w:t xml:space="preserve"> Dutch national</w:t>
      </w:r>
      <w:r w:rsidR="00B155EE">
        <w:t>-specific</w:t>
      </w:r>
      <w:r w:rsidRPr="00C038DE">
        <w:t xml:space="preserve"> </w:t>
      </w:r>
      <w:r w:rsidR="00B155EE">
        <w:t>element</w:t>
      </w:r>
      <w:r w:rsidRPr="00C038DE">
        <w:t>s.</w:t>
      </w:r>
    </w:p>
    <w:p w:rsidR="00646AB4" w:rsidRPr="00C038DE" w:rsidRDefault="00FF0AAB" w:rsidP="00936FF3">
      <w:pPr>
        <w:pStyle w:val="Kop3"/>
      </w:pPr>
      <w:r w:rsidRPr="00C038DE">
        <w:t>U</w:t>
      </w:r>
      <w:r w:rsidR="00646AB4" w:rsidRPr="00C038DE">
        <w:t>se 1 –</w:t>
      </w:r>
      <w:r w:rsidR="001302B7" w:rsidRPr="00C038DE">
        <w:t>P</w:t>
      </w:r>
      <w:r w:rsidR="008F0E07" w:rsidRPr="00C038DE">
        <w:t>rofessionals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061A6" w:rsidRPr="00C038DE" w:rsidTr="000447A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8F0E07" w:rsidRPr="00C038DE" w:rsidRDefault="008F0E07" w:rsidP="000447A1">
            <w:pPr>
              <w:spacing w:line="260" w:lineRule="atLeast"/>
              <w:rPr>
                <w:rFonts w:eastAsia="Calibri" w:cs="Arial"/>
                <w:bCs/>
                <w:lang w:val="de-DE" w:eastAsia="en-US"/>
              </w:rPr>
            </w:pPr>
            <w:r w:rsidRPr="00C038DE">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8F0E07" w:rsidRPr="00C038DE" w:rsidRDefault="008F0E07" w:rsidP="000447A1">
            <w:pPr>
              <w:spacing w:line="260" w:lineRule="atLeast"/>
              <w:rPr>
                <w:rFonts w:eastAsia="Calibri" w:cs="Arial"/>
                <w:bCs/>
                <w:lang w:val="de-DE" w:eastAsia="en-US"/>
              </w:rPr>
            </w:pPr>
            <w:r w:rsidRPr="00C038DE">
              <w:rPr>
                <w:rFonts w:cs="Arial"/>
              </w:rPr>
              <w:t>14</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C038DE" w:rsidRDefault="008F0E07" w:rsidP="000447A1">
            <w:pPr>
              <w:spacing w:line="260" w:lineRule="atLeast"/>
              <w:rPr>
                <w:rFonts w:eastAsia="Calibri" w:cs="Arial"/>
                <w:bCs/>
                <w:lang w:val="en-US" w:eastAsia="en-US"/>
              </w:rPr>
            </w:pPr>
            <w:r w:rsidRPr="00C038DE">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F0E07" w:rsidRPr="00C038DE" w:rsidRDefault="008F0E07" w:rsidP="000447A1">
            <w:pPr>
              <w:spacing w:line="260" w:lineRule="atLeast"/>
              <w:rPr>
                <w:rFonts w:eastAsia="Calibri" w:cs="Arial"/>
                <w:bCs/>
                <w:lang w:eastAsia="en-US"/>
              </w:rPr>
            </w:pPr>
            <w:r w:rsidRPr="00C038DE">
              <w:rPr>
                <w:rFonts w:cs="Arial"/>
              </w:rPr>
              <w:t>Rodenticide</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C038DE" w:rsidRDefault="008F0E07" w:rsidP="000447A1">
            <w:pPr>
              <w:spacing w:line="260" w:lineRule="atLeast"/>
              <w:rPr>
                <w:rFonts w:eastAsia="Calibri" w:cs="Arial"/>
                <w:bCs/>
                <w:lang w:val="en-US" w:eastAsia="en-US"/>
              </w:rPr>
            </w:pPr>
            <w:r w:rsidRPr="00C038D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F0E07" w:rsidRPr="00C038DE" w:rsidRDefault="008F0E07" w:rsidP="000447A1">
            <w:pPr>
              <w:spacing w:line="260" w:lineRule="atLeast"/>
              <w:rPr>
                <w:rFonts w:eastAsia="Calibri" w:cs="Arial"/>
                <w:bCs/>
                <w:lang w:eastAsia="en-US"/>
              </w:rPr>
            </w:pPr>
            <w:r w:rsidRPr="00C038DE">
              <w:rPr>
                <w:rFonts w:eastAsia="Calibri" w:cs="Arial"/>
                <w:bCs/>
                <w:i/>
                <w:lang w:eastAsia="en-US"/>
              </w:rPr>
              <w:t>Mus musculus</w:t>
            </w:r>
            <w:r w:rsidRPr="00C038DE">
              <w:rPr>
                <w:rFonts w:eastAsia="Calibri" w:cs="Arial"/>
                <w:bCs/>
                <w:lang w:eastAsia="en-US"/>
              </w:rPr>
              <w:t xml:space="preserve"> (House mouse – </w:t>
            </w:r>
            <w:r w:rsidR="001302B7" w:rsidRPr="00C038DE">
              <w:rPr>
                <w:rFonts w:eastAsia="Calibri" w:cs="Arial"/>
                <w:bCs/>
                <w:lang w:eastAsia="en-US"/>
              </w:rPr>
              <w:t>juveniles and adults</w:t>
            </w:r>
            <w:r w:rsidRPr="00C038DE">
              <w:rPr>
                <w:rFonts w:eastAsia="Calibri" w:cs="Arial"/>
                <w:bCs/>
                <w:lang w:eastAsia="en-US"/>
              </w:rPr>
              <w:t>)</w:t>
            </w:r>
          </w:p>
          <w:p w:rsidR="008F0E07" w:rsidRPr="00C038DE" w:rsidRDefault="008F0E07" w:rsidP="000447A1">
            <w:pPr>
              <w:spacing w:line="260" w:lineRule="atLeast"/>
              <w:rPr>
                <w:rFonts w:eastAsia="Calibri" w:cs="Arial"/>
                <w:bCs/>
                <w:lang w:eastAsia="en-US"/>
              </w:rPr>
            </w:pPr>
            <w:r w:rsidRPr="00C038DE">
              <w:rPr>
                <w:rFonts w:eastAsia="Calibri" w:cs="Arial"/>
                <w:bCs/>
                <w:i/>
                <w:lang w:eastAsia="en-US"/>
              </w:rPr>
              <w:t>Rattus rattus</w:t>
            </w:r>
            <w:r w:rsidRPr="00C038DE">
              <w:rPr>
                <w:rFonts w:eastAsia="Calibri" w:cs="Arial"/>
                <w:bCs/>
                <w:lang w:eastAsia="en-US"/>
              </w:rPr>
              <w:t xml:space="preserve"> (Black/roof rat – </w:t>
            </w:r>
            <w:r w:rsidR="001302B7" w:rsidRPr="00C038DE">
              <w:rPr>
                <w:rFonts w:eastAsia="Calibri" w:cs="Arial"/>
                <w:bCs/>
                <w:lang w:eastAsia="en-US"/>
              </w:rPr>
              <w:t xml:space="preserve"> juveniles and adults</w:t>
            </w:r>
            <w:r w:rsidRPr="00C038DE">
              <w:rPr>
                <w:rFonts w:eastAsia="Calibri" w:cs="Arial"/>
                <w:bCs/>
                <w:lang w:eastAsia="en-US"/>
              </w:rPr>
              <w:t>)</w:t>
            </w:r>
          </w:p>
          <w:p w:rsidR="008F0E07" w:rsidRPr="00C038DE" w:rsidRDefault="008F0E07" w:rsidP="001302B7">
            <w:pPr>
              <w:spacing w:line="260" w:lineRule="atLeast"/>
              <w:rPr>
                <w:rFonts w:eastAsia="Calibri" w:cs="Arial"/>
                <w:bCs/>
                <w:lang w:eastAsia="en-US"/>
              </w:rPr>
            </w:pPr>
            <w:r w:rsidRPr="00C038DE">
              <w:rPr>
                <w:rFonts w:eastAsia="Calibri" w:cs="Arial"/>
                <w:bCs/>
                <w:i/>
                <w:lang w:eastAsia="en-US"/>
              </w:rPr>
              <w:t>Rattus norvegicus</w:t>
            </w:r>
            <w:r w:rsidRPr="00C038DE">
              <w:rPr>
                <w:rFonts w:eastAsia="Calibri" w:cs="Arial"/>
                <w:bCs/>
                <w:lang w:eastAsia="en-US"/>
              </w:rPr>
              <w:t xml:space="preserve"> (Brown rat –</w:t>
            </w:r>
            <w:r w:rsidR="001302B7" w:rsidRPr="00C038DE">
              <w:rPr>
                <w:rFonts w:eastAsia="Calibri" w:cs="Arial"/>
                <w:bCs/>
                <w:lang w:eastAsia="en-US"/>
              </w:rPr>
              <w:t xml:space="preserve"> juveniles and adults</w:t>
            </w:r>
            <w:r w:rsidRPr="00C038DE">
              <w:rPr>
                <w:rFonts w:eastAsia="Calibri" w:cs="Arial"/>
                <w:bCs/>
                <w:lang w:eastAsia="en-US"/>
              </w:rPr>
              <w:t>)</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C038DE" w:rsidRDefault="008F0E07" w:rsidP="000447A1">
            <w:pPr>
              <w:spacing w:line="260" w:lineRule="atLeast"/>
              <w:rPr>
                <w:rFonts w:eastAsia="Calibri" w:cs="Arial"/>
                <w:bCs/>
                <w:lang w:val="de-DE" w:eastAsia="en-US"/>
              </w:rPr>
            </w:pPr>
            <w:r w:rsidRPr="00C038DE">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302B7" w:rsidRPr="00C038DE" w:rsidRDefault="001302B7" w:rsidP="001302B7">
            <w:pPr>
              <w:spacing w:line="260" w:lineRule="atLeast"/>
              <w:rPr>
                <w:rFonts w:eastAsia="Calibri" w:cs="Arial"/>
                <w:bCs/>
                <w:lang w:eastAsia="en-US"/>
              </w:rPr>
            </w:pPr>
            <w:r w:rsidRPr="00C038DE">
              <w:rPr>
                <w:rFonts w:eastAsia="Calibri" w:cs="Arial"/>
                <w:bCs/>
                <w:lang w:eastAsia="en-US"/>
              </w:rPr>
              <w:t xml:space="preserve">In and around buildings, open areas and waste dumps </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C038DE" w:rsidRDefault="008F0E07" w:rsidP="000447A1">
            <w:pPr>
              <w:spacing w:line="260" w:lineRule="atLeast"/>
              <w:rPr>
                <w:rFonts w:eastAsia="Calibri" w:cs="Arial"/>
                <w:bCs/>
                <w:lang w:val="de-DE" w:eastAsia="en-US"/>
              </w:rPr>
            </w:pPr>
            <w:r w:rsidRPr="00C038DE">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F0E07" w:rsidRPr="004061A6" w:rsidRDefault="00DB7A28" w:rsidP="000447A1">
            <w:pPr>
              <w:spacing w:line="260" w:lineRule="atLeast"/>
              <w:rPr>
                <w:rFonts w:eastAsia="Calibri" w:cs="Arial"/>
                <w:bCs/>
                <w:lang w:eastAsia="en-US"/>
              </w:rPr>
            </w:pPr>
            <w:r w:rsidRPr="00C038DE">
              <w:rPr>
                <w:rFonts w:cs="Arial"/>
                <w:szCs w:val="18"/>
              </w:rPr>
              <w:t>Covered application, preferably in tamper-resistant bait stations</w:t>
            </w: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C038DE" w:rsidRDefault="008F0E07" w:rsidP="000447A1">
            <w:pPr>
              <w:spacing w:line="260" w:lineRule="atLeast"/>
              <w:rPr>
                <w:rFonts w:eastAsia="Calibri" w:cs="Arial"/>
                <w:bCs/>
                <w:lang w:val="en-US" w:eastAsia="en-US"/>
              </w:rPr>
            </w:pPr>
            <w:r w:rsidRPr="00C038DE">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6379D7" w:rsidRPr="00C038DE" w:rsidRDefault="006379D7" w:rsidP="004061A6">
            <w:pPr>
              <w:spacing w:line="260" w:lineRule="atLeast"/>
              <w:rPr>
                <w:rFonts w:eastAsia="Calibri" w:cs="Arial"/>
                <w:bCs/>
                <w:lang w:eastAsia="en-US"/>
              </w:rPr>
            </w:pPr>
            <w:r w:rsidRPr="00C038DE">
              <w:rPr>
                <w:rFonts w:eastAsia="Calibri" w:cs="Arial"/>
                <w:bCs/>
                <w:lang w:eastAsia="en-US"/>
              </w:rPr>
              <w:t>Rats: 100 to 200 g bait per bait station. Bait points placed at 4 to 10 meter distance of each other.</w:t>
            </w:r>
          </w:p>
          <w:p w:rsidR="006379D7" w:rsidRPr="00C038DE" w:rsidRDefault="006379D7" w:rsidP="004061A6">
            <w:pPr>
              <w:spacing w:line="260" w:lineRule="atLeast"/>
              <w:rPr>
                <w:rFonts w:eastAsia="Calibri" w:cs="Arial"/>
                <w:bCs/>
                <w:lang w:eastAsia="en-US"/>
              </w:rPr>
            </w:pPr>
            <w:r w:rsidRPr="00C038DE">
              <w:rPr>
                <w:rFonts w:eastAsia="Calibri" w:cs="Arial"/>
                <w:bCs/>
                <w:lang w:eastAsia="en-US"/>
              </w:rPr>
              <w:t>Mice: 30 to 50 g bait per bait station. Bait points placed at 1 to 3 meter distance of each other.</w:t>
            </w:r>
          </w:p>
          <w:p w:rsidR="008F0E07" w:rsidRPr="00C038DE" w:rsidRDefault="008F0E07" w:rsidP="000447A1">
            <w:pPr>
              <w:shd w:val="clear" w:color="auto" w:fill="FFFFFF"/>
              <w:spacing w:line="240" w:lineRule="auto"/>
              <w:rPr>
                <w:rFonts w:cs="Arial"/>
                <w:szCs w:val="18"/>
                <w:lang w:eastAsia="en-GB"/>
              </w:rPr>
            </w:pPr>
          </w:p>
        </w:tc>
      </w:tr>
      <w:tr w:rsidR="004061A6"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C038DE" w:rsidRDefault="008F0E07" w:rsidP="000447A1">
            <w:pPr>
              <w:spacing w:line="260" w:lineRule="atLeast"/>
              <w:rPr>
                <w:rFonts w:eastAsia="Calibri" w:cs="Arial"/>
                <w:bCs/>
                <w:lang w:eastAsia="en-US"/>
              </w:rPr>
            </w:pPr>
            <w:r w:rsidRPr="00C038DE">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F0E07" w:rsidRPr="00C038DE" w:rsidRDefault="006379D7" w:rsidP="000447A1">
            <w:pPr>
              <w:spacing w:line="260" w:lineRule="atLeast"/>
              <w:rPr>
                <w:rFonts w:eastAsia="Calibri" w:cs="Arial"/>
                <w:bCs/>
                <w:lang w:eastAsia="en-US"/>
              </w:rPr>
            </w:pPr>
            <w:r w:rsidRPr="00C038DE">
              <w:rPr>
                <w:rFonts w:eastAsia="Calibri" w:cs="Arial"/>
                <w:bCs/>
                <w:lang w:eastAsia="en-US"/>
              </w:rPr>
              <w:t>P</w:t>
            </w:r>
            <w:r w:rsidR="008F0E07" w:rsidRPr="00C038DE">
              <w:rPr>
                <w:rFonts w:eastAsia="Calibri" w:cs="Arial"/>
                <w:bCs/>
                <w:lang w:eastAsia="en-US"/>
              </w:rPr>
              <w:t>rofessionals</w:t>
            </w:r>
          </w:p>
        </w:tc>
      </w:tr>
      <w:tr w:rsidR="008F0E07" w:rsidRPr="00C038DE" w:rsidTr="000447A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8F0E07" w:rsidRPr="004061A6" w:rsidRDefault="008F0E07" w:rsidP="00B155EE">
            <w:pPr>
              <w:spacing w:line="260" w:lineRule="atLeast"/>
              <w:rPr>
                <w:rFonts w:eastAsia="Calibri" w:cs="Arial"/>
                <w:bCs/>
                <w:lang w:val="en-US" w:eastAsia="en-US"/>
              </w:rPr>
            </w:pPr>
            <w:r w:rsidRPr="00C038DE">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8F0E07" w:rsidRPr="00C038DE" w:rsidRDefault="008F0E07" w:rsidP="000447A1">
            <w:pPr>
              <w:shd w:val="clear" w:color="auto" w:fill="FFFFFF"/>
              <w:spacing w:after="128" w:line="240" w:lineRule="auto"/>
              <w:rPr>
                <w:rFonts w:cs="Arial"/>
                <w:szCs w:val="18"/>
                <w:lang w:eastAsia="en-GB"/>
              </w:rPr>
            </w:pPr>
            <w:r w:rsidRPr="00C038DE">
              <w:rPr>
                <w:rFonts w:cs="Arial"/>
                <w:szCs w:val="18"/>
                <w:lang w:eastAsia="en-GB"/>
              </w:rPr>
              <w:t>Paper bag</w:t>
            </w:r>
            <w:r w:rsidR="001F20DA">
              <w:rPr>
                <w:rFonts w:cs="Arial"/>
                <w:szCs w:val="18"/>
                <w:lang w:eastAsia="en-GB"/>
              </w:rPr>
              <w:t xml:space="preserve"> or </w:t>
            </w:r>
            <w:r w:rsidRPr="00C038DE">
              <w:rPr>
                <w:rFonts w:cs="Arial"/>
                <w:szCs w:val="18"/>
                <w:lang w:eastAsia="en-GB"/>
              </w:rPr>
              <w:t xml:space="preserve">PP sachet: 10 to 40 g </w:t>
            </w:r>
            <w:r w:rsidR="001F20DA">
              <w:rPr>
                <w:rFonts w:cs="Arial"/>
                <w:szCs w:val="18"/>
                <w:lang w:eastAsia="en-GB"/>
              </w:rPr>
              <w:t xml:space="preserve">further packed </w:t>
            </w:r>
            <w:r w:rsidRPr="00C038DE">
              <w:rPr>
                <w:rFonts w:cs="Arial"/>
                <w:szCs w:val="18"/>
                <w:lang w:eastAsia="en-GB"/>
              </w:rPr>
              <w:t>in</w:t>
            </w:r>
          </w:p>
          <w:p w:rsidR="008F0E07" w:rsidRPr="00C038DE" w:rsidRDefault="008F0E07" w:rsidP="006E544A">
            <w:pPr>
              <w:shd w:val="clear" w:color="auto" w:fill="FFFFFF"/>
              <w:spacing w:line="240" w:lineRule="auto"/>
              <w:rPr>
                <w:rFonts w:cs="Arial"/>
                <w:szCs w:val="18"/>
                <w:lang w:eastAsia="en-GB"/>
              </w:rPr>
            </w:pPr>
            <w:r w:rsidRPr="00C038DE">
              <w:rPr>
                <w:rFonts w:cs="Arial"/>
                <w:szCs w:val="18"/>
                <w:lang w:eastAsia="en-GB"/>
              </w:rPr>
              <w:t>PP bucket with lid </w:t>
            </w:r>
            <w:r w:rsidR="006E544A">
              <w:rPr>
                <w:rFonts w:cs="Arial"/>
                <w:szCs w:val="18"/>
                <w:lang w:eastAsia="en-GB"/>
              </w:rPr>
              <w:t>5-</w:t>
            </w:r>
            <w:r w:rsidRPr="00C038DE">
              <w:rPr>
                <w:rFonts w:cs="Arial"/>
                <w:szCs w:val="18"/>
                <w:lang w:eastAsia="en-GB"/>
              </w:rPr>
              <w:t xml:space="preserve"> 21 kg</w:t>
            </w:r>
            <w:r w:rsidRPr="00C038DE">
              <w:rPr>
                <w:rFonts w:cs="Arial"/>
                <w:szCs w:val="18"/>
                <w:lang w:eastAsia="en-GB"/>
              </w:rPr>
              <w:br/>
              <w:t>Cardboard carton with integral plastic (PP/PE) bag </w:t>
            </w:r>
            <w:r w:rsidR="006E544A">
              <w:rPr>
                <w:rFonts w:cs="Arial"/>
                <w:szCs w:val="18"/>
                <w:lang w:eastAsia="en-GB"/>
              </w:rPr>
              <w:t>5-</w:t>
            </w:r>
            <w:r w:rsidRPr="00C038DE">
              <w:rPr>
                <w:rFonts w:cs="Arial"/>
                <w:szCs w:val="18"/>
                <w:lang w:eastAsia="en-GB"/>
              </w:rPr>
              <w:t xml:space="preserve"> 25 kg</w:t>
            </w:r>
            <w:r w:rsidRPr="00C038DE">
              <w:rPr>
                <w:rFonts w:cs="Arial"/>
                <w:szCs w:val="18"/>
                <w:lang w:eastAsia="en-GB"/>
              </w:rPr>
              <w:br/>
            </w:r>
            <w:r w:rsidRPr="00C038DE">
              <w:rPr>
                <w:rFonts w:cs="Arial"/>
                <w:szCs w:val="18"/>
                <w:lang w:eastAsia="en-GB"/>
              </w:rPr>
              <w:br/>
              <w:t>Plastic (PP/PE) pouch  </w:t>
            </w:r>
            <w:r w:rsidR="006E544A">
              <w:rPr>
                <w:rFonts w:cs="Arial"/>
                <w:szCs w:val="18"/>
                <w:lang w:eastAsia="en-GB"/>
              </w:rPr>
              <w:t>5-</w:t>
            </w:r>
            <w:r w:rsidRPr="00C038DE">
              <w:rPr>
                <w:rFonts w:cs="Arial"/>
                <w:szCs w:val="18"/>
                <w:lang w:eastAsia="en-GB"/>
              </w:rPr>
              <w:t xml:space="preserve"> 20 kg</w:t>
            </w:r>
            <w:r w:rsidRPr="00C038DE">
              <w:rPr>
                <w:rFonts w:cs="Arial"/>
                <w:szCs w:val="18"/>
                <w:lang w:eastAsia="en-GB"/>
              </w:rPr>
              <w:br/>
              <w:t>Carton containing prefilled PP/HDPE/PS bait stations </w:t>
            </w:r>
            <w:r w:rsidR="006E544A">
              <w:rPr>
                <w:rFonts w:cs="Arial"/>
                <w:szCs w:val="18"/>
                <w:lang w:eastAsia="en-GB"/>
              </w:rPr>
              <w:t>5-</w:t>
            </w:r>
            <w:r w:rsidRPr="00C038DE">
              <w:rPr>
                <w:rFonts w:cs="Arial"/>
                <w:szCs w:val="18"/>
                <w:lang w:eastAsia="en-GB"/>
              </w:rPr>
              <w:t xml:space="preserve"> 10 kg</w:t>
            </w:r>
          </w:p>
        </w:tc>
      </w:tr>
    </w:tbl>
    <w:p w:rsidR="00646AB4" w:rsidRPr="00C038DE" w:rsidRDefault="00646AB4" w:rsidP="00646AB4">
      <w:pPr>
        <w:spacing w:line="260" w:lineRule="atLeast"/>
        <w:rPr>
          <w:rFonts w:eastAsia="Calibri" w:cs="Arial"/>
          <w:lang w:eastAsia="en-US"/>
        </w:rPr>
      </w:pPr>
    </w:p>
    <w:p w:rsidR="008F0E07" w:rsidRPr="00C038DE" w:rsidRDefault="008F0E07" w:rsidP="00646AB4">
      <w:pPr>
        <w:pStyle w:val="Kop3"/>
        <w:spacing w:line="260" w:lineRule="atLeast"/>
      </w:pPr>
      <w:r w:rsidRPr="00C038DE">
        <w:lastRenderedPageBreak/>
        <w:t xml:space="preserve">Use 2 – </w:t>
      </w:r>
      <w:r w:rsidR="009D08FE" w:rsidRPr="00C038DE">
        <w:t>Non-</w:t>
      </w:r>
      <w:r w:rsidRPr="00C038DE">
        <w:t>Professionals</w:t>
      </w:r>
    </w:p>
    <w:p w:rsidR="009D08FE" w:rsidRPr="00C038DE" w:rsidRDefault="009D08FE" w:rsidP="009D08FE">
      <w:pPr>
        <w:rPr>
          <w:rFonts w:eastAsia="Calibri"/>
        </w:rPr>
      </w:pPr>
      <w:r w:rsidRPr="00C038DE">
        <w:rPr>
          <w:rFonts w:eastAsia="Calibri"/>
        </w:rPr>
        <w:t>Remark from applicant: this use is not supported anymore because of the classification (H360d) of the product in application to the 9</w:t>
      </w:r>
      <w:r w:rsidRPr="00C038DE">
        <w:rPr>
          <w:rFonts w:eastAsia="Calibri"/>
          <w:vertAlign w:val="superscript"/>
        </w:rPr>
        <w:t>th</w:t>
      </w:r>
      <w:r w:rsidRPr="00C038DE">
        <w:rPr>
          <w:rFonts w:eastAsia="Calibri"/>
        </w:rPr>
        <w:t xml:space="preserve"> ATP to CLP.</w:t>
      </w:r>
    </w:p>
    <w:p w:rsidR="008F0E07" w:rsidRPr="00C038DE" w:rsidRDefault="008F0E07" w:rsidP="00646AB4">
      <w:pPr>
        <w:spacing w:line="260" w:lineRule="atLeast"/>
        <w:rPr>
          <w:rFonts w:eastAsia="Calibri" w:cs="Arial"/>
          <w:lang w:eastAsia="en-US"/>
        </w:rPr>
        <w:sectPr w:rsidR="008F0E07" w:rsidRPr="00C038DE" w:rsidSect="00307AA3">
          <w:headerReference w:type="even" r:id="rId17"/>
          <w:footerReference w:type="even" r:id="rId18"/>
          <w:headerReference w:type="first" r:id="rId19"/>
          <w:footerReference w:type="first" r:id="rId20"/>
          <w:endnotePr>
            <w:numFmt w:val="decimal"/>
          </w:endnotePr>
          <w:type w:val="continuous"/>
          <w:pgSz w:w="11907" w:h="16840" w:code="9"/>
          <w:pgMar w:top="1474" w:right="1247" w:bottom="2013" w:left="1446" w:header="851" w:footer="851" w:gutter="0"/>
          <w:cols w:space="720"/>
          <w:docGrid w:linePitch="272"/>
        </w:sectPr>
      </w:pPr>
    </w:p>
    <w:p w:rsidR="00646AB4" w:rsidRPr="00C038DE" w:rsidRDefault="00646AB4" w:rsidP="009D729D">
      <w:pPr>
        <w:pStyle w:val="Kop2"/>
        <w:numPr>
          <w:ilvl w:val="1"/>
          <w:numId w:val="4"/>
        </w:numPr>
        <w:spacing w:after="280"/>
        <w:jc w:val="both"/>
      </w:pPr>
      <w:bookmarkStart w:id="642" w:name="_Ref453677466"/>
      <w:bookmarkStart w:id="643" w:name="_Toc500491645"/>
      <w:r w:rsidRPr="00C038DE">
        <w:lastRenderedPageBreak/>
        <w:t>Physical, chemical and technical properties</w:t>
      </w:r>
      <w:bookmarkEnd w:id="642"/>
      <w:bookmarkEnd w:id="643"/>
    </w:p>
    <w:p w:rsidR="003128F7" w:rsidRPr="00C038DE" w:rsidRDefault="003128F7" w:rsidP="003128F7">
      <w:r w:rsidRPr="00C038DE">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3128F7" w:rsidRPr="00C038DE" w:rsidRDefault="003128F7" w:rsidP="003128F7">
      <w:r w:rsidRPr="00C038DE">
        <w:t xml:space="preserve">Accordingly, the </w:t>
      </w:r>
      <w:r w:rsidRPr="00C038DE">
        <w:rPr>
          <w:u w:val="single"/>
        </w:rPr>
        <w:t>conclusion</w:t>
      </w:r>
      <w:r w:rsidRPr="00C038DE">
        <w:t xml:space="preserve"> from the </w:t>
      </w:r>
      <w:r w:rsidR="0018495E" w:rsidRPr="00C038DE">
        <w:t>former</w:t>
      </w:r>
      <w:r w:rsidRPr="00C038DE">
        <w:t xml:space="preserve"> assessment regarding physical, chemical and technical properties </w:t>
      </w:r>
      <w:r w:rsidR="00B54BBF" w:rsidRPr="00C038DE">
        <w:rPr>
          <w:u w:val="single"/>
        </w:rPr>
        <w:t>remains</w:t>
      </w:r>
      <w:r w:rsidRPr="00C038DE">
        <w:rPr>
          <w:u w:val="single"/>
        </w:rPr>
        <w:t xml:space="preserve"> valid</w:t>
      </w:r>
      <w:r w:rsidRPr="00C038DE">
        <w:t>.</w:t>
      </w:r>
    </w:p>
    <w:p w:rsidR="0018495E" w:rsidRPr="00C038DE" w:rsidRDefault="0018495E" w:rsidP="003128F7"/>
    <w:p w:rsidR="00646AB4" w:rsidRPr="00C038DE" w:rsidRDefault="00646AB4" w:rsidP="00646AB4">
      <w:pPr>
        <w:pStyle w:val="Kop2"/>
        <w:numPr>
          <w:ilvl w:val="1"/>
          <w:numId w:val="4"/>
        </w:numPr>
        <w:spacing w:after="280"/>
        <w:jc w:val="both"/>
      </w:pPr>
      <w:bookmarkStart w:id="644" w:name="_Ref453677485"/>
      <w:bookmarkStart w:id="645" w:name="_Toc500491646"/>
      <w:r w:rsidRPr="00C038DE">
        <w:t>Physical hazards and respective characteristics</w:t>
      </w:r>
      <w:bookmarkEnd w:id="644"/>
      <w:bookmarkEnd w:id="645"/>
    </w:p>
    <w:p w:rsidR="00C11A1D" w:rsidRPr="00C038DE" w:rsidRDefault="00C11A1D" w:rsidP="00C11A1D">
      <w:r w:rsidRPr="00C038DE">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C11A1D" w:rsidRPr="00C038DE" w:rsidRDefault="00C11A1D" w:rsidP="00C11A1D">
      <w:r w:rsidRPr="00C038DE">
        <w:t xml:space="preserve">Accordingly, the </w:t>
      </w:r>
      <w:r w:rsidRPr="00C038DE">
        <w:rPr>
          <w:u w:val="single"/>
        </w:rPr>
        <w:t>conclusion</w:t>
      </w:r>
      <w:r w:rsidRPr="00C038DE">
        <w:t xml:space="preserve"> from the former assessment regarding physical hazards and respective characteristics </w:t>
      </w:r>
      <w:r w:rsidRPr="00C038DE">
        <w:rPr>
          <w:u w:val="single"/>
        </w:rPr>
        <w:t>remains valid</w:t>
      </w:r>
      <w:r w:rsidRPr="00C038DE">
        <w:t>.</w:t>
      </w:r>
    </w:p>
    <w:p w:rsidR="00C11A1D" w:rsidRPr="00C038DE" w:rsidRDefault="00C11A1D" w:rsidP="00C11A1D"/>
    <w:p w:rsidR="00646AB4" w:rsidRPr="00C038DE" w:rsidRDefault="00646AB4" w:rsidP="00646AB4">
      <w:pPr>
        <w:pStyle w:val="Kop2"/>
        <w:numPr>
          <w:ilvl w:val="1"/>
          <w:numId w:val="4"/>
        </w:numPr>
        <w:spacing w:after="280"/>
        <w:jc w:val="both"/>
      </w:pPr>
      <w:bookmarkStart w:id="646" w:name="_Ref453677531"/>
      <w:bookmarkStart w:id="647" w:name="_Toc500491647"/>
      <w:r w:rsidRPr="00C038DE">
        <w:t>Methods for detection and identification</w:t>
      </w:r>
      <w:bookmarkEnd w:id="646"/>
      <w:bookmarkEnd w:id="647"/>
    </w:p>
    <w:p w:rsidR="00C11A1D" w:rsidRPr="00C038DE" w:rsidRDefault="00C11A1D" w:rsidP="00C11A1D">
      <w:r w:rsidRPr="00C038DE">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C11A1D" w:rsidRPr="00C038DE" w:rsidRDefault="00C11A1D" w:rsidP="00C11A1D">
      <w:r w:rsidRPr="00C038DE">
        <w:t xml:space="preserve">Accordingly, the </w:t>
      </w:r>
      <w:r w:rsidRPr="00C038DE">
        <w:rPr>
          <w:u w:val="single"/>
        </w:rPr>
        <w:t>conclusion</w:t>
      </w:r>
      <w:r w:rsidRPr="00C038DE">
        <w:t xml:space="preserve"> from the former assessment regarding methods for detection and identification </w:t>
      </w:r>
      <w:r w:rsidRPr="00C038DE">
        <w:rPr>
          <w:u w:val="single"/>
        </w:rPr>
        <w:t>remains valid</w:t>
      </w:r>
      <w:r w:rsidRPr="00C038DE">
        <w:t>.</w:t>
      </w:r>
    </w:p>
    <w:p w:rsidR="00C11A1D" w:rsidRPr="00C038DE" w:rsidRDefault="00C11A1D" w:rsidP="00C11A1D"/>
    <w:p w:rsidR="00646AB4" w:rsidRPr="00C038DE" w:rsidRDefault="00646AB4" w:rsidP="00646AB4">
      <w:pPr>
        <w:pStyle w:val="Kop2"/>
        <w:numPr>
          <w:ilvl w:val="1"/>
          <w:numId w:val="4"/>
        </w:numPr>
        <w:spacing w:after="280"/>
        <w:jc w:val="both"/>
      </w:pPr>
      <w:bookmarkStart w:id="648" w:name="_Ref453677549"/>
      <w:bookmarkStart w:id="649" w:name="_Toc500491648"/>
      <w:r w:rsidRPr="00C038DE">
        <w:t>Efficacy against target organisms</w:t>
      </w:r>
      <w:bookmarkEnd w:id="648"/>
      <w:bookmarkEnd w:id="649"/>
    </w:p>
    <w:p w:rsidR="00C11A1D" w:rsidRPr="00C038DE" w:rsidRDefault="00C11A1D" w:rsidP="00C11A1D">
      <w:r w:rsidRPr="00C038DE">
        <w:rPr>
          <w:u w:val="single"/>
        </w:rPr>
        <w:t>Neither new data</w:t>
      </w:r>
      <w:r w:rsidRPr="00C038DE">
        <w:t xml:space="preserve"> was not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C11A1D" w:rsidRDefault="00C11A1D" w:rsidP="00C11A1D">
      <w:r w:rsidRPr="00C038DE">
        <w:t xml:space="preserve">Accordingly, the </w:t>
      </w:r>
      <w:r w:rsidRPr="00C038DE">
        <w:rPr>
          <w:u w:val="single"/>
        </w:rPr>
        <w:t>conclusion</w:t>
      </w:r>
      <w:r w:rsidRPr="00C038DE">
        <w:t xml:space="preserve"> from the former assessment regarding efficacy against target organisms </w:t>
      </w:r>
      <w:r w:rsidRPr="00C038DE">
        <w:rPr>
          <w:u w:val="single"/>
        </w:rPr>
        <w:t>remains valid</w:t>
      </w:r>
      <w:r w:rsidRPr="00C038DE">
        <w:t>.</w:t>
      </w:r>
    </w:p>
    <w:p w:rsidR="009B310E" w:rsidRPr="00C038DE" w:rsidRDefault="009B310E" w:rsidP="00C11A1D"/>
    <w:p w:rsidR="00C11A1D" w:rsidRDefault="009B310E" w:rsidP="009B310E">
      <w:pPr>
        <w:pStyle w:val="Kop3"/>
      </w:pPr>
      <w:r w:rsidRPr="00C034D9">
        <w:t>Occurrence of resistance</w:t>
      </w:r>
    </w:p>
    <w:p w:rsidR="009B310E" w:rsidRPr="00163486" w:rsidRDefault="00163486" w:rsidP="009B310E">
      <w:pPr>
        <w:rPr>
          <w:rFonts w:cs="Arial"/>
          <w:bCs/>
          <w:lang w:val="en-US"/>
        </w:rPr>
      </w:pPr>
      <w:r>
        <w:rPr>
          <w:rFonts w:cs="Arial"/>
          <w:bCs/>
          <w:lang w:val="en-US"/>
        </w:rPr>
        <w:t xml:space="preserve">Although </w:t>
      </w:r>
      <w:r w:rsidR="003321C0">
        <w:rPr>
          <w:rFonts w:cs="Arial"/>
          <w:bCs/>
          <w:lang w:val="en-US"/>
        </w:rPr>
        <w:t>b</w:t>
      </w:r>
      <w:r w:rsidRPr="00163486">
        <w:rPr>
          <w:rFonts w:cs="Arial"/>
          <w:bCs/>
          <w:lang w:val="en-US"/>
        </w:rPr>
        <w:t>romedialon</w:t>
      </w:r>
      <w:r>
        <w:rPr>
          <w:rFonts w:cs="Arial"/>
          <w:bCs/>
          <w:lang w:val="en-US"/>
        </w:rPr>
        <w:t>e</w:t>
      </w:r>
      <w:r w:rsidRPr="00163486">
        <w:rPr>
          <w:rFonts w:cs="Arial"/>
          <w:bCs/>
          <w:lang w:val="en-US"/>
        </w:rPr>
        <w:t xml:space="preserve"> is a </w:t>
      </w:r>
      <w:r>
        <w:rPr>
          <w:rFonts w:cs="Arial"/>
          <w:bCs/>
          <w:lang w:val="en-US"/>
        </w:rPr>
        <w:t xml:space="preserve">second-generation anticoagulant, it is less potent than brodifacoum, difethialone and flocoumafen and resistance problems have been encountered in some rodent populations. However, the compound is effective against certain </w:t>
      </w:r>
      <w:r w:rsidR="009E2F6C">
        <w:rPr>
          <w:rFonts w:cs="Arial"/>
          <w:bCs/>
          <w:lang w:val="en-US"/>
        </w:rPr>
        <w:t>rodent strain</w:t>
      </w:r>
      <w:r>
        <w:rPr>
          <w:rFonts w:cs="Arial"/>
          <w:bCs/>
          <w:lang w:val="en-US"/>
        </w:rPr>
        <w:t>s resistant  to first-generation rodenticide</w:t>
      </w:r>
      <w:r w:rsidR="003321C0">
        <w:rPr>
          <w:rFonts w:cs="Arial"/>
          <w:bCs/>
          <w:lang w:val="en-US"/>
        </w:rPr>
        <w:t>s</w:t>
      </w:r>
      <w:r>
        <w:rPr>
          <w:rFonts w:cs="Arial"/>
          <w:bCs/>
          <w:lang w:val="en-US"/>
        </w:rPr>
        <w:t>.</w:t>
      </w:r>
    </w:p>
    <w:p w:rsidR="009B310E" w:rsidRPr="00163486" w:rsidRDefault="009B310E" w:rsidP="009B310E">
      <w:pPr>
        <w:rPr>
          <w:rFonts w:cs="Arial"/>
          <w:bCs/>
          <w:lang w:val="en-US"/>
        </w:rPr>
      </w:pPr>
    </w:p>
    <w:p w:rsidR="009B310E" w:rsidRDefault="009B310E" w:rsidP="009B310E">
      <w:pPr>
        <w:rPr>
          <w:rFonts w:cs="Arial"/>
          <w:bCs/>
        </w:rPr>
      </w:pPr>
      <w:r>
        <w:rPr>
          <w:rFonts w:cs="Arial"/>
          <w:bCs/>
        </w:rPr>
        <w:t xml:space="preserve">For a </w:t>
      </w:r>
      <w:r w:rsidRPr="00593848">
        <w:rPr>
          <w:rFonts w:cs="Arial"/>
          <w:b/>
          <w:bCs/>
        </w:rPr>
        <w:t>status report</w:t>
      </w:r>
      <w:r>
        <w:rPr>
          <w:rFonts w:cs="Arial"/>
          <w:bCs/>
        </w:rPr>
        <w:t xml:space="preserve"> on the resistance situation for anticoagulants in Europe please refer to the following document:</w:t>
      </w:r>
    </w:p>
    <w:p w:rsidR="009B310E" w:rsidRDefault="009B310E" w:rsidP="009B310E">
      <w:pPr>
        <w:rPr>
          <w:rFonts w:cs="Arial"/>
          <w:bCs/>
        </w:rPr>
      </w:pPr>
    </w:p>
    <w:p w:rsidR="009B310E" w:rsidRPr="009B402E" w:rsidRDefault="009B310E" w:rsidP="009B310E">
      <w:pPr>
        <w:ind w:firstLine="567"/>
        <w:rPr>
          <w:rFonts w:ascii="Calibri" w:hAnsi="Calibri"/>
          <w:lang w:val="en-US"/>
        </w:rPr>
      </w:pPr>
      <w:r>
        <w:rPr>
          <w:bCs/>
        </w:rPr>
        <w:lastRenderedPageBreak/>
        <w:t>RACC guidelines on Anticoagulant Rodenticide Resistance Management (October 2016).</w:t>
      </w:r>
    </w:p>
    <w:p w:rsidR="009B310E" w:rsidRDefault="009B310E" w:rsidP="009B310E">
      <w:pPr>
        <w:pStyle w:val="Pa0"/>
        <w:rPr>
          <w:rFonts w:ascii="Arial" w:hAnsi="Arial" w:cs="Arial"/>
          <w:bCs/>
          <w:sz w:val="20"/>
          <w:szCs w:val="20"/>
          <w:lang w:val="en-US" w:eastAsia="de-DE"/>
        </w:rPr>
      </w:pPr>
      <w:r w:rsidRPr="00794E7A">
        <w:rPr>
          <w:rFonts w:ascii="Arial" w:hAnsi="Arial" w:cs="Arial"/>
          <w:bCs/>
          <w:sz w:val="20"/>
          <w:szCs w:val="20"/>
          <w:lang w:val="en-US" w:eastAsia="de-DE"/>
        </w:rPr>
        <w:t xml:space="preserve">This document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 To download the latest version visit: </w:t>
      </w:r>
      <w:hyperlink r:id="rId21" w:history="1">
        <w:r w:rsidR="00482D53" w:rsidRPr="00E269DB">
          <w:rPr>
            <w:rStyle w:val="Hyperlink"/>
            <w:rFonts w:ascii="Arial" w:hAnsi="Arial" w:cs="Arial"/>
            <w:bCs/>
            <w:sz w:val="20"/>
            <w:szCs w:val="20"/>
            <w:lang w:val="en-US" w:eastAsia="de-DE"/>
          </w:rPr>
          <w:t>www.rrac.info/releases</w:t>
        </w:r>
      </w:hyperlink>
    </w:p>
    <w:p w:rsidR="00482D53" w:rsidRDefault="00482D53" w:rsidP="00482D53">
      <w:pPr>
        <w:pStyle w:val="Default"/>
        <w:rPr>
          <w:lang w:val="en-US" w:eastAsia="de-DE"/>
        </w:rPr>
      </w:pPr>
    </w:p>
    <w:p w:rsidR="00482D53" w:rsidRDefault="00482D53" w:rsidP="00482D53"/>
    <w:p w:rsidR="00482D53" w:rsidRPr="009B310E" w:rsidRDefault="00482D53" w:rsidP="00482D53">
      <w:r>
        <w:t>The authorization holder shall report any observed resistance incidents to the Competent Authorities or other appointed bodies involved in the resistance managements.</w:t>
      </w:r>
    </w:p>
    <w:p w:rsidR="00482D53" w:rsidRPr="00482D53" w:rsidRDefault="00482D53" w:rsidP="00482D53">
      <w:pPr>
        <w:pStyle w:val="Default"/>
        <w:rPr>
          <w:lang w:eastAsia="de-DE"/>
        </w:rPr>
      </w:pPr>
    </w:p>
    <w:p w:rsidR="00646AB4" w:rsidRPr="00C038DE" w:rsidRDefault="00555098" w:rsidP="00646AB4">
      <w:pPr>
        <w:pStyle w:val="Kop2"/>
        <w:numPr>
          <w:ilvl w:val="1"/>
          <w:numId w:val="4"/>
        </w:numPr>
        <w:spacing w:after="280"/>
        <w:jc w:val="both"/>
      </w:pPr>
      <w:bookmarkStart w:id="650" w:name="_Ref453677576"/>
      <w:bookmarkStart w:id="651" w:name="_Toc500491649"/>
      <w:r w:rsidRPr="00C038DE">
        <w:t>R</w:t>
      </w:r>
      <w:r w:rsidR="00646AB4" w:rsidRPr="00C038DE">
        <w:t>isk assessment for human health</w:t>
      </w:r>
      <w:bookmarkEnd w:id="650"/>
      <w:bookmarkEnd w:id="651"/>
    </w:p>
    <w:p w:rsidR="00646AB4" w:rsidRPr="00C038DE" w:rsidRDefault="00646AB4" w:rsidP="00646AB4">
      <w:pPr>
        <w:pStyle w:val="Kop3"/>
      </w:pPr>
      <w:r w:rsidRPr="00C038DE">
        <w:t>Assessment of effects of the active substance on human health</w:t>
      </w:r>
    </w:p>
    <w:p w:rsidR="00FE51AC" w:rsidRPr="00C038DE" w:rsidRDefault="00FE51AC" w:rsidP="00FE51AC">
      <w:r w:rsidRPr="00C038DE">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FE51AC" w:rsidRDefault="00FE51AC" w:rsidP="00FE51AC">
      <w:r w:rsidRPr="00C038DE">
        <w:t xml:space="preserve">Accordingly, the </w:t>
      </w:r>
      <w:r w:rsidRPr="00C038DE">
        <w:rPr>
          <w:u w:val="single"/>
        </w:rPr>
        <w:t>conclusion</w:t>
      </w:r>
      <w:r w:rsidRPr="00C038DE">
        <w:t xml:space="preserve"> from the former assessment regarding effects of the active substance on human health </w:t>
      </w:r>
      <w:r w:rsidRPr="00C038DE">
        <w:rPr>
          <w:u w:val="single"/>
        </w:rPr>
        <w:t>remains valid</w:t>
      </w:r>
      <w:r w:rsidRPr="00C038DE">
        <w:t>.</w:t>
      </w:r>
    </w:p>
    <w:p w:rsidR="00DA6975" w:rsidRDefault="00DA6975" w:rsidP="00FE51AC"/>
    <w:p w:rsidR="00DA6975" w:rsidRDefault="00DA6975" w:rsidP="00DA6975">
      <w:pPr>
        <w:pStyle w:val="En-tteheaderprotocols"/>
        <w:widowControl/>
        <w:shd w:val="clear" w:color="auto" w:fill="D9D9D9"/>
        <w:tabs>
          <w:tab w:val="clear" w:pos="4536"/>
          <w:tab w:val="clear" w:pos="9072"/>
        </w:tabs>
        <w:jc w:val="both"/>
        <w:rPr>
          <w:rFonts w:ascii="Arial" w:hAnsi="Arial" w:cs="Arial"/>
          <w:sz w:val="22"/>
          <w:szCs w:val="22"/>
          <w:lang w:val="en-GB" w:eastAsia="de-DE"/>
        </w:rPr>
      </w:pPr>
      <w:r>
        <w:rPr>
          <w:rFonts w:ascii="Arial" w:hAnsi="Arial" w:cs="Arial"/>
          <w:sz w:val="22"/>
          <w:szCs w:val="22"/>
          <w:lang w:val="en-GB" w:eastAsia="de-DE"/>
        </w:rPr>
        <w:t>Considering the 9</w:t>
      </w:r>
      <w:r w:rsidRPr="00DA6975">
        <w:rPr>
          <w:rFonts w:ascii="Arial" w:hAnsi="Arial" w:cs="Arial"/>
          <w:sz w:val="22"/>
          <w:szCs w:val="22"/>
          <w:vertAlign w:val="superscript"/>
          <w:lang w:val="en-GB" w:eastAsia="de-DE"/>
        </w:rPr>
        <w:t>th</w:t>
      </w:r>
      <w:r>
        <w:rPr>
          <w:rFonts w:ascii="Arial" w:hAnsi="Arial" w:cs="Arial"/>
          <w:sz w:val="22"/>
          <w:szCs w:val="22"/>
          <w:lang w:val="en-GB" w:eastAsia="de-DE"/>
        </w:rPr>
        <w:t xml:space="preserve"> ATP to the CLP Regulation (2016/1179), the harmonised classification of bromadialone is the following: </w:t>
      </w:r>
    </w:p>
    <w:p w:rsidR="00DA6975" w:rsidRDefault="00DA6975" w:rsidP="00DA6975">
      <w:pPr>
        <w:pStyle w:val="En-tteheaderprotocols"/>
        <w:widowControl/>
        <w:tabs>
          <w:tab w:val="clear" w:pos="4536"/>
          <w:tab w:val="clear" w:pos="9072"/>
        </w:tabs>
        <w:jc w:val="both"/>
        <w:rPr>
          <w:rFonts w:ascii="Arial" w:hAnsi="Arial" w:cs="Arial"/>
          <w:sz w:val="22"/>
          <w:szCs w:val="22"/>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97"/>
      </w:tblGrid>
      <w:tr w:rsidR="00DA6975" w:rsidTr="0038220A">
        <w:tc>
          <w:tcPr>
            <w:tcW w:w="7797" w:type="dxa"/>
            <w:shd w:val="clear" w:color="auto" w:fill="D9D9D9"/>
          </w:tcPr>
          <w:p w:rsidR="00DA6975" w:rsidRDefault="00DA6975" w:rsidP="0038220A">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Classification under regulation (EC) 1272/2008</w:t>
            </w:r>
          </w:p>
        </w:tc>
      </w:tr>
      <w:tr w:rsidR="00DA6975" w:rsidTr="0038220A">
        <w:trPr>
          <w:trHeight w:val="1379"/>
        </w:trPr>
        <w:tc>
          <w:tcPr>
            <w:tcW w:w="7797" w:type="dxa"/>
            <w:shd w:val="clear" w:color="auto" w:fill="D9D9D9"/>
          </w:tcPr>
          <w:p w:rsidR="00DA6975" w:rsidRPr="009609AA" w:rsidRDefault="00DA6975" w:rsidP="0038220A">
            <w:pPr>
              <w:rPr>
                <w:rFonts w:cs="Arial"/>
                <w:lang w:val="en-US"/>
              </w:rPr>
            </w:pPr>
            <w:r w:rsidRPr="009609AA">
              <w:rPr>
                <w:rFonts w:cs="Arial"/>
                <w:lang w:val="en-US"/>
              </w:rPr>
              <w:t>Acute Tox 1 – H300 ; H310 ; H330</w:t>
            </w:r>
          </w:p>
          <w:p w:rsidR="00DA6975" w:rsidRPr="009609AA" w:rsidRDefault="00DA6975" w:rsidP="0038220A">
            <w:pPr>
              <w:rPr>
                <w:rFonts w:cs="Arial"/>
                <w:lang w:val="en-US"/>
              </w:rPr>
            </w:pPr>
            <w:r w:rsidRPr="009609AA">
              <w:rPr>
                <w:rFonts w:cs="Arial"/>
                <w:lang w:val="en-US"/>
              </w:rPr>
              <w:t>STOT RE 1 – H372 (blood)</w:t>
            </w:r>
          </w:p>
          <w:p w:rsidR="00DA6975" w:rsidRPr="009609AA" w:rsidRDefault="00DA6975" w:rsidP="0038220A">
            <w:pPr>
              <w:rPr>
                <w:rFonts w:cs="Arial"/>
                <w:lang w:val="en-US"/>
              </w:rPr>
            </w:pPr>
            <w:r w:rsidRPr="009609AA">
              <w:rPr>
                <w:rFonts w:cs="Arial"/>
                <w:lang w:val="en-US"/>
              </w:rPr>
              <w:t>Repr. 1B – H360</w:t>
            </w:r>
            <w:r>
              <w:rPr>
                <w:rFonts w:cs="Arial"/>
                <w:lang w:val="en-US"/>
              </w:rPr>
              <w:t>D</w:t>
            </w:r>
          </w:p>
          <w:p w:rsidR="00DA6975" w:rsidRPr="009609AA" w:rsidRDefault="00DA6975" w:rsidP="0038220A">
            <w:pPr>
              <w:rPr>
                <w:rFonts w:cs="Arial"/>
                <w:lang w:val="en-US"/>
              </w:rPr>
            </w:pPr>
          </w:p>
          <w:p w:rsidR="00DA6975" w:rsidRPr="00722754" w:rsidRDefault="00DA6975" w:rsidP="00DA6975">
            <w:pPr>
              <w:rPr>
                <w:rFonts w:cs="Arial"/>
                <w:szCs w:val="22"/>
                <w:lang w:val="en-US"/>
              </w:rPr>
            </w:pPr>
            <w:r w:rsidRPr="009609AA">
              <w:rPr>
                <w:rFonts w:cs="Arial"/>
                <w:lang w:val="en-US"/>
              </w:rPr>
              <w:t>Repr. 1B; H360D: C</w:t>
            </w:r>
            <w:r>
              <w:rPr>
                <w:rFonts w:cs="Arial"/>
                <w:lang w:val="en-US"/>
              </w:rPr>
              <w:t xml:space="preserve"> ≥ 0,003 %</w:t>
            </w:r>
            <w:r>
              <w:rPr>
                <w:rFonts w:cs="Arial"/>
                <w:lang w:val="en-US"/>
              </w:rPr>
              <w:br/>
            </w:r>
            <w:r w:rsidRPr="00DA6975">
              <w:rPr>
                <w:rFonts w:cs="Arial"/>
                <w:lang w:val="en-US"/>
              </w:rPr>
              <w:t>STOT RE 1; H372 (blood): C ≥ 0,005 %</w:t>
            </w:r>
            <w:r>
              <w:rPr>
                <w:rFonts w:cs="Arial"/>
                <w:lang w:val="en-US"/>
              </w:rPr>
              <w:br/>
            </w:r>
            <w:r w:rsidRPr="00DA6975">
              <w:rPr>
                <w:rFonts w:cs="Arial"/>
                <w:lang w:val="en-US"/>
              </w:rPr>
              <w:t xml:space="preserve">STOT RE </w:t>
            </w:r>
            <w:r>
              <w:rPr>
                <w:rFonts w:cs="Arial"/>
                <w:lang w:val="en-US"/>
              </w:rPr>
              <w:t>2</w:t>
            </w:r>
            <w:r w:rsidRPr="00DA6975">
              <w:rPr>
                <w:rFonts w:cs="Arial"/>
                <w:lang w:val="en-US"/>
              </w:rPr>
              <w:t>; H373 (blood): 0,0005 % ≤ C &lt; 0,005 %</w:t>
            </w:r>
          </w:p>
        </w:tc>
      </w:tr>
    </w:tbl>
    <w:p w:rsidR="00DA6975" w:rsidRDefault="00DA6975" w:rsidP="00DA6975">
      <w:pPr>
        <w:pStyle w:val="En-tteheaderprotocols"/>
        <w:widowControl/>
        <w:tabs>
          <w:tab w:val="clear" w:pos="4536"/>
          <w:tab w:val="clear" w:pos="9072"/>
        </w:tabs>
        <w:jc w:val="both"/>
        <w:rPr>
          <w:rFonts w:ascii="Arial" w:hAnsi="Arial" w:cs="Arial"/>
          <w:sz w:val="22"/>
          <w:szCs w:val="22"/>
          <w:lang w:val="en-US" w:eastAsia="de-DE"/>
        </w:rPr>
      </w:pPr>
    </w:p>
    <w:p w:rsidR="00DA6975" w:rsidRDefault="00DA6975" w:rsidP="00DA6975">
      <w:pPr>
        <w:pStyle w:val="En-tteheaderprotocols"/>
        <w:widowControl/>
        <w:shd w:val="clear" w:color="auto" w:fill="D9D9D9"/>
        <w:tabs>
          <w:tab w:val="clear" w:pos="4536"/>
          <w:tab w:val="clear" w:pos="9072"/>
        </w:tabs>
        <w:jc w:val="both"/>
        <w:rPr>
          <w:rFonts w:ascii="Arial" w:hAnsi="Arial" w:cs="Arial"/>
          <w:sz w:val="22"/>
          <w:szCs w:val="22"/>
          <w:lang w:val="en-GB" w:eastAsia="de-DE"/>
        </w:rPr>
      </w:pPr>
      <w:r>
        <w:rPr>
          <w:rFonts w:ascii="Arial" w:hAnsi="Arial" w:cs="Arial"/>
          <w:sz w:val="22"/>
          <w:szCs w:val="22"/>
          <w:lang w:val="en-GB" w:eastAsia="de-DE"/>
        </w:rPr>
        <w:t xml:space="preserve">Based on the results of the studies, the concentration of the active substance (0.005%) and of the compounds contained in the product and according to the above classification, the following classification is required: </w:t>
      </w:r>
    </w:p>
    <w:p w:rsidR="00DA6975" w:rsidRDefault="00DA6975" w:rsidP="00DA6975">
      <w:pPr>
        <w:pStyle w:val="En-tteheaderprotocols"/>
        <w:widowControl/>
        <w:shd w:val="clear" w:color="auto" w:fill="D9D9D9"/>
        <w:tabs>
          <w:tab w:val="clear" w:pos="4536"/>
          <w:tab w:val="clear" w:pos="9072"/>
        </w:tabs>
        <w:jc w:val="both"/>
        <w:rPr>
          <w:rFonts w:ascii="Arial" w:hAnsi="Arial" w:cs="Arial"/>
          <w:sz w:val="22"/>
          <w:szCs w:val="22"/>
          <w:lang w:val="en-GB" w:eastAsia="de-DE"/>
        </w:rPr>
      </w:pPr>
    </w:p>
    <w:p w:rsidR="00DA6975" w:rsidRPr="00DA6975" w:rsidRDefault="00DA6975" w:rsidP="00BA7C2C">
      <w:pPr>
        <w:numPr>
          <w:ilvl w:val="0"/>
          <w:numId w:val="11"/>
        </w:numPr>
        <w:shd w:val="clear" w:color="auto" w:fill="D9D9D9"/>
        <w:snapToGrid w:val="0"/>
        <w:spacing w:line="276" w:lineRule="auto"/>
        <w:ind w:left="1134"/>
        <w:rPr>
          <w:rFonts w:cs="Arial"/>
          <w:lang w:val="en-US"/>
        </w:rPr>
      </w:pPr>
      <w:r>
        <w:rPr>
          <w:rFonts w:cs="Arial"/>
          <w:lang w:val="en-US"/>
        </w:rPr>
        <w:t xml:space="preserve">Repr. 1B - </w:t>
      </w:r>
      <w:r>
        <w:rPr>
          <w:rFonts w:cs="Arial"/>
          <w:lang w:val="en-US" w:eastAsia="fi-FI"/>
        </w:rPr>
        <w:t>H360D:</w:t>
      </w:r>
      <w:r>
        <w:rPr>
          <w:rFonts w:cs="Arial"/>
          <w:lang w:val="en-US" w:eastAsia="fi-FI"/>
        </w:rPr>
        <w:tab/>
      </w:r>
      <w:r w:rsidRPr="00850DFD">
        <w:rPr>
          <w:rFonts w:cs="Arial"/>
          <w:color w:val="000000"/>
          <w:szCs w:val="22"/>
        </w:rPr>
        <w:t>May damage the unborn child</w:t>
      </w:r>
    </w:p>
    <w:p w:rsidR="00DA6975" w:rsidRPr="00DA6975" w:rsidRDefault="00DA6975" w:rsidP="00BA7C2C">
      <w:pPr>
        <w:numPr>
          <w:ilvl w:val="0"/>
          <w:numId w:val="11"/>
        </w:numPr>
        <w:shd w:val="clear" w:color="auto" w:fill="D9D9D9"/>
        <w:snapToGrid w:val="0"/>
        <w:spacing w:line="276" w:lineRule="auto"/>
        <w:ind w:left="1134"/>
        <w:rPr>
          <w:rFonts w:cs="Arial"/>
          <w:lang w:val="en-US"/>
        </w:rPr>
      </w:pPr>
      <w:r>
        <w:rPr>
          <w:rFonts w:cs="Arial"/>
          <w:lang w:val="en-US"/>
        </w:rPr>
        <w:t>STOT RE 1; H372:</w:t>
      </w:r>
      <w:r>
        <w:rPr>
          <w:rFonts w:cs="Arial"/>
          <w:lang w:val="en-US"/>
        </w:rPr>
        <w:tab/>
      </w:r>
      <w:r w:rsidRPr="00DA6975">
        <w:rPr>
          <w:rFonts w:cs="Arial"/>
          <w:lang w:val="en-US"/>
        </w:rPr>
        <w:t>Causes damage to the blood through prolonged or repeated exposure.</w:t>
      </w:r>
    </w:p>
    <w:p w:rsidR="00646AB4" w:rsidRPr="00C038DE" w:rsidRDefault="00646AB4" w:rsidP="00646AB4">
      <w:pPr>
        <w:pStyle w:val="Kop3"/>
      </w:pPr>
      <w:r w:rsidRPr="00C038DE">
        <w:lastRenderedPageBreak/>
        <w:t>Assessment of effects of the product on human health</w:t>
      </w:r>
    </w:p>
    <w:p w:rsidR="005937DC" w:rsidRPr="00C038DE" w:rsidRDefault="008953EF" w:rsidP="005937DC">
      <w:r>
        <w:t xml:space="preserve">For the previous authorisation the dermal absorption value of </w:t>
      </w:r>
      <w:r w:rsidR="00491841">
        <w:t>1.6</w:t>
      </w:r>
      <w:r>
        <w:t>% has been used based on study</w:t>
      </w:r>
      <w:r w:rsidR="002C21C0">
        <w:t xml:space="preserve"> by </w:t>
      </w:r>
      <w:r w:rsidR="00406FE8">
        <w:t xml:space="preserve">Hassler </w:t>
      </w:r>
      <w:r w:rsidR="002C21C0">
        <w:t>(</w:t>
      </w:r>
      <w:r w:rsidR="00406FE8">
        <w:t>2004</w:t>
      </w:r>
      <w:r w:rsidR="002C21C0">
        <w:t>)</w:t>
      </w:r>
      <w:r>
        <w:t>. For the renewal</w:t>
      </w:r>
      <w:r w:rsidR="005937DC" w:rsidRPr="00C038DE">
        <w:t xml:space="preserve">, the following new guidance </w:t>
      </w:r>
      <w:r w:rsidR="009C69C0">
        <w:t>was</w:t>
      </w:r>
      <w:r w:rsidR="005937DC" w:rsidRPr="00C038DE">
        <w:t xml:space="preserve"> taken into account for the re-assessment:</w:t>
      </w:r>
    </w:p>
    <w:p w:rsidR="005937DC" w:rsidRPr="00C038DE" w:rsidRDefault="005937DC" w:rsidP="00BA7C2C">
      <w:pPr>
        <w:numPr>
          <w:ilvl w:val="0"/>
          <w:numId w:val="8"/>
        </w:numPr>
      </w:pPr>
      <w:r w:rsidRPr="00C038DE">
        <w:t xml:space="preserve"> EFSA GD on dermal absorption (2012): </w:t>
      </w:r>
      <w:r w:rsidRPr="00C038DE">
        <w:rPr>
          <w:i/>
        </w:rPr>
        <w:t xml:space="preserve">EFSA Panel on Plant Protection Products and their Residues (PPR); Guidance on Dermal Absorption.EFSA Journal 2012;10(4):2665. </w:t>
      </w:r>
      <w:r w:rsidRPr="00C038DE">
        <w:rPr>
          <w:i/>
          <w:lang w:val="fr-FR"/>
        </w:rPr>
        <w:t>[30 pp.] doi:10.2903/j.efsa.2012.2665.</w:t>
      </w:r>
    </w:p>
    <w:p w:rsidR="005937DC" w:rsidRPr="00C038DE" w:rsidRDefault="005937DC" w:rsidP="005937DC"/>
    <w:p w:rsidR="005937DC" w:rsidRPr="001316AA" w:rsidRDefault="005937DC" w:rsidP="005937DC">
      <w:pPr>
        <w:rPr>
          <w:b/>
        </w:rPr>
      </w:pPr>
      <w:r w:rsidRPr="001316AA">
        <w:rPr>
          <w:b/>
        </w:rPr>
        <w:t>Re-assessment of the relevant data:</w:t>
      </w:r>
    </w:p>
    <w:p w:rsidR="005937DC" w:rsidRPr="00C038DE" w:rsidRDefault="005937DC" w:rsidP="005937DC">
      <w:r w:rsidRPr="00C038DE">
        <w:t>Taking the new guidance on dermal absorption into account the data already submitted was re-assessed:</w:t>
      </w:r>
    </w:p>
    <w:p w:rsidR="00E94D75" w:rsidRDefault="00686F28" w:rsidP="00E94D75">
      <w:r>
        <w:t>The dermal absorption study was performed in</w:t>
      </w:r>
      <w:r w:rsidR="009C69C0">
        <w:t xml:space="preserve"> vitro using</w:t>
      </w:r>
      <w:r>
        <w:t xml:space="preserve"> human skin using a 0.</w:t>
      </w:r>
      <w:r w:rsidRPr="00154893">
        <w:t>005% Green Block and 0.005%</w:t>
      </w:r>
      <w:r w:rsidR="009C69C0" w:rsidRPr="00154893">
        <w:t xml:space="preserve"> </w:t>
      </w:r>
      <w:r w:rsidRPr="00154893">
        <w:t>Red Impregnated Oat cont</w:t>
      </w:r>
      <w:r>
        <w:t>aining radiolabelled bromadiolone.</w:t>
      </w:r>
      <w:r w:rsidR="00E94D75">
        <w:t xml:space="preserve"> The values obtained with the oat formulation are used due to the higher recoveries and lower absorption levels obtained with the block formulation. Furthermore, </w:t>
      </w:r>
      <w:r w:rsidR="00F1193D">
        <w:t>t</w:t>
      </w:r>
      <w:r w:rsidR="00E94D75">
        <w:t>he oat formulation was ground and applied as an aqueous slurry in the dermal absorption study; this application method is considered equivalent to assessing dermal absorption from a paste therefore the impact of the different formulation types is minimal. The addition of water to the oat formulation facilitates dermal delivery and is therefore likely to be worst-case with respect to absorption compared to the paste formulation.</w:t>
      </w:r>
    </w:p>
    <w:p w:rsidR="00F1193D" w:rsidRDefault="00F1193D" w:rsidP="00E94D75"/>
    <w:p w:rsidR="00F1193D" w:rsidRDefault="00C46672" w:rsidP="00F1193D">
      <w:r>
        <w:t>The</w:t>
      </w:r>
      <w:r w:rsidR="00E94D75">
        <w:t xml:space="preserve"> mean recovery for the seven wells in the test with the oat formulation 96.84% (93.33-100.65%)</w:t>
      </w:r>
      <w:r>
        <w:t xml:space="preserve"> </w:t>
      </w:r>
      <w:r w:rsidR="00CC6D46">
        <w:t>wa</w:t>
      </w:r>
      <w:r>
        <w:t>s higher than 95%</w:t>
      </w:r>
      <w:r w:rsidR="00E94D75">
        <w:t xml:space="preserve"> and is therefore acceptable. </w:t>
      </w:r>
      <w:r w:rsidR="00686F28">
        <w:t xml:space="preserve">Tape-stripping was performed but strips were pooled (strips 1-5, strips 6-10 and strips 11-15) and values were not reported individually. </w:t>
      </w:r>
      <w:r w:rsidR="007B0B96">
        <w:t xml:space="preserve">Therefore, </w:t>
      </w:r>
      <w:r w:rsidR="00E94D75">
        <w:t xml:space="preserve">all tape strips were included in deriving the </w:t>
      </w:r>
      <w:r>
        <w:t>absorbed</w:t>
      </w:r>
      <w:r w:rsidR="00E94D75">
        <w:t xml:space="preserve"> value. There was some variability between replicates in this study. The total potential </w:t>
      </w:r>
      <w:r>
        <w:t>absorption</w:t>
      </w:r>
      <w:r w:rsidR="00E94D75">
        <w:t xml:space="preserve"> (calculated as receptor fluid +</w:t>
      </w:r>
      <w:r w:rsidR="00F1193D">
        <w:t xml:space="preserve"> </w:t>
      </w:r>
      <w:r w:rsidR="00E94D75">
        <w:t>tape strips + remaining skin membrane) was calculated to be 1.59 ±0.55%. The standard deviation is therefore 35% of the overall mean. As standard deviation is &gt;25% of the mean, the mean value requires correction for the level of variation between replicates</w:t>
      </w:r>
      <w:r w:rsidR="007B0B96">
        <w:t xml:space="preserve"> by adding up the SD</w:t>
      </w:r>
      <w:r w:rsidR="00CC6D46">
        <w:t xml:space="preserve"> (2.14%)</w:t>
      </w:r>
      <w:r w:rsidR="00E94D75">
        <w:t>.</w:t>
      </w:r>
      <w:r w:rsidR="00F1193D" w:rsidRPr="00F1193D">
        <w:t xml:space="preserve"> </w:t>
      </w:r>
      <w:r w:rsidR="0091753D">
        <w:t>This results in a rounded dermal absorption value of 2%</w:t>
      </w:r>
      <w:r w:rsidR="00CC6D46">
        <w:t>.</w:t>
      </w:r>
    </w:p>
    <w:p w:rsidR="00F1193D" w:rsidRDefault="00F1193D" w:rsidP="00F1193D"/>
    <w:p w:rsidR="00F1193D" w:rsidRPr="00C038DE" w:rsidRDefault="00F1193D" w:rsidP="00F1193D">
      <w:r>
        <w:t>Calculation of a dermal absorption value for bromadiolone – oat formulations</w:t>
      </w:r>
    </w:p>
    <w:p w:rsidR="00686F28" w:rsidRDefault="00686F28" w:rsidP="00E94D75"/>
    <w:tbl>
      <w:tblPr>
        <w:tblStyle w:val="Tabelraster"/>
        <w:tblW w:w="0" w:type="auto"/>
        <w:tblLook w:val="04A0" w:firstRow="1" w:lastRow="0" w:firstColumn="1" w:lastColumn="0" w:noHBand="0" w:noVBand="1"/>
      </w:tblPr>
      <w:tblGrid>
        <w:gridCol w:w="6164"/>
        <w:gridCol w:w="2591"/>
      </w:tblGrid>
      <w:tr w:rsidR="00F1193D" w:rsidTr="001E2C5A">
        <w:tc>
          <w:tcPr>
            <w:tcW w:w="6164" w:type="dxa"/>
            <w:shd w:val="clear" w:color="auto" w:fill="auto"/>
          </w:tcPr>
          <w:p w:rsidR="00F1193D" w:rsidRPr="00F1193D" w:rsidRDefault="00F1193D" w:rsidP="00E94D75">
            <w:pPr>
              <w:rPr>
                <w:b/>
              </w:rPr>
            </w:pPr>
            <w:r w:rsidRPr="00F1193D">
              <w:rPr>
                <w:b/>
              </w:rPr>
              <w:t>compartment</w:t>
            </w:r>
          </w:p>
        </w:tc>
        <w:tc>
          <w:tcPr>
            <w:tcW w:w="2591" w:type="dxa"/>
            <w:shd w:val="clear" w:color="auto" w:fill="auto"/>
          </w:tcPr>
          <w:p w:rsidR="00F1193D" w:rsidRPr="00F1193D" w:rsidRDefault="00F1193D" w:rsidP="001E2C5A">
            <w:pPr>
              <w:jc w:val="center"/>
              <w:rPr>
                <w:b/>
              </w:rPr>
            </w:pPr>
            <w:r w:rsidRPr="00F1193D">
              <w:rPr>
                <w:b/>
              </w:rPr>
              <w:t>Bromadiolone (%)</w:t>
            </w:r>
          </w:p>
        </w:tc>
      </w:tr>
      <w:tr w:rsidR="00F1193D" w:rsidTr="001E2C5A">
        <w:tc>
          <w:tcPr>
            <w:tcW w:w="6164" w:type="dxa"/>
            <w:shd w:val="clear" w:color="auto" w:fill="auto"/>
          </w:tcPr>
          <w:p w:rsidR="00F1193D" w:rsidRDefault="00F1193D" w:rsidP="00E94D75">
            <w:r>
              <w:t>Skin wash</w:t>
            </w:r>
          </w:p>
        </w:tc>
        <w:tc>
          <w:tcPr>
            <w:tcW w:w="2591" w:type="dxa"/>
            <w:shd w:val="clear" w:color="auto" w:fill="auto"/>
          </w:tcPr>
          <w:p w:rsidR="00F1193D" w:rsidRDefault="001E2C5A" w:rsidP="001E2C5A">
            <w:pPr>
              <w:jc w:val="center"/>
            </w:pPr>
            <w:r>
              <w:t xml:space="preserve">94.57 </w:t>
            </w:r>
            <w:r>
              <w:rPr>
                <w:rFonts w:cs="Arial"/>
              </w:rPr>
              <w:t>±</w:t>
            </w:r>
            <w:r>
              <w:t xml:space="preserve"> 3.07</w:t>
            </w:r>
          </w:p>
        </w:tc>
      </w:tr>
      <w:tr w:rsidR="00F1193D" w:rsidTr="001E2C5A">
        <w:tc>
          <w:tcPr>
            <w:tcW w:w="6164" w:type="dxa"/>
            <w:shd w:val="clear" w:color="auto" w:fill="auto"/>
          </w:tcPr>
          <w:p w:rsidR="00F1193D" w:rsidRDefault="00F1193D" w:rsidP="00E94D75">
            <w:r>
              <w:t>Tape strips 1-5</w:t>
            </w:r>
          </w:p>
        </w:tc>
        <w:tc>
          <w:tcPr>
            <w:tcW w:w="2591" w:type="dxa"/>
            <w:shd w:val="clear" w:color="auto" w:fill="auto"/>
          </w:tcPr>
          <w:p w:rsidR="00F1193D" w:rsidRDefault="001E2C5A" w:rsidP="001E2C5A">
            <w:pPr>
              <w:jc w:val="center"/>
            </w:pPr>
            <w:r>
              <w:t xml:space="preserve">0.56 </w:t>
            </w:r>
            <w:r>
              <w:rPr>
                <w:rFonts w:cs="Arial"/>
              </w:rPr>
              <w:t>± 0.20</w:t>
            </w:r>
          </w:p>
        </w:tc>
      </w:tr>
      <w:tr w:rsidR="00F1193D" w:rsidTr="001E2C5A">
        <w:tc>
          <w:tcPr>
            <w:tcW w:w="6164" w:type="dxa"/>
            <w:shd w:val="clear" w:color="auto" w:fill="auto"/>
          </w:tcPr>
          <w:p w:rsidR="00F1193D" w:rsidRDefault="00F1193D" w:rsidP="00E94D75">
            <w:r>
              <w:t>Tape strips 6-10</w:t>
            </w:r>
          </w:p>
        </w:tc>
        <w:tc>
          <w:tcPr>
            <w:tcW w:w="2591" w:type="dxa"/>
            <w:shd w:val="clear" w:color="auto" w:fill="auto"/>
          </w:tcPr>
          <w:p w:rsidR="00F1193D" w:rsidRDefault="001E2C5A" w:rsidP="001E2C5A">
            <w:pPr>
              <w:jc w:val="center"/>
            </w:pPr>
            <w:r>
              <w:t xml:space="preserve">0.17 </w:t>
            </w:r>
            <w:r>
              <w:rPr>
                <w:rFonts w:cs="Arial"/>
              </w:rPr>
              <w:t>± 0.06</w:t>
            </w:r>
          </w:p>
        </w:tc>
      </w:tr>
      <w:tr w:rsidR="00F1193D" w:rsidTr="001E2C5A">
        <w:tc>
          <w:tcPr>
            <w:tcW w:w="6164" w:type="dxa"/>
            <w:shd w:val="clear" w:color="auto" w:fill="auto"/>
          </w:tcPr>
          <w:p w:rsidR="00F1193D" w:rsidRDefault="00F1193D" w:rsidP="00E94D75">
            <w:r>
              <w:t>Tape strips 11-15</w:t>
            </w:r>
          </w:p>
        </w:tc>
        <w:tc>
          <w:tcPr>
            <w:tcW w:w="2591" w:type="dxa"/>
            <w:shd w:val="clear" w:color="auto" w:fill="auto"/>
          </w:tcPr>
          <w:p w:rsidR="00F1193D" w:rsidRDefault="001E2C5A" w:rsidP="001E2C5A">
            <w:pPr>
              <w:jc w:val="center"/>
            </w:pPr>
            <w:r>
              <w:t xml:space="preserve">0.09 </w:t>
            </w:r>
            <w:r>
              <w:rPr>
                <w:rFonts w:cs="Arial"/>
              </w:rPr>
              <w:t>± 0.04</w:t>
            </w:r>
          </w:p>
        </w:tc>
      </w:tr>
      <w:tr w:rsidR="00F1193D" w:rsidTr="001E2C5A">
        <w:tc>
          <w:tcPr>
            <w:tcW w:w="6164" w:type="dxa"/>
            <w:shd w:val="clear" w:color="auto" w:fill="auto"/>
          </w:tcPr>
          <w:p w:rsidR="00F1193D" w:rsidRDefault="00F1193D" w:rsidP="00E94D75">
            <w:r>
              <w:lastRenderedPageBreak/>
              <w:t>Remaining skin membrane (dermis + epidermis)</w:t>
            </w:r>
          </w:p>
        </w:tc>
        <w:tc>
          <w:tcPr>
            <w:tcW w:w="2591" w:type="dxa"/>
            <w:shd w:val="clear" w:color="auto" w:fill="auto"/>
          </w:tcPr>
          <w:p w:rsidR="00F1193D" w:rsidRDefault="001E2C5A" w:rsidP="001E2C5A">
            <w:pPr>
              <w:jc w:val="center"/>
            </w:pPr>
            <w:r>
              <w:t xml:space="preserve">0.07 </w:t>
            </w:r>
            <w:r>
              <w:rPr>
                <w:rFonts w:cs="Arial"/>
              </w:rPr>
              <w:t>± 0.07</w:t>
            </w:r>
          </w:p>
        </w:tc>
      </w:tr>
      <w:tr w:rsidR="00F1193D" w:rsidTr="001E2C5A">
        <w:tc>
          <w:tcPr>
            <w:tcW w:w="6164" w:type="dxa"/>
            <w:shd w:val="clear" w:color="auto" w:fill="auto"/>
          </w:tcPr>
          <w:p w:rsidR="00F1193D" w:rsidRDefault="00F1193D" w:rsidP="00E94D75">
            <w:r>
              <w:t>Receptor fluid (0-24hours)</w:t>
            </w:r>
          </w:p>
        </w:tc>
        <w:tc>
          <w:tcPr>
            <w:tcW w:w="2591" w:type="dxa"/>
            <w:shd w:val="clear" w:color="auto" w:fill="auto"/>
          </w:tcPr>
          <w:p w:rsidR="00F1193D" w:rsidRDefault="001E2C5A" w:rsidP="001E2C5A">
            <w:pPr>
              <w:jc w:val="center"/>
            </w:pPr>
            <w:r>
              <w:t xml:space="preserve">0.70 </w:t>
            </w:r>
            <w:r>
              <w:rPr>
                <w:rFonts w:cs="Arial"/>
              </w:rPr>
              <w:t>± 0.48</w:t>
            </w:r>
          </w:p>
        </w:tc>
      </w:tr>
      <w:tr w:rsidR="00F1193D" w:rsidTr="001E2C5A">
        <w:tc>
          <w:tcPr>
            <w:tcW w:w="6164" w:type="dxa"/>
            <w:shd w:val="clear" w:color="auto" w:fill="auto"/>
          </w:tcPr>
          <w:p w:rsidR="00F1193D" w:rsidRDefault="001E2C5A" w:rsidP="00E94D75">
            <w:r>
              <w:t>Potentially absorbed (receptor fluid + tape strips + skin membrane</w:t>
            </w:r>
          </w:p>
        </w:tc>
        <w:tc>
          <w:tcPr>
            <w:tcW w:w="2591" w:type="dxa"/>
            <w:shd w:val="clear" w:color="auto" w:fill="auto"/>
          </w:tcPr>
          <w:p w:rsidR="00F1193D" w:rsidRDefault="001E2C5A" w:rsidP="001E2C5A">
            <w:pPr>
              <w:jc w:val="center"/>
            </w:pPr>
            <w:r>
              <w:t xml:space="preserve">1.59 </w:t>
            </w:r>
            <w:r>
              <w:rPr>
                <w:rFonts w:cs="Arial"/>
              </w:rPr>
              <w:t>± 0.55</w:t>
            </w:r>
          </w:p>
        </w:tc>
      </w:tr>
      <w:tr w:rsidR="001E2C5A" w:rsidTr="001E2C5A">
        <w:tc>
          <w:tcPr>
            <w:tcW w:w="6164" w:type="dxa"/>
            <w:shd w:val="clear" w:color="auto" w:fill="auto"/>
          </w:tcPr>
          <w:p w:rsidR="001E2C5A" w:rsidRDefault="001E2C5A" w:rsidP="00E94D75">
            <w:r>
              <w:t>Recovery</w:t>
            </w:r>
          </w:p>
        </w:tc>
        <w:tc>
          <w:tcPr>
            <w:tcW w:w="2591" w:type="dxa"/>
            <w:shd w:val="clear" w:color="auto" w:fill="auto"/>
          </w:tcPr>
          <w:p w:rsidR="001E2C5A" w:rsidRDefault="001E2C5A" w:rsidP="001E2C5A">
            <w:pPr>
              <w:jc w:val="center"/>
            </w:pPr>
            <w:r>
              <w:t xml:space="preserve">96.84 </w:t>
            </w:r>
            <w:r>
              <w:rPr>
                <w:rFonts w:cs="Arial"/>
              </w:rPr>
              <w:t>± 2.83</w:t>
            </w:r>
          </w:p>
        </w:tc>
      </w:tr>
    </w:tbl>
    <w:p w:rsidR="00F1193D" w:rsidRPr="001E2C5A" w:rsidRDefault="001E2C5A" w:rsidP="00E94D75">
      <w:r w:rsidRPr="001E2C5A">
        <w:rPr>
          <w:rFonts w:ascii="Calibri,Italic" w:hAnsi="Calibri,Italic" w:cs="Calibri,Italic"/>
          <w:iCs/>
          <w:lang w:val="nl-NL" w:eastAsia="en-US"/>
        </w:rPr>
        <w:t>Dose applied: 1.7 μg/cm</w:t>
      </w:r>
      <w:r w:rsidRPr="001E2C5A">
        <w:rPr>
          <w:rFonts w:ascii="Calibri,Italic" w:hAnsi="Calibri,Italic" w:cs="Calibri,Italic"/>
          <w:iCs/>
          <w:vertAlign w:val="superscript"/>
          <w:lang w:val="nl-NL" w:eastAsia="en-US"/>
        </w:rPr>
        <w:t>2</w:t>
      </w:r>
    </w:p>
    <w:p w:rsidR="001E2C5A" w:rsidRDefault="001E2C5A" w:rsidP="00686F28"/>
    <w:p w:rsidR="00FE51AC" w:rsidRPr="00C038DE" w:rsidRDefault="00FE51AC" w:rsidP="00FE51AC"/>
    <w:p w:rsidR="00646AB4" w:rsidRPr="00C038DE" w:rsidRDefault="00646AB4" w:rsidP="00646AB4">
      <w:pPr>
        <w:pStyle w:val="Kop3"/>
      </w:pPr>
      <w:r w:rsidRPr="00C038DE">
        <w:t>Exposure assessment</w:t>
      </w:r>
    </w:p>
    <w:p w:rsidR="00337DFF" w:rsidRDefault="00337DFF" w:rsidP="005C4B0F">
      <w:pPr>
        <w:jc w:val="both"/>
        <w:rPr>
          <w:rFonts w:cstheme="minorHAnsi"/>
        </w:rPr>
      </w:pPr>
    </w:p>
    <w:p w:rsidR="00583CBB" w:rsidRDefault="005C4B0F" w:rsidP="00EF3100">
      <w:pPr>
        <w:jc w:val="both"/>
        <w:rPr>
          <w:rFonts w:cstheme="minorHAnsi"/>
        </w:rPr>
      </w:pPr>
      <w:r w:rsidRPr="005C4B0F">
        <w:rPr>
          <w:rFonts w:cstheme="minorHAnsi"/>
        </w:rPr>
        <w:t xml:space="preserve">MAKI PAT’ is supplied ready for use in </w:t>
      </w:r>
      <w:r w:rsidR="00CC6D46">
        <w:rPr>
          <w:rFonts w:cstheme="minorHAnsi"/>
        </w:rPr>
        <w:t xml:space="preserve">paper bag/PP </w:t>
      </w:r>
      <w:r w:rsidRPr="005C4B0F">
        <w:rPr>
          <w:rFonts w:cstheme="minorHAnsi"/>
        </w:rPr>
        <w:t xml:space="preserve">sachets which are not intended to be opened by the user. </w:t>
      </w:r>
      <w:r w:rsidRPr="00D9350F">
        <w:rPr>
          <w:rFonts w:cstheme="minorHAnsi"/>
        </w:rPr>
        <w:t>The</w:t>
      </w:r>
      <w:r w:rsidR="00CC6D46" w:rsidRPr="00D9350F">
        <w:rPr>
          <w:rFonts w:cstheme="minorHAnsi"/>
        </w:rPr>
        <w:t xml:space="preserve"> </w:t>
      </w:r>
      <w:r w:rsidRPr="00D9350F">
        <w:rPr>
          <w:rFonts w:cstheme="minorHAnsi"/>
        </w:rPr>
        <w:t>product is placed in position by hand</w:t>
      </w:r>
      <w:r w:rsidRPr="005C4B0F">
        <w:rPr>
          <w:rFonts w:cstheme="minorHAnsi"/>
        </w:rPr>
        <w:t>. As a ‘worst case’ scenario dermal exposure whilst</w:t>
      </w:r>
      <w:r w:rsidR="00CC6D46">
        <w:rPr>
          <w:rFonts w:cstheme="minorHAnsi"/>
        </w:rPr>
        <w:t xml:space="preserve"> </w:t>
      </w:r>
      <w:r w:rsidRPr="005C4B0F">
        <w:rPr>
          <w:rFonts w:cstheme="minorHAnsi"/>
        </w:rPr>
        <w:t xml:space="preserve">handling unopened bait has been assessed in </w:t>
      </w:r>
      <w:r>
        <w:rPr>
          <w:rFonts w:cstheme="minorHAnsi"/>
        </w:rPr>
        <w:t>accordance with HEEG Opinion 12</w:t>
      </w:r>
      <w:r w:rsidRPr="005C4B0F">
        <w:rPr>
          <w:rFonts w:cstheme="minorHAnsi"/>
        </w:rPr>
        <w:t xml:space="preserve">. </w:t>
      </w:r>
      <w:r w:rsidR="00D9350F">
        <w:rPr>
          <w:rFonts w:cstheme="minorHAnsi"/>
        </w:rPr>
        <w:t>Actual e</w:t>
      </w:r>
      <w:r w:rsidRPr="005C4B0F">
        <w:rPr>
          <w:rFonts w:cstheme="minorHAnsi"/>
        </w:rPr>
        <w:t>xposure to</w:t>
      </w:r>
      <w:r w:rsidR="00D9350F">
        <w:rPr>
          <w:rFonts w:cstheme="minorHAnsi"/>
        </w:rPr>
        <w:t xml:space="preserve"> </w:t>
      </w:r>
      <w:r w:rsidRPr="005C4B0F">
        <w:rPr>
          <w:rFonts w:cstheme="minorHAnsi"/>
        </w:rPr>
        <w:t>professional users loading bait boxes</w:t>
      </w:r>
      <w:r w:rsidR="00D9350F">
        <w:rPr>
          <w:rFonts w:cstheme="minorHAnsi"/>
        </w:rPr>
        <w:t>, however,</w:t>
      </w:r>
      <w:r w:rsidRPr="005C4B0F">
        <w:rPr>
          <w:rFonts w:cstheme="minorHAnsi"/>
        </w:rPr>
        <w:t xml:space="preserve"> is expected to be significantly lower than the values </w:t>
      </w:r>
      <w:r w:rsidR="00337DFF" w:rsidRPr="005C4B0F">
        <w:rPr>
          <w:rFonts w:cstheme="minorHAnsi"/>
        </w:rPr>
        <w:t xml:space="preserve">in </w:t>
      </w:r>
      <w:r w:rsidR="00337DFF">
        <w:rPr>
          <w:rFonts w:cstheme="minorHAnsi"/>
        </w:rPr>
        <w:t xml:space="preserve">accordance with HEEG Opinion 12 </w:t>
      </w:r>
      <w:r w:rsidR="00D9350F">
        <w:rPr>
          <w:rFonts w:cstheme="minorHAnsi"/>
        </w:rPr>
        <w:t xml:space="preserve">for MAKI PAT’ </w:t>
      </w:r>
      <w:r w:rsidRPr="005C4B0F">
        <w:rPr>
          <w:rFonts w:cstheme="minorHAnsi"/>
        </w:rPr>
        <w:t xml:space="preserve">due to the presence of </w:t>
      </w:r>
      <w:r w:rsidR="00D9350F">
        <w:rPr>
          <w:rFonts w:cstheme="minorHAnsi"/>
        </w:rPr>
        <w:t>sachet</w:t>
      </w:r>
      <w:r w:rsidRPr="005C4B0F">
        <w:rPr>
          <w:rFonts w:cstheme="minorHAnsi"/>
        </w:rPr>
        <w:t>.</w:t>
      </w:r>
      <w:r>
        <w:rPr>
          <w:rFonts w:cstheme="minorHAnsi"/>
        </w:rPr>
        <w:t xml:space="preserve"> </w:t>
      </w:r>
      <w:r w:rsidR="00D9350F">
        <w:rPr>
          <w:rFonts w:cstheme="minorHAnsi"/>
        </w:rPr>
        <w:t>T</w:t>
      </w:r>
      <w:r>
        <w:rPr>
          <w:rFonts w:cstheme="minorHAnsi"/>
        </w:rPr>
        <w:t xml:space="preserve">he level of reduction due to sachets is currently </w:t>
      </w:r>
      <w:r w:rsidR="00D9350F">
        <w:rPr>
          <w:rFonts w:cstheme="minorHAnsi"/>
        </w:rPr>
        <w:t>under</w:t>
      </w:r>
      <w:r>
        <w:rPr>
          <w:rFonts w:cstheme="minorHAnsi"/>
        </w:rPr>
        <w:t xml:space="preserve"> debate </w:t>
      </w:r>
      <w:r w:rsidR="00D9350F">
        <w:rPr>
          <w:rFonts w:cstheme="minorHAnsi"/>
        </w:rPr>
        <w:t xml:space="preserve"> in the BPC Working Group Human Health </w:t>
      </w:r>
      <w:r>
        <w:rPr>
          <w:rFonts w:cstheme="minorHAnsi"/>
        </w:rPr>
        <w:t>(WG IV, 2017)</w:t>
      </w:r>
      <w:r w:rsidR="00E60F6C">
        <w:rPr>
          <w:rFonts w:cstheme="minorHAnsi"/>
        </w:rPr>
        <w:t xml:space="preserve">, a </w:t>
      </w:r>
      <w:r w:rsidR="00E60F6C" w:rsidRPr="00E60F6C">
        <w:rPr>
          <w:rFonts w:cstheme="minorHAnsi"/>
        </w:rPr>
        <w:t xml:space="preserve">50% reduction is </w:t>
      </w:r>
      <w:r w:rsidR="00E60F6C">
        <w:rPr>
          <w:rFonts w:cstheme="minorHAnsi"/>
        </w:rPr>
        <w:t>proposed</w:t>
      </w:r>
      <w:r w:rsidR="00E60F6C" w:rsidRPr="00E60F6C">
        <w:rPr>
          <w:rFonts w:cstheme="minorHAnsi"/>
        </w:rPr>
        <w:t xml:space="preserve"> from the use of paper/PP sachet</w:t>
      </w:r>
      <w:r w:rsidR="00E60F6C">
        <w:rPr>
          <w:rFonts w:cstheme="minorHAnsi"/>
        </w:rPr>
        <w:t xml:space="preserve"> and used in the risk assessment for Maki Pat</w:t>
      </w:r>
      <w:r w:rsidR="009E7653">
        <w:rPr>
          <w:rFonts w:cstheme="minorHAnsi"/>
        </w:rPr>
        <w:t xml:space="preserve">. </w:t>
      </w:r>
      <w:r w:rsidR="00EF3100" w:rsidRPr="00EF3100">
        <w:rPr>
          <w:rFonts w:cstheme="minorHAnsi"/>
        </w:rPr>
        <w:t>Maki Pat is sold in sachets in the range of 10-40 grams.</w:t>
      </w:r>
      <w:r w:rsidR="00EF3100">
        <w:rPr>
          <w:rFonts w:cstheme="minorHAnsi"/>
        </w:rPr>
        <w:t xml:space="preserve"> </w:t>
      </w:r>
      <w:r w:rsidR="00EF3100" w:rsidRPr="00EF3100">
        <w:rPr>
          <w:rFonts w:cstheme="minorHAnsi"/>
        </w:rPr>
        <w:t xml:space="preserve">The exposure calculations </w:t>
      </w:r>
      <w:r w:rsidR="00EF3100">
        <w:rPr>
          <w:rFonts w:cstheme="minorHAnsi"/>
        </w:rPr>
        <w:t xml:space="preserve">according </w:t>
      </w:r>
      <w:r w:rsidR="00EF3100" w:rsidRPr="00EF3100">
        <w:rPr>
          <w:rFonts w:cstheme="minorHAnsi"/>
        </w:rPr>
        <w:t xml:space="preserve">HEEG </w:t>
      </w:r>
      <w:r w:rsidR="00EF3100">
        <w:rPr>
          <w:rFonts w:cstheme="minorHAnsi"/>
        </w:rPr>
        <w:t>opinion 12 for paste in sachets considers</w:t>
      </w:r>
      <w:r w:rsidR="00EF3100" w:rsidRPr="00EF3100">
        <w:rPr>
          <w:rFonts w:cstheme="minorHAnsi"/>
        </w:rPr>
        <w:t xml:space="preserve"> 60 manipulations per day, one manipulation is considered to be 5 contacts for loading of one bait box. </w:t>
      </w:r>
      <w:r w:rsidR="00EF3100">
        <w:rPr>
          <w:rFonts w:cstheme="minorHAnsi"/>
        </w:rPr>
        <w:t>The number of contact</w:t>
      </w:r>
      <w:r w:rsidR="000F1BB7">
        <w:rPr>
          <w:rFonts w:cstheme="minorHAnsi"/>
        </w:rPr>
        <w:t>s</w:t>
      </w:r>
      <w:r w:rsidR="00EF3100">
        <w:rPr>
          <w:rFonts w:cstheme="minorHAnsi"/>
        </w:rPr>
        <w:t xml:space="preserve"> </w:t>
      </w:r>
      <w:r w:rsidR="00BD02BD">
        <w:rPr>
          <w:rFonts w:cstheme="minorHAnsi"/>
        </w:rPr>
        <w:t>determines the outcome of the risk assessment. It</w:t>
      </w:r>
      <w:r w:rsidR="00EF3100">
        <w:rPr>
          <w:rFonts w:cstheme="minorHAnsi"/>
        </w:rPr>
        <w:t xml:space="preserve"> depends on the dosage and the sachet size, thus the worst case is the highest dosage/ smallest sachets size.</w:t>
      </w:r>
    </w:p>
    <w:p w:rsidR="005C4B0F" w:rsidRPr="005C4B0F" w:rsidRDefault="005C4B0F" w:rsidP="00337DFF">
      <w:pPr>
        <w:jc w:val="both"/>
        <w:rPr>
          <w:rFonts w:cstheme="minorHAnsi"/>
        </w:rPr>
      </w:pPr>
    </w:p>
    <w:p w:rsidR="005C4B0F" w:rsidRPr="005C4B0F" w:rsidRDefault="005C4B0F" w:rsidP="005C4B0F">
      <w:pPr>
        <w:jc w:val="both"/>
        <w:rPr>
          <w:rFonts w:cstheme="minorHAnsi"/>
        </w:rPr>
      </w:pPr>
      <w:r w:rsidRPr="005C4B0F">
        <w:rPr>
          <w:rFonts w:cstheme="minorHAnsi"/>
        </w:rPr>
        <w:t>Once in place, the product packaging will be damaged by rodents as they feed and the red paste bait</w:t>
      </w:r>
    </w:p>
    <w:p w:rsidR="005C4B0F" w:rsidRPr="005C4B0F" w:rsidRDefault="005C4B0F" w:rsidP="005C4B0F">
      <w:pPr>
        <w:jc w:val="both"/>
        <w:rPr>
          <w:rFonts w:cstheme="minorHAnsi"/>
        </w:rPr>
      </w:pPr>
      <w:r w:rsidRPr="005C4B0F">
        <w:rPr>
          <w:rFonts w:cstheme="minorHAnsi"/>
        </w:rPr>
        <w:t>will be exposed. Dermal exposure to paste is therefore possible during clean-up operations, but this</w:t>
      </w:r>
    </w:p>
    <w:p w:rsidR="005C4B0F" w:rsidRDefault="005C4B0F" w:rsidP="005C4B0F">
      <w:pPr>
        <w:jc w:val="both"/>
        <w:rPr>
          <w:rFonts w:cstheme="minorHAnsi"/>
        </w:rPr>
      </w:pPr>
      <w:r w:rsidRPr="005C4B0F">
        <w:rPr>
          <w:rFonts w:cstheme="minorHAnsi"/>
        </w:rPr>
        <w:t>will be limited to the hands and exposure to other parts of the body is negligible.</w:t>
      </w:r>
    </w:p>
    <w:p w:rsidR="009E7653" w:rsidRDefault="009E7653" w:rsidP="005C4B0F">
      <w:pPr>
        <w:jc w:val="both"/>
        <w:rPr>
          <w:rFonts w:cstheme="minorHAnsi"/>
        </w:rPr>
      </w:pPr>
    </w:p>
    <w:p w:rsidR="0038220A" w:rsidRPr="00FF0F95" w:rsidRDefault="0038220A" w:rsidP="0038220A">
      <w:pPr>
        <w:tabs>
          <w:tab w:val="left" w:pos="3261"/>
        </w:tabs>
        <w:autoSpaceDE w:val="0"/>
        <w:autoSpaceDN w:val="0"/>
        <w:adjustRightInd w:val="0"/>
        <w:rPr>
          <w:rFonts w:eastAsia="Calibri" w:cs="Arial"/>
        </w:rPr>
      </w:pPr>
      <w:r w:rsidRPr="00FF0F95">
        <w:rPr>
          <w:rFonts w:eastAsia="Calibri" w:cs="Arial"/>
        </w:rPr>
        <w:t>Type of formulation:</w:t>
      </w:r>
      <w:r w:rsidRPr="00FF0F95">
        <w:rPr>
          <w:rFonts w:eastAsia="Calibri" w:cs="Arial"/>
        </w:rPr>
        <w:tab/>
      </w:r>
      <w:r>
        <w:rPr>
          <w:rFonts w:eastAsia="Calibri" w:cs="Arial"/>
        </w:rPr>
        <w:tab/>
      </w:r>
      <w:r w:rsidRPr="00FF0F95">
        <w:rPr>
          <w:rFonts w:eastAsia="Calibri" w:cs="Arial"/>
        </w:rPr>
        <w:t>paste bait in sachet, ready for use (RB)</w:t>
      </w:r>
    </w:p>
    <w:p w:rsidR="0038220A" w:rsidRPr="00FF0F95" w:rsidRDefault="0038220A" w:rsidP="0038220A">
      <w:pPr>
        <w:tabs>
          <w:tab w:val="left" w:pos="3261"/>
        </w:tabs>
        <w:autoSpaceDE w:val="0"/>
        <w:autoSpaceDN w:val="0"/>
        <w:adjustRightInd w:val="0"/>
        <w:rPr>
          <w:rFonts w:eastAsia="Calibri" w:cs="Arial"/>
        </w:rPr>
      </w:pPr>
      <w:r w:rsidRPr="00FF0F95">
        <w:rPr>
          <w:rFonts w:eastAsia="Calibri" w:cs="Arial"/>
        </w:rPr>
        <w:t>Size:</w:t>
      </w:r>
      <w:r w:rsidRPr="00FF0F95">
        <w:rPr>
          <w:rFonts w:eastAsia="Calibri" w:cs="Arial"/>
        </w:rPr>
        <w:tab/>
      </w:r>
      <w:r>
        <w:rPr>
          <w:rFonts w:eastAsia="Calibri" w:cs="Arial"/>
        </w:rPr>
        <w:tab/>
        <w:t>10-40</w:t>
      </w:r>
      <w:r w:rsidRPr="00FF0F95">
        <w:rPr>
          <w:rFonts w:eastAsia="Calibri" w:cs="Arial"/>
        </w:rPr>
        <w:t xml:space="preserve"> g</w:t>
      </w:r>
      <w:r>
        <w:rPr>
          <w:rFonts w:eastAsia="Calibri" w:cs="Arial"/>
        </w:rPr>
        <w:t xml:space="preserve"> (see table below)</w:t>
      </w:r>
    </w:p>
    <w:p w:rsidR="0038220A" w:rsidRPr="00FF0F95" w:rsidRDefault="0038220A" w:rsidP="0038220A">
      <w:pPr>
        <w:tabs>
          <w:tab w:val="left" w:pos="3261"/>
        </w:tabs>
        <w:spacing w:line="276" w:lineRule="auto"/>
        <w:rPr>
          <w:rFonts w:eastAsia="Calibri" w:cs="Arial"/>
        </w:rPr>
      </w:pPr>
      <w:r w:rsidRPr="00FF0F95">
        <w:rPr>
          <w:rFonts w:eastAsia="Calibri" w:cs="Arial"/>
        </w:rPr>
        <w:t>A.S. content:</w:t>
      </w:r>
      <w:r w:rsidRPr="00FF0F95">
        <w:rPr>
          <w:rFonts w:eastAsia="Calibri" w:cs="Arial"/>
        </w:rPr>
        <w:tab/>
      </w:r>
      <w:r>
        <w:rPr>
          <w:rFonts w:eastAsia="Calibri" w:cs="Arial"/>
        </w:rPr>
        <w:tab/>
        <w:t xml:space="preserve">bromadialone </w:t>
      </w:r>
      <w:r w:rsidRPr="00FF0F95">
        <w:rPr>
          <w:rFonts w:eastAsia="Calibri" w:cs="Arial"/>
        </w:rPr>
        <w:t>0.00</w:t>
      </w:r>
      <w:r>
        <w:rPr>
          <w:rFonts w:eastAsia="Calibri" w:cs="Arial"/>
        </w:rPr>
        <w:t>5% w/w</w:t>
      </w:r>
    </w:p>
    <w:p w:rsidR="0038220A" w:rsidRDefault="0038220A" w:rsidP="0038220A">
      <w:pPr>
        <w:tabs>
          <w:tab w:val="left" w:pos="3261"/>
        </w:tabs>
        <w:spacing w:line="276" w:lineRule="auto"/>
        <w:ind w:left="3261" w:hanging="3261"/>
        <w:rPr>
          <w:rFonts w:eastAsia="Calibri" w:cs="Arial"/>
        </w:rPr>
      </w:pPr>
      <w:r w:rsidRPr="00FF0F95">
        <w:rPr>
          <w:rFonts w:eastAsia="Calibri" w:cs="Arial"/>
        </w:rPr>
        <w:t>Recommended application rate:</w:t>
      </w:r>
      <w:r w:rsidRPr="00FF0F95">
        <w:rPr>
          <w:rFonts w:eastAsia="Calibri" w:cs="Arial"/>
        </w:rPr>
        <w:tab/>
      </w:r>
      <w:r>
        <w:rPr>
          <w:rFonts w:eastAsia="Calibri" w:cs="Arial"/>
        </w:rPr>
        <w:tab/>
        <w:t xml:space="preserve">mice: </w:t>
      </w:r>
      <w:r w:rsidRPr="0038220A">
        <w:rPr>
          <w:rFonts w:eastAsia="Calibri" w:cs="Arial"/>
        </w:rPr>
        <w:t>30-50g per bait point</w:t>
      </w:r>
    </w:p>
    <w:p w:rsidR="0038220A" w:rsidRPr="00FF0F95" w:rsidRDefault="0038220A" w:rsidP="0038220A">
      <w:pPr>
        <w:spacing w:line="240" w:lineRule="auto"/>
        <w:rPr>
          <w:rFonts w:eastAsia="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t>Rats: 100-200 per bait point</w:t>
      </w:r>
    </w:p>
    <w:p w:rsidR="0038220A" w:rsidRPr="00FF0F95" w:rsidRDefault="0038220A" w:rsidP="0038220A">
      <w:pPr>
        <w:tabs>
          <w:tab w:val="left" w:pos="3261"/>
        </w:tabs>
        <w:spacing w:line="276" w:lineRule="auto"/>
        <w:ind w:left="3261" w:hanging="3261"/>
        <w:rPr>
          <w:rFonts w:eastAsia="Calibri" w:cs="Arial"/>
        </w:rPr>
      </w:pPr>
      <w:r w:rsidRPr="00FF0F95">
        <w:rPr>
          <w:rFonts w:eastAsia="Calibri" w:cs="Arial"/>
        </w:rPr>
        <w:t>Number of loadings of bait boxes:</w:t>
      </w:r>
      <w:r w:rsidRPr="00FF0F95">
        <w:rPr>
          <w:rFonts w:eastAsia="Calibri" w:cs="Arial"/>
        </w:rPr>
        <w:tab/>
      </w:r>
      <w:r>
        <w:rPr>
          <w:rFonts w:eastAsia="Calibri" w:cs="Arial"/>
        </w:rPr>
        <w:tab/>
      </w:r>
      <w:r w:rsidRPr="00FF0F95">
        <w:rPr>
          <w:rFonts w:eastAsia="Calibri" w:cs="Arial"/>
        </w:rPr>
        <w:t xml:space="preserve">professionals: 60 </w:t>
      </w:r>
    </w:p>
    <w:p w:rsidR="0038220A" w:rsidRPr="00FF0F95" w:rsidRDefault="0038220A" w:rsidP="0038220A">
      <w:pPr>
        <w:tabs>
          <w:tab w:val="left" w:pos="3261"/>
        </w:tabs>
        <w:spacing w:line="276" w:lineRule="auto"/>
        <w:ind w:left="3261" w:hanging="3261"/>
        <w:rPr>
          <w:rFonts w:eastAsia="Calibri" w:cs="Arial"/>
        </w:rPr>
      </w:pPr>
      <w:r w:rsidRPr="00FF0F95">
        <w:rPr>
          <w:rFonts w:eastAsia="Calibri" w:cs="Arial"/>
        </w:rPr>
        <w:t>Number of cleanings of bait boxes:</w:t>
      </w:r>
      <w:r w:rsidRPr="00FF0F95">
        <w:rPr>
          <w:rFonts w:eastAsia="Calibri" w:cs="Arial"/>
        </w:rPr>
        <w:tab/>
      </w:r>
      <w:r>
        <w:rPr>
          <w:rFonts w:eastAsia="Calibri" w:cs="Arial"/>
        </w:rPr>
        <w:tab/>
      </w:r>
      <w:r w:rsidRPr="00FF0F95">
        <w:rPr>
          <w:rFonts w:eastAsia="Calibri" w:cs="Arial"/>
        </w:rPr>
        <w:t>professional users: 15</w:t>
      </w:r>
    </w:p>
    <w:p w:rsidR="0038220A" w:rsidRPr="000D1671" w:rsidRDefault="0038220A" w:rsidP="0038220A">
      <w:pPr>
        <w:tabs>
          <w:tab w:val="left" w:pos="3261"/>
        </w:tabs>
        <w:spacing w:line="276" w:lineRule="auto"/>
        <w:ind w:left="3261" w:hanging="3261"/>
        <w:rPr>
          <w:rFonts w:eastAsia="Calibri" w:cs="Arial"/>
        </w:rPr>
      </w:pPr>
      <w:r w:rsidRPr="000D1671">
        <w:rPr>
          <w:rFonts w:eastAsia="Calibri" w:cs="Arial"/>
        </w:rPr>
        <w:t>Placing baits:</w:t>
      </w:r>
    </w:p>
    <w:p w:rsidR="0038220A" w:rsidRPr="00FF0F95" w:rsidRDefault="0038220A" w:rsidP="0038220A">
      <w:pPr>
        <w:tabs>
          <w:tab w:val="left" w:pos="3261"/>
        </w:tabs>
        <w:spacing w:line="276" w:lineRule="auto"/>
        <w:ind w:left="3261" w:hanging="3261"/>
        <w:rPr>
          <w:rFonts w:eastAsia="Calibri" w:cs="Arial"/>
        </w:rPr>
      </w:pPr>
      <w:r w:rsidRPr="000D1671">
        <w:rPr>
          <w:rFonts w:eastAsia="Calibri" w:cs="Arial"/>
        </w:rPr>
        <w:t>Indicative value (75th percentile, HEEG Opinion 12):</w:t>
      </w:r>
      <w:r w:rsidRPr="00FF0F95">
        <w:rPr>
          <w:rFonts w:eastAsia="Calibri" w:cs="Arial"/>
        </w:rPr>
        <w:t xml:space="preserve"> </w:t>
      </w:r>
      <w:r w:rsidRPr="00FF0F95">
        <w:rPr>
          <w:rFonts w:eastAsia="Calibri" w:cs="Arial"/>
        </w:rPr>
        <w:tab/>
        <w:t>5.56 mg/bait block</w:t>
      </w:r>
    </w:p>
    <w:p w:rsidR="0038220A" w:rsidRPr="00FF0F95" w:rsidRDefault="0038220A" w:rsidP="0038220A">
      <w:pPr>
        <w:tabs>
          <w:tab w:val="left" w:pos="3261"/>
        </w:tabs>
        <w:spacing w:line="276" w:lineRule="auto"/>
        <w:ind w:left="3261" w:hanging="3261"/>
        <w:rPr>
          <w:rFonts w:eastAsia="Calibri" w:cs="Arial"/>
        </w:rPr>
      </w:pPr>
      <w:r w:rsidRPr="000D1671">
        <w:rPr>
          <w:rFonts w:eastAsia="Calibri" w:cs="Arial"/>
        </w:rPr>
        <w:t>Cleaning bait boxes:</w:t>
      </w:r>
    </w:p>
    <w:p w:rsidR="0038220A" w:rsidRPr="00FF0F95" w:rsidRDefault="0038220A" w:rsidP="0038220A">
      <w:pPr>
        <w:rPr>
          <w:rFonts w:eastAsia="Calibri" w:cs="Arial"/>
        </w:rPr>
      </w:pPr>
      <w:r w:rsidRPr="000D1671">
        <w:rPr>
          <w:rFonts w:eastAsia="Calibri" w:cs="Arial"/>
        </w:rPr>
        <w:t>Indicative value (75th percentile, HEEG Opinion 12):</w:t>
      </w:r>
      <w:r w:rsidRPr="00FF0F95">
        <w:rPr>
          <w:rFonts w:eastAsia="Calibri" w:cs="Arial"/>
        </w:rPr>
        <w:t xml:space="preserve"> </w:t>
      </w:r>
      <w:r w:rsidRPr="00FF0F95">
        <w:rPr>
          <w:rFonts w:eastAsia="Calibri" w:cs="Arial"/>
        </w:rPr>
        <w:tab/>
        <w:t>5.70 mg/bait box</w:t>
      </w:r>
    </w:p>
    <w:p w:rsidR="0038220A" w:rsidRDefault="0038220A" w:rsidP="005C4B0F">
      <w:pPr>
        <w:jc w:val="both"/>
        <w:rPr>
          <w:rFonts w:cstheme="minorHAnsi"/>
        </w:rPr>
      </w:pPr>
    </w:p>
    <w:p w:rsidR="0037074D" w:rsidRDefault="0037074D" w:rsidP="00A22BF3">
      <w:pPr>
        <w:keepNext/>
        <w:spacing w:after="240" w:line="240" w:lineRule="auto"/>
        <w:ind w:right="-164"/>
        <w:jc w:val="both"/>
        <w:rPr>
          <w:rFonts w:cstheme="minorHAnsi"/>
          <w:b/>
          <w:lang w:eastAsia="en-GB"/>
        </w:rPr>
      </w:pPr>
      <w:bookmarkStart w:id="652" w:name="_Toc462644804"/>
      <w:bookmarkStart w:id="653" w:name="_Toc475633092"/>
      <w:bookmarkStart w:id="654" w:name="_Toc476447721"/>
      <w:bookmarkStart w:id="655" w:name="_Toc476449960"/>
      <w:bookmarkStart w:id="656" w:name="_Toc476450519"/>
      <w:bookmarkStart w:id="657" w:name="_Toc476450990"/>
    </w:p>
    <w:p w:rsidR="00A22BF3" w:rsidRDefault="00A22BF3" w:rsidP="00A22BF3">
      <w:pPr>
        <w:keepNext/>
        <w:spacing w:after="240" w:line="240" w:lineRule="auto"/>
        <w:ind w:right="-164"/>
        <w:jc w:val="both"/>
        <w:rPr>
          <w:rFonts w:cstheme="minorHAnsi"/>
          <w:b/>
          <w:lang w:eastAsia="en-GB"/>
        </w:rPr>
      </w:pPr>
      <w:r w:rsidRPr="00C038DE">
        <w:rPr>
          <w:rFonts w:cstheme="minorHAnsi"/>
          <w:b/>
          <w:lang w:eastAsia="en-GB"/>
        </w:rPr>
        <w:t>Results of the assessment</w:t>
      </w:r>
    </w:p>
    <w:p w:rsidR="00BD02BD" w:rsidRPr="00691AE9" w:rsidRDefault="00BD02BD" w:rsidP="00A22BF3">
      <w:pPr>
        <w:keepNext/>
        <w:spacing w:after="240" w:line="240" w:lineRule="auto"/>
        <w:ind w:right="-164"/>
        <w:jc w:val="both"/>
        <w:rPr>
          <w:rFonts w:cstheme="minorHAnsi"/>
          <w:lang w:eastAsia="en-GB"/>
        </w:rPr>
      </w:pPr>
      <w:r w:rsidRPr="00691AE9">
        <w:rPr>
          <w:rFonts w:cstheme="minorHAnsi"/>
          <w:lang w:eastAsia="en-GB"/>
        </w:rPr>
        <w:t xml:space="preserve">The dosage for mice is 30-50g per bait point. For rats the dosage is 100-200 gram. </w:t>
      </w:r>
      <w:r w:rsidR="00691AE9">
        <w:rPr>
          <w:rFonts w:cstheme="minorHAnsi"/>
          <w:lang w:eastAsia="en-GB"/>
        </w:rPr>
        <w:t xml:space="preserve">The sachet sizes are in the range of 10 to 40 grams. </w:t>
      </w:r>
      <w:r w:rsidRPr="00691AE9">
        <w:rPr>
          <w:rFonts w:cstheme="minorHAnsi"/>
          <w:lang w:eastAsia="en-GB"/>
        </w:rPr>
        <w:t>T</w:t>
      </w:r>
      <w:r w:rsidR="00691AE9">
        <w:rPr>
          <w:rFonts w:cstheme="minorHAnsi"/>
          <w:lang w:eastAsia="en-GB"/>
        </w:rPr>
        <w:t>he dosing regimen</w:t>
      </w:r>
      <w:r w:rsidRPr="00691AE9">
        <w:rPr>
          <w:rFonts w:cstheme="minorHAnsi"/>
          <w:lang w:eastAsia="en-GB"/>
        </w:rPr>
        <w:t xml:space="preserve"> can be realised by placing:</w:t>
      </w:r>
    </w:p>
    <w:tbl>
      <w:tblPr>
        <w:tblW w:w="7171" w:type="dxa"/>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6"/>
        <w:gridCol w:w="850"/>
        <w:gridCol w:w="992"/>
        <w:gridCol w:w="1843"/>
      </w:tblGrid>
      <w:tr w:rsidR="00BD02BD" w:rsidRPr="00C038DE" w:rsidTr="00366607">
        <w:trPr>
          <w:cantSplit/>
          <w:trHeight w:val="270"/>
        </w:trPr>
        <w:tc>
          <w:tcPr>
            <w:tcW w:w="3486" w:type="dxa"/>
            <w:vMerge w:val="restart"/>
          </w:tcPr>
          <w:p w:rsidR="00BD02BD" w:rsidRPr="00C038DE" w:rsidRDefault="00BD02BD" w:rsidP="00366607">
            <w:pPr>
              <w:keepNext/>
              <w:keepLines/>
              <w:spacing w:before="40" w:after="40" w:line="240" w:lineRule="auto"/>
              <w:rPr>
                <w:rFonts w:cstheme="minorHAnsi"/>
                <w:b/>
                <w:lang w:eastAsia="en-GB"/>
              </w:rPr>
            </w:pPr>
            <w:r>
              <w:rPr>
                <w:rFonts w:cstheme="minorHAnsi"/>
                <w:b/>
                <w:lang w:eastAsia="en-GB"/>
              </w:rPr>
              <w:t>Target organism</w:t>
            </w:r>
          </w:p>
        </w:tc>
        <w:tc>
          <w:tcPr>
            <w:tcW w:w="850" w:type="dxa"/>
            <w:vMerge w:val="restart"/>
          </w:tcPr>
          <w:p w:rsidR="00BD02BD" w:rsidRPr="00C038DE" w:rsidRDefault="00BD02BD" w:rsidP="00366607">
            <w:pPr>
              <w:keepNext/>
              <w:keepLines/>
              <w:spacing w:before="40" w:after="40" w:line="240" w:lineRule="auto"/>
              <w:rPr>
                <w:rFonts w:cstheme="minorHAnsi"/>
                <w:b/>
                <w:lang w:eastAsia="en-GB"/>
              </w:rPr>
            </w:pPr>
            <w:r>
              <w:rPr>
                <w:rFonts w:cstheme="minorHAnsi"/>
                <w:b/>
                <w:lang w:eastAsia="en-GB"/>
              </w:rPr>
              <w:t>dosage</w:t>
            </w:r>
          </w:p>
        </w:tc>
        <w:tc>
          <w:tcPr>
            <w:tcW w:w="992" w:type="dxa"/>
            <w:vMerge w:val="restart"/>
          </w:tcPr>
          <w:p w:rsidR="00BD02BD" w:rsidRPr="00C038DE" w:rsidRDefault="00BD02BD" w:rsidP="00366607">
            <w:pPr>
              <w:keepNext/>
              <w:keepLines/>
              <w:spacing w:before="40" w:after="40" w:line="240" w:lineRule="auto"/>
              <w:rPr>
                <w:rFonts w:cstheme="minorHAnsi"/>
                <w:b/>
                <w:lang w:eastAsia="en-GB"/>
              </w:rPr>
            </w:pPr>
            <w:r>
              <w:rPr>
                <w:rFonts w:cstheme="minorHAnsi"/>
                <w:b/>
                <w:lang w:eastAsia="en-GB"/>
              </w:rPr>
              <w:t>Sachet size</w:t>
            </w:r>
          </w:p>
        </w:tc>
        <w:tc>
          <w:tcPr>
            <w:tcW w:w="1843" w:type="dxa"/>
            <w:vMerge w:val="restart"/>
          </w:tcPr>
          <w:p w:rsidR="00BD02BD" w:rsidRPr="00C038DE" w:rsidRDefault="00BD02BD" w:rsidP="00366607">
            <w:pPr>
              <w:keepNext/>
              <w:keepLines/>
              <w:spacing w:before="40" w:after="40" w:line="240" w:lineRule="auto"/>
              <w:rPr>
                <w:rFonts w:cstheme="minorHAnsi"/>
                <w:b/>
                <w:bCs/>
                <w:lang w:eastAsia="en-GB"/>
              </w:rPr>
            </w:pPr>
            <w:r>
              <w:rPr>
                <w:rFonts w:cstheme="minorHAnsi"/>
                <w:b/>
                <w:bCs/>
                <w:lang w:eastAsia="en-GB"/>
              </w:rPr>
              <w:t>Number of sachets to achieve dosage</w:t>
            </w:r>
          </w:p>
        </w:tc>
      </w:tr>
      <w:tr w:rsidR="00BD02BD" w:rsidRPr="00C038DE" w:rsidTr="00366607">
        <w:trPr>
          <w:cantSplit/>
          <w:trHeight w:val="310"/>
        </w:trPr>
        <w:tc>
          <w:tcPr>
            <w:tcW w:w="3486" w:type="dxa"/>
            <w:vMerge/>
          </w:tcPr>
          <w:p w:rsidR="00BD02BD" w:rsidRPr="00C038DE" w:rsidRDefault="00BD02BD" w:rsidP="00366607">
            <w:pPr>
              <w:keepNext/>
              <w:keepLines/>
              <w:spacing w:before="40" w:after="40" w:line="240" w:lineRule="auto"/>
              <w:rPr>
                <w:rFonts w:cstheme="minorHAnsi"/>
                <w:lang w:eastAsia="en-GB"/>
              </w:rPr>
            </w:pPr>
          </w:p>
        </w:tc>
        <w:tc>
          <w:tcPr>
            <w:tcW w:w="850" w:type="dxa"/>
            <w:vMerge/>
          </w:tcPr>
          <w:p w:rsidR="00BD02BD" w:rsidRPr="00C038DE" w:rsidRDefault="00BD02BD" w:rsidP="00366607">
            <w:pPr>
              <w:keepNext/>
              <w:keepLines/>
              <w:spacing w:before="40" w:after="40" w:line="240" w:lineRule="auto"/>
              <w:rPr>
                <w:rFonts w:cstheme="minorHAnsi"/>
                <w:lang w:eastAsia="en-GB"/>
              </w:rPr>
            </w:pPr>
          </w:p>
        </w:tc>
        <w:tc>
          <w:tcPr>
            <w:tcW w:w="992" w:type="dxa"/>
            <w:vMerge/>
          </w:tcPr>
          <w:p w:rsidR="00BD02BD" w:rsidRPr="00C038DE" w:rsidRDefault="00BD02BD" w:rsidP="00366607">
            <w:pPr>
              <w:keepNext/>
              <w:keepLines/>
              <w:spacing w:before="40" w:after="40" w:line="240" w:lineRule="auto"/>
              <w:rPr>
                <w:rFonts w:cstheme="minorHAnsi"/>
                <w:lang w:eastAsia="en-GB"/>
              </w:rPr>
            </w:pPr>
          </w:p>
        </w:tc>
        <w:tc>
          <w:tcPr>
            <w:tcW w:w="1843" w:type="dxa"/>
            <w:vMerge/>
          </w:tcPr>
          <w:p w:rsidR="00BD02BD" w:rsidRPr="00C038DE" w:rsidRDefault="00BD02BD" w:rsidP="00366607">
            <w:pPr>
              <w:keepNext/>
              <w:keepLines/>
              <w:spacing w:before="40" w:after="40" w:line="240" w:lineRule="auto"/>
              <w:rPr>
                <w:rFonts w:cstheme="minorHAnsi"/>
                <w:lang w:eastAsia="en-GB"/>
              </w:rPr>
            </w:pPr>
          </w:p>
        </w:tc>
      </w:tr>
      <w:tr w:rsidR="00BD02BD" w:rsidRPr="00C038DE" w:rsidTr="00366607">
        <w:tc>
          <w:tcPr>
            <w:tcW w:w="3486" w:type="dxa"/>
          </w:tcPr>
          <w:p w:rsidR="00BD02BD" w:rsidRPr="00C038DE" w:rsidRDefault="00BD02BD" w:rsidP="00BD02BD">
            <w:pPr>
              <w:spacing w:before="40" w:after="40" w:line="240" w:lineRule="auto"/>
              <w:rPr>
                <w:rFonts w:cstheme="minorHAnsi"/>
                <w:lang w:eastAsia="en-GB"/>
              </w:rPr>
            </w:pPr>
            <w:r>
              <w:rPr>
                <w:rFonts w:cstheme="minorHAnsi"/>
                <w:lang w:eastAsia="en-GB"/>
              </w:rPr>
              <w:t>Mice</w:t>
            </w:r>
          </w:p>
        </w:tc>
        <w:tc>
          <w:tcPr>
            <w:tcW w:w="850" w:type="dxa"/>
          </w:tcPr>
          <w:p w:rsidR="00BD02BD" w:rsidRPr="00C038DE" w:rsidRDefault="00BD02BD" w:rsidP="00366607">
            <w:pPr>
              <w:spacing w:before="40" w:after="40" w:line="240" w:lineRule="auto"/>
              <w:rPr>
                <w:rFonts w:cstheme="minorHAnsi"/>
                <w:lang w:eastAsia="en-GB"/>
              </w:rPr>
            </w:pPr>
            <w:r>
              <w:rPr>
                <w:rFonts w:cstheme="minorHAnsi"/>
                <w:lang w:eastAsia="en-GB"/>
              </w:rPr>
              <w:t>30-50g</w:t>
            </w:r>
          </w:p>
        </w:tc>
        <w:tc>
          <w:tcPr>
            <w:tcW w:w="992" w:type="dxa"/>
          </w:tcPr>
          <w:p w:rsidR="00BD02BD" w:rsidRDefault="00BD02BD" w:rsidP="00366607">
            <w:pPr>
              <w:spacing w:before="40" w:after="40" w:line="240" w:lineRule="auto"/>
              <w:rPr>
                <w:rFonts w:cstheme="minorHAnsi"/>
                <w:lang w:eastAsia="en-GB"/>
              </w:rPr>
            </w:pPr>
            <w:r>
              <w:rPr>
                <w:rFonts w:cstheme="minorHAnsi"/>
                <w:lang w:eastAsia="en-GB"/>
              </w:rPr>
              <w:t>10</w:t>
            </w:r>
          </w:p>
          <w:p w:rsidR="00BD02BD" w:rsidRDefault="00BD02BD" w:rsidP="00366607">
            <w:pPr>
              <w:spacing w:before="40" w:after="40" w:line="240" w:lineRule="auto"/>
              <w:rPr>
                <w:rFonts w:cstheme="minorHAnsi"/>
                <w:lang w:eastAsia="en-GB"/>
              </w:rPr>
            </w:pPr>
            <w:r>
              <w:rPr>
                <w:rFonts w:cstheme="minorHAnsi"/>
                <w:lang w:eastAsia="en-GB"/>
              </w:rPr>
              <w:t>12.5</w:t>
            </w:r>
          </w:p>
          <w:p w:rsidR="00BD02BD" w:rsidRDefault="00BD02BD" w:rsidP="00366607">
            <w:pPr>
              <w:spacing w:before="40" w:after="40" w:line="240" w:lineRule="auto"/>
              <w:rPr>
                <w:rFonts w:cstheme="minorHAnsi"/>
                <w:lang w:eastAsia="en-GB"/>
              </w:rPr>
            </w:pPr>
            <w:r>
              <w:rPr>
                <w:rFonts w:cstheme="minorHAnsi"/>
                <w:lang w:eastAsia="en-GB"/>
              </w:rPr>
              <w:t>15</w:t>
            </w:r>
          </w:p>
          <w:p w:rsidR="00BD02BD" w:rsidRDefault="00BD02BD" w:rsidP="00366607">
            <w:pPr>
              <w:spacing w:before="40" w:after="40" w:line="240" w:lineRule="auto"/>
              <w:rPr>
                <w:rFonts w:cstheme="minorHAnsi"/>
                <w:lang w:eastAsia="en-GB"/>
              </w:rPr>
            </w:pPr>
            <w:r>
              <w:rPr>
                <w:rFonts w:cstheme="minorHAnsi"/>
                <w:lang w:eastAsia="en-GB"/>
              </w:rPr>
              <w:t>20</w:t>
            </w:r>
          </w:p>
          <w:p w:rsidR="00BD02BD" w:rsidRDefault="00BD02BD" w:rsidP="00366607">
            <w:pPr>
              <w:spacing w:before="40" w:after="40" w:line="240" w:lineRule="auto"/>
              <w:rPr>
                <w:rFonts w:cstheme="minorHAnsi"/>
                <w:lang w:eastAsia="en-GB"/>
              </w:rPr>
            </w:pPr>
            <w:r>
              <w:rPr>
                <w:rFonts w:cstheme="minorHAnsi"/>
                <w:lang w:eastAsia="en-GB"/>
              </w:rPr>
              <w:t>25</w:t>
            </w:r>
          </w:p>
          <w:p w:rsidR="00BD02BD" w:rsidRDefault="00BD02BD" w:rsidP="00366607">
            <w:pPr>
              <w:spacing w:before="40" w:after="40" w:line="240" w:lineRule="auto"/>
              <w:rPr>
                <w:rFonts w:cstheme="minorHAnsi"/>
                <w:lang w:eastAsia="en-GB"/>
              </w:rPr>
            </w:pPr>
            <w:r>
              <w:rPr>
                <w:rFonts w:cstheme="minorHAnsi"/>
                <w:lang w:eastAsia="en-GB"/>
              </w:rPr>
              <w:t>30</w:t>
            </w:r>
          </w:p>
          <w:p w:rsidR="00BD02BD" w:rsidRPr="00C038DE" w:rsidRDefault="00BD02BD" w:rsidP="00366607">
            <w:pPr>
              <w:spacing w:before="40" w:after="40" w:line="240" w:lineRule="auto"/>
              <w:rPr>
                <w:rFonts w:cstheme="minorHAnsi"/>
                <w:lang w:eastAsia="en-GB"/>
              </w:rPr>
            </w:pPr>
            <w:r>
              <w:rPr>
                <w:rFonts w:cstheme="minorHAnsi"/>
                <w:lang w:eastAsia="en-GB"/>
              </w:rPr>
              <w:t>40</w:t>
            </w:r>
          </w:p>
        </w:tc>
        <w:tc>
          <w:tcPr>
            <w:tcW w:w="1843" w:type="dxa"/>
          </w:tcPr>
          <w:p w:rsidR="00BD02BD" w:rsidRDefault="00BD02BD" w:rsidP="00366607">
            <w:pPr>
              <w:spacing w:before="40" w:after="40" w:line="240" w:lineRule="auto"/>
              <w:rPr>
                <w:rFonts w:cstheme="minorHAnsi"/>
                <w:lang w:eastAsia="en-GB"/>
              </w:rPr>
            </w:pPr>
            <w:r>
              <w:rPr>
                <w:rFonts w:cstheme="minorHAnsi"/>
                <w:lang w:eastAsia="en-GB"/>
              </w:rPr>
              <w:t>3-5</w:t>
            </w:r>
          </w:p>
          <w:p w:rsidR="00BD02BD" w:rsidRDefault="00BD02BD" w:rsidP="00366607">
            <w:pPr>
              <w:spacing w:before="40" w:after="40" w:line="240" w:lineRule="auto"/>
              <w:rPr>
                <w:rFonts w:cstheme="minorHAnsi"/>
                <w:lang w:eastAsia="en-GB"/>
              </w:rPr>
            </w:pPr>
            <w:r>
              <w:rPr>
                <w:rFonts w:cstheme="minorHAnsi"/>
                <w:lang w:eastAsia="en-GB"/>
              </w:rPr>
              <w:t>3-4</w:t>
            </w:r>
          </w:p>
          <w:p w:rsidR="00BD02BD" w:rsidRDefault="00BD02BD" w:rsidP="00366607">
            <w:pPr>
              <w:spacing w:before="40" w:after="40" w:line="240" w:lineRule="auto"/>
              <w:rPr>
                <w:rFonts w:cstheme="minorHAnsi"/>
                <w:lang w:eastAsia="en-GB"/>
              </w:rPr>
            </w:pPr>
            <w:r>
              <w:rPr>
                <w:rFonts w:cstheme="minorHAnsi"/>
                <w:lang w:eastAsia="en-GB"/>
              </w:rPr>
              <w:t>3</w:t>
            </w:r>
          </w:p>
          <w:p w:rsidR="00BD02BD" w:rsidRDefault="00BD02BD" w:rsidP="00366607">
            <w:pPr>
              <w:spacing w:before="40" w:after="40" w:line="240" w:lineRule="auto"/>
              <w:rPr>
                <w:rFonts w:cstheme="minorHAnsi"/>
                <w:lang w:eastAsia="en-GB"/>
              </w:rPr>
            </w:pPr>
            <w:r>
              <w:rPr>
                <w:rFonts w:cstheme="minorHAnsi"/>
                <w:lang w:eastAsia="en-GB"/>
              </w:rPr>
              <w:t>2</w:t>
            </w:r>
          </w:p>
          <w:p w:rsidR="00BD02BD" w:rsidRDefault="00BD02BD" w:rsidP="00366607">
            <w:pPr>
              <w:spacing w:before="40" w:after="40" w:line="240" w:lineRule="auto"/>
              <w:rPr>
                <w:rFonts w:cstheme="minorHAnsi"/>
                <w:lang w:eastAsia="en-GB"/>
              </w:rPr>
            </w:pPr>
            <w:r>
              <w:rPr>
                <w:rFonts w:cstheme="minorHAnsi"/>
                <w:lang w:eastAsia="en-GB"/>
              </w:rPr>
              <w:t>2</w:t>
            </w:r>
          </w:p>
          <w:p w:rsidR="00BD02BD" w:rsidRDefault="00BD02BD" w:rsidP="00366607">
            <w:pPr>
              <w:spacing w:before="40" w:after="40" w:line="240" w:lineRule="auto"/>
              <w:rPr>
                <w:rFonts w:cstheme="minorHAnsi"/>
                <w:lang w:eastAsia="en-GB"/>
              </w:rPr>
            </w:pPr>
            <w:r>
              <w:rPr>
                <w:rFonts w:cstheme="minorHAnsi"/>
                <w:lang w:eastAsia="en-GB"/>
              </w:rPr>
              <w:t>1</w:t>
            </w:r>
          </w:p>
          <w:p w:rsidR="00BD02BD" w:rsidRPr="00C038DE" w:rsidRDefault="00BD02BD" w:rsidP="00366607">
            <w:pPr>
              <w:spacing w:before="40" w:after="40" w:line="240" w:lineRule="auto"/>
              <w:rPr>
                <w:rFonts w:cstheme="minorHAnsi"/>
                <w:lang w:eastAsia="en-GB"/>
              </w:rPr>
            </w:pPr>
            <w:r>
              <w:rPr>
                <w:rFonts w:cstheme="minorHAnsi"/>
                <w:lang w:eastAsia="en-GB"/>
              </w:rPr>
              <w:t>1</w:t>
            </w:r>
          </w:p>
        </w:tc>
      </w:tr>
      <w:tr w:rsidR="00BD02BD" w:rsidRPr="00C038DE" w:rsidTr="00366607">
        <w:tc>
          <w:tcPr>
            <w:tcW w:w="3486" w:type="dxa"/>
          </w:tcPr>
          <w:p w:rsidR="00BD02BD" w:rsidRPr="00C038DE" w:rsidRDefault="00BD02BD" w:rsidP="00BD02BD">
            <w:pPr>
              <w:spacing w:before="40" w:after="40" w:line="240" w:lineRule="auto"/>
              <w:rPr>
                <w:rFonts w:cstheme="minorHAnsi"/>
                <w:lang w:eastAsia="en-GB"/>
              </w:rPr>
            </w:pPr>
            <w:r>
              <w:rPr>
                <w:rFonts w:cstheme="minorHAnsi"/>
                <w:lang w:eastAsia="en-GB"/>
              </w:rPr>
              <w:t>Rats</w:t>
            </w:r>
          </w:p>
        </w:tc>
        <w:tc>
          <w:tcPr>
            <w:tcW w:w="850" w:type="dxa"/>
          </w:tcPr>
          <w:p w:rsidR="00BD02BD" w:rsidRPr="00C038DE" w:rsidRDefault="00BD02BD" w:rsidP="00366607">
            <w:r>
              <w:t>100-200</w:t>
            </w:r>
          </w:p>
        </w:tc>
        <w:tc>
          <w:tcPr>
            <w:tcW w:w="992" w:type="dxa"/>
          </w:tcPr>
          <w:p w:rsidR="00BD02BD" w:rsidRDefault="00BD02BD" w:rsidP="00BD02BD">
            <w:pPr>
              <w:spacing w:before="40" w:after="40" w:line="240" w:lineRule="auto"/>
              <w:rPr>
                <w:rFonts w:cstheme="minorHAnsi"/>
                <w:lang w:eastAsia="en-GB"/>
              </w:rPr>
            </w:pPr>
            <w:r>
              <w:rPr>
                <w:rFonts w:cstheme="minorHAnsi"/>
                <w:lang w:eastAsia="en-GB"/>
              </w:rPr>
              <w:t>10</w:t>
            </w:r>
          </w:p>
          <w:p w:rsidR="00BD02BD" w:rsidRDefault="00BD02BD" w:rsidP="00BD02BD">
            <w:pPr>
              <w:spacing w:before="40" w:after="40" w:line="240" w:lineRule="auto"/>
              <w:rPr>
                <w:rFonts w:cstheme="minorHAnsi"/>
                <w:lang w:eastAsia="en-GB"/>
              </w:rPr>
            </w:pPr>
            <w:r>
              <w:rPr>
                <w:rFonts w:cstheme="minorHAnsi"/>
                <w:lang w:eastAsia="en-GB"/>
              </w:rPr>
              <w:t>12.5</w:t>
            </w:r>
          </w:p>
          <w:p w:rsidR="00BD02BD" w:rsidRDefault="00BD02BD" w:rsidP="00BD02BD">
            <w:pPr>
              <w:spacing w:before="40" w:after="40" w:line="240" w:lineRule="auto"/>
              <w:rPr>
                <w:rFonts w:cstheme="minorHAnsi"/>
                <w:lang w:eastAsia="en-GB"/>
              </w:rPr>
            </w:pPr>
            <w:r>
              <w:rPr>
                <w:rFonts w:cstheme="minorHAnsi"/>
                <w:lang w:eastAsia="en-GB"/>
              </w:rPr>
              <w:t>15</w:t>
            </w:r>
          </w:p>
          <w:p w:rsidR="00BD02BD" w:rsidRDefault="00BD02BD" w:rsidP="00BD02BD">
            <w:pPr>
              <w:spacing w:before="40" w:after="40" w:line="240" w:lineRule="auto"/>
              <w:rPr>
                <w:rFonts w:cstheme="minorHAnsi"/>
                <w:lang w:eastAsia="en-GB"/>
              </w:rPr>
            </w:pPr>
            <w:r>
              <w:rPr>
                <w:rFonts w:cstheme="minorHAnsi"/>
                <w:lang w:eastAsia="en-GB"/>
              </w:rPr>
              <w:t>20</w:t>
            </w:r>
          </w:p>
          <w:p w:rsidR="00BD02BD" w:rsidRDefault="00BD02BD" w:rsidP="00BD02BD">
            <w:pPr>
              <w:spacing w:before="40" w:after="40" w:line="240" w:lineRule="auto"/>
              <w:rPr>
                <w:rFonts w:cstheme="minorHAnsi"/>
                <w:lang w:eastAsia="en-GB"/>
              </w:rPr>
            </w:pPr>
            <w:r>
              <w:rPr>
                <w:rFonts w:cstheme="minorHAnsi"/>
                <w:lang w:eastAsia="en-GB"/>
              </w:rPr>
              <w:t>25</w:t>
            </w:r>
          </w:p>
          <w:p w:rsidR="00BD02BD" w:rsidRDefault="00BD02BD" w:rsidP="00BD02BD">
            <w:pPr>
              <w:spacing w:before="40" w:after="40" w:line="240" w:lineRule="auto"/>
              <w:rPr>
                <w:rFonts w:cstheme="minorHAnsi"/>
                <w:lang w:eastAsia="en-GB"/>
              </w:rPr>
            </w:pPr>
            <w:r>
              <w:rPr>
                <w:rFonts w:cstheme="minorHAnsi"/>
                <w:lang w:eastAsia="en-GB"/>
              </w:rPr>
              <w:t>30</w:t>
            </w:r>
          </w:p>
          <w:p w:rsidR="00BD02BD" w:rsidRPr="00C038DE" w:rsidRDefault="00BD02BD" w:rsidP="00BD02BD">
            <w:r>
              <w:rPr>
                <w:rFonts w:cstheme="minorHAnsi"/>
                <w:lang w:eastAsia="en-GB"/>
              </w:rPr>
              <w:t>40</w:t>
            </w:r>
          </w:p>
        </w:tc>
        <w:tc>
          <w:tcPr>
            <w:tcW w:w="1843" w:type="dxa"/>
          </w:tcPr>
          <w:p w:rsidR="00BD02BD" w:rsidRDefault="00BD02BD" w:rsidP="00366607">
            <w:pPr>
              <w:spacing w:before="40" w:after="40" w:line="240" w:lineRule="auto"/>
              <w:rPr>
                <w:rFonts w:cstheme="minorHAnsi"/>
                <w:lang w:eastAsia="en-GB"/>
              </w:rPr>
            </w:pPr>
            <w:r>
              <w:rPr>
                <w:rFonts w:cstheme="minorHAnsi"/>
                <w:lang w:eastAsia="en-GB"/>
              </w:rPr>
              <w:t>10-20</w:t>
            </w:r>
          </w:p>
          <w:p w:rsidR="00BD02BD" w:rsidRDefault="00BD02BD" w:rsidP="00366607">
            <w:pPr>
              <w:spacing w:before="40" w:after="40" w:line="240" w:lineRule="auto"/>
              <w:rPr>
                <w:rFonts w:cstheme="minorHAnsi"/>
                <w:lang w:eastAsia="en-GB"/>
              </w:rPr>
            </w:pPr>
            <w:r>
              <w:rPr>
                <w:rFonts w:cstheme="minorHAnsi"/>
                <w:lang w:eastAsia="en-GB"/>
              </w:rPr>
              <w:t>8-16</w:t>
            </w:r>
          </w:p>
          <w:p w:rsidR="00BD02BD" w:rsidRDefault="00BD02BD" w:rsidP="00366607">
            <w:pPr>
              <w:spacing w:before="40" w:after="40" w:line="240" w:lineRule="auto"/>
              <w:rPr>
                <w:rFonts w:cstheme="minorHAnsi"/>
                <w:lang w:eastAsia="en-GB"/>
              </w:rPr>
            </w:pPr>
            <w:r>
              <w:rPr>
                <w:rFonts w:cstheme="minorHAnsi"/>
                <w:lang w:eastAsia="en-GB"/>
              </w:rPr>
              <w:t>7-13</w:t>
            </w:r>
          </w:p>
          <w:p w:rsidR="00BD02BD" w:rsidRDefault="00691AE9" w:rsidP="00366607">
            <w:pPr>
              <w:spacing w:before="40" w:after="40" w:line="240" w:lineRule="auto"/>
              <w:rPr>
                <w:rFonts w:cstheme="minorHAnsi"/>
                <w:lang w:eastAsia="en-GB"/>
              </w:rPr>
            </w:pPr>
            <w:r>
              <w:rPr>
                <w:rFonts w:cstheme="minorHAnsi"/>
                <w:lang w:eastAsia="en-GB"/>
              </w:rPr>
              <w:t>5-10</w:t>
            </w:r>
          </w:p>
          <w:p w:rsidR="00691AE9" w:rsidRDefault="00691AE9" w:rsidP="00366607">
            <w:pPr>
              <w:spacing w:before="40" w:after="40" w:line="240" w:lineRule="auto"/>
              <w:rPr>
                <w:rFonts w:cstheme="minorHAnsi"/>
                <w:lang w:eastAsia="en-GB"/>
              </w:rPr>
            </w:pPr>
            <w:r>
              <w:rPr>
                <w:rFonts w:cstheme="minorHAnsi"/>
                <w:lang w:eastAsia="en-GB"/>
              </w:rPr>
              <w:t>4-8</w:t>
            </w:r>
          </w:p>
          <w:p w:rsidR="00691AE9" w:rsidRDefault="00691AE9" w:rsidP="00366607">
            <w:pPr>
              <w:spacing w:before="40" w:after="40" w:line="240" w:lineRule="auto"/>
              <w:rPr>
                <w:rFonts w:cstheme="minorHAnsi"/>
                <w:lang w:eastAsia="en-GB"/>
              </w:rPr>
            </w:pPr>
            <w:r>
              <w:rPr>
                <w:rFonts w:cstheme="minorHAnsi"/>
                <w:lang w:eastAsia="en-GB"/>
              </w:rPr>
              <w:t>4-6</w:t>
            </w:r>
          </w:p>
          <w:p w:rsidR="00691AE9" w:rsidRPr="00C038DE" w:rsidRDefault="00691AE9" w:rsidP="00366607">
            <w:pPr>
              <w:spacing w:before="40" w:after="40" w:line="240" w:lineRule="auto"/>
              <w:rPr>
                <w:rFonts w:cstheme="minorHAnsi"/>
                <w:lang w:eastAsia="en-GB"/>
              </w:rPr>
            </w:pPr>
            <w:r>
              <w:rPr>
                <w:rFonts w:cstheme="minorHAnsi"/>
                <w:lang w:eastAsia="en-GB"/>
              </w:rPr>
              <w:t>3-5</w:t>
            </w:r>
          </w:p>
        </w:tc>
      </w:tr>
    </w:tbl>
    <w:p w:rsidR="00BD02BD" w:rsidRDefault="00BD02BD" w:rsidP="00A22BF3">
      <w:pPr>
        <w:keepNext/>
        <w:spacing w:after="240" w:line="240" w:lineRule="auto"/>
        <w:ind w:right="-164"/>
        <w:jc w:val="both"/>
        <w:rPr>
          <w:rFonts w:cstheme="minorHAnsi"/>
          <w:b/>
          <w:lang w:eastAsia="en-GB"/>
        </w:rPr>
      </w:pPr>
    </w:p>
    <w:tbl>
      <w:tblPr>
        <w:tblW w:w="9228" w:type="dxa"/>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42"/>
        <w:gridCol w:w="1559"/>
        <w:gridCol w:w="1134"/>
        <w:gridCol w:w="2693"/>
      </w:tblGrid>
      <w:tr w:rsidR="00BD02BD" w:rsidRPr="00C038DE" w:rsidTr="0038220A">
        <w:trPr>
          <w:cantSplit/>
          <w:trHeight w:val="270"/>
        </w:trPr>
        <w:tc>
          <w:tcPr>
            <w:tcW w:w="3842" w:type="dxa"/>
            <w:vMerge w:val="restart"/>
          </w:tcPr>
          <w:p w:rsidR="00BD02BD" w:rsidRPr="00C038DE" w:rsidRDefault="00BD02BD" w:rsidP="00366607">
            <w:pPr>
              <w:keepNext/>
              <w:keepLines/>
              <w:spacing w:before="40" w:after="40" w:line="240" w:lineRule="auto"/>
              <w:rPr>
                <w:rFonts w:cstheme="minorHAnsi"/>
                <w:b/>
                <w:lang w:eastAsia="en-GB"/>
              </w:rPr>
            </w:pPr>
            <w:r w:rsidRPr="00C038DE">
              <w:rPr>
                <w:rFonts w:cstheme="minorHAnsi"/>
                <w:b/>
                <w:lang w:eastAsia="en-GB"/>
              </w:rPr>
              <w:t>Operation</w:t>
            </w:r>
          </w:p>
        </w:tc>
        <w:tc>
          <w:tcPr>
            <w:tcW w:w="1559" w:type="dxa"/>
            <w:vMerge w:val="restart"/>
          </w:tcPr>
          <w:p w:rsidR="00BD02BD" w:rsidRPr="00C038DE" w:rsidRDefault="00BD02BD" w:rsidP="00366607">
            <w:pPr>
              <w:keepNext/>
              <w:keepLines/>
              <w:spacing w:before="40" w:after="40" w:line="240" w:lineRule="auto"/>
              <w:rPr>
                <w:rFonts w:cstheme="minorHAnsi"/>
                <w:b/>
                <w:lang w:eastAsia="en-GB"/>
              </w:rPr>
            </w:pPr>
            <w:r w:rsidRPr="00C038DE">
              <w:rPr>
                <w:rFonts w:cstheme="minorHAnsi"/>
                <w:b/>
                <w:lang w:eastAsia="en-GB"/>
              </w:rPr>
              <w:t>PPE</w:t>
            </w:r>
          </w:p>
        </w:tc>
        <w:tc>
          <w:tcPr>
            <w:tcW w:w="1134" w:type="dxa"/>
            <w:vMerge w:val="restart"/>
          </w:tcPr>
          <w:p w:rsidR="00BD02BD" w:rsidRPr="00C038DE" w:rsidRDefault="00BD02BD" w:rsidP="00366607">
            <w:pPr>
              <w:keepNext/>
              <w:keepLines/>
              <w:spacing w:before="40" w:after="40" w:line="240" w:lineRule="auto"/>
              <w:rPr>
                <w:rFonts w:cstheme="minorHAnsi"/>
                <w:b/>
                <w:lang w:eastAsia="en-GB"/>
              </w:rPr>
            </w:pPr>
            <w:r w:rsidRPr="00C038DE">
              <w:rPr>
                <w:rFonts w:cstheme="minorHAnsi"/>
                <w:b/>
                <w:lang w:eastAsia="en-GB"/>
              </w:rPr>
              <w:t>Exposure path</w:t>
            </w:r>
          </w:p>
        </w:tc>
        <w:tc>
          <w:tcPr>
            <w:tcW w:w="2693" w:type="dxa"/>
            <w:vMerge w:val="restart"/>
          </w:tcPr>
          <w:p w:rsidR="00BD02BD" w:rsidRPr="00C038DE" w:rsidRDefault="00BD02BD" w:rsidP="00366607">
            <w:pPr>
              <w:keepNext/>
              <w:keepLines/>
              <w:spacing w:before="40" w:after="40" w:line="240" w:lineRule="auto"/>
              <w:rPr>
                <w:rFonts w:cstheme="minorHAnsi"/>
                <w:b/>
                <w:bCs/>
                <w:lang w:eastAsia="en-GB"/>
              </w:rPr>
            </w:pPr>
            <w:r w:rsidRPr="00C038DE">
              <w:rPr>
                <w:rFonts w:cstheme="minorHAnsi"/>
                <w:b/>
                <w:bCs/>
                <w:lang w:eastAsia="en-GB"/>
              </w:rPr>
              <w:t>Systemic dose (mg/kg bw/day)</w:t>
            </w:r>
          </w:p>
        </w:tc>
      </w:tr>
      <w:tr w:rsidR="00BD02BD" w:rsidRPr="00C038DE" w:rsidTr="0038220A">
        <w:trPr>
          <w:cantSplit/>
          <w:trHeight w:val="310"/>
        </w:trPr>
        <w:tc>
          <w:tcPr>
            <w:tcW w:w="3842" w:type="dxa"/>
            <w:vMerge/>
          </w:tcPr>
          <w:p w:rsidR="00BD02BD" w:rsidRPr="00C038DE" w:rsidRDefault="00BD02BD" w:rsidP="00366607">
            <w:pPr>
              <w:keepNext/>
              <w:keepLines/>
              <w:spacing w:before="40" w:after="40" w:line="240" w:lineRule="auto"/>
              <w:rPr>
                <w:rFonts w:cstheme="minorHAnsi"/>
                <w:lang w:eastAsia="en-GB"/>
              </w:rPr>
            </w:pPr>
          </w:p>
        </w:tc>
        <w:tc>
          <w:tcPr>
            <w:tcW w:w="1559" w:type="dxa"/>
            <w:vMerge/>
          </w:tcPr>
          <w:p w:rsidR="00BD02BD" w:rsidRPr="00C038DE" w:rsidRDefault="00BD02BD" w:rsidP="00366607">
            <w:pPr>
              <w:keepNext/>
              <w:keepLines/>
              <w:spacing w:before="40" w:after="40" w:line="240" w:lineRule="auto"/>
              <w:rPr>
                <w:rFonts w:cstheme="minorHAnsi"/>
                <w:lang w:eastAsia="en-GB"/>
              </w:rPr>
            </w:pPr>
          </w:p>
        </w:tc>
        <w:tc>
          <w:tcPr>
            <w:tcW w:w="1134" w:type="dxa"/>
            <w:vMerge/>
          </w:tcPr>
          <w:p w:rsidR="00BD02BD" w:rsidRPr="00C038DE" w:rsidRDefault="00BD02BD" w:rsidP="00366607">
            <w:pPr>
              <w:keepNext/>
              <w:keepLines/>
              <w:spacing w:before="40" w:after="40" w:line="240" w:lineRule="auto"/>
              <w:rPr>
                <w:rFonts w:cstheme="minorHAnsi"/>
                <w:lang w:eastAsia="en-GB"/>
              </w:rPr>
            </w:pPr>
          </w:p>
        </w:tc>
        <w:tc>
          <w:tcPr>
            <w:tcW w:w="2693" w:type="dxa"/>
            <w:vMerge/>
          </w:tcPr>
          <w:p w:rsidR="00BD02BD" w:rsidRPr="00C038DE" w:rsidRDefault="00BD02BD" w:rsidP="00366607">
            <w:pPr>
              <w:keepNext/>
              <w:keepLines/>
              <w:spacing w:before="40" w:after="40" w:line="240" w:lineRule="auto"/>
              <w:rPr>
                <w:rFonts w:cstheme="minorHAnsi"/>
                <w:lang w:eastAsia="en-GB"/>
              </w:rPr>
            </w:pPr>
          </w:p>
        </w:tc>
      </w:tr>
      <w:tr w:rsidR="00BD02BD" w:rsidRPr="00C038DE" w:rsidTr="0038220A">
        <w:tc>
          <w:tcPr>
            <w:tcW w:w="3842" w:type="dxa"/>
          </w:tcPr>
          <w:p w:rsidR="00BD02BD" w:rsidRPr="00C038DE" w:rsidRDefault="00BD02BD" w:rsidP="00691AE9">
            <w:pPr>
              <w:spacing w:before="40" w:after="40" w:line="240" w:lineRule="auto"/>
              <w:rPr>
                <w:rFonts w:cstheme="minorHAnsi"/>
                <w:lang w:eastAsia="en-GB"/>
              </w:rPr>
            </w:pPr>
            <w:r>
              <w:rPr>
                <w:rFonts w:cstheme="minorHAnsi"/>
                <w:lang w:eastAsia="en-GB"/>
              </w:rPr>
              <w:t>P</w:t>
            </w:r>
            <w:r w:rsidR="00691AE9">
              <w:rPr>
                <w:rFonts w:cstheme="minorHAnsi"/>
                <w:lang w:eastAsia="en-GB"/>
              </w:rPr>
              <w:t>lacing and Clean-up, 200g (number of sachets: 20</w:t>
            </w:r>
            <w:r>
              <w:rPr>
                <w:rFonts w:cstheme="minorHAnsi"/>
                <w:lang w:eastAsia="en-GB"/>
              </w:rPr>
              <w:t>)</w:t>
            </w:r>
          </w:p>
        </w:tc>
        <w:tc>
          <w:tcPr>
            <w:tcW w:w="1559" w:type="dxa"/>
          </w:tcPr>
          <w:p w:rsidR="00BD02BD" w:rsidRDefault="00BD02BD" w:rsidP="00366607">
            <w:pPr>
              <w:spacing w:before="40" w:after="40" w:line="240" w:lineRule="auto"/>
              <w:rPr>
                <w:rFonts w:cstheme="minorHAnsi"/>
                <w:lang w:eastAsia="en-GB"/>
              </w:rPr>
            </w:pPr>
            <w:r w:rsidRPr="00C038DE">
              <w:rPr>
                <w:rFonts w:cstheme="minorHAnsi"/>
                <w:lang w:eastAsia="en-GB"/>
              </w:rPr>
              <w:t>Gloves</w:t>
            </w:r>
          </w:p>
          <w:p w:rsidR="0038220A" w:rsidRPr="00C038DE" w:rsidRDefault="0038220A" w:rsidP="00366607">
            <w:pPr>
              <w:spacing w:before="40" w:after="40" w:line="240" w:lineRule="auto"/>
              <w:rPr>
                <w:rFonts w:cstheme="minorHAnsi"/>
                <w:lang w:eastAsia="en-GB"/>
              </w:rPr>
            </w:pPr>
            <w:r>
              <w:rPr>
                <w:rFonts w:cstheme="minorHAnsi"/>
                <w:lang w:eastAsia="en-GB"/>
              </w:rPr>
              <w:t>(95% protection factor)</w:t>
            </w:r>
          </w:p>
        </w:tc>
        <w:tc>
          <w:tcPr>
            <w:tcW w:w="1134" w:type="dxa"/>
          </w:tcPr>
          <w:p w:rsidR="00BD02BD" w:rsidRPr="00C038DE" w:rsidRDefault="00BD02BD" w:rsidP="00366607">
            <w:pPr>
              <w:spacing w:before="40" w:after="40" w:line="240" w:lineRule="auto"/>
              <w:rPr>
                <w:rFonts w:cstheme="minorHAnsi"/>
                <w:lang w:eastAsia="en-GB"/>
              </w:rPr>
            </w:pPr>
            <w:r w:rsidRPr="00C038DE">
              <w:rPr>
                <w:rFonts w:cstheme="minorHAnsi"/>
                <w:lang w:eastAsia="en-GB"/>
              </w:rPr>
              <w:t>Dermal</w:t>
            </w:r>
          </w:p>
        </w:tc>
        <w:tc>
          <w:tcPr>
            <w:tcW w:w="2693" w:type="dxa"/>
          </w:tcPr>
          <w:p w:rsidR="00BD02BD" w:rsidRPr="00C038DE" w:rsidRDefault="0038220A" w:rsidP="00366607">
            <w:pPr>
              <w:spacing w:before="40" w:after="40" w:line="240" w:lineRule="auto"/>
              <w:rPr>
                <w:rFonts w:cstheme="minorHAnsi"/>
                <w:lang w:eastAsia="en-GB"/>
              </w:rPr>
            </w:pPr>
            <w:r>
              <w:rPr>
                <w:rFonts w:cstheme="minorHAnsi"/>
                <w:lang w:eastAsia="en-GB"/>
              </w:rPr>
              <w:t>2.85</w:t>
            </w:r>
            <w:r w:rsidR="00BD02BD" w:rsidRPr="00C038DE">
              <w:rPr>
                <w:rFonts w:cstheme="minorHAnsi"/>
                <w:lang w:eastAsia="en-GB"/>
              </w:rPr>
              <w:t xml:space="preserve"> x 10</w:t>
            </w:r>
            <w:r w:rsidR="00691AE9">
              <w:rPr>
                <w:rFonts w:cstheme="minorHAnsi"/>
                <w:vertAlign w:val="superscript"/>
                <w:lang w:eastAsia="en-GB"/>
              </w:rPr>
              <w:t>-6</w:t>
            </w:r>
          </w:p>
        </w:tc>
      </w:tr>
      <w:tr w:rsidR="00BD02BD" w:rsidRPr="00C038DE" w:rsidTr="0038220A">
        <w:tc>
          <w:tcPr>
            <w:tcW w:w="3842" w:type="dxa"/>
          </w:tcPr>
          <w:p w:rsidR="00BD02BD" w:rsidRPr="00C038DE" w:rsidRDefault="00BD02BD" w:rsidP="00691AE9">
            <w:pPr>
              <w:spacing w:before="40" w:after="40" w:line="240" w:lineRule="auto"/>
              <w:rPr>
                <w:rFonts w:cstheme="minorHAnsi"/>
                <w:lang w:eastAsia="en-GB"/>
              </w:rPr>
            </w:pPr>
            <w:r>
              <w:rPr>
                <w:rFonts w:cstheme="minorHAnsi"/>
                <w:lang w:eastAsia="en-GB"/>
              </w:rPr>
              <w:t>Placing and Clean-up, 200g (</w:t>
            </w:r>
            <w:r w:rsidR="00691AE9">
              <w:rPr>
                <w:rFonts w:cstheme="minorHAnsi"/>
                <w:lang w:eastAsia="en-GB"/>
              </w:rPr>
              <w:t>number of sachets: 10</w:t>
            </w:r>
            <w:r>
              <w:rPr>
                <w:rFonts w:cstheme="minorHAnsi"/>
                <w:lang w:eastAsia="en-GB"/>
              </w:rPr>
              <w:t>)</w:t>
            </w:r>
          </w:p>
        </w:tc>
        <w:tc>
          <w:tcPr>
            <w:tcW w:w="1559" w:type="dxa"/>
          </w:tcPr>
          <w:p w:rsidR="00BD02BD" w:rsidRPr="0038220A" w:rsidRDefault="00BD02BD" w:rsidP="0038220A">
            <w:pPr>
              <w:spacing w:before="40" w:after="40" w:line="240" w:lineRule="auto"/>
              <w:rPr>
                <w:rFonts w:cstheme="minorHAnsi"/>
                <w:lang w:eastAsia="en-GB"/>
              </w:rPr>
            </w:pPr>
            <w:r w:rsidRPr="0038220A">
              <w:rPr>
                <w:rFonts w:cstheme="minorHAnsi"/>
                <w:lang w:eastAsia="en-GB"/>
              </w:rPr>
              <w:t>Gloves</w:t>
            </w:r>
          </w:p>
          <w:p w:rsidR="0038220A" w:rsidRPr="00C038DE" w:rsidRDefault="0038220A" w:rsidP="0038220A">
            <w:pPr>
              <w:spacing w:before="40" w:after="40" w:line="240" w:lineRule="auto"/>
            </w:pPr>
            <w:r>
              <w:rPr>
                <w:rFonts w:cstheme="minorHAnsi"/>
                <w:lang w:eastAsia="en-GB"/>
              </w:rPr>
              <w:t>(95% protection factor)</w:t>
            </w:r>
          </w:p>
        </w:tc>
        <w:tc>
          <w:tcPr>
            <w:tcW w:w="1134" w:type="dxa"/>
          </w:tcPr>
          <w:p w:rsidR="00BD02BD" w:rsidRPr="00C038DE" w:rsidRDefault="00BD02BD" w:rsidP="00366607">
            <w:r w:rsidRPr="00C038DE">
              <w:t>Dermal</w:t>
            </w:r>
          </w:p>
        </w:tc>
        <w:tc>
          <w:tcPr>
            <w:tcW w:w="2693" w:type="dxa"/>
          </w:tcPr>
          <w:p w:rsidR="00BD02BD" w:rsidRPr="00C038DE" w:rsidRDefault="0038220A" w:rsidP="00366607">
            <w:pPr>
              <w:spacing w:before="40" w:after="40" w:line="240" w:lineRule="auto"/>
              <w:rPr>
                <w:rFonts w:cstheme="minorHAnsi"/>
                <w:lang w:eastAsia="en-GB"/>
              </w:rPr>
            </w:pPr>
            <w:r>
              <w:rPr>
                <w:rFonts w:cstheme="minorHAnsi"/>
                <w:lang w:eastAsia="en-GB"/>
              </w:rPr>
              <w:t>1.46</w:t>
            </w:r>
            <w:r w:rsidR="00BD02BD" w:rsidRPr="00C038DE">
              <w:rPr>
                <w:rFonts w:cstheme="minorHAnsi"/>
                <w:lang w:eastAsia="en-GB"/>
              </w:rPr>
              <w:t xml:space="preserve"> x 10</w:t>
            </w:r>
            <w:r w:rsidR="00BD02BD" w:rsidRPr="00C038DE">
              <w:rPr>
                <w:rFonts w:cstheme="minorHAnsi"/>
                <w:vertAlign w:val="superscript"/>
                <w:lang w:eastAsia="en-GB"/>
              </w:rPr>
              <w:t>-</w:t>
            </w:r>
            <w:r w:rsidR="00691AE9">
              <w:rPr>
                <w:rFonts w:cstheme="minorHAnsi"/>
                <w:vertAlign w:val="superscript"/>
                <w:lang w:eastAsia="en-GB"/>
              </w:rPr>
              <w:t>6</w:t>
            </w:r>
          </w:p>
        </w:tc>
      </w:tr>
      <w:tr w:rsidR="00BD02BD" w:rsidRPr="00C038DE" w:rsidTr="0038220A">
        <w:tc>
          <w:tcPr>
            <w:tcW w:w="3842" w:type="dxa"/>
          </w:tcPr>
          <w:p w:rsidR="00BD02BD" w:rsidRPr="00C038DE" w:rsidRDefault="00BD02BD" w:rsidP="00691AE9">
            <w:pPr>
              <w:spacing w:before="40" w:after="40" w:line="240" w:lineRule="auto"/>
              <w:rPr>
                <w:rFonts w:cstheme="minorHAnsi"/>
                <w:lang w:eastAsia="en-GB"/>
              </w:rPr>
            </w:pPr>
            <w:r>
              <w:rPr>
                <w:rFonts w:cstheme="minorHAnsi"/>
                <w:lang w:eastAsia="en-GB"/>
              </w:rPr>
              <w:t>Placing and Clean-up, 200g</w:t>
            </w:r>
            <w:r w:rsidR="0038220A">
              <w:rPr>
                <w:rFonts w:cstheme="minorHAnsi"/>
                <w:lang w:eastAsia="en-GB"/>
              </w:rPr>
              <w:t xml:space="preserve"> for rats</w:t>
            </w:r>
            <w:r>
              <w:rPr>
                <w:rFonts w:cstheme="minorHAnsi"/>
                <w:lang w:eastAsia="en-GB"/>
              </w:rPr>
              <w:t xml:space="preserve"> (</w:t>
            </w:r>
            <w:r w:rsidR="00691AE9">
              <w:rPr>
                <w:rFonts w:cstheme="minorHAnsi"/>
                <w:lang w:eastAsia="en-GB"/>
              </w:rPr>
              <w:t>number of sachets: 5</w:t>
            </w:r>
            <w:r>
              <w:rPr>
                <w:rFonts w:cstheme="minorHAnsi"/>
                <w:lang w:eastAsia="en-GB"/>
              </w:rPr>
              <w:t>)</w:t>
            </w:r>
            <w:r w:rsidR="0038220A">
              <w:rPr>
                <w:rFonts w:cstheme="minorHAnsi"/>
                <w:lang w:eastAsia="en-GB"/>
              </w:rPr>
              <w:t xml:space="preserve"> and 50g for mice</w:t>
            </w:r>
            <w:r w:rsidR="0085165E">
              <w:rPr>
                <w:rFonts w:cstheme="minorHAnsi"/>
                <w:lang w:eastAsia="en-GB"/>
              </w:rPr>
              <w:t xml:space="preserve"> (5 sachets)</w:t>
            </w:r>
          </w:p>
        </w:tc>
        <w:tc>
          <w:tcPr>
            <w:tcW w:w="1559" w:type="dxa"/>
          </w:tcPr>
          <w:p w:rsidR="00BD02BD" w:rsidRPr="0038220A" w:rsidRDefault="00BD02BD" w:rsidP="0038220A">
            <w:pPr>
              <w:spacing w:before="40" w:after="40" w:line="240" w:lineRule="auto"/>
              <w:rPr>
                <w:rFonts w:cstheme="minorHAnsi"/>
                <w:lang w:eastAsia="en-GB"/>
              </w:rPr>
            </w:pPr>
            <w:r w:rsidRPr="0038220A">
              <w:rPr>
                <w:rFonts w:cstheme="minorHAnsi"/>
                <w:lang w:eastAsia="en-GB"/>
              </w:rPr>
              <w:t>Gloves</w:t>
            </w:r>
          </w:p>
          <w:p w:rsidR="0038220A" w:rsidRPr="00C038DE" w:rsidRDefault="0038220A" w:rsidP="0038220A">
            <w:pPr>
              <w:spacing w:before="40" w:after="40" w:line="240" w:lineRule="auto"/>
            </w:pPr>
            <w:r>
              <w:rPr>
                <w:rFonts w:cstheme="minorHAnsi"/>
                <w:lang w:eastAsia="en-GB"/>
              </w:rPr>
              <w:t>(95% protection factor)</w:t>
            </w:r>
          </w:p>
        </w:tc>
        <w:tc>
          <w:tcPr>
            <w:tcW w:w="1134" w:type="dxa"/>
          </w:tcPr>
          <w:p w:rsidR="00BD02BD" w:rsidRPr="00C038DE" w:rsidRDefault="00BD02BD" w:rsidP="00366607">
            <w:r w:rsidRPr="00C038DE">
              <w:t>Dermal</w:t>
            </w:r>
          </w:p>
        </w:tc>
        <w:tc>
          <w:tcPr>
            <w:tcW w:w="2693" w:type="dxa"/>
          </w:tcPr>
          <w:p w:rsidR="00BD02BD" w:rsidRPr="00C038DE" w:rsidRDefault="0038220A" w:rsidP="0085165E">
            <w:pPr>
              <w:spacing w:before="40" w:after="40" w:line="240" w:lineRule="auto"/>
              <w:rPr>
                <w:rFonts w:cstheme="minorHAnsi"/>
                <w:lang w:eastAsia="en-GB"/>
              </w:rPr>
            </w:pPr>
            <w:r>
              <w:rPr>
                <w:rFonts w:cstheme="minorHAnsi"/>
                <w:lang w:eastAsia="en-GB"/>
              </w:rPr>
              <w:t>7.66</w:t>
            </w:r>
            <w:r w:rsidR="00BD02BD" w:rsidRPr="00C038DE">
              <w:rPr>
                <w:rFonts w:cstheme="minorHAnsi"/>
                <w:lang w:eastAsia="en-GB"/>
              </w:rPr>
              <w:t xml:space="preserve"> x 10</w:t>
            </w:r>
            <w:r w:rsidR="00691AE9">
              <w:rPr>
                <w:rFonts w:cstheme="minorHAnsi"/>
                <w:vertAlign w:val="superscript"/>
                <w:lang w:eastAsia="en-GB"/>
              </w:rPr>
              <w:t>-</w:t>
            </w:r>
            <w:r w:rsidR="0085165E">
              <w:rPr>
                <w:rFonts w:cstheme="minorHAnsi"/>
                <w:vertAlign w:val="superscript"/>
                <w:lang w:eastAsia="en-GB"/>
              </w:rPr>
              <w:t>7</w:t>
            </w:r>
          </w:p>
        </w:tc>
      </w:tr>
      <w:bookmarkEnd w:id="652"/>
      <w:bookmarkEnd w:id="653"/>
      <w:bookmarkEnd w:id="654"/>
      <w:bookmarkEnd w:id="655"/>
      <w:bookmarkEnd w:id="656"/>
      <w:bookmarkEnd w:id="657"/>
    </w:tbl>
    <w:p w:rsidR="00A22BF3" w:rsidRPr="00C038DE" w:rsidRDefault="00A22BF3" w:rsidP="00FE51AC"/>
    <w:p w:rsidR="00646AB4" w:rsidRPr="00C038DE" w:rsidRDefault="00646AB4" w:rsidP="00646AB4">
      <w:pPr>
        <w:pStyle w:val="Kop3"/>
      </w:pPr>
      <w:r w:rsidRPr="00C038DE">
        <w:t>Risk characterisation for human health</w:t>
      </w:r>
    </w:p>
    <w:p w:rsidR="00555098" w:rsidRPr="00C038DE" w:rsidRDefault="00555098" w:rsidP="00555098">
      <w:pPr>
        <w:pStyle w:val="Kop4"/>
      </w:pPr>
      <w:r w:rsidRPr="00C038DE">
        <w:t>Risk for professional users</w:t>
      </w:r>
    </w:p>
    <w:p w:rsidR="00A22BF3" w:rsidRPr="00C038DE" w:rsidRDefault="00A22BF3" w:rsidP="00A22BF3">
      <w:pPr>
        <w:keepNext/>
        <w:tabs>
          <w:tab w:val="num" w:pos="851"/>
        </w:tabs>
        <w:spacing w:after="255"/>
        <w:outlineLvl w:val="3"/>
        <w:rPr>
          <w:rFonts w:cstheme="minorHAnsi"/>
          <w:b/>
          <w:bCs/>
          <w:lang w:eastAsia="en-GB"/>
        </w:rPr>
      </w:pPr>
      <w:r w:rsidRPr="00C038DE">
        <w:rPr>
          <w:rFonts w:cstheme="minorHAnsi"/>
          <w:b/>
          <w:bCs/>
          <w:lang w:eastAsia="en-GB"/>
        </w:rPr>
        <w:t>Professional users</w:t>
      </w:r>
    </w:p>
    <w:p w:rsidR="00A22BF3" w:rsidRPr="00C038DE" w:rsidRDefault="00A22BF3" w:rsidP="00A22BF3">
      <w:pPr>
        <w:spacing w:after="240" w:line="240" w:lineRule="auto"/>
        <w:rPr>
          <w:rFonts w:cstheme="minorHAnsi"/>
          <w:lang w:eastAsia="en-GB"/>
        </w:rPr>
      </w:pPr>
      <w:r w:rsidRPr="00C038DE">
        <w:rPr>
          <w:rFonts w:cstheme="minorHAnsi"/>
          <w:lang w:eastAsia="en-GB"/>
        </w:rPr>
        <w:t>The results are summarised in the table below.</w:t>
      </w:r>
    </w:p>
    <w:p w:rsidR="00A22BF3" w:rsidRPr="00C038DE" w:rsidRDefault="00A22BF3" w:rsidP="00A22BF3">
      <w:pPr>
        <w:keepNext/>
        <w:keepLines/>
        <w:spacing w:after="60" w:line="240" w:lineRule="auto"/>
        <w:rPr>
          <w:rFonts w:cstheme="minorHAnsi"/>
          <w:b/>
          <w:bCs/>
          <w:lang w:eastAsia="en-GB"/>
        </w:rPr>
      </w:pPr>
      <w:r w:rsidRPr="00C038DE">
        <w:rPr>
          <w:rFonts w:cstheme="minorHAnsi"/>
          <w:b/>
          <w:bCs/>
          <w:lang w:eastAsia="en-GB"/>
        </w:rPr>
        <w:lastRenderedPageBreak/>
        <w:t>Risk assessment for professional operators handling ‘MAKI PAT’</w:t>
      </w:r>
    </w:p>
    <w:tbl>
      <w:tblPr>
        <w:tblW w:w="7386" w:type="dxa"/>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74"/>
        <w:gridCol w:w="850"/>
        <w:gridCol w:w="992"/>
        <w:gridCol w:w="1843"/>
        <w:gridCol w:w="2127"/>
      </w:tblGrid>
      <w:tr w:rsidR="007B0B96" w:rsidRPr="00C038DE" w:rsidTr="007B0B96">
        <w:trPr>
          <w:cantSplit/>
        </w:trPr>
        <w:tc>
          <w:tcPr>
            <w:tcW w:w="1574" w:type="dxa"/>
            <w:vMerge w:val="restart"/>
          </w:tcPr>
          <w:p w:rsidR="007B0B96" w:rsidRPr="00C038DE" w:rsidRDefault="007B0B96" w:rsidP="004061A6">
            <w:pPr>
              <w:keepNext/>
              <w:keepLines/>
              <w:spacing w:before="40" w:after="40" w:line="240" w:lineRule="auto"/>
              <w:rPr>
                <w:rFonts w:cstheme="minorHAnsi"/>
                <w:b/>
                <w:lang w:eastAsia="en-GB"/>
              </w:rPr>
            </w:pPr>
            <w:r w:rsidRPr="00C038DE">
              <w:rPr>
                <w:rFonts w:cstheme="minorHAnsi"/>
                <w:b/>
                <w:lang w:eastAsia="en-GB"/>
              </w:rPr>
              <w:t>Operation</w:t>
            </w:r>
          </w:p>
        </w:tc>
        <w:tc>
          <w:tcPr>
            <w:tcW w:w="850" w:type="dxa"/>
            <w:vMerge w:val="restart"/>
          </w:tcPr>
          <w:p w:rsidR="007B0B96" w:rsidRPr="00C038DE" w:rsidRDefault="007B0B96" w:rsidP="004061A6">
            <w:pPr>
              <w:keepNext/>
              <w:keepLines/>
              <w:spacing w:before="40" w:after="40" w:line="240" w:lineRule="auto"/>
              <w:rPr>
                <w:rFonts w:cstheme="minorHAnsi"/>
                <w:b/>
                <w:lang w:eastAsia="en-GB"/>
              </w:rPr>
            </w:pPr>
            <w:r w:rsidRPr="00C038DE">
              <w:rPr>
                <w:rFonts w:cstheme="minorHAnsi"/>
                <w:b/>
                <w:lang w:eastAsia="en-GB"/>
              </w:rPr>
              <w:t>PPE</w:t>
            </w:r>
          </w:p>
        </w:tc>
        <w:tc>
          <w:tcPr>
            <w:tcW w:w="992" w:type="dxa"/>
            <w:vMerge w:val="restart"/>
          </w:tcPr>
          <w:p w:rsidR="007B0B96" w:rsidRPr="00C038DE" w:rsidRDefault="007B0B96" w:rsidP="004061A6">
            <w:pPr>
              <w:keepNext/>
              <w:keepLines/>
              <w:spacing w:before="40" w:after="40" w:line="240" w:lineRule="auto"/>
              <w:rPr>
                <w:rFonts w:cstheme="minorHAnsi"/>
                <w:b/>
                <w:lang w:eastAsia="en-GB"/>
              </w:rPr>
            </w:pPr>
            <w:r w:rsidRPr="00C038DE">
              <w:rPr>
                <w:rFonts w:cstheme="minorHAnsi"/>
                <w:b/>
                <w:lang w:eastAsia="en-GB"/>
              </w:rPr>
              <w:t>Exposure path</w:t>
            </w:r>
          </w:p>
        </w:tc>
        <w:tc>
          <w:tcPr>
            <w:tcW w:w="1843" w:type="dxa"/>
            <w:vMerge w:val="restart"/>
          </w:tcPr>
          <w:p w:rsidR="007B0B96" w:rsidRPr="00C038DE" w:rsidRDefault="007B0B96" w:rsidP="004061A6">
            <w:pPr>
              <w:keepNext/>
              <w:keepLines/>
              <w:spacing w:before="40" w:after="40" w:line="240" w:lineRule="auto"/>
              <w:rPr>
                <w:rFonts w:cstheme="minorHAnsi"/>
                <w:b/>
                <w:bCs/>
                <w:lang w:eastAsia="en-GB"/>
              </w:rPr>
            </w:pPr>
            <w:r w:rsidRPr="00C038DE">
              <w:rPr>
                <w:rFonts w:cstheme="minorHAnsi"/>
                <w:b/>
                <w:bCs/>
                <w:lang w:eastAsia="en-GB"/>
              </w:rPr>
              <w:t>Systemic dose (mg/kg bw/day)</w:t>
            </w:r>
          </w:p>
        </w:tc>
        <w:tc>
          <w:tcPr>
            <w:tcW w:w="2127" w:type="dxa"/>
          </w:tcPr>
          <w:p w:rsidR="007B0B96" w:rsidRPr="00C038DE" w:rsidRDefault="007B0B96" w:rsidP="004061A6">
            <w:pPr>
              <w:keepNext/>
              <w:keepLines/>
              <w:spacing w:before="40" w:after="40" w:line="240" w:lineRule="auto"/>
              <w:jc w:val="center"/>
              <w:rPr>
                <w:rFonts w:cstheme="minorHAnsi"/>
                <w:b/>
                <w:lang w:eastAsia="en-GB"/>
              </w:rPr>
            </w:pPr>
            <w:r w:rsidRPr="00C038DE">
              <w:rPr>
                <w:rFonts w:cstheme="minorHAnsi"/>
                <w:b/>
                <w:lang w:eastAsia="en-GB"/>
              </w:rPr>
              <w:t>Medium/Chronic</w:t>
            </w:r>
            <w:r w:rsidRPr="00C038DE">
              <w:rPr>
                <w:rFonts w:cstheme="minorHAnsi"/>
                <w:b/>
                <w:lang w:eastAsia="en-GB"/>
              </w:rPr>
              <w:br/>
              <w:t xml:space="preserve">AEL: 0.0000012 </w:t>
            </w:r>
          </w:p>
          <w:p w:rsidR="007B0B96" w:rsidRPr="00C038DE" w:rsidRDefault="007B0B96" w:rsidP="004061A6">
            <w:pPr>
              <w:keepNext/>
              <w:keepLines/>
              <w:spacing w:before="40" w:after="40" w:line="240" w:lineRule="auto"/>
              <w:jc w:val="center"/>
              <w:rPr>
                <w:rFonts w:cstheme="minorHAnsi"/>
                <w:b/>
                <w:lang w:eastAsia="en-GB"/>
              </w:rPr>
            </w:pPr>
            <w:r w:rsidRPr="00C038DE">
              <w:rPr>
                <w:rFonts w:cstheme="minorHAnsi"/>
                <w:b/>
                <w:lang w:eastAsia="en-GB"/>
              </w:rPr>
              <w:t>mg/kg bw/day</w:t>
            </w:r>
          </w:p>
        </w:tc>
      </w:tr>
      <w:tr w:rsidR="007B0B96" w:rsidRPr="00C038DE" w:rsidTr="007B0B96">
        <w:trPr>
          <w:cantSplit/>
        </w:trPr>
        <w:tc>
          <w:tcPr>
            <w:tcW w:w="1574" w:type="dxa"/>
            <w:vMerge/>
          </w:tcPr>
          <w:p w:rsidR="007B0B96" w:rsidRPr="00C038DE" w:rsidRDefault="007B0B96" w:rsidP="004061A6">
            <w:pPr>
              <w:keepNext/>
              <w:keepLines/>
              <w:spacing w:before="40" w:after="40" w:line="240" w:lineRule="auto"/>
              <w:rPr>
                <w:rFonts w:cstheme="minorHAnsi"/>
                <w:lang w:eastAsia="en-GB"/>
              </w:rPr>
            </w:pPr>
          </w:p>
        </w:tc>
        <w:tc>
          <w:tcPr>
            <w:tcW w:w="850" w:type="dxa"/>
            <w:vMerge/>
          </w:tcPr>
          <w:p w:rsidR="007B0B96" w:rsidRPr="00C038DE" w:rsidRDefault="007B0B96" w:rsidP="004061A6">
            <w:pPr>
              <w:keepNext/>
              <w:keepLines/>
              <w:spacing w:before="40" w:after="40" w:line="240" w:lineRule="auto"/>
              <w:rPr>
                <w:rFonts w:cstheme="minorHAnsi"/>
                <w:lang w:eastAsia="en-GB"/>
              </w:rPr>
            </w:pPr>
          </w:p>
        </w:tc>
        <w:tc>
          <w:tcPr>
            <w:tcW w:w="992" w:type="dxa"/>
            <w:vMerge/>
          </w:tcPr>
          <w:p w:rsidR="007B0B96" w:rsidRPr="00C038DE" w:rsidRDefault="007B0B96" w:rsidP="004061A6">
            <w:pPr>
              <w:keepNext/>
              <w:keepLines/>
              <w:spacing w:before="40" w:after="40" w:line="240" w:lineRule="auto"/>
              <w:rPr>
                <w:rFonts w:cstheme="minorHAnsi"/>
                <w:lang w:eastAsia="en-GB"/>
              </w:rPr>
            </w:pPr>
          </w:p>
        </w:tc>
        <w:tc>
          <w:tcPr>
            <w:tcW w:w="1843" w:type="dxa"/>
            <w:vMerge/>
          </w:tcPr>
          <w:p w:rsidR="007B0B96" w:rsidRPr="00C038DE" w:rsidRDefault="007B0B96" w:rsidP="004061A6">
            <w:pPr>
              <w:keepNext/>
              <w:keepLines/>
              <w:spacing w:before="40" w:after="40" w:line="240" w:lineRule="auto"/>
              <w:rPr>
                <w:rFonts w:cstheme="minorHAnsi"/>
                <w:lang w:eastAsia="en-GB"/>
              </w:rPr>
            </w:pPr>
          </w:p>
        </w:tc>
        <w:tc>
          <w:tcPr>
            <w:tcW w:w="2127" w:type="dxa"/>
          </w:tcPr>
          <w:p w:rsidR="007B0B96" w:rsidRPr="00C038DE" w:rsidRDefault="007B0B96" w:rsidP="004061A6">
            <w:pPr>
              <w:spacing w:before="40" w:after="40" w:line="240" w:lineRule="auto"/>
              <w:jc w:val="center"/>
              <w:rPr>
                <w:rFonts w:cstheme="minorHAnsi"/>
                <w:b/>
                <w:lang w:eastAsia="en-GB"/>
              </w:rPr>
            </w:pPr>
            <w:r w:rsidRPr="00C038DE">
              <w:rPr>
                <w:rFonts w:cstheme="minorHAnsi"/>
                <w:b/>
                <w:lang w:eastAsia="en-GB"/>
              </w:rPr>
              <w:t>%AEL</w:t>
            </w:r>
          </w:p>
        </w:tc>
      </w:tr>
      <w:tr w:rsidR="003035FA" w:rsidRPr="00C038DE" w:rsidTr="007B0B96">
        <w:tc>
          <w:tcPr>
            <w:tcW w:w="1574" w:type="dxa"/>
          </w:tcPr>
          <w:p w:rsidR="003035FA" w:rsidRPr="00C038DE" w:rsidRDefault="003035FA" w:rsidP="004061A6">
            <w:pPr>
              <w:spacing w:before="40" w:after="40" w:line="240" w:lineRule="auto"/>
              <w:rPr>
                <w:rFonts w:cstheme="minorHAnsi"/>
                <w:lang w:eastAsia="en-GB"/>
              </w:rPr>
            </w:pPr>
            <w:r>
              <w:rPr>
                <w:rFonts w:cstheme="minorHAnsi"/>
                <w:lang w:eastAsia="en-GB"/>
              </w:rPr>
              <w:t>Placing and Clean-up, 200g (number of sachets: 20)</w:t>
            </w:r>
          </w:p>
        </w:tc>
        <w:tc>
          <w:tcPr>
            <w:tcW w:w="850" w:type="dxa"/>
          </w:tcPr>
          <w:p w:rsidR="003035FA" w:rsidRPr="00C038DE" w:rsidRDefault="003035FA" w:rsidP="004061A6">
            <w:pPr>
              <w:spacing w:before="40" w:after="40" w:line="240" w:lineRule="auto"/>
              <w:rPr>
                <w:rFonts w:cstheme="minorHAnsi"/>
                <w:lang w:eastAsia="en-GB"/>
              </w:rPr>
            </w:pPr>
            <w:r w:rsidRPr="00C038DE">
              <w:rPr>
                <w:rFonts w:cstheme="minorHAnsi"/>
                <w:lang w:eastAsia="en-GB"/>
              </w:rPr>
              <w:t>Gloves</w:t>
            </w:r>
          </w:p>
        </w:tc>
        <w:tc>
          <w:tcPr>
            <w:tcW w:w="992" w:type="dxa"/>
          </w:tcPr>
          <w:p w:rsidR="003035FA" w:rsidRPr="00C038DE" w:rsidRDefault="003035FA" w:rsidP="004061A6">
            <w:pPr>
              <w:spacing w:before="40" w:after="40" w:line="240" w:lineRule="auto"/>
              <w:rPr>
                <w:rFonts w:cstheme="minorHAnsi"/>
                <w:lang w:eastAsia="en-GB"/>
              </w:rPr>
            </w:pPr>
            <w:r w:rsidRPr="00C038DE">
              <w:rPr>
                <w:rFonts w:cstheme="minorHAnsi"/>
                <w:lang w:eastAsia="en-GB"/>
              </w:rPr>
              <w:t>Dermal</w:t>
            </w:r>
          </w:p>
        </w:tc>
        <w:tc>
          <w:tcPr>
            <w:tcW w:w="1843" w:type="dxa"/>
          </w:tcPr>
          <w:p w:rsidR="003035FA" w:rsidRPr="00C038DE" w:rsidRDefault="0085165E" w:rsidP="004061A6">
            <w:pPr>
              <w:spacing w:before="40" w:after="40" w:line="240" w:lineRule="auto"/>
              <w:rPr>
                <w:rFonts w:cstheme="minorHAnsi"/>
                <w:lang w:eastAsia="en-GB"/>
              </w:rPr>
            </w:pPr>
            <w:r>
              <w:rPr>
                <w:rFonts w:cstheme="minorHAnsi"/>
                <w:lang w:eastAsia="en-GB"/>
              </w:rPr>
              <w:t>2.85</w:t>
            </w:r>
            <w:r w:rsidR="003035FA" w:rsidRPr="00C038DE">
              <w:rPr>
                <w:rFonts w:cstheme="minorHAnsi"/>
                <w:lang w:eastAsia="en-GB"/>
              </w:rPr>
              <w:t xml:space="preserve"> x 10</w:t>
            </w:r>
            <w:r w:rsidR="003035FA">
              <w:rPr>
                <w:rFonts w:cstheme="minorHAnsi"/>
                <w:vertAlign w:val="superscript"/>
                <w:lang w:eastAsia="en-GB"/>
              </w:rPr>
              <w:t>-6</w:t>
            </w:r>
          </w:p>
        </w:tc>
        <w:tc>
          <w:tcPr>
            <w:tcW w:w="2127" w:type="dxa"/>
          </w:tcPr>
          <w:p w:rsidR="003035FA" w:rsidRPr="00C038DE" w:rsidRDefault="0085165E" w:rsidP="004061A6">
            <w:pPr>
              <w:spacing w:before="40" w:after="40" w:line="240" w:lineRule="auto"/>
              <w:jc w:val="center"/>
              <w:rPr>
                <w:rFonts w:cstheme="minorHAnsi"/>
                <w:lang w:eastAsia="en-GB"/>
              </w:rPr>
            </w:pPr>
            <w:r>
              <w:rPr>
                <w:rFonts w:cstheme="minorHAnsi"/>
                <w:lang w:eastAsia="en-GB"/>
              </w:rPr>
              <w:t>238</w:t>
            </w:r>
          </w:p>
        </w:tc>
      </w:tr>
      <w:tr w:rsidR="003035FA" w:rsidRPr="00C038DE" w:rsidTr="007B0B96">
        <w:tc>
          <w:tcPr>
            <w:tcW w:w="1574" w:type="dxa"/>
          </w:tcPr>
          <w:p w:rsidR="003035FA" w:rsidRPr="00C038DE" w:rsidRDefault="003035FA" w:rsidP="004061A6">
            <w:pPr>
              <w:spacing w:before="40" w:after="40" w:line="240" w:lineRule="auto"/>
              <w:rPr>
                <w:rFonts w:cstheme="minorHAnsi"/>
                <w:lang w:eastAsia="en-GB"/>
              </w:rPr>
            </w:pPr>
            <w:r>
              <w:rPr>
                <w:rFonts w:cstheme="minorHAnsi"/>
                <w:lang w:eastAsia="en-GB"/>
              </w:rPr>
              <w:t>Placing and Clean-up, 200g (number of sachets: 10)</w:t>
            </w:r>
          </w:p>
        </w:tc>
        <w:tc>
          <w:tcPr>
            <w:tcW w:w="850" w:type="dxa"/>
          </w:tcPr>
          <w:p w:rsidR="003035FA" w:rsidRPr="00C038DE" w:rsidRDefault="003035FA" w:rsidP="004061A6">
            <w:r w:rsidRPr="00C038DE">
              <w:t>Gloves</w:t>
            </w:r>
          </w:p>
        </w:tc>
        <w:tc>
          <w:tcPr>
            <w:tcW w:w="992" w:type="dxa"/>
          </w:tcPr>
          <w:p w:rsidR="003035FA" w:rsidRPr="00C038DE" w:rsidRDefault="003035FA" w:rsidP="004061A6">
            <w:r w:rsidRPr="00C038DE">
              <w:t>Dermal</w:t>
            </w:r>
          </w:p>
        </w:tc>
        <w:tc>
          <w:tcPr>
            <w:tcW w:w="1843" w:type="dxa"/>
          </w:tcPr>
          <w:p w:rsidR="003035FA" w:rsidRPr="00C038DE" w:rsidRDefault="0085165E" w:rsidP="004061A6">
            <w:pPr>
              <w:spacing w:before="40" w:after="40" w:line="240" w:lineRule="auto"/>
              <w:rPr>
                <w:rFonts w:cstheme="minorHAnsi"/>
                <w:lang w:eastAsia="en-GB"/>
              </w:rPr>
            </w:pPr>
            <w:r>
              <w:rPr>
                <w:rFonts w:cstheme="minorHAnsi"/>
                <w:lang w:eastAsia="en-GB"/>
              </w:rPr>
              <w:t>1.46</w:t>
            </w:r>
            <w:r w:rsidR="003035FA" w:rsidRPr="00C038DE">
              <w:rPr>
                <w:rFonts w:cstheme="minorHAnsi"/>
                <w:lang w:eastAsia="en-GB"/>
              </w:rPr>
              <w:t xml:space="preserve"> x 10</w:t>
            </w:r>
            <w:r w:rsidR="003035FA" w:rsidRPr="00C038DE">
              <w:rPr>
                <w:rFonts w:cstheme="minorHAnsi"/>
                <w:vertAlign w:val="superscript"/>
                <w:lang w:eastAsia="en-GB"/>
              </w:rPr>
              <w:t>-</w:t>
            </w:r>
            <w:r w:rsidR="003035FA">
              <w:rPr>
                <w:rFonts w:cstheme="minorHAnsi"/>
                <w:vertAlign w:val="superscript"/>
                <w:lang w:eastAsia="en-GB"/>
              </w:rPr>
              <w:t>6</w:t>
            </w:r>
          </w:p>
        </w:tc>
        <w:tc>
          <w:tcPr>
            <w:tcW w:w="2127" w:type="dxa"/>
          </w:tcPr>
          <w:p w:rsidR="003035FA" w:rsidRPr="00C038DE" w:rsidRDefault="0085165E" w:rsidP="004061A6">
            <w:pPr>
              <w:spacing w:before="40" w:after="40" w:line="240" w:lineRule="auto"/>
              <w:jc w:val="center"/>
              <w:rPr>
                <w:rFonts w:cstheme="minorHAnsi"/>
                <w:lang w:eastAsia="en-GB"/>
              </w:rPr>
            </w:pPr>
            <w:r>
              <w:rPr>
                <w:rFonts w:cstheme="minorHAnsi"/>
                <w:lang w:eastAsia="en-GB"/>
              </w:rPr>
              <w:t>122</w:t>
            </w:r>
          </w:p>
        </w:tc>
      </w:tr>
      <w:tr w:rsidR="003035FA" w:rsidRPr="00C038DE" w:rsidTr="007B0B96">
        <w:tc>
          <w:tcPr>
            <w:tcW w:w="1574" w:type="dxa"/>
          </w:tcPr>
          <w:p w:rsidR="003035FA" w:rsidRPr="00C038DE" w:rsidRDefault="003035FA" w:rsidP="004061A6">
            <w:pPr>
              <w:spacing w:before="40" w:after="40" w:line="240" w:lineRule="auto"/>
              <w:rPr>
                <w:rFonts w:cstheme="minorHAnsi"/>
                <w:lang w:eastAsia="en-GB"/>
              </w:rPr>
            </w:pPr>
            <w:r>
              <w:rPr>
                <w:rFonts w:cstheme="minorHAnsi"/>
                <w:lang w:eastAsia="en-GB"/>
              </w:rPr>
              <w:t>Placing and Clean-up, 200g (number of sachets: 5)</w:t>
            </w:r>
            <w:r w:rsidR="0085165E">
              <w:rPr>
                <w:rFonts w:cstheme="minorHAnsi"/>
                <w:lang w:eastAsia="en-GB"/>
              </w:rPr>
              <w:t xml:space="preserve"> and 50g for mice (5 sachets)</w:t>
            </w:r>
          </w:p>
        </w:tc>
        <w:tc>
          <w:tcPr>
            <w:tcW w:w="850" w:type="dxa"/>
          </w:tcPr>
          <w:p w:rsidR="003035FA" w:rsidRPr="00C038DE" w:rsidRDefault="003035FA" w:rsidP="004061A6">
            <w:r w:rsidRPr="00C038DE">
              <w:t>Gloves</w:t>
            </w:r>
          </w:p>
        </w:tc>
        <w:tc>
          <w:tcPr>
            <w:tcW w:w="992" w:type="dxa"/>
          </w:tcPr>
          <w:p w:rsidR="003035FA" w:rsidRPr="00C038DE" w:rsidRDefault="003035FA" w:rsidP="004061A6">
            <w:r w:rsidRPr="00C038DE">
              <w:t>Dermal</w:t>
            </w:r>
          </w:p>
        </w:tc>
        <w:tc>
          <w:tcPr>
            <w:tcW w:w="1843" w:type="dxa"/>
          </w:tcPr>
          <w:p w:rsidR="003035FA" w:rsidRPr="00C038DE" w:rsidRDefault="0085165E" w:rsidP="004061A6">
            <w:pPr>
              <w:spacing w:before="40" w:after="40" w:line="240" w:lineRule="auto"/>
              <w:rPr>
                <w:rFonts w:cstheme="minorHAnsi"/>
                <w:lang w:eastAsia="en-GB"/>
              </w:rPr>
            </w:pPr>
            <w:r>
              <w:rPr>
                <w:rFonts w:cstheme="minorHAnsi"/>
                <w:lang w:eastAsia="en-GB"/>
              </w:rPr>
              <w:t>7.66</w:t>
            </w:r>
            <w:r w:rsidRPr="00C038DE">
              <w:rPr>
                <w:rFonts w:cstheme="minorHAnsi"/>
                <w:lang w:eastAsia="en-GB"/>
              </w:rPr>
              <w:t xml:space="preserve"> x 10</w:t>
            </w:r>
            <w:r>
              <w:rPr>
                <w:rFonts w:cstheme="minorHAnsi"/>
                <w:vertAlign w:val="superscript"/>
                <w:lang w:eastAsia="en-GB"/>
              </w:rPr>
              <w:t>-7</w:t>
            </w:r>
          </w:p>
        </w:tc>
        <w:tc>
          <w:tcPr>
            <w:tcW w:w="2127" w:type="dxa"/>
          </w:tcPr>
          <w:p w:rsidR="003035FA" w:rsidRPr="00C038DE" w:rsidRDefault="0085165E" w:rsidP="004061A6">
            <w:pPr>
              <w:spacing w:before="40" w:after="40" w:line="240" w:lineRule="auto"/>
              <w:jc w:val="center"/>
              <w:rPr>
                <w:rFonts w:cstheme="minorHAnsi"/>
                <w:lang w:eastAsia="en-GB"/>
              </w:rPr>
            </w:pPr>
            <w:r>
              <w:rPr>
                <w:rFonts w:cstheme="minorHAnsi"/>
                <w:lang w:eastAsia="en-GB"/>
              </w:rPr>
              <w:t>64</w:t>
            </w:r>
          </w:p>
        </w:tc>
      </w:tr>
    </w:tbl>
    <w:p w:rsidR="00A22BF3" w:rsidRDefault="00A22BF3" w:rsidP="00A22BF3">
      <w:pPr>
        <w:keepNext/>
        <w:keepLines/>
        <w:tabs>
          <w:tab w:val="num" w:pos="851"/>
        </w:tabs>
        <w:spacing w:after="255"/>
        <w:outlineLvl w:val="2"/>
        <w:rPr>
          <w:rFonts w:cstheme="minorHAnsi"/>
          <w:b/>
          <w:bCs/>
          <w:lang w:eastAsia="en-GB"/>
        </w:rPr>
      </w:pPr>
      <w:bookmarkStart w:id="658" w:name="_Toc476292163"/>
      <w:bookmarkStart w:id="659" w:name="_Toc476448364"/>
      <w:bookmarkStart w:id="660" w:name="_Toc476449992"/>
      <w:bookmarkStart w:id="661" w:name="_Toc476450545"/>
      <w:bookmarkStart w:id="662" w:name="_Toc476451022"/>
      <w:bookmarkStart w:id="663" w:name="_Toc263859904"/>
    </w:p>
    <w:p w:rsidR="004C32D4" w:rsidRDefault="0085165E" w:rsidP="00314746">
      <w:pPr>
        <w:keepNext/>
        <w:keepLines/>
        <w:tabs>
          <w:tab w:val="num" w:pos="851"/>
        </w:tabs>
        <w:spacing w:after="255"/>
        <w:outlineLvl w:val="2"/>
        <w:rPr>
          <w:rFonts w:cstheme="minorHAnsi"/>
          <w:bCs/>
          <w:lang w:eastAsia="en-GB"/>
        </w:rPr>
      </w:pPr>
      <w:r>
        <w:rPr>
          <w:rFonts w:cstheme="minorHAnsi"/>
          <w:bCs/>
          <w:lang w:eastAsia="en-GB"/>
        </w:rPr>
        <w:t xml:space="preserve">The above risk assessment shows that the use of Maki Pat is safe when 5 sachets are placed. </w:t>
      </w:r>
      <w:r w:rsidR="00051021">
        <w:rPr>
          <w:rFonts w:cstheme="minorHAnsi"/>
          <w:bCs/>
          <w:lang w:eastAsia="en-GB"/>
        </w:rPr>
        <w:t xml:space="preserve">Higher </w:t>
      </w:r>
      <w:r w:rsidR="003035FA">
        <w:rPr>
          <w:rFonts w:cstheme="minorHAnsi"/>
          <w:bCs/>
          <w:lang w:eastAsia="en-GB"/>
        </w:rPr>
        <w:t xml:space="preserve"> numbers of sachets may pose a risk. However, </w:t>
      </w:r>
      <w:r w:rsidR="00542163">
        <w:rPr>
          <w:rFonts w:cstheme="minorHAnsi"/>
        </w:rPr>
        <w:t>a</w:t>
      </w:r>
      <w:r w:rsidR="003035FA">
        <w:rPr>
          <w:rFonts w:cstheme="minorHAnsi"/>
        </w:rPr>
        <w:t>ctual e</w:t>
      </w:r>
      <w:r w:rsidR="003035FA" w:rsidRPr="005C4B0F">
        <w:rPr>
          <w:rFonts w:cstheme="minorHAnsi"/>
        </w:rPr>
        <w:t>xposure to</w:t>
      </w:r>
      <w:r w:rsidR="003035FA">
        <w:rPr>
          <w:rFonts w:cstheme="minorHAnsi"/>
        </w:rPr>
        <w:t xml:space="preserve"> </w:t>
      </w:r>
      <w:r w:rsidR="003035FA" w:rsidRPr="005C4B0F">
        <w:rPr>
          <w:rFonts w:cstheme="minorHAnsi"/>
        </w:rPr>
        <w:t>professional users loading bait boxes</w:t>
      </w:r>
      <w:r w:rsidR="00542163">
        <w:rPr>
          <w:rFonts w:cstheme="minorHAnsi"/>
        </w:rPr>
        <w:t xml:space="preserve"> </w:t>
      </w:r>
      <w:r w:rsidR="003035FA" w:rsidRPr="005C4B0F">
        <w:rPr>
          <w:rFonts w:cstheme="minorHAnsi"/>
        </w:rPr>
        <w:t xml:space="preserve">is expected to be significantly lower than the values in </w:t>
      </w:r>
      <w:r w:rsidR="003035FA">
        <w:rPr>
          <w:rFonts w:cstheme="minorHAnsi"/>
        </w:rPr>
        <w:t xml:space="preserve">accordance with HEEG Opinion 12 for MAKI PAT’ </w:t>
      </w:r>
      <w:r w:rsidR="003035FA" w:rsidRPr="005C4B0F">
        <w:rPr>
          <w:rFonts w:cstheme="minorHAnsi"/>
        </w:rPr>
        <w:t xml:space="preserve">due to the presence of </w:t>
      </w:r>
      <w:r w:rsidR="003035FA">
        <w:rPr>
          <w:rFonts w:cstheme="minorHAnsi"/>
        </w:rPr>
        <w:t>sachet</w:t>
      </w:r>
      <w:r w:rsidR="003035FA" w:rsidRPr="005C4B0F">
        <w:rPr>
          <w:rFonts w:cstheme="minorHAnsi"/>
        </w:rPr>
        <w:t>.</w:t>
      </w:r>
      <w:r w:rsidR="00314746" w:rsidRPr="00314746">
        <w:t xml:space="preserve"> </w:t>
      </w:r>
      <w:r w:rsidR="00314746" w:rsidRPr="00314746">
        <w:rPr>
          <w:rFonts w:cstheme="minorHAnsi"/>
          <w:bCs/>
          <w:lang w:eastAsia="en-GB"/>
        </w:rPr>
        <w:t>In addition, the assessment</w:t>
      </w:r>
      <w:r w:rsidR="00314746">
        <w:rPr>
          <w:rFonts w:cstheme="minorHAnsi"/>
          <w:bCs/>
          <w:lang w:eastAsia="en-GB"/>
        </w:rPr>
        <w:t xml:space="preserve"> </w:t>
      </w:r>
      <w:r w:rsidR="00314746" w:rsidRPr="00314746">
        <w:rPr>
          <w:rFonts w:cstheme="minorHAnsi"/>
          <w:bCs/>
          <w:lang w:eastAsia="en-GB"/>
        </w:rPr>
        <w:t>assumes that each sachet is handled individually (i.e. one contact per sachet). This is unlikely in</w:t>
      </w:r>
      <w:r w:rsidR="00314746">
        <w:rPr>
          <w:rFonts w:cstheme="minorHAnsi"/>
          <w:bCs/>
          <w:lang w:eastAsia="en-GB"/>
        </w:rPr>
        <w:t xml:space="preserve"> </w:t>
      </w:r>
      <w:r w:rsidR="00314746" w:rsidRPr="00314746">
        <w:rPr>
          <w:rFonts w:cstheme="minorHAnsi"/>
          <w:bCs/>
          <w:lang w:eastAsia="en-GB"/>
        </w:rPr>
        <w:t>practise, particularly for smaller sachets where several sachets are loaded into the box at once</w:t>
      </w:r>
      <w:r w:rsidR="00314746">
        <w:rPr>
          <w:rFonts w:cstheme="minorHAnsi"/>
          <w:bCs/>
          <w:lang w:eastAsia="en-GB"/>
        </w:rPr>
        <w:t xml:space="preserve"> </w:t>
      </w:r>
      <w:r w:rsidR="00314746" w:rsidRPr="00314746">
        <w:rPr>
          <w:rFonts w:cstheme="minorHAnsi"/>
          <w:bCs/>
          <w:lang w:eastAsia="en-GB"/>
        </w:rPr>
        <w:t>rather than one by one.</w:t>
      </w:r>
      <w:r w:rsidR="00314746">
        <w:rPr>
          <w:rFonts w:cstheme="minorHAnsi"/>
          <w:bCs/>
          <w:lang w:eastAsia="en-GB"/>
        </w:rPr>
        <w:t xml:space="preserve"> </w:t>
      </w:r>
      <w:r w:rsidR="00051021">
        <w:rPr>
          <w:rFonts w:cstheme="minorHAnsi"/>
          <w:bCs/>
          <w:lang w:eastAsia="en-GB"/>
        </w:rPr>
        <w:t>Exposure to 8 sachets leads to 98.6% of the AEL</w:t>
      </w:r>
      <w:r w:rsidR="00AC0E7F">
        <w:rPr>
          <w:rFonts w:cstheme="minorHAnsi"/>
          <w:bCs/>
          <w:lang w:eastAsia="en-GB"/>
        </w:rPr>
        <w:t xml:space="preserve"> |(without an additional factor for the use of sachets)</w:t>
      </w:r>
    </w:p>
    <w:p w:rsidR="00E84123" w:rsidRDefault="00432AF0" w:rsidP="00314746">
      <w:pPr>
        <w:keepNext/>
        <w:keepLines/>
        <w:tabs>
          <w:tab w:val="num" w:pos="851"/>
        </w:tabs>
        <w:spacing w:after="255"/>
        <w:outlineLvl w:val="2"/>
        <w:rPr>
          <w:rFonts w:cstheme="minorHAnsi"/>
          <w:bCs/>
          <w:lang w:eastAsia="en-GB"/>
        </w:rPr>
      </w:pPr>
      <w:r w:rsidRPr="00432AF0">
        <w:rPr>
          <w:rFonts w:cstheme="minorHAnsi"/>
          <w:bCs/>
          <w:lang w:eastAsia="en-GB"/>
        </w:rPr>
        <w:t xml:space="preserve">As the </w:t>
      </w:r>
      <w:r w:rsidR="00314746">
        <w:rPr>
          <w:rFonts w:cstheme="minorHAnsi"/>
          <w:bCs/>
          <w:lang w:eastAsia="en-GB"/>
        </w:rPr>
        <w:t xml:space="preserve">level of reduction is still under debate, NL has also performed a reverse </w:t>
      </w:r>
      <w:r w:rsidR="00785DDE">
        <w:rPr>
          <w:rFonts w:cstheme="minorHAnsi"/>
          <w:bCs/>
          <w:lang w:eastAsia="en-GB"/>
        </w:rPr>
        <w:t xml:space="preserve">reference scenario </w:t>
      </w:r>
      <w:r w:rsidR="00314746">
        <w:rPr>
          <w:rFonts w:cstheme="minorHAnsi"/>
          <w:bCs/>
          <w:lang w:eastAsia="en-GB"/>
        </w:rPr>
        <w:t xml:space="preserve">calculations for the </w:t>
      </w:r>
      <w:r w:rsidR="00785DDE">
        <w:rPr>
          <w:rFonts w:cstheme="minorHAnsi"/>
          <w:bCs/>
          <w:lang w:eastAsia="en-GB"/>
        </w:rPr>
        <w:t xml:space="preserve">application of </w:t>
      </w:r>
      <w:r w:rsidR="00314746">
        <w:rPr>
          <w:rFonts w:cstheme="minorHAnsi"/>
          <w:bCs/>
          <w:lang w:eastAsia="en-GB"/>
        </w:rPr>
        <w:t>10 sachets per bait box</w:t>
      </w:r>
      <w:r w:rsidR="00314746" w:rsidRPr="00BA7380">
        <w:rPr>
          <w:rFonts w:cstheme="minorHAnsi"/>
          <w:bCs/>
          <w:lang w:eastAsia="en-GB"/>
        </w:rPr>
        <w:t xml:space="preserve">. </w:t>
      </w:r>
    </w:p>
    <w:p w:rsidR="00E84123" w:rsidRDefault="00051021" w:rsidP="00314746">
      <w:pPr>
        <w:keepNext/>
        <w:keepLines/>
        <w:tabs>
          <w:tab w:val="num" w:pos="851"/>
        </w:tabs>
        <w:spacing w:after="255"/>
        <w:outlineLvl w:val="2"/>
        <w:rPr>
          <w:rFonts w:cstheme="minorHAnsi"/>
          <w:bCs/>
          <w:lang w:eastAsia="en-GB"/>
        </w:rPr>
      </w:pPr>
      <w:r>
        <w:rPr>
          <w:rFonts w:cstheme="minorHAnsi"/>
          <w:bCs/>
          <w:lang w:eastAsia="en-GB"/>
        </w:rPr>
        <w:t xml:space="preserve">The calculation is : </w:t>
      </w:r>
    </w:p>
    <w:p w:rsidR="00E84123" w:rsidRDefault="00051021" w:rsidP="00314746">
      <w:pPr>
        <w:keepNext/>
        <w:keepLines/>
        <w:tabs>
          <w:tab w:val="num" w:pos="851"/>
        </w:tabs>
        <w:spacing w:after="255"/>
        <w:outlineLvl w:val="2"/>
        <w:rPr>
          <w:rFonts w:cstheme="minorHAnsi"/>
          <w:bCs/>
          <w:lang w:eastAsia="en-GB"/>
        </w:rPr>
      </w:pPr>
      <w:r>
        <w:rPr>
          <w:rFonts w:cstheme="minorHAnsi"/>
          <w:bCs/>
          <w:lang w:eastAsia="en-GB"/>
        </w:rPr>
        <w:t xml:space="preserve">AEL – </w:t>
      </w:r>
      <w:r w:rsidR="00E84123">
        <w:rPr>
          <w:rFonts w:cstheme="minorHAnsi"/>
          <w:bCs/>
          <w:lang w:eastAsia="en-GB"/>
        </w:rPr>
        <w:t xml:space="preserve">calculated </w:t>
      </w:r>
      <w:r>
        <w:rPr>
          <w:rFonts w:cstheme="minorHAnsi"/>
          <w:bCs/>
          <w:lang w:eastAsia="en-GB"/>
        </w:rPr>
        <w:t>systemic exposure (with gloves) during application =</w:t>
      </w:r>
      <w:r w:rsidR="00E84123">
        <w:rPr>
          <w:rFonts w:cstheme="minorHAnsi"/>
          <w:bCs/>
          <w:lang w:eastAsia="en-GB"/>
        </w:rPr>
        <w:t xml:space="preserve"> </w:t>
      </w:r>
      <w:r>
        <w:rPr>
          <w:rFonts w:cstheme="minorHAnsi"/>
          <w:bCs/>
          <w:lang w:eastAsia="en-GB"/>
        </w:rPr>
        <w:t>allowed maximum amount of exposure during  placing</w:t>
      </w:r>
      <w:r w:rsidR="00E84123">
        <w:rPr>
          <w:rFonts w:cstheme="minorHAnsi"/>
          <w:bCs/>
          <w:lang w:eastAsia="en-GB"/>
        </w:rPr>
        <w:t xml:space="preserve">. </w:t>
      </w:r>
    </w:p>
    <w:p w:rsidR="00E84123" w:rsidRDefault="00512400" w:rsidP="00314746">
      <w:pPr>
        <w:keepNext/>
        <w:keepLines/>
        <w:tabs>
          <w:tab w:val="num" w:pos="851"/>
        </w:tabs>
        <w:spacing w:after="255"/>
        <w:outlineLvl w:val="2"/>
        <w:rPr>
          <w:rFonts w:cstheme="minorHAnsi"/>
          <w:bCs/>
          <w:lang w:eastAsia="en-GB"/>
        </w:rPr>
      </w:pPr>
      <w:r>
        <w:rPr>
          <w:rFonts w:cstheme="minorHAnsi"/>
          <w:bCs/>
          <w:lang w:eastAsia="en-GB"/>
        </w:rPr>
        <w:t>A</w:t>
      </w:r>
      <w:r w:rsidR="00E84123">
        <w:rPr>
          <w:rFonts w:cstheme="minorHAnsi"/>
          <w:bCs/>
          <w:lang w:eastAsia="en-GB"/>
        </w:rPr>
        <w:t xml:space="preserve">llowed maximum amount of exposure during  placing </w:t>
      </w:r>
      <w:r w:rsidR="00051021">
        <w:rPr>
          <w:rFonts w:cstheme="minorHAnsi"/>
          <w:bCs/>
          <w:lang w:eastAsia="en-GB"/>
        </w:rPr>
        <w:t>/ calculated systemic dermal dose</w:t>
      </w:r>
      <w:r w:rsidR="00E84123">
        <w:rPr>
          <w:rFonts w:cstheme="minorHAnsi"/>
          <w:bCs/>
          <w:lang w:eastAsia="en-GB"/>
        </w:rPr>
        <w:t xml:space="preserve"> (with gloves) x100)</w:t>
      </w:r>
      <w:r w:rsidR="00051021">
        <w:rPr>
          <w:rFonts w:cstheme="minorHAnsi"/>
          <w:bCs/>
          <w:lang w:eastAsia="en-GB"/>
        </w:rPr>
        <w:t>.</w:t>
      </w:r>
    </w:p>
    <w:p w:rsidR="00E84123" w:rsidRPr="00E84123" w:rsidRDefault="00E84123" w:rsidP="00314746">
      <w:pPr>
        <w:keepNext/>
        <w:keepLines/>
        <w:tabs>
          <w:tab w:val="num" w:pos="851"/>
        </w:tabs>
        <w:spacing w:after="255"/>
        <w:outlineLvl w:val="2"/>
        <w:rPr>
          <w:rFonts w:cstheme="minorHAnsi"/>
          <w:bCs/>
          <w:lang w:eastAsia="en-GB"/>
        </w:rPr>
      </w:pPr>
      <w:r>
        <w:rPr>
          <w:rFonts w:cstheme="minorHAnsi"/>
          <w:bCs/>
          <w:lang w:eastAsia="en-GB"/>
        </w:rPr>
        <w:t>AEL 1.2 x 10</w:t>
      </w:r>
      <w:r w:rsidRPr="00E84123">
        <w:rPr>
          <w:rFonts w:cstheme="minorHAnsi"/>
          <w:bCs/>
          <w:vertAlign w:val="superscript"/>
          <w:lang w:eastAsia="en-GB"/>
        </w:rPr>
        <w:t>-6</w:t>
      </w:r>
      <w:r>
        <w:rPr>
          <w:rFonts w:cstheme="minorHAnsi"/>
          <w:bCs/>
          <w:lang w:eastAsia="en-GB"/>
        </w:rPr>
        <w:t xml:space="preserve">  - calculated systemic exposure (with gloves) during application 7.13 x 10</w:t>
      </w:r>
      <w:r w:rsidRPr="00E84123">
        <w:rPr>
          <w:rFonts w:cstheme="minorHAnsi"/>
          <w:bCs/>
          <w:vertAlign w:val="superscript"/>
          <w:lang w:eastAsia="en-GB"/>
        </w:rPr>
        <w:t>-</w:t>
      </w:r>
      <w:r>
        <w:rPr>
          <w:rFonts w:cstheme="minorHAnsi"/>
          <w:bCs/>
          <w:vertAlign w:val="superscript"/>
          <w:lang w:eastAsia="en-GB"/>
        </w:rPr>
        <w:t>8</w:t>
      </w:r>
      <w:r>
        <w:rPr>
          <w:rFonts w:cstheme="minorHAnsi"/>
          <w:bCs/>
          <w:lang w:eastAsia="en-GB"/>
        </w:rPr>
        <w:t xml:space="preserve"> = 1.1287 x 10</w:t>
      </w:r>
      <w:r w:rsidRPr="00E84123">
        <w:rPr>
          <w:rFonts w:cstheme="minorHAnsi"/>
          <w:bCs/>
          <w:vertAlign w:val="superscript"/>
          <w:lang w:eastAsia="en-GB"/>
        </w:rPr>
        <w:t>-6</w:t>
      </w:r>
      <w:r>
        <w:rPr>
          <w:rFonts w:cstheme="minorHAnsi"/>
          <w:bCs/>
          <w:lang w:eastAsia="en-GB"/>
        </w:rPr>
        <w:t>/ 2.78 x 10</w:t>
      </w:r>
      <w:r w:rsidRPr="00E84123">
        <w:rPr>
          <w:rFonts w:cstheme="minorHAnsi"/>
          <w:bCs/>
          <w:vertAlign w:val="superscript"/>
          <w:lang w:eastAsia="en-GB"/>
        </w:rPr>
        <w:t>-6</w:t>
      </w:r>
      <w:r>
        <w:rPr>
          <w:rFonts w:cstheme="minorHAnsi"/>
          <w:bCs/>
          <w:lang w:eastAsia="en-GB"/>
        </w:rPr>
        <w:t xml:space="preserve"> ) x 100) </w:t>
      </w:r>
    </w:p>
    <w:p w:rsidR="00432AF0" w:rsidRDefault="00051021" w:rsidP="00314746">
      <w:pPr>
        <w:keepNext/>
        <w:keepLines/>
        <w:tabs>
          <w:tab w:val="num" w:pos="851"/>
        </w:tabs>
        <w:spacing w:after="255"/>
        <w:outlineLvl w:val="2"/>
        <w:rPr>
          <w:rFonts w:cstheme="minorHAnsi"/>
          <w:bCs/>
          <w:lang w:eastAsia="en-GB"/>
        </w:rPr>
      </w:pPr>
      <w:r>
        <w:rPr>
          <w:rFonts w:cstheme="minorHAnsi"/>
          <w:bCs/>
          <w:lang w:eastAsia="en-GB"/>
        </w:rPr>
        <w:t xml:space="preserve"> </w:t>
      </w:r>
      <w:r w:rsidR="00314746" w:rsidRPr="00BA7380">
        <w:rPr>
          <w:rFonts w:cstheme="minorHAnsi"/>
          <w:bCs/>
          <w:lang w:eastAsia="en-GB"/>
        </w:rPr>
        <w:t xml:space="preserve">In order to </w:t>
      </w:r>
      <w:r w:rsidR="00542163" w:rsidRPr="00BA7380">
        <w:rPr>
          <w:rFonts w:cstheme="minorHAnsi"/>
          <w:bCs/>
          <w:lang w:eastAsia="en-GB"/>
        </w:rPr>
        <w:t>reach</w:t>
      </w:r>
      <w:r w:rsidR="00314746" w:rsidRPr="00BA7380">
        <w:rPr>
          <w:rFonts w:cstheme="minorHAnsi"/>
          <w:bCs/>
          <w:lang w:eastAsia="en-GB"/>
        </w:rPr>
        <w:t xml:space="preserve"> the AEL</w:t>
      </w:r>
      <w:r w:rsidR="004C32D4" w:rsidRPr="00BA7380">
        <w:rPr>
          <w:rFonts w:cstheme="minorHAnsi"/>
          <w:bCs/>
          <w:lang w:eastAsia="en-GB"/>
        </w:rPr>
        <w:t>,</w:t>
      </w:r>
      <w:r w:rsidR="00314746" w:rsidRPr="00BA7380">
        <w:rPr>
          <w:rFonts w:cstheme="minorHAnsi"/>
          <w:bCs/>
          <w:lang w:eastAsia="en-GB"/>
        </w:rPr>
        <w:t xml:space="preserve"> </w:t>
      </w:r>
      <w:r>
        <w:rPr>
          <w:rFonts w:cstheme="minorHAnsi"/>
          <w:bCs/>
          <w:lang w:eastAsia="en-GB"/>
        </w:rPr>
        <w:t>40</w:t>
      </w:r>
      <w:r w:rsidR="00314746" w:rsidRPr="00BA7380">
        <w:rPr>
          <w:rFonts w:cstheme="minorHAnsi"/>
          <w:bCs/>
          <w:lang w:eastAsia="en-GB"/>
        </w:rPr>
        <w:t>%</w:t>
      </w:r>
      <w:r w:rsidR="004C32D4" w:rsidRPr="00BA7380">
        <w:rPr>
          <w:rFonts w:cstheme="minorHAnsi"/>
          <w:bCs/>
          <w:lang w:eastAsia="en-GB"/>
        </w:rPr>
        <w:t xml:space="preserve"> </w:t>
      </w:r>
      <w:r w:rsidR="00314746" w:rsidRPr="00BA7380">
        <w:rPr>
          <w:rFonts w:cstheme="minorHAnsi"/>
          <w:bCs/>
          <w:lang w:eastAsia="en-GB"/>
        </w:rPr>
        <w:t xml:space="preserve">of the </w:t>
      </w:r>
      <w:r w:rsidR="004C32D4" w:rsidRPr="00BA7380">
        <w:rPr>
          <w:rFonts w:cstheme="minorHAnsi"/>
          <w:bCs/>
          <w:lang w:eastAsia="en-GB"/>
        </w:rPr>
        <w:t xml:space="preserve">calculated </w:t>
      </w:r>
      <w:r w:rsidR="00314746" w:rsidRPr="00BA7380">
        <w:rPr>
          <w:rFonts w:cstheme="minorHAnsi"/>
          <w:bCs/>
          <w:lang w:eastAsia="en-GB"/>
        </w:rPr>
        <w:t>exposure</w:t>
      </w:r>
      <w:r w:rsidR="004C32D4" w:rsidRPr="00BA7380">
        <w:rPr>
          <w:rFonts w:cstheme="minorHAnsi"/>
          <w:bCs/>
          <w:lang w:eastAsia="en-GB"/>
        </w:rPr>
        <w:t xml:space="preserve"> may be included,</w:t>
      </w:r>
      <w:r w:rsidR="00314746" w:rsidRPr="00BA7380">
        <w:rPr>
          <w:rFonts w:cstheme="minorHAnsi"/>
          <w:bCs/>
          <w:lang w:eastAsia="en-GB"/>
        </w:rPr>
        <w:t>.</w:t>
      </w:r>
      <w:r w:rsidR="00314746">
        <w:rPr>
          <w:rFonts w:cstheme="minorHAnsi"/>
          <w:bCs/>
          <w:lang w:eastAsia="en-GB"/>
        </w:rPr>
        <w:t xml:space="preserve"> This is considered reasonable </w:t>
      </w:r>
      <w:r w:rsidR="00BA7380">
        <w:rPr>
          <w:rFonts w:cstheme="minorHAnsi"/>
          <w:bCs/>
          <w:lang w:eastAsia="en-GB"/>
        </w:rPr>
        <w:t>to be</w:t>
      </w:r>
      <w:r w:rsidR="00314746">
        <w:rPr>
          <w:rFonts w:cstheme="minorHAnsi"/>
          <w:bCs/>
          <w:lang w:eastAsia="en-GB"/>
        </w:rPr>
        <w:t xml:space="preserve"> reached with paper/pp sachets.</w:t>
      </w:r>
    </w:p>
    <w:p w:rsidR="003035FA" w:rsidRDefault="003035FA" w:rsidP="00314746">
      <w:pPr>
        <w:keepNext/>
        <w:keepLines/>
        <w:tabs>
          <w:tab w:val="num" w:pos="851"/>
        </w:tabs>
        <w:spacing w:after="255"/>
        <w:outlineLvl w:val="2"/>
        <w:rPr>
          <w:rFonts w:cstheme="minorHAnsi"/>
          <w:bCs/>
          <w:lang w:eastAsia="en-GB"/>
        </w:rPr>
      </w:pPr>
      <w:r>
        <w:rPr>
          <w:rFonts w:cstheme="minorHAnsi"/>
          <w:bCs/>
          <w:lang w:eastAsia="en-GB"/>
        </w:rPr>
        <w:t>To target rats the</w:t>
      </w:r>
      <w:r w:rsidR="00A51943">
        <w:rPr>
          <w:rFonts w:cstheme="minorHAnsi"/>
          <w:bCs/>
          <w:lang w:eastAsia="en-GB"/>
        </w:rPr>
        <w:t xml:space="preserve"> following uses are </w:t>
      </w:r>
      <w:r w:rsidR="00542163">
        <w:rPr>
          <w:rFonts w:cstheme="minorHAnsi"/>
          <w:bCs/>
          <w:lang w:eastAsia="en-GB"/>
        </w:rPr>
        <w:t>considered safe for the operator:</w:t>
      </w:r>
    </w:p>
    <w:tbl>
      <w:tblPr>
        <w:tblW w:w="9014" w:type="dxa"/>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6"/>
        <w:gridCol w:w="850"/>
        <w:gridCol w:w="992"/>
        <w:gridCol w:w="1843"/>
        <w:gridCol w:w="1843"/>
      </w:tblGrid>
      <w:tr w:rsidR="003035FA" w:rsidRPr="00C038DE" w:rsidTr="003035FA">
        <w:trPr>
          <w:cantSplit/>
          <w:trHeight w:val="270"/>
        </w:trPr>
        <w:tc>
          <w:tcPr>
            <w:tcW w:w="3486" w:type="dxa"/>
            <w:vMerge w:val="restart"/>
          </w:tcPr>
          <w:p w:rsidR="003035FA" w:rsidRPr="00C038DE" w:rsidRDefault="003035FA" w:rsidP="00366607">
            <w:pPr>
              <w:keepNext/>
              <w:keepLines/>
              <w:spacing w:before="40" w:after="40" w:line="240" w:lineRule="auto"/>
              <w:rPr>
                <w:rFonts w:cstheme="minorHAnsi"/>
                <w:b/>
                <w:lang w:eastAsia="en-GB"/>
              </w:rPr>
            </w:pPr>
            <w:r>
              <w:rPr>
                <w:rFonts w:cstheme="minorHAnsi"/>
                <w:b/>
                <w:lang w:eastAsia="en-GB"/>
              </w:rPr>
              <w:t>Target organism</w:t>
            </w:r>
          </w:p>
        </w:tc>
        <w:tc>
          <w:tcPr>
            <w:tcW w:w="850" w:type="dxa"/>
            <w:vMerge w:val="restart"/>
          </w:tcPr>
          <w:p w:rsidR="003035FA" w:rsidRPr="00C038DE" w:rsidRDefault="003035FA" w:rsidP="00366607">
            <w:pPr>
              <w:keepNext/>
              <w:keepLines/>
              <w:spacing w:before="40" w:after="40" w:line="240" w:lineRule="auto"/>
              <w:rPr>
                <w:rFonts w:cstheme="minorHAnsi"/>
                <w:b/>
                <w:lang w:eastAsia="en-GB"/>
              </w:rPr>
            </w:pPr>
            <w:r>
              <w:rPr>
                <w:rFonts w:cstheme="minorHAnsi"/>
                <w:b/>
                <w:lang w:eastAsia="en-GB"/>
              </w:rPr>
              <w:t>dosage</w:t>
            </w:r>
          </w:p>
        </w:tc>
        <w:tc>
          <w:tcPr>
            <w:tcW w:w="992" w:type="dxa"/>
            <w:vMerge w:val="restart"/>
          </w:tcPr>
          <w:p w:rsidR="003035FA" w:rsidRPr="00C038DE" w:rsidRDefault="003035FA" w:rsidP="00366607">
            <w:pPr>
              <w:keepNext/>
              <w:keepLines/>
              <w:spacing w:before="40" w:after="40" w:line="240" w:lineRule="auto"/>
              <w:rPr>
                <w:rFonts w:cstheme="minorHAnsi"/>
                <w:b/>
                <w:lang w:eastAsia="en-GB"/>
              </w:rPr>
            </w:pPr>
            <w:r>
              <w:rPr>
                <w:rFonts w:cstheme="minorHAnsi"/>
                <w:b/>
                <w:lang w:eastAsia="en-GB"/>
              </w:rPr>
              <w:t>Sachet size</w:t>
            </w:r>
          </w:p>
        </w:tc>
        <w:tc>
          <w:tcPr>
            <w:tcW w:w="1843" w:type="dxa"/>
            <w:vMerge w:val="restart"/>
          </w:tcPr>
          <w:p w:rsidR="003035FA" w:rsidRPr="00C038DE" w:rsidRDefault="003035FA" w:rsidP="00366607">
            <w:pPr>
              <w:keepNext/>
              <w:keepLines/>
              <w:spacing w:before="40" w:after="40" w:line="240" w:lineRule="auto"/>
              <w:rPr>
                <w:rFonts w:cstheme="minorHAnsi"/>
                <w:b/>
                <w:bCs/>
                <w:lang w:eastAsia="en-GB"/>
              </w:rPr>
            </w:pPr>
            <w:r>
              <w:rPr>
                <w:rFonts w:cstheme="minorHAnsi"/>
                <w:b/>
                <w:bCs/>
                <w:lang w:eastAsia="en-GB"/>
              </w:rPr>
              <w:t>Number of sachets to achieve dosage</w:t>
            </w:r>
          </w:p>
        </w:tc>
        <w:tc>
          <w:tcPr>
            <w:tcW w:w="1843" w:type="dxa"/>
          </w:tcPr>
          <w:p w:rsidR="003035FA" w:rsidRDefault="003035FA" w:rsidP="00366607">
            <w:pPr>
              <w:keepNext/>
              <w:keepLines/>
              <w:spacing w:before="40" w:after="40" w:line="240" w:lineRule="auto"/>
              <w:rPr>
                <w:rFonts w:cstheme="minorHAnsi"/>
                <w:b/>
                <w:bCs/>
                <w:lang w:eastAsia="en-GB"/>
              </w:rPr>
            </w:pPr>
            <w:r>
              <w:rPr>
                <w:rFonts w:cstheme="minorHAnsi"/>
                <w:b/>
                <w:bCs/>
                <w:lang w:eastAsia="en-GB"/>
              </w:rPr>
              <w:t>Dosage achieved</w:t>
            </w:r>
          </w:p>
        </w:tc>
      </w:tr>
      <w:tr w:rsidR="003035FA" w:rsidRPr="00C038DE" w:rsidTr="003035FA">
        <w:trPr>
          <w:cantSplit/>
          <w:trHeight w:val="310"/>
        </w:trPr>
        <w:tc>
          <w:tcPr>
            <w:tcW w:w="3486" w:type="dxa"/>
            <w:vMerge/>
          </w:tcPr>
          <w:p w:rsidR="003035FA" w:rsidRPr="00C038DE" w:rsidRDefault="003035FA" w:rsidP="00366607">
            <w:pPr>
              <w:keepNext/>
              <w:keepLines/>
              <w:spacing w:before="40" w:after="40" w:line="240" w:lineRule="auto"/>
              <w:rPr>
                <w:rFonts w:cstheme="minorHAnsi"/>
                <w:lang w:eastAsia="en-GB"/>
              </w:rPr>
            </w:pPr>
          </w:p>
        </w:tc>
        <w:tc>
          <w:tcPr>
            <w:tcW w:w="850" w:type="dxa"/>
            <w:vMerge/>
          </w:tcPr>
          <w:p w:rsidR="003035FA" w:rsidRPr="00C038DE" w:rsidRDefault="003035FA" w:rsidP="00366607">
            <w:pPr>
              <w:keepNext/>
              <w:keepLines/>
              <w:spacing w:before="40" w:after="40" w:line="240" w:lineRule="auto"/>
              <w:rPr>
                <w:rFonts w:cstheme="minorHAnsi"/>
                <w:lang w:eastAsia="en-GB"/>
              </w:rPr>
            </w:pPr>
          </w:p>
        </w:tc>
        <w:tc>
          <w:tcPr>
            <w:tcW w:w="992" w:type="dxa"/>
            <w:vMerge/>
          </w:tcPr>
          <w:p w:rsidR="003035FA" w:rsidRPr="00C038DE" w:rsidRDefault="003035FA" w:rsidP="00366607">
            <w:pPr>
              <w:keepNext/>
              <w:keepLines/>
              <w:spacing w:before="40" w:after="40" w:line="240" w:lineRule="auto"/>
              <w:rPr>
                <w:rFonts w:cstheme="minorHAnsi"/>
                <w:lang w:eastAsia="en-GB"/>
              </w:rPr>
            </w:pPr>
          </w:p>
        </w:tc>
        <w:tc>
          <w:tcPr>
            <w:tcW w:w="1843" w:type="dxa"/>
            <w:vMerge/>
          </w:tcPr>
          <w:p w:rsidR="003035FA" w:rsidRPr="00C038DE" w:rsidRDefault="003035FA" w:rsidP="00366607">
            <w:pPr>
              <w:keepNext/>
              <w:keepLines/>
              <w:spacing w:before="40" w:after="40" w:line="240" w:lineRule="auto"/>
              <w:rPr>
                <w:rFonts w:cstheme="minorHAnsi"/>
                <w:lang w:eastAsia="en-GB"/>
              </w:rPr>
            </w:pPr>
          </w:p>
        </w:tc>
        <w:tc>
          <w:tcPr>
            <w:tcW w:w="1843" w:type="dxa"/>
          </w:tcPr>
          <w:p w:rsidR="003035FA" w:rsidRPr="00C038DE" w:rsidRDefault="003035FA" w:rsidP="00366607">
            <w:pPr>
              <w:keepNext/>
              <w:keepLines/>
              <w:spacing w:before="40" w:after="40" w:line="240" w:lineRule="auto"/>
              <w:rPr>
                <w:rFonts w:cstheme="minorHAnsi"/>
                <w:lang w:eastAsia="en-GB"/>
              </w:rPr>
            </w:pPr>
          </w:p>
        </w:tc>
      </w:tr>
      <w:tr w:rsidR="003035FA" w:rsidRPr="00C038DE" w:rsidTr="003035FA">
        <w:tc>
          <w:tcPr>
            <w:tcW w:w="3486" w:type="dxa"/>
          </w:tcPr>
          <w:p w:rsidR="003035FA" w:rsidRPr="00C038DE" w:rsidRDefault="003035FA" w:rsidP="00366607">
            <w:pPr>
              <w:spacing w:before="40" w:after="40" w:line="240" w:lineRule="auto"/>
              <w:rPr>
                <w:rFonts w:cstheme="minorHAnsi"/>
                <w:lang w:eastAsia="en-GB"/>
              </w:rPr>
            </w:pPr>
            <w:r>
              <w:rPr>
                <w:rFonts w:cstheme="minorHAnsi"/>
                <w:lang w:eastAsia="en-GB"/>
              </w:rPr>
              <w:t>Rats</w:t>
            </w:r>
          </w:p>
        </w:tc>
        <w:tc>
          <w:tcPr>
            <w:tcW w:w="850" w:type="dxa"/>
          </w:tcPr>
          <w:p w:rsidR="003035FA" w:rsidRPr="00C038DE" w:rsidRDefault="003035FA" w:rsidP="00366607">
            <w:r>
              <w:t>100-200</w:t>
            </w:r>
          </w:p>
        </w:tc>
        <w:tc>
          <w:tcPr>
            <w:tcW w:w="992" w:type="dxa"/>
          </w:tcPr>
          <w:p w:rsidR="003035FA" w:rsidRDefault="003035FA" w:rsidP="00366607">
            <w:pPr>
              <w:spacing w:before="40" w:after="40" w:line="240" w:lineRule="auto"/>
              <w:rPr>
                <w:rFonts w:cstheme="minorHAnsi"/>
                <w:lang w:eastAsia="en-GB"/>
              </w:rPr>
            </w:pPr>
            <w:r>
              <w:rPr>
                <w:rFonts w:cstheme="minorHAnsi"/>
                <w:lang w:eastAsia="en-GB"/>
              </w:rPr>
              <w:t>10</w:t>
            </w:r>
          </w:p>
          <w:p w:rsidR="003035FA" w:rsidRDefault="003035FA" w:rsidP="00366607">
            <w:pPr>
              <w:spacing w:before="40" w:after="40" w:line="240" w:lineRule="auto"/>
              <w:rPr>
                <w:rFonts w:cstheme="minorHAnsi"/>
                <w:lang w:eastAsia="en-GB"/>
              </w:rPr>
            </w:pPr>
            <w:r>
              <w:rPr>
                <w:rFonts w:cstheme="minorHAnsi"/>
                <w:lang w:eastAsia="en-GB"/>
              </w:rPr>
              <w:t>12.5</w:t>
            </w:r>
          </w:p>
          <w:p w:rsidR="003035FA" w:rsidRDefault="003035FA" w:rsidP="00366607">
            <w:pPr>
              <w:spacing w:before="40" w:after="40" w:line="240" w:lineRule="auto"/>
              <w:rPr>
                <w:rFonts w:cstheme="minorHAnsi"/>
                <w:lang w:eastAsia="en-GB"/>
              </w:rPr>
            </w:pPr>
            <w:r>
              <w:rPr>
                <w:rFonts w:cstheme="minorHAnsi"/>
                <w:lang w:eastAsia="en-GB"/>
              </w:rPr>
              <w:t>15</w:t>
            </w:r>
          </w:p>
          <w:p w:rsidR="003035FA" w:rsidRDefault="003035FA" w:rsidP="00366607">
            <w:pPr>
              <w:spacing w:before="40" w:after="40" w:line="240" w:lineRule="auto"/>
              <w:rPr>
                <w:rFonts w:cstheme="minorHAnsi"/>
                <w:lang w:eastAsia="en-GB"/>
              </w:rPr>
            </w:pPr>
            <w:r>
              <w:rPr>
                <w:rFonts w:cstheme="minorHAnsi"/>
                <w:lang w:eastAsia="en-GB"/>
              </w:rPr>
              <w:t>20</w:t>
            </w:r>
          </w:p>
          <w:p w:rsidR="003035FA" w:rsidRDefault="003035FA" w:rsidP="00366607">
            <w:pPr>
              <w:spacing w:before="40" w:after="40" w:line="240" w:lineRule="auto"/>
              <w:rPr>
                <w:rFonts w:cstheme="minorHAnsi"/>
                <w:lang w:eastAsia="en-GB"/>
              </w:rPr>
            </w:pPr>
            <w:r>
              <w:rPr>
                <w:rFonts w:cstheme="minorHAnsi"/>
                <w:lang w:eastAsia="en-GB"/>
              </w:rPr>
              <w:t>25</w:t>
            </w:r>
          </w:p>
          <w:p w:rsidR="003035FA" w:rsidRDefault="003035FA" w:rsidP="00366607">
            <w:pPr>
              <w:spacing w:before="40" w:after="40" w:line="240" w:lineRule="auto"/>
              <w:rPr>
                <w:rFonts w:cstheme="minorHAnsi"/>
                <w:lang w:eastAsia="en-GB"/>
              </w:rPr>
            </w:pPr>
            <w:r>
              <w:rPr>
                <w:rFonts w:cstheme="minorHAnsi"/>
                <w:lang w:eastAsia="en-GB"/>
              </w:rPr>
              <w:t>30</w:t>
            </w:r>
          </w:p>
          <w:p w:rsidR="003035FA" w:rsidRPr="00C038DE" w:rsidRDefault="003035FA" w:rsidP="00366607">
            <w:r>
              <w:rPr>
                <w:rFonts w:cstheme="minorHAnsi"/>
                <w:lang w:eastAsia="en-GB"/>
              </w:rPr>
              <w:t>40</w:t>
            </w:r>
          </w:p>
        </w:tc>
        <w:tc>
          <w:tcPr>
            <w:tcW w:w="1843" w:type="dxa"/>
          </w:tcPr>
          <w:p w:rsidR="003035FA" w:rsidRDefault="00A51943" w:rsidP="00366607">
            <w:pPr>
              <w:spacing w:before="40" w:after="40" w:line="240" w:lineRule="auto"/>
              <w:rPr>
                <w:rFonts w:cstheme="minorHAnsi"/>
                <w:lang w:eastAsia="en-GB"/>
              </w:rPr>
            </w:pPr>
            <w:r>
              <w:rPr>
                <w:rFonts w:cstheme="minorHAnsi"/>
                <w:lang w:eastAsia="en-GB"/>
              </w:rPr>
              <w:t>10</w:t>
            </w:r>
          </w:p>
          <w:p w:rsidR="003035FA" w:rsidRDefault="00A51943" w:rsidP="00366607">
            <w:pPr>
              <w:spacing w:before="40" w:after="40" w:line="240" w:lineRule="auto"/>
              <w:rPr>
                <w:rFonts w:cstheme="minorHAnsi"/>
                <w:lang w:eastAsia="en-GB"/>
              </w:rPr>
            </w:pPr>
            <w:r>
              <w:rPr>
                <w:rFonts w:cstheme="minorHAnsi"/>
                <w:lang w:eastAsia="en-GB"/>
              </w:rPr>
              <w:t>8-10</w:t>
            </w:r>
          </w:p>
          <w:p w:rsidR="003035FA" w:rsidRDefault="00A51943" w:rsidP="00366607">
            <w:pPr>
              <w:spacing w:before="40" w:after="40" w:line="240" w:lineRule="auto"/>
              <w:rPr>
                <w:rFonts w:cstheme="minorHAnsi"/>
                <w:lang w:eastAsia="en-GB"/>
              </w:rPr>
            </w:pPr>
            <w:r>
              <w:rPr>
                <w:rFonts w:cstheme="minorHAnsi"/>
                <w:lang w:eastAsia="en-GB"/>
              </w:rPr>
              <w:t>7-10</w:t>
            </w:r>
          </w:p>
          <w:p w:rsidR="003035FA" w:rsidRDefault="003035FA" w:rsidP="00366607">
            <w:pPr>
              <w:spacing w:before="40" w:after="40" w:line="240" w:lineRule="auto"/>
              <w:rPr>
                <w:rFonts w:cstheme="minorHAnsi"/>
                <w:lang w:eastAsia="en-GB"/>
              </w:rPr>
            </w:pPr>
            <w:r>
              <w:rPr>
                <w:rFonts w:cstheme="minorHAnsi"/>
                <w:lang w:eastAsia="en-GB"/>
              </w:rPr>
              <w:t>5-10</w:t>
            </w:r>
          </w:p>
          <w:p w:rsidR="003035FA" w:rsidRDefault="003035FA" w:rsidP="00366607">
            <w:pPr>
              <w:spacing w:before="40" w:after="40" w:line="240" w:lineRule="auto"/>
              <w:rPr>
                <w:rFonts w:cstheme="minorHAnsi"/>
                <w:lang w:eastAsia="en-GB"/>
              </w:rPr>
            </w:pPr>
            <w:r>
              <w:rPr>
                <w:rFonts w:cstheme="minorHAnsi"/>
                <w:lang w:eastAsia="en-GB"/>
              </w:rPr>
              <w:t>4-8</w:t>
            </w:r>
          </w:p>
          <w:p w:rsidR="003035FA" w:rsidRDefault="003035FA" w:rsidP="00366607">
            <w:pPr>
              <w:spacing w:before="40" w:after="40" w:line="240" w:lineRule="auto"/>
              <w:rPr>
                <w:rFonts w:cstheme="minorHAnsi"/>
                <w:lang w:eastAsia="en-GB"/>
              </w:rPr>
            </w:pPr>
            <w:r>
              <w:rPr>
                <w:rFonts w:cstheme="minorHAnsi"/>
                <w:lang w:eastAsia="en-GB"/>
              </w:rPr>
              <w:t>4-6</w:t>
            </w:r>
          </w:p>
          <w:p w:rsidR="003035FA" w:rsidRPr="00C038DE" w:rsidRDefault="003035FA" w:rsidP="00366607">
            <w:pPr>
              <w:spacing w:before="40" w:after="40" w:line="240" w:lineRule="auto"/>
              <w:rPr>
                <w:rFonts w:cstheme="minorHAnsi"/>
                <w:lang w:eastAsia="en-GB"/>
              </w:rPr>
            </w:pPr>
            <w:r>
              <w:rPr>
                <w:rFonts w:cstheme="minorHAnsi"/>
                <w:lang w:eastAsia="en-GB"/>
              </w:rPr>
              <w:t>3-5</w:t>
            </w:r>
          </w:p>
        </w:tc>
        <w:tc>
          <w:tcPr>
            <w:tcW w:w="1843" w:type="dxa"/>
          </w:tcPr>
          <w:p w:rsidR="003035FA" w:rsidRDefault="00A51943" w:rsidP="00366607">
            <w:pPr>
              <w:spacing w:before="40" w:after="40" w:line="240" w:lineRule="auto"/>
              <w:rPr>
                <w:rFonts w:cstheme="minorHAnsi"/>
                <w:lang w:eastAsia="en-GB"/>
              </w:rPr>
            </w:pPr>
            <w:r>
              <w:rPr>
                <w:rFonts w:cstheme="minorHAnsi"/>
                <w:lang w:eastAsia="en-GB"/>
              </w:rPr>
              <w:t>100</w:t>
            </w:r>
            <w:r w:rsidR="00113F11">
              <w:rPr>
                <w:rFonts w:cstheme="minorHAnsi"/>
                <w:lang w:eastAsia="en-GB"/>
              </w:rPr>
              <w:t xml:space="preserve"> *</w:t>
            </w:r>
          </w:p>
          <w:p w:rsidR="00A51943" w:rsidRDefault="00A51943" w:rsidP="00366607">
            <w:pPr>
              <w:spacing w:before="40" w:after="40" w:line="240" w:lineRule="auto"/>
              <w:rPr>
                <w:rFonts w:cstheme="minorHAnsi"/>
                <w:lang w:eastAsia="en-GB"/>
              </w:rPr>
            </w:pPr>
            <w:r>
              <w:rPr>
                <w:rFonts w:cstheme="minorHAnsi"/>
                <w:lang w:eastAsia="en-GB"/>
              </w:rPr>
              <w:t>100-125</w:t>
            </w:r>
            <w:r w:rsidR="00113F11">
              <w:rPr>
                <w:rFonts w:cstheme="minorHAnsi"/>
                <w:lang w:eastAsia="en-GB"/>
              </w:rPr>
              <w:t xml:space="preserve"> *</w:t>
            </w:r>
          </w:p>
          <w:p w:rsidR="00A51943" w:rsidRDefault="00A51943" w:rsidP="00366607">
            <w:pPr>
              <w:spacing w:before="40" w:after="40" w:line="240" w:lineRule="auto"/>
              <w:rPr>
                <w:rFonts w:cstheme="minorHAnsi"/>
                <w:lang w:eastAsia="en-GB"/>
              </w:rPr>
            </w:pPr>
            <w:r>
              <w:rPr>
                <w:rFonts w:cstheme="minorHAnsi"/>
                <w:lang w:eastAsia="en-GB"/>
              </w:rPr>
              <w:t>105-150</w:t>
            </w:r>
            <w:r w:rsidR="00113F11">
              <w:rPr>
                <w:rFonts w:cstheme="minorHAnsi"/>
                <w:lang w:eastAsia="en-GB"/>
              </w:rPr>
              <w:t xml:space="preserve"> *</w:t>
            </w:r>
          </w:p>
          <w:p w:rsidR="00A51943" w:rsidRDefault="00A51943" w:rsidP="00366607">
            <w:pPr>
              <w:spacing w:before="40" w:after="40" w:line="240" w:lineRule="auto"/>
              <w:rPr>
                <w:rFonts w:cstheme="minorHAnsi"/>
                <w:lang w:eastAsia="en-GB"/>
              </w:rPr>
            </w:pPr>
            <w:r>
              <w:rPr>
                <w:rFonts w:cstheme="minorHAnsi"/>
                <w:lang w:eastAsia="en-GB"/>
              </w:rPr>
              <w:t>100-200</w:t>
            </w:r>
          </w:p>
          <w:p w:rsidR="00A51943" w:rsidRDefault="00A51943" w:rsidP="00366607">
            <w:pPr>
              <w:spacing w:before="40" w:after="40" w:line="240" w:lineRule="auto"/>
              <w:rPr>
                <w:rFonts w:cstheme="minorHAnsi"/>
                <w:lang w:eastAsia="en-GB"/>
              </w:rPr>
            </w:pPr>
            <w:r>
              <w:rPr>
                <w:rFonts w:cstheme="minorHAnsi"/>
                <w:lang w:eastAsia="en-GB"/>
              </w:rPr>
              <w:t>100-200</w:t>
            </w:r>
          </w:p>
          <w:p w:rsidR="00A51943" w:rsidRDefault="00A51943" w:rsidP="00366607">
            <w:pPr>
              <w:spacing w:before="40" w:after="40" w:line="240" w:lineRule="auto"/>
              <w:rPr>
                <w:rFonts w:cstheme="minorHAnsi"/>
                <w:lang w:eastAsia="en-GB"/>
              </w:rPr>
            </w:pPr>
            <w:r>
              <w:rPr>
                <w:rFonts w:cstheme="minorHAnsi"/>
                <w:lang w:eastAsia="en-GB"/>
              </w:rPr>
              <w:t>120-200</w:t>
            </w:r>
          </w:p>
          <w:p w:rsidR="00A51943" w:rsidRDefault="00A51943" w:rsidP="00366607">
            <w:pPr>
              <w:spacing w:before="40" w:after="40" w:line="240" w:lineRule="auto"/>
              <w:rPr>
                <w:rFonts w:cstheme="minorHAnsi"/>
                <w:lang w:eastAsia="en-GB"/>
              </w:rPr>
            </w:pPr>
            <w:r>
              <w:rPr>
                <w:rFonts w:cstheme="minorHAnsi"/>
                <w:lang w:eastAsia="en-GB"/>
              </w:rPr>
              <w:t>120-200</w:t>
            </w:r>
          </w:p>
        </w:tc>
      </w:tr>
    </w:tbl>
    <w:p w:rsidR="003035FA" w:rsidRPr="00432AF0" w:rsidRDefault="00113F11" w:rsidP="00314746">
      <w:pPr>
        <w:keepNext/>
        <w:keepLines/>
        <w:tabs>
          <w:tab w:val="num" w:pos="851"/>
        </w:tabs>
        <w:spacing w:after="255"/>
        <w:outlineLvl w:val="2"/>
        <w:rPr>
          <w:rFonts w:cstheme="minorHAnsi"/>
          <w:bCs/>
          <w:lang w:eastAsia="en-GB"/>
        </w:rPr>
      </w:pPr>
      <w:r>
        <w:rPr>
          <w:rFonts w:cstheme="minorHAnsi"/>
          <w:bCs/>
          <w:lang w:eastAsia="en-GB"/>
        </w:rPr>
        <w:lastRenderedPageBreak/>
        <w:t xml:space="preserve">* These sachets sizes cannot be authorised, as the maximum dosage </w:t>
      </w:r>
      <w:r w:rsidR="00E37C4A">
        <w:rPr>
          <w:rFonts w:cstheme="minorHAnsi"/>
          <w:bCs/>
          <w:lang w:eastAsia="en-GB"/>
        </w:rPr>
        <w:t xml:space="preserve">to control rats </w:t>
      </w:r>
      <w:r>
        <w:rPr>
          <w:rFonts w:cstheme="minorHAnsi"/>
          <w:bCs/>
          <w:lang w:eastAsia="en-GB"/>
        </w:rPr>
        <w:t>cannot be reached,</w:t>
      </w:r>
    </w:p>
    <w:p w:rsidR="00A22BF3" w:rsidRPr="00C038DE" w:rsidRDefault="00A22BF3" w:rsidP="00A22BF3">
      <w:pPr>
        <w:keepNext/>
        <w:keepLines/>
        <w:tabs>
          <w:tab w:val="num" w:pos="851"/>
        </w:tabs>
        <w:spacing w:after="255"/>
        <w:outlineLvl w:val="2"/>
        <w:rPr>
          <w:rFonts w:cstheme="minorHAnsi"/>
          <w:b/>
          <w:bCs/>
          <w:lang w:eastAsia="en-GB"/>
        </w:rPr>
      </w:pPr>
      <w:r w:rsidRPr="00C038DE">
        <w:rPr>
          <w:rFonts w:cstheme="minorHAnsi"/>
          <w:b/>
          <w:bCs/>
          <w:lang w:eastAsia="en-GB"/>
        </w:rPr>
        <w:t>Overall assessment of the risk to professionals - active substance in biocidal products</w:t>
      </w:r>
      <w:bookmarkEnd w:id="658"/>
      <w:bookmarkEnd w:id="659"/>
      <w:bookmarkEnd w:id="660"/>
      <w:bookmarkEnd w:id="661"/>
      <w:bookmarkEnd w:id="662"/>
      <w:bookmarkEnd w:id="663"/>
    </w:p>
    <w:p w:rsidR="00A33C93" w:rsidRDefault="00A22BF3" w:rsidP="00A33C93">
      <w:pPr>
        <w:rPr>
          <w:szCs w:val="22"/>
        </w:rPr>
      </w:pPr>
      <w:r w:rsidRPr="00C038DE">
        <w:rPr>
          <w:rFonts w:cstheme="minorHAnsi"/>
          <w:lang w:eastAsia="en-GB"/>
        </w:rPr>
        <w:t xml:space="preserve">The acute and chronic risk to professional workers handling ‘MAKI PAT’ containing bromadiolone for the control of rats and mice is considered to be acceptable </w:t>
      </w:r>
      <w:r w:rsidR="00E60F6C">
        <w:rPr>
          <w:rFonts w:cstheme="minorHAnsi"/>
          <w:lang w:eastAsia="en-GB"/>
        </w:rPr>
        <w:t>with the use of gloves and the maximum number of sachets per bait point is not allowed to be more than 10</w:t>
      </w:r>
      <w:r w:rsidRPr="00C038DE">
        <w:rPr>
          <w:rFonts w:cstheme="minorHAnsi"/>
          <w:lang w:eastAsia="en-GB"/>
        </w:rPr>
        <w:t>.</w:t>
      </w:r>
      <w:r w:rsidR="00A33C93">
        <w:rPr>
          <w:rFonts w:cstheme="minorHAnsi"/>
          <w:lang w:eastAsia="en-GB"/>
        </w:rPr>
        <w:t xml:space="preserve"> </w:t>
      </w:r>
      <w:r w:rsidR="00A33C93">
        <w:rPr>
          <w:szCs w:val="22"/>
        </w:rPr>
        <w:t xml:space="preserve">The uses for mice and rats have been split due as the smaller sachet sizes are only safely applicable for mice. </w:t>
      </w:r>
    </w:p>
    <w:p w:rsidR="00A22BF3" w:rsidRPr="00C038DE" w:rsidRDefault="00A22BF3" w:rsidP="00A22BF3">
      <w:pPr>
        <w:keepNext/>
        <w:keepLines/>
        <w:spacing w:after="240"/>
        <w:ind w:right="78"/>
        <w:jc w:val="both"/>
        <w:rPr>
          <w:rFonts w:cstheme="minorHAnsi"/>
          <w:lang w:eastAsia="en-GB"/>
        </w:rPr>
      </w:pPr>
    </w:p>
    <w:p w:rsidR="00A22BF3" w:rsidRPr="00C038DE" w:rsidRDefault="00A22BF3" w:rsidP="00FE51AC"/>
    <w:p w:rsidR="00646AB4" w:rsidRPr="004061A6" w:rsidRDefault="00646AB4" w:rsidP="00DE5656">
      <w:pPr>
        <w:pStyle w:val="Kop4"/>
      </w:pPr>
      <w:r w:rsidRPr="004061A6">
        <w:t>Risk for the general public</w:t>
      </w:r>
    </w:p>
    <w:p w:rsidR="00FE51AC" w:rsidRDefault="002632F5" w:rsidP="00FE51AC">
      <w:r w:rsidRPr="004061A6">
        <w:t>The use</w:t>
      </w:r>
      <w:r w:rsidR="00253EEE">
        <w:t xml:space="preserve"> by the general public (</w:t>
      </w:r>
      <w:r w:rsidR="00DA5BAE">
        <w:t>non-professionals</w:t>
      </w:r>
      <w:r w:rsidR="00253EEE">
        <w:t>)</w:t>
      </w:r>
      <w:r w:rsidRPr="004061A6">
        <w:t xml:space="preserve"> is not supported at renewal.</w:t>
      </w:r>
    </w:p>
    <w:p w:rsidR="00253EEE" w:rsidRDefault="00253EEE" w:rsidP="00FE51AC"/>
    <w:p w:rsidR="00253EEE" w:rsidRPr="00C038DE" w:rsidRDefault="00253EEE" w:rsidP="00253EEE">
      <w:r w:rsidRPr="004061A6">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253EEE" w:rsidRDefault="00253EEE" w:rsidP="00253EEE">
      <w:pPr>
        <w:spacing w:after="240" w:line="260" w:lineRule="atLeast"/>
        <w:ind w:right="-188"/>
        <w:jc w:val="both"/>
      </w:pPr>
      <w:r w:rsidRPr="00C038DE">
        <w:t xml:space="preserve">Accordingly, the </w:t>
      </w:r>
      <w:r w:rsidRPr="00C038DE">
        <w:rPr>
          <w:u w:val="single"/>
        </w:rPr>
        <w:t>conclusion</w:t>
      </w:r>
      <w:r w:rsidRPr="00C038DE">
        <w:t xml:space="preserve"> from the former assessment regarding risks for consumers via </w:t>
      </w:r>
      <w:r w:rsidR="0031165E" w:rsidRPr="00FE51AC">
        <w:t xml:space="preserve">for </w:t>
      </w:r>
      <w:r w:rsidR="0031165E">
        <w:t>the general public</w:t>
      </w:r>
      <w:r w:rsidR="0031165E" w:rsidRPr="00FE51AC">
        <w:t xml:space="preserve"> </w:t>
      </w:r>
      <w:r w:rsidR="0031165E">
        <w:t>via indirect contact</w:t>
      </w:r>
      <w:r w:rsidRPr="00C038DE">
        <w:t xml:space="preserve"> </w:t>
      </w:r>
      <w:r w:rsidRPr="00C038DE">
        <w:rPr>
          <w:u w:val="single"/>
        </w:rPr>
        <w:t>remain valid</w:t>
      </w:r>
      <w:r w:rsidR="0031165E">
        <w:t>.</w:t>
      </w:r>
    </w:p>
    <w:p w:rsidR="0031165E" w:rsidRPr="0031165E" w:rsidRDefault="0031165E" w:rsidP="0031165E">
      <w:pPr>
        <w:rPr>
          <w:rFonts w:cs="Arial"/>
          <w:szCs w:val="24"/>
          <w:lang w:eastAsia="en-GB"/>
        </w:rPr>
      </w:pPr>
      <w:r w:rsidRPr="0031165E">
        <w:rPr>
          <w:rFonts w:cs="Arial"/>
          <w:szCs w:val="24"/>
          <w:lang w:eastAsia="en-GB"/>
        </w:rPr>
        <w:t>Based on the former assessment the following risk mitigations are included:</w:t>
      </w:r>
    </w:p>
    <w:p w:rsidR="0031165E" w:rsidRPr="0031165E" w:rsidRDefault="0031165E" w:rsidP="0031165E">
      <w:pPr>
        <w:rPr>
          <w:rFonts w:cs="Arial"/>
          <w:szCs w:val="24"/>
          <w:lang w:eastAsia="en-GB"/>
        </w:rPr>
      </w:pPr>
      <w:r w:rsidRPr="00331BEC">
        <w:rPr>
          <w:rFonts w:cs="Arial"/>
          <w:szCs w:val="24"/>
          <w:lang w:eastAsia="en-GB"/>
        </w:rPr>
        <w:t>-</w:t>
      </w:r>
      <w:r w:rsidRPr="0031165E">
        <w:rPr>
          <w:rFonts w:cs="Arial"/>
          <w:szCs w:val="24"/>
          <w:lang w:eastAsia="en-GB"/>
        </w:rPr>
        <w:t xml:space="preserve"> Bait should be secured so that it cannot be dragged away from the bait station.</w:t>
      </w:r>
    </w:p>
    <w:p w:rsidR="0031165E" w:rsidRDefault="0031165E" w:rsidP="0031165E">
      <w:pPr>
        <w:spacing w:before="100" w:beforeAutospacing="1" w:after="100" w:afterAutospacing="1" w:line="240" w:lineRule="auto"/>
        <w:rPr>
          <w:rFonts w:cs="Arial"/>
          <w:szCs w:val="24"/>
          <w:lang w:eastAsia="en-GB"/>
        </w:rPr>
      </w:pPr>
      <w:r w:rsidRPr="00331BEC">
        <w:rPr>
          <w:rFonts w:cs="Arial"/>
          <w:szCs w:val="24"/>
          <w:lang w:eastAsia="en-GB"/>
        </w:rPr>
        <w:t xml:space="preserve">- Place the product out of the reach of children, birds, pets and farm animals and other non-target animals. </w:t>
      </w:r>
    </w:p>
    <w:p w:rsidR="0031165E" w:rsidRDefault="0031165E" w:rsidP="0031165E">
      <w:pPr>
        <w:spacing w:before="100" w:beforeAutospacing="1" w:after="100" w:afterAutospacing="1" w:line="240" w:lineRule="auto"/>
        <w:rPr>
          <w:rFonts w:cs="Arial"/>
          <w:szCs w:val="24"/>
          <w:lang w:eastAsia="en-GB"/>
        </w:rPr>
      </w:pPr>
      <w:r>
        <w:rPr>
          <w:rFonts w:cs="Arial"/>
          <w:szCs w:val="24"/>
          <w:lang w:eastAsia="en-GB"/>
        </w:rPr>
        <w:t xml:space="preserve">- </w:t>
      </w:r>
      <w:r w:rsidRPr="00D57FDF">
        <w:rPr>
          <w:rFonts w:cs="Arial"/>
          <w:szCs w:val="24"/>
          <w:lang w:eastAsia="en-GB"/>
        </w:rPr>
        <w:t>Where possible, prior to the</w:t>
      </w:r>
      <w:r>
        <w:rPr>
          <w:rFonts w:cs="Arial"/>
          <w:szCs w:val="24"/>
          <w:lang w:eastAsia="en-GB"/>
        </w:rPr>
        <w:t xml:space="preserve"> </w:t>
      </w:r>
      <w:r w:rsidRPr="00D57FDF">
        <w:rPr>
          <w:rFonts w:cs="Arial"/>
          <w:szCs w:val="24"/>
          <w:lang w:eastAsia="en-GB"/>
        </w:rPr>
        <w:t>treatment inform any possible bystanders (e.g. users of the treated area and their surroundings) about the rodent control campaign.</w:t>
      </w:r>
    </w:p>
    <w:p w:rsidR="0031165E" w:rsidRDefault="0031165E" w:rsidP="0031165E">
      <w:pPr>
        <w:spacing w:before="100" w:beforeAutospacing="1" w:after="100" w:afterAutospacing="1" w:line="240" w:lineRule="auto"/>
        <w:rPr>
          <w:rFonts w:cs="Arial"/>
          <w:szCs w:val="24"/>
          <w:lang w:eastAsia="en-GB"/>
        </w:rPr>
      </w:pPr>
      <w:r>
        <w:rPr>
          <w:rFonts w:cs="Arial"/>
          <w:szCs w:val="24"/>
          <w:lang w:eastAsia="en-GB"/>
        </w:rPr>
        <w:t xml:space="preserve">- </w:t>
      </w:r>
      <w:r w:rsidRPr="00D57FDF">
        <w:rPr>
          <w:rFonts w:cs="Arial"/>
          <w:szCs w:val="24"/>
          <w:lang w:eastAsia="en-GB"/>
        </w:rPr>
        <w:t>Store in places</w:t>
      </w:r>
      <w:r>
        <w:rPr>
          <w:rFonts w:cs="Arial"/>
          <w:szCs w:val="24"/>
          <w:lang w:eastAsia="en-GB"/>
        </w:rPr>
        <w:t xml:space="preserve"> </w:t>
      </w:r>
      <w:r w:rsidRPr="00D57FDF">
        <w:rPr>
          <w:rFonts w:cs="Arial"/>
          <w:szCs w:val="24"/>
          <w:lang w:eastAsia="en-GB"/>
        </w:rPr>
        <w:t>prevented from the access of children, birds, pets and farm animals.</w:t>
      </w:r>
    </w:p>
    <w:p w:rsidR="0031165E" w:rsidRPr="0031165E" w:rsidRDefault="0031165E" w:rsidP="00A4369F">
      <w:pPr>
        <w:spacing w:after="240" w:line="240" w:lineRule="auto"/>
      </w:pPr>
    </w:p>
    <w:p w:rsidR="00646AB4" w:rsidRPr="004061A6" w:rsidRDefault="00646AB4" w:rsidP="00DE5656">
      <w:pPr>
        <w:pStyle w:val="Kop4"/>
      </w:pPr>
      <w:r w:rsidRPr="004061A6">
        <w:t>Risk for consumers via residues in food</w:t>
      </w:r>
    </w:p>
    <w:p w:rsidR="00FE51AC" w:rsidRPr="00C038DE" w:rsidRDefault="00FE51AC" w:rsidP="00FE51AC">
      <w:r w:rsidRPr="004061A6">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253EEE" w:rsidRDefault="00FE51AC" w:rsidP="00FE51AC">
      <w:r w:rsidRPr="00C038DE">
        <w:t xml:space="preserve">Accordingly, the </w:t>
      </w:r>
      <w:r w:rsidRPr="00C038DE">
        <w:rPr>
          <w:u w:val="single"/>
        </w:rPr>
        <w:t>conclusion</w:t>
      </w:r>
      <w:r w:rsidRPr="00C038DE">
        <w:t xml:space="preserve"> from the former assessment regarding risks for consumers via residues in food </w:t>
      </w:r>
      <w:r w:rsidRPr="00C038DE">
        <w:rPr>
          <w:u w:val="single"/>
        </w:rPr>
        <w:t>remain valid</w:t>
      </w:r>
      <w:r w:rsidR="00253EEE">
        <w:t>:</w:t>
      </w:r>
    </w:p>
    <w:p w:rsidR="00253EEE" w:rsidRDefault="00253EEE" w:rsidP="00FE51AC"/>
    <w:p w:rsidR="0031165E" w:rsidRDefault="0031165E" w:rsidP="0031165E">
      <w:r>
        <w:t>Based on the former assessment the following risk mitigations are included:</w:t>
      </w:r>
    </w:p>
    <w:p w:rsidR="0031165E" w:rsidRPr="00331BEC" w:rsidRDefault="0031165E" w:rsidP="0031165E">
      <w:pPr>
        <w:spacing w:before="100" w:beforeAutospacing="1" w:after="100" w:afterAutospacing="1" w:line="240" w:lineRule="auto"/>
        <w:rPr>
          <w:rFonts w:cs="Arial"/>
          <w:szCs w:val="24"/>
          <w:lang w:eastAsia="en-GB"/>
        </w:rPr>
      </w:pPr>
      <w:r w:rsidRPr="00331BEC">
        <w:rPr>
          <w:rFonts w:cs="Arial"/>
          <w:szCs w:val="24"/>
          <w:lang w:eastAsia="en-GB"/>
        </w:rPr>
        <w:t>- Place the product away from food, drink and animal feeding stuffs, as well as from utensils or surfaces that have contact with these.</w:t>
      </w:r>
    </w:p>
    <w:p w:rsidR="0031165E" w:rsidRPr="009A3B57" w:rsidRDefault="0031165E" w:rsidP="0031165E">
      <w:pPr>
        <w:spacing w:before="100" w:beforeAutospacing="1" w:after="100" w:afterAutospacing="1" w:line="240" w:lineRule="auto"/>
        <w:rPr>
          <w:rFonts w:cs="Arial"/>
          <w:szCs w:val="24"/>
          <w:lang w:eastAsia="en-GB"/>
        </w:rPr>
      </w:pPr>
      <w:r w:rsidRPr="00FD3176">
        <w:rPr>
          <w:rFonts w:cs="Arial"/>
          <w:iCs/>
          <w:szCs w:val="24"/>
          <w:lang w:eastAsia="en-GB"/>
        </w:rPr>
        <w:lastRenderedPageBreak/>
        <w:t xml:space="preserve">- When using the product do not eat, drink or smoke. Wash hands and directly exposed skin after using the product. </w:t>
      </w:r>
    </w:p>
    <w:p w:rsidR="00FE51AC" w:rsidRPr="00C038DE" w:rsidRDefault="00FE51AC" w:rsidP="00FE51AC">
      <w:pPr>
        <w:pStyle w:val="Absatz"/>
        <w:ind w:left="0"/>
      </w:pPr>
    </w:p>
    <w:p w:rsidR="00154893" w:rsidRPr="00154893" w:rsidRDefault="00646AB4" w:rsidP="00DE5656">
      <w:pPr>
        <w:pStyle w:val="Kop4"/>
      </w:pPr>
      <w:r w:rsidRPr="00C038DE">
        <w:t>Risk characterisation from combined exposure to several active substances or substances of concern within a biocidal product</w:t>
      </w:r>
      <w:r w:rsidR="00154893" w:rsidRPr="00154893">
        <w:rPr>
          <w:rFonts w:cstheme="minorHAnsi"/>
          <w:lang w:eastAsia="en-GB"/>
        </w:rPr>
        <w:t xml:space="preserve"> </w:t>
      </w:r>
    </w:p>
    <w:p w:rsidR="00646AB4" w:rsidRPr="00154893" w:rsidRDefault="00154893" w:rsidP="00154893">
      <w:pPr>
        <w:keepNext/>
        <w:keepLines/>
        <w:spacing w:after="240"/>
        <w:ind w:right="78"/>
        <w:jc w:val="both"/>
        <w:rPr>
          <w:rFonts w:cstheme="minorHAnsi"/>
          <w:lang w:eastAsia="en-GB"/>
        </w:rPr>
      </w:pPr>
      <w:r>
        <w:rPr>
          <w:rFonts w:cstheme="minorHAnsi"/>
          <w:lang w:eastAsia="en-GB"/>
        </w:rPr>
        <w:t>Not considered relevant for MAKI PAT’  since the product is a ready-to-use bait with only one active substance and does not contain any substance of concern.</w:t>
      </w:r>
    </w:p>
    <w:p w:rsidR="00646AB4" w:rsidRPr="00C038DE" w:rsidRDefault="00646AB4" w:rsidP="00DE5656">
      <w:pPr>
        <w:pStyle w:val="Kop4"/>
      </w:pPr>
      <w:r w:rsidRPr="00C038DE">
        <w:t>Summary of risk characterisation</w:t>
      </w:r>
    </w:p>
    <w:p w:rsidR="00A22BF3" w:rsidRPr="00C038DE" w:rsidRDefault="00A22BF3" w:rsidP="00A22BF3">
      <w:pPr>
        <w:keepNext/>
        <w:keepLines/>
        <w:spacing w:after="240"/>
        <w:ind w:right="78"/>
        <w:jc w:val="both"/>
        <w:rPr>
          <w:rFonts w:cstheme="minorHAnsi"/>
          <w:lang w:eastAsia="en-GB"/>
        </w:rPr>
      </w:pPr>
      <w:r w:rsidRPr="00C038DE">
        <w:rPr>
          <w:rFonts w:cstheme="minorHAnsi"/>
          <w:lang w:eastAsia="en-GB"/>
        </w:rPr>
        <w:t xml:space="preserve">The acute and chronic risk to professional workers handling ‘MAKI PAT’ containing bromadiolone for the control of rats and mice is considered to be acceptable </w:t>
      </w:r>
      <w:r w:rsidR="00314746">
        <w:rPr>
          <w:rFonts w:cstheme="minorHAnsi"/>
          <w:lang w:eastAsia="en-GB"/>
        </w:rPr>
        <w:t>for the protected (gloves) (trained) professional</w:t>
      </w:r>
      <w:r w:rsidRPr="00C038DE">
        <w:rPr>
          <w:rFonts w:cstheme="minorHAnsi"/>
          <w:lang w:eastAsia="en-GB"/>
        </w:rPr>
        <w:t>.</w:t>
      </w:r>
      <w:r w:rsidR="00253EEE">
        <w:rPr>
          <w:rFonts w:cstheme="minorHAnsi"/>
          <w:lang w:eastAsia="en-GB"/>
        </w:rPr>
        <w:t xml:space="preserve"> </w:t>
      </w:r>
      <w:r w:rsidR="00113F11">
        <w:rPr>
          <w:rFonts w:cstheme="minorHAnsi"/>
          <w:lang w:eastAsia="en-GB"/>
        </w:rPr>
        <w:t>Based on a risk above 10</w:t>
      </w:r>
      <w:r w:rsidR="00E60F6C" w:rsidRPr="00E60F6C">
        <w:rPr>
          <w:rFonts w:cstheme="minorHAnsi"/>
          <w:lang w:eastAsia="en-GB"/>
        </w:rPr>
        <w:t xml:space="preserve"> sachets per bait point</w:t>
      </w:r>
      <w:r w:rsidR="00113F11">
        <w:rPr>
          <w:rFonts w:cstheme="minorHAnsi"/>
          <w:lang w:eastAsia="en-GB"/>
        </w:rPr>
        <w:t>, the sachets sizes for rats are restricted to 20-40g</w:t>
      </w:r>
      <w:r w:rsidR="00E60F6C" w:rsidRPr="00E60F6C">
        <w:rPr>
          <w:rFonts w:cstheme="minorHAnsi"/>
          <w:lang w:eastAsia="en-GB"/>
        </w:rPr>
        <w:t>.</w:t>
      </w:r>
      <w:r w:rsidR="00113F11">
        <w:rPr>
          <w:rFonts w:cstheme="minorHAnsi"/>
          <w:lang w:eastAsia="en-GB"/>
        </w:rPr>
        <w:t xml:space="preserve"> </w:t>
      </w:r>
      <w:r w:rsidR="00253EEE">
        <w:rPr>
          <w:rFonts w:cstheme="minorHAnsi"/>
          <w:lang w:eastAsia="en-GB"/>
        </w:rPr>
        <w:t xml:space="preserve">The conclusion for secondary exposure, as well as the </w:t>
      </w:r>
      <w:r w:rsidR="005C4B0F">
        <w:rPr>
          <w:rFonts w:cstheme="minorHAnsi"/>
          <w:lang w:eastAsia="en-GB"/>
        </w:rPr>
        <w:t xml:space="preserve">required </w:t>
      </w:r>
      <w:r w:rsidR="00253EEE">
        <w:rPr>
          <w:rFonts w:cstheme="minorHAnsi"/>
          <w:lang w:eastAsia="en-GB"/>
        </w:rPr>
        <w:t>RMMs remain unchanged.</w:t>
      </w:r>
    </w:p>
    <w:p w:rsidR="00646AB4" w:rsidRPr="00C038DE" w:rsidRDefault="00646AB4" w:rsidP="00646AB4">
      <w:pPr>
        <w:pStyle w:val="Kop2"/>
        <w:numPr>
          <w:ilvl w:val="1"/>
          <w:numId w:val="4"/>
        </w:numPr>
        <w:spacing w:after="280"/>
        <w:jc w:val="both"/>
      </w:pPr>
      <w:bookmarkStart w:id="664" w:name="_Toc500491650"/>
      <w:r w:rsidRPr="00C038DE">
        <w:t>Risk assessment for animal health</w:t>
      </w:r>
      <w:bookmarkEnd w:id="664"/>
    </w:p>
    <w:p w:rsidR="00C11A1D" w:rsidRPr="00C038DE" w:rsidRDefault="00C11A1D" w:rsidP="00C11A1D">
      <w:r w:rsidRPr="00C038DE">
        <w:rPr>
          <w:u w:val="single"/>
        </w:rPr>
        <w:t>Neither new data</w:t>
      </w:r>
      <w:r w:rsidRPr="00C038DE">
        <w:t xml:space="preserve"> was provided </w:t>
      </w:r>
      <w:r w:rsidRPr="00C038DE">
        <w:rPr>
          <w:u w:val="single"/>
        </w:rPr>
        <w:t>nor</w:t>
      </w:r>
      <w:r w:rsidRPr="00C038DE">
        <w:t xml:space="preserve"> had </w:t>
      </w:r>
      <w:r w:rsidRPr="00C038DE">
        <w:rPr>
          <w:u w:val="single"/>
        </w:rPr>
        <w:t>new guidance</w:t>
      </w:r>
      <w:r w:rsidRPr="00C038DE">
        <w:t xml:space="preserve"> to be taken into account for re-assessment.</w:t>
      </w:r>
    </w:p>
    <w:p w:rsidR="00C11A1D" w:rsidRPr="00C038DE" w:rsidRDefault="00C11A1D" w:rsidP="00C11A1D">
      <w:r w:rsidRPr="00C038DE">
        <w:t xml:space="preserve">Accordingly, the </w:t>
      </w:r>
      <w:r w:rsidRPr="00C038DE">
        <w:rPr>
          <w:u w:val="single"/>
        </w:rPr>
        <w:t>conclusion</w:t>
      </w:r>
      <w:r w:rsidRPr="00C038DE">
        <w:t xml:space="preserve"> from the former assessment regarding animal health </w:t>
      </w:r>
      <w:r w:rsidRPr="00C038DE">
        <w:rPr>
          <w:u w:val="single"/>
        </w:rPr>
        <w:t>remains valid</w:t>
      </w:r>
      <w:r w:rsidRPr="00C038DE">
        <w:t>.</w:t>
      </w:r>
    </w:p>
    <w:p w:rsidR="00C11A1D" w:rsidRPr="00C038DE" w:rsidRDefault="00C11A1D" w:rsidP="00C11A1D"/>
    <w:p w:rsidR="00646AB4" w:rsidRPr="00C038DE" w:rsidRDefault="00646AB4" w:rsidP="00646AB4">
      <w:pPr>
        <w:pStyle w:val="Kop2"/>
        <w:numPr>
          <w:ilvl w:val="1"/>
          <w:numId w:val="4"/>
        </w:numPr>
        <w:spacing w:after="280"/>
        <w:jc w:val="both"/>
      </w:pPr>
      <w:bookmarkStart w:id="665" w:name="_Ref453677641"/>
      <w:bookmarkStart w:id="666" w:name="_Toc500491651"/>
      <w:r w:rsidRPr="00C038DE">
        <w:t>Risk assessment for the environment</w:t>
      </w:r>
      <w:bookmarkEnd w:id="665"/>
      <w:bookmarkEnd w:id="666"/>
    </w:p>
    <w:p w:rsidR="00C11A1D" w:rsidRPr="00C038DE" w:rsidRDefault="00C11A1D" w:rsidP="00C11A1D">
      <w:r w:rsidRPr="00C038DE">
        <w:rPr>
          <w:u w:val="single"/>
        </w:rPr>
        <w:t>Neither new data</w:t>
      </w:r>
      <w:r w:rsidRPr="00C038DE">
        <w:t xml:space="preserve"> was provided</w:t>
      </w:r>
      <w:r w:rsidR="00E93932">
        <w:t xml:space="preserve"> for the product renewal</w:t>
      </w:r>
      <w:r w:rsidRPr="00C038DE">
        <w:t xml:space="preserve"> </w:t>
      </w:r>
      <w:r w:rsidRPr="00C038DE">
        <w:rPr>
          <w:u w:val="single"/>
        </w:rPr>
        <w:t>nor</w:t>
      </w:r>
      <w:r w:rsidRPr="00C038DE">
        <w:t xml:space="preserve"> had </w:t>
      </w:r>
      <w:r w:rsidRPr="00C038DE">
        <w:rPr>
          <w:u w:val="single"/>
        </w:rPr>
        <w:t>new guidance</w:t>
      </w:r>
      <w:r w:rsidRPr="00C038DE">
        <w:t xml:space="preserve"> to be taken into account for re-assessment.</w:t>
      </w:r>
    </w:p>
    <w:p w:rsidR="00C11A1D" w:rsidRPr="00C038DE" w:rsidRDefault="00C11A1D" w:rsidP="00C11A1D">
      <w:r w:rsidRPr="00C038DE">
        <w:t xml:space="preserve">Accordingly, the </w:t>
      </w:r>
      <w:r w:rsidRPr="00C038DE">
        <w:rPr>
          <w:u w:val="single"/>
        </w:rPr>
        <w:t>conclusion</w:t>
      </w:r>
      <w:r w:rsidRPr="00C038DE">
        <w:t xml:space="preserve"> from the former assessment regarding the environment </w:t>
      </w:r>
      <w:r w:rsidRPr="00C038DE">
        <w:rPr>
          <w:u w:val="single"/>
        </w:rPr>
        <w:t>remains valid</w:t>
      </w:r>
      <w:r w:rsidRPr="00C038DE">
        <w:t>.</w:t>
      </w:r>
    </w:p>
    <w:p w:rsidR="000E53C3" w:rsidRDefault="00B7120B" w:rsidP="00C11A1D">
      <w:r w:rsidRPr="00B7120B">
        <w:t xml:space="preserve">No new information is available since the original approval </w:t>
      </w:r>
      <w:r>
        <w:t xml:space="preserve">of the active substance </w:t>
      </w:r>
      <w:r w:rsidRPr="00B7120B">
        <w:t>and the conclusions remain the same.</w:t>
      </w:r>
    </w:p>
    <w:p w:rsidR="0041638C" w:rsidRDefault="0041638C" w:rsidP="0041638C"/>
    <w:p w:rsidR="0041638C" w:rsidRPr="00313B6E" w:rsidRDefault="0041638C" w:rsidP="0041638C">
      <w:r w:rsidRPr="00313B6E">
        <w:t>The first authorisation of MAKI PAT’ considered the use of the product as a rodenticide against rats and mice for the following use patterns: in and around buildings (professional and non-professional use), open areas (professional use only) and waste dump perimeters (landfill) (professional use only).</w:t>
      </w:r>
    </w:p>
    <w:p w:rsidR="0041638C" w:rsidRPr="00313B6E" w:rsidRDefault="0041638C" w:rsidP="0041638C">
      <w:r w:rsidRPr="00313B6E">
        <w:t>The renewal of the product concerns authorisation of the use of the product as a rodenticide against rats and mice for the following use patterns: in and around buildings, open areas and waste dumps by (trained) professionals.</w:t>
      </w:r>
    </w:p>
    <w:p w:rsidR="00AC4567" w:rsidRDefault="00AC4567" w:rsidP="00C11A1D"/>
    <w:p w:rsidR="002A3FF3" w:rsidRDefault="007F6432" w:rsidP="002A3FF3">
      <w:r>
        <w:lastRenderedPageBreak/>
        <w:t>T</w:t>
      </w:r>
      <w:r w:rsidR="002A3FF3" w:rsidRPr="00412383">
        <w:t xml:space="preserve">he initial assessment </w:t>
      </w:r>
      <w:r w:rsidR="002A3FF3">
        <w:t>did not include a quantitative</w:t>
      </w:r>
      <w:r w:rsidR="002A3FF3" w:rsidRPr="00412383">
        <w:t xml:space="preserve"> risk assessment for the groundwater.</w:t>
      </w:r>
      <w:r w:rsidR="002A3FF3">
        <w:t xml:space="preserve"> </w:t>
      </w:r>
      <w:r w:rsidR="002A3FF3" w:rsidRPr="002A3FF3">
        <w:t>A groundwater assessment should always be performed for rodenticides, also in cases when only hot spot applications are considered</w:t>
      </w:r>
      <w:r w:rsidR="002A3FF3">
        <w:t xml:space="preserve"> (see ENV 113, TAB version 1.3, August 2017)</w:t>
      </w:r>
    </w:p>
    <w:p w:rsidR="00A4369F" w:rsidRDefault="002A3FF3" w:rsidP="00A4369F">
      <w:pPr>
        <w:rPr>
          <w:rFonts w:cstheme="minorHAnsi"/>
          <w:lang w:eastAsia="en-GB"/>
        </w:rPr>
      </w:pPr>
      <w:r>
        <w:t>The PEC</w:t>
      </w:r>
      <w:r w:rsidRPr="002A3FF3">
        <w:rPr>
          <w:vertAlign w:val="subscript"/>
        </w:rPr>
        <w:t>groundwater</w:t>
      </w:r>
      <w:r>
        <w:t xml:space="preserve"> is calculated according to equation 68, chapter 2.3.8.6, </w:t>
      </w:r>
      <w:r w:rsidR="006038F6" w:rsidRPr="006038F6">
        <w:t xml:space="preserve">Guidance on the Biocidal Product Regulation. Volume IV: Environment - Part B </w:t>
      </w:r>
      <w:r>
        <w:t>(2015) as a first worst-case estimation.</w:t>
      </w:r>
      <w:r w:rsidR="00A4369F">
        <w:t xml:space="preserve"> </w:t>
      </w:r>
      <w:r w:rsidR="00A4369F" w:rsidRPr="00C038DE">
        <w:rPr>
          <w:rFonts w:cstheme="minorHAnsi"/>
          <w:lang w:eastAsia="en-GB"/>
        </w:rPr>
        <w:t>The results are summarised in the table below.</w:t>
      </w:r>
    </w:p>
    <w:p w:rsidR="00A4369F" w:rsidRPr="00C038DE" w:rsidRDefault="00A4369F" w:rsidP="00A4369F">
      <w:pPr>
        <w:rPr>
          <w:rFonts w:cstheme="minorHAnsi"/>
          <w:lang w:eastAsia="en-GB"/>
        </w:rPr>
      </w:pPr>
    </w:p>
    <w:tbl>
      <w:tblPr>
        <w:tblStyle w:val="Tabelraster"/>
        <w:tblW w:w="91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10"/>
        <w:gridCol w:w="2792"/>
        <w:gridCol w:w="2878"/>
      </w:tblGrid>
      <w:tr w:rsidR="00A4369F" w:rsidRPr="00A42191" w:rsidTr="00581806">
        <w:tc>
          <w:tcPr>
            <w:tcW w:w="3510" w:type="dxa"/>
          </w:tcPr>
          <w:p w:rsidR="00A4369F" w:rsidRPr="00A42191" w:rsidRDefault="00A4369F" w:rsidP="00A42191">
            <w:pPr>
              <w:keepNext/>
              <w:keepLines/>
              <w:rPr>
                <w:rFonts w:cs="Arial"/>
                <w:b/>
                <w:color w:val="000000"/>
              </w:rPr>
            </w:pPr>
            <w:r w:rsidRPr="00A42191">
              <w:rPr>
                <w:rFonts w:cs="Arial"/>
                <w:b/>
                <w:color w:val="000000"/>
              </w:rPr>
              <w:t>Application</w:t>
            </w:r>
          </w:p>
        </w:tc>
        <w:tc>
          <w:tcPr>
            <w:tcW w:w="2792" w:type="dxa"/>
          </w:tcPr>
          <w:p w:rsidR="00A4369F" w:rsidRPr="00A42191" w:rsidRDefault="00684755" w:rsidP="00A42191">
            <w:pPr>
              <w:keepNext/>
              <w:keepLines/>
              <w:rPr>
                <w:rFonts w:cs="Arial"/>
                <w:b/>
                <w:color w:val="000000"/>
              </w:rPr>
            </w:pPr>
            <w:r w:rsidRPr="00A42191">
              <w:rPr>
                <w:rFonts w:cs="Arial"/>
                <w:b/>
                <w:color w:val="000000"/>
              </w:rPr>
              <w:t>M</w:t>
            </w:r>
            <w:r w:rsidR="00A4369F" w:rsidRPr="00A42191">
              <w:rPr>
                <w:rFonts w:cs="Arial"/>
                <w:b/>
                <w:color w:val="000000"/>
              </w:rPr>
              <w:t>aximum PECsoil (mg bromadiolone/kg ww)</w:t>
            </w:r>
          </w:p>
        </w:tc>
        <w:tc>
          <w:tcPr>
            <w:tcW w:w="2878" w:type="dxa"/>
          </w:tcPr>
          <w:p w:rsidR="00A4369F" w:rsidRPr="00A42191" w:rsidRDefault="00A4369F" w:rsidP="00A42191">
            <w:pPr>
              <w:keepNext/>
              <w:keepLines/>
              <w:rPr>
                <w:rFonts w:cs="Arial"/>
                <w:b/>
                <w:color w:val="000000"/>
              </w:rPr>
            </w:pPr>
            <w:r w:rsidRPr="00A42191">
              <w:rPr>
                <w:rFonts w:cs="Arial"/>
                <w:b/>
                <w:color w:val="000000"/>
              </w:rPr>
              <w:t>PECgroundwater (µg/L)</w:t>
            </w:r>
          </w:p>
        </w:tc>
      </w:tr>
      <w:tr w:rsidR="00A4369F" w:rsidRPr="00A42191" w:rsidTr="00581806">
        <w:tc>
          <w:tcPr>
            <w:tcW w:w="3510" w:type="dxa"/>
          </w:tcPr>
          <w:p w:rsidR="00A4369F" w:rsidRPr="00A42191" w:rsidRDefault="00A4369F" w:rsidP="00A42191">
            <w:pPr>
              <w:keepNext/>
              <w:keepLines/>
              <w:rPr>
                <w:rFonts w:cs="Arial"/>
                <w:color w:val="000000"/>
              </w:rPr>
            </w:pPr>
            <w:r w:rsidRPr="00A42191">
              <w:rPr>
                <w:rFonts w:cs="Arial"/>
                <w:color w:val="000000"/>
              </w:rPr>
              <w:t>Around buildings-realistic worst-case</w:t>
            </w:r>
          </w:p>
        </w:tc>
        <w:tc>
          <w:tcPr>
            <w:tcW w:w="2792" w:type="dxa"/>
          </w:tcPr>
          <w:p w:rsidR="00A4369F" w:rsidRPr="00A42191" w:rsidRDefault="00A4369F" w:rsidP="00A42191">
            <w:pPr>
              <w:keepNext/>
              <w:keepLines/>
              <w:rPr>
                <w:rFonts w:cs="Arial"/>
                <w:color w:val="000000"/>
              </w:rPr>
            </w:pPr>
            <w:r w:rsidRPr="00A42191">
              <w:rPr>
                <w:rFonts w:cs="Arial"/>
                <w:color w:val="000000"/>
              </w:rPr>
              <w:t>0.0053</w:t>
            </w:r>
          </w:p>
        </w:tc>
        <w:tc>
          <w:tcPr>
            <w:tcW w:w="2878" w:type="dxa"/>
          </w:tcPr>
          <w:p w:rsidR="00A4369F" w:rsidRPr="00A42191" w:rsidRDefault="00DD1384" w:rsidP="00A42191">
            <w:pPr>
              <w:keepNext/>
              <w:keepLines/>
              <w:rPr>
                <w:rFonts w:cs="Arial"/>
                <w:color w:val="000000"/>
              </w:rPr>
            </w:pPr>
            <w:r w:rsidRPr="00A42191">
              <w:rPr>
                <w:rFonts w:cs="Arial"/>
                <w:color w:val="000000"/>
              </w:rPr>
              <w:t>0.02</w:t>
            </w:r>
          </w:p>
        </w:tc>
      </w:tr>
      <w:tr w:rsidR="00A4369F" w:rsidRPr="00A42191" w:rsidTr="00581806">
        <w:tc>
          <w:tcPr>
            <w:tcW w:w="3510" w:type="dxa"/>
          </w:tcPr>
          <w:p w:rsidR="00A4369F" w:rsidRPr="00A42191" w:rsidRDefault="00A4369F" w:rsidP="00A42191">
            <w:pPr>
              <w:keepNext/>
              <w:keepLines/>
              <w:rPr>
                <w:rFonts w:cs="Arial"/>
                <w:color w:val="000000"/>
              </w:rPr>
            </w:pPr>
            <w:r w:rsidRPr="00A42191">
              <w:rPr>
                <w:rFonts w:cs="Arial"/>
                <w:color w:val="000000"/>
              </w:rPr>
              <w:t>Around buildings-typical case</w:t>
            </w:r>
          </w:p>
        </w:tc>
        <w:tc>
          <w:tcPr>
            <w:tcW w:w="2792" w:type="dxa"/>
          </w:tcPr>
          <w:p w:rsidR="00A4369F" w:rsidRPr="00A42191" w:rsidRDefault="00A4369F" w:rsidP="00A42191">
            <w:pPr>
              <w:keepNext/>
              <w:keepLines/>
              <w:rPr>
                <w:rFonts w:cs="Arial"/>
                <w:color w:val="000000"/>
              </w:rPr>
            </w:pPr>
            <w:r w:rsidRPr="00A42191">
              <w:rPr>
                <w:rFonts w:cs="Arial"/>
                <w:color w:val="000000"/>
              </w:rPr>
              <w:t>0.0016</w:t>
            </w:r>
          </w:p>
        </w:tc>
        <w:tc>
          <w:tcPr>
            <w:tcW w:w="2878" w:type="dxa"/>
          </w:tcPr>
          <w:p w:rsidR="00A4369F" w:rsidRPr="00A42191" w:rsidRDefault="00DD1384" w:rsidP="00A42191">
            <w:pPr>
              <w:keepNext/>
              <w:keepLines/>
              <w:rPr>
                <w:rFonts w:cs="Arial"/>
                <w:color w:val="000000"/>
              </w:rPr>
            </w:pPr>
            <w:r w:rsidRPr="00A42191">
              <w:rPr>
                <w:rFonts w:cs="Arial"/>
                <w:color w:val="000000"/>
              </w:rPr>
              <w:t>0.006</w:t>
            </w:r>
          </w:p>
        </w:tc>
      </w:tr>
      <w:tr w:rsidR="00A4369F" w:rsidRPr="00A42191" w:rsidTr="00581806">
        <w:tc>
          <w:tcPr>
            <w:tcW w:w="3510" w:type="dxa"/>
          </w:tcPr>
          <w:p w:rsidR="00A4369F" w:rsidRPr="00A42191" w:rsidRDefault="00A4369F" w:rsidP="00A42191">
            <w:pPr>
              <w:keepNext/>
              <w:keepLines/>
              <w:rPr>
                <w:rFonts w:cs="Arial"/>
                <w:color w:val="000000"/>
              </w:rPr>
            </w:pPr>
            <w:r w:rsidRPr="00A42191">
              <w:rPr>
                <w:rFonts w:cs="Arial"/>
                <w:color w:val="000000"/>
              </w:rPr>
              <w:t>Open areas</w:t>
            </w:r>
          </w:p>
        </w:tc>
        <w:tc>
          <w:tcPr>
            <w:tcW w:w="2792" w:type="dxa"/>
          </w:tcPr>
          <w:p w:rsidR="00A4369F" w:rsidRPr="00A42191" w:rsidRDefault="00A4369F" w:rsidP="00A42191">
            <w:pPr>
              <w:keepNext/>
              <w:keepLines/>
              <w:rPr>
                <w:rFonts w:cs="Arial"/>
                <w:color w:val="000000"/>
              </w:rPr>
            </w:pPr>
            <w:r w:rsidRPr="00A42191">
              <w:rPr>
                <w:rFonts w:cs="Arial"/>
                <w:color w:val="000000"/>
              </w:rPr>
              <w:t>0.415</w:t>
            </w:r>
          </w:p>
        </w:tc>
        <w:tc>
          <w:tcPr>
            <w:tcW w:w="2878" w:type="dxa"/>
          </w:tcPr>
          <w:p w:rsidR="00A4369F" w:rsidRPr="00A42191" w:rsidRDefault="00DD1384" w:rsidP="00A42191">
            <w:pPr>
              <w:keepNext/>
              <w:keepLines/>
              <w:rPr>
                <w:rFonts w:cs="Arial"/>
                <w:color w:val="000000"/>
              </w:rPr>
            </w:pPr>
            <w:r w:rsidRPr="00A42191">
              <w:rPr>
                <w:rFonts w:cs="Arial"/>
                <w:color w:val="000000"/>
              </w:rPr>
              <w:t>1.5</w:t>
            </w:r>
            <w:r w:rsidR="00686F07" w:rsidRPr="00A42191">
              <w:rPr>
                <w:rFonts w:cs="Arial"/>
                <w:color w:val="000000"/>
              </w:rPr>
              <w:t>9</w:t>
            </w:r>
          </w:p>
        </w:tc>
      </w:tr>
      <w:tr w:rsidR="00A4369F" w:rsidRPr="00A42191" w:rsidTr="00581806">
        <w:tc>
          <w:tcPr>
            <w:tcW w:w="3510" w:type="dxa"/>
          </w:tcPr>
          <w:p w:rsidR="00A4369F" w:rsidRPr="00A42191" w:rsidRDefault="00A4369F" w:rsidP="00A42191">
            <w:pPr>
              <w:keepNext/>
              <w:keepLines/>
              <w:rPr>
                <w:rFonts w:cs="Arial"/>
                <w:color w:val="000000"/>
              </w:rPr>
            </w:pPr>
            <w:r w:rsidRPr="00A42191">
              <w:rPr>
                <w:rFonts w:cs="Arial"/>
                <w:color w:val="000000"/>
              </w:rPr>
              <w:t>Waste dumps</w:t>
            </w:r>
          </w:p>
        </w:tc>
        <w:tc>
          <w:tcPr>
            <w:tcW w:w="2792" w:type="dxa"/>
          </w:tcPr>
          <w:p w:rsidR="00A4369F" w:rsidRPr="00A42191" w:rsidRDefault="00A4369F" w:rsidP="00A42191">
            <w:pPr>
              <w:keepNext/>
              <w:keepLines/>
              <w:rPr>
                <w:rFonts w:cs="Arial"/>
                <w:color w:val="000000"/>
              </w:rPr>
            </w:pPr>
            <w:r w:rsidRPr="00A42191">
              <w:rPr>
                <w:rFonts w:cs="Arial"/>
                <w:color w:val="000000"/>
              </w:rPr>
              <w:t>0.0018</w:t>
            </w:r>
          </w:p>
        </w:tc>
        <w:tc>
          <w:tcPr>
            <w:tcW w:w="2878" w:type="dxa"/>
          </w:tcPr>
          <w:p w:rsidR="00A4369F" w:rsidRPr="00A42191" w:rsidRDefault="00686F07" w:rsidP="00A42191">
            <w:pPr>
              <w:keepNext/>
              <w:keepLines/>
              <w:rPr>
                <w:rFonts w:cs="Arial"/>
                <w:color w:val="000000"/>
              </w:rPr>
            </w:pPr>
            <w:r w:rsidRPr="00A42191">
              <w:rPr>
                <w:rFonts w:cs="Arial"/>
                <w:color w:val="000000"/>
              </w:rPr>
              <w:t>0.007</w:t>
            </w:r>
          </w:p>
        </w:tc>
      </w:tr>
    </w:tbl>
    <w:p w:rsidR="00A4369F" w:rsidRPr="00C44CBC" w:rsidRDefault="00A4369F" w:rsidP="00C44CBC"/>
    <w:p w:rsidR="00686F07" w:rsidRPr="00C44CBC" w:rsidRDefault="00686F07" w:rsidP="00C44CBC">
      <w:r w:rsidRPr="00C44CBC">
        <w:t>The PEC groundwater for the scenario “application in open areas” clearly exceeds the trigger</w:t>
      </w:r>
    </w:p>
    <w:p w:rsidR="00686F07" w:rsidRPr="00C44CBC" w:rsidRDefault="00686F07" w:rsidP="00C44CBC">
      <w:r w:rsidRPr="00C44CBC">
        <w:t>value of 0.1 μg/L of the Drinking Water Directive 98/83/EC and of the Ground Water Directive</w:t>
      </w:r>
    </w:p>
    <w:p w:rsidR="006C1A26" w:rsidRPr="006C1A26" w:rsidRDefault="00686F07" w:rsidP="006C1A26">
      <w:r w:rsidRPr="00C44CBC">
        <w:t>2006/118/EC. Therefore a refinement of the groundwater assessment is necessary.</w:t>
      </w:r>
      <w:r w:rsidR="006C1A26">
        <w:t xml:space="preserve"> </w:t>
      </w:r>
      <w:r w:rsidR="006C1A26" w:rsidRPr="006C1A26">
        <w:t xml:space="preserve">The FOCUS simulation model PEARL 4.4.4 is used for the refinement. A scenario for the calculation of PECgroundwater for applications of rodenticides in open areas is included in the </w:t>
      </w:r>
      <w:r w:rsidR="006C1A26">
        <w:t xml:space="preserve">first </w:t>
      </w:r>
      <w:r w:rsidR="006C1A26" w:rsidRPr="006C1A26">
        <w:t xml:space="preserve">draft version of the updated ESD for </w:t>
      </w:r>
      <w:r w:rsidR="006C1A26" w:rsidRPr="00981B1F">
        <w:rPr>
          <w:lang w:val="en-US"/>
        </w:rPr>
        <w:t xml:space="preserve">for </w:t>
      </w:r>
      <w:r w:rsidR="006C1A26">
        <w:rPr>
          <w:lang w:val="en-US"/>
        </w:rPr>
        <w:t>b</w:t>
      </w:r>
      <w:r w:rsidR="006C1A26" w:rsidRPr="00981B1F">
        <w:rPr>
          <w:lang w:val="en-US"/>
        </w:rPr>
        <w:t xml:space="preserve">iocides </w:t>
      </w:r>
      <w:r w:rsidR="006C1A26">
        <w:rPr>
          <w:lang w:val="en-US"/>
        </w:rPr>
        <w:t>u</w:t>
      </w:r>
      <w:r w:rsidR="006C1A26" w:rsidRPr="00981B1F">
        <w:rPr>
          <w:lang w:val="en-US"/>
        </w:rPr>
        <w:t xml:space="preserve">sed as </w:t>
      </w:r>
      <w:r w:rsidR="006C1A26">
        <w:rPr>
          <w:lang w:val="en-US"/>
        </w:rPr>
        <w:t>r</w:t>
      </w:r>
      <w:r w:rsidR="006C1A26" w:rsidRPr="00981B1F">
        <w:rPr>
          <w:lang w:val="en-US"/>
        </w:rPr>
        <w:t xml:space="preserve">odenticides </w:t>
      </w:r>
      <w:r w:rsidR="006C1A26">
        <w:rPr>
          <w:lang w:val="en-US"/>
        </w:rPr>
        <w:t>(</w:t>
      </w:r>
      <w:r w:rsidR="006C1A26" w:rsidRPr="006C1A26">
        <w:t>PT14</w:t>
      </w:r>
      <w:r w:rsidR="006C1A26">
        <w:t>) from CA DE (dated 06-09-2017).</w:t>
      </w:r>
      <w:r w:rsidR="006C1A26" w:rsidRPr="006C1A26">
        <w:t xml:space="preserve"> </w:t>
      </w:r>
    </w:p>
    <w:p w:rsidR="00674119" w:rsidRDefault="00674119" w:rsidP="00674119">
      <w:pPr>
        <w:pStyle w:val="Plattetekst"/>
        <w:rPr>
          <w:lang w:val="en-US"/>
        </w:rPr>
      </w:pPr>
      <w:r>
        <w:rPr>
          <w:lang w:val="en-US"/>
        </w:rPr>
        <w:t>The following table describes the application and crop parameters which were used for the modelling of groundwater concentrations with FOCUS PEARL</w:t>
      </w:r>
      <w:r w:rsidR="000A4C79">
        <w:rPr>
          <w:lang w:val="en-US"/>
        </w:rPr>
        <w:t xml:space="preserve"> 4.4.4</w:t>
      </w:r>
      <w:r>
        <w:rPr>
          <w:lang w:val="en-US"/>
        </w:rPr>
        <w:t>.</w:t>
      </w:r>
    </w:p>
    <w:p w:rsidR="00674119" w:rsidRDefault="00674119" w:rsidP="00674119">
      <w:pPr>
        <w:pStyle w:val="Plattetekst"/>
        <w:rPr>
          <w:lang w:val="en-US"/>
        </w:rPr>
      </w:pPr>
    </w:p>
    <w:p w:rsidR="00674119" w:rsidRPr="00087FDD" w:rsidRDefault="00674119" w:rsidP="00674119">
      <w:pPr>
        <w:pStyle w:val="Bijschrift"/>
        <w:rPr>
          <w:lang w:val="en-US"/>
        </w:rPr>
      </w:pPr>
      <w:bookmarkStart w:id="667" w:name="_Toc484424517"/>
      <w:r w:rsidRPr="00087FDD">
        <w:rPr>
          <w:lang w:val="en-US"/>
        </w:rPr>
        <w:t>Application scheme and crop parameter for FOCUS PEARL calculations</w:t>
      </w:r>
      <w:bookmarkEnd w:id="667"/>
      <w:r w:rsidRPr="00087FDD">
        <w:rPr>
          <w:lang w:val="en-US"/>
        </w:rPr>
        <w:t xml:space="preserve"> </w:t>
      </w:r>
    </w:p>
    <w:tbl>
      <w:tblPr>
        <w:tblStyle w:val="UBATabellemitKopf"/>
        <w:tblW w:w="5000" w:type="pct"/>
        <w:tblInd w:w="0" w:type="dxa"/>
        <w:tblLook w:val="04A0" w:firstRow="1" w:lastRow="0" w:firstColumn="1" w:lastColumn="0" w:noHBand="0" w:noVBand="1"/>
      </w:tblPr>
      <w:tblGrid>
        <w:gridCol w:w="4484"/>
        <w:gridCol w:w="4804"/>
      </w:tblGrid>
      <w:tr w:rsidR="008479B6" w:rsidRPr="00A42191" w:rsidTr="00581806">
        <w:trPr>
          <w:cnfStyle w:val="100000000000" w:firstRow="1" w:lastRow="0" w:firstColumn="0" w:lastColumn="0" w:oddVBand="0" w:evenVBand="0" w:oddHBand="0" w:evenHBand="0" w:firstRowFirstColumn="0" w:firstRowLastColumn="0" w:lastRowFirstColumn="0" w:lastRowLastColumn="0"/>
          <w:tblHeader/>
        </w:trPr>
        <w:tc>
          <w:tcPr>
            <w:tcW w:w="2414" w:type="pct"/>
            <w:tcBorders>
              <w:top w:val="double" w:sz="4" w:space="0" w:color="auto"/>
              <w:left w:val="double" w:sz="4" w:space="0" w:color="auto"/>
              <w:bottom w:val="single" w:sz="4" w:space="0" w:color="auto"/>
            </w:tcBorders>
            <w:shd w:val="clear" w:color="auto" w:fill="auto"/>
          </w:tcPr>
          <w:p w:rsidR="00674119" w:rsidRPr="00A42191" w:rsidRDefault="00674119" w:rsidP="00A42191">
            <w:pPr>
              <w:keepNext/>
              <w:keepLines/>
              <w:rPr>
                <w:rFonts w:cs="Arial"/>
                <w:b/>
                <w:color w:val="000000"/>
                <w:sz w:val="20"/>
                <w:szCs w:val="20"/>
              </w:rPr>
            </w:pPr>
            <w:r w:rsidRPr="00A42191">
              <w:rPr>
                <w:rFonts w:cs="Arial"/>
                <w:b/>
                <w:color w:val="000000"/>
                <w:sz w:val="20"/>
                <w:szCs w:val="20"/>
              </w:rPr>
              <w:t>Input parameter</w:t>
            </w:r>
          </w:p>
        </w:tc>
        <w:tc>
          <w:tcPr>
            <w:tcW w:w="2586" w:type="pct"/>
            <w:tcBorders>
              <w:top w:val="double" w:sz="4" w:space="0" w:color="auto"/>
              <w:bottom w:val="single" w:sz="4" w:space="0" w:color="auto"/>
              <w:right w:val="double" w:sz="4" w:space="0" w:color="auto"/>
            </w:tcBorders>
            <w:shd w:val="clear" w:color="auto" w:fill="auto"/>
          </w:tcPr>
          <w:p w:rsidR="00674119" w:rsidRPr="00A42191" w:rsidRDefault="008479B6" w:rsidP="00A42191">
            <w:pPr>
              <w:keepNext/>
              <w:keepLines/>
              <w:rPr>
                <w:rFonts w:cs="Arial"/>
                <w:b/>
                <w:color w:val="000000"/>
                <w:sz w:val="20"/>
                <w:szCs w:val="20"/>
              </w:rPr>
            </w:pPr>
            <w:r w:rsidRPr="00A42191">
              <w:rPr>
                <w:rFonts w:cs="Arial"/>
                <w:b/>
                <w:color w:val="000000"/>
                <w:sz w:val="20"/>
                <w:szCs w:val="20"/>
              </w:rPr>
              <w:t>Open areas</w:t>
            </w:r>
          </w:p>
        </w:tc>
      </w:tr>
      <w:tr w:rsidR="00674119" w:rsidRPr="00A42191" w:rsidTr="00581806">
        <w:trPr>
          <w:cnfStyle w:val="000000100000" w:firstRow="0" w:lastRow="0" w:firstColumn="0" w:lastColumn="0" w:oddVBand="0" w:evenVBand="0" w:oddHBand="1" w:evenHBand="0" w:firstRowFirstColumn="0" w:firstRowLastColumn="0" w:lastRowFirstColumn="0" w:lastRowLastColumn="0"/>
        </w:trPr>
        <w:tc>
          <w:tcPr>
            <w:tcW w:w="2414" w:type="pct"/>
            <w:tcBorders>
              <w:top w:val="single" w:sz="4" w:space="0" w:color="auto"/>
              <w:lef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 xml:space="preserve">Rodenticide application amount per ha </w:t>
            </w:r>
          </w:p>
        </w:tc>
        <w:tc>
          <w:tcPr>
            <w:tcW w:w="2586" w:type="pct"/>
            <w:tcBorders>
              <w:top w:val="single" w:sz="4" w:space="0" w:color="auto"/>
              <w:righ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see table below, for mice the amount is</w:t>
            </w:r>
            <w:r w:rsidR="00243AB6" w:rsidRPr="00A42191">
              <w:rPr>
                <w:rFonts w:cs="Arial"/>
                <w:color w:val="000000"/>
                <w:sz w:val="20"/>
                <w:szCs w:val="20"/>
              </w:rPr>
              <w:t xml:space="preserve"> 6.25E-05 kg/ha</w:t>
            </w:r>
            <w:r w:rsidRPr="00A42191">
              <w:rPr>
                <w:rFonts w:cs="Arial"/>
                <w:color w:val="000000"/>
                <w:sz w:val="20"/>
                <w:szCs w:val="20"/>
              </w:rPr>
              <w:t xml:space="preserve"> and for rats the amount is</w:t>
            </w:r>
            <w:r w:rsidR="00243AB6" w:rsidRPr="00A42191">
              <w:rPr>
                <w:rFonts w:cs="Arial"/>
                <w:color w:val="000000"/>
                <w:sz w:val="20"/>
                <w:szCs w:val="20"/>
              </w:rPr>
              <w:t xml:space="preserve"> 5E-04 kg/ha</w:t>
            </w:r>
            <w:r w:rsidRPr="00A42191">
              <w:rPr>
                <w:rFonts w:cs="Arial"/>
                <w:color w:val="000000"/>
                <w:sz w:val="20"/>
                <w:szCs w:val="20"/>
              </w:rPr>
              <w:t xml:space="preserve"> </w:t>
            </w:r>
          </w:p>
        </w:tc>
      </w:tr>
      <w:tr w:rsidR="00674119" w:rsidRPr="00A42191" w:rsidTr="00581806">
        <w:tc>
          <w:tcPr>
            <w:tcW w:w="2414" w:type="pct"/>
            <w:tcBorders>
              <w:lef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Application type</w:t>
            </w:r>
          </w:p>
        </w:tc>
        <w:tc>
          <w:tcPr>
            <w:tcW w:w="2586" w:type="pct"/>
            <w:tcBorders>
              <w:righ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Surface application</w:t>
            </w:r>
          </w:p>
        </w:tc>
      </w:tr>
      <w:tr w:rsidR="00674119" w:rsidRPr="00A42191" w:rsidTr="00581806">
        <w:trPr>
          <w:cnfStyle w:val="000000100000" w:firstRow="0" w:lastRow="0" w:firstColumn="0" w:lastColumn="0" w:oddVBand="0" w:evenVBand="0" w:oddHBand="1" w:evenHBand="0" w:firstRowFirstColumn="0" w:firstRowLastColumn="0" w:lastRowFirstColumn="0" w:lastRowLastColumn="0"/>
        </w:trPr>
        <w:tc>
          <w:tcPr>
            <w:tcW w:w="2414" w:type="pct"/>
            <w:tcBorders>
              <w:lef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Application time</w:t>
            </w:r>
          </w:p>
        </w:tc>
        <w:tc>
          <w:tcPr>
            <w:tcW w:w="2586" w:type="pct"/>
            <w:tcBorders>
              <w:righ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On day 1, 3 and 8 of control campaign, two campaigns per year:</w:t>
            </w:r>
          </w:p>
          <w:p w:rsidR="00674119" w:rsidRPr="00A42191" w:rsidRDefault="00674119" w:rsidP="00A42191">
            <w:pPr>
              <w:keepNext/>
              <w:keepLines/>
              <w:rPr>
                <w:rFonts w:cs="Arial"/>
                <w:color w:val="000000"/>
                <w:sz w:val="20"/>
                <w:szCs w:val="20"/>
              </w:rPr>
            </w:pPr>
            <w:r w:rsidRPr="00A42191">
              <w:rPr>
                <w:rFonts w:cs="Arial"/>
                <w:color w:val="000000"/>
                <w:sz w:val="20"/>
                <w:szCs w:val="20"/>
              </w:rPr>
              <w:t>March: 15th, 17th, 22th</w:t>
            </w:r>
          </w:p>
          <w:p w:rsidR="00674119" w:rsidRPr="00A42191" w:rsidRDefault="00674119" w:rsidP="00A42191">
            <w:pPr>
              <w:keepNext/>
              <w:keepLines/>
              <w:rPr>
                <w:rFonts w:cs="Arial"/>
                <w:color w:val="000000"/>
                <w:sz w:val="20"/>
                <w:szCs w:val="20"/>
              </w:rPr>
            </w:pPr>
            <w:r w:rsidRPr="00A42191">
              <w:rPr>
                <w:rFonts w:cs="Arial"/>
                <w:color w:val="000000"/>
                <w:sz w:val="20"/>
                <w:szCs w:val="20"/>
              </w:rPr>
              <w:t>September: 15th, 17th, 22th</w:t>
            </w:r>
          </w:p>
        </w:tc>
      </w:tr>
      <w:tr w:rsidR="00674119" w:rsidRPr="00A42191" w:rsidTr="00581806">
        <w:tc>
          <w:tcPr>
            <w:tcW w:w="2414" w:type="pct"/>
            <w:tcBorders>
              <w:left w:val="double" w:sz="4" w:space="0" w:color="auto"/>
              <w:bottom w:val="nil"/>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 xml:space="preserve">Crop type </w:t>
            </w:r>
          </w:p>
        </w:tc>
        <w:tc>
          <w:tcPr>
            <w:tcW w:w="2586" w:type="pct"/>
            <w:tcBorders>
              <w:bottom w:val="nil"/>
              <w:righ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Grass/alfalfa</w:t>
            </w:r>
          </w:p>
        </w:tc>
      </w:tr>
      <w:tr w:rsidR="00674119" w:rsidRPr="00A42191" w:rsidTr="00581806">
        <w:trPr>
          <w:cnfStyle w:val="000000100000" w:firstRow="0" w:lastRow="0" w:firstColumn="0" w:lastColumn="0" w:oddVBand="0" w:evenVBand="0" w:oddHBand="1" w:evenHBand="0" w:firstRowFirstColumn="0" w:firstRowLastColumn="0" w:lastRowFirstColumn="0" w:lastRowLastColumn="0"/>
        </w:trPr>
        <w:tc>
          <w:tcPr>
            <w:tcW w:w="2414" w:type="pct"/>
            <w:tcBorders>
              <w:left w:val="double" w:sz="4" w:space="0" w:color="auto"/>
              <w:bottom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Plant uptake factor</w:t>
            </w:r>
          </w:p>
        </w:tc>
        <w:tc>
          <w:tcPr>
            <w:tcW w:w="2586" w:type="pct"/>
            <w:tcBorders>
              <w:bottom w:val="double" w:sz="4" w:space="0" w:color="auto"/>
              <w:right w:val="double" w:sz="4" w:space="0" w:color="auto"/>
            </w:tcBorders>
          </w:tcPr>
          <w:p w:rsidR="00674119" w:rsidRPr="00A42191" w:rsidRDefault="00674119" w:rsidP="00A42191">
            <w:pPr>
              <w:keepNext/>
              <w:keepLines/>
              <w:rPr>
                <w:rFonts w:cs="Arial"/>
                <w:color w:val="000000"/>
                <w:sz w:val="20"/>
                <w:szCs w:val="20"/>
              </w:rPr>
            </w:pPr>
            <w:r w:rsidRPr="00A42191">
              <w:rPr>
                <w:rFonts w:cs="Arial"/>
                <w:color w:val="000000"/>
                <w:sz w:val="20"/>
                <w:szCs w:val="20"/>
              </w:rPr>
              <w:t>0</w:t>
            </w:r>
          </w:p>
        </w:tc>
      </w:tr>
    </w:tbl>
    <w:p w:rsidR="006C1A26" w:rsidRDefault="006C1A26" w:rsidP="00C44CBC"/>
    <w:p w:rsidR="00674119" w:rsidRDefault="00674119" w:rsidP="00674119">
      <w:pPr>
        <w:pStyle w:val="Plattetekst"/>
        <w:rPr>
          <w:lang w:val="en-US"/>
        </w:rPr>
      </w:pPr>
      <w:r>
        <w:rPr>
          <w:lang w:val="en-US"/>
        </w:rPr>
        <w:t xml:space="preserve">The assessment of groundwater concentrations after the application of solid baits in bait boxes is covered by the around building scenario. For open areas burrow baiting is a relevant application mode </w:t>
      </w:r>
      <w:r>
        <w:rPr>
          <w:lang w:val="en-US"/>
        </w:rPr>
        <w:lastRenderedPageBreak/>
        <w:t xml:space="preserve">to be considered with respect to groundwater. The number of application sites per ha is dependent on the number of rat or mice holes to be treated. The distances between the holes and subsequently the number of holes to be treated per ha may vary considerably. As a reference value for burrow baiting against rats an estimation of 100 bait points per ha is proposed. For mice control, the number of treated burrows is expected to be 2-fold higher, i.e., 200 bait points/ha. </w:t>
      </w:r>
    </w:p>
    <w:p w:rsidR="00674119" w:rsidRDefault="00674119" w:rsidP="00674119">
      <w:pPr>
        <w:pStyle w:val="Plattetekst"/>
        <w:rPr>
          <w:lang w:val="en-US"/>
        </w:rPr>
      </w:pPr>
    </w:p>
    <w:p w:rsidR="00674119" w:rsidRPr="004E3422" w:rsidRDefault="00674119" w:rsidP="006521FE">
      <w:pPr>
        <w:pStyle w:val="Bijschrift"/>
        <w:keepNext/>
        <w:keepLines/>
        <w:rPr>
          <w:lang w:val="en-US"/>
        </w:rPr>
      </w:pPr>
      <w:bookmarkStart w:id="668" w:name="_Toc484424520"/>
      <w:r>
        <w:rPr>
          <w:lang w:val="en-US"/>
        </w:rPr>
        <w:t>Rodenticide emissions to soil for groundwater calculations arising from burrow baiting in open areas</w:t>
      </w:r>
      <w:bookmarkEnd w:id="668"/>
    </w:p>
    <w:tbl>
      <w:tblPr>
        <w:tblStyle w:val="UBATabellemitKopf"/>
        <w:tblW w:w="9351" w:type="dxa"/>
        <w:tblLayout w:type="fixed"/>
        <w:tblLook w:val="04A0" w:firstRow="1" w:lastRow="0" w:firstColumn="1" w:lastColumn="0" w:noHBand="0" w:noVBand="1"/>
      </w:tblPr>
      <w:tblGrid>
        <w:gridCol w:w="3397"/>
        <w:gridCol w:w="1732"/>
        <w:gridCol w:w="1576"/>
        <w:gridCol w:w="1377"/>
        <w:gridCol w:w="1269"/>
      </w:tblGrid>
      <w:tr w:rsidR="00581806" w:rsidRPr="00581806" w:rsidTr="00581806">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double" w:sz="4" w:space="0" w:color="auto"/>
              <w:left w:val="double" w:sz="4" w:space="0" w:color="auto"/>
              <w:bottom w:val="single" w:sz="4" w:space="0" w:color="auto"/>
            </w:tcBorders>
            <w:shd w:val="clear" w:color="auto" w:fill="auto"/>
          </w:tcPr>
          <w:p w:rsidR="00674119" w:rsidRPr="00581806" w:rsidRDefault="00674119" w:rsidP="006521FE">
            <w:pPr>
              <w:pStyle w:val="TabellentextKopfzeile"/>
              <w:keepNext/>
              <w:rPr>
                <w:rFonts w:ascii="Arial" w:hAnsi="Arial" w:cs="Arial"/>
                <w:color w:val="auto"/>
                <w:sz w:val="20"/>
                <w:szCs w:val="20"/>
              </w:rPr>
            </w:pPr>
            <w:r w:rsidRPr="00581806">
              <w:rPr>
                <w:rFonts w:ascii="Arial" w:hAnsi="Arial" w:cs="Arial"/>
                <w:color w:val="auto"/>
                <w:sz w:val="20"/>
                <w:szCs w:val="20"/>
              </w:rPr>
              <w:t>Parameters</w:t>
            </w:r>
          </w:p>
        </w:tc>
        <w:tc>
          <w:tcPr>
            <w:tcW w:w="1732" w:type="dxa"/>
            <w:tcBorders>
              <w:top w:val="double" w:sz="4" w:space="0" w:color="auto"/>
              <w:bottom w:val="single" w:sz="4" w:space="0" w:color="auto"/>
            </w:tcBorders>
            <w:shd w:val="clear" w:color="auto" w:fill="auto"/>
          </w:tcPr>
          <w:p w:rsidR="00674119" w:rsidRPr="00581806" w:rsidRDefault="00674119" w:rsidP="006521FE">
            <w:pPr>
              <w:pStyle w:val="TabellentextKopfzeile"/>
              <w:keepNext/>
              <w:rPr>
                <w:rFonts w:ascii="Arial" w:hAnsi="Arial" w:cs="Arial"/>
                <w:color w:val="auto"/>
                <w:sz w:val="20"/>
                <w:szCs w:val="20"/>
              </w:rPr>
            </w:pPr>
            <w:r w:rsidRPr="00581806">
              <w:rPr>
                <w:rFonts w:ascii="Arial" w:hAnsi="Arial" w:cs="Arial"/>
                <w:color w:val="auto"/>
                <w:sz w:val="20"/>
                <w:szCs w:val="20"/>
              </w:rPr>
              <w:t>Nomenclature</w:t>
            </w:r>
          </w:p>
        </w:tc>
        <w:tc>
          <w:tcPr>
            <w:tcW w:w="1576" w:type="dxa"/>
            <w:tcBorders>
              <w:top w:val="double" w:sz="4" w:space="0" w:color="auto"/>
              <w:bottom w:val="single" w:sz="4" w:space="0" w:color="auto"/>
            </w:tcBorders>
            <w:shd w:val="clear" w:color="auto" w:fill="auto"/>
          </w:tcPr>
          <w:p w:rsidR="00674119" w:rsidRPr="00581806" w:rsidRDefault="00674119" w:rsidP="006521FE">
            <w:pPr>
              <w:pStyle w:val="TabellentextKopfzeile"/>
              <w:keepNext/>
              <w:rPr>
                <w:rFonts w:ascii="Arial" w:hAnsi="Arial" w:cs="Arial"/>
                <w:color w:val="auto"/>
                <w:sz w:val="20"/>
                <w:szCs w:val="20"/>
              </w:rPr>
            </w:pPr>
            <w:r w:rsidRPr="00581806">
              <w:rPr>
                <w:rFonts w:ascii="Arial" w:hAnsi="Arial" w:cs="Arial"/>
                <w:color w:val="auto"/>
                <w:sz w:val="20"/>
                <w:szCs w:val="20"/>
              </w:rPr>
              <w:t>Value</w:t>
            </w:r>
          </w:p>
        </w:tc>
        <w:tc>
          <w:tcPr>
            <w:tcW w:w="1377" w:type="dxa"/>
            <w:tcBorders>
              <w:top w:val="double" w:sz="4" w:space="0" w:color="auto"/>
              <w:bottom w:val="single" w:sz="4" w:space="0" w:color="auto"/>
            </w:tcBorders>
            <w:shd w:val="clear" w:color="auto" w:fill="auto"/>
          </w:tcPr>
          <w:p w:rsidR="00674119" w:rsidRPr="00581806" w:rsidRDefault="00674119" w:rsidP="006521FE">
            <w:pPr>
              <w:pStyle w:val="TabellentextKopfzeile"/>
              <w:keepNext/>
              <w:rPr>
                <w:rFonts w:ascii="Arial" w:hAnsi="Arial" w:cs="Arial"/>
                <w:color w:val="auto"/>
                <w:sz w:val="20"/>
                <w:szCs w:val="20"/>
              </w:rPr>
            </w:pPr>
            <w:r w:rsidRPr="00581806">
              <w:rPr>
                <w:rFonts w:ascii="Arial" w:hAnsi="Arial" w:cs="Arial"/>
                <w:color w:val="auto"/>
                <w:sz w:val="20"/>
                <w:szCs w:val="20"/>
              </w:rPr>
              <w:t>Unit</w:t>
            </w:r>
          </w:p>
        </w:tc>
        <w:tc>
          <w:tcPr>
            <w:tcW w:w="1269" w:type="dxa"/>
            <w:tcBorders>
              <w:top w:val="double" w:sz="4" w:space="0" w:color="auto"/>
              <w:bottom w:val="single" w:sz="4" w:space="0" w:color="auto"/>
              <w:right w:val="double" w:sz="4" w:space="0" w:color="auto"/>
            </w:tcBorders>
            <w:shd w:val="clear" w:color="auto" w:fill="auto"/>
          </w:tcPr>
          <w:p w:rsidR="00674119" w:rsidRPr="00581806" w:rsidRDefault="00674119" w:rsidP="006521FE">
            <w:pPr>
              <w:pStyle w:val="TabellentextKopfzeile"/>
              <w:keepNext/>
              <w:rPr>
                <w:rFonts w:ascii="Arial" w:hAnsi="Arial" w:cs="Arial"/>
                <w:color w:val="auto"/>
                <w:sz w:val="20"/>
                <w:szCs w:val="20"/>
              </w:rPr>
            </w:pPr>
            <w:r w:rsidRPr="00581806">
              <w:rPr>
                <w:rFonts w:ascii="Arial" w:hAnsi="Arial" w:cs="Arial"/>
                <w:color w:val="auto"/>
                <w:sz w:val="20"/>
                <w:szCs w:val="20"/>
              </w:rPr>
              <w:t>Origin</w:t>
            </w:r>
          </w:p>
        </w:tc>
      </w:tr>
      <w:tr w:rsidR="00674119" w:rsidRPr="009E4277" w:rsidTr="00581806">
        <w:trPr>
          <w:cnfStyle w:val="000000100000" w:firstRow="0" w:lastRow="0" w:firstColumn="0" w:lastColumn="0" w:oddVBand="0" w:evenVBand="0" w:oddHBand="1" w:evenHBand="0" w:firstRowFirstColumn="0" w:firstRowLastColumn="0" w:lastRowFirstColumn="0" w:lastRowLastColumn="0"/>
        </w:trPr>
        <w:tc>
          <w:tcPr>
            <w:tcW w:w="9351" w:type="dxa"/>
            <w:gridSpan w:val="5"/>
            <w:tcBorders>
              <w:top w:val="single" w:sz="4" w:space="0" w:color="auto"/>
              <w:left w:val="double" w:sz="4" w:space="0" w:color="auto"/>
              <w:right w:val="double" w:sz="4" w:space="0" w:color="auto"/>
            </w:tcBorders>
          </w:tcPr>
          <w:p w:rsidR="00674119" w:rsidRPr="00EB0619" w:rsidRDefault="00674119" w:rsidP="006521FE">
            <w:pPr>
              <w:pStyle w:val="Tabellentextfett"/>
              <w:keepNext/>
              <w:rPr>
                <w:rFonts w:ascii="Arial" w:hAnsi="Arial" w:cs="Arial"/>
                <w:sz w:val="20"/>
                <w:szCs w:val="20"/>
              </w:rPr>
            </w:pPr>
            <w:r w:rsidRPr="00EB0619">
              <w:rPr>
                <w:rFonts w:ascii="Arial" w:hAnsi="Arial" w:cs="Arial"/>
                <w:sz w:val="20"/>
                <w:szCs w:val="20"/>
              </w:rPr>
              <w:t>Input</w:t>
            </w:r>
          </w:p>
        </w:tc>
      </w:tr>
      <w:tr w:rsidR="00D87B44" w:rsidRPr="00C0405B" w:rsidTr="00581806">
        <w:tc>
          <w:tcPr>
            <w:tcW w:w="3397" w:type="dxa"/>
            <w:tcBorders>
              <w:left w:val="double" w:sz="4" w:space="0" w:color="auto"/>
            </w:tcBorders>
          </w:tcPr>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Amount of product used per application for one application site</w:t>
            </w:r>
          </w:p>
        </w:tc>
        <w:tc>
          <w:tcPr>
            <w:tcW w:w="1732"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Q</w:t>
            </w:r>
            <w:r w:rsidRPr="00EB0619">
              <w:rPr>
                <w:rFonts w:ascii="Arial" w:hAnsi="Arial" w:cs="Arial"/>
                <w:sz w:val="20"/>
                <w:szCs w:val="20"/>
                <w:vertAlign w:val="subscript"/>
                <w:lang w:val="en-US"/>
              </w:rPr>
              <w:t>prod</w:t>
            </w:r>
          </w:p>
        </w:tc>
        <w:tc>
          <w:tcPr>
            <w:tcW w:w="1576" w:type="dxa"/>
          </w:tcPr>
          <w:p w:rsidR="00674119" w:rsidRDefault="00744351" w:rsidP="00744351">
            <w:pPr>
              <w:pStyle w:val="Tabellentext"/>
              <w:keepNext/>
              <w:ind w:right="129"/>
              <w:jc w:val="right"/>
              <w:rPr>
                <w:rFonts w:ascii="Arial" w:hAnsi="Arial" w:cs="Arial"/>
                <w:sz w:val="20"/>
                <w:szCs w:val="20"/>
              </w:rPr>
            </w:pPr>
            <w:r>
              <w:rPr>
                <w:rFonts w:ascii="Arial" w:hAnsi="Arial" w:cs="Arial"/>
                <w:sz w:val="20"/>
                <w:szCs w:val="20"/>
              </w:rPr>
              <w:t>mice: 30-50 g</w:t>
            </w:r>
          </w:p>
          <w:p w:rsidR="00744351" w:rsidRPr="00EB0619" w:rsidRDefault="00744351" w:rsidP="00E06FE4">
            <w:pPr>
              <w:pStyle w:val="Tabellentext"/>
              <w:keepNext/>
              <w:jc w:val="right"/>
              <w:rPr>
                <w:rFonts w:ascii="Arial" w:hAnsi="Arial" w:cs="Arial"/>
                <w:sz w:val="20"/>
                <w:szCs w:val="20"/>
              </w:rPr>
            </w:pPr>
            <w:r>
              <w:rPr>
                <w:rFonts w:ascii="Arial" w:hAnsi="Arial" w:cs="Arial"/>
                <w:sz w:val="20"/>
                <w:szCs w:val="20"/>
              </w:rPr>
              <w:t>rats: 100-200 g</w:t>
            </w:r>
          </w:p>
        </w:tc>
        <w:tc>
          <w:tcPr>
            <w:tcW w:w="1377" w:type="dxa"/>
          </w:tcPr>
          <w:p w:rsidR="00674119" w:rsidRPr="00EB0619" w:rsidRDefault="00674119" w:rsidP="00E06FE4">
            <w:pPr>
              <w:pStyle w:val="Tabellentext"/>
              <w:keepNext/>
              <w:jc w:val="right"/>
              <w:rPr>
                <w:rFonts w:ascii="Arial" w:hAnsi="Arial" w:cs="Arial"/>
                <w:sz w:val="20"/>
                <w:szCs w:val="20"/>
              </w:rPr>
            </w:pPr>
            <w:r w:rsidRPr="00EB0619">
              <w:rPr>
                <w:rFonts w:ascii="Arial" w:hAnsi="Arial" w:cs="Arial"/>
                <w:sz w:val="20"/>
                <w:szCs w:val="20"/>
              </w:rPr>
              <w:t>[g]</w:t>
            </w:r>
          </w:p>
        </w:tc>
        <w:tc>
          <w:tcPr>
            <w:tcW w:w="1269" w:type="dxa"/>
            <w:tcBorders>
              <w:right w:val="doub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S</w:t>
            </w:r>
          </w:p>
        </w:tc>
      </w:tr>
      <w:tr w:rsidR="00D87B44" w:rsidRPr="009E4277" w:rsidTr="00581806">
        <w:trPr>
          <w:cnfStyle w:val="000000100000" w:firstRow="0" w:lastRow="0" w:firstColumn="0" w:lastColumn="0" w:oddVBand="0" w:evenVBand="0" w:oddHBand="1" w:evenHBand="0" w:firstRowFirstColumn="0" w:firstRowLastColumn="0" w:lastRowFirstColumn="0" w:lastRowLastColumn="0"/>
        </w:trPr>
        <w:tc>
          <w:tcPr>
            <w:tcW w:w="3397" w:type="dxa"/>
            <w:tcBorders>
              <w:left w:val="double" w:sz="4" w:space="0" w:color="auto"/>
            </w:tcBorders>
          </w:tcPr>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Fraction of active substance in the product</w:t>
            </w:r>
          </w:p>
        </w:tc>
        <w:tc>
          <w:tcPr>
            <w:tcW w:w="1732"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Fc</w:t>
            </w:r>
            <w:r w:rsidRPr="00EB0619">
              <w:rPr>
                <w:rFonts w:ascii="Arial" w:hAnsi="Arial" w:cs="Arial"/>
                <w:sz w:val="20"/>
                <w:szCs w:val="20"/>
                <w:vertAlign w:val="subscript"/>
                <w:lang w:val="en-US"/>
              </w:rPr>
              <w:t>product</w:t>
            </w:r>
          </w:p>
        </w:tc>
        <w:tc>
          <w:tcPr>
            <w:tcW w:w="1576" w:type="dxa"/>
          </w:tcPr>
          <w:p w:rsidR="00674119" w:rsidRPr="00EB0619" w:rsidRDefault="000A4C79" w:rsidP="00E06FE4">
            <w:pPr>
              <w:pStyle w:val="Tabellentext"/>
              <w:keepNext/>
              <w:jc w:val="right"/>
              <w:rPr>
                <w:rFonts w:ascii="Arial" w:hAnsi="Arial" w:cs="Arial"/>
                <w:sz w:val="20"/>
                <w:szCs w:val="20"/>
                <w:lang w:val="en-US"/>
              </w:rPr>
            </w:pPr>
            <w:r>
              <w:rPr>
                <w:rFonts w:ascii="Arial" w:hAnsi="Arial" w:cs="Arial"/>
                <w:sz w:val="20"/>
                <w:szCs w:val="20"/>
                <w:lang w:val="en-US"/>
              </w:rPr>
              <w:t>0.00005</w:t>
            </w:r>
          </w:p>
        </w:tc>
        <w:tc>
          <w:tcPr>
            <w:tcW w:w="1377"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w:t>
            </w:r>
          </w:p>
        </w:tc>
        <w:tc>
          <w:tcPr>
            <w:tcW w:w="1269" w:type="dxa"/>
            <w:tcBorders>
              <w:right w:val="doub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S</w:t>
            </w:r>
          </w:p>
        </w:tc>
      </w:tr>
      <w:tr w:rsidR="00D87B44" w:rsidRPr="009E4277" w:rsidTr="00581806">
        <w:tc>
          <w:tcPr>
            <w:tcW w:w="3397" w:type="dxa"/>
            <w:tcBorders>
              <w:left w:val="double" w:sz="4" w:space="0" w:color="auto"/>
            </w:tcBorders>
          </w:tcPr>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 xml:space="preserve">Number of application sites per ha </w:t>
            </w:r>
          </w:p>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Rat control</w:t>
            </w:r>
          </w:p>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Mice control</w:t>
            </w:r>
          </w:p>
        </w:tc>
        <w:tc>
          <w:tcPr>
            <w:tcW w:w="1732"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N</w:t>
            </w:r>
            <w:r w:rsidRPr="00EB0619">
              <w:rPr>
                <w:rFonts w:ascii="Arial" w:hAnsi="Arial" w:cs="Arial"/>
                <w:sz w:val="20"/>
                <w:szCs w:val="20"/>
                <w:vertAlign w:val="subscript"/>
                <w:lang w:val="en-US"/>
              </w:rPr>
              <w:t>sites</w:t>
            </w:r>
          </w:p>
        </w:tc>
        <w:tc>
          <w:tcPr>
            <w:tcW w:w="1576" w:type="dxa"/>
          </w:tcPr>
          <w:p w:rsidR="006521FE" w:rsidRDefault="006521FE" w:rsidP="00E06FE4">
            <w:pPr>
              <w:pStyle w:val="Tabellentext"/>
              <w:keepNext/>
              <w:jc w:val="right"/>
              <w:rPr>
                <w:rFonts w:ascii="Arial" w:hAnsi="Arial" w:cs="Arial"/>
                <w:sz w:val="20"/>
                <w:szCs w:val="20"/>
                <w:lang w:val="en-US"/>
              </w:rPr>
            </w:pPr>
          </w:p>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100</w:t>
            </w:r>
          </w:p>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200</w:t>
            </w:r>
          </w:p>
        </w:tc>
        <w:tc>
          <w:tcPr>
            <w:tcW w:w="1377"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[ha</w:t>
            </w:r>
            <w:r w:rsidRPr="00EB0619">
              <w:rPr>
                <w:rFonts w:ascii="Arial" w:hAnsi="Arial" w:cs="Arial"/>
                <w:sz w:val="20"/>
                <w:szCs w:val="20"/>
                <w:vertAlign w:val="superscript"/>
                <w:lang w:val="en-US"/>
              </w:rPr>
              <w:t>-1</w:t>
            </w:r>
            <w:r w:rsidRPr="00EB0619">
              <w:rPr>
                <w:rFonts w:ascii="Arial" w:hAnsi="Arial" w:cs="Arial"/>
                <w:sz w:val="20"/>
                <w:szCs w:val="20"/>
                <w:lang w:val="en-US"/>
              </w:rPr>
              <w:t>]</w:t>
            </w:r>
          </w:p>
        </w:tc>
        <w:tc>
          <w:tcPr>
            <w:tcW w:w="1269" w:type="dxa"/>
            <w:tcBorders>
              <w:right w:val="doub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 xml:space="preserve">D </w:t>
            </w:r>
          </w:p>
        </w:tc>
      </w:tr>
      <w:tr w:rsidR="00D87B44" w:rsidRPr="009E4277" w:rsidTr="00581806">
        <w:trPr>
          <w:cnfStyle w:val="000000100000" w:firstRow="0" w:lastRow="0" w:firstColumn="0" w:lastColumn="0" w:oddVBand="0" w:evenVBand="0" w:oddHBand="1" w:evenHBand="0" w:firstRowFirstColumn="0" w:firstRowLastColumn="0" w:lastRowFirstColumn="0" w:lastRowLastColumn="0"/>
        </w:trPr>
        <w:tc>
          <w:tcPr>
            <w:tcW w:w="3397" w:type="dxa"/>
            <w:tcBorders>
              <w:left w:val="double" w:sz="4" w:space="0" w:color="auto"/>
            </w:tcBorders>
          </w:tcPr>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Fraction of active ingredient released directly</w:t>
            </w:r>
          </w:p>
        </w:tc>
        <w:tc>
          <w:tcPr>
            <w:tcW w:w="1732"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F</w:t>
            </w:r>
            <w:r w:rsidRPr="00EB0619">
              <w:rPr>
                <w:rFonts w:ascii="Arial" w:hAnsi="Arial" w:cs="Arial"/>
                <w:sz w:val="20"/>
                <w:szCs w:val="20"/>
                <w:vertAlign w:val="subscript"/>
                <w:lang w:val="en-US"/>
              </w:rPr>
              <w:t>release-D,soil</w:t>
            </w:r>
          </w:p>
        </w:tc>
        <w:tc>
          <w:tcPr>
            <w:tcW w:w="1576"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0.25</w:t>
            </w:r>
          </w:p>
        </w:tc>
        <w:tc>
          <w:tcPr>
            <w:tcW w:w="1377" w:type="dxa"/>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rPr>
              <w:t>[-]</w:t>
            </w:r>
          </w:p>
        </w:tc>
        <w:tc>
          <w:tcPr>
            <w:tcW w:w="1269" w:type="dxa"/>
            <w:tcBorders>
              <w:right w:val="doub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D</w:t>
            </w:r>
          </w:p>
        </w:tc>
      </w:tr>
      <w:tr w:rsidR="00674119" w:rsidRPr="009E4277" w:rsidTr="00581806">
        <w:tc>
          <w:tcPr>
            <w:tcW w:w="9351" w:type="dxa"/>
            <w:gridSpan w:val="5"/>
            <w:tcBorders>
              <w:left w:val="double" w:sz="4" w:space="0" w:color="auto"/>
              <w:right w:val="double" w:sz="4" w:space="0" w:color="auto"/>
            </w:tcBorders>
          </w:tcPr>
          <w:p w:rsidR="00674119" w:rsidRPr="00EB0619" w:rsidRDefault="00674119" w:rsidP="00E06FE4">
            <w:pPr>
              <w:pStyle w:val="Tabellentextfett"/>
              <w:keepNext/>
              <w:rPr>
                <w:rFonts w:ascii="Arial" w:hAnsi="Arial" w:cs="Arial"/>
                <w:sz w:val="20"/>
                <w:szCs w:val="20"/>
              </w:rPr>
            </w:pPr>
            <w:r w:rsidRPr="00EB0619">
              <w:rPr>
                <w:rFonts w:ascii="Arial" w:hAnsi="Arial" w:cs="Arial"/>
                <w:sz w:val="20"/>
                <w:szCs w:val="20"/>
              </w:rPr>
              <w:t>Output</w:t>
            </w:r>
          </w:p>
        </w:tc>
      </w:tr>
      <w:tr w:rsidR="00D87B44" w:rsidRPr="009E4277" w:rsidTr="00581806">
        <w:trPr>
          <w:cnfStyle w:val="000000100000" w:firstRow="0" w:lastRow="0" w:firstColumn="0" w:lastColumn="0" w:oddVBand="0" w:evenVBand="0" w:oddHBand="1" w:evenHBand="0" w:firstRowFirstColumn="0" w:firstRowLastColumn="0" w:lastRowFirstColumn="0" w:lastRowLastColumn="0"/>
        </w:trPr>
        <w:tc>
          <w:tcPr>
            <w:tcW w:w="3397" w:type="dxa"/>
            <w:tcBorders>
              <w:left w:val="double" w:sz="4" w:space="0" w:color="auto"/>
              <w:bottom w:val="nil"/>
            </w:tcBorders>
          </w:tcPr>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Local direct emission rate to soil from one application per ha</w:t>
            </w:r>
          </w:p>
        </w:tc>
        <w:tc>
          <w:tcPr>
            <w:tcW w:w="1732" w:type="dxa"/>
            <w:tcBorders>
              <w:bottom w:val="nil"/>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Elocal</w:t>
            </w:r>
            <w:r w:rsidRPr="00EB0619">
              <w:rPr>
                <w:rFonts w:ascii="Arial" w:hAnsi="Arial" w:cs="Arial"/>
                <w:sz w:val="20"/>
                <w:szCs w:val="20"/>
                <w:vertAlign w:val="subscript"/>
                <w:lang w:val="en-US"/>
              </w:rPr>
              <w:t>soil-D,one appl</w:t>
            </w:r>
          </w:p>
        </w:tc>
        <w:tc>
          <w:tcPr>
            <w:tcW w:w="1576" w:type="dxa"/>
            <w:tcBorders>
              <w:bottom w:val="nil"/>
            </w:tcBorders>
          </w:tcPr>
          <w:p w:rsidR="00674119" w:rsidRPr="00EB0619" w:rsidRDefault="00674119" w:rsidP="00E06FE4">
            <w:pPr>
              <w:pStyle w:val="Tabellentext"/>
              <w:keepNext/>
              <w:jc w:val="right"/>
              <w:rPr>
                <w:rFonts w:ascii="Arial" w:hAnsi="Arial" w:cs="Arial"/>
                <w:sz w:val="20"/>
                <w:szCs w:val="20"/>
                <w:lang w:val="en-US"/>
              </w:rPr>
            </w:pPr>
          </w:p>
        </w:tc>
        <w:tc>
          <w:tcPr>
            <w:tcW w:w="1377" w:type="dxa"/>
            <w:tcBorders>
              <w:bottom w:val="nil"/>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rPr>
              <w:t>[g.ha</w:t>
            </w:r>
            <w:r w:rsidRPr="00EB0619">
              <w:rPr>
                <w:rFonts w:ascii="Arial" w:hAnsi="Arial" w:cs="Arial"/>
                <w:sz w:val="20"/>
                <w:szCs w:val="20"/>
                <w:vertAlign w:val="superscript"/>
              </w:rPr>
              <w:t>-1</w:t>
            </w:r>
            <w:r w:rsidRPr="00EB0619">
              <w:rPr>
                <w:rFonts w:ascii="Arial" w:hAnsi="Arial" w:cs="Arial"/>
                <w:sz w:val="20"/>
                <w:szCs w:val="20"/>
              </w:rPr>
              <w:t>]</w:t>
            </w:r>
          </w:p>
        </w:tc>
        <w:tc>
          <w:tcPr>
            <w:tcW w:w="1269" w:type="dxa"/>
            <w:tcBorders>
              <w:bottom w:val="nil"/>
              <w:right w:val="doub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O</w:t>
            </w:r>
          </w:p>
        </w:tc>
      </w:tr>
      <w:tr w:rsidR="00D87B44" w:rsidRPr="009E4277" w:rsidTr="00581806">
        <w:tc>
          <w:tcPr>
            <w:tcW w:w="3397" w:type="dxa"/>
            <w:tcBorders>
              <w:left w:val="double" w:sz="4" w:space="0" w:color="auto"/>
              <w:bottom w:val="single" w:sz="4" w:space="0" w:color="auto"/>
            </w:tcBorders>
          </w:tcPr>
          <w:p w:rsidR="00674119" w:rsidRPr="00EB0619" w:rsidRDefault="00674119" w:rsidP="00E06FE4">
            <w:pPr>
              <w:pStyle w:val="Tabellentext"/>
              <w:keepNext/>
              <w:rPr>
                <w:rFonts w:ascii="Arial" w:hAnsi="Arial" w:cs="Arial"/>
                <w:sz w:val="20"/>
                <w:szCs w:val="20"/>
                <w:lang w:val="en-US"/>
              </w:rPr>
            </w:pPr>
            <w:r w:rsidRPr="00EB0619">
              <w:rPr>
                <w:rFonts w:ascii="Arial" w:hAnsi="Arial" w:cs="Arial"/>
                <w:sz w:val="20"/>
                <w:szCs w:val="20"/>
                <w:lang w:val="en-US"/>
              </w:rPr>
              <w:t>Application rate to soil from one application per ha</w:t>
            </w:r>
          </w:p>
        </w:tc>
        <w:tc>
          <w:tcPr>
            <w:tcW w:w="1732" w:type="dxa"/>
            <w:tcBorders>
              <w:bottom w:val="sing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App_rate</w:t>
            </w:r>
          </w:p>
        </w:tc>
        <w:tc>
          <w:tcPr>
            <w:tcW w:w="1576" w:type="dxa"/>
            <w:tcBorders>
              <w:bottom w:val="single" w:sz="4" w:space="0" w:color="auto"/>
            </w:tcBorders>
          </w:tcPr>
          <w:p w:rsidR="00674119" w:rsidRPr="00EB0619" w:rsidRDefault="00674119" w:rsidP="00E06FE4">
            <w:pPr>
              <w:pStyle w:val="Tabellentext"/>
              <w:keepNext/>
              <w:jc w:val="right"/>
              <w:rPr>
                <w:rFonts w:ascii="Arial" w:hAnsi="Arial" w:cs="Arial"/>
                <w:sz w:val="20"/>
                <w:szCs w:val="20"/>
                <w:lang w:val="en-US"/>
              </w:rPr>
            </w:pPr>
          </w:p>
        </w:tc>
        <w:tc>
          <w:tcPr>
            <w:tcW w:w="1377" w:type="dxa"/>
            <w:tcBorders>
              <w:bottom w:val="sing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rPr>
              <w:t>[kg.ha</w:t>
            </w:r>
            <w:r w:rsidRPr="00EB0619">
              <w:rPr>
                <w:rFonts w:ascii="Arial" w:hAnsi="Arial" w:cs="Arial"/>
                <w:sz w:val="20"/>
                <w:szCs w:val="20"/>
                <w:vertAlign w:val="superscript"/>
              </w:rPr>
              <w:t>-1</w:t>
            </w:r>
            <w:r w:rsidRPr="00EB0619">
              <w:rPr>
                <w:rFonts w:ascii="Arial" w:hAnsi="Arial" w:cs="Arial"/>
                <w:sz w:val="20"/>
                <w:szCs w:val="20"/>
              </w:rPr>
              <w:t>]</w:t>
            </w:r>
          </w:p>
        </w:tc>
        <w:tc>
          <w:tcPr>
            <w:tcW w:w="1269" w:type="dxa"/>
            <w:tcBorders>
              <w:bottom w:val="single" w:sz="4" w:space="0" w:color="auto"/>
              <w:right w:val="double" w:sz="4" w:space="0" w:color="auto"/>
            </w:tcBorders>
          </w:tcPr>
          <w:p w:rsidR="00674119" w:rsidRPr="00EB0619" w:rsidRDefault="00674119" w:rsidP="00E06FE4">
            <w:pPr>
              <w:pStyle w:val="Tabellentext"/>
              <w:keepNext/>
              <w:jc w:val="right"/>
              <w:rPr>
                <w:rFonts w:ascii="Arial" w:hAnsi="Arial" w:cs="Arial"/>
                <w:sz w:val="20"/>
                <w:szCs w:val="20"/>
                <w:lang w:val="en-US"/>
              </w:rPr>
            </w:pPr>
            <w:r w:rsidRPr="00EB0619">
              <w:rPr>
                <w:rFonts w:ascii="Arial" w:hAnsi="Arial" w:cs="Arial"/>
                <w:sz w:val="20"/>
                <w:szCs w:val="20"/>
                <w:lang w:val="en-US"/>
              </w:rPr>
              <w:t>O</w:t>
            </w:r>
          </w:p>
        </w:tc>
      </w:tr>
      <w:tr w:rsidR="00674119" w:rsidRPr="009E4277" w:rsidTr="00581806">
        <w:trPr>
          <w:cnfStyle w:val="000000100000" w:firstRow="0" w:lastRow="0" w:firstColumn="0" w:lastColumn="0" w:oddVBand="0" w:evenVBand="0" w:oddHBand="1" w:evenHBand="0" w:firstRowFirstColumn="0" w:firstRowLastColumn="0" w:lastRowFirstColumn="0" w:lastRowLastColumn="0"/>
        </w:trPr>
        <w:tc>
          <w:tcPr>
            <w:tcW w:w="9351" w:type="dxa"/>
            <w:gridSpan w:val="5"/>
            <w:tcBorders>
              <w:top w:val="single" w:sz="4" w:space="0" w:color="auto"/>
              <w:left w:val="double" w:sz="4" w:space="0" w:color="auto"/>
              <w:right w:val="double" w:sz="4" w:space="0" w:color="auto"/>
            </w:tcBorders>
          </w:tcPr>
          <w:p w:rsidR="00674119" w:rsidRPr="00EB0619" w:rsidRDefault="00674119" w:rsidP="00E06FE4">
            <w:pPr>
              <w:pStyle w:val="Tabellentextfett"/>
              <w:keepNext/>
              <w:rPr>
                <w:rFonts w:ascii="Arial" w:hAnsi="Arial" w:cs="Arial"/>
                <w:sz w:val="20"/>
                <w:szCs w:val="20"/>
              </w:rPr>
            </w:pPr>
            <w:r w:rsidRPr="00EB0619">
              <w:rPr>
                <w:rFonts w:ascii="Arial" w:hAnsi="Arial" w:cs="Arial"/>
                <w:sz w:val="20"/>
                <w:szCs w:val="20"/>
              </w:rPr>
              <w:t>Calculation</w:t>
            </w:r>
          </w:p>
        </w:tc>
      </w:tr>
      <w:tr w:rsidR="00674119" w:rsidRPr="009E4277" w:rsidTr="00581806">
        <w:tc>
          <w:tcPr>
            <w:tcW w:w="9351" w:type="dxa"/>
            <w:gridSpan w:val="5"/>
            <w:tcBorders>
              <w:left w:val="double" w:sz="4" w:space="0" w:color="auto"/>
              <w:bottom w:val="nil"/>
              <w:right w:val="double" w:sz="4" w:space="0" w:color="auto"/>
            </w:tcBorders>
          </w:tcPr>
          <w:p w:rsidR="00674119" w:rsidRPr="00EB0619" w:rsidRDefault="00674119" w:rsidP="00A139D3">
            <w:pPr>
              <w:pStyle w:val="Tabellentext"/>
              <w:keepNext/>
              <w:tabs>
                <w:tab w:val="left" w:pos="8925"/>
                <w:tab w:val="right" w:pos="9355"/>
              </w:tabs>
              <w:rPr>
                <w:rFonts w:ascii="Arial" w:hAnsi="Arial" w:cs="Arial"/>
                <w:sz w:val="20"/>
                <w:szCs w:val="20"/>
                <w:lang w:val="en-US"/>
              </w:rPr>
            </w:pPr>
            <w:r w:rsidRPr="00EB0619">
              <w:rPr>
                <w:rFonts w:ascii="Arial" w:hAnsi="Arial" w:cs="Arial"/>
                <w:sz w:val="20"/>
                <w:szCs w:val="20"/>
                <w:lang w:val="en-US"/>
              </w:rPr>
              <w:t>Elocal</w:t>
            </w:r>
            <w:r w:rsidRPr="00EB0619">
              <w:rPr>
                <w:rFonts w:ascii="Arial" w:hAnsi="Arial" w:cs="Arial"/>
                <w:sz w:val="20"/>
                <w:szCs w:val="20"/>
                <w:vertAlign w:val="subscript"/>
                <w:lang w:val="en-US"/>
              </w:rPr>
              <w:t>soil-D, one appl</w:t>
            </w:r>
            <w:r w:rsidRPr="00EB0619">
              <w:rPr>
                <w:rFonts w:ascii="Arial" w:hAnsi="Arial" w:cs="Arial"/>
                <w:sz w:val="20"/>
                <w:szCs w:val="20"/>
                <w:lang w:val="en-US"/>
              </w:rPr>
              <w:t xml:space="preserve"> = Q</w:t>
            </w:r>
            <w:r w:rsidRPr="00EB0619">
              <w:rPr>
                <w:rFonts w:ascii="Arial" w:hAnsi="Arial" w:cs="Arial"/>
                <w:sz w:val="20"/>
                <w:szCs w:val="20"/>
                <w:vertAlign w:val="subscript"/>
                <w:lang w:val="en-US"/>
              </w:rPr>
              <w:t>prod</w:t>
            </w:r>
            <w:r w:rsidRPr="00EB0619">
              <w:rPr>
                <w:rFonts w:ascii="Arial" w:hAnsi="Arial" w:cs="Arial"/>
                <w:sz w:val="20"/>
                <w:szCs w:val="20"/>
                <w:lang w:val="en-US"/>
              </w:rPr>
              <w:t xml:space="preserve"> • Fc</w:t>
            </w:r>
            <w:r w:rsidRPr="00EB0619">
              <w:rPr>
                <w:rFonts w:ascii="Arial" w:hAnsi="Arial" w:cs="Arial"/>
                <w:sz w:val="20"/>
                <w:szCs w:val="20"/>
                <w:vertAlign w:val="subscript"/>
                <w:lang w:val="en-US"/>
              </w:rPr>
              <w:t>product</w:t>
            </w:r>
            <w:r w:rsidRPr="00EB0619">
              <w:rPr>
                <w:rFonts w:ascii="Arial" w:hAnsi="Arial" w:cs="Arial"/>
                <w:sz w:val="20"/>
                <w:szCs w:val="20"/>
                <w:lang w:val="en-US"/>
              </w:rPr>
              <w:t xml:space="preserve"> • N</w:t>
            </w:r>
            <w:r w:rsidRPr="00EB0619">
              <w:rPr>
                <w:rFonts w:ascii="Arial" w:hAnsi="Arial" w:cs="Arial"/>
                <w:sz w:val="20"/>
                <w:szCs w:val="20"/>
                <w:vertAlign w:val="subscript"/>
                <w:lang w:val="en-US"/>
              </w:rPr>
              <w:t>sites</w:t>
            </w:r>
            <w:r w:rsidRPr="00EB0619">
              <w:rPr>
                <w:rFonts w:ascii="Arial" w:hAnsi="Arial" w:cs="Arial"/>
                <w:sz w:val="20"/>
                <w:szCs w:val="20"/>
                <w:lang w:val="en-US"/>
              </w:rPr>
              <w:t xml:space="preserve"> • F</w:t>
            </w:r>
            <w:r w:rsidRPr="00EB0619">
              <w:rPr>
                <w:rFonts w:ascii="Arial" w:hAnsi="Arial" w:cs="Arial"/>
                <w:sz w:val="20"/>
                <w:szCs w:val="20"/>
                <w:vertAlign w:val="subscript"/>
                <w:lang w:val="en-US"/>
              </w:rPr>
              <w:t>release-D,soil</w:t>
            </w:r>
            <w:r w:rsidR="00A139D3">
              <w:rPr>
                <w:rFonts w:ascii="Arial" w:hAnsi="Arial" w:cs="Arial"/>
                <w:sz w:val="20"/>
                <w:szCs w:val="20"/>
                <w:vertAlign w:val="subscript"/>
                <w:lang w:val="en-US"/>
              </w:rPr>
              <w:t xml:space="preserve"> </w:t>
            </w:r>
            <w:r w:rsidR="00A139D3" w:rsidRPr="00A139D3">
              <w:rPr>
                <w:rFonts w:ascii="Arial" w:hAnsi="Arial" w:cs="Arial"/>
                <w:sz w:val="20"/>
                <w:szCs w:val="20"/>
                <w:lang w:val="en-US"/>
              </w:rPr>
              <w:t>= 0.0625 g/ha</w:t>
            </w:r>
            <w:r w:rsidR="00A139D3">
              <w:rPr>
                <w:rFonts w:ascii="Arial" w:hAnsi="Arial" w:cs="Arial"/>
                <w:sz w:val="20"/>
                <w:szCs w:val="20"/>
                <w:vertAlign w:val="subscript"/>
                <w:lang w:val="en-US"/>
              </w:rPr>
              <w:t xml:space="preserve"> </w:t>
            </w:r>
            <w:r w:rsidR="00A139D3">
              <w:rPr>
                <w:rFonts w:ascii="Arial" w:hAnsi="Arial" w:cs="Arial"/>
                <w:sz w:val="20"/>
                <w:szCs w:val="20"/>
                <w:lang w:val="en-US"/>
              </w:rPr>
              <w:t>for mice and 0.5 g/ha for rats</w:t>
            </w:r>
          </w:p>
        </w:tc>
      </w:tr>
      <w:tr w:rsidR="00674119" w:rsidRPr="009E4277" w:rsidTr="00581806">
        <w:trPr>
          <w:cnfStyle w:val="000000100000" w:firstRow="0" w:lastRow="0" w:firstColumn="0" w:lastColumn="0" w:oddVBand="0" w:evenVBand="0" w:oddHBand="1" w:evenHBand="0" w:firstRowFirstColumn="0" w:firstRowLastColumn="0" w:lastRowFirstColumn="0" w:lastRowLastColumn="0"/>
        </w:trPr>
        <w:tc>
          <w:tcPr>
            <w:tcW w:w="9351" w:type="dxa"/>
            <w:gridSpan w:val="5"/>
            <w:tcBorders>
              <w:left w:val="double" w:sz="4" w:space="0" w:color="auto"/>
              <w:bottom w:val="double" w:sz="4" w:space="0" w:color="auto"/>
              <w:right w:val="double" w:sz="4" w:space="0" w:color="auto"/>
            </w:tcBorders>
          </w:tcPr>
          <w:p w:rsidR="00674119" w:rsidRPr="00EB0619" w:rsidRDefault="00674119" w:rsidP="00A139D3">
            <w:pPr>
              <w:pStyle w:val="Tabellentext"/>
              <w:keepNext/>
              <w:tabs>
                <w:tab w:val="right" w:pos="9355"/>
              </w:tabs>
              <w:rPr>
                <w:rFonts w:ascii="Arial" w:hAnsi="Arial" w:cs="Arial"/>
                <w:sz w:val="20"/>
                <w:szCs w:val="20"/>
                <w:lang w:val="en-US"/>
              </w:rPr>
            </w:pPr>
            <w:r w:rsidRPr="00EB0619">
              <w:rPr>
                <w:rFonts w:ascii="Arial" w:hAnsi="Arial" w:cs="Arial"/>
                <w:sz w:val="20"/>
                <w:szCs w:val="20"/>
                <w:lang w:val="en-US"/>
              </w:rPr>
              <w:t>App_rate</w:t>
            </w:r>
            <w:r w:rsidRPr="00EB0619">
              <w:rPr>
                <w:rFonts w:ascii="Arial" w:hAnsi="Arial" w:cs="Arial"/>
                <w:sz w:val="20"/>
                <w:szCs w:val="20"/>
                <w:vertAlign w:val="subscript"/>
                <w:lang w:val="en-US"/>
              </w:rPr>
              <w:t xml:space="preserve"> </w:t>
            </w:r>
            <w:r w:rsidRPr="00EB0619">
              <w:rPr>
                <w:rFonts w:ascii="Arial" w:hAnsi="Arial" w:cs="Arial"/>
                <w:sz w:val="20"/>
                <w:szCs w:val="20"/>
                <w:lang w:val="en-US"/>
              </w:rPr>
              <w:t>= Elocal</w:t>
            </w:r>
            <w:r w:rsidRPr="00EB0619">
              <w:rPr>
                <w:rFonts w:ascii="Arial" w:hAnsi="Arial" w:cs="Arial"/>
                <w:sz w:val="20"/>
                <w:szCs w:val="20"/>
                <w:vertAlign w:val="subscript"/>
                <w:lang w:val="en-US"/>
              </w:rPr>
              <w:t xml:space="preserve">soil-D, one appl </w:t>
            </w:r>
            <w:r w:rsidRPr="00EB0619">
              <w:rPr>
                <w:rFonts w:ascii="Arial" w:hAnsi="Arial" w:cs="Arial"/>
                <w:sz w:val="20"/>
                <w:szCs w:val="20"/>
                <w:lang w:val="en-US"/>
              </w:rPr>
              <w:t>• 10</w:t>
            </w:r>
            <w:r w:rsidRPr="00EB0619">
              <w:rPr>
                <w:rFonts w:ascii="Arial" w:hAnsi="Arial" w:cs="Arial"/>
                <w:sz w:val="20"/>
                <w:szCs w:val="20"/>
                <w:vertAlign w:val="superscript"/>
                <w:lang w:val="en-US"/>
              </w:rPr>
              <w:t>-3</w:t>
            </w:r>
            <w:r w:rsidR="00A139D3">
              <w:rPr>
                <w:rFonts w:ascii="Arial" w:hAnsi="Arial" w:cs="Arial"/>
                <w:sz w:val="20"/>
                <w:szCs w:val="20"/>
                <w:lang w:val="en-US"/>
              </w:rPr>
              <w:t xml:space="preserve"> </w:t>
            </w:r>
            <w:r w:rsidR="00D87B44">
              <w:rPr>
                <w:rFonts w:ascii="Arial" w:hAnsi="Arial" w:cs="Arial"/>
                <w:sz w:val="20"/>
                <w:szCs w:val="20"/>
                <w:lang w:val="en-US"/>
              </w:rPr>
              <w:t>= 6.25E-05 kg/ha for mice and 5E-04 kg/ha for rats</w:t>
            </w:r>
            <w:r w:rsidRPr="00EB0619">
              <w:rPr>
                <w:rFonts w:ascii="Arial" w:hAnsi="Arial" w:cs="Arial"/>
                <w:sz w:val="20"/>
                <w:szCs w:val="20"/>
                <w:vertAlign w:val="subscript"/>
                <w:lang w:val="en-US"/>
              </w:rPr>
              <w:tab/>
            </w:r>
          </w:p>
        </w:tc>
      </w:tr>
    </w:tbl>
    <w:p w:rsidR="004E56CE" w:rsidRDefault="004E56CE" w:rsidP="004E56CE"/>
    <w:p w:rsidR="004E56CE" w:rsidRPr="004E56CE" w:rsidRDefault="004E56CE" w:rsidP="004E56CE">
      <w:pPr>
        <w:rPr>
          <w:b/>
        </w:rPr>
      </w:pPr>
      <w:r w:rsidRPr="004E56CE">
        <w:rPr>
          <w:b/>
        </w:rPr>
        <w:t>Physico-chemical properties of bromadiolone used for groundwater modelling</w:t>
      </w:r>
    </w:p>
    <w:tbl>
      <w:tblPr>
        <w:tblW w:w="335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47"/>
        <w:gridCol w:w="3585"/>
      </w:tblGrid>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Molar mass</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527.4 g.mol-1</w:t>
            </w:r>
          </w:p>
        </w:tc>
      </w:tr>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Vapour pressure</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2.13E-08 Pa at 20°C</w:t>
            </w:r>
          </w:p>
        </w:tc>
      </w:tr>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Water solubility</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18.4  mg.L-1 at 20°C</w:t>
            </w:r>
          </w:p>
        </w:tc>
      </w:tr>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Kom</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8567.28  L.kg-1 at 20°C</w:t>
            </w:r>
          </w:p>
        </w:tc>
      </w:tr>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Freundlich exponent</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1</w:t>
            </w:r>
          </w:p>
        </w:tc>
      </w:tr>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DT50soil</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1E+06 d at 12°C</w:t>
            </w:r>
          </w:p>
        </w:tc>
      </w:tr>
      <w:tr w:rsidR="004E56CE" w:rsidRPr="00581806" w:rsidTr="00581806">
        <w:tc>
          <w:tcPr>
            <w:tcW w:w="2124" w:type="pct"/>
            <w:shd w:val="clear" w:color="auto" w:fill="auto"/>
          </w:tcPr>
          <w:p w:rsidR="004E56CE" w:rsidRPr="00581806" w:rsidRDefault="004E56CE" w:rsidP="00581806">
            <w:pPr>
              <w:rPr>
                <w:rFonts w:cs="Arial"/>
                <w:color w:val="000000"/>
              </w:rPr>
            </w:pPr>
            <w:r w:rsidRPr="00581806">
              <w:rPr>
                <w:rFonts w:cs="Arial"/>
                <w:color w:val="000000"/>
              </w:rPr>
              <w:t>Molar activation energy</w:t>
            </w:r>
          </w:p>
        </w:tc>
        <w:tc>
          <w:tcPr>
            <w:tcW w:w="2876" w:type="pct"/>
            <w:shd w:val="clear" w:color="auto" w:fill="auto"/>
          </w:tcPr>
          <w:p w:rsidR="004E56CE" w:rsidRPr="00581806" w:rsidRDefault="004E56CE" w:rsidP="00581806">
            <w:pPr>
              <w:rPr>
                <w:rFonts w:cs="Arial"/>
                <w:color w:val="000000"/>
              </w:rPr>
            </w:pPr>
            <w:r w:rsidRPr="00581806">
              <w:rPr>
                <w:rFonts w:cs="Arial"/>
                <w:color w:val="000000"/>
              </w:rPr>
              <w:t>54 kJ.mol-1</w:t>
            </w:r>
          </w:p>
        </w:tc>
      </w:tr>
    </w:tbl>
    <w:p w:rsidR="004E56CE" w:rsidRDefault="004E56CE" w:rsidP="004E56CE"/>
    <w:p w:rsidR="004E56CE" w:rsidRPr="004E56CE" w:rsidRDefault="004E56CE" w:rsidP="0071441D">
      <w:pPr>
        <w:keepNext/>
        <w:keepLines/>
        <w:rPr>
          <w:rFonts w:cs="Arial"/>
          <w:b/>
          <w:lang w:val="en-US"/>
        </w:rPr>
      </w:pPr>
      <w:r w:rsidRPr="004E56CE">
        <w:rPr>
          <w:rFonts w:cs="Arial"/>
          <w:b/>
          <w:lang w:val="en-US"/>
        </w:rPr>
        <w:lastRenderedPageBreak/>
        <w:t xml:space="preserve">Results </w:t>
      </w:r>
      <w:r w:rsidR="0071441D">
        <w:rPr>
          <w:rFonts w:cs="Arial"/>
          <w:b/>
          <w:lang w:val="en-US"/>
        </w:rPr>
        <w:t xml:space="preserve"> groundwater assessment</w:t>
      </w:r>
      <w:r w:rsidRPr="004E56CE">
        <w:rPr>
          <w:rFonts w:cs="Arial"/>
          <w:b/>
          <w:lang w:val="en-US"/>
        </w:rPr>
        <w:t>:</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5"/>
        <w:gridCol w:w="2045"/>
        <w:gridCol w:w="2217"/>
      </w:tblGrid>
      <w:tr w:rsidR="00A42191" w:rsidRPr="00581806" w:rsidTr="00A42191">
        <w:trPr>
          <w:trHeight w:val="255"/>
        </w:trPr>
        <w:tc>
          <w:tcPr>
            <w:tcW w:w="2045" w:type="dxa"/>
            <w:tcBorders>
              <w:top w:val="double" w:sz="4" w:space="0" w:color="auto"/>
              <w:left w:val="double" w:sz="4" w:space="0" w:color="auto"/>
              <w:bottom w:val="nil"/>
            </w:tcBorders>
            <w:shd w:val="clear" w:color="auto" w:fill="auto"/>
            <w:noWrap/>
            <w:vAlign w:val="bottom"/>
            <w:hideMark/>
          </w:tcPr>
          <w:p w:rsidR="00A42191" w:rsidRPr="00A42191" w:rsidRDefault="00A42191" w:rsidP="00A42191">
            <w:pPr>
              <w:keepNext/>
              <w:keepLines/>
              <w:rPr>
                <w:rFonts w:cs="Arial"/>
                <w:b/>
                <w:color w:val="000000"/>
              </w:rPr>
            </w:pPr>
            <w:r w:rsidRPr="00A42191">
              <w:rPr>
                <w:rFonts w:cs="Arial"/>
                <w:b/>
                <w:color w:val="000000"/>
              </w:rPr>
              <w:t>LOCATION</w:t>
            </w:r>
          </w:p>
        </w:tc>
        <w:tc>
          <w:tcPr>
            <w:tcW w:w="4262" w:type="dxa"/>
            <w:gridSpan w:val="2"/>
            <w:tcBorders>
              <w:top w:val="double" w:sz="4" w:space="0" w:color="auto"/>
              <w:bottom w:val="nil"/>
              <w:right w:val="double" w:sz="4" w:space="0" w:color="auto"/>
            </w:tcBorders>
          </w:tcPr>
          <w:p w:rsidR="00A42191" w:rsidRPr="00581806" w:rsidRDefault="00A42191" w:rsidP="0071441D">
            <w:pPr>
              <w:keepNext/>
              <w:keepLines/>
              <w:rPr>
                <w:rFonts w:cs="Arial"/>
                <w:b/>
                <w:color w:val="000000"/>
              </w:rPr>
            </w:pPr>
            <w:r w:rsidRPr="00581806">
              <w:rPr>
                <w:rFonts w:cs="Arial"/>
                <w:b/>
                <w:color w:val="000000"/>
                <w:lang w:val="en-US"/>
              </w:rPr>
              <w:t>Concentration closest to the 80th percentile (</w:t>
            </w:r>
            <w:r>
              <w:rPr>
                <w:rFonts w:cs="Arial"/>
                <w:b/>
                <w:color w:val="000000"/>
                <w:lang w:val="en-US"/>
              </w:rPr>
              <w:t>µ</w:t>
            </w:r>
            <w:r w:rsidRPr="00581806">
              <w:rPr>
                <w:rFonts w:cs="Arial"/>
                <w:b/>
                <w:color w:val="000000"/>
                <w:lang w:val="en-US"/>
              </w:rPr>
              <w:t xml:space="preserve">g/L) </w:t>
            </w:r>
          </w:p>
        </w:tc>
      </w:tr>
      <w:tr w:rsidR="00A42191" w:rsidRPr="004B4A13" w:rsidTr="0071441D">
        <w:trPr>
          <w:trHeight w:val="255"/>
        </w:trPr>
        <w:tc>
          <w:tcPr>
            <w:tcW w:w="2045" w:type="dxa"/>
            <w:tcBorders>
              <w:top w:val="nil"/>
              <w:left w:val="double" w:sz="4" w:space="0" w:color="auto"/>
            </w:tcBorders>
            <w:shd w:val="clear" w:color="auto" w:fill="auto"/>
            <w:noWrap/>
            <w:vAlign w:val="bottom"/>
          </w:tcPr>
          <w:p w:rsidR="00A42191" w:rsidRPr="004B4A13" w:rsidRDefault="00A42191" w:rsidP="0071441D">
            <w:pPr>
              <w:keepNext/>
              <w:keepLines/>
              <w:rPr>
                <w:rFonts w:cs="Arial"/>
                <w:color w:val="000000"/>
              </w:rPr>
            </w:pPr>
          </w:p>
        </w:tc>
        <w:tc>
          <w:tcPr>
            <w:tcW w:w="2045" w:type="dxa"/>
            <w:tcBorders>
              <w:top w:val="nil"/>
            </w:tcBorders>
          </w:tcPr>
          <w:p w:rsidR="00A42191" w:rsidRPr="00581806" w:rsidRDefault="00A42191" w:rsidP="0071441D">
            <w:pPr>
              <w:keepNext/>
              <w:keepLines/>
              <w:rPr>
                <w:rFonts w:cs="Arial"/>
                <w:b/>
                <w:color w:val="000000"/>
                <w:lang w:val="en-US"/>
              </w:rPr>
            </w:pPr>
            <w:r w:rsidRPr="00581806">
              <w:rPr>
                <w:rFonts w:cs="Arial"/>
                <w:b/>
                <w:color w:val="000000"/>
                <w:lang w:val="en-US"/>
              </w:rPr>
              <w:t>Control of mice</w:t>
            </w:r>
          </w:p>
        </w:tc>
        <w:tc>
          <w:tcPr>
            <w:tcW w:w="2217" w:type="dxa"/>
            <w:tcBorders>
              <w:top w:val="nil"/>
              <w:right w:val="double" w:sz="4" w:space="0" w:color="auto"/>
            </w:tcBorders>
          </w:tcPr>
          <w:p w:rsidR="00A42191" w:rsidRPr="00581806" w:rsidRDefault="00A42191" w:rsidP="0071441D">
            <w:pPr>
              <w:keepNext/>
              <w:keepLines/>
              <w:rPr>
                <w:rFonts w:cs="Arial"/>
                <w:b/>
                <w:color w:val="000000"/>
                <w:lang w:val="en-US"/>
              </w:rPr>
            </w:pPr>
            <w:r w:rsidRPr="00581806">
              <w:rPr>
                <w:rFonts w:cs="Arial"/>
                <w:b/>
                <w:color w:val="000000"/>
                <w:lang w:val="en-US"/>
              </w:rPr>
              <w:t>Control of rats</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CHATEAUDUN</w:t>
            </w:r>
          </w:p>
        </w:tc>
        <w:tc>
          <w:tcPr>
            <w:tcW w:w="2045" w:type="dxa"/>
          </w:tcPr>
          <w:p w:rsidR="00A42191" w:rsidRPr="004B4A13" w:rsidRDefault="00A42191" w:rsidP="0071441D">
            <w:pPr>
              <w:keepNext/>
              <w:keepLines/>
              <w:rPr>
                <w:rFonts w:cs="Arial"/>
                <w:color w:val="000000"/>
              </w:rPr>
            </w:pPr>
            <w:r>
              <w:rPr>
                <w:rFonts w:cs="Arial"/>
                <w:color w:val="000000"/>
              </w:rPr>
              <w:t>&lt; 0.001</w:t>
            </w:r>
          </w:p>
        </w:tc>
        <w:tc>
          <w:tcPr>
            <w:tcW w:w="2217" w:type="dxa"/>
            <w:tcBorders>
              <w:right w:val="double" w:sz="4" w:space="0" w:color="auto"/>
            </w:tcBorders>
            <w:vAlign w:val="bottom"/>
          </w:tcPr>
          <w:p w:rsidR="00A42191" w:rsidRPr="004B4A13" w:rsidRDefault="00A42191" w:rsidP="0071441D">
            <w:pPr>
              <w:keepNext/>
              <w:keepLines/>
              <w:rPr>
                <w:rFonts w:cs="Arial"/>
                <w:color w:val="000000"/>
              </w:rPr>
            </w:pPr>
            <w:r>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HAMBURG</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JOKIOINEN</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KREMSMUENSTER</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OKEHAMPTON</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PIACENZA</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PORTO</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SEVILLA</w:t>
            </w:r>
          </w:p>
        </w:tc>
        <w:tc>
          <w:tcPr>
            <w:tcW w:w="2045" w:type="dxa"/>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r w:rsidR="00A42191" w:rsidRPr="004B4A13" w:rsidTr="0071441D">
        <w:trPr>
          <w:trHeight w:val="255"/>
        </w:trPr>
        <w:tc>
          <w:tcPr>
            <w:tcW w:w="2045" w:type="dxa"/>
            <w:tcBorders>
              <w:left w:val="double" w:sz="4" w:space="0" w:color="auto"/>
              <w:bottom w:val="double" w:sz="4" w:space="0" w:color="auto"/>
            </w:tcBorders>
            <w:shd w:val="clear" w:color="auto" w:fill="auto"/>
            <w:noWrap/>
            <w:vAlign w:val="bottom"/>
            <w:hideMark/>
          </w:tcPr>
          <w:p w:rsidR="00A42191" w:rsidRPr="004B4A13" w:rsidRDefault="00A42191" w:rsidP="0071441D">
            <w:pPr>
              <w:keepNext/>
              <w:keepLines/>
              <w:rPr>
                <w:rFonts w:cs="Arial"/>
                <w:color w:val="000000"/>
              </w:rPr>
            </w:pPr>
            <w:r w:rsidRPr="004B4A13">
              <w:rPr>
                <w:rFonts w:cs="Arial"/>
                <w:color w:val="000000"/>
              </w:rPr>
              <w:t>THIVA</w:t>
            </w:r>
          </w:p>
        </w:tc>
        <w:tc>
          <w:tcPr>
            <w:tcW w:w="2045" w:type="dxa"/>
            <w:tcBorders>
              <w:bottom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c>
          <w:tcPr>
            <w:tcW w:w="2217" w:type="dxa"/>
            <w:tcBorders>
              <w:bottom w:val="double" w:sz="4" w:space="0" w:color="auto"/>
              <w:right w:val="double" w:sz="4" w:space="0" w:color="auto"/>
            </w:tcBorders>
          </w:tcPr>
          <w:p w:rsidR="00A42191" w:rsidRPr="004B4A13" w:rsidRDefault="00A42191" w:rsidP="0071441D">
            <w:pPr>
              <w:keepNext/>
              <w:keepLines/>
              <w:rPr>
                <w:rFonts w:cs="Arial"/>
                <w:color w:val="000000"/>
              </w:rPr>
            </w:pPr>
            <w:r w:rsidRPr="006D7DBE">
              <w:rPr>
                <w:rFonts w:cs="Arial"/>
                <w:color w:val="000000"/>
              </w:rPr>
              <w:t>&lt; 0.001</w:t>
            </w:r>
          </w:p>
        </w:tc>
      </w:tr>
    </w:tbl>
    <w:p w:rsidR="004E56CE" w:rsidRDefault="004E56CE" w:rsidP="004E56CE"/>
    <w:p w:rsidR="004E56CE" w:rsidRDefault="004E56CE" w:rsidP="004E56CE">
      <w:pPr>
        <w:rPr>
          <w:rFonts w:cs="Arial"/>
          <w:lang w:val="en-US"/>
        </w:rPr>
      </w:pPr>
      <w:r w:rsidRPr="003467DE">
        <w:rPr>
          <w:rFonts w:cs="Arial"/>
          <w:lang w:val="en-US"/>
        </w:rPr>
        <w:t>According to the PEARL 4.4.4 modelling, the risk is acceptable in groundwater for the use of Maki Pat’ in open areas.</w:t>
      </w:r>
    </w:p>
    <w:p w:rsidR="007F6432" w:rsidRDefault="007F6432" w:rsidP="004E56CE">
      <w:pPr>
        <w:rPr>
          <w:rFonts w:cs="Arial"/>
          <w:lang w:val="en-US"/>
        </w:rPr>
      </w:pPr>
    </w:p>
    <w:p w:rsidR="0071441D" w:rsidRPr="0071441D" w:rsidRDefault="0071441D" w:rsidP="004E56CE">
      <w:pPr>
        <w:rPr>
          <w:rFonts w:cs="Arial"/>
          <w:b/>
          <w:lang w:val="en-US"/>
        </w:rPr>
      </w:pPr>
      <w:r>
        <w:rPr>
          <w:rFonts w:cs="Arial"/>
          <w:b/>
          <w:lang w:val="en-US"/>
        </w:rPr>
        <w:t>Conclusions</w:t>
      </w:r>
    </w:p>
    <w:p w:rsidR="007F6432" w:rsidRDefault="007F6432" w:rsidP="007F6432">
      <w:r>
        <w:t>The table below s</w:t>
      </w:r>
      <w:r w:rsidRPr="00DA420B">
        <w:t>ummarises the</w:t>
      </w:r>
      <w:r>
        <w:t xml:space="preserve"> risks for the</w:t>
      </w:r>
      <w:r w:rsidRPr="00DA420B">
        <w:t xml:space="preserve"> receiving environmental compartments that have been identified as </w:t>
      </w:r>
      <w:r w:rsidRPr="00542F4D">
        <w:t xml:space="preserve">potentially exposed during the use of the product for the different </w:t>
      </w:r>
      <w:r>
        <w:t>intended uses of the product</w:t>
      </w:r>
      <w:r w:rsidRPr="00542F4D">
        <w:t>.</w:t>
      </w:r>
    </w:p>
    <w:p w:rsidR="007F6432" w:rsidRDefault="007F6432" w:rsidP="007F6432">
      <w:pPr>
        <w:spacing w:line="240" w:lineRule="auto"/>
        <w:rPr>
          <w:b/>
          <w:bCs/>
        </w:rPr>
      </w:pPr>
    </w:p>
    <w:p w:rsidR="007F6432" w:rsidRPr="00DA420B" w:rsidRDefault="007F6432" w:rsidP="007F6432">
      <w:pPr>
        <w:pStyle w:val="Bijschrift"/>
      </w:pPr>
      <w:r w:rsidRPr="00DA420B">
        <w:t xml:space="preserve"> </w:t>
      </w:r>
      <w:r>
        <w:t>Risks for the f</w:t>
      </w:r>
      <w:r w:rsidRPr="00DA420B">
        <w:t>oreseeable routes of entry into the environment on the basis of the intended use</w:t>
      </w:r>
      <w:r>
        <w:t>s</w:t>
      </w:r>
      <w:r w:rsidRPr="00DA420B">
        <w:t>.</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2444"/>
        <w:gridCol w:w="1070"/>
        <w:gridCol w:w="1749"/>
        <w:gridCol w:w="1333"/>
        <w:gridCol w:w="986"/>
        <w:gridCol w:w="1546"/>
      </w:tblGrid>
      <w:tr w:rsidR="007F6432" w:rsidRPr="00DA420B" w:rsidTr="005B09E7">
        <w:trPr>
          <w:cantSplit/>
          <w:trHeight w:val="20"/>
          <w:tblHeader/>
        </w:trPr>
        <w:tc>
          <w:tcPr>
            <w:tcW w:w="1339" w:type="pct"/>
            <w:vMerge w:val="restart"/>
            <w:tcBorders>
              <w:top w:val="double" w:sz="4" w:space="0" w:color="auto"/>
              <w:left w:val="double" w:sz="4" w:space="0" w:color="auto"/>
              <w:right w:val="single" w:sz="4" w:space="0" w:color="auto"/>
            </w:tcBorders>
            <w:vAlign w:val="center"/>
          </w:tcPr>
          <w:p w:rsidR="007F6432" w:rsidRPr="00DA420B" w:rsidRDefault="007F6432" w:rsidP="00A42191">
            <w:pPr>
              <w:keepNext/>
              <w:jc w:val="center"/>
              <w:rPr>
                <w:rFonts w:cs="Arial"/>
                <w:b/>
                <w:bCs/>
                <w:sz w:val="18"/>
                <w:szCs w:val="18"/>
              </w:rPr>
            </w:pPr>
            <w:r>
              <w:rPr>
                <w:rFonts w:cs="Arial"/>
                <w:b/>
                <w:bCs/>
                <w:sz w:val="18"/>
                <w:szCs w:val="18"/>
              </w:rPr>
              <w:t>Intended use</w:t>
            </w:r>
          </w:p>
        </w:tc>
        <w:tc>
          <w:tcPr>
            <w:tcW w:w="3661" w:type="pct"/>
            <w:gridSpan w:val="5"/>
            <w:tcBorders>
              <w:top w:val="double" w:sz="4" w:space="0" w:color="auto"/>
              <w:left w:val="single" w:sz="4" w:space="0" w:color="auto"/>
              <w:bottom w:val="single" w:sz="4" w:space="0" w:color="auto"/>
              <w:right w:val="double" w:sz="4" w:space="0" w:color="auto"/>
            </w:tcBorders>
          </w:tcPr>
          <w:p w:rsidR="007F6432" w:rsidRPr="00DA420B" w:rsidRDefault="007F6432" w:rsidP="00A42191">
            <w:pPr>
              <w:keepNext/>
              <w:jc w:val="center"/>
              <w:rPr>
                <w:rFonts w:cs="Arial"/>
                <w:b/>
                <w:bCs/>
                <w:sz w:val="18"/>
                <w:szCs w:val="18"/>
              </w:rPr>
            </w:pPr>
            <w:r>
              <w:rPr>
                <w:rFonts w:cs="Arial"/>
                <w:b/>
                <w:bCs/>
                <w:sz w:val="18"/>
                <w:szCs w:val="18"/>
              </w:rPr>
              <w:t>Risk for e</w:t>
            </w:r>
            <w:r w:rsidRPr="00DA420B">
              <w:rPr>
                <w:rFonts w:cs="Arial"/>
                <w:b/>
                <w:bCs/>
                <w:sz w:val="18"/>
                <w:szCs w:val="18"/>
              </w:rPr>
              <w:t>nvironmental compartments exposed</w:t>
            </w:r>
          </w:p>
        </w:tc>
      </w:tr>
      <w:tr w:rsidR="007F6432" w:rsidRPr="00DA420B" w:rsidTr="005B09E7">
        <w:trPr>
          <w:cantSplit/>
          <w:trHeight w:val="20"/>
          <w:tblHeader/>
        </w:trPr>
        <w:tc>
          <w:tcPr>
            <w:tcW w:w="1339" w:type="pct"/>
            <w:vMerge/>
            <w:tcBorders>
              <w:left w:val="double" w:sz="4" w:space="0" w:color="auto"/>
              <w:bottom w:val="single" w:sz="4" w:space="0" w:color="auto"/>
              <w:right w:val="single" w:sz="4" w:space="0" w:color="auto"/>
            </w:tcBorders>
          </w:tcPr>
          <w:p w:rsidR="007F6432" w:rsidRPr="00DA420B" w:rsidRDefault="007F6432" w:rsidP="00A42191">
            <w:pPr>
              <w:keepNext/>
              <w:rPr>
                <w:rFonts w:cs="Arial"/>
                <w:b/>
                <w:bCs/>
                <w:sz w:val="18"/>
                <w:szCs w:val="18"/>
              </w:rPr>
            </w:pPr>
          </w:p>
        </w:tc>
        <w:tc>
          <w:tcPr>
            <w:tcW w:w="586" w:type="pct"/>
            <w:tcBorders>
              <w:top w:val="single" w:sz="4" w:space="0" w:color="auto"/>
              <w:left w:val="single" w:sz="4" w:space="0" w:color="auto"/>
              <w:bottom w:val="single" w:sz="4" w:space="0" w:color="auto"/>
              <w:right w:val="single" w:sz="4" w:space="0" w:color="auto"/>
            </w:tcBorders>
          </w:tcPr>
          <w:p w:rsidR="007F6432" w:rsidRPr="00DA420B" w:rsidRDefault="007F6432" w:rsidP="00A42191">
            <w:pPr>
              <w:keepNext/>
              <w:jc w:val="center"/>
              <w:rPr>
                <w:rFonts w:cs="Arial"/>
                <w:b/>
                <w:bCs/>
                <w:sz w:val="18"/>
                <w:szCs w:val="18"/>
                <w:vertAlign w:val="superscript"/>
              </w:rPr>
            </w:pPr>
            <w:r w:rsidRPr="00DA420B">
              <w:rPr>
                <w:rFonts w:cs="Arial"/>
                <w:b/>
                <w:bCs/>
                <w:sz w:val="18"/>
                <w:szCs w:val="18"/>
              </w:rPr>
              <w:t>STP</w:t>
            </w:r>
            <w:r>
              <w:rPr>
                <w:rFonts w:cs="Arial"/>
                <w:b/>
                <w:bCs/>
                <w:sz w:val="18"/>
                <w:szCs w:val="18"/>
                <w:vertAlign w:val="superscript"/>
              </w:rPr>
              <w:t>1</w:t>
            </w:r>
          </w:p>
        </w:tc>
        <w:tc>
          <w:tcPr>
            <w:tcW w:w="958" w:type="pct"/>
            <w:tcBorders>
              <w:left w:val="single" w:sz="4" w:space="0" w:color="auto"/>
              <w:bottom w:val="single" w:sz="4" w:space="0" w:color="auto"/>
              <w:right w:val="single" w:sz="4" w:space="0" w:color="auto"/>
            </w:tcBorders>
            <w:shd w:val="clear" w:color="auto" w:fill="auto"/>
          </w:tcPr>
          <w:p w:rsidR="007F6432" w:rsidRPr="00DA420B" w:rsidRDefault="007F6432" w:rsidP="00A42191">
            <w:pPr>
              <w:keepNext/>
              <w:jc w:val="center"/>
              <w:rPr>
                <w:rFonts w:cs="Arial"/>
                <w:b/>
                <w:bCs/>
                <w:sz w:val="18"/>
                <w:szCs w:val="18"/>
                <w:vertAlign w:val="superscript"/>
              </w:rPr>
            </w:pPr>
            <w:r w:rsidRPr="00DA420B">
              <w:rPr>
                <w:rFonts w:cs="Arial"/>
                <w:b/>
                <w:bCs/>
                <w:sz w:val="18"/>
                <w:szCs w:val="18"/>
              </w:rPr>
              <w:t>Freshwater</w:t>
            </w:r>
            <w:r>
              <w:rPr>
                <w:rFonts w:cs="Arial"/>
                <w:b/>
                <w:bCs/>
                <w:sz w:val="18"/>
                <w:szCs w:val="18"/>
                <w:vertAlign w:val="superscript"/>
              </w:rPr>
              <w:t>2</w:t>
            </w:r>
          </w:p>
        </w:tc>
        <w:tc>
          <w:tcPr>
            <w:tcW w:w="730" w:type="pct"/>
            <w:tcBorders>
              <w:left w:val="single" w:sz="4" w:space="0" w:color="auto"/>
              <w:bottom w:val="single" w:sz="4" w:space="0" w:color="auto"/>
              <w:right w:val="single" w:sz="4" w:space="0" w:color="auto"/>
            </w:tcBorders>
            <w:shd w:val="clear" w:color="auto" w:fill="auto"/>
          </w:tcPr>
          <w:p w:rsidR="007F6432" w:rsidRPr="00DA420B" w:rsidRDefault="007F6432" w:rsidP="00A42191">
            <w:pPr>
              <w:keepNext/>
              <w:jc w:val="center"/>
              <w:rPr>
                <w:rFonts w:cs="Arial"/>
                <w:b/>
                <w:bCs/>
                <w:sz w:val="18"/>
                <w:szCs w:val="18"/>
                <w:vertAlign w:val="superscript"/>
              </w:rPr>
            </w:pPr>
            <w:r w:rsidRPr="00DA420B">
              <w:rPr>
                <w:rFonts w:cs="Arial"/>
                <w:b/>
                <w:bCs/>
                <w:sz w:val="18"/>
                <w:szCs w:val="18"/>
              </w:rPr>
              <w:t>Soil</w:t>
            </w:r>
          </w:p>
        </w:tc>
        <w:tc>
          <w:tcPr>
            <w:tcW w:w="540" w:type="pct"/>
            <w:tcBorders>
              <w:left w:val="single" w:sz="4" w:space="0" w:color="auto"/>
              <w:bottom w:val="single" w:sz="4" w:space="0" w:color="auto"/>
              <w:right w:val="single" w:sz="4" w:space="0" w:color="auto"/>
            </w:tcBorders>
            <w:shd w:val="clear" w:color="auto" w:fill="auto"/>
          </w:tcPr>
          <w:p w:rsidR="007F6432" w:rsidRPr="00DA420B" w:rsidRDefault="007F6432" w:rsidP="00A42191">
            <w:pPr>
              <w:keepNext/>
              <w:jc w:val="center"/>
              <w:rPr>
                <w:rFonts w:cs="Arial"/>
                <w:b/>
                <w:bCs/>
                <w:sz w:val="18"/>
                <w:szCs w:val="18"/>
                <w:vertAlign w:val="superscript"/>
              </w:rPr>
            </w:pPr>
            <w:r w:rsidRPr="00DA420B">
              <w:rPr>
                <w:rFonts w:cs="Arial"/>
                <w:b/>
                <w:bCs/>
                <w:sz w:val="18"/>
                <w:szCs w:val="18"/>
              </w:rPr>
              <w:t>Air</w:t>
            </w:r>
          </w:p>
        </w:tc>
        <w:tc>
          <w:tcPr>
            <w:tcW w:w="847" w:type="pct"/>
            <w:tcBorders>
              <w:left w:val="single" w:sz="4" w:space="0" w:color="auto"/>
              <w:bottom w:val="single" w:sz="4" w:space="0" w:color="auto"/>
              <w:right w:val="double" w:sz="4" w:space="0" w:color="auto"/>
            </w:tcBorders>
            <w:shd w:val="clear" w:color="auto" w:fill="auto"/>
          </w:tcPr>
          <w:p w:rsidR="007F6432" w:rsidRPr="00DA420B" w:rsidRDefault="007F6432" w:rsidP="00A42191">
            <w:pPr>
              <w:keepNext/>
              <w:jc w:val="center"/>
              <w:rPr>
                <w:rFonts w:cs="Arial"/>
                <w:b/>
                <w:bCs/>
                <w:sz w:val="18"/>
                <w:szCs w:val="18"/>
              </w:rPr>
            </w:pPr>
            <w:r>
              <w:rPr>
                <w:rFonts w:cs="Arial"/>
                <w:b/>
                <w:bCs/>
                <w:sz w:val="18"/>
                <w:szCs w:val="18"/>
              </w:rPr>
              <w:t>Primary and secondary poisoning of birds and mammals</w:t>
            </w:r>
          </w:p>
        </w:tc>
      </w:tr>
      <w:tr w:rsidR="005B09E7" w:rsidRPr="00DA420B" w:rsidTr="001145F8">
        <w:trPr>
          <w:cantSplit/>
          <w:trHeight w:val="20"/>
        </w:trPr>
        <w:tc>
          <w:tcPr>
            <w:tcW w:w="1339" w:type="pct"/>
            <w:tcBorders>
              <w:top w:val="single" w:sz="4" w:space="0" w:color="auto"/>
              <w:left w:val="double" w:sz="4" w:space="0" w:color="auto"/>
              <w:bottom w:val="single" w:sz="4" w:space="0" w:color="auto"/>
              <w:right w:val="single" w:sz="4" w:space="0" w:color="auto"/>
            </w:tcBorders>
            <w:vAlign w:val="center"/>
          </w:tcPr>
          <w:p w:rsidR="005B09E7" w:rsidRPr="00DA420B" w:rsidRDefault="005B09E7" w:rsidP="00A42191">
            <w:pPr>
              <w:rPr>
                <w:rFonts w:cs="Arial"/>
                <w:sz w:val="18"/>
                <w:szCs w:val="18"/>
                <w:lang w:val="nl-NL"/>
              </w:rPr>
            </w:pPr>
            <w:r>
              <w:rPr>
                <w:rFonts w:cs="Arial"/>
                <w:sz w:val="18"/>
                <w:szCs w:val="18"/>
                <w:lang w:val="nl-NL"/>
              </w:rPr>
              <w:t>In and around buildings</w:t>
            </w:r>
          </w:p>
        </w:tc>
        <w:tc>
          <w:tcPr>
            <w:tcW w:w="586" w:type="pct"/>
            <w:tcBorders>
              <w:top w:val="single" w:sz="4" w:space="0" w:color="auto"/>
              <w:left w:val="single" w:sz="4" w:space="0" w:color="auto"/>
              <w:bottom w:val="single" w:sz="4" w:space="0" w:color="auto"/>
              <w:right w:val="single" w:sz="4" w:space="0" w:color="auto"/>
            </w:tcBorders>
            <w:vAlign w:val="center"/>
          </w:tcPr>
          <w:p w:rsidR="005B09E7" w:rsidRPr="00DA420B" w:rsidRDefault="005B09E7" w:rsidP="00A42191">
            <w:pPr>
              <w:jc w:val="center"/>
              <w:rPr>
                <w:rFonts w:cs="Arial"/>
                <w:sz w:val="18"/>
                <w:szCs w:val="18"/>
              </w:rPr>
            </w:pPr>
            <w:r>
              <w:rPr>
                <w:rFonts w:cs="Arial"/>
                <w:sz w:val="18"/>
                <w:szCs w:val="18"/>
              </w:rPr>
              <w:t>n.r.</w:t>
            </w:r>
          </w:p>
        </w:tc>
        <w:tc>
          <w:tcPr>
            <w:tcW w:w="958" w:type="pct"/>
            <w:tcBorders>
              <w:top w:val="single" w:sz="4" w:space="0" w:color="auto"/>
              <w:left w:val="single" w:sz="4" w:space="0" w:color="auto"/>
              <w:bottom w:val="single" w:sz="4" w:space="0" w:color="auto"/>
              <w:right w:val="single" w:sz="4" w:space="0" w:color="auto"/>
            </w:tcBorders>
            <w:vAlign w:val="center"/>
          </w:tcPr>
          <w:p w:rsidR="005B09E7" w:rsidRPr="00DA420B" w:rsidRDefault="005B09E7" w:rsidP="00A42191">
            <w:pPr>
              <w:jc w:val="center"/>
              <w:rPr>
                <w:rFonts w:cs="Arial"/>
                <w:color w:val="000000"/>
                <w:sz w:val="18"/>
                <w:szCs w:val="18"/>
                <w:lang w:val="nl-NL"/>
              </w:rPr>
            </w:pPr>
            <w:r>
              <w:rPr>
                <w:rFonts w:cs="Arial"/>
                <w:sz w:val="18"/>
                <w:szCs w:val="18"/>
              </w:rPr>
              <w:t>n.r.</w:t>
            </w:r>
          </w:p>
        </w:tc>
        <w:tc>
          <w:tcPr>
            <w:tcW w:w="730" w:type="pct"/>
            <w:tcBorders>
              <w:top w:val="single" w:sz="4" w:space="0" w:color="auto"/>
              <w:left w:val="single" w:sz="4" w:space="0" w:color="auto"/>
              <w:bottom w:val="single" w:sz="4" w:space="0" w:color="auto"/>
              <w:right w:val="single" w:sz="4" w:space="0" w:color="auto"/>
            </w:tcBorders>
            <w:vAlign w:val="center"/>
          </w:tcPr>
          <w:p w:rsidR="005B09E7" w:rsidRPr="00DA420B" w:rsidRDefault="005B09E7" w:rsidP="00A42191">
            <w:pPr>
              <w:jc w:val="center"/>
              <w:rPr>
                <w:rFonts w:cs="Arial"/>
                <w:sz w:val="18"/>
                <w:szCs w:val="18"/>
              </w:rPr>
            </w:pPr>
            <w:r>
              <w:rPr>
                <w:rFonts w:cs="Arial"/>
                <w:sz w:val="18"/>
                <w:szCs w:val="18"/>
              </w:rPr>
              <w:t>No</w:t>
            </w:r>
          </w:p>
        </w:tc>
        <w:tc>
          <w:tcPr>
            <w:tcW w:w="540" w:type="pct"/>
            <w:tcBorders>
              <w:top w:val="single" w:sz="4" w:space="0" w:color="auto"/>
              <w:left w:val="single" w:sz="4" w:space="0" w:color="auto"/>
              <w:bottom w:val="single" w:sz="4" w:space="0" w:color="auto"/>
              <w:right w:val="single" w:sz="4" w:space="0" w:color="auto"/>
            </w:tcBorders>
          </w:tcPr>
          <w:p w:rsidR="005B09E7" w:rsidRPr="00DA420B" w:rsidRDefault="005B09E7" w:rsidP="00A42191">
            <w:pPr>
              <w:jc w:val="center"/>
              <w:rPr>
                <w:rFonts w:cs="Arial"/>
                <w:sz w:val="18"/>
                <w:szCs w:val="18"/>
              </w:rPr>
            </w:pPr>
            <w:r w:rsidRPr="00D9726D">
              <w:rPr>
                <w:rFonts w:cs="Arial"/>
                <w:sz w:val="18"/>
                <w:szCs w:val="18"/>
              </w:rPr>
              <w:t>n.r.</w:t>
            </w:r>
          </w:p>
        </w:tc>
        <w:tc>
          <w:tcPr>
            <w:tcW w:w="847" w:type="pct"/>
            <w:tcBorders>
              <w:top w:val="single" w:sz="4" w:space="0" w:color="auto"/>
              <w:left w:val="single" w:sz="4" w:space="0" w:color="auto"/>
              <w:bottom w:val="single" w:sz="4" w:space="0" w:color="auto"/>
              <w:right w:val="double" w:sz="4" w:space="0" w:color="auto"/>
            </w:tcBorders>
          </w:tcPr>
          <w:p w:rsidR="005B09E7" w:rsidRPr="00AC4567" w:rsidRDefault="005B09E7" w:rsidP="00A42191">
            <w:pPr>
              <w:jc w:val="center"/>
              <w:rPr>
                <w:rFonts w:cs="Arial"/>
                <w:b/>
                <w:sz w:val="18"/>
                <w:szCs w:val="18"/>
              </w:rPr>
            </w:pPr>
            <w:r w:rsidRPr="00AC4567">
              <w:rPr>
                <w:rFonts w:cs="Arial"/>
                <w:b/>
                <w:sz w:val="18"/>
                <w:szCs w:val="18"/>
              </w:rPr>
              <w:t>Yes</w:t>
            </w:r>
          </w:p>
        </w:tc>
      </w:tr>
      <w:tr w:rsidR="005B09E7" w:rsidRPr="00DA420B" w:rsidTr="001145F8">
        <w:trPr>
          <w:cantSplit/>
          <w:trHeight w:val="20"/>
        </w:trPr>
        <w:tc>
          <w:tcPr>
            <w:tcW w:w="1339" w:type="pct"/>
            <w:tcBorders>
              <w:top w:val="single" w:sz="4" w:space="0" w:color="auto"/>
              <w:left w:val="double" w:sz="4" w:space="0" w:color="auto"/>
              <w:bottom w:val="single" w:sz="4" w:space="0" w:color="auto"/>
              <w:right w:val="single" w:sz="4" w:space="0" w:color="auto"/>
            </w:tcBorders>
            <w:vAlign w:val="center"/>
          </w:tcPr>
          <w:p w:rsidR="005B09E7" w:rsidRPr="00DA420B" w:rsidRDefault="005B09E7" w:rsidP="00A42191">
            <w:pPr>
              <w:rPr>
                <w:rFonts w:cs="Arial"/>
                <w:sz w:val="18"/>
                <w:szCs w:val="18"/>
                <w:lang w:val="nl-NL"/>
              </w:rPr>
            </w:pPr>
            <w:r>
              <w:rPr>
                <w:rFonts w:cs="Arial"/>
                <w:sz w:val="18"/>
                <w:szCs w:val="18"/>
                <w:lang w:val="nl-NL"/>
              </w:rPr>
              <w:t>Open areas</w:t>
            </w:r>
          </w:p>
        </w:tc>
        <w:tc>
          <w:tcPr>
            <w:tcW w:w="586" w:type="pct"/>
            <w:tcBorders>
              <w:top w:val="single" w:sz="4" w:space="0" w:color="auto"/>
              <w:left w:val="single" w:sz="4" w:space="0" w:color="auto"/>
              <w:bottom w:val="single" w:sz="4" w:space="0" w:color="auto"/>
              <w:right w:val="single" w:sz="4" w:space="0" w:color="auto"/>
            </w:tcBorders>
            <w:vAlign w:val="center"/>
          </w:tcPr>
          <w:p w:rsidR="005B09E7" w:rsidRPr="00DA420B" w:rsidRDefault="005B09E7" w:rsidP="00A42191">
            <w:pPr>
              <w:jc w:val="center"/>
              <w:rPr>
                <w:rFonts w:cs="Arial"/>
                <w:sz w:val="18"/>
                <w:szCs w:val="18"/>
              </w:rPr>
            </w:pPr>
            <w:r>
              <w:rPr>
                <w:rFonts w:cs="Arial"/>
                <w:sz w:val="18"/>
                <w:szCs w:val="18"/>
              </w:rPr>
              <w:t>n.r.</w:t>
            </w:r>
          </w:p>
        </w:tc>
        <w:tc>
          <w:tcPr>
            <w:tcW w:w="958" w:type="pct"/>
            <w:tcBorders>
              <w:top w:val="single" w:sz="4" w:space="0" w:color="auto"/>
              <w:left w:val="single" w:sz="4" w:space="0" w:color="auto"/>
              <w:bottom w:val="single" w:sz="4" w:space="0" w:color="auto"/>
              <w:right w:val="single" w:sz="4" w:space="0" w:color="auto"/>
            </w:tcBorders>
            <w:vAlign w:val="center"/>
          </w:tcPr>
          <w:p w:rsidR="005B09E7" w:rsidRPr="00DA420B" w:rsidRDefault="005B09E7" w:rsidP="00A42191">
            <w:pPr>
              <w:jc w:val="center"/>
              <w:rPr>
                <w:rFonts w:cs="Arial"/>
                <w:color w:val="000000"/>
                <w:sz w:val="18"/>
                <w:szCs w:val="18"/>
                <w:lang w:val="nl-NL"/>
              </w:rPr>
            </w:pPr>
            <w:r>
              <w:rPr>
                <w:rFonts w:cs="Arial"/>
                <w:sz w:val="18"/>
                <w:szCs w:val="18"/>
              </w:rPr>
              <w:t>n.r.</w:t>
            </w:r>
          </w:p>
        </w:tc>
        <w:tc>
          <w:tcPr>
            <w:tcW w:w="730" w:type="pct"/>
            <w:tcBorders>
              <w:top w:val="single" w:sz="4" w:space="0" w:color="auto"/>
              <w:left w:val="single" w:sz="4" w:space="0" w:color="auto"/>
              <w:bottom w:val="single" w:sz="4" w:space="0" w:color="auto"/>
              <w:right w:val="single" w:sz="4" w:space="0" w:color="auto"/>
            </w:tcBorders>
            <w:vAlign w:val="center"/>
          </w:tcPr>
          <w:p w:rsidR="005B09E7" w:rsidRPr="00AC4567" w:rsidRDefault="005B09E7" w:rsidP="00A42191">
            <w:pPr>
              <w:jc w:val="center"/>
              <w:rPr>
                <w:rFonts w:cs="Arial"/>
                <w:b/>
                <w:sz w:val="18"/>
                <w:szCs w:val="18"/>
              </w:rPr>
            </w:pPr>
            <w:r w:rsidRPr="00AC4567">
              <w:rPr>
                <w:rFonts w:cs="Arial"/>
                <w:b/>
                <w:sz w:val="18"/>
                <w:szCs w:val="18"/>
              </w:rPr>
              <w:t>Yes</w:t>
            </w:r>
          </w:p>
        </w:tc>
        <w:tc>
          <w:tcPr>
            <w:tcW w:w="540" w:type="pct"/>
            <w:tcBorders>
              <w:top w:val="single" w:sz="4" w:space="0" w:color="auto"/>
              <w:left w:val="single" w:sz="4" w:space="0" w:color="auto"/>
              <w:bottom w:val="single" w:sz="4" w:space="0" w:color="auto"/>
              <w:right w:val="single" w:sz="4" w:space="0" w:color="auto"/>
            </w:tcBorders>
          </w:tcPr>
          <w:p w:rsidR="005B09E7" w:rsidRPr="00DA420B" w:rsidRDefault="005B09E7" w:rsidP="00A42191">
            <w:pPr>
              <w:jc w:val="center"/>
              <w:rPr>
                <w:rFonts w:cs="Arial"/>
                <w:sz w:val="18"/>
                <w:szCs w:val="18"/>
              </w:rPr>
            </w:pPr>
            <w:r w:rsidRPr="00D9726D">
              <w:rPr>
                <w:rFonts w:cs="Arial"/>
                <w:sz w:val="18"/>
                <w:szCs w:val="18"/>
              </w:rPr>
              <w:t>n.r.</w:t>
            </w:r>
          </w:p>
        </w:tc>
        <w:tc>
          <w:tcPr>
            <w:tcW w:w="847" w:type="pct"/>
            <w:tcBorders>
              <w:top w:val="single" w:sz="4" w:space="0" w:color="auto"/>
              <w:left w:val="single" w:sz="4" w:space="0" w:color="auto"/>
              <w:bottom w:val="single" w:sz="4" w:space="0" w:color="auto"/>
              <w:right w:val="double" w:sz="4" w:space="0" w:color="auto"/>
            </w:tcBorders>
          </w:tcPr>
          <w:p w:rsidR="005B09E7" w:rsidRPr="00AC4567" w:rsidRDefault="005B09E7" w:rsidP="00A42191">
            <w:pPr>
              <w:jc w:val="center"/>
              <w:rPr>
                <w:rFonts w:cs="Arial"/>
                <w:b/>
                <w:sz w:val="18"/>
                <w:szCs w:val="18"/>
              </w:rPr>
            </w:pPr>
            <w:r w:rsidRPr="00AC4567">
              <w:rPr>
                <w:rFonts w:cs="Arial"/>
                <w:b/>
                <w:sz w:val="18"/>
                <w:szCs w:val="18"/>
              </w:rPr>
              <w:t>Yes</w:t>
            </w:r>
          </w:p>
        </w:tc>
      </w:tr>
      <w:tr w:rsidR="005B09E7" w:rsidRPr="00DA420B" w:rsidTr="001145F8">
        <w:trPr>
          <w:cantSplit/>
          <w:trHeight w:val="20"/>
        </w:trPr>
        <w:tc>
          <w:tcPr>
            <w:tcW w:w="1339" w:type="pct"/>
            <w:tcBorders>
              <w:top w:val="single" w:sz="4" w:space="0" w:color="auto"/>
              <w:left w:val="double" w:sz="4" w:space="0" w:color="auto"/>
              <w:bottom w:val="double" w:sz="4" w:space="0" w:color="auto"/>
              <w:right w:val="single" w:sz="4" w:space="0" w:color="auto"/>
            </w:tcBorders>
            <w:vAlign w:val="center"/>
          </w:tcPr>
          <w:p w:rsidR="005B09E7" w:rsidRPr="00DA420B" w:rsidRDefault="005B09E7" w:rsidP="00A42191">
            <w:pPr>
              <w:rPr>
                <w:rFonts w:cs="Arial"/>
                <w:sz w:val="18"/>
                <w:szCs w:val="18"/>
                <w:lang w:val="nl-NL"/>
              </w:rPr>
            </w:pPr>
            <w:r>
              <w:rPr>
                <w:rFonts w:cs="Arial"/>
                <w:sz w:val="18"/>
                <w:szCs w:val="18"/>
                <w:lang w:val="nl-NL"/>
              </w:rPr>
              <w:t>Waste dumps</w:t>
            </w:r>
          </w:p>
        </w:tc>
        <w:tc>
          <w:tcPr>
            <w:tcW w:w="586" w:type="pct"/>
            <w:tcBorders>
              <w:top w:val="single" w:sz="4" w:space="0" w:color="auto"/>
              <w:left w:val="single" w:sz="4" w:space="0" w:color="auto"/>
              <w:bottom w:val="double" w:sz="4" w:space="0" w:color="auto"/>
              <w:right w:val="single" w:sz="4" w:space="0" w:color="auto"/>
            </w:tcBorders>
            <w:vAlign w:val="center"/>
          </w:tcPr>
          <w:p w:rsidR="005B09E7" w:rsidRPr="00DA420B" w:rsidRDefault="005B09E7" w:rsidP="00A42191">
            <w:pPr>
              <w:jc w:val="center"/>
              <w:rPr>
                <w:rFonts w:cs="Arial"/>
                <w:sz w:val="18"/>
                <w:szCs w:val="18"/>
              </w:rPr>
            </w:pPr>
            <w:r>
              <w:rPr>
                <w:rFonts w:cs="Arial"/>
                <w:sz w:val="18"/>
                <w:szCs w:val="18"/>
              </w:rPr>
              <w:t>n.r.</w:t>
            </w:r>
          </w:p>
        </w:tc>
        <w:tc>
          <w:tcPr>
            <w:tcW w:w="958" w:type="pct"/>
            <w:tcBorders>
              <w:top w:val="single" w:sz="4" w:space="0" w:color="auto"/>
              <w:left w:val="single" w:sz="4" w:space="0" w:color="auto"/>
              <w:bottom w:val="double" w:sz="4" w:space="0" w:color="auto"/>
              <w:right w:val="single" w:sz="4" w:space="0" w:color="auto"/>
            </w:tcBorders>
            <w:vAlign w:val="center"/>
          </w:tcPr>
          <w:p w:rsidR="005B09E7" w:rsidRPr="00DA420B" w:rsidRDefault="005B09E7" w:rsidP="00A42191">
            <w:pPr>
              <w:jc w:val="center"/>
              <w:rPr>
                <w:rFonts w:cs="Arial"/>
                <w:color w:val="000000"/>
                <w:sz w:val="18"/>
                <w:szCs w:val="18"/>
                <w:lang w:val="nl-NL"/>
              </w:rPr>
            </w:pPr>
            <w:r>
              <w:rPr>
                <w:rFonts w:cs="Arial"/>
                <w:sz w:val="18"/>
                <w:szCs w:val="18"/>
              </w:rPr>
              <w:t>n.r.</w:t>
            </w:r>
          </w:p>
        </w:tc>
        <w:tc>
          <w:tcPr>
            <w:tcW w:w="730" w:type="pct"/>
            <w:tcBorders>
              <w:top w:val="single" w:sz="4" w:space="0" w:color="auto"/>
              <w:left w:val="single" w:sz="4" w:space="0" w:color="auto"/>
              <w:bottom w:val="double" w:sz="4" w:space="0" w:color="auto"/>
              <w:right w:val="single" w:sz="4" w:space="0" w:color="auto"/>
            </w:tcBorders>
            <w:vAlign w:val="center"/>
          </w:tcPr>
          <w:p w:rsidR="005B09E7" w:rsidRPr="00DA420B" w:rsidRDefault="005B09E7" w:rsidP="00A42191">
            <w:pPr>
              <w:jc w:val="center"/>
              <w:rPr>
                <w:rFonts w:cs="Arial"/>
                <w:sz w:val="18"/>
                <w:szCs w:val="18"/>
              </w:rPr>
            </w:pPr>
            <w:r>
              <w:rPr>
                <w:rFonts w:cs="Arial"/>
                <w:sz w:val="18"/>
                <w:szCs w:val="18"/>
              </w:rPr>
              <w:t>No</w:t>
            </w:r>
          </w:p>
        </w:tc>
        <w:tc>
          <w:tcPr>
            <w:tcW w:w="540" w:type="pct"/>
            <w:tcBorders>
              <w:top w:val="single" w:sz="4" w:space="0" w:color="auto"/>
              <w:left w:val="single" w:sz="4" w:space="0" w:color="auto"/>
              <w:bottom w:val="double" w:sz="4" w:space="0" w:color="auto"/>
              <w:right w:val="single" w:sz="4" w:space="0" w:color="auto"/>
            </w:tcBorders>
          </w:tcPr>
          <w:p w:rsidR="005B09E7" w:rsidRPr="00DA420B" w:rsidRDefault="005B09E7" w:rsidP="00A42191">
            <w:pPr>
              <w:jc w:val="center"/>
              <w:rPr>
                <w:rFonts w:cs="Arial"/>
                <w:sz w:val="18"/>
                <w:szCs w:val="18"/>
              </w:rPr>
            </w:pPr>
            <w:r w:rsidRPr="00D9726D">
              <w:rPr>
                <w:rFonts w:cs="Arial"/>
                <w:sz w:val="18"/>
                <w:szCs w:val="18"/>
              </w:rPr>
              <w:t>n.r.</w:t>
            </w:r>
          </w:p>
        </w:tc>
        <w:tc>
          <w:tcPr>
            <w:tcW w:w="847" w:type="pct"/>
            <w:tcBorders>
              <w:top w:val="single" w:sz="4" w:space="0" w:color="auto"/>
              <w:left w:val="single" w:sz="4" w:space="0" w:color="auto"/>
              <w:bottom w:val="double" w:sz="4" w:space="0" w:color="auto"/>
              <w:right w:val="double" w:sz="4" w:space="0" w:color="auto"/>
            </w:tcBorders>
          </w:tcPr>
          <w:p w:rsidR="005B09E7" w:rsidRPr="00AC4567" w:rsidRDefault="005B09E7" w:rsidP="00A42191">
            <w:pPr>
              <w:jc w:val="center"/>
              <w:rPr>
                <w:rFonts w:cs="Arial"/>
                <w:b/>
                <w:sz w:val="18"/>
                <w:szCs w:val="18"/>
              </w:rPr>
            </w:pPr>
            <w:r w:rsidRPr="00AC4567">
              <w:rPr>
                <w:rFonts w:cs="Arial"/>
                <w:b/>
                <w:sz w:val="18"/>
                <w:szCs w:val="18"/>
              </w:rPr>
              <w:t>Yes</w:t>
            </w:r>
          </w:p>
        </w:tc>
      </w:tr>
    </w:tbl>
    <w:p w:rsidR="007F6432" w:rsidRPr="00A12966" w:rsidRDefault="007F6432" w:rsidP="007F6432">
      <w:pPr>
        <w:rPr>
          <w:bCs/>
          <w:sz w:val="18"/>
          <w:szCs w:val="18"/>
        </w:rPr>
      </w:pPr>
      <w:r w:rsidRPr="00A12966">
        <w:rPr>
          <w:bCs/>
          <w:sz w:val="18"/>
          <w:szCs w:val="18"/>
        </w:rPr>
        <w:t xml:space="preserve"> </w:t>
      </w:r>
      <w:r w:rsidRPr="00A12966">
        <w:rPr>
          <w:bCs/>
          <w:sz w:val="18"/>
          <w:szCs w:val="18"/>
          <w:vertAlign w:val="superscript"/>
        </w:rPr>
        <w:t>1</w:t>
      </w:r>
      <w:r w:rsidRPr="00A12966">
        <w:rPr>
          <w:bCs/>
          <w:sz w:val="18"/>
          <w:szCs w:val="18"/>
        </w:rPr>
        <w:t xml:space="preserve"> Sewage Treatment Plant,  </w:t>
      </w:r>
      <w:r w:rsidRPr="00A12966">
        <w:rPr>
          <w:bCs/>
          <w:sz w:val="18"/>
          <w:szCs w:val="18"/>
          <w:vertAlign w:val="superscript"/>
        </w:rPr>
        <w:t>2</w:t>
      </w:r>
      <w:r w:rsidRPr="00A12966">
        <w:rPr>
          <w:bCs/>
          <w:sz w:val="18"/>
          <w:szCs w:val="18"/>
        </w:rPr>
        <w:t xml:space="preserve"> Including sediment, </w:t>
      </w:r>
      <w:r w:rsidRPr="00A12966">
        <w:rPr>
          <w:bCs/>
          <w:sz w:val="18"/>
          <w:szCs w:val="18"/>
          <w:vertAlign w:val="superscript"/>
        </w:rPr>
        <w:t>3</w:t>
      </w:r>
      <w:r w:rsidRPr="00A12966">
        <w:rPr>
          <w:bCs/>
          <w:sz w:val="18"/>
          <w:szCs w:val="18"/>
        </w:rPr>
        <w:t xml:space="preserve"> Including groundwater</w:t>
      </w:r>
      <w:r>
        <w:rPr>
          <w:bCs/>
          <w:sz w:val="18"/>
          <w:szCs w:val="18"/>
        </w:rPr>
        <w:t>.</w:t>
      </w:r>
      <w:r w:rsidRPr="00A12966">
        <w:rPr>
          <w:bCs/>
          <w:sz w:val="18"/>
          <w:szCs w:val="18"/>
        </w:rPr>
        <w:t xml:space="preserve"> </w:t>
      </w:r>
      <w:r w:rsidR="005B09E7">
        <w:rPr>
          <w:bCs/>
          <w:sz w:val="18"/>
          <w:szCs w:val="18"/>
        </w:rPr>
        <w:t>N.r.: not relevant.</w:t>
      </w:r>
    </w:p>
    <w:p w:rsidR="007F6432" w:rsidRDefault="007F6432" w:rsidP="007F6432"/>
    <w:p w:rsidR="00AC4567" w:rsidRPr="004E56CE" w:rsidRDefault="007F6432" w:rsidP="004E56CE">
      <w:r w:rsidRPr="00AC4567">
        <w:t>The PEC/PNEC ratio</w:t>
      </w:r>
      <w:r>
        <w:t xml:space="preserve"> for soil for use in open areas</w:t>
      </w:r>
      <w:r w:rsidRPr="00AC4567">
        <w:t xml:space="preserve"> indicate a potential risk based on the PEC that represents a localised “hotspot” of contamination near the entrance of each baited tunnel.</w:t>
      </w:r>
      <w:r>
        <w:t xml:space="preserve"> Especially PEC/PNEC ratios for p</w:t>
      </w:r>
      <w:r w:rsidRPr="008479B6">
        <w:t>rimary and secondary poisoning of birds and mammals</w:t>
      </w:r>
      <w:r>
        <w:t xml:space="preserve"> highly exceed 1, </w:t>
      </w:r>
      <w:r>
        <w:lastRenderedPageBreak/>
        <w:t>showing the need for implementation of use restrictions and RMMs to minimise the risk.</w:t>
      </w:r>
      <w:r w:rsidR="0071441D">
        <w:t xml:space="preserve"> In NL this means a restriction to the use by (trained) professionals as part of Integrated Pest Management </w:t>
      </w:r>
      <w:r w:rsidR="00A42191">
        <w:t xml:space="preserve">(IPM) </w:t>
      </w:r>
      <w:r w:rsidR="0071441D">
        <w:t xml:space="preserve">principles. </w:t>
      </w:r>
      <w:r w:rsidR="003C418D">
        <w:t>For</w:t>
      </w:r>
      <w:r w:rsidR="0071441D">
        <w:t xml:space="preserve"> </w:t>
      </w:r>
      <w:r w:rsidR="00AC4567" w:rsidRPr="00AC4567">
        <w:t xml:space="preserve">the measures to protect animals and the environment we refer to </w:t>
      </w:r>
      <w:r w:rsidR="00484956">
        <w:t xml:space="preserve">the </w:t>
      </w:r>
      <w:r w:rsidR="00E3395F">
        <w:t xml:space="preserve">SPC </w:t>
      </w:r>
      <w:r w:rsidR="00AC4567" w:rsidRPr="00AC4567">
        <w:t>which shall be duly taken into consideration for a clear labelling of MAKI PAT’.</w:t>
      </w:r>
    </w:p>
    <w:p w:rsidR="00646AB4" w:rsidRPr="00C038DE" w:rsidRDefault="00646AB4" w:rsidP="00646AB4">
      <w:pPr>
        <w:pStyle w:val="Kop2"/>
        <w:numPr>
          <w:ilvl w:val="1"/>
          <w:numId w:val="4"/>
        </w:numPr>
        <w:spacing w:after="280"/>
        <w:jc w:val="both"/>
      </w:pPr>
      <w:bookmarkStart w:id="669" w:name="_Toc500491652"/>
      <w:r w:rsidRPr="00C038DE">
        <w:t>Assessment of a combination of biocidal products</w:t>
      </w:r>
      <w:bookmarkEnd w:id="669"/>
    </w:p>
    <w:p w:rsidR="00646AB4" w:rsidRPr="00C038DE" w:rsidRDefault="00646AB4" w:rsidP="00646AB4">
      <w:pPr>
        <w:rPr>
          <w:rFonts w:eastAsia="Calibri" w:cs="Arial"/>
          <w:i/>
          <w:iCs/>
          <w:highlight w:val="magenta"/>
          <w:lang w:eastAsia="en-US"/>
        </w:rPr>
      </w:pPr>
      <w:r w:rsidRPr="00C038DE">
        <w:rPr>
          <w:lang w:eastAsia="en-US"/>
        </w:rPr>
        <w:t>A use with other biocidal products is not intended.</w:t>
      </w:r>
    </w:p>
    <w:p w:rsidR="00646AB4" w:rsidRPr="00C038DE" w:rsidRDefault="00646AB4" w:rsidP="00646AB4">
      <w:pPr>
        <w:rPr>
          <w:rFonts w:eastAsia="Calibri"/>
          <w:highlight w:val="magenta"/>
          <w:lang w:eastAsia="en-US"/>
        </w:rPr>
      </w:pPr>
    </w:p>
    <w:p w:rsidR="00646AB4" w:rsidRPr="00C038DE" w:rsidRDefault="00646AB4" w:rsidP="00646AB4">
      <w:pPr>
        <w:pStyle w:val="Kop2"/>
        <w:numPr>
          <w:ilvl w:val="1"/>
          <w:numId w:val="4"/>
        </w:numPr>
        <w:spacing w:after="280"/>
        <w:jc w:val="both"/>
      </w:pPr>
      <w:bookmarkStart w:id="670" w:name="_Ref453677687"/>
      <w:bookmarkStart w:id="671" w:name="_Toc500491653"/>
      <w:r w:rsidRPr="00C038DE">
        <w:t>Comparative assessment</w:t>
      </w:r>
      <w:bookmarkEnd w:id="670"/>
      <w:bookmarkEnd w:id="671"/>
    </w:p>
    <w:p w:rsidR="00755CE0" w:rsidRPr="00581806" w:rsidRDefault="00755CE0" w:rsidP="00581806">
      <w:bookmarkStart w:id="672" w:name="_Toc405454749"/>
      <w:bookmarkStart w:id="673" w:name="_Toc405454751"/>
      <w:bookmarkStart w:id="674" w:name="_Toc405454753"/>
      <w:bookmarkStart w:id="675" w:name="_Toc405454755"/>
      <w:bookmarkStart w:id="676" w:name="_Toc405454757"/>
      <w:bookmarkStart w:id="677" w:name="_Toc405454760"/>
      <w:bookmarkStart w:id="678" w:name="_Toc405454762"/>
      <w:bookmarkStart w:id="679" w:name="_Toc405454764"/>
      <w:bookmarkStart w:id="680" w:name="_Toc405454766"/>
      <w:bookmarkStart w:id="681" w:name="_Toc405454772"/>
      <w:bookmarkStart w:id="682" w:name="_Toc405454774"/>
      <w:bookmarkStart w:id="683" w:name="_Toc405454776"/>
      <w:bookmarkStart w:id="684" w:name="_Toc405454778"/>
      <w:bookmarkStart w:id="685" w:name="_Toc405454780"/>
      <w:bookmarkStart w:id="686" w:name="_Toc405454782"/>
      <w:bookmarkStart w:id="687" w:name="_Toc405454784"/>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581806">
        <w:t xml:space="preserve">The NL CA for biocides has processed an application for renewal for the biocidal product MAKI PAT’ which contains the active substance bromadiolone. The active substance bromadiolone meets the criteria for exclusion according to Article 5(1) BPR as well as for substitution according to Article 10 BPR (for details see chapter 2.2.3). </w:t>
      </w:r>
    </w:p>
    <w:p w:rsidR="00755CE0" w:rsidRPr="00581806" w:rsidRDefault="00755CE0" w:rsidP="00581806">
      <w:r w:rsidRPr="00581806">
        <w:t xml:space="preserve">Therefore, in line with Article 23 (1) BPR a comparative assessment for the product MAKI PAT’ has to be conducted. </w:t>
      </w:r>
    </w:p>
    <w:p w:rsidR="00755CE0" w:rsidRPr="00581806" w:rsidRDefault="00755CE0" w:rsidP="00581806"/>
    <w:p w:rsidR="00755CE0" w:rsidRPr="00581806" w:rsidRDefault="00755CE0" w:rsidP="00581806">
      <w:r w:rsidRPr="00581806">
        <w:t xml:space="preserve">At the 60th meeting of representatives of Members States Competent Authorities for the implementation of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 </w:t>
      </w:r>
    </w:p>
    <w:p w:rsidR="00755CE0" w:rsidRPr="00581806" w:rsidRDefault="00755CE0" w:rsidP="00581806">
      <w:pPr>
        <w:ind w:left="336" w:hanging="336"/>
      </w:pPr>
      <w:r w:rsidRPr="00581806">
        <w:t xml:space="preserve">(a) </w:t>
      </w:r>
      <w:r w:rsidR="00581806">
        <w:tab/>
      </w:r>
      <w:r w:rsidRPr="00581806">
        <w:t xml:space="preserve">Is the chemical diversity of the active substances in authorised rodenticides in the Union adequate to minimise the occurrence of resistance in the target harmful organisms?; </w:t>
      </w:r>
    </w:p>
    <w:p w:rsidR="00755CE0" w:rsidRPr="00581806" w:rsidRDefault="00755CE0" w:rsidP="00581806">
      <w:pPr>
        <w:ind w:left="336" w:hanging="336"/>
      </w:pPr>
      <w:r w:rsidRPr="00581806">
        <w:t xml:space="preserve">(b) </w:t>
      </w:r>
      <w:r w:rsidR="00581806">
        <w:tab/>
      </w:r>
      <w:r w:rsidRPr="00581806">
        <w:t>For the different uses specified in the applications for renewal, are alternative authorised biocidal products or non-chemical means of control and prevention methods available?;</w:t>
      </w:r>
    </w:p>
    <w:p w:rsidR="00755CE0" w:rsidRPr="00581806" w:rsidRDefault="00755CE0" w:rsidP="00581806">
      <w:pPr>
        <w:ind w:left="336" w:hanging="336"/>
      </w:pPr>
      <w:r w:rsidRPr="00581806">
        <w:t xml:space="preserve">(c) </w:t>
      </w:r>
      <w:r w:rsidR="00581806">
        <w:tab/>
      </w:r>
      <w:r w:rsidRPr="00581806">
        <w:t xml:space="preserve">Do these alternatives present a significantly lower overall risk for human health, animal health and the environment?; </w:t>
      </w:r>
    </w:p>
    <w:p w:rsidR="00755CE0" w:rsidRPr="00581806" w:rsidRDefault="00755CE0" w:rsidP="00581806">
      <w:pPr>
        <w:ind w:left="336" w:hanging="336"/>
      </w:pPr>
      <w:r w:rsidRPr="00581806">
        <w:t xml:space="preserve">d) </w:t>
      </w:r>
      <w:r w:rsidR="00581806">
        <w:tab/>
      </w:r>
      <w:r w:rsidRPr="00581806">
        <w:t xml:space="preserve">Are these alternatives sufficiently effective?; </w:t>
      </w:r>
    </w:p>
    <w:p w:rsidR="00755CE0" w:rsidRPr="00581806" w:rsidRDefault="00755CE0" w:rsidP="00581806">
      <w:pPr>
        <w:ind w:left="336" w:hanging="336"/>
      </w:pPr>
      <w:r w:rsidRPr="00581806">
        <w:t xml:space="preserve">(e) </w:t>
      </w:r>
      <w:r w:rsidR="00581806">
        <w:tab/>
      </w:r>
      <w:r w:rsidRPr="00581806">
        <w:t xml:space="preserve">Do these alternatives present no other significant economic or practical disadvantages? </w:t>
      </w:r>
    </w:p>
    <w:p w:rsidR="00755CE0" w:rsidRPr="00581806" w:rsidRDefault="00755CE0" w:rsidP="00581806"/>
    <w:p w:rsidR="00755CE0" w:rsidRPr="00581806" w:rsidRDefault="00755CE0" w:rsidP="00581806">
      <w:r w:rsidRPr="00581806">
        <w:t>The information addressing these questions is provided in the Annex of the Commission Implementing Decision (EU) 2017/1532</w:t>
      </w:r>
      <w:r w:rsidR="001C46CA">
        <w:t>.</w:t>
      </w:r>
      <w:r w:rsidRPr="00581806">
        <w:t xml:space="preserve"> </w:t>
      </w:r>
    </w:p>
    <w:p w:rsidR="00755CE0" w:rsidRPr="00581806" w:rsidRDefault="00755CE0" w:rsidP="00581806"/>
    <w:p w:rsidR="00755CE0" w:rsidRPr="00755CE0" w:rsidRDefault="00755CE0" w:rsidP="00755CE0">
      <w:pPr>
        <w:pStyle w:val="Default"/>
        <w:rPr>
          <w:rFonts w:ascii="Arial" w:hAnsi="Arial" w:cs="Arial"/>
          <w:sz w:val="20"/>
          <w:szCs w:val="20"/>
        </w:rPr>
      </w:pPr>
      <w:r w:rsidRPr="00755CE0">
        <w:rPr>
          <w:rFonts w:ascii="Arial" w:hAnsi="Arial" w:cs="Arial"/>
          <w:b/>
          <w:bCs/>
          <w:sz w:val="20"/>
          <w:szCs w:val="20"/>
        </w:rPr>
        <w:t xml:space="preserve">Conclusion </w:t>
      </w:r>
    </w:p>
    <w:p w:rsidR="00755CE0" w:rsidRPr="00581806" w:rsidRDefault="001C46CA" w:rsidP="00581806">
      <w:r>
        <w:t>I</w:t>
      </w:r>
      <w:r w:rsidR="00755CE0" w:rsidRPr="00581806">
        <w:t xml:space="preserve">n the Annex of the Commission Implementing Decision (EU) 2017/1532 </w:t>
      </w:r>
      <w:r w:rsidR="00652D23">
        <w:t xml:space="preserve">it is concluded </w:t>
      </w:r>
      <w:r w:rsidR="00755CE0" w:rsidRPr="00581806">
        <w:t xml:space="preserve">that in the absence of anticoagulant rodenticides, the use of rodenticides containing other active substances </w:t>
      </w:r>
      <w:r w:rsidR="00755CE0" w:rsidRPr="00581806">
        <w:lastRenderedPageBreak/>
        <w:t>would lead to an inadequate chemical diversity to minimize the occurrence of resistance in the target harmful organisms. These products also showed some significant practical or economical disadvantages for the relevant uses.</w:t>
      </w:r>
    </w:p>
    <w:p w:rsidR="00755CE0" w:rsidRPr="00581806" w:rsidRDefault="00755CE0" w:rsidP="00581806"/>
    <w:p w:rsidR="00755CE0" w:rsidRPr="00581806" w:rsidRDefault="00755CE0" w:rsidP="00581806">
      <w:r w:rsidRPr="00581806">
        <w:t>The opinion also considered a number of non-chemical control or prevention methods ("non-chemical alternatives"), which may provide sufficient efficacy in certain circumstances on their own or in a combination of them. However, there is insufficient scientific evidence to prove that those non-chemical alternatives are sufficiently effective according to the criteria established in agreed Union guidance (1) with a view to prohibit or restrict the authorised uses of anticoagulant rodenticides.</w:t>
      </w:r>
    </w:p>
    <w:p w:rsidR="00755CE0" w:rsidRPr="00581806" w:rsidRDefault="00755CE0" w:rsidP="00581806"/>
    <w:p w:rsidR="00755CE0" w:rsidRPr="00581806" w:rsidRDefault="00755CE0" w:rsidP="00581806">
      <w:r w:rsidRPr="00581806">
        <w:t xml:space="preserve">In summary it can be concluded that the criteria according Article 23(3) a), b) BPR are not fulfilled. </w:t>
      </w:r>
    </w:p>
    <w:p w:rsidR="00885C20" w:rsidRDefault="00755CE0" w:rsidP="00F34BB6">
      <w:r w:rsidRPr="00581806">
        <w:t xml:space="preserve">Therefore, the authorisation of the product MAKI PAT’ will be renewed for 5 years. </w:t>
      </w:r>
    </w:p>
    <w:p w:rsidR="00307AA3" w:rsidRDefault="00307AA3" w:rsidP="00F34BB6"/>
    <w:p w:rsidR="00307AA3" w:rsidRDefault="00307AA3" w:rsidP="00F34BB6"/>
    <w:p w:rsidR="00307AA3" w:rsidRPr="00C038DE" w:rsidRDefault="00307AA3" w:rsidP="00307AA3">
      <w:pPr>
        <w:pStyle w:val="Kop1"/>
        <w:numPr>
          <w:ilvl w:val="0"/>
          <w:numId w:val="4"/>
        </w:numPr>
        <w:spacing w:after="360"/>
        <w:jc w:val="both"/>
      </w:pPr>
      <w:bookmarkStart w:id="688" w:name="_Ref421860945"/>
      <w:bookmarkStart w:id="689" w:name="_Ref425322190"/>
      <w:bookmarkStart w:id="690" w:name="_Toc429661057"/>
      <w:bookmarkStart w:id="691" w:name="_Ref453677892"/>
      <w:bookmarkStart w:id="692" w:name="_Toc500339411"/>
      <w:bookmarkStart w:id="693" w:name="_Toc500491654"/>
      <w:r w:rsidRPr="00C038DE">
        <w:t>Confidential annex</w:t>
      </w:r>
      <w:bookmarkEnd w:id="688"/>
      <w:r w:rsidRPr="00C038DE">
        <w:t xml:space="preserve"> (Access level: “Restricted” to applicant and authority)</w:t>
      </w:r>
      <w:bookmarkEnd w:id="689"/>
      <w:bookmarkEnd w:id="690"/>
      <w:bookmarkEnd w:id="691"/>
      <w:bookmarkEnd w:id="692"/>
      <w:bookmarkEnd w:id="693"/>
    </w:p>
    <w:p w:rsidR="00307AA3" w:rsidRDefault="00307AA3" w:rsidP="00307AA3">
      <w:pPr>
        <w:pStyle w:val="Kop2"/>
        <w:numPr>
          <w:ilvl w:val="1"/>
          <w:numId w:val="4"/>
        </w:numPr>
        <w:spacing w:after="280"/>
        <w:jc w:val="both"/>
      </w:pPr>
      <w:bookmarkStart w:id="694" w:name="_Ref475973640"/>
      <w:bookmarkStart w:id="695" w:name="_Toc500339412"/>
      <w:bookmarkStart w:id="696" w:name="_Toc500491655"/>
      <w:r w:rsidRPr="00C038DE">
        <w:t>Full composition of the product</w:t>
      </w:r>
      <w:bookmarkEnd w:id="694"/>
      <w:bookmarkEnd w:id="695"/>
      <w:bookmarkEnd w:id="696"/>
    </w:p>
    <w:p w:rsidR="00B2336E" w:rsidRDefault="00307AA3" w:rsidP="00307AA3">
      <w:r>
        <w:t>Please refer to confidential annex.</w:t>
      </w:r>
    </w:p>
    <w:p w:rsidR="00BA7C2C" w:rsidRDefault="00BA7C2C" w:rsidP="00307AA3"/>
    <w:p w:rsidR="00BA7C2C" w:rsidRDefault="00BA7C2C">
      <w:pPr>
        <w:spacing w:line="240" w:lineRule="auto"/>
      </w:pPr>
      <w:r>
        <w:br w:type="page"/>
      </w:r>
    </w:p>
    <w:p w:rsidR="00BA7C2C" w:rsidRPr="00A81FB4" w:rsidRDefault="00BA7C2C" w:rsidP="00BA7C2C">
      <w:pPr>
        <w:rPr>
          <w:lang w:val="en-US"/>
        </w:rPr>
      </w:pPr>
    </w:p>
    <w:p w:rsidR="00BA7C2C" w:rsidRPr="00A81FB4" w:rsidRDefault="00BA7C2C" w:rsidP="00BA7C2C">
      <w:pPr>
        <w:rPr>
          <w:i/>
          <w:lang w:val="en-US"/>
        </w:rPr>
      </w:pPr>
    </w:p>
    <w:p w:rsidR="00BA7C2C" w:rsidRPr="00A81FB4" w:rsidRDefault="00BA7C2C" w:rsidP="00BA7C2C">
      <w:pPr>
        <w:rPr>
          <w:i/>
          <w:lang w:val="en-US"/>
        </w:rPr>
      </w:pPr>
    </w:p>
    <w:p w:rsidR="00BA7C2C" w:rsidRPr="00A81FB4" w:rsidRDefault="00BA7C2C" w:rsidP="00BA7C2C">
      <w:pPr>
        <w:rPr>
          <w:i/>
          <w:lang w:val="en-US"/>
        </w:rPr>
      </w:pPr>
    </w:p>
    <w:p w:rsidR="00BA7C2C" w:rsidRPr="00A81FB4" w:rsidRDefault="00BA7C2C" w:rsidP="00BA7C2C">
      <w:pPr>
        <w:rPr>
          <w:lang w:val="en-US"/>
        </w:rPr>
      </w:pPr>
    </w:p>
    <w:p w:rsidR="00BA7C2C" w:rsidRPr="00A81FB4" w:rsidRDefault="00BA7C2C" w:rsidP="00BA7C2C">
      <w:pPr>
        <w:rPr>
          <w:lang w:val="en-US"/>
        </w:rPr>
      </w:pPr>
    </w:p>
    <w:p w:rsidR="00BA7C2C" w:rsidRPr="00A81FB4" w:rsidRDefault="00BA7C2C" w:rsidP="00BA7C2C">
      <w:pPr>
        <w:rPr>
          <w:lang w:val="en-US"/>
        </w:rPr>
      </w:pPr>
    </w:p>
    <w:p w:rsidR="00BA7C2C" w:rsidRPr="00A81FB4" w:rsidRDefault="00BA7C2C" w:rsidP="00BA7C2C">
      <w:pPr>
        <w:rPr>
          <w:lang w:val="en-US"/>
        </w:rPr>
      </w:pPr>
    </w:p>
    <w:p w:rsidR="00BA7C2C" w:rsidRPr="00A81FB4" w:rsidRDefault="00BA7C2C" w:rsidP="00BA7C2C">
      <w:pPr>
        <w:rPr>
          <w:lang w:val="en-US"/>
        </w:rPr>
      </w:pPr>
    </w:p>
    <w:p w:rsidR="00BA7C2C" w:rsidRPr="00A81FB4" w:rsidRDefault="00BA7C2C" w:rsidP="00BA7C2C">
      <w:pPr>
        <w:rPr>
          <w:lang w:val="en-US"/>
        </w:rPr>
      </w:pPr>
    </w:p>
    <w:p w:rsidR="00BA7C2C" w:rsidRDefault="00BA7C2C" w:rsidP="00BA7C2C">
      <w:pPr>
        <w:pStyle w:val="Titel1"/>
        <w:rPr>
          <w:sz w:val="56"/>
          <w:szCs w:val="56"/>
        </w:rPr>
      </w:pPr>
      <w:r>
        <w:rPr>
          <w:sz w:val="56"/>
          <w:szCs w:val="56"/>
        </w:rPr>
        <w:t>ANNEX:</w:t>
      </w:r>
    </w:p>
    <w:p w:rsidR="00BA7C2C" w:rsidRPr="00A0425E" w:rsidRDefault="00BA7C2C" w:rsidP="00BA7C2C">
      <w:pPr>
        <w:pStyle w:val="Titel1"/>
        <w:rPr>
          <w:sz w:val="56"/>
          <w:szCs w:val="56"/>
        </w:rPr>
      </w:pPr>
      <w:r w:rsidRPr="00A0425E">
        <w:rPr>
          <w:sz w:val="56"/>
          <w:szCs w:val="56"/>
        </w:rPr>
        <w:t>Product Assessment Report</w:t>
      </w:r>
      <w:r>
        <w:rPr>
          <w:sz w:val="56"/>
          <w:szCs w:val="56"/>
        </w:rPr>
        <w:t xml:space="preserve"> of first authorisation</w:t>
      </w:r>
    </w:p>
    <w:p w:rsidR="00BA7C2C" w:rsidRPr="00A0425E" w:rsidRDefault="00BA7C2C" w:rsidP="00BA7C2C">
      <w:pPr>
        <w:pStyle w:val="Titel1"/>
        <w:rPr>
          <w:sz w:val="52"/>
          <w:szCs w:val="52"/>
        </w:rPr>
      </w:pPr>
      <w:r>
        <w:rPr>
          <w:sz w:val="52"/>
          <w:szCs w:val="52"/>
        </w:rPr>
        <w:t>MAKI PAT’</w:t>
      </w:r>
    </w:p>
    <w:p w:rsidR="00BA7C2C" w:rsidRPr="00A0425E" w:rsidRDefault="00BA7C2C" w:rsidP="00BA7C2C">
      <w:pPr>
        <w:rPr>
          <w:rFonts w:cs="Arial"/>
          <w:sz w:val="32"/>
          <w:szCs w:val="32"/>
        </w:rPr>
      </w:pPr>
      <w:r>
        <w:rPr>
          <w:rFonts w:cs="Arial"/>
          <w:sz w:val="32"/>
          <w:szCs w:val="32"/>
        </w:rPr>
        <w:t>21-09-2012</w:t>
      </w:r>
    </w:p>
    <w:p w:rsidR="00BA7C2C" w:rsidRPr="00A0425E" w:rsidRDefault="00BA7C2C" w:rsidP="00BA7C2C">
      <w:pPr>
        <w:rPr>
          <w:rFonts w:cs="Arial"/>
        </w:rPr>
      </w:pPr>
    </w:p>
    <w:p w:rsidR="00BA7C2C" w:rsidRPr="00A0425E" w:rsidRDefault="00BA7C2C" w:rsidP="00BA7C2C">
      <w:pPr>
        <w:rPr>
          <w:rFonts w:cs="Arial"/>
        </w:rPr>
      </w:pPr>
    </w:p>
    <w:tbl>
      <w:tblPr>
        <w:tblW w:w="0" w:type="auto"/>
        <w:tblCellMar>
          <w:top w:w="57" w:type="dxa"/>
        </w:tblCellMar>
        <w:tblLook w:val="01E0" w:firstRow="1" w:lastRow="1" w:firstColumn="1" w:lastColumn="1" w:noHBand="0" w:noVBand="0"/>
      </w:tblPr>
      <w:tblGrid>
        <w:gridCol w:w="3227"/>
        <w:gridCol w:w="5624"/>
      </w:tblGrid>
      <w:tr w:rsidR="00BA7C2C" w:rsidRPr="00A0425E" w:rsidTr="00613EE2">
        <w:tc>
          <w:tcPr>
            <w:tcW w:w="3227" w:type="dxa"/>
          </w:tcPr>
          <w:p w:rsidR="00BA7C2C" w:rsidRPr="00A0425E" w:rsidRDefault="00BA7C2C" w:rsidP="00613EE2">
            <w:pPr>
              <w:rPr>
                <w:rFonts w:cs="Arial"/>
              </w:rPr>
            </w:pPr>
            <w:r w:rsidRPr="00A0425E">
              <w:rPr>
                <w:rFonts w:cs="Arial"/>
              </w:rPr>
              <w:t>Internal registration/file no:</w:t>
            </w:r>
          </w:p>
        </w:tc>
        <w:tc>
          <w:tcPr>
            <w:tcW w:w="5624" w:type="dxa"/>
          </w:tcPr>
          <w:p w:rsidR="00BA7C2C" w:rsidRPr="00A0425E" w:rsidRDefault="00BA7C2C" w:rsidP="00613EE2">
            <w:pPr>
              <w:rPr>
                <w:rFonts w:cs="Arial"/>
              </w:rPr>
            </w:pPr>
            <w:r>
              <w:rPr>
                <w:rFonts w:cs="Arial"/>
              </w:rPr>
              <w:t>20110643</w:t>
            </w:r>
          </w:p>
        </w:tc>
      </w:tr>
      <w:tr w:rsidR="00BA7C2C" w:rsidRPr="00A0425E" w:rsidTr="00613EE2">
        <w:tc>
          <w:tcPr>
            <w:tcW w:w="3227" w:type="dxa"/>
          </w:tcPr>
          <w:p w:rsidR="00BA7C2C" w:rsidRPr="00A0425E" w:rsidRDefault="00BA7C2C" w:rsidP="00613EE2">
            <w:pPr>
              <w:rPr>
                <w:rFonts w:cs="Arial"/>
              </w:rPr>
            </w:pPr>
            <w:r w:rsidRPr="00A0425E">
              <w:rPr>
                <w:rFonts w:cs="Arial"/>
              </w:rPr>
              <w:t>Authorisation/Registration no:</w:t>
            </w:r>
          </w:p>
        </w:tc>
        <w:tc>
          <w:tcPr>
            <w:tcW w:w="5624" w:type="dxa"/>
          </w:tcPr>
          <w:p w:rsidR="00BA7C2C" w:rsidRPr="00A0425E" w:rsidRDefault="00BA7C2C" w:rsidP="00613EE2">
            <w:pPr>
              <w:rPr>
                <w:rFonts w:cs="Arial"/>
              </w:rPr>
            </w:pPr>
            <w:r>
              <w:rPr>
                <w:rFonts w:cs="Arial"/>
              </w:rPr>
              <w:t>13839N</w:t>
            </w:r>
          </w:p>
        </w:tc>
      </w:tr>
      <w:tr w:rsidR="00BA7C2C" w:rsidRPr="005E7543" w:rsidTr="00613EE2">
        <w:tc>
          <w:tcPr>
            <w:tcW w:w="3227" w:type="dxa"/>
          </w:tcPr>
          <w:p w:rsidR="00BA7C2C" w:rsidRPr="00A0425E" w:rsidRDefault="00BA7C2C" w:rsidP="00613EE2">
            <w:pPr>
              <w:rPr>
                <w:rFonts w:cs="Arial"/>
              </w:rPr>
            </w:pPr>
            <w:r w:rsidRPr="00A0425E">
              <w:t>Granting date/entry into force of authorisation/ registration:</w:t>
            </w:r>
          </w:p>
        </w:tc>
        <w:tc>
          <w:tcPr>
            <w:tcW w:w="5624" w:type="dxa"/>
          </w:tcPr>
          <w:p w:rsidR="00BA7C2C" w:rsidRPr="00A0425E" w:rsidRDefault="00BA7C2C" w:rsidP="00613EE2">
            <w:pPr>
              <w:rPr>
                <w:rFonts w:cs="Arial"/>
              </w:rPr>
            </w:pPr>
            <w:r>
              <w:rPr>
                <w:rFonts w:cs="Arial"/>
              </w:rPr>
              <w:t>02-11-2012</w:t>
            </w:r>
          </w:p>
        </w:tc>
      </w:tr>
      <w:tr w:rsidR="00BA7C2C" w:rsidRPr="005E7543" w:rsidTr="00613EE2">
        <w:tc>
          <w:tcPr>
            <w:tcW w:w="3227" w:type="dxa"/>
          </w:tcPr>
          <w:p w:rsidR="00BA7C2C" w:rsidRPr="00A0425E" w:rsidRDefault="00BA7C2C" w:rsidP="00613EE2">
            <w:pPr>
              <w:rPr>
                <w:rFonts w:cs="Arial"/>
              </w:rPr>
            </w:pPr>
            <w:r w:rsidRPr="00A0425E">
              <w:t>Expiry date of authorisation/ registration:</w:t>
            </w:r>
          </w:p>
        </w:tc>
        <w:tc>
          <w:tcPr>
            <w:tcW w:w="5624" w:type="dxa"/>
          </w:tcPr>
          <w:p w:rsidR="00BA7C2C" w:rsidRPr="00A0425E" w:rsidRDefault="00BA7C2C" w:rsidP="00613EE2">
            <w:pPr>
              <w:rPr>
                <w:rFonts w:cs="Arial"/>
              </w:rPr>
            </w:pPr>
            <w:r>
              <w:rPr>
                <w:rFonts w:cs="Arial"/>
              </w:rPr>
              <w:t>30-06-2016</w:t>
            </w:r>
          </w:p>
        </w:tc>
      </w:tr>
      <w:tr w:rsidR="00BA7C2C" w:rsidRPr="00A0425E" w:rsidTr="00613EE2">
        <w:tc>
          <w:tcPr>
            <w:tcW w:w="3227" w:type="dxa"/>
          </w:tcPr>
          <w:p w:rsidR="00BA7C2C" w:rsidRPr="00A0425E" w:rsidRDefault="00BA7C2C" w:rsidP="00613EE2">
            <w:pPr>
              <w:rPr>
                <w:rFonts w:cs="Arial"/>
              </w:rPr>
            </w:pPr>
            <w:r w:rsidRPr="00A0425E">
              <w:rPr>
                <w:rFonts w:cs="Arial"/>
              </w:rPr>
              <w:t>Active ingredient:</w:t>
            </w:r>
          </w:p>
        </w:tc>
        <w:tc>
          <w:tcPr>
            <w:tcW w:w="5624" w:type="dxa"/>
          </w:tcPr>
          <w:p w:rsidR="00BA7C2C" w:rsidRPr="00A0425E" w:rsidRDefault="00BA7C2C" w:rsidP="00613EE2">
            <w:pPr>
              <w:rPr>
                <w:rFonts w:cs="Arial"/>
              </w:rPr>
            </w:pPr>
            <w:r>
              <w:rPr>
                <w:rFonts w:cs="Arial"/>
              </w:rPr>
              <w:t>Bromadiolone</w:t>
            </w:r>
          </w:p>
        </w:tc>
      </w:tr>
      <w:tr w:rsidR="00BA7C2C" w:rsidRPr="00A0425E" w:rsidTr="00613EE2">
        <w:tc>
          <w:tcPr>
            <w:tcW w:w="3227" w:type="dxa"/>
          </w:tcPr>
          <w:p w:rsidR="00BA7C2C" w:rsidRPr="00A0425E" w:rsidRDefault="00BA7C2C" w:rsidP="00613EE2">
            <w:pPr>
              <w:rPr>
                <w:rFonts w:cs="Arial"/>
              </w:rPr>
            </w:pPr>
            <w:r w:rsidRPr="00A0425E">
              <w:rPr>
                <w:rFonts w:cs="Arial"/>
              </w:rPr>
              <w:t xml:space="preserve">Product type: </w:t>
            </w:r>
          </w:p>
        </w:tc>
        <w:tc>
          <w:tcPr>
            <w:tcW w:w="5624" w:type="dxa"/>
          </w:tcPr>
          <w:p w:rsidR="00BA7C2C" w:rsidRPr="00A0425E" w:rsidRDefault="00BA7C2C" w:rsidP="00613EE2">
            <w:pPr>
              <w:rPr>
                <w:rFonts w:cs="Arial"/>
              </w:rPr>
            </w:pPr>
            <w:r>
              <w:rPr>
                <w:rFonts w:cs="Arial"/>
              </w:rPr>
              <w:t>PT14</w:t>
            </w:r>
          </w:p>
        </w:tc>
      </w:tr>
    </w:tbl>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pBdr>
          <w:top w:val="single" w:sz="4" w:space="1" w:color="auto"/>
        </w:pBd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rPr>
          <w:sz w:val="36"/>
          <w:szCs w:val="36"/>
        </w:rPr>
      </w:pPr>
      <w:r w:rsidRPr="00A0425E">
        <w:rPr>
          <w:rFonts w:cs="Arial"/>
          <w:sz w:val="36"/>
          <w:szCs w:val="36"/>
        </w:rPr>
        <w:t>Biocidal product assessment report related to product authorisation under Directive 98/8/EC</w:t>
      </w:r>
    </w:p>
    <w:p w:rsidR="00BA7C2C" w:rsidRPr="00A0425E" w:rsidRDefault="00BA7C2C" w:rsidP="00BA7C2C">
      <w:pPr>
        <w:tabs>
          <w:tab w:val="left" w:pos="2834"/>
          <w:tab w:val="left" w:pos="4988"/>
          <w:tab w:val="left" w:pos="7088"/>
          <w:tab w:val="left" w:pos="7993"/>
        </w:tabs>
        <w:suppressAutoHyphens/>
      </w:pPr>
    </w:p>
    <w:p w:rsidR="00BA7C2C" w:rsidRPr="00A0425E" w:rsidRDefault="00BA7C2C" w:rsidP="00BA7C2C">
      <w:pPr>
        <w:tabs>
          <w:tab w:val="left" w:pos="2834"/>
          <w:tab w:val="left" w:pos="4988"/>
          <w:tab w:val="left" w:pos="7088"/>
          <w:tab w:val="left" w:pos="7993"/>
        </w:tabs>
        <w:suppressAutoHyphens/>
        <w:sectPr w:rsidR="00BA7C2C" w:rsidRPr="00A0425E" w:rsidSect="00BA7C2C">
          <w:headerReference w:type="default" r:id="rId22"/>
          <w:type w:val="continuous"/>
          <w:pgSz w:w="11906" w:h="16838"/>
          <w:pgMar w:top="1417" w:right="1417" w:bottom="1417" w:left="1417" w:header="708" w:footer="708" w:gutter="0"/>
          <w:pgNumType w:start="0"/>
          <w:cols w:space="708"/>
          <w:docGrid w:linePitch="360"/>
        </w:sectPr>
      </w:pPr>
    </w:p>
    <w:p w:rsidR="00BA7C2C" w:rsidRDefault="00BA7C2C" w:rsidP="00BA7C2C">
      <w:pPr>
        <w:pStyle w:val="Titel1"/>
      </w:pPr>
      <w:bookmarkStart w:id="697" w:name="_Toc114890070"/>
      <w:bookmarkStart w:id="698" w:name="_Toc114890671"/>
      <w:bookmarkStart w:id="699" w:name="_Toc114897935"/>
      <w:bookmarkStart w:id="700" w:name="_Toc114899470"/>
      <w:bookmarkStart w:id="701" w:name="_Toc114900432"/>
      <w:bookmarkStart w:id="702" w:name="_Toc115516064"/>
      <w:bookmarkStart w:id="703" w:name="_Toc115516134"/>
      <w:bookmarkStart w:id="704" w:name="_Toc118604270"/>
      <w:bookmarkStart w:id="705" w:name="_Toc119132606"/>
      <w:bookmarkStart w:id="706" w:name="_Toc145747107"/>
      <w:bookmarkStart w:id="707" w:name="_Toc145833746"/>
      <w:bookmarkStart w:id="708" w:name="_Toc145834402"/>
      <w:bookmarkStart w:id="709" w:name="_Toc145926267"/>
      <w:bookmarkStart w:id="710" w:name="_Toc145926938"/>
      <w:bookmarkStart w:id="711" w:name="_Toc145927006"/>
      <w:bookmarkStart w:id="712" w:name="_Toc146696500"/>
      <w:r w:rsidRPr="00A0425E">
        <w:lastRenderedPageBreak/>
        <w:t>Contents</w:t>
      </w:r>
    </w:p>
    <w:p w:rsidR="00BA7C2C" w:rsidRPr="002418D7" w:rsidRDefault="00BA7C2C" w:rsidP="00BA7C2C"/>
    <w:p w:rsidR="00BA7C2C" w:rsidRPr="002418D7" w:rsidRDefault="00BA7C2C" w:rsidP="00BA7C2C">
      <w:pPr>
        <w:pStyle w:val="Inhopg1"/>
        <w:rPr>
          <w:rStyle w:val="Hyperlink"/>
          <w:rFonts w:ascii="Times New Roman" w:hAnsi="Times New Roman"/>
          <w:b w:val="0"/>
          <w:sz w:val="24"/>
          <w:lang w:val="nl-NL" w:eastAsia="nl-NL"/>
        </w:rPr>
      </w:pPr>
      <w:r w:rsidRPr="00A0425E">
        <w:fldChar w:fldCharType="begin"/>
      </w:r>
      <w:r w:rsidRPr="00A0425E">
        <w:instrText xml:space="preserve"> TOC \o "1-3" \h \z \u </w:instrText>
      </w:r>
      <w:r w:rsidRPr="00A0425E">
        <w:fldChar w:fldCharType="separate"/>
      </w:r>
      <w:hyperlink w:anchor="_Toc362858066" w:history="1">
        <w:r w:rsidRPr="00DD4AEB">
          <w:rPr>
            <w:rStyle w:val="Hyperlink"/>
          </w:rPr>
          <w:t>1</w:t>
        </w:r>
        <w:r>
          <w:rPr>
            <w:rFonts w:ascii="Times New Roman" w:hAnsi="Times New Roman"/>
            <w:sz w:val="24"/>
            <w:lang w:val="nl-NL" w:eastAsia="nl-NL"/>
          </w:rPr>
          <w:tab/>
        </w:r>
        <w:r w:rsidRPr="00DD4AEB">
          <w:rPr>
            <w:rStyle w:val="Hyperlink"/>
          </w:rPr>
          <w:t>General information about the product application</w:t>
        </w:r>
        <w:r>
          <w:rPr>
            <w:webHidden/>
          </w:rPr>
          <w:tab/>
        </w:r>
        <w:r>
          <w:rPr>
            <w:webHidden/>
          </w:rPr>
          <w:fldChar w:fldCharType="begin"/>
        </w:r>
        <w:r>
          <w:rPr>
            <w:webHidden/>
          </w:rPr>
          <w:instrText xml:space="preserve"> PAGEREF _Toc362858066 \h </w:instrText>
        </w:r>
        <w:r>
          <w:rPr>
            <w:webHidden/>
          </w:rPr>
        </w:r>
        <w:r>
          <w:rPr>
            <w:webHidden/>
          </w:rPr>
          <w:fldChar w:fldCharType="separate"/>
        </w:r>
        <w:r>
          <w:rPr>
            <w:webHidden/>
          </w:rPr>
          <w:t>2</w:t>
        </w:r>
        <w:r>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67" w:history="1">
        <w:r w:rsidR="00BA7C2C" w:rsidRPr="00DD4AEB">
          <w:rPr>
            <w:rStyle w:val="Hyperlink"/>
          </w:rPr>
          <w:t>1.1</w:t>
        </w:r>
        <w:r w:rsidR="00BA7C2C">
          <w:rPr>
            <w:rFonts w:ascii="Times New Roman" w:hAnsi="Times New Roman"/>
            <w:sz w:val="24"/>
            <w:lang w:val="nl-NL" w:eastAsia="nl-NL"/>
          </w:rPr>
          <w:tab/>
        </w:r>
        <w:r w:rsidR="00BA7C2C" w:rsidRPr="00DD4AEB">
          <w:rPr>
            <w:rStyle w:val="Hyperlink"/>
          </w:rPr>
          <w:t>Applicant</w:t>
        </w:r>
        <w:r w:rsidR="00BA7C2C">
          <w:rPr>
            <w:webHidden/>
          </w:rPr>
          <w:tab/>
        </w:r>
        <w:r w:rsidR="00BA7C2C">
          <w:rPr>
            <w:webHidden/>
          </w:rPr>
          <w:fldChar w:fldCharType="begin"/>
        </w:r>
        <w:r w:rsidR="00BA7C2C">
          <w:rPr>
            <w:webHidden/>
          </w:rPr>
          <w:instrText xml:space="preserve"> PAGEREF _Toc362858067 \h </w:instrText>
        </w:r>
        <w:r w:rsidR="00BA7C2C">
          <w:rPr>
            <w:webHidden/>
          </w:rPr>
        </w:r>
        <w:r w:rsidR="00BA7C2C">
          <w:rPr>
            <w:webHidden/>
          </w:rPr>
          <w:fldChar w:fldCharType="separate"/>
        </w:r>
        <w:r w:rsidR="00BA7C2C">
          <w:rPr>
            <w:webHidden/>
          </w:rPr>
          <w:t>2</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68" w:history="1">
        <w:r w:rsidR="00BA7C2C" w:rsidRPr="00DD4AEB">
          <w:rPr>
            <w:rStyle w:val="Hyperlink"/>
          </w:rPr>
          <w:t>1.1.1</w:t>
        </w:r>
        <w:r w:rsidR="00BA7C2C">
          <w:rPr>
            <w:rFonts w:ascii="Times New Roman" w:hAnsi="Times New Roman"/>
            <w:sz w:val="24"/>
            <w:lang w:val="nl-NL" w:eastAsia="nl-NL"/>
          </w:rPr>
          <w:tab/>
        </w:r>
        <w:r w:rsidR="00BA7C2C" w:rsidRPr="00DD4AEB">
          <w:rPr>
            <w:rStyle w:val="Hyperlink"/>
          </w:rPr>
          <w:t>Person authorised for communication on behalf of the applicant</w:t>
        </w:r>
        <w:r w:rsidR="00BA7C2C">
          <w:rPr>
            <w:webHidden/>
          </w:rPr>
          <w:tab/>
        </w:r>
        <w:r w:rsidR="00BA7C2C">
          <w:rPr>
            <w:webHidden/>
          </w:rPr>
          <w:fldChar w:fldCharType="begin"/>
        </w:r>
        <w:r w:rsidR="00BA7C2C">
          <w:rPr>
            <w:webHidden/>
          </w:rPr>
          <w:instrText xml:space="preserve"> PAGEREF _Toc362858068 \h </w:instrText>
        </w:r>
        <w:r w:rsidR="00BA7C2C">
          <w:rPr>
            <w:webHidden/>
          </w:rPr>
        </w:r>
        <w:r w:rsidR="00BA7C2C">
          <w:rPr>
            <w:webHidden/>
          </w:rPr>
          <w:fldChar w:fldCharType="separate"/>
        </w:r>
        <w:r w:rsidR="00BA7C2C">
          <w:rPr>
            <w:webHidden/>
          </w:rPr>
          <w:t>2</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69" w:history="1">
        <w:r w:rsidR="00BA7C2C" w:rsidRPr="00DD4AEB">
          <w:rPr>
            <w:rStyle w:val="Hyperlink"/>
          </w:rPr>
          <w:t>1.2</w:t>
        </w:r>
        <w:r w:rsidR="00BA7C2C">
          <w:rPr>
            <w:rFonts w:ascii="Times New Roman" w:hAnsi="Times New Roman"/>
            <w:sz w:val="24"/>
            <w:lang w:val="nl-NL" w:eastAsia="nl-NL"/>
          </w:rPr>
          <w:tab/>
        </w:r>
        <w:r w:rsidR="00BA7C2C" w:rsidRPr="00DD4AEB">
          <w:rPr>
            <w:rStyle w:val="Hyperlink"/>
          </w:rPr>
          <w:t>Current authorisation holder</w:t>
        </w:r>
        <w:r w:rsidR="00BA7C2C">
          <w:rPr>
            <w:webHidden/>
          </w:rPr>
          <w:tab/>
        </w:r>
        <w:r w:rsidR="00BA7C2C">
          <w:rPr>
            <w:webHidden/>
          </w:rPr>
          <w:fldChar w:fldCharType="begin"/>
        </w:r>
        <w:r w:rsidR="00BA7C2C">
          <w:rPr>
            <w:webHidden/>
          </w:rPr>
          <w:instrText xml:space="preserve"> PAGEREF _Toc362858069 \h </w:instrText>
        </w:r>
        <w:r w:rsidR="00BA7C2C">
          <w:rPr>
            <w:webHidden/>
          </w:rPr>
        </w:r>
        <w:r w:rsidR="00BA7C2C">
          <w:rPr>
            <w:webHidden/>
          </w:rPr>
          <w:fldChar w:fldCharType="separate"/>
        </w:r>
        <w:r w:rsidR="00BA7C2C">
          <w:rPr>
            <w:webHidden/>
          </w:rPr>
          <w:t>2</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70" w:history="1">
        <w:r w:rsidR="00BA7C2C" w:rsidRPr="00DD4AEB">
          <w:rPr>
            <w:rStyle w:val="Hyperlink"/>
          </w:rPr>
          <w:t>1.3</w:t>
        </w:r>
        <w:r w:rsidR="00BA7C2C">
          <w:rPr>
            <w:rFonts w:ascii="Times New Roman" w:hAnsi="Times New Roman"/>
            <w:sz w:val="24"/>
            <w:lang w:val="nl-NL" w:eastAsia="nl-NL"/>
          </w:rPr>
          <w:tab/>
        </w:r>
        <w:r w:rsidR="00BA7C2C" w:rsidRPr="00DD4AEB">
          <w:rPr>
            <w:rStyle w:val="Hyperlink"/>
          </w:rPr>
          <w:t>Proposed authorisation holder</w:t>
        </w:r>
        <w:r w:rsidR="00BA7C2C">
          <w:rPr>
            <w:webHidden/>
          </w:rPr>
          <w:tab/>
        </w:r>
        <w:r w:rsidR="00BA7C2C">
          <w:rPr>
            <w:webHidden/>
          </w:rPr>
          <w:fldChar w:fldCharType="begin"/>
        </w:r>
        <w:r w:rsidR="00BA7C2C">
          <w:rPr>
            <w:webHidden/>
          </w:rPr>
          <w:instrText xml:space="preserve"> PAGEREF _Toc362858070 \h </w:instrText>
        </w:r>
        <w:r w:rsidR="00BA7C2C">
          <w:rPr>
            <w:webHidden/>
          </w:rPr>
        </w:r>
        <w:r w:rsidR="00BA7C2C">
          <w:rPr>
            <w:webHidden/>
          </w:rPr>
          <w:fldChar w:fldCharType="separate"/>
        </w:r>
        <w:r w:rsidR="00BA7C2C">
          <w:rPr>
            <w:webHidden/>
          </w:rPr>
          <w:t>2</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71" w:history="1">
        <w:r w:rsidR="00BA7C2C" w:rsidRPr="00DD4AEB">
          <w:rPr>
            <w:rStyle w:val="Hyperlink"/>
          </w:rPr>
          <w:t>1.4</w:t>
        </w:r>
        <w:r w:rsidR="00BA7C2C">
          <w:rPr>
            <w:rFonts w:ascii="Times New Roman" w:hAnsi="Times New Roman"/>
            <w:sz w:val="24"/>
            <w:lang w:val="nl-NL" w:eastAsia="nl-NL"/>
          </w:rPr>
          <w:tab/>
        </w:r>
        <w:r w:rsidR="00BA7C2C" w:rsidRPr="00DD4AEB">
          <w:rPr>
            <w:rStyle w:val="Hyperlink"/>
          </w:rPr>
          <w:t>Information about the product application</w:t>
        </w:r>
        <w:r w:rsidR="00BA7C2C">
          <w:rPr>
            <w:webHidden/>
          </w:rPr>
          <w:tab/>
        </w:r>
        <w:r w:rsidR="00BA7C2C">
          <w:rPr>
            <w:webHidden/>
          </w:rPr>
          <w:fldChar w:fldCharType="begin"/>
        </w:r>
        <w:r w:rsidR="00BA7C2C">
          <w:rPr>
            <w:webHidden/>
          </w:rPr>
          <w:instrText xml:space="preserve"> PAGEREF _Toc362858071 \h </w:instrText>
        </w:r>
        <w:r w:rsidR="00BA7C2C">
          <w:rPr>
            <w:webHidden/>
          </w:rPr>
        </w:r>
        <w:r w:rsidR="00BA7C2C">
          <w:rPr>
            <w:webHidden/>
          </w:rPr>
          <w:fldChar w:fldCharType="separate"/>
        </w:r>
        <w:r w:rsidR="00BA7C2C">
          <w:rPr>
            <w:webHidden/>
          </w:rPr>
          <w:t>3</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72" w:history="1">
        <w:r w:rsidR="00BA7C2C" w:rsidRPr="00DD4AEB">
          <w:rPr>
            <w:rStyle w:val="Hyperlink"/>
          </w:rPr>
          <w:t>1.5</w:t>
        </w:r>
        <w:r w:rsidR="00BA7C2C">
          <w:rPr>
            <w:rFonts w:ascii="Times New Roman" w:hAnsi="Times New Roman"/>
            <w:sz w:val="24"/>
            <w:lang w:val="nl-NL" w:eastAsia="nl-NL"/>
          </w:rPr>
          <w:tab/>
        </w:r>
        <w:r w:rsidR="00BA7C2C" w:rsidRPr="00DD4AEB">
          <w:rPr>
            <w:rStyle w:val="Hyperlink"/>
          </w:rPr>
          <w:t>Information about the biocidal product</w:t>
        </w:r>
        <w:r w:rsidR="00BA7C2C">
          <w:rPr>
            <w:webHidden/>
          </w:rPr>
          <w:tab/>
        </w:r>
        <w:r w:rsidR="00BA7C2C">
          <w:rPr>
            <w:webHidden/>
          </w:rPr>
          <w:fldChar w:fldCharType="begin"/>
        </w:r>
        <w:r w:rsidR="00BA7C2C">
          <w:rPr>
            <w:webHidden/>
          </w:rPr>
          <w:instrText xml:space="preserve"> PAGEREF _Toc362858072 \h </w:instrText>
        </w:r>
        <w:r w:rsidR="00BA7C2C">
          <w:rPr>
            <w:webHidden/>
          </w:rPr>
        </w:r>
        <w:r w:rsidR="00BA7C2C">
          <w:rPr>
            <w:webHidden/>
          </w:rPr>
          <w:fldChar w:fldCharType="separate"/>
        </w:r>
        <w:r w:rsidR="00BA7C2C">
          <w:rPr>
            <w:webHidden/>
          </w:rPr>
          <w:t>3</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73" w:history="1">
        <w:r w:rsidR="00BA7C2C" w:rsidRPr="00DD4AEB">
          <w:rPr>
            <w:rStyle w:val="Hyperlink"/>
          </w:rPr>
          <w:t>1.5.1</w:t>
        </w:r>
        <w:r w:rsidR="00BA7C2C">
          <w:rPr>
            <w:rFonts w:ascii="Times New Roman" w:hAnsi="Times New Roman"/>
            <w:sz w:val="24"/>
            <w:lang w:val="nl-NL" w:eastAsia="nl-NL"/>
          </w:rPr>
          <w:tab/>
        </w:r>
        <w:r w:rsidR="00BA7C2C" w:rsidRPr="00DD4AEB">
          <w:rPr>
            <w:rStyle w:val="Hyperlink"/>
          </w:rPr>
          <w:t>General information</w:t>
        </w:r>
        <w:r w:rsidR="00BA7C2C">
          <w:rPr>
            <w:webHidden/>
          </w:rPr>
          <w:tab/>
        </w:r>
        <w:r w:rsidR="00BA7C2C">
          <w:rPr>
            <w:webHidden/>
          </w:rPr>
          <w:fldChar w:fldCharType="begin"/>
        </w:r>
        <w:r w:rsidR="00BA7C2C">
          <w:rPr>
            <w:webHidden/>
          </w:rPr>
          <w:instrText xml:space="preserve"> PAGEREF _Toc362858073 \h </w:instrText>
        </w:r>
        <w:r w:rsidR="00BA7C2C">
          <w:rPr>
            <w:webHidden/>
          </w:rPr>
        </w:r>
        <w:r w:rsidR="00BA7C2C">
          <w:rPr>
            <w:webHidden/>
          </w:rPr>
          <w:fldChar w:fldCharType="separate"/>
        </w:r>
        <w:r w:rsidR="00BA7C2C">
          <w:rPr>
            <w:webHidden/>
          </w:rPr>
          <w:t>3</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74" w:history="1">
        <w:r w:rsidR="00BA7C2C" w:rsidRPr="00DD4AEB">
          <w:rPr>
            <w:rStyle w:val="Hyperlink"/>
          </w:rPr>
          <w:t>1.5.2</w:t>
        </w:r>
        <w:r w:rsidR="00BA7C2C">
          <w:rPr>
            <w:rFonts w:ascii="Times New Roman" w:hAnsi="Times New Roman"/>
            <w:sz w:val="24"/>
            <w:lang w:val="nl-NL" w:eastAsia="nl-NL"/>
          </w:rPr>
          <w:tab/>
        </w:r>
        <w:r w:rsidR="00BA7C2C" w:rsidRPr="00DD4AEB">
          <w:rPr>
            <w:rStyle w:val="Hyperlink"/>
          </w:rPr>
          <w:t>Information on the intended use(s)</w:t>
        </w:r>
        <w:r w:rsidR="00BA7C2C">
          <w:rPr>
            <w:webHidden/>
          </w:rPr>
          <w:tab/>
        </w:r>
        <w:r w:rsidR="00BA7C2C">
          <w:rPr>
            <w:webHidden/>
          </w:rPr>
          <w:fldChar w:fldCharType="begin"/>
        </w:r>
        <w:r w:rsidR="00BA7C2C">
          <w:rPr>
            <w:webHidden/>
          </w:rPr>
          <w:instrText xml:space="preserve"> PAGEREF _Toc362858074 \h </w:instrText>
        </w:r>
        <w:r w:rsidR="00BA7C2C">
          <w:rPr>
            <w:webHidden/>
          </w:rPr>
        </w:r>
        <w:r w:rsidR="00BA7C2C">
          <w:rPr>
            <w:webHidden/>
          </w:rPr>
          <w:fldChar w:fldCharType="separate"/>
        </w:r>
        <w:r w:rsidR="00BA7C2C">
          <w:rPr>
            <w:webHidden/>
          </w:rPr>
          <w:t>3</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75" w:history="1">
        <w:r w:rsidR="00BA7C2C" w:rsidRPr="00DD4AEB">
          <w:rPr>
            <w:rStyle w:val="Hyperlink"/>
          </w:rPr>
          <w:t>1.5.3</w:t>
        </w:r>
        <w:r w:rsidR="00BA7C2C">
          <w:rPr>
            <w:rFonts w:ascii="Times New Roman" w:hAnsi="Times New Roman"/>
            <w:sz w:val="24"/>
            <w:lang w:val="nl-NL" w:eastAsia="nl-NL"/>
          </w:rPr>
          <w:tab/>
        </w:r>
        <w:r w:rsidR="00BA7C2C" w:rsidRPr="00DD4AEB">
          <w:rPr>
            <w:rStyle w:val="Hyperlink"/>
          </w:rPr>
          <w:t>Information on active substance(s)</w:t>
        </w:r>
        <w:r w:rsidR="00BA7C2C">
          <w:rPr>
            <w:webHidden/>
          </w:rPr>
          <w:tab/>
        </w:r>
        <w:r w:rsidR="00BA7C2C">
          <w:rPr>
            <w:webHidden/>
          </w:rPr>
          <w:fldChar w:fldCharType="begin"/>
        </w:r>
        <w:r w:rsidR="00BA7C2C">
          <w:rPr>
            <w:webHidden/>
          </w:rPr>
          <w:instrText xml:space="preserve"> PAGEREF _Toc362858075 \h </w:instrText>
        </w:r>
        <w:r w:rsidR="00BA7C2C">
          <w:rPr>
            <w:webHidden/>
          </w:rPr>
        </w:r>
        <w:r w:rsidR="00BA7C2C">
          <w:rPr>
            <w:webHidden/>
          </w:rPr>
          <w:fldChar w:fldCharType="separate"/>
        </w:r>
        <w:r w:rsidR="00BA7C2C">
          <w:rPr>
            <w:webHidden/>
          </w:rPr>
          <w:t>7</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76" w:history="1">
        <w:r w:rsidR="00BA7C2C" w:rsidRPr="00DD4AEB">
          <w:rPr>
            <w:rStyle w:val="Hyperlink"/>
          </w:rPr>
          <w:t>1.5.4</w:t>
        </w:r>
        <w:r w:rsidR="00BA7C2C">
          <w:rPr>
            <w:rFonts w:ascii="Times New Roman" w:hAnsi="Times New Roman"/>
            <w:sz w:val="24"/>
            <w:lang w:val="nl-NL" w:eastAsia="nl-NL"/>
          </w:rPr>
          <w:tab/>
        </w:r>
        <w:r w:rsidR="00BA7C2C" w:rsidRPr="00DD4AEB">
          <w:rPr>
            <w:rStyle w:val="Hyperlink"/>
          </w:rPr>
          <w:t>Information on the substance(s) of concern</w:t>
        </w:r>
        <w:r w:rsidR="00BA7C2C">
          <w:rPr>
            <w:webHidden/>
          </w:rPr>
          <w:tab/>
        </w:r>
        <w:r w:rsidR="00BA7C2C">
          <w:rPr>
            <w:webHidden/>
          </w:rPr>
          <w:fldChar w:fldCharType="begin"/>
        </w:r>
        <w:r w:rsidR="00BA7C2C">
          <w:rPr>
            <w:webHidden/>
          </w:rPr>
          <w:instrText xml:space="preserve"> PAGEREF _Toc362858076 \h </w:instrText>
        </w:r>
        <w:r w:rsidR="00BA7C2C">
          <w:rPr>
            <w:webHidden/>
          </w:rPr>
        </w:r>
        <w:r w:rsidR="00BA7C2C">
          <w:rPr>
            <w:webHidden/>
          </w:rPr>
          <w:fldChar w:fldCharType="separate"/>
        </w:r>
        <w:r w:rsidR="00BA7C2C">
          <w:rPr>
            <w:webHidden/>
          </w:rPr>
          <w:t>7</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77" w:history="1">
        <w:r w:rsidR="00BA7C2C" w:rsidRPr="00DD4AEB">
          <w:rPr>
            <w:rStyle w:val="Hyperlink"/>
          </w:rPr>
          <w:t>1.6</w:t>
        </w:r>
        <w:r w:rsidR="00BA7C2C">
          <w:rPr>
            <w:rFonts w:ascii="Times New Roman" w:hAnsi="Times New Roman"/>
            <w:sz w:val="24"/>
            <w:lang w:val="nl-NL" w:eastAsia="nl-NL"/>
          </w:rPr>
          <w:tab/>
        </w:r>
        <w:r w:rsidR="00BA7C2C" w:rsidRPr="00DD4AEB">
          <w:rPr>
            <w:rStyle w:val="Hyperlink"/>
          </w:rPr>
          <w:t>Documentation</w:t>
        </w:r>
        <w:r w:rsidR="00BA7C2C">
          <w:rPr>
            <w:webHidden/>
          </w:rPr>
          <w:tab/>
        </w:r>
        <w:r w:rsidR="00BA7C2C">
          <w:rPr>
            <w:webHidden/>
          </w:rPr>
          <w:fldChar w:fldCharType="begin"/>
        </w:r>
        <w:r w:rsidR="00BA7C2C">
          <w:rPr>
            <w:webHidden/>
          </w:rPr>
          <w:instrText xml:space="preserve"> PAGEREF _Toc362858077 \h </w:instrText>
        </w:r>
        <w:r w:rsidR="00BA7C2C">
          <w:rPr>
            <w:webHidden/>
          </w:rPr>
        </w:r>
        <w:r w:rsidR="00BA7C2C">
          <w:rPr>
            <w:webHidden/>
          </w:rPr>
          <w:fldChar w:fldCharType="separate"/>
        </w:r>
        <w:r w:rsidR="00BA7C2C">
          <w:rPr>
            <w:webHidden/>
          </w:rPr>
          <w:t>7</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78" w:history="1">
        <w:r w:rsidR="00BA7C2C" w:rsidRPr="00DD4AEB">
          <w:rPr>
            <w:rStyle w:val="Hyperlink"/>
          </w:rPr>
          <w:t>1.6.1</w:t>
        </w:r>
        <w:r w:rsidR="00BA7C2C">
          <w:rPr>
            <w:rFonts w:ascii="Times New Roman" w:hAnsi="Times New Roman"/>
            <w:sz w:val="24"/>
            <w:lang w:val="nl-NL" w:eastAsia="nl-NL"/>
          </w:rPr>
          <w:tab/>
        </w:r>
        <w:r w:rsidR="00BA7C2C" w:rsidRPr="00DD4AEB">
          <w:rPr>
            <w:rStyle w:val="Hyperlink"/>
          </w:rPr>
          <w:t>Data submitted in relation to product application</w:t>
        </w:r>
        <w:r w:rsidR="00BA7C2C">
          <w:rPr>
            <w:webHidden/>
          </w:rPr>
          <w:tab/>
        </w:r>
        <w:r w:rsidR="00BA7C2C">
          <w:rPr>
            <w:webHidden/>
          </w:rPr>
          <w:fldChar w:fldCharType="begin"/>
        </w:r>
        <w:r w:rsidR="00BA7C2C">
          <w:rPr>
            <w:webHidden/>
          </w:rPr>
          <w:instrText xml:space="preserve"> PAGEREF _Toc362858078 \h </w:instrText>
        </w:r>
        <w:r w:rsidR="00BA7C2C">
          <w:rPr>
            <w:webHidden/>
          </w:rPr>
        </w:r>
        <w:r w:rsidR="00BA7C2C">
          <w:rPr>
            <w:webHidden/>
          </w:rPr>
          <w:fldChar w:fldCharType="separate"/>
        </w:r>
        <w:r w:rsidR="00BA7C2C">
          <w:rPr>
            <w:webHidden/>
          </w:rPr>
          <w:t>7</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79" w:history="1">
        <w:r w:rsidR="00BA7C2C" w:rsidRPr="00DD4AEB">
          <w:rPr>
            <w:rStyle w:val="Hyperlink"/>
          </w:rPr>
          <w:t>1.6.2</w:t>
        </w:r>
        <w:r w:rsidR="00BA7C2C">
          <w:rPr>
            <w:rFonts w:ascii="Times New Roman" w:hAnsi="Times New Roman"/>
            <w:sz w:val="24"/>
            <w:lang w:val="nl-NL" w:eastAsia="nl-NL"/>
          </w:rPr>
          <w:tab/>
        </w:r>
        <w:r w:rsidR="00BA7C2C" w:rsidRPr="00DD4AEB">
          <w:rPr>
            <w:rStyle w:val="Hyperlink"/>
          </w:rPr>
          <w:t>Access to documentation</w:t>
        </w:r>
        <w:r w:rsidR="00BA7C2C">
          <w:rPr>
            <w:webHidden/>
          </w:rPr>
          <w:tab/>
        </w:r>
        <w:r w:rsidR="00BA7C2C">
          <w:rPr>
            <w:webHidden/>
          </w:rPr>
          <w:fldChar w:fldCharType="begin"/>
        </w:r>
        <w:r w:rsidR="00BA7C2C">
          <w:rPr>
            <w:webHidden/>
          </w:rPr>
          <w:instrText xml:space="preserve"> PAGEREF _Toc362858079 \h </w:instrText>
        </w:r>
        <w:r w:rsidR="00BA7C2C">
          <w:rPr>
            <w:webHidden/>
          </w:rPr>
        </w:r>
        <w:r w:rsidR="00BA7C2C">
          <w:rPr>
            <w:webHidden/>
          </w:rPr>
          <w:fldChar w:fldCharType="separate"/>
        </w:r>
        <w:r w:rsidR="00BA7C2C">
          <w:rPr>
            <w:webHidden/>
          </w:rPr>
          <w:t>7</w:t>
        </w:r>
        <w:r w:rsidR="00BA7C2C">
          <w:rPr>
            <w:webHidden/>
          </w:rPr>
          <w:fldChar w:fldCharType="end"/>
        </w:r>
      </w:hyperlink>
    </w:p>
    <w:p w:rsidR="00BA7C2C" w:rsidRDefault="00BA7C2C" w:rsidP="00BA7C2C">
      <w:pPr>
        <w:pStyle w:val="Inhopg1"/>
        <w:rPr>
          <w:rStyle w:val="Hyperlink"/>
        </w:rPr>
      </w:pPr>
    </w:p>
    <w:p w:rsidR="00BA7C2C" w:rsidRPr="002418D7" w:rsidRDefault="00B1753E" w:rsidP="00BA7C2C">
      <w:pPr>
        <w:pStyle w:val="Inhopg1"/>
        <w:rPr>
          <w:rStyle w:val="Hyperlink"/>
          <w:rFonts w:ascii="Times New Roman" w:hAnsi="Times New Roman"/>
          <w:b w:val="0"/>
          <w:sz w:val="24"/>
          <w:lang w:val="nl-NL" w:eastAsia="nl-NL"/>
        </w:rPr>
      </w:pPr>
      <w:hyperlink w:anchor="_Toc362858080" w:history="1">
        <w:r w:rsidR="00BA7C2C" w:rsidRPr="00DD4AEB">
          <w:rPr>
            <w:rStyle w:val="Hyperlink"/>
          </w:rPr>
          <w:t>2</w:t>
        </w:r>
        <w:r w:rsidR="00BA7C2C">
          <w:rPr>
            <w:rFonts w:ascii="Times New Roman" w:hAnsi="Times New Roman"/>
            <w:sz w:val="24"/>
            <w:lang w:val="nl-NL" w:eastAsia="nl-NL"/>
          </w:rPr>
          <w:tab/>
        </w:r>
        <w:r w:rsidR="00BA7C2C" w:rsidRPr="00DD4AEB">
          <w:rPr>
            <w:rStyle w:val="Hyperlink"/>
          </w:rPr>
          <w:t>Summary of the product assessment</w:t>
        </w:r>
        <w:r w:rsidR="00BA7C2C">
          <w:rPr>
            <w:webHidden/>
          </w:rPr>
          <w:tab/>
        </w:r>
        <w:r w:rsidR="00BA7C2C">
          <w:rPr>
            <w:webHidden/>
          </w:rPr>
          <w:fldChar w:fldCharType="begin"/>
        </w:r>
        <w:r w:rsidR="00BA7C2C">
          <w:rPr>
            <w:webHidden/>
          </w:rPr>
          <w:instrText xml:space="preserve"> PAGEREF _Toc362858080 \h </w:instrText>
        </w:r>
        <w:r w:rsidR="00BA7C2C">
          <w:rPr>
            <w:webHidden/>
          </w:rPr>
        </w:r>
        <w:r w:rsidR="00BA7C2C">
          <w:rPr>
            <w:webHidden/>
          </w:rPr>
          <w:fldChar w:fldCharType="separate"/>
        </w:r>
        <w:r w:rsidR="00BA7C2C">
          <w:rPr>
            <w:webHidden/>
          </w:rPr>
          <w:t>8</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81" w:history="1">
        <w:r w:rsidR="00BA7C2C" w:rsidRPr="00DD4AEB">
          <w:rPr>
            <w:rStyle w:val="Hyperlink"/>
          </w:rPr>
          <w:t>2.1</w:t>
        </w:r>
        <w:r w:rsidR="00BA7C2C">
          <w:rPr>
            <w:rFonts w:ascii="Times New Roman" w:hAnsi="Times New Roman"/>
            <w:sz w:val="24"/>
            <w:lang w:val="nl-NL" w:eastAsia="nl-NL"/>
          </w:rPr>
          <w:tab/>
        </w:r>
        <w:r w:rsidR="00BA7C2C" w:rsidRPr="00DD4AEB">
          <w:rPr>
            <w:rStyle w:val="Hyperlink"/>
          </w:rPr>
          <w:t>Identity related issues</w:t>
        </w:r>
        <w:r w:rsidR="00BA7C2C">
          <w:rPr>
            <w:webHidden/>
          </w:rPr>
          <w:tab/>
        </w:r>
        <w:r w:rsidR="00BA7C2C">
          <w:rPr>
            <w:webHidden/>
          </w:rPr>
          <w:fldChar w:fldCharType="begin"/>
        </w:r>
        <w:r w:rsidR="00BA7C2C">
          <w:rPr>
            <w:webHidden/>
          </w:rPr>
          <w:instrText xml:space="preserve"> PAGEREF _Toc362858081 \h </w:instrText>
        </w:r>
        <w:r w:rsidR="00BA7C2C">
          <w:rPr>
            <w:webHidden/>
          </w:rPr>
        </w:r>
        <w:r w:rsidR="00BA7C2C">
          <w:rPr>
            <w:webHidden/>
          </w:rPr>
          <w:fldChar w:fldCharType="separate"/>
        </w:r>
        <w:r w:rsidR="00BA7C2C">
          <w:rPr>
            <w:webHidden/>
          </w:rPr>
          <w:t>8</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82" w:history="1">
        <w:r w:rsidR="00BA7C2C" w:rsidRPr="00DD4AEB">
          <w:rPr>
            <w:rStyle w:val="Hyperlink"/>
          </w:rPr>
          <w:t>2.2</w:t>
        </w:r>
        <w:r w:rsidR="00BA7C2C">
          <w:rPr>
            <w:rFonts w:ascii="Times New Roman" w:hAnsi="Times New Roman"/>
            <w:sz w:val="24"/>
            <w:lang w:val="nl-NL" w:eastAsia="nl-NL"/>
          </w:rPr>
          <w:tab/>
        </w:r>
        <w:r w:rsidR="00BA7C2C" w:rsidRPr="00DD4AEB">
          <w:rPr>
            <w:rStyle w:val="Hyperlink"/>
          </w:rPr>
          <w:t>Classification, labelling and packaging</w:t>
        </w:r>
        <w:r w:rsidR="00BA7C2C">
          <w:rPr>
            <w:webHidden/>
          </w:rPr>
          <w:tab/>
        </w:r>
        <w:r w:rsidR="00BA7C2C">
          <w:rPr>
            <w:webHidden/>
          </w:rPr>
          <w:fldChar w:fldCharType="begin"/>
        </w:r>
        <w:r w:rsidR="00BA7C2C">
          <w:rPr>
            <w:webHidden/>
          </w:rPr>
          <w:instrText xml:space="preserve"> PAGEREF _Toc362858082 \h </w:instrText>
        </w:r>
        <w:r w:rsidR="00BA7C2C">
          <w:rPr>
            <w:webHidden/>
          </w:rPr>
        </w:r>
        <w:r w:rsidR="00BA7C2C">
          <w:rPr>
            <w:webHidden/>
          </w:rPr>
          <w:fldChar w:fldCharType="separate"/>
        </w:r>
        <w:r w:rsidR="00BA7C2C">
          <w:rPr>
            <w:webHidden/>
          </w:rPr>
          <w:t>8</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83" w:history="1">
        <w:r w:rsidR="00BA7C2C" w:rsidRPr="00DD4AEB">
          <w:rPr>
            <w:rStyle w:val="Hyperlink"/>
          </w:rPr>
          <w:t>2.2.1</w:t>
        </w:r>
        <w:r w:rsidR="00BA7C2C">
          <w:rPr>
            <w:rFonts w:ascii="Times New Roman" w:hAnsi="Times New Roman"/>
            <w:sz w:val="24"/>
            <w:lang w:val="nl-NL" w:eastAsia="nl-NL"/>
          </w:rPr>
          <w:tab/>
        </w:r>
        <w:r w:rsidR="00BA7C2C" w:rsidRPr="00DD4AEB">
          <w:rPr>
            <w:rStyle w:val="Hyperlink"/>
          </w:rPr>
          <w:t>Harmonised classification and labelling of the biocidal product</w:t>
        </w:r>
        <w:r w:rsidR="00BA7C2C">
          <w:rPr>
            <w:webHidden/>
          </w:rPr>
          <w:tab/>
        </w:r>
        <w:r w:rsidR="00BA7C2C">
          <w:rPr>
            <w:webHidden/>
          </w:rPr>
          <w:fldChar w:fldCharType="begin"/>
        </w:r>
        <w:r w:rsidR="00BA7C2C">
          <w:rPr>
            <w:webHidden/>
          </w:rPr>
          <w:instrText xml:space="preserve"> PAGEREF _Toc362858083 \h </w:instrText>
        </w:r>
        <w:r w:rsidR="00BA7C2C">
          <w:rPr>
            <w:webHidden/>
          </w:rPr>
        </w:r>
        <w:r w:rsidR="00BA7C2C">
          <w:rPr>
            <w:webHidden/>
          </w:rPr>
          <w:fldChar w:fldCharType="separate"/>
        </w:r>
        <w:r w:rsidR="00BA7C2C">
          <w:rPr>
            <w:webHidden/>
          </w:rPr>
          <w:t>8</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84" w:history="1">
        <w:r w:rsidR="00BA7C2C" w:rsidRPr="00DD4AEB">
          <w:rPr>
            <w:rStyle w:val="Hyperlink"/>
          </w:rPr>
          <w:t>Non-professional user:</w:t>
        </w:r>
        <w:r w:rsidR="00BA7C2C">
          <w:rPr>
            <w:webHidden/>
          </w:rPr>
          <w:tab/>
        </w:r>
        <w:r w:rsidR="00BA7C2C">
          <w:rPr>
            <w:webHidden/>
          </w:rPr>
          <w:fldChar w:fldCharType="begin"/>
        </w:r>
        <w:r w:rsidR="00BA7C2C">
          <w:rPr>
            <w:webHidden/>
          </w:rPr>
          <w:instrText xml:space="preserve"> PAGEREF _Toc362858084 \h </w:instrText>
        </w:r>
        <w:r w:rsidR="00BA7C2C">
          <w:rPr>
            <w:webHidden/>
          </w:rPr>
        </w:r>
        <w:r w:rsidR="00BA7C2C">
          <w:rPr>
            <w:webHidden/>
          </w:rPr>
          <w:fldChar w:fldCharType="separate"/>
        </w:r>
        <w:r w:rsidR="00BA7C2C">
          <w:rPr>
            <w:webHidden/>
          </w:rPr>
          <w:t>10</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85" w:history="1">
        <w:r w:rsidR="00BA7C2C" w:rsidRPr="00DD4AEB">
          <w:rPr>
            <w:rStyle w:val="Hyperlink"/>
          </w:rPr>
          <w:t>2.2.2</w:t>
        </w:r>
        <w:r w:rsidR="00BA7C2C">
          <w:rPr>
            <w:rFonts w:ascii="Times New Roman" w:hAnsi="Times New Roman"/>
            <w:sz w:val="24"/>
            <w:lang w:val="nl-NL" w:eastAsia="nl-NL"/>
          </w:rPr>
          <w:tab/>
        </w:r>
        <w:r w:rsidR="00BA7C2C" w:rsidRPr="00DD4AEB">
          <w:rPr>
            <w:rStyle w:val="Hyperlink"/>
          </w:rPr>
          <w:t>Packaging of the biocidal product</w:t>
        </w:r>
        <w:r w:rsidR="00BA7C2C">
          <w:rPr>
            <w:webHidden/>
          </w:rPr>
          <w:tab/>
        </w:r>
        <w:r w:rsidR="00BA7C2C">
          <w:rPr>
            <w:webHidden/>
          </w:rPr>
          <w:fldChar w:fldCharType="begin"/>
        </w:r>
        <w:r w:rsidR="00BA7C2C">
          <w:rPr>
            <w:webHidden/>
          </w:rPr>
          <w:instrText xml:space="preserve"> PAGEREF _Toc362858085 \h </w:instrText>
        </w:r>
        <w:r w:rsidR="00BA7C2C">
          <w:rPr>
            <w:webHidden/>
          </w:rPr>
        </w:r>
        <w:r w:rsidR="00BA7C2C">
          <w:rPr>
            <w:webHidden/>
          </w:rPr>
          <w:fldChar w:fldCharType="separate"/>
        </w:r>
        <w:r w:rsidR="00BA7C2C">
          <w:rPr>
            <w:webHidden/>
          </w:rPr>
          <w:t>10</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86" w:history="1">
        <w:r w:rsidR="00BA7C2C" w:rsidRPr="00DD4AEB">
          <w:rPr>
            <w:rStyle w:val="Hyperlink"/>
          </w:rPr>
          <w:t>2.3</w:t>
        </w:r>
        <w:r w:rsidR="00BA7C2C">
          <w:rPr>
            <w:rFonts w:ascii="Times New Roman" w:hAnsi="Times New Roman"/>
            <w:sz w:val="24"/>
            <w:lang w:val="nl-NL" w:eastAsia="nl-NL"/>
          </w:rPr>
          <w:tab/>
        </w:r>
        <w:r w:rsidR="00BA7C2C" w:rsidRPr="00DD4AEB">
          <w:rPr>
            <w:rStyle w:val="Hyperlink"/>
          </w:rPr>
          <w:t>Physico/chemical properties and analytical methods</w:t>
        </w:r>
        <w:r w:rsidR="00BA7C2C">
          <w:rPr>
            <w:webHidden/>
          </w:rPr>
          <w:tab/>
        </w:r>
        <w:r w:rsidR="00BA7C2C">
          <w:rPr>
            <w:webHidden/>
          </w:rPr>
          <w:fldChar w:fldCharType="begin"/>
        </w:r>
        <w:r w:rsidR="00BA7C2C">
          <w:rPr>
            <w:webHidden/>
          </w:rPr>
          <w:instrText xml:space="preserve"> PAGEREF _Toc362858086 \h </w:instrText>
        </w:r>
        <w:r w:rsidR="00BA7C2C">
          <w:rPr>
            <w:webHidden/>
          </w:rPr>
        </w:r>
        <w:r w:rsidR="00BA7C2C">
          <w:rPr>
            <w:webHidden/>
          </w:rPr>
          <w:fldChar w:fldCharType="separate"/>
        </w:r>
        <w:r w:rsidR="00BA7C2C">
          <w:rPr>
            <w:webHidden/>
          </w:rPr>
          <w:t>11</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87" w:history="1">
        <w:r w:rsidR="00BA7C2C" w:rsidRPr="00DD4AEB">
          <w:rPr>
            <w:rStyle w:val="Hyperlink"/>
          </w:rPr>
          <w:t>2.3.1</w:t>
        </w:r>
        <w:r w:rsidR="00BA7C2C">
          <w:rPr>
            <w:rFonts w:ascii="Times New Roman" w:hAnsi="Times New Roman"/>
            <w:sz w:val="24"/>
            <w:lang w:val="nl-NL" w:eastAsia="nl-NL"/>
          </w:rPr>
          <w:tab/>
        </w:r>
        <w:r w:rsidR="00BA7C2C" w:rsidRPr="00DD4AEB">
          <w:rPr>
            <w:rStyle w:val="Hyperlink"/>
          </w:rPr>
          <w:t>Physico-chemical properties</w:t>
        </w:r>
        <w:r w:rsidR="00BA7C2C">
          <w:rPr>
            <w:webHidden/>
          </w:rPr>
          <w:tab/>
        </w:r>
        <w:r w:rsidR="00BA7C2C">
          <w:rPr>
            <w:webHidden/>
          </w:rPr>
          <w:fldChar w:fldCharType="begin"/>
        </w:r>
        <w:r w:rsidR="00BA7C2C">
          <w:rPr>
            <w:webHidden/>
          </w:rPr>
          <w:instrText xml:space="preserve"> PAGEREF _Toc362858087 \h </w:instrText>
        </w:r>
        <w:r w:rsidR="00BA7C2C">
          <w:rPr>
            <w:webHidden/>
          </w:rPr>
        </w:r>
        <w:r w:rsidR="00BA7C2C">
          <w:rPr>
            <w:webHidden/>
          </w:rPr>
          <w:fldChar w:fldCharType="separate"/>
        </w:r>
        <w:r w:rsidR="00BA7C2C">
          <w:rPr>
            <w:webHidden/>
          </w:rPr>
          <w:t>12</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88" w:history="1">
        <w:r w:rsidR="00BA7C2C" w:rsidRPr="00DD4AEB">
          <w:rPr>
            <w:rStyle w:val="Hyperlink"/>
          </w:rPr>
          <w:t>2.3.2</w:t>
        </w:r>
        <w:r w:rsidR="00BA7C2C">
          <w:rPr>
            <w:rFonts w:ascii="Times New Roman" w:hAnsi="Times New Roman"/>
            <w:sz w:val="24"/>
            <w:lang w:val="nl-NL" w:eastAsia="nl-NL"/>
          </w:rPr>
          <w:tab/>
        </w:r>
        <w:r w:rsidR="00BA7C2C" w:rsidRPr="00DD4AEB">
          <w:rPr>
            <w:rStyle w:val="Hyperlink"/>
          </w:rPr>
          <w:t>Analytical methods</w:t>
        </w:r>
        <w:r w:rsidR="00BA7C2C">
          <w:rPr>
            <w:webHidden/>
          </w:rPr>
          <w:tab/>
        </w:r>
        <w:r w:rsidR="00BA7C2C">
          <w:rPr>
            <w:webHidden/>
          </w:rPr>
          <w:fldChar w:fldCharType="begin"/>
        </w:r>
        <w:r w:rsidR="00BA7C2C">
          <w:rPr>
            <w:webHidden/>
          </w:rPr>
          <w:instrText xml:space="preserve"> PAGEREF _Toc362858088 \h </w:instrText>
        </w:r>
        <w:r w:rsidR="00BA7C2C">
          <w:rPr>
            <w:webHidden/>
          </w:rPr>
        </w:r>
        <w:r w:rsidR="00BA7C2C">
          <w:rPr>
            <w:webHidden/>
          </w:rPr>
          <w:fldChar w:fldCharType="separate"/>
        </w:r>
        <w:r w:rsidR="00BA7C2C">
          <w:rPr>
            <w:webHidden/>
          </w:rPr>
          <w:t>13</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89" w:history="1">
        <w:r w:rsidR="00BA7C2C" w:rsidRPr="00DD4AEB">
          <w:rPr>
            <w:rStyle w:val="Hyperlink"/>
          </w:rPr>
          <w:t>2.4</w:t>
        </w:r>
        <w:r w:rsidR="00BA7C2C">
          <w:rPr>
            <w:rFonts w:ascii="Times New Roman" w:hAnsi="Times New Roman"/>
            <w:sz w:val="24"/>
            <w:lang w:val="nl-NL" w:eastAsia="nl-NL"/>
          </w:rPr>
          <w:tab/>
        </w:r>
        <w:r w:rsidR="00BA7C2C" w:rsidRPr="00DD4AEB">
          <w:rPr>
            <w:rStyle w:val="Hyperlink"/>
          </w:rPr>
          <w:t>Risk assessment for Physico-chemical properties</w:t>
        </w:r>
        <w:r w:rsidR="00BA7C2C">
          <w:rPr>
            <w:webHidden/>
          </w:rPr>
          <w:tab/>
        </w:r>
        <w:r w:rsidR="00BA7C2C">
          <w:rPr>
            <w:webHidden/>
          </w:rPr>
          <w:fldChar w:fldCharType="begin"/>
        </w:r>
        <w:r w:rsidR="00BA7C2C">
          <w:rPr>
            <w:webHidden/>
          </w:rPr>
          <w:instrText xml:space="preserve"> PAGEREF _Toc362858089 \h </w:instrText>
        </w:r>
        <w:r w:rsidR="00BA7C2C">
          <w:rPr>
            <w:webHidden/>
          </w:rPr>
        </w:r>
        <w:r w:rsidR="00BA7C2C">
          <w:rPr>
            <w:webHidden/>
          </w:rPr>
          <w:fldChar w:fldCharType="separate"/>
        </w:r>
        <w:r w:rsidR="00BA7C2C">
          <w:rPr>
            <w:webHidden/>
          </w:rPr>
          <w:t>13</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90" w:history="1">
        <w:r w:rsidR="00BA7C2C" w:rsidRPr="00DD4AEB">
          <w:rPr>
            <w:rStyle w:val="Hyperlink"/>
          </w:rPr>
          <w:t>2.5</w:t>
        </w:r>
        <w:r w:rsidR="00BA7C2C">
          <w:rPr>
            <w:rFonts w:ascii="Times New Roman" w:hAnsi="Times New Roman"/>
            <w:sz w:val="24"/>
            <w:lang w:val="nl-NL" w:eastAsia="nl-NL"/>
          </w:rPr>
          <w:tab/>
        </w:r>
        <w:r w:rsidR="00BA7C2C" w:rsidRPr="00DD4AEB">
          <w:rPr>
            <w:rStyle w:val="Hyperlink"/>
          </w:rPr>
          <w:t>Effectiveness against target organisms</w:t>
        </w:r>
        <w:r w:rsidR="00BA7C2C">
          <w:rPr>
            <w:webHidden/>
          </w:rPr>
          <w:tab/>
        </w:r>
        <w:r w:rsidR="00BA7C2C">
          <w:rPr>
            <w:webHidden/>
          </w:rPr>
          <w:fldChar w:fldCharType="begin"/>
        </w:r>
        <w:r w:rsidR="00BA7C2C">
          <w:rPr>
            <w:webHidden/>
          </w:rPr>
          <w:instrText xml:space="preserve"> PAGEREF _Toc362858090 \h </w:instrText>
        </w:r>
        <w:r w:rsidR="00BA7C2C">
          <w:rPr>
            <w:webHidden/>
          </w:rPr>
        </w:r>
        <w:r w:rsidR="00BA7C2C">
          <w:rPr>
            <w:webHidden/>
          </w:rPr>
          <w:fldChar w:fldCharType="separate"/>
        </w:r>
        <w:r w:rsidR="00BA7C2C">
          <w:rPr>
            <w:webHidden/>
          </w:rPr>
          <w:t>13</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91" w:history="1">
        <w:r w:rsidR="00BA7C2C" w:rsidRPr="00DD4AEB">
          <w:rPr>
            <w:rStyle w:val="Hyperlink"/>
          </w:rPr>
          <w:t>2.6</w:t>
        </w:r>
        <w:r w:rsidR="00BA7C2C">
          <w:rPr>
            <w:rFonts w:ascii="Times New Roman" w:hAnsi="Times New Roman"/>
            <w:sz w:val="24"/>
            <w:lang w:val="nl-NL" w:eastAsia="nl-NL"/>
          </w:rPr>
          <w:tab/>
        </w:r>
        <w:r w:rsidR="00BA7C2C" w:rsidRPr="00DD4AEB">
          <w:rPr>
            <w:rStyle w:val="Hyperlink"/>
          </w:rPr>
          <w:t>Exposure assessment</w:t>
        </w:r>
        <w:r w:rsidR="00BA7C2C">
          <w:rPr>
            <w:webHidden/>
          </w:rPr>
          <w:tab/>
        </w:r>
        <w:r w:rsidR="00BA7C2C">
          <w:rPr>
            <w:webHidden/>
          </w:rPr>
          <w:fldChar w:fldCharType="begin"/>
        </w:r>
        <w:r w:rsidR="00BA7C2C">
          <w:rPr>
            <w:webHidden/>
          </w:rPr>
          <w:instrText xml:space="preserve"> PAGEREF _Toc362858091 \h </w:instrText>
        </w:r>
        <w:r w:rsidR="00BA7C2C">
          <w:rPr>
            <w:webHidden/>
          </w:rPr>
        </w:r>
        <w:r w:rsidR="00BA7C2C">
          <w:rPr>
            <w:webHidden/>
          </w:rPr>
          <w:fldChar w:fldCharType="separate"/>
        </w:r>
        <w:r w:rsidR="00BA7C2C">
          <w:rPr>
            <w:webHidden/>
          </w:rPr>
          <w:t>22</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92" w:history="1">
        <w:r w:rsidR="00BA7C2C" w:rsidRPr="00DD4AEB">
          <w:rPr>
            <w:rStyle w:val="Hyperlink"/>
          </w:rPr>
          <w:t>2.6.1</w:t>
        </w:r>
        <w:r w:rsidR="00BA7C2C">
          <w:rPr>
            <w:rFonts w:ascii="Times New Roman" w:hAnsi="Times New Roman"/>
            <w:sz w:val="24"/>
            <w:lang w:val="nl-NL" w:eastAsia="nl-NL"/>
          </w:rPr>
          <w:tab/>
        </w:r>
        <w:r w:rsidR="00BA7C2C" w:rsidRPr="00DD4AEB">
          <w:rPr>
            <w:rStyle w:val="Hyperlink"/>
          </w:rPr>
          <w:t>Description of the intended use(s)</w:t>
        </w:r>
        <w:r w:rsidR="00BA7C2C">
          <w:rPr>
            <w:webHidden/>
          </w:rPr>
          <w:tab/>
        </w:r>
        <w:r w:rsidR="00BA7C2C">
          <w:rPr>
            <w:webHidden/>
          </w:rPr>
          <w:fldChar w:fldCharType="begin"/>
        </w:r>
        <w:r w:rsidR="00BA7C2C">
          <w:rPr>
            <w:webHidden/>
          </w:rPr>
          <w:instrText xml:space="preserve"> PAGEREF _Toc362858092 \h </w:instrText>
        </w:r>
        <w:r w:rsidR="00BA7C2C">
          <w:rPr>
            <w:webHidden/>
          </w:rPr>
        </w:r>
        <w:r w:rsidR="00BA7C2C">
          <w:rPr>
            <w:webHidden/>
          </w:rPr>
          <w:fldChar w:fldCharType="separate"/>
        </w:r>
        <w:r w:rsidR="00BA7C2C">
          <w:rPr>
            <w:webHidden/>
          </w:rPr>
          <w:t>22</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93" w:history="1">
        <w:r w:rsidR="00BA7C2C" w:rsidRPr="00DD4AEB">
          <w:rPr>
            <w:rStyle w:val="Hyperlink"/>
          </w:rPr>
          <w:t>2.6.2</w:t>
        </w:r>
        <w:r w:rsidR="00BA7C2C">
          <w:rPr>
            <w:rFonts w:ascii="Times New Roman" w:hAnsi="Times New Roman"/>
            <w:sz w:val="24"/>
            <w:lang w:val="nl-NL" w:eastAsia="nl-NL"/>
          </w:rPr>
          <w:tab/>
        </w:r>
        <w:r w:rsidR="00BA7C2C" w:rsidRPr="00DD4AEB">
          <w:rPr>
            <w:rStyle w:val="Hyperlink"/>
          </w:rPr>
          <w:t>Assessment of exposure to humans and the environment</w:t>
        </w:r>
        <w:r w:rsidR="00BA7C2C">
          <w:rPr>
            <w:webHidden/>
          </w:rPr>
          <w:tab/>
        </w:r>
        <w:r w:rsidR="00BA7C2C">
          <w:rPr>
            <w:webHidden/>
          </w:rPr>
          <w:fldChar w:fldCharType="begin"/>
        </w:r>
        <w:r w:rsidR="00BA7C2C">
          <w:rPr>
            <w:webHidden/>
          </w:rPr>
          <w:instrText xml:space="preserve"> PAGEREF _Toc362858093 \h </w:instrText>
        </w:r>
        <w:r w:rsidR="00BA7C2C">
          <w:rPr>
            <w:webHidden/>
          </w:rPr>
        </w:r>
        <w:r w:rsidR="00BA7C2C">
          <w:rPr>
            <w:webHidden/>
          </w:rPr>
          <w:fldChar w:fldCharType="separate"/>
        </w:r>
        <w:r w:rsidR="00BA7C2C">
          <w:rPr>
            <w:webHidden/>
          </w:rPr>
          <w:t>22</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94" w:history="1">
        <w:r w:rsidR="00BA7C2C" w:rsidRPr="00DD4AEB">
          <w:rPr>
            <w:rStyle w:val="Hyperlink"/>
          </w:rPr>
          <w:t>2.7</w:t>
        </w:r>
        <w:r w:rsidR="00BA7C2C">
          <w:rPr>
            <w:rFonts w:ascii="Times New Roman" w:hAnsi="Times New Roman"/>
            <w:sz w:val="24"/>
            <w:lang w:val="nl-NL" w:eastAsia="nl-NL"/>
          </w:rPr>
          <w:tab/>
        </w:r>
        <w:r w:rsidR="00BA7C2C" w:rsidRPr="00DD4AEB">
          <w:rPr>
            <w:rStyle w:val="Hyperlink"/>
          </w:rPr>
          <w:t>Risk assessment for human health</w:t>
        </w:r>
        <w:r w:rsidR="00BA7C2C">
          <w:rPr>
            <w:webHidden/>
          </w:rPr>
          <w:tab/>
        </w:r>
        <w:r w:rsidR="00BA7C2C">
          <w:rPr>
            <w:webHidden/>
          </w:rPr>
          <w:fldChar w:fldCharType="begin"/>
        </w:r>
        <w:r w:rsidR="00BA7C2C">
          <w:rPr>
            <w:webHidden/>
          </w:rPr>
          <w:instrText xml:space="preserve"> PAGEREF _Toc362858094 \h </w:instrText>
        </w:r>
        <w:r w:rsidR="00BA7C2C">
          <w:rPr>
            <w:webHidden/>
          </w:rPr>
        </w:r>
        <w:r w:rsidR="00BA7C2C">
          <w:rPr>
            <w:webHidden/>
          </w:rPr>
          <w:fldChar w:fldCharType="separate"/>
        </w:r>
        <w:r w:rsidR="00BA7C2C">
          <w:rPr>
            <w:webHidden/>
          </w:rPr>
          <w:t>22</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95" w:history="1">
        <w:r w:rsidR="00BA7C2C" w:rsidRPr="00DD4AEB">
          <w:rPr>
            <w:rStyle w:val="Hyperlink"/>
          </w:rPr>
          <w:t>2.7.1</w:t>
        </w:r>
        <w:r w:rsidR="00BA7C2C">
          <w:rPr>
            <w:rFonts w:ascii="Times New Roman" w:hAnsi="Times New Roman"/>
            <w:sz w:val="24"/>
            <w:lang w:val="nl-NL" w:eastAsia="nl-NL"/>
          </w:rPr>
          <w:tab/>
        </w:r>
        <w:r w:rsidR="00BA7C2C" w:rsidRPr="00DD4AEB">
          <w:rPr>
            <w:rStyle w:val="Hyperlink"/>
          </w:rPr>
          <w:t>Hazard potential</w:t>
        </w:r>
        <w:r w:rsidR="00BA7C2C">
          <w:rPr>
            <w:webHidden/>
          </w:rPr>
          <w:tab/>
        </w:r>
        <w:r w:rsidR="00BA7C2C">
          <w:rPr>
            <w:webHidden/>
          </w:rPr>
          <w:fldChar w:fldCharType="begin"/>
        </w:r>
        <w:r w:rsidR="00BA7C2C">
          <w:rPr>
            <w:webHidden/>
          </w:rPr>
          <w:instrText xml:space="preserve"> PAGEREF _Toc362858095 \h </w:instrText>
        </w:r>
        <w:r w:rsidR="00BA7C2C">
          <w:rPr>
            <w:webHidden/>
          </w:rPr>
        </w:r>
        <w:r w:rsidR="00BA7C2C">
          <w:rPr>
            <w:webHidden/>
          </w:rPr>
          <w:fldChar w:fldCharType="separate"/>
        </w:r>
        <w:r w:rsidR="00BA7C2C">
          <w:rPr>
            <w:webHidden/>
          </w:rPr>
          <w:t>23</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96" w:history="1">
        <w:r w:rsidR="00BA7C2C" w:rsidRPr="00DD4AEB">
          <w:rPr>
            <w:rStyle w:val="Hyperlink"/>
          </w:rPr>
          <w:t>2.7.2</w:t>
        </w:r>
        <w:r w:rsidR="00BA7C2C">
          <w:rPr>
            <w:rFonts w:ascii="Times New Roman" w:hAnsi="Times New Roman"/>
            <w:sz w:val="24"/>
            <w:lang w:val="nl-NL" w:eastAsia="nl-NL"/>
          </w:rPr>
          <w:tab/>
        </w:r>
        <w:r w:rsidR="00BA7C2C" w:rsidRPr="00DD4AEB">
          <w:rPr>
            <w:rStyle w:val="Hyperlink"/>
          </w:rPr>
          <w:t>Exposure</w:t>
        </w:r>
        <w:r w:rsidR="00BA7C2C">
          <w:rPr>
            <w:webHidden/>
          </w:rPr>
          <w:tab/>
        </w:r>
        <w:r w:rsidR="00BA7C2C">
          <w:rPr>
            <w:webHidden/>
          </w:rPr>
          <w:fldChar w:fldCharType="begin"/>
        </w:r>
        <w:r w:rsidR="00BA7C2C">
          <w:rPr>
            <w:webHidden/>
          </w:rPr>
          <w:instrText xml:space="preserve"> PAGEREF _Toc362858096 \h </w:instrText>
        </w:r>
        <w:r w:rsidR="00BA7C2C">
          <w:rPr>
            <w:webHidden/>
          </w:rPr>
        </w:r>
        <w:r w:rsidR="00BA7C2C">
          <w:rPr>
            <w:webHidden/>
          </w:rPr>
          <w:fldChar w:fldCharType="separate"/>
        </w:r>
        <w:r w:rsidR="00BA7C2C">
          <w:rPr>
            <w:webHidden/>
          </w:rPr>
          <w:t>24</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97" w:history="1">
        <w:r w:rsidR="00BA7C2C" w:rsidRPr="00DD4AEB">
          <w:rPr>
            <w:rStyle w:val="Hyperlink"/>
          </w:rPr>
          <w:t>2.7.3</w:t>
        </w:r>
        <w:r w:rsidR="00BA7C2C">
          <w:rPr>
            <w:rFonts w:ascii="Times New Roman" w:hAnsi="Times New Roman"/>
            <w:sz w:val="24"/>
            <w:lang w:val="nl-NL" w:eastAsia="nl-NL"/>
          </w:rPr>
          <w:tab/>
        </w:r>
        <w:r w:rsidR="00BA7C2C" w:rsidRPr="00DD4AEB">
          <w:rPr>
            <w:rStyle w:val="Hyperlink"/>
          </w:rPr>
          <w:t>Risk Characterisation</w:t>
        </w:r>
        <w:r w:rsidR="00BA7C2C">
          <w:rPr>
            <w:webHidden/>
          </w:rPr>
          <w:tab/>
        </w:r>
        <w:r w:rsidR="00BA7C2C">
          <w:rPr>
            <w:webHidden/>
          </w:rPr>
          <w:fldChar w:fldCharType="begin"/>
        </w:r>
        <w:r w:rsidR="00BA7C2C">
          <w:rPr>
            <w:webHidden/>
          </w:rPr>
          <w:instrText xml:space="preserve"> PAGEREF _Toc362858097 \h </w:instrText>
        </w:r>
        <w:r w:rsidR="00BA7C2C">
          <w:rPr>
            <w:webHidden/>
          </w:rPr>
        </w:r>
        <w:r w:rsidR="00BA7C2C">
          <w:rPr>
            <w:webHidden/>
          </w:rPr>
          <w:fldChar w:fldCharType="separate"/>
        </w:r>
        <w:r w:rsidR="00BA7C2C">
          <w:rPr>
            <w:webHidden/>
          </w:rPr>
          <w:t>27</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098" w:history="1">
        <w:r w:rsidR="00BA7C2C" w:rsidRPr="00DD4AEB">
          <w:rPr>
            <w:rStyle w:val="Hyperlink"/>
          </w:rPr>
          <w:t>2.8</w:t>
        </w:r>
        <w:r w:rsidR="00BA7C2C">
          <w:rPr>
            <w:rFonts w:ascii="Times New Roman" w:hAnsi="Times New Roman"/>
            <w:sz w:val="24"/>
            <w:lang w:val="nl-NL" w:eastAsia="nl-NL"/>
          </w:rPr>
          <w:tab/>
        </w:r>
        <w:r w:rsidR="00BA7C2C" w:rsidRPr="00DD4AEB">
          <w:rPr>
            <w:rStyle w:val="Hyperlink"/>
          </w:rPr>
          <w:t>Risk assessment for the environment</w:t>
        </w:r>
        <w:r w:rsidR="00BA7C2C">
          <w:rPr>
            <w:webHidden/>
          </w:rPr>
          <w:tab/>
        </w:r>
        <w:r w:rsidR="00BA7C2C">
          <w:rPr>
            <w:webHidden/>
          </w:rPr>
          <w:fldChar w:fldCharType="begin"/>
        </w:r>
        <w:r w:rsidR="00BA7C2C">
          <w:rPr>
            <w:webHidden/>
          </w:rPr>
          <w:instrText xml:space="preserve"> PAGEREF _Toc362858098 \h </w:instrText>
        </w:r>
        <w:r w:rsidR="00BA7C2C">
          <w:rPr>
            <w:webHidden/>
          </w:rPr>
        </w:r>
        <w:r w:rsidR="00BA7C2C">
          <w:rPr>
            <w:webHidden/>
          </w:rPr>
          <w:fldChar w:fldCharType="separate"/>
        </w:r>
        <w:r w:rsidR="00BA7C2C">
          <w:rPr>
            <w:webHidden/>
          </w:rPr>
          <w:t>29</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099" w:history="1">
        <w:r w:rsidR="00BA7C2C" w:rsidRPr="00DD4AEB">
          <w:rPr>
            <w:rStyle w:val="Hyperlink"/>
          </w:rPr>
          <w:t>2.8.1</w:t>
        </w:r>
        <w:r w:rsidR="00BA7C2C">
          <w:rPr>
            <w:rFonts w:ascii="Times New Roman" w:hAnsi="Times New Roman"/>
            <w:sz w:val="24"/>
            <w:lang w:val="nl-NL" w:eastAsia="nl-NL"/>
          </w:rPr>
          <w:tab/>
        </w:r>
        <w:r w:rsidR="00BA7C2C" w:rsidRPr="00DD4AEB">
          <w:rPr>
            <w:rStyle w:val="Hyperlink"/>
          </w:rPr>
          <w:t>Exposure Assessment</w:t>
        </w:r>
        <w:r w:rsidR="00BA7C2C">
          <w:rPr>
            <w:webHidden/>
          </w:rPr>
          <w:tab/>
        </w:r>
        <w:r w:rsidR="00BA7C2C">
          <w:rPr>
            <w:webHidden/>
          </w:rPr>
          <w:fldChar w:fldCharType="begin"/>
        </w:r>
        <w:r w:rsidR="00BA7C2C">
          <w:rPr>
            <w:webHidden/>
          </w:rPr>
          <w:instrText xml:space="preserve"> PAGEREF _Toc362858099 \h </w:instrText>
        </w:r>
        <w:r w:rsidR="00BA7C2C">
          <w:rPr>
            <w:webHidden/>
          </w:rPr>
        </w:r>
        <w:r w:rsidR="00BA7C2C">
          <w:rPr>
            <w:webHidden/>
          </w:rPr>
          <w:fldChar w:fldCharType="separate"/>
        </w:r>
        <w:r w:rsidR="00BA7C2C">
          <w:rPr>
            <w:webHidden/>
          </w:rPr>
          <w:t>30</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100" w:history="1">
        <w:r w:rsidR="00BA7C2C" w:rsidRPr="00DD4AEB">
          <w:rPr>
            <w:rStyle w:val="Hyperlink"/>
          </w:rPr>
          <w:t>2.8.2</w:t>
        </w:r>
        <w:r w:rsidR="00BA7C2C">
          <w:rPr>
            <w:rFonts w:ascii="Times New Roman" w:hAnsi="Times New Roman"/>
            <w:sz w:val="24"/>
            <w:lang w:val="nl-NL" w:eastAsia="nl-NL"/>
          </w:rPr>
          <w:tab/>
        </w:r>
        <w:r w:rsidR="00BA7C2C" w:rsidRPr="00DD4AEB">
          <w:rPr>
            <w:rStyle w:val="Hyperlink"/>
          </w:rPr>
          <w:t>Risk Assessment</w:t>
        </w:r>
        <w:r w:rsidR="00BA7C2C">
          <w:rPr>
            <w:webHidden/>
          </w:rPr>
          <w:tab/>
        </w:r>
        <w:r w:rsidR="00BA7C2C">
          <w:rPr>
            <w:webHidden/>
          </w:rPr>
          <w:fldChar w:fldCharType="begin"/>
        </w:r>
        <w:r w:rsidR="00BA7C2C">
          <w:rPr>
            <w:webHidden/>
          </w:rPr>
          <w:instrText xml:space="preserve"> PAGEREF _Toc362858100 \h </w:instrText>
        </w:r>
        <w:r w:rsidR="00BA7C2C">
          <w:rPr>
            <w:webHidden/>
          </w:rPr>
        </w:r>
        <w:r w:rsidR="00BA7C2C">
          <w:rPr>
            <w:webHidden/>
          </w:rPr>
          <w:fldChar w:fldCharType="separate"/>
        </w:r>
        <w:r w:rsidR="00BA7C2C">
          <w:rPr>
            <w:webHidden/>
          </w:rPr>
          <w:t>34</w:t>
        </w:r>
        <w:r w:rsidR="00BA7C2C">
          <w:rPr>
            <w:webHidden/>
          </w:rPr>
          <w:fldChar w:fldCharType="end"/>
        </w:r>
      </w:hyperlink>
    </w:p>
    <w:p w:rsidR="00BA7C2C" w:rsidRDefault="00B1753E" w:rsidP="00BA7C2C">
      <w:pPr>
        <w:pStyle w:val="Inhopg3"/>
        <w:rPr>
          <w:rFonts w:ascii="Times New Roman" w:hAnsi="Times New Roman"/>
          <w:sz w:val="24"/>
          <w:lang w:val="nl-NL" w:eastAsia="nl-NL"/>
        </w:rPr>
      </w:pPr>
      <w:hyperlink w:anchor="_Toc362858101" w:history="1">
        <w:r w:rsidR="00BA7C2C" w:rsidRPr="00DD4AEB">
          <w:rPr>
            <w:rStyle w:val="Hyperlink"/>
          </w:rPr>
          <w:t>2.8.3</w:t>
        </w:r>
        <w:r w:rsidR="00BA7C2C">
          <w:rPr>
            <w:rFonts w:ascii="Times New Roman" w:hAnsi="Times New Roman"/>
            <w:sz w:val="24"/>
            <w:lang w:val="nl-NL" w:eastAsia="nl-NL"/>
          </w:rPr>
          <w:tab/>
        </w:r>
        <w:r w:rsidR="00BA7C2C" w:rsidRPr="00DD4AEB">
          <w:rPr>
            <w:rStyle w:val="Hyperlink"/>
          </w:rPr>
          <w:t>Possible measures to reduce the risk of primary and secondary poisoning to non-target animals</w:t>
        </w:r>
        <w:r w:rsidR="00BA7C2C">
          <w:rPr>
            <w:webHidden/>
          </w:rPr>
          <w:tab/>
        </w:r>
        <w:r w:rsidR="00BA7C2C">
          <w:rPr>
            <w:webHidden/>
          </w:rPr>
          <w:fldChar w:fldCharType="begin"/>
        </w:r>
        <w:r w:rsidR="00BA7C2C">
          <w:rPr>
            <w:webHidden/>
          </w:rPr>
          <w:instrText xml:space="preserve"> PAGEREF _Toc362858101 \h </w:instrText>
        </w:r>
        <w:r w:rsidR="00BA7C2C">
          <w:rPr>
            <w:webHidden/>
          </w:rPr>
        </w:r>
        <w:r w:rsidR="00BA7C2C">
          <w:rPr>
            <w:webHidden/>
          </w:rPr>
          <w:fldChar w:fldCharType="separate"/>
        </w:r>
        <w:r w:rsidR="00BA7C2C">
          <w:rPr>
            <w:webHidden/>
          </w:rPr>
          <w:t>57</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02" w:history="1">
        <w:r w:rsidR="00BA7C2C" w:rsidRPr="00DD4AEB">
          <w:rPr>
            <w:rStyle w:val="Hyperlink"/>
          </w:rPr>
          <w:t>2.9</w:t>
        </w:r>
        <w:r w:rsidR="00BA7C2C">
          <w:rPr>
            <w:rFonts w:ascii="Times New Roman" w:hAnsi="Times New Roman"/>
            <w:sz w:val="24"/>
            <w:lang w:val="nl-NL" w:eastAsia="nl-NL"/>
          </w:rPr>
          <w:tab/>
        </w:r>
        <w:r w:rsidR="00BA7C2C" w:rsidRPr="00DD4AEB">
          <w:rPr>
            <w:rStyle w:val="Hyperlink"/>
          </w:rPr>
          <w:t>Measures to protect man, animals and the environment</w:t>
        </w:r>
        <w:r w:rsidR="00BA7C2C">
          <w:rPr>
            <w:webHidden/>
          </w:rPr>
          <w:tab/>
        </w:r>
        <w:r w:rsidR="00BA7C2C">
          <w:rPr>
            <w:webHidden/>
          </w:rPr>
          <w:fldChar w:fldCharType="begin"/>
        </w:r>
        <w:r w:rsidR="00BA7C2C">
          <w:rPr>
            <w:webHidden/>
          </w:rPr>
          <w:instrText xml:space="preserve"> PAGEREF _Toc362858102 \h </w:instrText>
        </w:r>
        <w:r w:rsidR="00BA7C2C">
          <w:rPr>
            <w:webHidden/>
          </w:rPr>
        </w:r>
        <w:r w:rsidR="00BA7C2C">
          <w:rPr>
            <w:webHidden/>
          </w:rPr>
          <w:fldChar w:fldCharType="separate"/>
        </w:r>
        <w:r w:rsidR="00BA7C2C">
          <w:rPr>
            <w:webHidden/>
          </w:rPr>
          <w:t>59</w:t>
        </w:r>
        <w:r w:rsidR="00BA7C2C">
          <w:rPr>
            <w:webHidden/>
          </w:rPr>
          <w:fldChar w:fldCharType="end"/>
        </w:r>
      </w:hyperlink>
    </w:p>
    <w:p w:rsidR="00BA7C2C" w:rsidRDefault="00BA7C2C" w:rsidP="00BA7C2C">
      <w:pPr>
        <w:pStyle w:val="Inhopg1"/>
        <w:rPr>
          <w:rStyle w:val="Hyperlink"/>
        </w:rPr>
      </w:pPr>
    </w:p>
    <w:p w:rsidR="00BA7C2C" w:rsidRDefault="00B1753E" w:rsidP="00BA7C2C">
      <w:pPr>
        <w:pStyle w:val="Inhopg1"/>
        <w:rPr>
          <w:rFonts w:ascii="Times New Roman" w:hAnsi="Times New Roman"/>
          <w:b w:val="0"/>
          <w:sz w:val="24"/>
          <w:lang w:val="nl-NL" w:eastAsia="nl-NL"/>
        </w:rPr>
      </w:pPr>
      <w:hyperlink w:anchor="_Toc362858103" w:history="1">
        <w:r w:rsidR="00BA7C2C" w:rsidRPr="00DD4AEB">
          <w:rPr>
            <w:rStyle w:val="Hyperlink"/>
          </w:rPr>
          <w:t>3</w:t>
        </w:r>
        <w:r w:rsidR="00BA7C2C">
          <w:rPr>
            <w:rFonts w:ascii="Times New Roman" w:hAnsi="Times New Roman"/>
            <w:b w:val="0"/>
            <w:sz w:val="24"/>
            <w:lang w:val="nl-NL" w:eastAsia="nl-NL"/>
          </w:rPr>
          <w:tab/>
        </w:r>
        <w:r w:rsidR="00BA7C2C" w:rsidRPr="00DD4AEB">
          <w:rPr>
            <w:rStyle w:val="Hyperlink"/>
          </w:rPr>
          <w:t>Proposal for decision</w:t>
        </w:r>
        <w:r w:rsidR="00BA7C2C">
          <w:rPr>
            <w:webHidden/>
          </w:rPr>
          <w:tab/>
        </w:r>
        <w:r w:rsidR="00BA7C2C">
          <w:rPr>
            <w:webHidden/>
          </w:rPr>
          <w:fldChar w:fldCharType="begin"/>
        </w:r>
        <w:r w:rsidR="00BA7C2C">
          <w:rPr>
            <w:webHidden/>
          </w:rPr>
          <w:instrText xml:space="preserve"> PAGEREF _Toc362858103 \h </w:instrText>
        </w:r>
        <w:r w:rsidR="00BA7C2C">
          <w:rPr>
            <w:webHidden/>
          </w:rPr>
        </w:r>
        <w:r w:rsidR="00BA7C2C">
          <w:rPr>
            <w:webHidden/>
          </w:rPr>
          <w:fldChar w:fldCharType="separate"/>
        </w:r>
        <w:r w:rsidR="00BA7C2C">
          <w:rPr>
            <w:webHidden/>
          </w:rPr>
          <w:t>60</w:t>
        </w:r>
        <w:r w:rsidR="00BA7C2C">
          <w:rPr>
            <w:webHidden/>
          </w:rPr>
          <w:fldChar w:fldCharType="end"/>
        </w:r>
      </w:hyperlink>
    </w:p>
    <w:p w:rsidR="00BA7C2C" w:rsidRDefault="00BA7C2C" w:rsidP="00BA7C2C">
      <w:pPr>
        <w:pStyle w:val="Inhopg1"/>
        <w:rPr>
          <w:rStyle w:val="Hyperlink"/>
        </w:rPr>
      </w:pPr>
    </w:p>
    <w:p w:rsidR="00BA7C2C" w:rsidRDefault="00B1753E" w:rsidP="00BA7C2C">
      <w:pPr>
        <w:pStyle w:val="Inhopg1"/>
        <w:rPr>
          <w:rFonts w:ascii="Times New Roman" w:hAnsi="Times New Roman"/>
          <w:b w:val="0"/>
          <w:sz w:val="24"/>
          <w:lang w:val="nl-NL" w:eastAsia="nl-NL"/>
        </w:rPr>
      </w:pPr>
      <w:hyperlink w:anchor="_Toc362858104" w:history="1">
        <w:r w:rsidR="00BA7C2C" w:rsidRPr="00DD4AEB">
          <w:rPr>
            <w:rStyle w:val="Hyperlink"/>
          </w:rPr>
          <w:t>4</w:t>
        </w:r>
        <w:r w:rsidR="00BA7C2C">
          <w:rPr>
            <w:rFonts w:ascii="Times New Roman" w:hAnsi="Times New Roman"/>
            <w:b w:val="0"/>
            <w:sz w:val="24"/>
            <w:lang w:val="nl-NL" w:eastAsia="nl-NL"/>
          </w:rPr>
          <w:tab/>
        </w:r>
        <w:r w:rsidR="00BA7C2C" w:rsidRPr="00DD4AEB">
          <w:rPr>
            <w:rStyle w:val="Hyperlink"/>
          </w:rPr>
          <w:t>Annexes:</w:t>
        </w:r>
        <w:r w:rsidR="00BA7C2C">
          <w:rPr>
            <w:webHidden/>
          </w:rPr>
          <w:tab/>
        </w:r>
        <w:r w:rsidR="00BA7C2C">
          <w:rPr>
            <w:webHidden/>
          </w:rPr>
          <w:fldChar w:fldCharType="begin"/>
        </w:r>
        <w:r w:rsidR="00BA7C2C">
          <w:rPr>
            <w:webHidden/>
          </w:rPr>
          <w:instrText xml:space="preserve"> PAGEREF _Toc362858104 \h </w:instrText>
        </w:r>
        <w:r w:rsidR="00BA7C2C">
          <w:rPr>
            <w:webHidden/>
          </w:rPr>
        </w:r>
        <w:r w:rsidR="00BA7C2C">
          <w:rPr>
            <w:webHidden/>
          </w:rPr>
          <w:fldChar w:fldCharType="separate"/>
        </w:r>
        <w:r w:rsidR="00BA7C2C">
          <w:rPr>
            <w:webHidden/>
          </w:rPr>
          <w:t>62</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05" w:history="1">
        <w:r w:rsidR="00BA7C2C" w:rsidRPr="00DD4AEB">
          <w:rPr>
            <w:rStyle w:val="Hyperlink"/>
          </w:rPr>
          <w:t>Annex 1: Summary of product characteristics</w:t>
        </w:r>
        <w:r w:rsidR="00BA7C2C">
          <w:rPr>
            <w:webHidden/>
          </w:rPr>
          <w:tab/>
        </w:r>
        <w:r w:rsidR="00BA7C2C">
          <w:rPr>
            <w:webHidden/>
          </w:rPr>
          <w:fldChar w:fldCharType="begin"/>
        </w:r>
        <w:r w:rsidR="00BA7C2C">
          <w:rPr>
            <w:webHidden/>
          </w:rPr>
          <w:instrText xml:space="preserve"> PAGEREF _Toc362858105 \h </w:instrText>
        </w:r>
        <w:r w:rsidR="00BA7C2C">
          <w:rPr>
            <w:webHidden/>
          </w:rPr>
        </w:r>
        <w:r w:rsidR="00BA7C2C">
          <w:rPr>
            <w:webHidden/>
          </w:rPr>
          <w:fldChar w:fldCharType="separate"/>
        </w:r>
        <w:r w:rsidR="00BA7C2C">
          <w:rPr>
            <w:webHidden/>
          </w:rPr>
          <w:t>63</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06" w:history="1">
        <w:r w:rsidR="00BA7C2C" w:rsidRPr="00DD4AEB">
          <w:rPr>
            <w:rStyle w:val="Hyperlink"/>
          </w:rPr>
          <w:t>Annex 2: List of studies reviewed</w:t>
        </w:r>
        <w:r w:rsidR="00BA7C2C">
          <w:rPr>
            <w:webHidden/>
          </w:rPr>
          <w:tab/>
        </w:r>
        <w:r w:rsidR="00BA7C2C">
          <w:rPr>
            <w:webHidden/>
          </w:rPr>
          <w:fldChar w:fldCharType="begin"/>
        </w:r>
        <w:r w:rsidR="00BA7C2C">
          <w:rPr>
            <w:webHidden/>
          </w:rPr>
          <w:instrText xml:space="preserve"> PAGEREF _Toc362858106 \h </w:instrText>
        </w:r>
        <w:r w:rsidR="00BA7C2C">
          <w:rPr>
            <w:webHidden/>
          </w:rPr>
        </w:r>
        <w:r w:rsidR="00BA7C2C">
          <w:rPr>
            <w:webHidden/>
          </w:rPr>
          <w:fldChar w:fldCharType="separate"/>
        </w:r>
        <w:r w:rsidR="00BA7C2C">
          <w:rPr>
            <w:webHidden/>
          </w:rPr>
          <w:t>69</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07" w:history="1">
        <w:r w:rsidR="00BA7C2C" w:rsidRPr="00DD4AEB">
          <w:rPr>
            <w:rStyle w:val="Hyperlink"/>
          </w:rPr>
          <w:t>Annex 3: Analytical methods residues – active substance</w:t>
        </w:r>
        <w:r w:rsidR="00BA7C2C">
          <w:rPr>
            <w:webHidden/>
          </w:rPr>
          <w:tab/>
        </w:r>
        <w:r w:rsidR="00BA7C2C">
          <w:rPr>
            <w:webHidden/>
          </w:rPr>
          <w:fldChar w:fldCharType="begin"/>
        </w:r>
        <w:r w:rsidR="00BA7C2C">
          <w:rPr>
            <w:webHidden/>
          </w:rPr>
          <w:instrText xml:space="preserve"> PAGEREF _Toc362858107 \h </w:instrText>
        </w:r>
        <w:r w:rsidR="00BA7C2C">
          <w:rPr>
            <w:webHidden/>
          </w:rPr>
        </w:r>
        <w:r w:rsidR="00BA7C2C">
          <w:rPr>
            <w:webHidden/>
          </w:rPr>
          <w:fldChar w:fldCharType="separate"/>
        </w:r>
        <w:r w:rsidR="00BA7C2C">
          <w:rPr>
            <w:webHidden/>
          </w:rPr>
          <w:t>78</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08" w:history="1">
        <w:r w:rsidR="00BA7C2C" w:rsidRPr="00DD4AEB">
          <w:rPr>
            <w:rStyle w:val="Hyperlink"/>
          </w:rPr>
          <w:t>Annex 4: Toxicology and metabolism –active substance</w:t>
        </w:r>
        <w:r w:rsidR="00BA7C2C">
          <w:rPr>
            <w:webHidden/>
          </w:rPr>
          <w:tab/>
        </w:r>
        <w:r w:rsidR="00BA7C2C">
          <w:rPr>
            <w:webHidden/>
          </w:rPr>
          <w:fldChar w:fldCharType="begin"/>
        </w:r>
        <w:r w:rsidR="00BA7C2C">
          <w:rPr>
            <w:webHidden/>
          </w:rPr>
          <w:instrText xml:space="preserve"> PAGEREF _Toc362858108 \h </w:instrText>
        </w:r>
        <w:r w:rsidR="00BA7C2C">
          <w:rPr>
            <w:webHidden/>
          </w:rPr>
        </w:r>
        <w:r w:rsidR="00BA7C2C">
          <w:rPr>
            <w:webHidden/>
          </w:rPr>
          <w:fldChar w:fldCharType="separate"/>
        </w:r>
        <w:r w:rsidR="00BA7C2C">
          <w:rPr>
            <w:webHidden/>
          </w:rPr>
          <w:t>81</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09" w:history="1">
        <w:r w:rsidR="00BA7C2C" w:rsidRPr="00DD4AEB">
          <w:rPr>
            <w:rStyle w:val="Hyperlink"/>
          </w:rPr>
          <w:t>Annex 5: Toxicology – biocidal product</w:t>
        </w:r>
        <w:r w:rsidR="00BA7C2C">
          <w:rPr>
            <w:webHidden/>
          </w:rPr>
          <w:tab/>
        </w:r>
        <w:r w:rsidR="00BA7C2C">
          <w:rPr>
            <w:webHidden/>
          </w:rPr>
          <w:fldChar w:fldCharType="begin"/>
        </w:r>
        <w:r w:rsidR="00BA7C2C">
          <w:rPr>
            <w:webHidden/>
          </w:rPr>
          <w:instrText xml:space="preserve"> PAGEREF _Toc362858109 \h </w:instrText>
        </w:r>
        <w:r w:rsidR="00BA7C2C">
          <w:rPr>
            <w:webHidden/>
          </w:rPr>
        </w:r>
        <w:r w:rsidR="00BA7C2C">
          <w:rPr>
            <w:webHidden/>
          </w:rPr>
          <w:fldChar w:fldCharType="separate"/>
        </w:r>
        <w:r w:rsidR="00BA7C2C">
          <w:rPr>
            <w:webHidden/>
          </w:rPr>
          <w:t>83</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10" w:history="1">
        <w:r w:rsidR="00BA7C2C" w:rsidRPr="00DD4AEB">
          <w:rPr>
            <w:rStyle w:val="Hyperlink"/>
          </w:rPr>
          <w:t>Annex 6: Safety for professional operators</w:t>
        </w:r>
        <w:r w:rsidR="00BA7C2C">
          <w:rPr>
            <w:webHidden/>
          </w:rPr>
          <w:tab/>
        </w:r>
        <w:r w:rsidR="00BA7C2C">
          <w:rPr>
            <w:webHidden/>
          </w:rPr>
          <w:fldChar w:fldCharType="begin"/>
        </w:r>
        <w:r w:rsidR="00BA7C2C">
          <w:rPr>
            <w:webHidden/>
          </w:rPr>
          <w:instrText xml:space="preserve"> PAGEREF _Toc362858110 \h </w:instrText>
        </w:r>
        <w:r w:rsidR="00BA7C2C">
          <w:rPr>
            <w:webHidden/>
          </w:rPr>
        </w:r>
        <w:r w:rsidR="00BA7C2C">
          <w:rPr>
            <w:webHidden/>
          </w:rPr>
          <w:fldChar w:fldCharType="separate"/>
        </w:r>
        <w:r w:rsidR="00BA7C2C">
          <w:rPr>
            <w:webHidden/>
          </w:rPr>
          <w:t>84</w:t>
        </w:r>
        <w:r w:rsidR="00BA7C2C">
          <w:rPr>
            <w:webHidden/>
          </w:rPr>
          <w:fldChar w:fldCharType="end"/>
        </w:r>
      </w:hyperlink>
    </w:p>
    <w:p w:rsidR="00BA7C2C" w:rsidRDefault="00B1753E" w:rsidP="00BA7C2C">
      <w:pPr>
        <w:pStyle w:val="Inhopg2"/>
        <w:rPr>
          <w:rFonts w:ascii="Times New Roman" w:hAnsi="Times New Roman"/>
          <w:sz w:val="24"/>
          <w:lang w:val="nl-NL" w:eastAsia="nl-NL"/>
        </w:rPr>
      </w:pPr>
      <w:hyperlink w:anchor="_Toc362858111" w:history="1">
        <w:r w:rsidR="00BA7C2C" w:rsidRPr="00DD4AEB">
          <w:rPr>
            <w:rStyle w:val="Hyperlink"/>
          </w:rPr>
          <w:t>Annex 7: Safety for non-professional operators and the general public</w:t>
        </w:r>
        <w:r w:rsidR="00BA7C2C">
          <w:rPr>
            <w:webHidden/>
          </w:rPr>
          <w:tab/>
        </w:r>
        <w:r w:rsidR="00BA7C2C">
          <w:rPr>
            <w:webHidden/>
          </w:rPr>
          <w:fldChar w:fldCharType="begin"/>
        </w:r>
        <w:r w:rsidR="00BA7C2C">
          <w:rPr>
            <w:webHidden/>
          </w:rPr>
          <w:instrText xml:space="preserve"> PAGEREF _Toc362858111 \h </w:instrText>
        </w:r>
        <w:r w:rsidR="00BA7C2C">
          <w:rPr>
            <w:webHidden/>
          </w:rPr>
        </w:r>
        <w:r w:rsidR="00BA7C2C">
          <w:rPr>
            <w:webHidden/>
          </w:rPr>
          <w:fldChar w:fldCharType="separate"/>
        </w:r>
        <w:r w:rsidR="00BA7C2C">
          <w:rPr>
            <w:webHidden/>
          </w:rPr>
          <w:t>88</w:t>
        </w:r>
        <w:r w:rsidR="00BA7C2C">
          <w:rPr>
            <w:webHidden/>
          </w:rPr>
          <w:fldChar w:fldCharType="end"/>
        </w:r>
      </w:hyperlink>
    </w:p>
    <w:p w:rsidR="00BA7C2C" w:rsidRPr="00A0425E" w:rsidRDefault="00BA7C2C" w:rsidP="00BA7C2C">
      <w:pPr>
        <w:pStyle w:val="Inhopg2"/>
      </w:pPr>
      <w:r w:rsidRPr="00A0425E">
        <w:fldChar w:fldCharType="end"/>
      </w:r>
    </w:p>
    <w:p w:rsidR="00BA7C2C" w:rsidRPr="00A0425E" w:rsidRDefault="00BA7C2C" w:rsidP="00BA7C2C">
      <w:pPr>
        <w:sectPr w:rsidR="00BA7C2C" w:rsidRPr="00A0425E" w:rsidSect="005C4123">
          <w:footerReference w:type="default" r:id="rId23"/>
          <w:pgSz w:w="11906" w:h="16838"/>
          <w:pgMar w:top="1417" w:right="1417" w:bottom="1417" w:left="1417" w:header="708" w:footer="708" w:gutter="0"/>
          <w:pgNumType w:start="0"/>
          <w:cols w:space="708"/>
          <w:docGrid w:linePitch="360"/>
        </w:sectPr>
      </w:pPr>
    </w:p>
    <w:p w:rsidR="00BA7C2C" w:rsidRPr="00A0425E" w:rsidRDefault="00BA7C2C" w:rsidP="00BA7C2C">
      <w:pPr>
        <w:pStyle w:val="Kop1"/>
        <w:widowControl w:val="0"/>
        <w:numPr>
          <w:ilvl w:val="0"/>
          <w:numId w:val="12"/>
        </w:numPr>
        <w:tabs>
          <w:tab w:val="left" w:pos="1304"/>
        </w:tabs>
        <w:suppressAutoHyphens/>
        <w:autoSpaceDE w:val="0"/>
        <w:autoSpaceDN w:val="0"/>
        <w:adjustRightInd w:val="0"/>
        <w:spacing w:before="480" w:after="120" w:line="400" w:lineRule="atLeast"/>
      </w:pPr>
      <w:bookmarkStart w:id="713" w:name="_Toc224453223"/>
      <w:bookmarkStart w:id="714" w:name="_Toc362858066"/>
      <w:bookmarkStart w:id="715" w:name="_Toc145926268"/>
      <w:bookmarkStart w:id="716" w:name="_Toc145926939"/>
      <w:bookmarkStart w:id="717" w:name="_Toc14592700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A0425E">
        <w:lastRenderedPageBreak/>
        <w:t>General information about the product application</w:t>
      </w:r>
      <w:bookmarkEnd w:id="713"/>
      <w:bookmarkEnd w:id="714"/>
    </w:p>
    <w:p w:rsidR="00BA7C2C" w:rsidRPr="00A0425E" w:rsidRDefault="00BA7C2C" w:rsidP="00BA7C2C">
      <w:pPr>
        <w:pStyle w:val="Kop2"/>
        <w:numPr>
          <w:ilvl w:val="1"/>
          <w:numId w:val="12"/>
        </w:numPr>
        <w:tabs>
          <w:tab w:val="left" w:pos="1304"/>
        </w:tabs>
        <w:spacing w:after="240" w:line="280" w:lineRule="atLeast"/>
      </w:pPr>
      <w:bookmarkStart w:id="718" w:name="_Toc362858067"/>
      <w:bookmarkEnd w:id="715"/>
      <w:bookmarkEnd w:id="716"/>
      <w:bookmarkEnd w:id="717"/>
      <w:r w:rsidRPr="00A0425E">
        <w:t>Applicant</w:t>
      </w:r>
      <w:bookmarkEnd w:id="718"/>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BA7C2C" w:rsidRPr="00A0425E" w:rsidTr="00613EE2">
        <w:tc>
          <w:tcPr>
            <w:tcW w:w="2376" w:type="dxa"/>
          </w:tcPr>
          <w:p w:rsidR="00BA7C2C" w:rsidRPr="00A0425E" w:rsidRDefault="00BA7C2C" w:rsidP="00613EE2">
            <w:pPr>
              <w:rPr>
                <w:b/>
              </w:rPr>
            </w:pPr>
            <w:r w:rsidRPr="00A0425E">
              <w:rPr>
                <w:b/>
              </w:rPr>
              <w:t>Company Name:</w:t>
            </w:r>
          </w:p>
        </w:tc>
        <w:tc>
          <w:tcPr>
            <w:tcW w:w="6108" w:type="dxa"/>
          </w:tcPr>
          <w:p w:rsidR="00BA7C2C" w:rsidRPr="00AB1B78" w:rsidRDefault="00BA7C2C" w:rsidP="00613EE2">
            <w:pPr>
              <w:rPr>
                <w:rFonts w:cs="Arial"/>
              </w:rPr>
            </w:pPr>
            <w:r w:rsidRPr="00AB1B78">
              <w:rPr>
                <w:rFonts w:cs="Arial"/>
              </w:rPr>
              <w:t>Liphatech S.A.S.</w:t>
            </w:r>
          </w:p>
        </w:tc>
      </w:tr>
      <w:tr w:rsidR="00BA7C2C" w:rsidRPr="00A0425E" w:rsidTr="00613EE2">
        <w:tc>
          <w:tcPr>
            <w:tcW w:w="2376" w:type="dxa"/>
          </w:tcPr>
          <w:p w:rsidR="00BA7C2C" w:rsidRPr="00A0425E" w:rsidRDefault="00BA7C2C" w:rsidP="00613EE2">
            <w:pPr>
              <w:rPr>
                <w:b/>
              </w:rPr>
            </w:pPr>
            <w:r w:rsidRPr="00A0425E">
              <w:rPr>
                <w:b/>
              </w:rPr>
              <w:t>Address:</w:t>
            </w:r>
          </w:p>
        </w:tc>
        <w:tc>
          <w:tcPr>
            <w:tcW w:w="6108" w:type="dxa"/>
          </w:tcPr>
          <w:p w:rsidR="00BA7C2C" w:rsidRPr="00AB1B78" w:rsidRDefault="00BA7C2C" w:rsidP="00613EE2">
            <w:pPr>
              <w:rPr>
                <w:rFonts w:cs="Arial"/>
              </w:rPr>
            </w:pPr>
            <w:r w:rsidRPr="00AB1B78">
              <w:rPr>
                <w:rFonts w:cs="Arial"/>
              </w:rPr>
              <w:t>Bonnel BP 3</w:t>
            </w:r>
          </w:p>
        </w:tc>
      </w:tr>
      <w:tr w:rsidR="00BA7C2C" w:rsidRPr="00A0425E" w:rsidTr="00613EE2">
        <w:tc>
          <w:tcPr>
            <w:tcW w:w="2376" w:type="dxa"/>
          </w:tcPr>
          <w:p w:rsidR="00BA7C2C" w:rsidRPr="00A0425E" w:rsidRDefault="00BA7C2C" w:rsidP="00613EE2">
            <w:pPr>
              <w:rPr>
                <w:b/>
              </w:rPr>
            </w:pPr>
            <w:r w:rsidRPr="00A0425E">
              <w:rPr>
                <w:b/>
              </w:rPr>
              <w:t>City:</w:t>
            </w:r>
          </w:p>
        </w:tc>
        <w:tc>
          <w:tcPr>
            <w:tcW w:w="6108" w:type="dxa"/>
          </w:tcPr>
          <w:p w:rsidR="00BA7C2C" w:rsidRPr="00AB1B78" w:rsidRDefault="00BA7C2C" w:rsidP="00613EE2">
            <w:pPr>
              <w:rPr>
                <w:rFonts w:cs="Arial"/>
              </w:rPr>
            </w:pPr>
            <w:r w:rsidRPr="00AB1B78">
              <w:rPr>
                <w:rFonts w:cs="Arial"/>
              </w:rPr>
              <w:t>Pont du Casse</w:t>
            </w:r>
          </w:p>
        </w:tc>
      </w:tr>
      <w:tr w:rsidR="00BA7C2C" w:rsidRPr="00A0425E" w:rsidTr="00613EE2">
        <w:tc>
          <w:tcPr>
            <w:tcW w:w="2376" w:type="dxa"/>
          </w:tcPr>
          <w:p w:rsidR="00BA7C2C" w:rsidRPr="00A0425E" w:rsidRDefault="00BA7C2C" w:rsidP="00613EE2">
            <w:pPr>
              <w:rPr>
                <w:b/>
              </w:rPr>
            </w:pPr>
            <w:r w:rsidRPr="00A0425E">
              <w:rPr>
                <w:b/>
              </w:rPr>
              <w:t>Postal Code:</w:t>
            </w:r>
          </w:p>
        </w:tc>
        <w:tc>
          <w:tcPr>
            <w:tcW w:w="6108" w:type="dxa"/>
          </w:tcPr>
          <w:p w:rsidR="00BA7C2C" w:rsidRPr="00AB1B78" w:rsidRDefault="00BA7C2C" w:rsidP="00613EE2">
            <w:pPr>
              <w:rPr>
                <w:rFonts w:cs="Arial"/>
              </w:rPr>
            </w:pPr>
            <w:r w:rsidRPr="00AB1B78">
              <w:rPr>
                <w:rFonts w:cs="Arial"/>
              </w:rPr>
              <w:t>47480</w:t>
            </w:r>
          </w:p>
        </w:tc>
      </w:tr>
      <w:tr w:rsidR="00BA7C2C" w:rsidRPr="00A0425E" w:rsidTr="00613EE2">
        <w:tc>
          <w:tcPr>
            <w:tcW w:w="2376" w:type="dxa"/>
          </w:tcPr>
          <w:p w:rsidR="00BA7C2C" w:rsidRPr="00A0425E" w:rsidRDefault="00BA7C2C" w:rsidP="00613EE2">
            <w:pPr>
              <w:rPr>
                <w:b/>
              </w:rPr>
            </w:pPr>
            <w:r w:rsidRPr="00A0425E">
              <w:rPr>
                <w:b/>
              </w:rPr>
              <w:t>Country:</w:t>
            </w:r>
          </w:p>
        </w:tc>
        <w:tc>
          <w:tcPr>
            <w:tcW w:w="6108" w:type="dxa"/>
          </w:tcPr>
          <w:p w:rsidR="00BA7C2C" w:rsidRPr="00AB1B78" w:rsidRDefault="00BA7C2C" w:rsidP="00613EE2">
            <w:pPr>
              <w:rPr>
                <w:rFonts w:cs="Arial"/>
              </w:rPr>
            </w:pPr>
            <w:smartTag w:uri="urn:schemas-microsoft-com:office:smarttags" w:element="place">
              <w:smartTag w:uri="urn:schemas-microsoft-com:office:smarttags" w:element="country-region">
                <w:r w:rsidRPr="00AB1B78">
                  <w:rPr>
                    <w:rFonts w:cs="Arial"/>
                  </w:rPr>
                  <w:t>France</w:t>
                </w:r>
              </w:smartTag>
            </w:smartTag>
          </w:p>
        </w:tc>
      </w:tr>
      <w:tr w:rsidR="00BA7C2C" w:rsidRPr="00A0425E" w:rsidTr="00613EE2">
        <w:tc>
          <w:tcPr>
            <w:tcW w:w="2376" w:type="dxa"/>
          </w:tcPr>
          <w:p w:rsidR="00BA7C2C" w:rsidRPr="00A0425E" w:rsidRDefault="00BA7C2C" w:rsidP="00613EE2">
            <w:pPr>
              <w:rPr>
                <w:b/>
              </w:rPr>
            </w:pPr>
            <w:r w:rsidRPr="00A0425E">
              <w:rPr>
                <w:b/>
              </w:rPr>
              <w:t>Telephone:</w:t>
            </w:r>
          </w:p>
        </w:tc>
        <w:tc>
          <w:tcPr>
            <w:tcW w:w="6108" w:type="dxa"/>
          </w:tcPr>
          <w:p w:rsidR="00BA7C2C" w:rsidRPr="00AB1B78" w:rsidRDefault="00BA7C2C" w:rsidP="00613EE2">
            <w:pPr>
              <w:rPr>
                <w:rFonts w:cs="Arial"/>
              </w:rPr>
            </w:pPr>
            <w:r w:rsidRPr="00AB1B78">
              <w:rPr>
                <w:rFonts w:cs="Arial"/>
              </w:rPr>
              <w:t>+33 563 693 570</w:t>
            </w:r>
          </w:p>
        </w:tc>
      </w:tr>
      <w:tr w:rsidR="00BA7C2C" w:rsidRPr="00A0425E" w:rsidTr="00613EE2">
        <w:tc>
          <w:tcPr>
            <w:tcW w:w="2376" w:type="dxa"/>
          </w:tcPr>
          <w:p w:rsidR="00BA7C2C" w:rsidRPr="00A0425E" w:rsidRDefault="00BA7C2C" w:rsidP="00613EE2">
            <w:pPr>
              <w:rPr>
                <w:b/>
              </w:rPr>
            </w:pPr>
            <w:r w:rsidRPr="00A0425E">
              <w:rPr>
                <w:b/>
              </w:rPr>
              <w:t>Fax:</w:t>
            </w:r>
          </w:p>
        </w:tc>
        <w:tc>
          <w:tcPr>
            <w:tcW w:w="6108" w:type="dxa"/>
          </w:tcPr>
          <w:p w:rsidR="00BA7C2C" w:rsidRPr="00AB1B78" w:rsidRDefault="00BA7C2C" w:rsidP="00613EE2">
            <w:pPr>
              <w:rPr>
                <w:rFonts w:cs="Arial"/>
              </w:rPr>
            </w:pPr>
            <w:r w:rsidRPr="00AB1B78">
              <w:rPr>
                <w:rFonts w:cs="Arial"/>
              </w:rPr>
              <w:t>+33 553 479 501</w:t>
            </w:r>
          </w:p>
        </w:tc>
      </w:tr>
      <w:tr w:rsidR="00BA7C2C" w:rsidRPr="00A0425E" w:rsidTr="00613EE2">
        <w:tc>
          <w:tcPr>
            <w:tcW w:w="2376" w:type="dxa"/>
          </w:tcPr>
          <w:p w:rsidR="00BA7C2C" w:rsidRPr="00A0425E" w:rsidRDefault="00BA7C2C" w:rsidP="00613EE2">
            <w:pPr>
              <w:rPr>
                <w:b/>
              </w:rPr>
            </w:pPr>
            <w:r w:rsidRPr="00A0425E">
              <w:rPr>
                <w:b/>
              </w:rPr>
              <w:t>E-mail address:</w:t>
            </w:r>
          </w:p>
        </w:tc>
        <w:tc>
          <w:tcPr>
            <w:tcW w:w="6108" w:type="dxa"/>
          </w:tcPr>
          <w:p w:rsidR="00BA7C2C" w:rsidRPr="00AB1B78" w:rsidRDefault="00BA7C2C" w:rsidP="00613EE2">
            <w:pPr>
              <w:rPr>
                <w:rFonts w:cs="Arial"/>
              </w:rPr>
            </w:pPr>
            <w:r>
              <w:rPr>
                <w:rFonts w:cs="Arial"/>
              </w:rPr>
              <w:t>rollinf</w:t>
            </w:r>
            <w:r w:rsidRPr="00AB1B78">
              <w:rPr>
                <w:rFonts w:cs="Arial"/>
              </w:rPr>
              <w:t>@desangosse.com</w:t>
            </w:r>
          </w:p>
        </w:tc>
      </w:tr>
    </w:tbl>
    <w:p w:rsidR="00BA7C2C" w:rsidRPr="00A0425E" w:rsidRDefault="00BA7C2C" w:rsidP="00BA7C2C"/>
    <w:p w:rsidR="00BA7C2C" w:rsidRPr="00A0425E" w:rsidRDefault="00BA7C2C" w:rsidP="00BA7C2C">
      <w:pPr>
        <w:pStyle w:val="Kop3"/>
        <w:numPr>
          <w:ilvl w:val="2"/>
          <w:numId w:val="12"/>
        </w:numPr>
        <w:tabs>
          <w:tab w:val="left" w:pos="1304"/>
        </w:tabs>
        <w:spacing w:line="280" w:lineRule="atLeast"/>
        <w:jc w:val="left"/>
      </w:pPr>
      <w:bookmarkStart w:id="719" w:name="_Toc239231081"/>
      <w:bookmarkStart w:id="720" w:name="_Toc362858068"/>
      <w:r w:rsidRPr="00A0425E">
        <w:t>Person authorised for communication on behalf of the applicant</w:t>
      </w:r>
      <w:bookmarkEnd w:id="719"/>
      <w:bookmarkEnd w:id="720"/>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BA7C2C" w:rsidRPr="00A0425E" w:rsidTr="00613EE2">
        <w:tc>
          <w:tcPr>
            <w:tcW w:w="2387" w:type="dxa"/>
          </w:tcPr>
          <w:p w:rsidR="00BA7C2C" w:rsidRPr="00A0425E" w:rsidRDefault="00BA7C2C" w:rsidP="00613EE2">
            <w:pPr>
              <w:rPr>
                <w:b/>
              </w:rPr>
            </w:pPr>
            <w:r w:rsidRPr="00A0425E">
              <w:rPr>
                <w:b/>
              </w:rPr>
              <w:t>Name:</w:t>
            </w:r>
          </w:p>
        </w:tc>
        <w:tc>
          <w:tcPr>
            <w:tcW w:w="6108" w:type="dxa"/>
          </w:tcPr>
          <w:p w:rsidR="00BA7C2C" w:rsidRPr="00AB1B78" w:rsidRDefault="00BA7C2C" w:rsidP="00613EE2">
            <w:pPr>
              <w:rPr>
                <w:rFonts w:cs="Arial"/>
              </w:rPr>
            </w:pPr>
            <w:r w:rsidRPr="00AB1B78">
              <w:rPr>
                <w:rFonts w:cs="Arial"/>
              </w:rPr>
              <w:t xml:space="preserve">Dr. </w:t>
            </w:r>
            <w:r w:rsidRPr="009B1947">
              <w:rPr>
                <w:rFonts w:cs="Arial"/>
              </w:rPr>
              <w:t>François</w:t>
            </w:r>
            <w:r>
              <w:rPr>
                <w:rFonts w:cs="Arial"/>
              </w:rPr>
              <w:t xml:space="preserve"> ROLLIN</w:t>
            </w:r>
          </w:p>
        </w:tc>
      </w:tr>
      <w:tr w:rsidR="00BA7C2C" w:rsidRPr="00A0425E" w:rsidTr="00613EE2">
        <w:tc>
          <w:tcPr>
            <w:tcW w:w="2387" w:type="dxa"/>
          </w:tcPr>
          <w:p w:rsidR="00BA7C2C" w:rsidRPr="00A0425E" w:rsidRDefault="00BA7C2C" w:rsidP="00613EE2">
            <w:pPr>
              <w:rPr>
                <w:b/>
              </w:rPr>
            </w:pPr>
            <w:r w:rsidRPr="00A0425E">
              <w:rPr>
                <w:b/>
              </w:rPr>
              <w:t>Function:</w:t>
            </w:r>
          </w:p>
        </w:tc>
        <w:tc>
          <w:tcPr>
            <w:tcW w:w="6108" w:type="dxa"/>
          </w:tcPr>
          <w:p w:rsidR="00BA7C2C" w:rsidRPr="00AB1B78" w:rsidRDefault="00BA7C2C" w:rsidP="00613EE2">
            <w:pPr>
              <w:rPr>
                <w:rFonts w:cs="Arial"/>
              </w:rPr>
            </w:pPr>
            <w:r w:rsidRPr="00AB1B78">
              <w:rPr>
                <w:rFonts w:cs="Arial"/>
              </w:rPr>
              <w:t>Regulatory manager</w:t>
            </w:r>
          </w:p>
        </w:tc>
      </w:tr>
      <w:tr w:rsidR="00BA7C2C" w:rsidRPr="00A0425E" w:rsidTr="00613EE2">
        <w:tc>
          <w:tcPr>
            <w:tcW w:w="2387" w:type="dxa"/>
          </w:tcPr>
          <w:p w:rsidR="00BA7C2C" w:rsidRPr="00A0425E" w:rsidRDefault="00BA7C2C" w:rsidP="00613EE2">
            <w:pPr>
              <w:rPr>
                <w:b/>
              </w:rPr>
            </w:pPr>
            <w:r w:rsidRPr="00A0425E">
              <w:rPr>
                <w:b/>
              </w:rPr>
              <w:t>Address:</w:t>
            </w:r>
          </w:p>
        </w:tc>
        <w:tc>
          <w:tcPr>
            <w:tcW w:w="6108" w:type="dxa"/>
          </w:tcPr>
          <w:p w:rsidR="00BA7C2C" w:rsidRPr="00AB1B78" w:rsidRDefault="00BA7C2C" w:rsidP="00613EE2">
            <w:pPr>
              <w:rPr>
                <w:rFonts w:cs="Arial"/>
              </w:rPr>
            </w:pPr>
            <w:r w:rsidRPr="00AB1B78">
              <w:rPr>
                <w:rFonts w:cs="Arial"/>
              </w:rPr>
              <w:t>Bonnel BP 3</w:t>
            </w:r>
          </w:p>
        </w:tc>
      </w:tr>
      <w:tr w:rsidR="00BA7C2C" w:rsidRPr="00A0425E" w:rsidTr="00613EE2">
        <w:tc>
          <w:tcPr>
            <w:tcW w:w="2387" w:type="dxa"/>
          </w:tcPr>
          <w:p w:rsidR="00BA7C2C" w:rsidRPr="00A0425E" w:rsidRDefault="00BA7C2C" w:rsidP="00613EE2">
            <w:pPr>
              <w:rPr>
                <w:b/>
              </w:rPr>
            </w:pPr>
            <w:r w:rsidRPr="00A0425E">
              <w:rPr>
                <w:b/>
              </w:rPr>
              <w:t>City:</w:t>
            </w:r>
          </w:p>
        </w:tc>
        <w:tc>
          <w:tcPr>
            <w:tcW w:w="6108" w:type="dxa"/>
          </w:tcPr>
          <w:p w:rsidR="00BA7C2C" w:rsidRPr="00AB1B78" w:rsidRDefault="00BA7C2C" w:rsidP="00613EE2">
            <w:pPr>
              <w:rPr>
                <w:rFonts w:cs="Arial"/>
              </w:rPr>
            </w:pPr>
            <w:r w:rsidRPr="00AB1B78">
              <w:rPr>
                <w:rFonts w:cs="Arial"/>
              </w:rPr>
              <w:t>Pont du Casse</w:t>
            </w:r>
          </w:p>
        </w:tc>
      </w:tr>
      <w:tr w:rsidR="00BA7C2C" w:rsidRPr="00A0425E" w:rsidTr="00613EE2">
        <w:tc>
          <w:tcPr>
            <w:tcW w:w="2387" w:type="dxa"/>
          </w:tcPr>
          <w:p w:rsidR="00BA7C2C" w:rsidRPr="00A0425E" w:rsidRDefault="00BA7C2C" w:rsidP="00613EE2">
            <w:pPr>
              <w:rPr>
                <w:b/>
              </w:rPr>
            </w:pPr>
            <w:r w:rsidRPr="00A0425E">
              <w:rPr>
                <w:b/>
              </w:rPr>
              <w:t>Postal Code:</w:t>
            </w:r>
          </w:p>
        </w:tc>
        <w:tc>
          <w:tcPr>
            <w:tcW w:w="6108" w:type="dxa"/>
          </w:tcPr>
          <w:p w:rsidR="00BA7C2C" w:rsidRPr="00AB1B78" w:rsidRDefault="00BA7C2C" w:rsidP="00613EE2">
            <w:pPr>
              <w:rPr>
                <w:rFonts w:cs="Arial"/>
              </w:rPr>
            </w:pPr>
            <w:r w:rsidRPr="00AB1B78">
              <w:rPr>
                <w:rFonts w:cs="Arial"/>
              </w:rPr>
              <w:t>47480</w:t>
            </w:r>
          </w:p>
        </w:tc>
      </w:tr>
      <w:tr w:rsidR="00BA7C2C" w:rsidRPr="00A0425E" w:rsidTr="00613EE2">
        <w:tc>
          <w:tcPr>
            <w:tcW w:w="2387" w:type="dxa"/>
          </w:tcPr>
          <w:p w:rsidR="00BA7C2C" w:rsidRPr="00A0425E" w:rsidRDefault="00BA7C2C" w:rsidP="00613EE2">
            <w:pPr>
              <w:rPr>
                <w:b/>
              </w:rPr>
            </w:pPr>
            <w:r w:rsidRPr="00A0425E">
              <w:rPr>
                <w:b/>
              </w:rPr>
              <w:t>Country:</w:t>
            </w:r>
          </w:p>
        </w:tc>
        <w:tc>
          <w:tcPr>
            <w:tcW w:w="6108" w:type="dxa"/>
          </w:tcPr>
          <w:p w:rsidR="00BA7C2C" w:rsidRPr="00AB1B78" w:rsidRDefault="00BA7C2C" w:rsidP="00613EE2">
            <w:pPr>
              <w:rPr>
                <w:rFonts w:cs="Arial"/>
              </w:rPr>
            </w:pPr>
            <w:smartTag w:uri="urn:schemas-microsoft-com:office:smarttags" w:element="place">
              <w:smartTag w:uri="urn:schemas-microsoft-com:office:smarttags" w:element="country-region">
                <w:r w:rsidRPr="00AB1B78">
                  <w:rPr>
                    <w:rFonts w:cs="Arial"/>
                  </w:rPr>
                  <w:t>France</w:t>
                </w:r>
              </w:smartTag>
            </w:smartTag>
          </w:p>
        </w:tc>
      </w:tr>
      <w:tr w:rsidR="00BA7C2C" w:rsidRPr="00A0425E" w:rsidTr="00613EE2">
        <w:tc>
          <w:tcPr>
            <w:tcW w:w="2387" w:type="dxa"/>
          </w:tcPr>
          <w:p w:rsidR="00BA7C2C" w:rsidRPr="00A0425E" w:rsidRDefault="00BA7C2C" w:rsidP="00613EE2">
            <w:pPr>
              <w:rPr>
                <w:b/>
              </w:rPr>
            </w:pPr>
            <w:r w:rsidRPr="00A0425E">
              <w:rPr>
                <w:b/>
              </w:rPr>
              <w:t>Telephone:</w:t>
            </w:r>
          </w:p>
        </w:tc>
        <w:tc>
          <w:tcPr>
            <w:tcW w:w="6108" w:type="dxa"/>
          </w:tcPr>
          <w:p w:rsidR="00BA7C2C" w:rsidRPr="00AB1B78" w:rsidRDefault="00BA7C2C" w:rsidP="00613EE2">
            <w:pPr>
              <w:rPr>
                <w:rFonts w:cs="Arial"/>
              </w:rPr>
            </w:pPr>
            <w:r>
              <w:rPr>
                <w:rFonts w:cs="Arial"/>
              </w:rPr>
              <w:t>+33 563 693683</w:t>
            </w:r>
          </w:p>
        </w:tc>
      </w:tr>
      <w:tr w:rsidR="00BA7C2C" w:rsidRPr="00A0425E" w:rsidTr="00613EE2">
        <w:tc>
          <w:tcPr>
            <w:tcW w:w="2387" w:type="dxa"/>
          </w:tcPr>
          <w:p w:rsidR="00BA7C2C" w:rsidRPr="00A0425E" w:rsidRDefault="00BA7C2C" w:rsidP="00613EE2">
            <w:pPr>
              <w:rPr>
                <w:b/>
              </w:rPr>
            </w:pPr>
            <w:r w:rsidRPr="00A0425E">
              <w:rPr>
                <w:b/>
              </w:rPr>
              <w:t>Fax:</w:t>
            </w:r>
          </w:p>
        </w:tc>
        <w:tc>
          <w:tcPr>
            <w:tcW w:w="6108" w:type="dxa"/>
          </w:tcPr>
          <w:p w:rsidR="00BA7C2C" w:rsidRPr="00AB1B78" w:rsidRDefault="00BA7C2C" w:rsidP="00613EE2">
            <w:pPr>
              <w:rPr>
                <w:rFonts w:cs="Arial"/>
              </w:rPr>
            </w:pPr>
            <w:r w:rsidRPr="00AB1B78">
              <w:rPr>
                <w:rFonts w:cs="Arial"/>
              </w:rPr>
              <w:t>+33 553 479 501</w:t>
            </w:r>
          </w:p>
        </w:tc>
      </w:tr>
      <w:tr w:rsidR="00BA7C2C" w:rsidRPr="00A0425E" w:rsidTr="00613EE2">
        <w:tc>
          <w:tcPr>
            <w:tcW w:w="2387" w:type="dxa"/>
          </w:tcPr>
          <w:p w:rsidR="00BA7C2C" w:rsidRPr="00A0425E" w:rsidRDefault="00BA7C2C" w:rsidP="00613EE2">
            <w:pPr>
              <w:rPr>
                <w:b/>
              </w:rPr>
            </w:pPr>
            <w:r w:rsidRPr="00A0425E">
              <w:rPr>
                <w:b/>
              </w:rPr>
              <w:t>E-mail address:</w:t>
            </w:r>
          </w:p>
        </w:tc>
        <w:tc>
          <w:tcPr>
            <w:tcW w:w="6108" w:type="dxa"/>
          </w:tcPr>
          <w:p w:rsidR="00BA7C2C" w:rsidRPr="00AB1B78" w:rsidRDefault="00BA7C2C" w:rsidP="00613EE2">
            <w:pPr>
              <w:rPr>
                <w:rFonts w:cs="Arial"/>
              </w:rPr>
            </w:pPr>
            <w:r>
              <w:rPr>
                <w:rFonts w:cs="Arial"/>
              </w:rPr>
              <w:t>rollinf</w:t>
            </w:r>
            <w:r w:rsidRPr="00AB1B78">
              <w:rPr>
                <w:rFonts w:cs="Arial"/>
              </w:rPr>
              <w:t>@desangosse.com</w:t>
            </w:r>
          </w:p>
        </w:tc>
      </w:tr>
    </w:tbl>
    <w:p w:rsidR="00BA7C2C" w:rsidRPr="00A0425E" w:rsidRDefault="00BA7C2C" w:rsidP="00BA7C2C"/>
    <w:p w:rsidR="00BA7C2C" w:rsidRDefault="00BA7C2C" w:rsidP="00BA7C2C">
      <w:pPr>
        <w:pStyle w:val="Kop2"/>
        <w:numPr>
          <w:ilvl w:val="1"/>
          <w:numId w:val="12"/>
        </w:numPr>
        <w:tabs>
          <w:tab w:val="left" w:pos="1304"/>
        </w:tabs>
        <w:spacing w:after="240" w:line="280" w:lineRule="atLeast"/>
      </w:pPr>
      <w:bookmarkStart w:id="721" w:name="_Toc362858069"/>
      <w:r w:rsidRPr="00A0425E">
        <w:t>Current authorisation holder</w:t>
      </w:r>
      <w:r w:rsidRPr="00A0425E">
        <w:rPr>
          <w:rStyle w:val="Voetnootmarkering"/>
        </w:rPr>
        <w:footnoteReference w:id="6"/>
      </w:r>
      <w:bookmarkEnd w:id="721"/>
    </w:p>
    <w:p w:rsidR="00BA7C2C" w:rsidRPr="009F3A1B" w:rsidRDefault="00BA7C2C" w:rsidP="00BA7C2C">
      <w:r>
        <w:t>Not applicable.</w:t>
      </w:r>
    </w:p>
    <w:p w:rsidR="00BA7C2C" w:rsidRPr="00A0425E" w:rsidRDefault="00BA7C2C" w:rsidP="00BA7C2C">
      <w:pPr>
        <w:pStyle w:val="Kop2"/>
        <w:numPr>
          <w:ilvl w:val="1"/>
          <w:numId w:val="12"/>
        </w:numPr>
        <w:tabs>
          <w:tab w:val="left" w:pos="1304"/>
        </w:tabs>
        <w:spacing w:after="240" w:line="280" w:lineRule="atLeast"/>
      </w:pPr>
      <w:bookmarkStart w:id="722" w:name="_Toc362858070"/>
      <w:r w:rsidRPr="00A0425E">
        <w:t>Proposed authorisation holder</w:t>
      </w:r>
      <w:bookmarkEnd w:id="722"/>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BA7C2C" w:rsidRPr="00A0425E" w:rsidTr="00613EE2">
        <w:tc>
          <w:tcPr>
            <w:tcW w:w="2387" w:type="dxa"/>
          </w:tcPr>
          <w:p w:rsidR="00BA7C2C" w:rsidRPr="00A0425E" w:rsidRDefault="00BA7C2C" w:rsidP="00613EE2">
            <w:pPr>
              <w:rPr>
                <w:b/>
              </w:rPr>
            </w:pPr>
            <w:r w:rsidRPr="00A0425E">
              <w:rPr>
                <w:b/>
              </w:rPr>
              <w:t>Company Name:</w:t>
            </w:r>
          </w:p>
        </w:tc>
        <w:tc>
          <w:tcPr>
            <w:tcW w:w="6108" w:type="dxa"/>
          </w:tcPr>
          <w:p w:rsidR="00BA7C2C" w:rsidRPr="00AB1B78" w:rsidRDefault="00BA7C2C" w:rsidP="00613EE2">
            <w:pPr>
              <w:rPr>
                <w:rFonts w:cs="Arial"/>
              </w:rPr>
            </w:pPr>
            <w:r w:rsidRPr="00AB1B78">
              <w:rPr>
                <w:rFonts w:cs="Arial"/>
              </w:rPr>
              <w:t>Liphatech S.A.S.</w:t>
            </w:r>
          </w:p>
        </w:tc>
      </w:tr>
      <w:tr w:rsidR="00BA7C2C" w:rsidRPr="00A0425E" w:rsidTr="00613EE2">
        <w:tc>
          <w:tcPr>
            <w:tcW w:w="2387" w:type="dxa"/>
          </w:tcPr>
          <w:p w:rsidR="00BA7C2C" w:rsidRPr="00A0425E" w:rsidRDefault="00BA7C2C" w:rsidP="00613EE2">
            <w:pPr>
              <w:rPr>
                <w:b/>
              </w:rPr>
            </w:pPr>
            <w:r w:rsidRPr="00A0425E">
              <w:rPr>
                <w:b/>
              </w:rPr>
              <w:t>Address:</w:t>
            </w:r>
          </w:p>
        </w:tc>
        <w:tc>
          <w:tcPr>
            <w:tcW w:w="6108" w:type="dxa"/>
          </w:tcPr>
          <w:p w:rsidR="00BA7C2C" w:rsidRPr="00AB1B78" w:rsidRDefault="00BA7C2C" w:rsidP="00613EE2">
            <w:pPr>
              <w:rPr>
                <w:rFonts w:cs="Arial"/>
              </w:rPr>
            </w:pPr>
            <w:r w:rsidRPr="00AB1B78">
              <w:rPr>
                <w:rFonts w:cs="Arial"/>
              </w:rPr>
              <w:t>Bonnel BP 3</w:t>
            </w:r>
          </w:p>
        </w:tc>
      </w:tr>
      <w:tr w:rsidR="00BA7C2C" w:rsidRPr="00A0425E" w:rsidTr="00613EE2">
        <w:tc>
          <w:tcPr>
            <w:tcW w:w="2387" w:type="dxa"/>
          </w:tcPr>
          <w:p w:rsidR="00BA7C2C" w:rsidRPr="00A0425E" w:rsidRDefault="00BA7C2C" w:rsidP="00613EE2">
            <w:pPr>
              <w:rPr>
                <w:b/>
              </w:rPr>
            </w:pPr>
            <w:r w:rsidRPr="00A0425E">
              <w:rPr>
                <w:b/>
              </w:rPr>
              <w:t>City:</w:t>
            </w:r>
          </w:p>
        </w:tc>
        <w:tc>
          <w:tcPr>
            <w:tcW w:w="6108" w:type="dxa"/>
          </w:tcPr>
          <w:p w:rsidR="00BA7C2C" w:rsidRPr="00AB1B78" w:rsidRDefault="00BA7C2C" w:rsidP="00613EE2">
            <w:pPr>
              <w:rPr>
                <w:rFonts w:cs="Arial"/>
              </w:rPr>
            </w:pPr>
            <w:r w:rsidRPr="00AB1B78">
              <w:rPr>
                <w:rFonts w:cs="Arial"/>
              </w:rPr>
              <w:t>Pont du Casse</w:t>
            </w:r>
          </w:p>
        </w:tc>
      </w:tr>
      <w:tr w:rsidR="00BA7C2C" w:rsidRPr="00A0425E" w:rsidTr="00613EE2">
        <w:tc>
          <w:tcPr>
            <w:tcW w:w="2387" w:type="dxa"/>
          </w:tcPr>
          <w:p w:rsidR="00BA7C2C" w:rsidRPr="00A0425E" w:rsidRDefault="00BA7C2C" w:rsidP="00613EE2">
            <w:pPr>
              <w:rPr>
                <w:b/>
              </w:rPr>
            </w:pPr>
            <w:r w:rsidRPr="00A0425E">
              <w:rPr>
                <w:b/>
              </w:rPr>
              <w:lastRenderedPageBreak/>
              <w:t>Postal Code:</w:t>
            </w:r>
          </w:p>
        </w:tc>
        <w:tc>
          <w:tcPr>
            <w:tcW w:w="6108" w:type="dxa"/>
          </w:tcPr>
          <w:p w:rsidR="00BA7C2C" w:rsidRPr="00AB1B78" w:rsidRDefault="00BA7C2C" w:rsidP="00613EE2">
            <w:pPr>
              <w:rPr>
                <w:rFonts w:cs="Arial"/>
              </w:rPr>
            </w:pPr>
            <w:r w:rsidRPr="00AB1B78">
              <w:rPr>
                <w:rFonts w:cs="Arial"/>
              </w:rPr>
              <w:t>47480</w:t>
            </w:r>
          </w:p>
        </w:tc>
      </w:tr>
      <w:tr w:rsidR="00BA7C2C" w:rsidRPr="00A0425E" w:rsidTr="00613EE2">
        <w:tc>
          <w:tcPr>
            <w:tcW w:w="2387" w:type="dxa"/>
          </w:tcPr>
          <w:p w:rsidR="00BA7C2C" w:rsidRPr="00A0425E" w:rsidRDefault="00BA7C2C" w:rsidP="00613EE2">
            <w:pPr>
              <w:rPr>
                <w:b/>
              </w:rPr>
            </w:pPr>
            <w:r w:rsidRPr="00A0425E">
              <w:rPr>
                <w:b/>
              </w:rPr>
              <w:t>Country:</w:t>
            </w:r>
          </w:p>
        </w:tc>
        <w:tc>
          <w:tcPr>
            <w:tcW w:w="6108" w:type="dxa"/>
          </w:tcPr>
          <w:p w:rsidR="00BA7C2C" w:rsidRPr="00AB1B78" w:rsidRDefault="00BA7C2C" w:rsidP="00613EE2">
            <w:pPr>
              <w:rPr>
                <w:rFonts w:cs="Arial"/>
              </w:rPr>
            </w:pPr>
            <w:smartTag w:uri="urn:schemas-microsoft-com:office:smarttags" w:element="place">
              <w:smartTag w:uri="urn:schemas-microsoft-com:office:smarttags" w:element="country-region">
                <w:r w:rsidRPr="00AB1B78">
                  <w:rPr>
                    <w:rFonts w:cs="Arial"/>
                  </w:rPr>
                  <w:t>France</w:t>
                </w:r>
              </w:smartTag>
            </w:smartTag>
          </w:p>
        </w:tc>
      </w:tr>
      <w:tr w:rsidR="00BA7C2C" w:rsidRPr="00A0425E" w:rsidTr="00613EE2">
        <w:tc>
          <w:tcPr>
            <w:tcW w:w="2387" w:type="dxa"/>
          </w:tcPr>
          <w:p w:rsidR="00BA7C2C" w:rsidRPr="00A0425E" w:rsidRDefault="00BA7C2C" w:rsidP="00613EE2">
            <w:pPr>
              <w:rPr>
                <w:b/>
              </w:rPr>
            </w:pPr>
            <w:r w:rsidRPr="00A0425E">
              <w:rPr>
                <w:b/>
              </w:rPr>
              <w:t>Telephone:</w:t>
            </w:r>
          </w:p>
        </w:tc>
        <w:tc>
          <w:tcPr>
            <w:tcW w:w="6108" w:type="dxa"/>
          </w:tcPr>
          <w:p w:rsidR="00BA7C2C" w:rsidRPr="00AB1B78" w:rsidRDefault="00BA7C2C" w:rsidP="00613EE2">
            <w:pPr>
              <w:rPr>
                <w:rFonts w:cs="Arial"/>
              </w:rPr>
            </w:pPr>
            <w:r w:rsidRPr="00AB1B78">
              <w:rPr>
                <w:rFonts w:cs="Arial"/>
              </w:rPr>
              <w:t>+33 563 693 570</w:t>
            </w:r>
          </w:p>
        </w:tc>
      </w:tr>
      <w:tr w:rsidR="00BA7C2C" w:rsidRPr="00A0425E" w:rsidTr="00613EE2">
        <w:tc>
          <w:tcPr>
            <w:tcW w:w="2387" w:type="dxa"/>
          </w:tcPr>
          <w:p w:rsidR="00BA7C2C" w:rsidRPr="00A0425E" w:rsidRDefault="00BA7C2C" w:rsidP="00613EE2">
            <w:pPr>
              <w:rPr>
                <w:b/>
              </w:rPr>
            </w:pPr>
            <w:r w:rsidRPr="00A0425E">
              <w:rPr>
                <w:b/>
              </w:rPr>
              <w:t>Fax:</w:t>
            </w:r>
          </w:p>
        </w:tc>
        <w:tc>
          <w:tcPr>
            <w:tcW w:w="6108" w:type="dxa"/>
          </w:tcPr>
          <w:p w:rsidR="00BA7C2C" w:rsidRPr="00AB1B78" w:rsidRDefault="00BA7C2C" w:rsidP="00613EE2">
            <w:pPr>
              <w:rPr>
                <w:rFonts w:cs="Arial"/>
              </w:rPr>
            </w:pPr>
            <w:r w:rsidRPr="00AB1B78">
              <w:rPr>
                <w:rFonts w:cs="Arial"/>
              </w:rPr>
              <w:t>+33 553 479 501</w:t>
            </w:r>
          </w:p>
        </w:tc>
      </w:tr>
      <w:tr w:rsidR="00BA7C2C" w:rsidRPr="00A0425E" w:rsidTr="00613EE2">
        <w:tc>
          <w:tcPr>
            <w:tcW w:w="2387" w:type="dxa"/>
          </w:tcPr>
          <w:p w:rsidR="00BA7C2C" w:rsidRPr="00A0425E" w:rsidRDefault="00BA7C2C" w:rsidP="00613EE2">
            <w:pPr>
              <w:rPr>
                <w:b/>
              </w:rPr>
            </w:pPr>
            <w:r w:rsidRPr="00A0425E">
              <w:rPr>
                <w:b/>
              </w:rPr>
              <w:t>E-mail address:</w:t>
            </w:r>
          </w:p>
        </w:tc>
        <w:tc>
          <w:tcPr>
            <w:tcW w:w="6108" w:type="dxa"/>
          </w:tcPr>
          <w:p w:rsidR="00BA7C2C" w:rsidRPr="00AB1B78" w:rsidRDefault="00BA7C2C" w:rsidP="00613EE2">
            <w:pPr>
              <w:rPr>
                <w:rFonts w:cs="Arial"/>
              </w:rPr>
            </w:pPr>
            <w:r>
              <w:rPr>
                <w:rFonts w:cs="Arial"/>
              </w:rPr>
              <w:t>rollinf</w:t>
            </w:r>
            <w:r w:rsidRPr="004F5027">
              <w:rPr>
                <w:rFonts w:cs="Arial"/>
              </w:rPr>
              <w:t>@desangosse.com</w:t>
            </w:r>
          </w:p>
        </w:tc>
      </w:tr>
      <w:tr w:rsidR="00BA7C2C" w:rsidRPr="005E7543" w:rsidTr="00613EE2">
        <w:tc>
          <w:tcPr>
            <w:tcW w:w="2387" w:type="dxa"/>
          </w:tcPr>
          <w:p w:rsidR="00BA7C2C" w:rsidRPr="00A0425E" w:rsidRDefault="00BA7C2C" w:rsidP="00613EE2">
            <w:pPr>
              <w:rPr>
                <w:b/>
              </w:rPr>
            </w:pPr>
            <w:r w:rsidRPr="00A0425E">
              <w:rPr>
                <w:b/>
              </w:rPr>
              <w:t>Letter of appointment for the applicant to represent the authorisation holder provided (yes/no):</w:t>
            </w:r>
          </w:p>
        </w:tc>
        <w:tc>
          <w:tcPr>
            <w:tcW w:w="6108" w:type="dxa"/>
          </w:tcPr>
          <w:p w:rsidR="00BA7C2C" w:rsidRPr="00A0425E" w:rsidRDefault="00BA7C2C" w:rsidP="00613EE2">
            <w:r w:rsidRPr="00B67F2D">
              <w:rPr>
                <w:rFonts w:cs="Arial"/>
              </w:rPr>
              <w:t>Not applicable</w:t>
            </w:r>
          </w:p>
        </w:tc>
      </w:tr>
    </w:tbl>
    <w:p w:rsidR="00BA7C2C" w:rsidRPr="00A0425E" w:rsidRDefault="00BA7C2C" w:rsidP="00BA7C2C">
      <w:pPr>
        <w:spacing w:after="200" w:line="276" w:lineRule="auto"/>
      </w:pPr>
    </w:p>
    <w:p w:rsidR="00BA7C2C" w:rsidRPr="00A0425E" w:rsidRDefault="00BA7C2C" w:rsidP="00BA7C2C">
      <w:pPr>
        <w:pStyle w:val="Kop2"/>
        <w:numPr>
          <w:ilvl w:val="1"/>
          <w:numId w:val="12"/>
        </w:numPr>
        <w:tabs>
          <w:tab w:val="left" w:pos="1304"/>
        </w:tabs>
        <w:spacing w:after="240" w:line="280" w:lineRule="atLeast"/>
      </w:pPr>
      <w:bookmarkStart w:id="723" w:name="_Toc161194986"/>
      <w:bookmarkStart w:id="724" w:name="_Toc161196032"/>
      <w:bookmarkStart w:id="725" w:name="_Toc224453225"/>
      <w:bookmarkStart w:id="726" w:name="_Toc362858071"/>
      <w:bookmarkStart w:id="727" w:name="_Toc157411483"/>
      <w:r w:rsidRPr="00A0425E">
        <w:t xml:space="preserve">Information </w:t>
      </w:r>
      <w:bookmarkEnd w:id="723"/>
      <w:bookmarkEnd w:id="724"/>
      <w:bookmarkEnd w:id="725"/>
      <w:r w:rsidRPr="00A0425E">
        <w:t>about the product application</w:t>
      </w:r>
      <w:bookmarkEnd w:id="726"/>
      <w:r w:rsidRPr="00A0425E">
        <w:t xml:space="preserve"> </w:t>
      </w:r>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BA7C2C" w:rsidRPr="00A0425E" w:rsidTr="00613EE2">
        <w:tc>
          <w:tcPr>
            <w:tcW w:w="2387" w:type="dxa"/>
          </w:tcPr>
          <w:p w:rsidR="00BA7C2C" w:rsidRPr="00A0425E" w:rsidRDefault="00BA7C2C" w:rsidP="00613EE2">
            <w:pPr>
              <w:rPr>
                <w:b/>
              </w:rPr>
            </w:pPr>
            <w:r w:rsidRPr="00A0425E">
              <w:rPr>
                <w:b/>
              </w:rPr>
              <w:t>Application received:</w:t>
            </w:r>
          </w:p>
        </w:tc>
        <w:tc>
          <w:tcPr>
            <w:tcW w:w="6108" w:type="dxa"/>
          </w:tcPr>
          <w:p w:rsidR="00BA7C2C" w:rsidRPr="004B63E4" w:rsidRDefault="00BA7C2C" w:rsidP="00613EE2">
            <w:pPr>
              <w:rPr>
                <w:rFonts w:cs="Arial"/>
              </w:rPr>
            </w:pPr>
            <w:r w:rsidRPr="004B63E4">
              <w:rPr>
                <w:rFonts w:cs="Arial"/>
              </w:rPr>
              <w:t>04-07-2011</w:t>
            </w:r>
          </w:p>
        </w:tc>
      </w:tr>
      <w:tr w:rsidR="00BA7C2C" w:rsidRPr="00A0425E" w:rsidTr="00613EE2">
        <w:tc>
          <w:tcPr>
            <w:tcW w:w="2387" w:type="dxa"/>
          </w:tcPr>
          <w:p w:rsidR="00BA7C2C" w:rsidRPr="00A0425E" w:rsidRDefault="00BA7C2C" w:rsidP="00613EE2">
            <w:pPr>
              <w:rPr>
                <w:b/>
              </w:rPr>
            </w:pPr>
            <w:r w:rsidRPr="00A0425E">
              <w:rPr>
                <w:b/>
              </w:rPr>
              <w:t>Application reported complete:</w:t>
            </w:r>
          </w:p>
        </w:tc>
        <w:tc>
          <w:tcPr>
            <w:tcW w:w="6108" w:type="dxa"/>
          </w:tcPr>
          <w:p w:rsidR="00BA7C2C" w:rsidRPr="004B63E4" w:rsidRDefault="00BA7C2C" w:rsidP="00613EE2">
            <w:pPr>
              <w:rPr>
                <w:rFonts w:cs="Arial"/>
              </w:rPr>
            </w:pPr>
            <w:r w:rsidRPr="004B63E4">
              <w:rPr>
                <w:rFonts w:cs="Arial"/>
              </w:rPr>
              <w:t>29-03-2012</w:t>
            </w:r>
          </w:p>
        </w:tc>
      </w:tr>
      <w:tr w:rsidR="00BA7C2C" w:rsidRPr="00A0425E" w:rsidTr="00613EE2">
        <w:tc>
          <w:tcPr>
            <w:tcW w:w="2387" w:type="dxa"/>
          </w:tcPr>
          <w:p w:rsidR="00BA7C2C" w:rsidRPr="00A0425E" w:rsidRDefault="00BA7C2C" w:rsidP="00613EE2">
            <w:pPr>
              <w:rPr>
                <w:b/>
              </w:rPr>
            </w:pPr>
            <w:r w:rsidRPr="00A0425E">
              <w:rPr>
                <w:b/>
              </w:rPr>
              <w:t>Type of application:</w:t>
            </w:r>
          </w:p>
        </w:tc>
        <w:tc>
          <w:tcPr>
            <w:tcW w:w="6108" w:type="dxa"/>
          </w:tcPr>
          <w:p w:rsidR="00BA7C2C" w:rsidRPr="004B63E4" w:rsidRDefault="00BA7C2C" w:rsidP="00613EE2">
            <w:pPr>
              <w:rPr>
                <w:rFonts w:cs="Arial"/>
              </w:rPr>
            </w:pPr>
            <w:r w:rsidRPr="004B63E4">
              <w:rPr>
                <w:rFonts w:cs="Arial"/>
              </w:rPr>
              <w:t>First authorisation</w:t>
            </w:r>
          </w:p>
        </w:tc>
      </w:tr>
      <w:tr w:rsidR="00BA7C2C" w:rsidRPr="00A0425E" w:rsidTr="00613EE2">
        <w:tc>
          <w:tcPr>
            <w:tcW w:w="2387" w:type="dxa"/>
          </w:tcPr>
          <w:p w:rsidR="00BA7C2C" w:rsidRPr="00A0425E" w:rsidRDefault="00BA7C2C" w:rsidP="00613EE2">
            <w:pPr>
              <w:rPr>
                <w:b/>
              </w:rPr>
            </w:pPr>
            <w:r w:rsidRPr="00A0425E">
              <w:rPr>
                <w:b/>
              </w:rPr>
              <w:t>Further information:</w:t>
            </w:r>
          </w:p>
        </w:tc>
        <w:tc>
          <w:tcPr>
            <w:tcW w:w="6108" w:type="dxa"/>
          </w:tcPr>
          <w:p w:rsidR="00BA7C2C" w:rsidRPr="004B63E4" w:rsidRDefault="00BA7C2C" w:rsidP="00613EE2">
            <w:pPr>
              <w:rPr>
                <w:rFonts w:cs="Arial"/>
              </w:rPr>
            </w:pPr>
            <w:r w:rsidRPr="004B63E4">
              <w:rPr>
                <w:rFonts w:cs="Arial"/>
              </w:rPr>
              <w:t xml:space="preserve">Applicant has indicated to submit an application for mutual recognition in BE, CZ, DE, DK, EL, FR, HU, IT, PL, PT, RO, </w:t>
            </w:r>
            <w:smartTag w:uri="urn:schemas-microsoft-com:office:smarttags" w:element="place">
              <w:smartTag w:uri="urn:schemas-microsoft-com:office:smarttags" w:element="City">
                <w:r w:rsidRPr="004B63E4">
                  <w:rPr>
                    <w:rFonts w:cs="Arial"/>
                  </w:rPr>
                  <w:t>SI</w:t>
                </w:r>
              </w:smartTag>
              <w:r w:rsidRPr="004B63E4">
                <w:rPr>
                  <w:rFonts w:cs="Arial"/>
                </w:rPr>
                <w:t xml:space="preserve">, </w:t>
              </w:r>
              <w:smartTag w:uri="urn:schemas-microsoft-com:office:smarttags" w:element="State">
                <w:r w:rsidRPr="004B63E4">
                  <w:rPr>
                    <w:rFonts w:cs="Arial"/>
                  </w:rPr>
                  <w:t>SK</w:t>
                </w:r>
              </w:smartTag>
              <w:r w:rsidRPr="004B63E4">
                <w:rPr>
                  <w:rFonts w:cs="Arial"/>
                </w:rPr>
                <w:t xml:space="preserve">, </w:t>
              </w:r>
              <w:smartTag w:uri="urn:schemas-microsoft-com:office:smarttags" w:element="country-region">
                <w:r w:rsidRPr="004B63E4">
                  <w:rPr>
                    <w:rFonts w:cs="Arial"/>
                  </w:rPr>
                  <w:t>UK</w:t>
                </w:r>
              </w:smartTag>
            </w:smartTag>
            <w:r w:rsidRPr="004B63E4">
              <w:rPr>
                <w:rFonts w:cs="Arial"/>
              </w:rPr>
              <w:t>.</w:t>
            </w:r>
          </w:p>
        </w:tc>
      </w:tr>
    </w:tbl>
    <w:p w:rsidR="00BA7C2C" w:rsidRPr="00A0425E" w:rsidRDefault="00BA7C2C" w:rsidP="00BA7C2C"/>
    <w:p w:rsidR="00BA7C2C" w:rsidRPr="00A0425E" w:rsidRDefault="00BA7C2C" w:rsidP="00BA7C2C">
      <w:pPr>
        <w:pStyle w:val="Kop2"/>
        <w:numPr>
          <w:ilvl w:val="1"/>
          <w:numId w:val="12"/>
        </w:numPr>
        <w:tabs>
          <w:tab w:val="left" w:pos="1304"/>
        </w:tabs>
        <w:spacing w:after="240" w:line="280" w:lineRule="atLeast"/>
      </w:pPr>
      <w:bookmarkStart w:id="728" w:name="_Toc362858072"/>
      <w:r w:rsidRPr="00A0425E">
        <w:t>Information about the biocidal product</w:t>
      </w:r>
      <w:bookmarkEnd w:id="728"/>
    </w:p>
    <w:p w:rsidR="00BA7C2C" w:rsidRPr="00A0425E" w:rsidRDefault="00BA7C2C" w:rsidP="00BA7C2C">
      <w:pPr>
        <w:pStyle w:val="Kop3"/>
        <w:numPr>
          <w:ilvl w:val="2"/>
          <w:numId w:val="12"/>
        </w:numPr>
        <w:tabs>
          <w:tab w:val="left" w:pos="1304"/>
        </w:tabs>
        <w:spacing w:line="280" w:lineRule="atLeast"/>
        <w:jc w:val="left"/>
      </w:pPr>
      <w:bookmarkStart w:id="729" w:name="_Toc161194995"/>
      <w:bookmarkStart w:id="730" w:name="_Toc224453228"/>
      <w:bookmarkStart w:id="731" w:name="_Toc96940595"/>
      <w:bookmarkStart w:id="732" w:name="_Toc96942488"/>
      <w:bookmarkStart w:id="733" w:name="_Toc112205529"/>
      <w:bookmarkStart w:id="734" w:name="_Toc114890086"/>
      <w:bookmarkStart w:id="735" w:name="_Toc114890688"/>
      <w:bookmarkStart w:id="736" w:name="_Toc114897952"/>
      <w:bookmarkStart w:id="737" w:name="_Toc115516149"/>
      <w:bookmarkStart w:id="738" w:name="_Toc119132646"/>
      <w:bookmarkStart w:id="739" w:name="_Toc145833779"/>
      <w:bookmarkStart w:id="740" w:name="_Toc145834424"/>
      <w:bookmarkStart w:id="741" w:name="_Toc145926309"/>
      <w:bookmarkStart w:id="742" w:name="_Toc145926960"/>
      <w:bookmarkStart w:id="743" w:name="_Toc157411492"/>
      <w:bookmarkStart w:id="744" w:name="_Toc362858073"/>
      <w:r w:rsidRPr="00A0425E">
        <w:t>General information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BA7C2C" w:rsidRPr="00A0425E" w:rsidTr="00613EE2">
        <w:tc>
          <w:tcPr>
            <w:tcW w:w="4077" w:type="dxa"/>
          </w:tcPr>
          <w:p w:rsidR="00BA7C2C" w:rsidRPr="00A0425E" w:rsidRDefault="00BA7C2C" w:rsidP="00613EE2">
            <w:pPr>
              <w:rPr>
                <w:b/>
              </w:rPr>
            </w:pPr>
            <w:r w:rsidRPr="00A0425E">
              <w:rPr>
                <w:b/>
              </w:rPr>
              <w:t>Trade name:</w:t>
            </w:r>
          </w:p>
        </w:tc>
        <w:tc>
          <w:tcPr>
            <w:tcW w:w="4395" w:type="dxa"/>
          </w:tcPr>
          <w:p w:rsidR="00BA7C2C" w:rsidRPr="004B63E4" w:rsidRDefault="00BA7C2C" w:rsidP="00613EE2">
            <w:pPr>
              <w:rPr>
                <w:rFonts w:cs="Arial"/>
              </w:rPr>
            </w:pPr>
            <w:r w:rsidRPr="004B63E4">
              <w:rPr>
                <w:rFonts w:cs="Arial"/>
              </w:rPr>
              <w:t>MAKI PAT’</w:t>
            </w:r>
          </w:p>
        </w:tc>
      </w:tr>
      <w:tr w:rsidR="00BA7C2C" w:rsidRPr="005E7543" w:rsidTr="00613EE2">
        <w:tc>
          <w:tcPr>
            <w:tcW w:w="4077" w:type="dxa"/>
          </w:tcPr>
          <w:p w:rsidR="00BA7C2C" w:rsidRPr="00A0425E" w:rsidRDefault="00BA7C2C" w:rsidP="00613EE2">
            <w:pPr>
              <w:rPr>
                <w:b/>
              </w:rPr>
            </w:pPr>
            <w:r w:rsidRPr="00A0425E">
              <w:rPr>
                <w:b/>
              </w:rPr>
              <w:t>Manufacturer’s development code number(s), if appropriate:</w:t>
            </w:r>
          </w:p>
        </w:tc>
        <w:tc>
          <w:tcPr>
            <w:tcW w:w="4395" w:type="dxa"/>
          </w:tcPr>
          <w:p w:rsidR="00BA7C2C" w:rsidRPr="004B63E4" w:rsidRDefault="00BA7C2C" w:rsidP="00613EE2">
            <w:pPr>
              <w:rPr>
                <w:rFonts w:cs="Arial"/>
              </w:rPr>
            </w:pPr>
            <w:r w:rsidRPr="004B63E4">
              <w:rPr>
                <w:rFonts w:cs="Arial"/>
              </w:rPr>
              <w:t>BROPA0,0050_05F_F01153_00</w:t>
            </w:r>
          </w:p>
        </w:tc>
      </w:tr>
      <w:tr w:rsidR="00BA7C2C" w:rsidRPr="00A0425E" w:rsidTr="00613EE2">
        <w:tc>
          <w:tcPr>
            <w:tcW w:w="4077" w:type="dxa"/>
          </w:tcPr>
          <w:p w:rsidR="00BA7C2C" w:rsidRPr="00A0425E" w:rsidRDefault="00BA7C2C" w:rsidP="00613EE2">
            <w:pPr>
              <w:rPr>
                <w:b/>
              </w:rPr>
            </w:pPr>
            <w:r w:rsidRPr="00A0425E">
              <w:rPr>
                <w:b/>
              </w:rPr>
              <w:t>Product type:</w:t>
            </w:r>
          </w:p>
        </w:tc>
        <w:tc>
          <w:tcPr>
            <w:tcW w:w="4395" w:type="dxa"/>
          </w:tcPr>
          <w:p w:rsidR="00BA7C2C" w:rsidRPr="004B63E4" w:rsidRDefault="00BA7C2C" w:rsidP="00613EE2">
            <w:pPr>
              <w:rPr>
                <w:rFonts w:cs="Arial"/>
              </w:rPr>
            </w:pPr>
            <w:r w:rsidRPr="004B63E4">
              <w:rPr>
                <w:rFonts w:cs="Arial"/>
              </w:rPr>
              <w:t>14</w:t>
            </w:r>
          </w:p>
        </w:tc>
      </w:tr>
      <w:tr w:rsidR="00BA7C2C" w:rsidRPr="005E7543" w:rsidTr="00613EE2">
        <w:tc>
          <w:tcPr>
            <w:tcW w:w="4077" w:type="dxa"/>
          </w:tcPr>
          <w:p w:rsidR="00BA7C2C" w:rsidRPr="00A0425E" w:rsidRDefault="00BA7C2C" w:rsidP="00613EE2">
            <w:pPr>
              <w:rPr>
                <w:b/>
              </w:rPr>
            </w:pPr>
            <w:r w:rsidRPr="00A0425E">
              <w:rPr>
                <w:b/>
              </w:rPr>
              <w:t>Composition of the product (identity and content of active substance(s) and substances of concern; full composition see confidential annex):</w:t>
            </w:r>
          </w:p>
        </w:tc>
        <w:tc>
          <w:tcPr>
            <w:tcW w:w="4395" w:type="dxa"/>
          </w:tcPr>
          <w:p w:rsidR="00BA7C2C" w:rsidRPr="004B63E4" w:rsidRDefault="00BA7C2C" w:rsidP="00613EE2">
            <w:pPr>
              <w:rPr>
                <w:rFonts w:cs="Arial"/>
              </w:rPr>
            </w:pPr>
            <w:r w:rsidRPr="004B63E4">
              <w:rPr>
                <w:rFonts w:cs="Arial"/>
              </w:rPr>
              <w:t xml:space="preserve">Bromadiolone 0.0050 </w:t>
            </w:r>
            <w:r>
              <w:rPr>
                <w:rFonts w:cs="Arial"/>
              </w:rPr>
              <w:t>%</w:t>
            </w:r>
          </w:p>
        </w:tc>
      </w:tr>
      <w:tr w:rsidR="00BA7C2C" w:rsidRPr="00A0425E" w:rsidTr="00613EE2">
        <w:tc>
          <w:tcPr>
            <w:tcW w:w="4077" w:type="dxa"/>
          </w:tcPr>
          <w:p w:rsidR="00BA7C2C" w:rsidRPr="00A0425E" w:rsidRDefault="00BA7C2C" w:rsidP="00613EE2">
            <w:pPr>
              <w:rPr>
                <w:b/>
              </w:rPr>
            </w:pPr>
            <w:r w:rsidRPr="00A0425E">
              <w:rPr>
                <w:b/>
              </w:rPr>
              <w:t>Formulation type:</w:t>
            </w:r>
          </w:p>
        </w:tc>
        <w:tc>
          <w:tcPr>
            <w:tcW w:w="4395" w:type="dxa"/>
          </w:tcPr>
          <w:p w:rsidR="00BA7C2C" w:rsidRPr="004B63E4" w:rsidRDefault="00BA7C2C" w:rsidP="00613EE2">
            <w:pPr>
              <w:rPr>
                <w:rFonts w:cs="Arial"/>
              </w:rPr>
            </w:pPr>
            <w:r w:rsidRPr="004B63E4">
              <w:rPr>
                <w:rFonts w:cs="Arial"/>
              </w:rPr>
              <w:t>RB</w:t>
            </w:r>
          </w:p>
        </w:tc>
      </w:tr>
      <w:tr w:rsidR="00BA7C2C" w:rsidRPr="005E7543" w:rsidTr="00613EE2">
        <w:tc>
          <w:tcPr>
            <w:tcW w:w="4077" w:type="dxa"/>
          </w:tcPr>
          <w:p w:rsidR="00BA7C2C" w:rsidRPr="00A0425E" w:rsidRDefault="00BA7C2C" w:rsidP="00613EE2">
            <w:pPr>
              <w:rPr>
                <w:b/>
              </w:rPr>
            </w:pPr>
            <w:r w:rsidRPr="00A0425E">
              <w:rPr>
                <w:b/>
              </w:rPr>
              <w:t>Ready to use product (yes/no):</w:t>
            </w:r>
          </w:p>
        </w:tc>
        <w:tc>
          <w:tcPr>
            <w:tcW w:w="4395" w:type="dxa"/>
          </w:tcPr>
          <w:p w:rsidR="00BA7C2C" w:rsidRPr="004B63E4" w:rsidRDefault="00BA7C2C" w:rsidP="00613EE2">
            <w:pPr>
              <w:rPr>
                <w:rFonts w:cs="Arial"/>
              </w:rPr>
            </w:pPr>
            <w:r w:rsidRPr="004B63E4">
              <w:rPr>
                <w:rFonts w:cs="Arial"/>
              </w:rPr>
              <w:t>Yes</w:t>
            </w:r>
          </w:p>
        </w:tc>
      </w:tr>
      <w:tr w:rsidR="00BA7C2C" w:rsidRPr="005E7543" w:rsidTr="00613EE2">
        <w:tc>
          <w:tcPr>
            <w:tcW w:w="4077" w:type="dxa"/>
          </w:tcPr>
          <w:p w:rsidR="00BA7C2C" w:rsidRPr="00A0425E" w:rsidRDefault="00BA7C2C" w:rsidP="00613EE2">
            <w:pPr>
              <w:rPr>
                <w:b/>
              </w:rPr>
            </w:pPr>
            <w:r w:rsidRPr="00A0425E">
              <w:rPr>
                <w:b/>
              </w:rPr>
              <w:t>Is the product the very same (identity and content) to another product already authorised under the regime of directive 98/8/EC (yes/no);</w:t>
            </w:r>
          </w:p>
          <w:p w:rsidR="00BA7C2C" w:rsidRPr="00A0425E" w:rsidRDefault="00BA7C2C" w:rsidP="00613EE2">
            <w:pPr>
              <w:rPr>
                <w:b/>
              </w:rPr>
            </w:pPr>
            <w:r w:rsidRPr="00A0425E">
              <w:rPr>
                <w:b/>
              </w:rPr>
              <w:lastRenderedPageBreak/>
              <w:t>If yes: authorisation/registration no. and product name:</w:t>
            </w:r>
          </w:p>
          <w:p w:rsidR="00BA7C2C" w:rsidRPr="00A0425E" w:rsidRDefault="00BA7C2C" w:rsidP="00613EE2">
            <w:pPr>
              <w:rPr>
                <w:b/>
              </w:rPr>
            </w:pPr>
            <w:r w:rsidRPr="00A0425E">
              <w:rPr>
                <w:b/>
              </w:rPr>
              <w:t>or</w:t>
            </w:r>
          </w:p>
          <w:p w:rsidR="00BA7C2C" w:rsidRPr="00A0425E" w:rsidRDefault="00BA7C2C" w:rsidP="00613EE2">
            <w:pPr>
              <w:rPr>
                <w:b/>
              </w:rPr>
            </w:pPr>
            <w:r w:rsidRPr="00A0425E">
              <w:rPr>
                <w:b/>
              </w:rPr>
              <w:t>Has the product the same identity and composition like the product evaluated in connection with the approval for listing of active substance(s) on to Annex I to directive 98/8/EC (yes/no):</w:t>
            </w:r>
          </w:p>
        </w:tc>
        <w:tc>
          <w:tcPr>
            <w:tcW w:w="4395" w:type="dxa"/>
          </w:tcPr>
          <w:p w:rsidR="00BA7C2C" w:rsidRPr="004B63E4" w:rsidRDefault="00BA7C2C" w:rsidP="00613EE2">
            <w:pPr>
              <w:rPr>
                <w:rFonts w:cs="Arial"/>
              </w:rPr>
            </w:pPr>
            <w:r w:rsidRPr="004B63E4">
              <w:rPr>
                <w:rFonts w:cs="Arial"/>
              </w:rPr>
              <w:lastRenderedPageBreak/>
              <w:t xml:space="preserve">No </w:t>
            </w:r>
          </w:p>
        </w:tc>
      </w:tr>
    </w:tbl>
    <w:p w:rsidR="00BA7C2C" w:rsidRPr="00A0425E" w:rsidRDefault="00BA7C2C" w:rsidP="00BA7C2C"/>
    <w:p w:rsidR="00BA7C2C" w:rsidRPr="00A0425E" w:rsidRDefault="00BA7C2C" w:rsidP="00BA7C2C">
      <w:pPr>
        <w:pStyle w:val="Kop3"/>
        <w:numPr>
          <w:ilvl w:val="2"/>
          <w:numId w:val="12"/>
        </w:numPr>
        <w:tabs>
          <w:tab w:val="left" w:pos="1304"/>
        </w:tabs>
        <w:spacing w:line="280" w:lineRule="atLeast"/>
        <w:jc w:val="left"/>
      </w:pPr>
      <w:bookmarkStart w:id="745" w:name="_Toc362858074"/>
      <w:r w:rsidRPr="00A0425E">
        <w:t>Information on the intended use(s)</w:t>
      </w:r>
      <w:bookmarkEnd w:id="745"/>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BA7C2C" w:rsidRPr="005E7543" w:rsidTr="00613EE2">
        <w:tc>
          <w:tcPr>
            <w:tcW w:w="4077" w:type="dxa"/>
          </w:tcPr>
          <w:p w:rsidR="00BA7C2C" w:rsidRPr="00A0425E" w:rsidRDefault="00BA7C2C" w:rsidP="00613EE2">
            <w:pPr>
              <w:rPr>
                <w:b/>
              </w:rPr>
            </w:pPr>
            <w:r w:rsidRPr="00A0425E">
              <w:rPr>
                <w:b/>
              </w:rPr>
              <w:t>Overall use pattern (manner and area of use):</w:t>
            </w:r>
          </w:p>
        </w:tc>
        <w:tc>
          <w:tcPr>
            <w:tcW w:w="4395" w:type="dxa"/>
          </w:tcPr>
          <w:p w:rsidR="00BA7C2C" w:rsidRPr="00507ADF" w:rsidRDefault="00BA7C2C" w:rsidP="00613EE2">
            <w:pPr>
              <w:pStyle w:val="Standard-italics"/>
              <w:spacing w:before="0" w:after="0"/>
              <w:rPr>
                <w:rFonts w:cs="Arial"/>
                <w:i w:val="0"/>
              </w:rPr>
            </w:pPr>
            <w:r w:rsidRPr="00507ADF">
              <w:rPr>
                <w:rFonts w:cs="Arial"/>
                <w:i w:val="0"/>
                <w:color w:val="000000"/>
              </w:rPr>
              <w:t xml:space="preserve">MAKI PAT’ is a red rodenticide </w:t>
            </w:r>
            <w:r w:rsidRPr="00507ADF">
              <w:rPr>
                <w:rFonts w:cs="Arial"/>
                <w:i w:val="0"/>
              </w:rPr>
              <w:t xml:space="preserve">paste bait used for the control of rats and mice </w:t>
            </w:r>
          </w:p>
          <w:p w:rsidR="00BA7C2C" w:rsidRPr="00507ADF" w:rsidRDefault="00BA7C2C" w:rsidP="00613EE2">
            <w:pPr>
              <w:pStyle w:val="Standard-italics"/>
              <w:spacing w:before="0" w:after="0"/>
              <w:rPr>
                <w:rFonts w:cs="Arial"/>
                <w:i w:val="0"/>
              </w:rPr>
            </w:pPr>
            <w:r w:rsidRPr="00507ADF">
              <w:rPr>
                <w:rFonts w:cs="Arial"/>
                <w:i w:val="0"/>
              </w:rPr>
              <w:t>- in and around buildings (professional and non-professional use)</w:t>
            </w:r>
          </w:p>
          <w:p w:rsidR="00BA7C2C" w:rsidRPr="00507ADF" w:rsidRDefault="00BA7C2C" w:rsidP="00613EE2">
            <w:pPr>
              <w:spacing w:line="240" w:lineRule="auto"/>
              <w:rPr>
                <w:rFonts w:cs="Arial"/>
              </w:rPr>
            </w:pPr>
            <w:r w:rsidRPr="00507ADF">
              <w:rPr>
                <w:rFonts w:cs="Arial"/>
              </w:rPr>
              <w:t>- in open areas and waste dumps (professional use only).</w:t>
            </w:r>
          </w:p>
          <w:p w:rsidR="00BA7C2C" w:rsidRPr="00507ADF" w:rsidRDefault="00BA7C2C" w:rsidP="00613EE2">
            <w:pPr>
              <w:spacing w:line="240" w:lineRule="auto"/>
              <w:rPr>
                <w:rFonts w:cs="Arial"/>
              </w:rPr>
            </w:pPr>
          </w:p>
          <w:p w:rsidR="00BA7C2C" w:rsidRPr="00507ADF" w:rsidRDefault="00BA7C2C" w:rsidP="00613EE2">
            <w:pPr>
              <w:spacing w:line="240" w:lineRule="auto"/>
              <w:rPr>
                <w:rFonts w:cs="Arial"/>
              </w:rPr>
            </w:pPr>
            <w:r w:rsidRPr="00507ADF">
              <w:rPr>
                <w:rFonts w:cs="Arial"/>
              </w:rPr>
              <w:t>The paste is contained in a sachet which is not opened by the operator.</w:t>
            </w:r>
          </w:p>
          <w:p w:rsidR="00BA7C2C" w:rsidRPr="00507ADF" w:rsidRDefault="00BA7C2C" w:rsidP="00613EE2">
            <w:pPr>
              <w:spacing w:line="240" w:lineRule="auto"/>
              <w:rPr>
                <w:rFonts w:cs="Arial"/>
              </w:rPr>
            </w:pPr>
          </w:p>
          <w:p w:rsidR="00BA7C2C" w:rsidRPr="00A0425E" w:rsidRDefault="00BA7C2C" w:rsidP="00613EE2">
            <w:pPr>
              <w:spacing w:line="240" w:lineRule="auto"/>
            </w:pPr>
            <w:r w:rsidRPr="00507ADF">
              <w:rPr>
                <w:rFonts w:cs="Arial"/>
              </w:rPr>
              <w:t>Details of use are shown in Table 2.5.3.1</w:t>
            </w:r>
          </w:p>
        </w:tc>
      </w:tr>
      <w:tr w:rsidR="00BA7C2C" w:rsidRPr="00A0425E" w:rsidTr="00613EE2">
        <w:tc>
          <w:tcPr>
            <w:tcW w:w="4077" w:type="dxa"/>
          </w:tcPr>
          <w:p w:rsidR="00BA7C2C" w:rsidRPr="00A0425E" w:rsidRDefault="00BA7C2C" w:rsidP="00613EE2">
            <w:pPr>
              <w:rPr>
                <w:b/>
              </w:rPr>
            </w:pPr>
            <w:r w:rsidRPr="00A0425E">
              <w:rPr>
                <w:b/>
              </w:rPr>
              <w:t>Target organisms:</w:t>
            </w:r>
          </w:p>
        </w:tc>
        <w:tc>
          <w:tcPr>
            <w:tcW w:w="4395" w:type="dxa"/>
          </w:tcPr>
          <w:p w:rsidR="00BA7C2C" w:rsidRPr="00507ADF" w:rsidRDefault="00BA7C2C" w:rsidP="00613EE2">
            <w:r w:rsidRPr="00507ADF">
              <w:rPr>
                <w:rFonts w:cs="Arial"/>
                <w:i/>
                <w:iCs/>
                <w:color w:val="000000"/>
              </w:rPr>
              <w:t xml:space="preserve">Rattus norvegicus </w:t>
            </w:r>
            <w:r w:rsidRPr="00507ADF">
              <w:rPr>
                <w:rFonts w:cs="Arial"/>
                <w:color w:val="000000"/>
              </w:rPr>
              <w:t xml:space="preserve">(Norway rat, Brown rat) </w:t>
            </w:r>
            <w:r w:rsidRPr="00507ADF">
              <w:rPr>
                <w:rFonts w:cs="Arial"/>
                <w:color w:val="000000"/>
              </w:rPr>
              <w:br/>
            </w:r>
            <w:r w:rsidRPr="00507ADF">
              <w:rPr>
                <w:rFonts w:cs="Arial"/>
                <w:i/>
                <w:iCs/>
                <w:color w:val="000000"/>
              </w:rPr>
              <w:t xml:space="preserve">Rattus rattus </w:t>
            </w:r>
            <w:r w:rsidRPr="00507ADF">
              <w:rPr>
                <w:rFonts w:cs="Arial"/>
                <w:color w:val="000000"/>
              </w:rPr>
              <w:t xml:space="preserve">(Black rat) </w:t>
            </w:r>
            <w:r w:rsidRPr="00507ADF">
              <w:rPr>
                <w:rFonts w:cs="Arial"/>
                <w:color w:val="000000"/>
              </w:rPr>
              <w:br/>
            </w:r>
            <w:r w:rsidRPr="00507ADF">
              <w:rPr>
                <w:rFonts w:cs="Arial"/>
                <w:i/>
                <w:iCs/>
                <w:color w:val="000000"/>
              </w:rPr>
              <w:t xml:space="preserve">Mus musculus </w:t>
            </w:r>
            <w:r w:rsidRPr="00507ADF">
              <w:rPr>
                <w:rFonts w:cs="Arial"/>
                <w:color w:val="000000"/>
              </w:rPr>
              <w:t>(House mouse)</w:t>
            </w:r>
          </w:p>
        </w:tc>
      </w:tr>
      <w:tr w:rsidR="00BA7C2C" w:rsidRPr="00A0425E" w:rsidTr="00613EE2">
        <w:tc>
          <w:tcPr>
            <w:tcW w:w="4077" w:type="dxa"/>
          </w:tcPr>
          <w:p w:rsidR="00BA7C2C" w:rsidRPr="00A0425E" w:rsidRDefault="00BA7C2C" w:rsidP="00613EE2">
            <w:pPr>
              <w:rPr>
                <w:b/>
              </w:rPr>
            </w:pPr>
            <w:r w:rsidRPr="00A0425E">
              <w:rPr>
                <w:b/>
              </w:rPr>
              <w:t>Category of users:</w:t>
            </w:r>
          </w:p>
        </w:tc>
        <w:tc>
          <w:tcPr>
            <w:tcW w:w="4395" w:type="dxa"/>
          </w:tcPr>
          <w:p w:rsidR="00BA7C2C" w:rsidRPr="00507ADF" w:rsidRDefault="00BA7C2C" w:rsidP="00613EE2">
            <w:r w:rsidRPr="00507ADF">
              <w:rPr>
                <w:rFonts w:cs="Arial"/>
              </w:rPr>
              <w:t>Professional and non-professional</w:t>
            </w:r>
          </w:p>
        </w:tc>
      </w:tr>
      <w:tr w:rsidR="00BA7C2C" w:rsidRPr="005E7543" w:rsidTr="00613EE2">
        <w:tc>
          <w:tcPr>
            <w:tcW w:w="4077" w:type="dxa"/>
          </w:tcPr>
          <w:p w:rsidR="00BA7C2C" w:rsidRPr="00A0425E" w:rsidRDefault="00BA7C2C" w:rsidP="00613EE2">
            <w:pPr>
              <w:rPr>
                <w:b/>
              </w:rPr>
            </w:pPr>
            <w:r w:rsidRPr="00A0425E">
              <w:rPr>
                <w:b/>
              </w:rPr>
              <w:t>Directions for use including minimum and maximum application rates, application rates per time unit (e.g. number of treatments per day), typical size of application area:</w:t>
            </w:r>
          </w:p>
        </w:tc>
        <w:tc>
          <w:tcPr>
            <w:tcW w:w="4395" w:type="dxa"/>
          </w:tcPr>
          <w:p w:rsidR="00BA7C2C" w:rsidRPr="00507ADF" w:rsidRDefault="00BA7C2C" w:rsidP="00613EE2">
            <w:pPr>
              <w:rPr>
                <w:rFonts w:cs="Arial"/>
                <w:lang w:eastAsia="nl-NL"/>
              </w:rPr>
            </w:pPr>
            <w:r w:rsidRPr="00507ADF">
              <w:rPr>
                <w:rFonts w:cs="Arial"/>
                <w:lang w:eastAsia="nl-NL"/>
              </w:rPr>
              <w:t xml:space="preserve">Rats: </w:t>
            </w:r>
            <w:r w:rsidRPr="00507ADF">
              <w:rPr>
                <w:rFonts w:cs="Arial"/>
                <w:b/>
                <w:lang w:eastAsia="nl-NL"/>
              </w:rPr>
              <w:t>up to 200 g</w:t>
            </w:r>
            <w:r w:rsidRPr="00507ADF">
              <w:rPr>
                <w:rFonts w:cs="Arial"/>
                <w:b/>
                <w:vertAlign w:val="superscript"/>
                <w:lang w:eastAsia="nl-NL"/>
              </w:rPr>
              <w:t>1</w:t>
            </w:r>
            <w:r w:rsidRPr="00507ADF">
              <w:rPr>
                <w:rFonts w:cs="Arial"/>
                <w:lang w:eastAsia="nl-NL"/>
              </w:rPr>
              <w:t xml:space="preserve"> bait per bait station. Bait points placed at </w:t>
            </w:r>
            <w:r w:rsidRPr="00507ADF">
              <w:rPr>
                <w:rFonts w:cs="Arial"/>
                <w:b/>
                <w:lang w:eastAsia="nl-NL"/>
              </w:rPr>
              <w:t xml:space="preserve">4 to </w:t>
            </w:r>
            <w:smartTag w:uri="urn:schemas-microsoft-com:office:smarttags" w:element="metricconverter">
              <w:smartTagPr>
                <w:attr w:name="ProductID" w:val="10 meter"/>
              </w:smartTagPr>
              <w:r w:rsidRPr="00507ADF">
                <w:rPr>
                  <w:rFonts w:cs="Arial"/>
                  <w:b/>
                  <w:lang w:eastAsia="nl-NL"/>
                </w:rPr>
                <w:t>10</w:t>
              </w:r>
              <w:r w:rsidRPr="00507ADF">
                <w:rPr>
                  <w:rFonts w:cs="Arial"/>
                  <w:lang w:eastAsia="nl-NL"/>
                </w:rPr>
                <w:t xml:space="preserve"> meter</w:t>
              </w:r>
            </w:smartTag>
            <w:r w:rsidRPr="00507ADF">
              <w:rPr>
                <w:rFonts w:cs="Arial"/>
                <w:lang w:eastAsia="nl-NL"/>
              </w:rPr>
              <w:t xml:space="preserve"> distance of each other.</w:t>
            </w:r>
          </w:p>
          <w:p w:rsidR="00BA7C2C" w:rsidRPr="00507ADF" w:rsidRDefault="00BA7C2C" w:rsidP="00613EE2">
            <w:pPr>
              <w:rPr>
                <w:rFonts w:cs="Arial"/>
                <w:lang w:eastAsia="nl-NL"/>
              </w:rPr>
            </w:pPr>
          </w:p>
          <w:p w:rsidR="00BA7C2C" w:rsidRPr="00A0425E" w:rsidRDefault="00BA7C2C" w:rsidP="00613EE2">
            <w:r w:rsidRPr="00507ADF">
              <w:rPr>
                <w:rFonts w:cs="Arial"/>
                <w:lang w:eastAsia="nl-NL"/>
              </w:rPr>
              <w:t xml:space="preserve">Mice: </w:t>
            </w:r>
            <w:r w:rsidRPr="00507ADF">
              <w:rPr>
                <w:rFonts w:cs="Arial"/>
                <w:b/>
                <w:lang w:eastAsia="nl-NL"/>
              </w:rPr>
              <w:t>up to 50 g</w:t>
            </w:r>
            <w:r w:rsidRPr="00507ADF">
              <w:rPr>
                <w:rFonts w:cs="Arial"/>
                <w:b/>
                <w:vertAlign w:val="superscript"/>
                <w:lang w:eastAsia="nl-NL"/>
              </w:rPr>
              <w:t>1</w:t>
            </w:r>
            <w:r w:rsidRPr="00507ADF">
              <w:rPr>
                <w:rFonts w:cs="Arial"/>
                <w:lang w:eastAsia="nl-NL"/>
              </w:rPr>
              <w:t xml:space="preserve"> bait per bait station. Bait points placed at </w:t>
            </w:r>
            <w:r w:rsidRPr="00507ADF">
              <w:rPr>
                <w:rFonts w:cs="Arial"/>
                <w:b/>
                <w:lang w:eastAsia="nl-NL"/>
              </w:rPr>
              <w:t xml:space="preserve">1 to </w:t>
            </w:r>
            <w:smartTag w:uri="urn:schemas-microsoft-com:office:smarttags" w:element="metricconverter">
              <w:smartTagPr>
                <w:attr w:name="ProductID" w:val="3 meter"/>
              </w:smartTagPr>
              <w:r w:rsidRPr="00507ADF">
                <w:rPr>
                  <w:rFonts w:cs="Arial"/>
                  <w:b/>
                  <w:lang w:eastAsia="nl-NL"/>
                </w:rPr>
                <w:t>3</w:t>
              </w:r>
              <w:r w:rsidRPr="00507ADF">
                <w:rPr>
                  <w:rFonts w:cs="Arial"/>
                  <w:lang w:eastAsia="nl-NL"/>
                </w:rPr>
                <w:t xml:space="preserve"> meter</w:t>
              </w:r>
            </w:smartTag>
            <w:r w:rsidRPr="00507ADF">
              <w:rPr>
                <w:rFonts w:cs="Arial"/>
                <w:lang w:eastAsia="nl-NL"/>
              </w:rPr>
              <w:t xml:space="preserve"> distance of each other.</w:t>
            </w:r>
          </w:p>
        </w:tc>
      </w:tr>
      <w:tr w:rsidR="00BA7C2C" w:rsidRPr="005E7543" w:rsidTr="00613EE2">
        <w:tc>
          <w:tcPr>
            <w:tcW w:w="4077" w:type="dxa"/>
          </w:tcPr>
          <w:p w:rsidR="00BA7C2C" w:rsidRPr="00A0425E" w:rsidRDefault="00BA7C2C" w:rsidP="00613EE2">
            <w:pPr>
              <w:rPr>
                <w:b/>
              </w:rPr>
            </w:pPr>
            <w:r w:rsidRPr="00A0425E">
              <w:rPr>
                <w:b/>
              </w:rPr>
              <w:t>Potential for release into the environment (yes/no):</w:t>
            </w:r>
          </w:p>
        </w:tc>
        <w:tc>
          <w:tcPr>
            <w:tcW w:w="4395" w:type="dxa"/>
          </w:tcPr>
          <w:p w:rsidR="00BA7C2C" w:rsidRPr="00507ADF" w:rsidRDefault="00BA7C2C" w:rsidP="00613EE2">
            <w:pPr>
              <w:rPr>
                <w:rFonts w:cs="Arial"/>
              </w:rPr>
            </w:pPr>
            <w:r w:rsidRPr="00507ADF">
              <w:rPr>
                <w:rFonts w:cs="Arial"/>
              </w:rPr>
              <w:t>Yes</w:t>
            </w:r>
          </w:p>
        </w:tc>
      </w:tr>
      <w:tr w:rsidR="00BA7C2C" w:rsidRPr="005E7543" w:rsidTr="00613EE2">
        <w:tc>
          <w:tcPr>
            <w:tcW w:w="4077" w:type="dxa"/>
          </w:tcPr>
          <w:p w:rsidR="00BA7C2C" w:rsidRPr="00A0425E" w:rsidRDefault="00BA7C2C" w:rsidP="00613EE2">
            <w:pPr>
              <w:rPr>
                <w:b/>
              </w:rPr>
            </w:pPr>
            <w:r w:rsidRPr="00A0425E">
              <w:rPr>
                <w:b/>
              </w:rPr>
              <w:t>Potential for contamination of food/feedingstuff (yes/no)</w:t>
            </w:r>
          </w:p>
        </w:tc>
        <w:tc>
          <w:tcPr>
            <w:tcW w:w="4395" w:type="dxa"/>
          </w:tcPr>
          <w:p w:rsidR="00BA7C2C" w:rsidRPr="00A0425E" w:rsidRDefault="00BA7C2C" w:rsidP="00613EE2">
            <w:r>
              <w:t>No</w:t>
            </w:r>
          </w:p>
        </w:tc>
      </w:tr>
      <w:tr w:rsidR="00BA7C2C" w:rsidRPr="00A0425E" w:rsidTr="00613EE2">
        <w:tc>
          <w:tcPr>
            <w:tcW w:w="4077" w:type="dxa"/>
          </w:tcPr>
          <w:p w:rsidR="00BA7C2C" w:rsidRPr="00A0425E" w:rsidRDefault="00BA7C2C" w:rsidP="00613EE2">
            <w:pPr>
              <w:rPr>
                <w:b/>
              </w:rPr>
            </w:pPr>
            <w:r w:rsidRPr="00A0425E">
              <w:rPr>
                <w:b/>
              </w:rPr>
              <w:t>Proposed Label:</w:t>
            </w:r>
          </w:p>
        </w:tc>
        <w:tc>
          <w:tcPr>
            <w:tcW w:w="4395" w:type="dxa"/>
          </w:tcPr>
          <w:p w:rsidR="00BA7C2C" w:rsidRPr="00507ADF" w:rsidRDefault="00BA7C2C" w:rsidP="00613EE2">
            <w:r w:rsidRPr="00507ADF">
              <w:rPr>
                <w:rFonts w:cs="Arial"/>
              </w:rPr>
              <w:t xml:space="preserve">Translation of the Dutch labels, see below </w:t>
            </w:r>
            <w:r>
              <w:rPr>
                <w:rFonts w:cs="Arial"/>
              </w:rPr>
              <w:t xml:space="preserve">this </w:t>
            </w:r>
            <w:r w:rsidRPr="00507ADF">
              <w:rPr>
                <w:rFonts w:cs="Arial"/>
              </w:rPr>
              <w:t>table</w:t>
            </w:r>
            <w:r w:rsidRPr="00507ADF">
              <w:rPr>
                <w:szCs w:val="22"/>
                <w:vertAlign w:val="superscript"/>
              </w:rPr>
              <w:t>2</w:t>
            </w:r>
            <w:r w:rsidRPr="00507ADF">
              <w:rPr>
                <w:rFonts w:cs="Arial"/>
              </w:rPr>
              <w:t>.</w:t>
            </w:r>
          </w:p>
        </w:tc>
      </w:tr>
      <w:tr w:rsidR="00BA7C2C" w:rsidRPr="00A0425E" w:rsidTr="00613EE2">
        <w:tc>
          <w:tcPr>
            <w:tcW w:w="4077" w:type="dxa"/>
          </w:tcPr>
          <w:p w:rsidR="00BA7C2C" w:rsidRPr="00A0425E" w:rsidRDefault="00BA7C2C" w:rsidP="00613EE2">
            <w:pPr>
              <w:rPr>
                <w:b/>
              </w:rPr>
            </w:pPr>
            <w:r w:rsidRPr="00A0425E">
              <w:rPr>
                <w:b/>
              </w:rPr>
              <w:t>Use Restrictions:</w:t>
            </w:r>
          </w:p>
        </w:tc>
        <w:tc>
          <w:tcPr>
            <w:tcW w:w="4395" w:type="dxa"/>
          </w:tcPr>
          <w:p w:rsidR="00BA7C2C" w:rsidRPr="00507ADF" w:rsidRDefault="00BA7C2C" w:rsidP="00613EE2">
            <w:r w:rsidRPr="00507ADF">
              <w:rPr>
                <w:rFonts w:cs="Arial"/>
              </w:rPr>
              <w:t xml:space="preserve">Not for use in sewers. </w:t>
            </w:r>
          </w:p>
        </w:tc>
      </w:tr>
    </w:tbl>
    <w:p w:rsidR="00BA7C2C" w:rsidRDefault="00BA7C2C" w:rsidP="00BA7C2C">
      <w:pPr>
        <w:rPr>
          <w:szCs w:val="22"/>
        </w:rPr>
      </w:pPr>
      <w:r w:rsidRPr="00507ADF">
        <w:rPr>
          <w:szCs w:val="22"/>
          <w:vertAlign w:val="superscript"/>
        </w:rPr>
        <w:t>1</w:t>
      </w:r>
      <w:r>
        <w:rPr>
          <w:szCs w:val="22"/>
        </w:rPr>
        <w:t>F</w:t>
      </w:r>
      <w:r w:rsidRPr="00507ADF">
        <w:rPr>
          <w:szCs w:val="22"/>
        </w:rPr>
        <w:t>or rodenticides a minimum application rate should be stated</w:t>
      </w:r>
      <w:r>
        <w:rPr>
          <w:szCs w:val="22"/>
        </w:rPr>
        <w:t xml:space="preserve"> in The Netherlands. B</w:t>
      </w:r>
      <w:r w:rsidRPr="00507ADF">
        <w:rPr>
          <w:szCs w:val="22"/>
        </w:rPr>
        <w:t xml:space="preserve">ased on expert opinion these have been determined at 100g for rats and </w:t>
      </w:r>
      <w:smartTag w:uri="urn:schemas-microsoft-com:office:smarttags" w:element="metricconverter">
        <w:smartTagPr>
          <w:attr w:name="ProductID" w:val="30 g"/>
        </w:smartTagPr>
        <w:r w:rsidRPr="00507ADF">
          <w:rPr>
            <w:szCs w:val="22"/>
          </w:rPr>
          <w:t>30 g</w:t>
        </w:r>
      </w:smartTag>
      <w:r w:rsidRPr="00507ADF">
        <w:rPr>
          <w:szCs w:val="22"/>
        </w:rPr>
        <w:t xml:space="preserve"> for mice.</w:t>
      </w:r>
    </w:p>
    <w:p w:rsidR="00BA7C2C" w:rsidRDefault="00BA7C2C" w:rsidP="00BA7C2C">
      <w:pPr>
        <w:rPr>
          <w:szCs w:val="22"/>
          <w:vertAlign w:val="superscript"/>
        </w:rPr>
      </w:pPr>
    </w:p>
    <w:p w:rsidR="00BA7C2C" w:rsidRDefault="00BA7C2C" w:rsidP="00BA7C2C">
      <w:pPr>
        <w:rPr>
          <w:rFonts w:cs="Arial"/>
        </w:rPr>
      </w:pPr>
      <w:r w:rsidRPr="00507ADF">
        <w:rPr>
          <w:rFonts w:cs="Arial"/>
        </w:rPr>
        <w:lastRenderedPageBreak/>
        <w:t>Translation of the Dutch labels:</w:t>
      </w:r>
    </w:p>
    <w:p w:rsidR="00BA7C2C" w:rsidRDefault="00BA7C2C" w:rsidP="00BA7C2C">
      <w:pPr>
        <w:rPr>
          <w:rFonts w:cs="Arial"/>
        </w:rPr>
      </w:pPr>
    </w:p>
    <w:p w:rsidR="00BA7C2C" w:rsidRPr="00507ADF" w:rsidRDefault="00BA7C2C" w:rsidP="00BA7C2C">
      <w:pPr>
        <w:rPr>
          <w:rFonts w:cs="Arial"/>
          <w:u w:val="single"/>
        </w:rPr>
      </w:pPr>
      <w:r w:rsidRPr="00507ADF">
        <w:rPr>
          <w:rFonts w:cs="Arial"/>
          <w:u w:val="single"/>
        </w:rPr>
        <w:t>Professional use</w:t>
      </w:r>
    </w:p>
    <w:p w:rsidR="00BA7C2C" w:rsidRPr="00507ADF" w:rsidRDefault="00BA7C2C" w:rsidP="00BA7C2C">
      <w:pPr>
        <w:pStyle w:val="AnderhalveWitRegelVoor"/>
        <w:jc w:val="center"/>
        <w:rPr>
          <w:rFonts w:cs="Arial"/>
          <w:sz w:val="20"/>
          <w:lang w:val="en-US"/>
        </w:rPr>
      </w:pPr>
      <w:r w:rsidRPr="00507ADF">
        <w:rPr>
          <w:rFonts w:cs="Arial"/>
          <w:sz w:val="20"/>
          <w:lang w:val="en-US"/>
        </w:rPr>
        <w:t xml:space="preserve">A. </w:t>
      </w:r>
      <w:r w:rsidRPr="00507ADF">
        <w:rPr>
          <w:rFonts w:cs="Arial"/>
          <w:sz w:val="20"/>
          <w:lang w:val="en-US"/>
        </w:rPr>
        <w:br/>
      </w:r>
      <w:r w:rsidRPr="00507ADF">
        <w:rPr>
          <w:rFonts w:cs="Arial"/>
          <w:sz w:val="20"/>
          <w:u w:val="single"/>
          <w:lang w:val="en-US"/>
        </w:rPr>
        <w:t>LEGAL INSTRUCTIONS FOR USE</w:t>
      </w:r>
    </w:p>
    <w:p w:rsidR="00BA7C2C" w:rsidRPr="00507ADF" w:rsidRDefault="00BA7C2C" w:rsidP="00BA7C2C">
      <w:pPr>
        <w:pStyle w:val="AnderhalveWitRegelVoor"/>
        <w:rPr>
          <w:rFonts w:cs="Arial"/>
          <w:sz w:val="20"/>
          <w:lang w:val="en-GB"/>
        </w:rPr>
      </w:pPr>
      <w:r w:rsidRPr="00507ADF">
        <w:rPr>
          <w:rFonts w:cs="Arial"/>
          <w:sz w:val="20"/>
          <w:lang w:val="en-US"/>
        </w:rPr>
        <w:t>This product can only be used for the control of black and brown rats and house mice in buildings</w:t>
      </w:r>
      <w:r w:rsidRPr="00507ADF">
        <w:rPr>
          <w:rFonts w:cs="Arial"/>
          <w:sz w:val="20"/>
          <w:lang w:val="en-GB"/>
        </w:rPr>
        <w:t>, provided that the bait should be placed inside bait stations specifically designed for this purpose. Place the bait out of reach of children, birds, pets and other non-target animals. Keep away from food, drink and animal feeding stuffs.</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The dose and control frequency as stated in the directions for use (B) should be sustained. </w:t>
      </w:r>
    </w:p>
    <w:p w:rsidR="00BA7C2C" w:rsidRPr="00507ADF" w:rsidRDefault="00BA7C2C" w:rsidP="00BA7C2C">
      <w:pPr>
        <w:pStyle w:val="AnderhalveWitRegelVoor"/>
        <w:rPr>
          <w:rFonts w:cs="Arial"/>
          <w:sz w:val="20"/>
          <w:lang w:val="en-GB"/>
        </w:rPr>
      </w:pPr>
      <w:r w:rsidRPr="00507ADF">
        <w:rPr>
          <w:rFonts w:cs="Arial"/>
          <w:sz w:val="20"/>
          <w:lang w:val="en-US"/>
        </w:rPr>
        <w:t>This product is intended for professional use only.</w:t>
      </w:r>
    </w:p>
    <w:p w:rsidR="00BA7C2C" w:rsidRPr="00507ADF" w:rsidRDefault="00BA7C2C" w:rsidP="00BA7C2C">
      <w:pPr>
        <w:pStyle w:val="CentrerenEnOnderstreep"/>
        <w:rPr>
          <w:rFonts w:cs="Arial"/>
          <w:sz w:val="20"/>
          <w:lang w:val="en-GB"/>
        </w:rPr>
      </w:pPr>
    </w:p>
    <w:p w:rsidR="00BA7C2C" w:rsidRPr="00507ADF" w:rsidRDefault="00BA7C2C" w:rsidP="00BA7C2C">
      <w:pPr>
        <w:pStyle w:val="CentrerenEnOnderstreep"/>
        <w:rPr>
          <w:rFonts w:cs="Arial"/>
          <w:sz w:val="20"/>
          <w:lang w:val="en-GB"/>
        </w:rPr>
      </w:pPr>
      <w:r w:rsidRPr="00507ADF">
        <w:rPr>
          <w:rFonts w:cs="Arial"/>
          <w:sz w:val="20"/>
          <w:u w:val="none"/>
          <w:lang w:val="en-GB"/>
        </w:rPr>
        <w:t xml:space="preserve">B. </w:t>
      </w:r>
      <w:r w:rsidRPr="00507ADF">
        <w:rPr>
          <w:rFonts w:cs="Arial"/>
          <w:sz w:val="20"/>
          <w:u w:val="none"/>
          <w:lang w:val="en-GB"/>
        </w:rPr>
        <w:br/>
      </w:r>
      <w:r w:rsidRPr="00507ADF">
        <w:rPr>
          <w:rFonts w:cs="Arial"/>
          <w:sz w:val="20"/>
          <w:lang w:val="en-GB"/>
        </w:rPr>
        <w:t>DIRECTIONS FOR USE</w:t>
      </w:r>
    </w:p>
    <w:p w:rsidR="00BA7C2C" w:rsidRPr="00507ADF" w:rsidRDefault="00BA7C2C" w:rsidP="00BA7C2C">
      <w:pPr>
        <w:pStyle w:val="CentrerenEnOnderstreep"/>
        <w:rPr>
          <w:rFonts w:cs="Arial"/>
          <w:sz w:val="20"/>
          <w:u w:val="none"/>
          <w:lang w:val="en-GB"/>
        </w:rPr>
      </w:pPr>
    </w:p>
    <w:p w:rsidR="00BA7C2C" w:rsidRPr="00507ADF" w:rsidRDefault="00BA7C2C" w:rsidP="00BA7C2C">
      <w:pPr>
        <w:pStyle w:val="AnderhalveWitRegelVoor"/>
        <w:spacing w:before="0"/>
        <w:rPr>
          <w:rFonts w:cs="Arial"/>
          <w:sz w:val="20"/>
          <w:u w:val="single"/>
          <w:lang w:val="en-GB"/>
        </w:rPr>
      </w:pPr>
    </w:p>
    <w:p w:rsidR="00BA7C2C" w:rsidRPr="00507ADF" w:rsidRDefault="00BA7C2C" w:rsidP="00BA7C2C">
      <w:pPr>
        <w:pStyle w:val="AnderhalveWitRegelVoor"/>
        <w:spacing w:before="0"/>
        <w:rPr>
          <w:rFonts w:cs="Arial"/>
          <w:b/>
          <w:sz w:val="20"/>
          <w:lang w:val="en-GB"/>
        </w:rPr>
      </w:pPr>
      <w:r w:rsidRPr="00507ADF">
        <w:rPr>
          <w:rFonts w:cs="Arial"/>
          <w:b/>
          <w:sz w:val="20"/>
          <w:u w:val="single"/>
          <w:lang w:val="en-GB"/>
        </w:rPr>
        <w:t>Uses:</w:t>
      </w:r>
      <w:r w:rsidRPr="00507ADF">
        <w:rPr>
          <w:rFonts w:cs="Arial"/>
          <w:b/>
          <w:sz w:val="20"/>
          <w:lang w:val="en-GB"/>
        </w:rPr>
        <w:t xml:space="preserve"> </w:t>
      </w: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MAKI PAT’ is a ready-to-use paste bait for use against black and brown rats and house mice. The sachets in which the paste is offered should not be opened, the rodents will eat through it. </w:t>
      </w: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The bait should be placed inside bait stations out of reach of other animals (e.g. birds, mammals, pets or farm animals) and children. The bait should be secured to prevent carry of by the rodents. The bait stations should be marked to make clear that they contain rodenticide. </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Place the bait stations in places where rats and mice often dwell: close to holes, on tracks, in concealed spaces such as dropped ceilings, and in places were the rodents find food or gnaw. </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As stated in the legal instructions for use, this product should not be used outside.</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Do not place the bait stations near water drainage systems where it can come into contact with water. Wash hands after use.</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The product should be eaten in sufficient amount by the rats and mice during several days.</w:t>
      </w:r>
    </w:p>
    <w:p w:rsidR="00BA7C2C" w:rsidRPr="00507ADF" w:rsidRDefault="00BA7C2C" w:rsidP="00BA7C2C">
      <w:pPr>
        <w:pStyle w:val="AnderhalveWitRegelVoor"/>
        <w:spacing w:before="0"/>
        <w:rPr>
          <w:rFonts w:cs="Arial"/>
          <w:sz w:val="20"/>
          <w:lang w:val="en-GB"/>
        </w:rPr>
      </w:pPr>
    </w:p>
    <w:p w:rsidR="00BA7C2C" w:rsidRPr="00507ADF" w:rsidRDefault="00BA7C2C" w:rsidP="00BA7C2C">
      <w:pPr>
        <w:rPr>
          <w:rFonts w:cs="Arial"/>
          <w:b/>
        </w:rPr>
      </w:pPr>
      <w:r w:rsidRPr="00507ADF">
        <w:rPr>
          <w:rFonts w:cs="Arial"/>
          <w:b/>
        </w:rPr>
        <w:t>Dosing:</w:t>
      </w:r>
    </w:p>
    <w:p w:rsidR="00BA7C2C" w:rsidRPr="00507ADF" w:rsidRDefault="00BA7C2C" w:rsidP="00BA7C2C">
      <w:pPr>
        <w:rPr>
          <w:rFonts w:cs="Arial"/>
          <w:b/>
          <w:lang w:eastAsia="nl-NL"/>
        </w:rPr>
      </w:pPr>
    </w:p>
    <w:p w:rsidR="00BA7C2C" w:rsidRPr="00507ADF" w:rsidRDefault="00BA7C2C" w:rsidP="00BA7C2C">
      <w:pPr>
        <w:rPr>
          <w:rFonts w:cs="Arial"/>
          <w:b/>
          <w:lang w:eastAsia="nl-NL"/>
        </w:rPr>
      </w:pPr>
      <w:r w:rsidRPr="00507ADF">
        <w:rPr>
          <w:rFonts w:cs="Arial"/>
          <w:b/>
          <w:lang w:eastAsia="nl-NL"/>
        </w:rPr>
        <w:t>Control of rats:</w:t>
      </w:r>
    </w:p>
    <w:p w:rsidR="00BA7C2C" w:rsidRPr="00507ADF" w:rsidRDefault="00BA7C2C" w:rsidP="00BA7C2C">
      <w:pPr>
        <w:rPr>
          <w:rFonts w:cs="Arial"/>
          <w:lang w:eastAsia="nl-NL"/>
        </w:rPr>
      </w:pPr>
      <w:r w:rsidRPr="00507ADF">
        <w:rPr>
          <w:rFonts w:cs="Arial"/>
          <w:lang w:eastAsia="nl-NL"/>
        </w:rPr>
        <w:t xml:space="preserve">Place the bait stations at 4 to </w:t>
      </w:r>
      <w:smartTag w:uri="urn:schemas-microsoft-com:office:smarttags" w:element="metricconverter">
        <w:smartTagPr>
          <w:attr w:name="ProductID" w:val="10 meter"/>
        </w:smartTagPr>
        <w:r w:rsidRPr="00507ADF">
          <w:rPr>
            <w:rFonts w:cs="Arial"/>
            <w:lang w:eastAsia="nl-NL"/>
          </w:rPr>
          <w:t>10 meter</w:t>
        </w:r>
      </w:smartTag>
      <w:r w:rsidRPr="00507ADF">
        <w:rPr>
          <w:rFonts w:cs="Arial"/>
          <w:lang w:eastAsia="nl-NL"/>
        </w:rPr>
        <w:t xml:space="preserve"> distance of each other, depending on the size of the  infestation. Use 100 - </w:t>
      </w:r>
      <w:smartTag w:uri="urn:schemas-microsoft-com:office:smarttags" w:element="metricconverter">
        <w:smartTagPr>
          <w:attr w:name="ProductID" w:val="200 g"/>
        </w:smartTagPr>
        <w:r w:rsidRPr="00507ADF">
          <w:rPr>
            <w:rFonts w:cs="Arial"/>
            <w:lang w:eastAsia="nl-NL"/>
          </w:rPr>
          <w:t>200 g</w:t>
        </w:r>
      </w:smartTag>
      <w:r w:rsidRPr="00507ADF">
        <w:rPr>
          <w:rFonts w:cs="Arial"/>
          <w:lang w:eastAsia="nl-NL"/>
        </w:rPr>
        <w:t xml:space="preserve"> bait per station.</w:t>
      </w:r>
    </w:p>
    <w:p w:rsidR="00BA7C2C" w:rsidRPr="00507ADF" w:rsidRDefault="00BA7C2C" w:rsidP="00BA7C2C">
      <w:pPr>
        <w:rPr>
          <w:rFonts w:cs="Arial"/>
          <w:lang w:eastAsia="nl-NL"/>
        </w:rPr>
      </w:pPr>
      <w:r w:rsidRPr="00507ADF">
        <w:rPr>
          <w:rFonts w:cs="Arial"/>
          <w:lang w:eastAsia="nl-NL"/>
        </w:rPr>
        <w:t>In case of a black rat infestation, preferably higher bait points should be chosen.</w:t>
      </w:r>
    </w:p>
    <w:p w:rsidR="00BA7C2C" w:rsidRPr="00507ADF" w:rsidRDefault="00BA7C2C" w:rsidP="00BA7C2C">
      <w:pPr>
        <w:rPr>
          <w:rFonts w:cs="Arial"/>
          <w:b/>
          <w:lang w:eastAsia="nl-NL"/>
        </w:rPr>
      </w:pPr>
    </w:p>
    <w:p w:rsidR="00BA7C2C" w:rsidRPr="00507ADF" w:rsidRDefault="00BA7C2C" w:rsidP="00BA7C2C">
      <w:pPr>
        <w:rPr>
          <w:rFonts w:cs="Arial"/>
          <w:b/>
          <w:lang w:eastAsia="nl-NL"/>
        </w:rPr>
      </w:pPr>
      <w:r w:rsidRPr="00507ADF">
        <w:rPr>
          <w:rFonts w:cs="Arial"/>
          <w:b/>
          <w:lang w:eastAsia="nl-NL"/>
        </w:rPr>
        <w:t>Control of mice:</w:t>
      </w:r>
    </w:p>
    <w:p w:rsidR="00BA7C2C" w:rsidRPr="00507ADF" w:rsidRDefault="00BA7C2C" w:rsidP="00BA7C2C">
      <w:pPr>
        <w:rPr>
          <w:rFonts w:cs="Arial"/>
          <w:lang w:eastAsia="nl-NL"/>
        </w:rPr>
      </w:pPr>
      <w:r w:rsidRPr="00507ADF">
        <w:rPr>
          <w:rFonts w:cs="Arial"/>
          <w:lang w:eastAsia="nl-NL"/>
        </w:rPr>
        <w:t xml:space="preserve">Place the bait stations at 1 to </w:t>
      </w:r>
      <w:smartTag w:uri="urn:schemas-microsoft-com:office:smarttags" w:element="metricconverter">
        <w:smartTagPr>
          <w:attr w:name="ProductID" w:val="3 meter"/>
        </w:smartTagPr>
        <w:r w:rsidRPr="00507ADF">
          <w:rPr>
            <w:rFonts w:cs="Arial"/>
            <w:lang w:eastAsia="nl-NL"/>
          </w:rPr>
          <w:t>3 meter</w:t>
        </w:r>
      </w:smartTag>
      <w:r w:rsidRPr="00507ADF">
        <w:rPr>
          <w:rFonts w:cs="Arial"/>
          <w:lang w:eastAsia="nl-NL"/>
        </w:rPr>
        <w:t xml:space="preserve"> distance of each other, depending on the size of the  infestation. Use 30 - </w:t>
      </w:r>
      <w:smartTag w:uri="urn:schemas-microsoft-com:office:smarttags" w:element="metricconverter">
        <w:smartTagPr>
          <w:attr w:name="ProductID" w:val="50 g"/>
        </w:smartTagPr>
        <w:r w:rsidRPr="00507ADF">
          <w:rPr>
            <w:rFonts w:cs="Arial"/>
            <w:lang w:eastAsia="nl-NL"/>
          </w:rPr>
          <w:t>50 g</w:t>
        </w:r>
      </w:smartTag>
      <w:r w:rsidRPr="00507ADF">
        <w:rPr>
          <w:rFonts w:cs="Arial"/>
          <w:lang w:eastAsia="nl-NL"/>
        </w:rPr>
        <w:t xml:space="preserve"> bait per station.</w:t>
      </w:r>
    </w:p>
    <w:p w:rsidR="00BA7C2C" w:rsidRPr="00507ADF" w:rsidRDefault="00BA7C2C" w:rsidP="00BA7C2C">
      <w:pPr>
        <w:rPr>
          <w:rFonts w:cs="Arial"/>
        </w:rPr>
      </w:pPr>
    </w:p>
    <w:p w:rsidR="00BA7C2C" w:rsidRPr="00507ADF" w:rsidRDefault="00BA7C2C" w:rsidP="00BA7C2C">
      <w:pPr>
        <w:pStyle w:val="AnderhalveWitRegelVoor"/>
        <w:spacing w:before="0"/>
        <w:rPr>
          <w:rFonts w:cs="Arial"/>
          <w:b/>
          <w:sz w:val="20"/>
          <w:lang w:val="en-GB"/>
        </w:rPr>
      </w:pPr>
      <w:r w:rsidRPr="00507ADF">
        <w:rPr>
          <w:rFonts w:cs="Arial"/>
          <w:b/>
          <w:sz w:val="20"/>
          <w:lang w:val="en-GB"/>
        </w:rPr>
        <w:t>Follow up of treatment:</w:t>
      </w:r>
    </w:p>
    <w:p w:rsidR="00BA7C2C" w:rsidRPr="00507ADF" w:rsidRDefault="00BA7C2C" w:rsidP="00BA7C2C">
      <w:pPr>
        <w:pStyle w:val="AnderhalveWitRegelVoor"/>
        <w:spacing w:before="0"/>
        <w:rPr>
          <w:rFonts w:cs="Arial"/>
          <w:sz w:val="20"/>
          <w:lang w:val="en-GB"/>
        </w:rPr>
      </w:pPr>
      <w:r w:rsidRPr="00507ADF">
        <w:rPr>
          <w:rFonts w:cs="Arial"/>
          <w:sz w:val="20"/>
          <w:lang w:val="en-GB"/>
        </w:rPr>
        <w:t>Check the uptake of bait after 3 days and thereupon on a regular basis based on bait uptake (weekly or every 14 days). Replace bait that is mouldy or contaminated completely. In case that all bait is eaten at a bait station, refill the bait station and use more bait stations and/or increase the control frequency. Replace the bait until consumption of the bait stops.</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lastRenderedPageBreak/>
        <w:t>In most cases, treatment with this product should have achieved control within 35 days. Should activity of house mice, brown or black rats continue beyond this time, the likely cause should be determined and measures should be taken.</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When the uptake of bait has stopped, the remainder of the bait should be collected and safely removed as hazardous waste (cf. Eural). Dead animals (the first may be found after approximately 3 days) should also be collected, wrapped in plastic and disposed of in the dustbin, to prevent poisoning of other animals after eating the cadavers. Cats should be fed well during the treatment. In addition measures necessary for rat and mouse prevention should be taken (sealing entrances, removing possible food, etc.).</w:t>
      </w:r>
    </w:p>
    <w:p w:rsidR="00BA7C2C" w:rsidRPr="00507ADF" w:rsidRDefault="00BA7C2C" w:rsidP="00BA7C2C">
      <w:pPr>
        <w:rPr>
          <w:rFonts w:cs="Arial"/>
        </w:rPr>
      </w:pPr>
      <w:r w:rsidRPr="00507ADF">
        <w:rPr>
          <w:rFonts w:cs="Arial"/>
        </w:rPr>
        <w:t xml:space="preserve"> </w:t>
      </w:r>
    </w:p>
    <w:p w:rsidR="00BA7C2C" w:rsidRPr="00507ADF" w:rsidRDefault="00BA7C2C" w:rsidP="00BA7C2C">
      <w:pPr>
        <w:rPr>
          <w:rFonts w:cs="Arial"/>
        </w:rPr>
      </w:pPr>
      <w:r w:rsidRPr="00507ADF">
        <w:rPr>
          <w:rFonts w:cs="Arial"/>
        </w:rPr>
        <w:t>Note that if rats or mice are present in attached buildings, results will only remain when a control action is also performed at these locations.</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The use of this product should be combined with the implementation of an integrated pest management system (IPM).</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b/>
          <w:sz w:val="20"/>
          <w:lang w:val="en-GB"/>
        </w:rPr>
      </w:pPr>
      <w:r w:rsidRPr="00507ADF">
        <w:rPr>
          <w:rFonts w:cs="Arial"/>
          <w:b/>
          <w:sz w:val="20"/>
          <w:lang w:val="en-GB"/>
        </w:rPr>
        <w:t>Resistance management:</w:t>
      </w:r>
    </w:p>
    <w:p w:rsidR="00BA7C2C" w:rsidRPr="00507ADF" w:rsidRDefault="00BA7C2C" w:rsidP="00BA7C2C">
      <w:pPr>
        <w:pStyle w:val="AnderhalveWitRegelVoor"/>
        <w:spacing w:before="0"/>
        <w:rPr>
          <w:rFonts w:cs="Arial"/>
          <w:sz w:val="20"/>
          <w:lang w:val="en-GB"/>
        </w:rPr>
      </w:pPr>
      <w:r w:rsidRPr="00507ADF">
        <w:rPr>
          <w:rFonts w:cs="Arial"/>
          <w:sz w:val="20"/>
          <w:lang w:val="en-GB"/>
        </w:rPr>
        <w:t>For the active substance bromadiolone present in the product, there is a risk that mice and rats may develop resistance. This product should therefore not be used in cases in which resistance is likely, for example in cases in which earlier treatment with a bromadiolone containing product did not result in a clear reduction of the population. The product should not be used permanently.</w:t>
      </w:r>
    </w:p>
    <w:p w:rsidR="00BA7C2C" w:rsidRPr="00507ADF" w:rsidRDefault="00BA7C2C" w:rsidP="00BA7C2C">
      <w:pPr>
        <w:rPr>
          <w:rFonts w:cs="Arial"/>
          <w:b/>
        </w:rPr>
      </w:pPr>
    </w:p>
    <w:p w:rsidR="00BA7C2C" w:rsidRPr="00507ADF" w:rsidRDefault="00BA7C2C" w:rsidP="00BA7C2C">
      <w:pPr>
        <w:rPr>
          <w:rFonts w:cs="Arial"/>
          <w:b/>
        </w:rPr>
      </w:pPr>
      <w:r w:rsidRPr="00507ADF">
        <w:rPr>
          <w:rFonts w:cs="Arial"/>
          <w:b/>
        </w:rPr>
        <w:t>First aid:</w:t>
      </w:r>
    </w:p>
    <w:p w:rsidR="00BA7C2C" w:rsidRPr="00507ADF" w:rsidRDefault="00BA7C2C" w:rsidP="00BA7C2C">
      <w:pPr>
        <w:rPr>
          <w:rFonts w:cs="Arial"/>
        </w:rPr>
      </w:pPr>
      <w:r w:rsidRPr="00507ADF">
        <w:rPr>
          <w:rFonts w:cs="Arial"/>
        </w:rPr>
        <w:t>Keep this label available when medical advice is sought.</w:t>
      </w:r>
    </w:p>
    <w:p w:rsidR="00BA7C2C" w:rsidRPr="00507ADF" w:rsidRDefault="00BA7C2C" w:rsidP="00BA7C2C">
      <w:pPr>
        <w:rPr>
          <w:rFonts w:cs="Arial"/>
        </w:rPr>
      </w:pPr>
      <w:r w:rsidRPr="00507ADF">
        <w:rPr>
          <w:rFonts w:cs="Arial"/>
        </w:rPr>
        <w:t>In case of emergency contact a physician.</w:t>
      </w:r>
    </w:p>
    <w:p w:rsidR="00BA7C2C" w:rsidRPr="00507ADF" w:rsidRDefault="00BA7C2C" w:rsidP="00BA7C2C">
      <w:pPr>
        <w:rPr>
          <w:rFonts w:cs="Arial"/>
        </w:rPr>
      </w:pPr>
      <w:r w:rsidRPr="00507ADF">
        <w:rPr>
          <w:rFonts w:cs="Arial"/>
        </w:rPr>
        <w:t>Antidote: Vitamin K1 (under medical supervision)</w:t>
      </w:r>
    </w:p>
    <w:p w:rsidR="00BA7C2C" w:rsidRPr="00507ADF" w:rsidRDefault="00BA7C2C" w:rsidP="00BA7C2C">
      <w:pPr>
        <w:rPr>
          <w:rFonts w:cs="Arial"/>
        </w:rPr>
      </w:pPr>
    </w:p>
    <w:p w:rsidR="00BA7C2C" w:rsidRPr="00507ADF" w:rsidRDefault="00BA7C2C" w:rsidP="00BA7C2C">
      <w:pPr>
        <w:rPr>
          <w:rFonts w:cs="Arial"/>
        </w:rPr>
      </w:pPr>
    </w:p>
    <w:p w:rsidR="00BA7C2C" w:rsidRPr="00507ADF" w:rsidRDefault="00BA7C2C" w:rsidP="00BA7C2C">
      <w:pPr>
        <w:rPr>
          <w:rFonts w:cs="Arial"/>
          <w:u w:val="single"/>
        </w:rPr>
      </w:pPr>
      <w:r w:rsidRPr="00507ADF">
        <w:rPr>
          <w:rFonts w:cs="Arial"/>
          <w:u w:val="single"/>
        </w:rPr>
        <w:t>Non-professional use:</w:t>
      </w:r>
    </w:p>
    <w:p w:rsidR="00BA7C2C" w:rsidRPr="00507ADF" w:rsidRDefault="00BA7C2C" w:rsidP="00BA7C2C">
      <w:pPr>
        <w:pStyle w:val="AnderhalveWitRegelVoor"/>
        <w:jc w:val="center"/>
        <w:rPr>
          <w:rFonts w:cs="Arial"/>
          <w:sz w:val="20"/>
          <w:lang w:val="en-US"/>
        </w:rPr>
      </w:pPr>
      <w:r w:rsidRPr="00507ADF">
        <w:rPr>
          <w:rFonts w:cs="Arial"/>
          <w:sz w:val="20"/>
          <w:lang w:val="en-US"/>
        </w:rPr>
        <w:t xml:space="preserve">A. </w:t>
      </w:r>
      <w:r w:rsidRPr="00507ADF">
        <w:rPr>
          <w:rFonts w:cs="Arial"/>
          <w:sz w:val="20"/>
          <w:lang w:val="en-US"/>
        </w:rPr>
        <w:br/>
      </w:r>
      <w:r w:rsidRPr="00507ADF">
        <w:rPr>
          <w:rFonts w:cs="Arial"/>
          <w:sz w:val="20"/>
          <w:u w:val="single"/>
          <w:lang w:val="en-US"/>
        </w:rPr>
        <w:t>LEGAL INSTRUCTIONS FOR USE</w:t>
      </w:r>
    </w:p>
    <w:p w:rsidR="00BA7C2C" w:rsidRPr="00507ADF" w:rsidRDefault="00BA7C2C" w:rsidP="00BA7C2C">
      <w:pPr>
        <w:rPr>
          <w:rFonts w:cs="Arial"/>
          <w:u w:val="single"/>
        </w:rPr>
      </w:pPr>
    </w:p>
    <w:p w:rsidR="00BA7C2C" w:rsidRPr="00507ADF" w:rsidRDefault="00BA7C2C" w:rsidP="00BA7C2C">
      <w:pPr>
        <w:rPr>
          <w:rFonts w:cs="Arial"/>
          <w:u w:val="single"/>
        </w:rPr>
      </w:pPr>
      <w:r w:rsidRPr="00507ADF">
        <w:rPr>
          <w:rFonts w:cs="Arial"/>
          <w:lang w:val="en-US"/>
        </w:rPr>
        <w:t>This product can only be used for the control of house mice in buildings</w:t>
      </w:r>
      <w:r w:rsidRPr="00507ADF">
        <w:rPr>
          <w:rFonts w:cs="Arial"/>
        </w:rPr>
        <w:t>, provided that the bait should be placed inside bait stations specifically designed for this purpose. Place the bait out of reach of children, birds, pets and other non-target animals. Keep away from food, drink and animal feeding stuffs.</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The dose and control frequency as stated in the directions for use (B) should be sustained. </w:t>
      </w:r>
    </w:p>
    <w:p w:rsidR="00BA7C2C" w:rsidRPr="00507ADF" w:rsidRDefault="00BA7C2C" w:rsidP="00BA7C2C">
      <w:pPr>
        <w:pStyle w:val="AnderhalveWitRegelVoor"/>
        <w:rPr>
          <w:rFonts w:cs="Arial"/>
          <w:sz w:val="20"/>
          <w:lang w:val="en-GB"/>
        </w:rPr>
      </w:pPr>
      <w:r w:rsidRPr="00507ADF">
        <w:rPr>
          <w:rFonts w:cs="Arial"/>
          <w:sz w:val="20"/>
          <w:lang w:val="en-US"/>
        </w:rPr>
        <w:t>This product is intended for non-professional use only.</w:t>
      </w:r>
    </w:p>
    <w:p w:rsidR="00BA7C2C" w:rsidRPr="00507ADF" w:rsidRDefault="00BA7C2C" w:rsidP="00BA7C2C">
      <w:pPr>
        <w:pStyle w:val="CentrerenEnOnderstreep"/>
        <w:rPr>
          <w:rFonts w:cs="Arial"/>
          <w:sz w:val="20"/>
          <w:lang w:val="en-GB"/>
        </w:rPr>
      </w:pPr>
    </w:p>
    <w:p w:rsidR="00BA7C2C" w:rsidRPr="00507ADF" w:rsidRDefault="00BA7C2C" w:rsidP="00BA7C2C">
      <w:pPr>
        <w:pStyle w:val="CentrerenEnOnderstreep"/>
        <w:rPr>
          <w:rFonts w:cs="Arial"/>
          <w:sz w:val="20"/>
          <w:u w:val="none"/>
          <w:lang w:val="en-GB"/>
        </w:rPr>
      </w:pPr>
      <w:r w:rsidRPr="00507ADF">
        <w:rPr>
          <w:rFonts w:cs="Arial"/>
          <w:sz w:val="20"/>
          <w:u w:val="none"/>
          <w:lang w:val="en-GB"/>
        </w:rPr>
        <w:t>B.</w:t>
      </w:r>
    </w:p>
    <w:p w:rsidR="00BA7C2C" w:rsidRPr="00507ADF" w:rsidRDefault="00BA7C2C" w:rsidP="00BA7C2C">
      <w:pPr>
        <w:pStyle w:val="CentrerenEnOnderstreep"/>
        <w:rPr>
          <w:rFonts w:cs="Arial"/>
          <w:sz w:val="20"/>
          <w:lang w:val="en-GB"/>
        </w:rPr>
      </w:pPr>
      <w:r w:rsidRPr="00507ADF">
        <w:rPr>
          <w:rFonts w:cs="Arial"/>
          <w:sz w:val="20"/>
          <w:lang w:val="en-GB"/>
        </w:rPr>
        <w:t>DIRECTIONS FOR USE</w:t>
      </w:r>
    </w:p>
    <w:p w:rsidR="00BA7C2C" w:rsidRPr="00507ADF" w:rsidRDefault="00BA7C2C" w:rsidP="00BA7C2C">
      <w:pPr>
        <w:autoSpaceDE w:val="0"/>
        <w:autoSpaceDN w:val="0"/>
        <w:adjustRightInd w:val="0"/>
        <w:rPr>
          <w:rFonts w:cs="Arial"/>
        </w:rPr>
      </w:pPr>
    </w:p>
    <w:p w:rsidR="00BA7C2C" w:rsidRPr="00507ADF" w:rsidRDefault="00BA7C2C" w:rsidP="00BA7C2C">
      <w:pPr>
        <w:autoSpaceDE w:val="0"/>
        <w:autoSpaceDN w:val="0"/>
        <w:adjustRightInd w:val="0"/>
        <w:jc w:val="center"/>
        <w:rPr>
          <w:rFonts w:cs="Arial"/>
        </w:rPr>
      </w:pPr>
    </w:p>
    <w:p w:rsidR="00BA7C2C" w:rsidRPr="00507ADF" w:rsidRDefault="00BA7C2C" w:rsidP="00BA7C2C">
      <w:pPr>
        <w:pStyle w:val="AnderhalveWitRegelVoor"/>
        <w:spacing w:before="0"/>
        <w:rPr>
          <w:rFonts w:cs="Arial"/>
          <w:b/>
          <w:sz w:val="20"/>
          <w:lang w:val="en-GB"/>
        </w:rPr>
      </w:pPr>
      <w:r w:rsidRPr="00507ADF">
        <w:rPr>
          <w:rFonts w:cs="Arial"/>
          <w:b/>
          <w:sz w:val="20"/>
          <w:u w:val="single"/>
          <w:lang w:val="en-GB"/>
        </w:rPr>
        <w:t>Uses:</w:t>
      </w:r>
      <w:r w:rsidRPr="00507ADF">
        <w:rPr>
          <w:rFonts w:cs="Arial"/>
          <w:b/>
          <w:sz w:val="20"/>
          <w:lang w:val="en-GB"/>
        </w:rPr>
        <w:t xml:space="preserve"> </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MAKI PAT’ is a ready-to-use paste bait for use against house mice. The sachets in which the paste is offered should not be opened, the rodents will eat through it. </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The bait should be placed inside bait stations out of reach of other animals (e.g. birds, mammals, pets or farm animals) and children. The bait should be secured to prevent carry of by the rodents (do </w:t>
      </w:r>
      <w:r w:rsidRPr="00507ADF">
        <w:rPr>
          <w:rFonts w:cs="Arial"/>
          <w:sz w:val="20"/>
          <w:lang w:val="en-GB"/>
        </w:rPr>
        <w:lastRenderedPageBreak/>
        <w:t xml:space="preserve">not tear the sachets!). The bait stations should be marked to make clear that they contain rodenticide. </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Place the bait stations in places where mice often dwell: close to holes, on tracks, in concealed spaces such as dropped ceilings, and in places were the rodents find food or gnaw. </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As stated in the legal instructions for use, this product should not be used outside.</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Do not place the bait stations near water drainage systems where it can come into contact with water. Wash hands after use.</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 xml:space="preserve">The product should be eaten in sufficient amount by the rats and mice during several days. </w:t>
      </w:r>
    </w:p>
    <w:p w:rsidR="00BA7C2C" w:rsidRPr="00507ADF" w:rsidRDefault="00BA7C2C" w:rsidP="00BA7C2C">
      <w:pPr>
        <w:pStyle w:val="AnderhalveWitRegelVoor"/>
        <w:spacing w:before="0"/>
        <w:rPr>
          <w:rFonts w:cs="Arial"/>
          <w:sz w:val="20"/>
          <w:lang w:val="en-GB"/>
        </w:rPr>
      </w:pPr>
    </w:p>
    <w:p w:rsidR="00BA7C2C" w:rsidRPr="00507ADF" w:rsidRDefault="00BA7C2C" w:rsidP="00BA7C2C">
      <w:pPr>
        <w:rPr>
          <w:rFonts w:cs="Arial"/>
          <w:b/>
        </w:rPr>
      </w:pPr>
      <w:r w:rsidRPr="00507ADF">
        <w:rPr>
          <w:rFonts w:cs="Arial"/>
          <w:b/>
        </w:rPr>
        <w:t>Dosing:</w:t>
      </w:r>
    </w:p>
    <w:p w:rsidR="00BA7C2C" w:rsidRPr="00507ADF" w:rsidRDefault="00BA7C2C" w:rsidP="00BA7C2C">
      <w:pPr>
        <w:rPr>
          <w:rFonts w:cs="Arial"/>
          <w:b/>
          <w:lang w:eastAsia="nl-NL"/>
        </w:rPr>
      </w:pPr>
    </w:p>
    <w:p w:rsidR="00BA7C2C" w:rsidRPr="00507ADF" w:rsidRDefault="00BA7C2C" w:rsidP="00BA7C2C">
      <w:pPr>
        <w:rPr>
          <w:rFonts w:cs="Arial"/>
          <w:b/>
          <w:lang w:eastAsia="nl-NL"/>
        </w:rPr>
      </w:pPr>
      <w:r w:rsidRPr="00507ADF">
        <w:rPr>
          <w:rFonts w:cs="Arial"/>
          <w:b/>
          <w:lang w:eastAsia="nl-NL"/>
        </w:rPr>
        <w:t>Control of mice:</w:t>
      </w:r>
    </w:p>
    <w:p w:rsidR="00BA7C2C" w:rsidRPr="00507ADF" w:rsidRDefault="00BA7C2C" w:rsidP="00BA7C2C">
      <w:pPr>
        <w:rPr>
          <w:rFonts w:cs="Arial"/>
          <w:lang w:eastAsia="nl-NL"/>
        </w:rPr>
      </w:pPr>
      <w:r w:rsidRPr="00507ADF">
        <w:rPr>
          <w:rFonts w:cs="Arial"/>
          <w:lang w:eastAsia="nl-NL"/>
        </w:rPr>
        <w:t xml:space="preserve">Bait stations will be placed at 1 to </w:t>
      </w:r>
      <w:smartTag w:uri="urn:schemas-microsoft-com:office:smarttags" w:element="metricconverter">
        <w:smartTagPr>
          <w:attr w:name="ProductID" w:val="3 meter"/>
        </w:smartTagPr>
        <w:r w:rsidRPr="00507ADF">
          <w:rPr>
            <w:rFonts w:cs="Arial"/>
            <w:lang w:eastAsia="nl-NL"/>
          </w:rPr>
          <w:t>3 meter</w:t>
        </w:r>
      </w:smartTag>
      <w:r w:rsidRPr="00507ADF">
        <w:rPr>
          <w:rFonts w:cs="Arial"/>
          <w:lang w:eastAsia="nl-NL"/>
        </w:rPr>
        <w:t xml:space="preserve"> distance of each other, depending on the size of the  infestation. Use 30 - </w:t>
      </w:r>
      <w:smartTag w:uri="urn:schemas-microsoft-com:office:smarttags" w:element="metricconverter">
        <w:smartTagPr>
          <w:attr w:name="ProductID" w:val="50 g"/>
        </w:smartTagPr>
        <w:r w:rsidRPr="00507ADF">
          <w:rPr>
            <w:rFonts w:cs="Arial"/>
            <w:lang w:eastAsia="nl-NL"/>
          </w:rPr>
          <w:t>50 g</w:t>
        </w:r>
      </w:smartTag>
      <w:r w:rsidRPr="00507ADF">
        <w:rPr>
          <w:rFonts w:cs="Arial"/>
          <w:lang w:eastAsia="nl-NL"/>
        </w:rPr>
        <w:t xml:space="preserve"> bait per station.</w:t>
      </w:r>
    </w:p>
    <w:p w:rsidR="00BA7C2C" w:rsidRPr="00507ADF" w:rsidRDefault="00BA7C2C" w:rsidP="00BA7C2C">
      <w:pPr>
        <w:pStyle w:val="AnderhalveWitRegelVoor"/>
        <w:spacing w:before="0"/>
        <w:rPr>
          <w:rFonts w:cs="Arial"/>
          <w:b/>
          <w:sz w:val="20"/>
          <w:lang w:val="en-GB"/>
        </w:rPr>
      </w:pPr>
    </w:p>
    <w:p w:rsidR="00BA7C2C" w:rsidRPr="00507ADF" w:rsidRDefault="00BA7C2C" w:rsidP="00BA7C2C">
      <w:pPr>
        <w:pStyle w:val="AnderhalveWitRegelVoor"/>
        <w:spacing w:before="0"/>
        <w:rPr>
          <w:rFonts w:cs="Arial"/>
          <w:b/>
          <w:sz w:val="20"/>
          <w:lang w:val="en-GB"/>
        </w:rPr>
      </w:pPr>
      <w:r w:rsidRPr="00507ADF">
        <w:rPr>
          <w:rFonts w:cs="Arial"/>
          <w:b/>
          <w:sz w:val="20"/>
          <w:lang w:val="en-GB"/>
        </w:rPr>
        <w:t>Follow up of treatment:</w:t>
      </w:r>
    </w:p>
    <w:p w:rsidR="00BA7C2C" w:rsidRPr="00507ADF" w:rsidRDefault="00BA7C2C" w:rsidP="00BA7C2C">
      <w:pPr>
        <w:pStyle w:val="AnderhalveWitRegelVoor"/>
        <w:spacing w:before="0"/>
        <w:rPr>
          <w:rFonts w:cs="Arial"/>
          <w:sz w:val="20"/>
          <w:lang w:val="en-GB"/>
        </w:rPr>
      </w:pPr>
      <w:r w:rsidRPr="00507ADF">
        <w:rPr>
          <w:rFonts w:cs="Arial"/>
          <w:sz w:val="20"/>
          <w:lang w:val="en-GB"/>
        </w:rPr>
        <w:t>Check the uptake of bait after 3 days and thereupon on a regular basis based on bait uptake (weekly or every 14 days). Replace bait that is mouldy or contaminated completely. In case that all bait is eaten at a bait station, refill the bait station and use more bait stations and/or increase the control frequency. Replace the bait until consumption of the bait stops.</w:t>
      </w:r>
    </w:p>
    <w:p w:rsidR="00BA7C2C" w:rsidRPr="00507ADF" w:rsidRDefault="00BA7C2C" w:rsidP="00BA7C2C">
      <w:pPr>
        <w:pStyle w:val="AnderhalveWitRegelVoor"/>
        <w:spacing w:before="0"/>
        <w:rPr>
          <w:rFonts w:cs="Arial"/>
          <w:sz w:val="20"/>
          <w:lang w:val="en-GB"/>
        </w:rPr>
      </w:pPr>
    </w:p>
    <w:p w:rsidR="00BA7C2C" w:rsidRPr="00507ADF" w:rsidRDefault="00BA7C2C" w:rsidP="00BA7C2C">
      <w:pPr>
        <w:pStyle w:val="AnderhalveWitRegelVoor"/>
        <w:spacing w:before="0"/>
        <w:rPr>
          <w:rFonts w:cs="Arial"/>
          <w:sz w:val="20"/>
          <w:lang w:val="en-GB"/>
        </w:rPr>
      </w:pPr>
      <w:r w:rsidRPr="00507ADF">
        <w:rPr>
          <w:rFonts w:cs="Arial"/>
          <w:sz w:val="20"/>
          <w:lang w:val="en-GB"/>
        </w:rPr>
        <w:t>When the uptake of bait has stopped, the remainder of the bait should be collected, wrapped in plastic and safely removed as ‘Klein Chemisch Afval’ (KCA, small chemical waste). Dead animals (the first may be found after approximately 3 days) should also be collected, wrapped in plastic and disposed of in the dustbin, to prevent poisoning of other animals after eating the cadavers. Cats should be fed well during the treatment. In addition measures necessary for rat and mouse prevention should be taken (sealing entrances, removing possible food, etc.).</w:t>
      </w:r>
    </w:p>
    <w:p w:rsidR="00BA7C2C" w:rsidRPr="00507ADF" w:rsidRDefault="00BA7C2C" w:rsidP="00BA7C2C">
      <w:pPr>
        <w:pStyle w:val="AnderhalveWitRegelVoor"/>
        <w:spacing w:before="0"/>
        <w:rPr>
          <w:rFonts w:cs="Arial"/>
          <w:sz w:val="20"/>
          <w:lang w:val="en-GB"/>
        </w:rPr>
      </w:pPr>
    </w:p>
    <w:p w:rsidR="00BA7C2C" w:rsidRPr="00507ADF" w:rsidRDefault="00BA7C2C" w:rsidP="00BA7C2C">
      <w:pPr>
        <w:rPr>
          <w:rFonts w:cs="Arial"/>
        </w:rPr>
      </w:pPr>
      <w:r w:rsidRPr="00507ADF">
        <w:rPr>
          <w:rFonts w:cs="Arial"/>
        </w:rPr>
        <w:t>When the control of house mice appears to be insufficient after 28 days from the start of the treatment, consult a professional pest controller. Take precautionary measures to prevent reinfestation with mice.</w:t>
      </w:r>
    </w:p>
    <w:p w:rsidR="00BA7C2C" w:rsidRPr="00507ADF" w:rsidRDefault="00BA7C2C" w:rsidP="00BA7C2C">
      <w:pPr>
        <w:rPr>
          <w:rFonts w:cs="Arial"/>
        </w:rPr>
      </w:pPr>
      <w:r w:rsidRPr="00507ADF">
        <w:rPr>
          <w:rFonts w:cs="Arial"/>
        </w:rPr>
        <w:t xml:space="preserve"> </w:t>
      </w:r>
    </w:p>
    <w:p w:rsidR="00BA7C2C" w:rsidRPr="00507ADF" w:rsidRDefault="00BA7C2C" w:rsidP="00BA7C2C">
      <w:pPr>
        <w:rPr>
          <w:rFonts w:cs="Arial"/>
        </w:rPr>
      </w:pPr>
      <w:r w:rsidRPr="00507ADF">
        <w:rPr>
          <w:rFonts w:cs="Arial"/>
        </w:rPr>
        <w:t>Note that if rats or mice are present in attached buildings, results will only remain when a control action is also performed at these locations.</w:t>
      </w:r>
    </w:p>
    <w:p w:rsidR="00BA7C2C" w:rsidRPr="00507ADF" w:rsidRDefault="00BA7C2C" w:rsidP="00BA7C2C">
      <w:pPr>
        <w:rPr>
          <w:rFonts w:cs="Arial"/>
        </w:rPr>
      </w:pPr>
      <w:r w:rsidRPr="00507ADF">
        <w:rPr>
          <w:rFonts w:cs="Arial"/>
        </w:rPr>
        <w:t xml:space="preserve"> </w:t>
      </w:r>
    </w:p>
    <w:p w:rsidR="00BA7C2C" w:rsidRPr="00507ADF" w:rsidRDefault="00BA7C2C" w:rsidP="00BA7C2C">
      <w:pPr>
        <w:rPr>
          <w:rFonts w:cs="Arial"/>
          <w:b/>
        </w:rPr>
      </w:pPr>
      <w:r w:rsidRPr="00507ADF">
        <w:rPr>
          <w:rFonts w:cs="Arial"/>
          <w:b/>
        </w:rPr>
        <w:t>First aid:</w:t>
      </w:r>
    </w:p>
    <w:p w:rsidR="00BA7C2C" w:rsidRPr="00507ADF" w:rsidRDefault="00BA7C2C" w:rsidP="00BA7C2C">
      <w:pPr>
        <w:rPr>
          <w:rFonts w:cs="Arial"/>
        </w:rPr>
      </w:pPr>
      <w:r w:rsidRPr="00507ADF">
        <w:rPr>
          <w:rFonts w:cs="Arial"/>
        </w:rPr>
        <w:t>Keep this label available when medical advice is sought.</w:t>
      </w:r>
    </w:p>
    <w:p w:rsidR="00BA7C2C" w:rsidRPr="00507ADF" w:rsidRDefault="00BA7C2C" w:rsidP="00BA7C2C">
      <w:pPr>
        <w:rPr>
          <w:rFonts w:cs="Arial"/>
        </w:rPr>
      </w:pPr>
      <w:r w:rsidRPr="00507ADF">
        <w:rPr>
          <w:rFonts w:cs="Arial"/>
        </w:rPr>
        <w:t>In case of emergency contact a doctor.</w:t>
      </w:r>
    </w:p>
    <w:p w:rsidR="00BA7C2C" w:rsidRPr="00507ADF" w:rsidRDefault="00BA7C2C" w:rsidP="00BA7C2C">
      <w:pPr>
        <w:rPr>
          <w:rFonts w:cs="Arial"/>
        </w:rPr>
      </w:pPr>
      <w:r w:rsidRPr="00507ADF">
        <w:rPr>
          <w:rFonts w:cs="Arial"/>
        </w:rPr>
        <w:t>Antidote: Vitamin K1 (under medical supervision).</w:t>
      </w:r>
    </w:p>
    <w:p w:rsidR="00BA7C2C" w:rsidRPr="00507ADF" w:rsidRDefault="00BA7C2C" w:rsidP="00BA7C2C">
      <w:pPr>
        <w:rPr>
          <w:rFonts w:cs="Arial"/>
        </w:rPr>
      </w:pPr>
    </w:p>
    <w:p w:rsidR="00BA7C2C" w:rsidRPr="00507ADF" w:rsidRDefault="00BA7C2C" w:rsidP="00BA7C2C">
      <w:r>
        <w:rPr>
          <w:szCs w:val="22"/>
          <w:vertAlign w:val="superscript"/>
        </w:rPr>
        <w:t xml:space="preserve">  </w:t>
      </w:r>
    </w:p>
    <w:p w:rsidR="00BA7C2C" w:rsidRPr="00A0425E" w:rsidRDefault="00BA7C2C" w:rsidP="00BA7C2C">
      <w:pPr>
        <w:pStyle w:val="Kop3"/>
        <w:numPr>
          <w:ilvl w:val="2"/>
          <w:numId w:val="12"/>
        </w:numPr>
        <w:tabs>
          <w:tab w:val="left" w:pos="1304"/>
        </w:tabs>
        <w:spacing w:line="280" w:lineRule="atLeast"/>
        <w:jc w:val="left"/>
      </w:pPr>
      <w:bookmarkStart w:id="746" w:name="_Toc362858075"/>
      <w:r w:rsidRPr="00A0425E">
        <w:t>Information on active substance(s)</w:t>
      </w:r>
      <w:r w:rsidRPr="00A0425E">
        <w:rPr>
          <w:rStyle w:val="Voetnootmarkering"/>
        </w:rPr>
        <w:footnoteReference w:id="7"/>
      </w:r>
      <w:bookmarkEnd w:id="7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400"/>
      </w:tblGrid>
      <w:tr w:rsidR="00BA7C2C" w:rsidRPr="00A0425E" w:rsidTr="00613EE2">
        <w:trPr>
          <w:cantSplit/>
        </w:trPr>
        <w:tc>
          <w:tcPr>
            <w:tcW w:w="4095" w:type="dxa"/>
          </w:tcPr>
          <w:p w:rsidR="00BA7C2C" w:rsidRPr="00A0425E" w:rsidRDefault="00BA7C2C" w:rsidP="00613EE2">
            <w:pPr>
              <w:rPr>
                <w:b/>
              </w:rPr>
            </w:pPr>
            <w:r w:rsidRPr="00A0425E">
              <w:rPr>
                <w:b/>
              </w:rPr>
              <w:t>Active substance chemical name:</w:t>
            </w:r>
          </w:p>
        </w:tc>
        <w:tc>
          <w:tcPr>
            <w:tcW w:w="4400" w:type="dxa"/>
          </w:tcPr>
          <w:p w:rsidR="00BA7C2C" w:rsidRPr="004B63E4" w:rsidRDefault="00BA7C2C" w:rsidP="00613EE2">
            <w:pPr>
              <w:rPr>
                <w:rFonts w:cs="Arial"/>
              </w:rPr>
            </w:pPr>
            <w:r w:rsidRPr="004B63E4">
              <w:rPr>
                <w:rFonts w:cs="Arial"/>
              </w:rPr>
              <w:t>Bromadiolone</w:t>
            </w:r>
          </w:p>
        </w:tc>
      </w:tr>
      <w:tr w:rsidR="00BA7C2C" w:rsidRPr="00A0425E" w:rsidTr="00613EE2">
        <w:trPr>
          <w:cantSplit/>
        </w:trPr>
        <w:tc>
          <w:tcPr>
            <w:tcW w:w="4095" w:type="dxa"/>
          </w:tcPr>
          <w:p w:rsidR="00BA7C2C" w:rsidRPr="00A0425E" w:rsidRDefault="00BA7C2C" w:rsidP="00613EE2">
            <w:pPr>
              <w:rPr>
                <w:b/>
              </w:rPr>
            </w:pPr>
            <w:r w:rsidRPr="00A0425E">
              <w:rPr>
                <w:b/>
              </w:rPr>
              <w:t>CAS No:</w:t>
            </w:r>
          </w:p>
        </w:tc>
        <w:tc>
          <w:tcPr>
            <w:tcW w:w="4400" w:type="dxa"/>
            <w:vAlign w:val="center"/>
          </w:tcPr>
          <w:p w:rsidR="00BA7C2C" w:rsidRPr="004B63E4" w:rsidRDefault="00BA7C2C" w:rsidP="00613EE2">
            <w:pPr>
              <w:rPr>
                <w:rFonts w:cs="Arial"/>
              </w:rPr>
            </w:pPr>
            <w:r w:rsidRPr="004B63E4">
              <w:rPr>
                <w:rFonts w:cs="Arial"/>
              </w:rPr>
              <w:t>28772-56-7</w:t>
            </w:r>
          </w:p>
        </w:tc>
      </w:tr>
      <w:tr w:rsidR="00BA7C2C" w:rsidRPr="00A0425E" w:rsidTr="00613EE2">
        <w:trPr>
          <w:cantSplit/>
        </w:trPr>
        <w:tc>
          <w:tcPr>
            <w:tcW w:w="4095" w:type="dxa"/>
          </w:tcPr>
          <w:p w:rsidR="00BA7C2C" w:rsidRPr="00A0425E" w:rsidRDefault="00BA7C2C" w:rsidP="00613EE2">
            <w:pPr>
              <w:rPr>
                <w:b/>
              </w:rPr>
            </w:pPr>
            <w:r w:rsidRPr="00A0425E">
              <w:rPr>
                <w:b/>
              </w:rPr>
              <w:lastRenderedPageBreak/>
              <w:t>EC No:</w:t>
            </w:r>
          </w:p>
        </w:tc>
        <w:tc>
          <w:tcPr>
            <w:tcW w:w="4400" w:type="dxa"/>
            <w:vAlign w:val="center"/>
          </w:tcPr>
          <w:p w:rsidR="00BA7C2C" w:rsidRPr="004B63E4" w:rsidRDefault="00BA7C2C" w:rsidP="00613EE2">
            <w:pPr>
              <w:rPr>
                <w:rFonts w:cs="Arial"/>
              </w:rPr>
            </w:pPr>
            <w:r w:rsidRPr="004B63E4">
              <w:rPr>
                <w:rFonts w:cs="Arial"/>
              </w:rPr>
              <w:t>249-205-9</w:t>
            </w:r>
          </w:p>
        </w:tc>
      </w:tr>
      <w:tr w:rsidR="00BA7C2C" w:rsidRPr="005E7543" w:rsidTr="00613EE2">
        <w:trPr>
          <w:cantSplit/>
        </w:trPr>
        <w:tc>
          <w:tcPr>
            <w:tcW w:w="4095" w:type="dxa"/>
          </w:tcPr>
          <w:p w:rsidR="00BA7C2C" w:rsidRPr="00A0425E" w:rsidRDefault="00BA7C2C" w:rsidP="00613EE2">
            <w:pPr>
              <w:rPr>
                <w:b/>
              </w:rPr>
            </w:pPr>
            <w:r w:rsidRPr="00A0425E">
              <w:rPr>
                <w:b/>
              </w:rPr>
              <w:t>Purity (minimum, g/kg or g/l):</w:t>
            </w:r>
          </w:p>
        </w:tc>
        <w:tc>
          <w:tcPr>
            <w:tcW w:w="4400" w:type="dxa"/>
          </w:tcPr>
          <w:p w:rsidR="00BA7C2C" w:rsidRPr="004B63E4" w:rsidRDefault="00BA7C2C" w:rsidP="00613EE2">
            <w:pPr>
              <w:rPr>
                <w:rFonts w:cs="Arial"/>
              </w:rPr>
            </w:pPr>
            <w:r>
              <w:rPr>
                <w:rFonts w:cs="Arial"/>
              </w:rPr>
              <w:sym w:font="Symbol" w:char="F0B3"/>
            </w:r>
            <w:r w:rsidRPr="004B63E4">
              <w:rPr>
                <w:rFonts w:cs="Arial"/>
              </w:rPr>
              <w:t xml:space="preserve"> 96.9% w/w</w:t>
            </w:r>
          </w:p>
        </w:tc>
      </w:tr>
      <w:tr w:rsidR="00BA7C2C" w:rsidRPr="00A0425E" w:rsidTr="00613EE2">
        <w:trPr>
          <w:cantSplit/>
        </w:trPr>
        <w:tc>
          <w:tcPr>
            <w:tcW w:w="4095" w:type="dxa"/>
          </w:tcPr>
          <w:p w:rsidR="00BA7C2C" w:rsidRPr="00A0425E" w:rsidRDefault="00BA7C2C" w:rsidP="00613EE2">
            <w:pPr>
              <w:rPr>
                <w:b/>
              </w:rPr>
            </w:pPr>
            <w:r w:rsidRPr="00A0425E">
              <w:rPr>
                <w:b/>
              </w:rPr>
              <w:t>Inclusion directive:</w:t>
            </w:r>
          </w:p>
        </w:tc>
        <w:tc>
          <w:tcPr>
            <w:tcW w:w="4400" w:type="dxa"/>
          </w:tcPr>
          <w:p w:rsidR="00BA7C2C" w:rsidRPr="004B63E4" w:rsidRDefault="00BA7C2C" w:rsidP="00613EE2">
            <w:pPr>
              <w:rPr>
                <w:rFonts w:cs="Arial"/>
              </w:rPr>
            </w:pPr>
            <w:r w:rsidRPr="004B63E4">
              <w:rPr>
                <w:rFonts w:cs="Arial"/>
              </w:rPr>
              <w:t>Annex I of 98/8/EG for PT14</w:t>
            </w:r>
          </w:p>
        </w:tc>
      </w:tr>
      <w:tr w:rsidR="00BA7C2C" w:rsidRPr="00A0425E" w:rsidTr="00613EE2">
        <w:trPr>
          <w:cantSplit/>
        </w:trPr>
        <w:tc>
          <w:tcPr>
            <w:tcW w:w="4095" w:type="dxa"/>
          </w:tcPr>
          <w:p w:rsidR="00BA7C2C" w:rsidRPr="00A0425E" w:rsidRDefault="00BA7C2C" w:rsidP="00613EE2">
            <w:pPr>
              <w:rPr>
                <w:b/>
              </w:rPr>
            </w:pPr>
            <w:r w:rsidRPr="00A0425E">
              <w:rPr>
                <w:b/>
              </w:rPr>
              <w:t xml:space="preserve">Date of inclusion: </w:t>
            </w:r>
          </w:p>
        </w:tc>
        <w:tc>
          <w:tcPr>
            <w:tcW w:w="4400" w:type="dxa"/>
          </w:tcPr>
          <w:p w:rsidR="00BA7C2C" w:rsidRPr="004B63E4" w:rsidRDefault="00BA7C2C" w:rsidP="00613EE2">
            <w:pPr>
              <w:rPr>
                <w:rFonts w:cs="Arial"/>
              </w:rPr>
            </w:pPr>
            <w:r w:rsidRPr="004B63E4">
              <w:rPr>
                <w:rFonts w:cs="Arial"/>
              </w:rPr>
              <w:t>1 july 2011</w:t>
            </w:r>
          </w:p>
        </w:tc>
      </w:tr>
      <w:tr w:rsidR="00BA7C2C" w:rsidRPr="005E7543" w:rsidTr="00613EE2">
        <w:trPr>
          <w:cantSplit/>
        </w:trPr>
        <w:tc>
          <w:tcPr>
            <w:tcW w:w="4095" w:type="dxa"/>
          </w:tcPr>
          <w:p w:rsidR="00BA7C2C" w:rsidRPr="00A0425E" w:rsidRDefault="00BA7C2C" w:rsidP="00613EE2">
            <w:pPr>
              <w:rPr>
                <w:b/>
              </w:rPr>
            </w:pPr>
            <w:r w:rsidRPr="00A0425E">
              <w:rPr>
                <w:b/>
              </w:rPr>
              <w:t xml:space="preserve">Is the active substance equivalent to the active substance listed in Annex I to 98/8/EC (yes/no): </w:t>
            </w:r>
          </w:p>
        </w:tc>
        <w:tc>
          <w:tcPr>
            <w:tcW w:w="4400" w:type="dxa"/>
          </w:tcPr>
          <w:p w:rsidR="00BA7C2C" w:rsidRPr="004B63E4" w:rsidRDefault="00BA7C2C" w:rsidP="00613EE2">
            <w:pPr>
              <w:rPr>
                <w:rFonts w:cs="Arial"/>
              </w:rPr>
            </w:pPr>
            <w:r w:rsidRPr="004B63E4">
              <w:rPr>
                <w:rFonts w:cs="Arial"/>
              </w:rPr>
              <w:t>Yes</w:t>
            </w:r>
          </w:p>
        </w:tc>
      </w:tr>
      <w:tr w:rsidR="00BA7C2C" w:rsidRPr="005E7543" w:rsidTr="00613EE2">
        <w:trPr>
          <w:cantSplit/>
        </w:trPr>
        <w:tc>
          <w:tcPr>
            <w:tcW w:w="4095" w:type="dxa"/>
          </w:tcPr>
          <w:p w:rsidR="00BA7C2C" w:rsidRPr="00A0425E" w:rsidRDefault="00BA7C2C" w:rsidP="00613EE2">
            <w:pPr>
              <w:rPr>
                <w:b/>
              </w:rPr>
            </w:pPr>
            <w:r w:rsidRPr="00A0425E">
              <w:rPr>
                <w:b/>
              </w:rPr>
              <w:t>Manufacturer of active substance(s) used in the biocidal product:</w:t>
            </w:r>
          </w:p>
        </w:tc>
        <w:tc>
          <w:tcPr>
            <w:tcW w:w="4400" w:type="dxa"/>
          </w:tcPr>
          <w:p w:rsidR="00BA7C2C" w:rsidRPr="004B63E4" w:rsidRDefault="00BA7C2C" w:rsidP="00613EE2">
            <w:pPr>
              <w:rPr>
                <w:rFonts w:cs="Arial"/>
              </w:rPr>
            </w:pPr>
          </w:p>
        </w:tc>
      </w:tr>
      <w:tr w:rsidR="00BA7C2C" w:rsidRPr="00A0425E" w:rsidTr="00613EE2">
        <w:trPr>
          <w:cantSplit/>
        </w:trPr>
        <w:tc>
          <w:tcPr>
            <w:tcW w:w="4095" w:type="dxa"/>
          </w:tcPr>
          <w:p w:rsidR="00BA7C2C" w:rsidRPr="00A0425E" w:rsidRDefault="00BA7C2C" w:rsidP="00613EE2">
            <w:pPr>
              <w:jc w:val="right"/>
              <w:rPr>
                <w:b/>
              </w:rPr>
            </w:pPr>
            <w:r w:rsidRPr="00A0425E">
              <w:rPr>
                <w:b/>
              </w:rPr>
              <w:t>Company Name:</w:t>
            </w:r>
          </w:p>
        </w:tc>
        <w:tc>
          <w:tcPr>
            <w:tcW w:w="4400" w:type="dxa"/>
          </w:tcPr>
          <w:p w:rsidR="00BA7C2C" w:rsidRPr="004B63E4" w:rsidRDefault="00BA7C2C" w:rsidP="00613EE2">
            <w:pPr>
              <w:rPr>
                <w:rFonts w:cs="Arial"/>
              </w:rPr>
            </w:pPr>
            <w:r w:rsidRPr="004B63E4">
              <w:rPr>
                <w:rFonts w:cs="Arial"/>
              </w:rPr>
              <w:t>LiphaTech S.A.S. at AlzChem Trostberg GmbH</w:t>
            </w:r>
          </w:p>
        </w:tc>
      </w:tr>
      <w:tr w:rsidR="00BA7C2C" w:rsidRPr="00A0425E" w:rsidTr="00613EE2">
        <w:trPr>
          <w:cantSplit/>
        </w:trPr>
        <w:tc>
          <w:tcPr>
            <w:tcW w:w="4095" w:type="dxa"/>
          </w:tcPr>
          <w:p w:rsidR="00BA7C2C" w:rsidRPr="00A0425E" w:rsidRDefault="00BA7C2C" w:rsidP="00613EE2">
            <w:pPr>
              <w:jc w:val="right"/>
              <w:rPr>
                <w:b/>
              </w:rPr>
            </w:pPr>
            <w:r w:rsidRPr="00A0425E">
              <w:rPr>
                <w:b/>
              </w:rPr>
              <w:t>Address:</w:t>
            </w:r>
          </w:p>
        </w:tc>
        <w:tc>
          <w:tcPr>
            <w:tcW w:w="4400" w:type="dxa"/>
          </w:tcPr>
          <w:p w:rsidR="00BA7C2C" w:rsidRPr="004B63E4" w:rsidRDefault="00BA7C2C" w:rsidP="00613EE2">
            <w:pPr>
              <w:rPr>
                <w:rFonts w:cs="Arial"/>
              </w:rPr>
            </w:pPr>
            <w:r w:rsidRPr="004B63E4">
              <w:rPr>
                <w:rFonts w:cs="Arial"/>
              </w:rPr>
              <w:t>Chemie Park Trostberg, Dr Albert Frank strasse 32</w:t>
            </w:r>
          </w:p>
        </w:tc>
      </w:tr>
      <w:tr w:rsidR="00BA7C2C" w:rsidRPr="00A0425E" w:rsidTr="00613EE2">
        <w:trPr>
          <w:cantSplit/>
        </w:trPr>
        <w:tc>
          <w:tcPr>
            <w:tcW w:w="4095" w:type="dxa"/>
          </w:tcPr>
          <w:p w:rsidR="00BA7C2C" w:rsidRPr="00A0425E" w:rsidRDefault="00BA7C2C" w:rsidP="00613EE2">
            <w:pPr>
              <w:jc w:val="right"/>
              <w:rPr>
                <w:b/>
              </w:rPr>
            </w:pPr>
            <w:r w:rsidRPr="00A0425E">
              <w:rPr>
                <w:b/>
              </w:rPr>
              <w:t>City:</w:t>
            </w:r>
          </w:p>
        </w:tc>
        <w:tc>
          <w:tcPr>
            <w:tcW w:w="4400" w:type="dxa"/>
          </w:tcPr>
          <w:p w:rsidR="00BA7C2C" w:rsidRPr="004B63E4" w:rsidRDefault="00BA7C2C" w:rsidP="00613EE2">
            <w:pPr>
              <w:rPr>
                <w:rFonts w:cs="Arial"/>
              </w:rPr>
            </w:pPr>
            <w:r w:rsidRPr="004B63E4">
              <w:rPr>
                <w:rFonts w:cs="Arial"/>
              </w:rPr>
              <w:t>Trostberg</w:t>
            </w:r>
          </w:p>
        </w:tc>
      </w:tr>
      <w:tr w:rsidR="00BA7C2C" w:rsidRPr="00A0425E" w:rsidTr="00613EE2">
        <w:trPr>
          <w:cantSplit/>
        </w:trPr>
        <w:tc>
          <w:tcPr>
            <w:tcW w:w="4095" w:type="dxa"/>
          </w:tcPr>
          <w:p w:rsidR="00BA7C2C" w:rsidRPr="00A0425E" w:rsidRDefault="00BA7C2C" w:rsidP="00613EE2">
            <w:pPr>
              <w:jc w:val="right"/>
              <w:rPr>
                <w:b/>
              </w:rPr>
            </w:pPr>
            <w:r w:rsidRPr="00A0425E">
              <w:rPr>
                <w:b/>
              </w:rPr>
              <w:t>Postal Code:</w:t>
            </w:r>
          </w:p>
        </w:tc>
        <w:tc>
          <w:tcPr>
            <w:tcW w:w="4400" w:type="dxa"/>
          </w:tcPr>
          <w:p w:rsidR="00BA7C2C" w:rsidRPr="004B63E4" w:rsidRDefault="00BA7C2C" w:rsidP="00613EE2">
            <w:pPr>
              <w:rPr>
                <w:rFonts w:cs="Arial"/>
              </w:rPr>
            </w:pPr>
            <w:r w:rsidRPr="004B63E4">
              <w:rPr>
                <w:rFonts w:cs="Arial"/>
              </w:rPr>
              <w:t>83308</w:t>
            </w:r>
          </w:p>
        </w:tc>
      </w:tr>
      <w:tr w:rsidR="00BA7C2C" w:rsidRPr="00A0425E" w:rsidTr="00613EE2">
        <w:trPr>
          <w:cantSplit/>
        </w:trPr>
        <w:tc>
          <w:tcPr>
            <w:tcW w:w="4095" w:type="dxa"/>
          </w:tcPr>
          <w:p w:rsidR="00BA7C2C" w:rsidRPr="00A0425E" w:rsidRDefault="00BA7C2C" w:rsidP="00613EE2">
            <w:pPr>
              <w:jc w:val="right"/>
              <w:rPr>
                <w:b/>
              </w:rPr>
            </w:pPr>
            <w:r w:rsidRPr="00A0425E">
              <w:rPr>
                <w:b/>
              </w:rPr>
              <w:t>Country:</w:t>
            </w:r>
          </w:p>
        </w:tc>
        <w:tc>
          <w:tcPr>
            <w:tcW w:w="4400" w:type="dxa"/>
          </w:tcPr>
          <w:p w:rsidR="00BA7C2C" w:rsidRPr="004B63E4" w:rsidRDefault="00BA7C2C" w:rsidP="00613EE2">
            <w:pPr>
              <w:rPr>
                <w:rFonts w:cs="Arial"/>
              </w:rPr>
            </w:pPr>
            <w:smartTag w:uri="urn:schemas-microsoft-com:office:smarttags" w:element="place">
              <w:smartTag w:uri="urn:schemas-microsoft-com:office:smarttags" w:element="country-region">
                <w:r w:rsidRPr="004B63E4">
                  <w:rPr>
                    <w:rFonts w:cs="Arial"/>
                  </w:rPr>
                  <w:t>Germany</w:t>
                </w:r>
              </w:smartTag>
            </w:smartTag>
          </w:p>
        </w:tc>
      </w:tr>
      <w:tr w:rsidR="00BA7C2C" w:rsidRPr="00A0425E" w:rsidTr="00613EE2">
        <w:trPr>
          <w:cantSplit/>
        </w:trPr>
        <w:tc>
          <w:tcPr>
            <w:tcW w:w="4095" w:type="dxa"/>
          </w:tcPr>
          <w:p w:rsidR="00BA7C2C" w:rsidRPr="00A0425E" w:rsidRDefault="00BA7C2C" w:rsidP="00613EE2">
            <w:pPr>
              <w:jc w:val="right"/>
              <w:rPr>
                <w:b/>
              </w:rPr>
            </w:pPr>
            <w:r w:rsidRPr="00A0425E">
              <w:rPr>
                <w:b/>
              </w:rPr>
              <w:t>Telephone:</w:t>
            </w:r>
          </w:p>
        </w:tc>
        <w:tc>
          <w:tcPr>
            <w:tcW w:w="4400" w:type="dxa"/>
          </w:tcPr>
          <w:p w:rsidR="00BA7C2C" w:rsidRPr="004B63E4" w:rsidRDefault="00BA7C2C" w:rsidP="00613EE2">
            <w:pPr>
              <w:rPr>
                <w:rFonts w:cs="Arial"/>
              </w:rPr>
            </w:pPr>
            <w:r>
              <w:rPr>
                <w:rFonts w:cs="Arial"/>
              </w:rPr>
              <w:t>+33 5 53 69 36 83</w:t>
            </w:r>
          </w:p>
        </w:tc>
      </w:tr>
      <w:tr w:rsidR="00BA7C2C" w:rsidRPr="00A0425E" w:rsidTr="00613EE2">
        <w:trPr>
          <w:cantSplit/>
        </w:trPr>
        <w:tc>
          <w:tcPr>
            <w:tcW w:w="4095" w:type="dxa"/>
          </w:tcPr>
          <w:p w:rsidR="00BA7C2C" w:rsidRPr="00A0425E" w:rsidRDefault="00BA7C2C" w:rsidP="00613EE2">
            <w:pPr>
              <w:jc w:val="right"/>
              <w:rPr>
                <w:b/>
              </w:rPr>
            </w:pPr>
            <w:r w:rsidRPr="00A0425E">
              <w:rPr>
                <w:b/>
              </w:rPr>
              <w:t>Fax:</w:t>
            </w:r>
          </w:p>
        </w:tc>
        <w:tc>
          <w:tcPr>
            <w:tcW w:w="4400" w:type="dxa"/>
          </w:tcPr>
          <w:p w:rsidR="00BA7C2C" w:rsidRPr="004B63E4" w:rsidRDefault="00BA7C2C" w:rsidP="00613EE2">
            <w:pPr>
              <w:rPr>
                <w:rFonts w:cs="Arial"/>
              </w:rPr>
            </w:pPr>
            <w:r w:rsidRPr="004B63E4">
              <w:rPr>
                <w:rFonts w:cs="Arial"/>
              </w:rPr>
              <w:t>+33 5 53 69 81 81</w:t>
            </w:r>
          </w:p>
        </w:tc>
      </w:tr>
      <w:tr w:rsidR="00BA7C2C" w:rsidRPr="00A0425E" w:rsidTr="00613EE2">
        <w:trPr>
          <w:cantSplit/>
        </w:trPr>
        <w:tc>
          <w:tcPr>
            <w:tcW w:w="4095" w:type="dxa"/>
          </w:tcPr>
          <w:p w:rsidR="00BA7C2C" w:rsidRPr="00A0425E" w:rsidRDefault="00BA7C2C" w:rsidP="00613EE2">
            <w:pPr>
              <w:jc w:val="right"/>
              <w:rPr>
                <w:b/>
              </w:rPr>
            </w:pPr>
            <w:r w:rsidRPr="00A0425E">
              <w:rPr>
                <w:b/>
              </w:rPr>
              <w:t>E-mail address:</w:t>
            </w:r>
          </w:p>
        </w:tc>
        <w:tc>
          <w:tcPr>
            <w:tcW w:w="4400" w:type="dxa"/>
          </w:tcPr>
          <w:p w:rsidR="00BA7C2C" w:rsidRPr="004B63E4" w:rsidRDefault="00BA7C2C" w:rsidP="00613EE2">
            <w:pPr>
              <w:rPr>
                <w:rFonts w:cs="Arial"/>
              </w:rPr>
            </w:pPr>
            <w:r>
              <w:rPr>
                <w:rFonts w:cs="Arial"/>
              </w:rPr>
              <w:t>rollinf</w:t>
            </w:r>
            <w:r w:rsidRPr="004B63E4">
              <w:rPr>
                <w:rFonts w:cs="Arial"/>
              </w:rPr>
              <w:t>@desangosse.com</w:t>
            </w:r>
          </w:p>
        </w:tc>
      </w:tr>
    </w:tbl>
    <w:p w:rsidR="00BA7C2C" w:rsidRPr="00A0425E" w:rsidRDefault="00BA7C2C" w:rsidP="00BA7C2C">
      <w:pPr>
        <w:pStyle w:val="Plattetekst"/>
      </w:pPr>
    </w:p>
    <w:p w:rsidR="00BA7C2C" w:rsidRPr="00A0425E" w:rsidRDefault="00BA7C2C" w:rsidP="00BA7C2C">
      <w:pPr>
        <w:pStyle w:val="Kop3"/>
        <w:numPr>
          <w:ilvl w:val="2"/>
          <w:numId w:val="12"/>
        </w:numPr>
        <w:tabs>
          <w:tab w:val="left" w:pos="1304"/>
        </w:tabs>
        <w:spacing w:line="280" w:lineRule="atLeast"/>
        <w:jc w:val="left"/>
      </w:pPr>
      <w:bookmarkStart w:id="747" w:name="_Toc362858076"/>
      <w:r w:rsidRPr="00A0425E">
        <w:t>Information on the substance(s) of concern</w:t>
      </w:r>
      <w:r w:rsidRPr="00A0425E">
        <w:rPr>
          <w:rStyle w:val="Voetnootmarkering"/>
        </w:rPr>
        <w:footnoteReference w:id="8"/>
      </w:r>
      <w:bookmarkEnd w:id="747"/>
    </w:p>
    <w:p w:rsidR="00BA7C2C" w:rsidRPr="004B63E4" w:rsidRDefault="00BA7C2C" w:rsidP="00BA7C2C">
      <w:pPr>
        <w:pStyle w:val="Plattetekst"/>
        <w:rPr>
          <w:rFonts w:cs="Arial"/>
          <w:szCs w:val="22"/>
        </w:rPr>
      </w:pPr>
      <w:r w:rsidRPr="004B63E4">
        <w:rPr>
          <w:rFonts w:cs="Arial"/>
          <w:szCs w:val="22"/>
        </w:rPr>
        <w:t>No substances of concern are present in the active substance/formulation.</w:t>
      </w:r>
    </w:p>
    <w:p w:rsidR="00BA7C2C" w:rsidRPr="00A0425E" w:rsidRDefault="00BA7C2C" w:rsidP="00BA7C2C">
      <w:pPr>
        <w:pStyle w:val="Plattetekst"/>
      </w:pPr>
    </w:p>
    <w:p w:rsidR="00BA7C2C" w:rsidRPr="00A0425E" w:rsidRDefault="00BA7C2C" w:rsidP="00BA7C2C">
      <w:pPr>
        <w:pStyle w:val="Kop2"/>
        <w:numPr>
          <w:ilvl w:val="1"/>
          <w:numId w:val="12"/>
        </w:numPr>
        <w:tabs>
          <w:tab w:val="left" w:pos="1304"/>
        </w:tabs>
        <w:spacing w:after="240" w:line="280" w:lineRule="atLeast"/>
      </w:pPr>
      <w:bookmarkStart w:id="748" w:name="_Toc146696539"/>
      <w:bookmarkStart w:id="749" w:name="_Toc224453229"/>
      <w:bookmarkStart w:id="750" w:name="_Toc362858077"/>
      <w:bookmarkStart w:id="751" w:name="_Toc161194996"/>
      <w:bookmarkStart w:id="752" w:name="_Toc161196034"/>
      <w:bookmarkStart w:id="753" w:name="_Toc157411493"/>
      <w:r w:rsidRPr="00A0425E">
        <w:t>Documentation</w:t>
      </w:r>
      <w:bookmarkEnd w:id="748"/>
      <w:bookmarkEnd w:id="749"/>
      <w:bookmarkEnd w:id="750"/>
    </w:p>
    <w:p w:rsidR="00BA7C2C" w:rsidRPr="00A0425E" w:rsidRDefault="00BA7C2C" w:rsidP="00BA7C2C">
      <w:pPr>
        <w:pStyle w:val="Kop3"/>
        <w:numPr>
          <w:ilvl w:val="2"/>
          <w:numId w:val="12"/>
        </w:numPr>
        <w:tabs>
          <w:tab w:val="left" w:pos="1304"/>
        </w:tabs>
        <w:spacing w:line="280" w:lineRule="atLeast"/>
        <w:jc w:val="left"/>
      </w:pPr>
      <w:bookmarkStart w:id="754" w:name="_Toc362858078"/>
      <w:r w:rsidRPr="00A0425E">
        <w:t>Data submitted in relation to product application</w:t>
      </w:r>
      <w:bookmarkEnd w:id="754"/>
    </w:p>
    <w:bookmarkEnd w:id="751"/>
    <w:bookmarkEnd w:id="752"/>
    <w:bookmarkEnd w:id="753"/>
    <w:p w:rsidR="00BA7C2C" w:rsidRPr="006D1B26" w:rsidRDefault="00BA7C2C" w:rsidP="00BA7C2C">
      <w:pPr>
        <w:spacing w:before="120" w:after="120"/>
        <w:rPr>
          <w:rFonts w:cs="Arial"/>
          <w:bCs/>
          <w:szCs w:val="22"/>
        </w:rPr>
      </w:pPr>
      <w:r w:rsidRPr="006D1B26">
        <w:rPr>
          <w:rFonts w:cs="Arial"/>
          <w:bCs/>
          <w:szCs w:val="22"/>
        </w:rPr>
        <w:t xml:space="preserve">New studies concerning the product Maki Pat’ have been submitted with respect to physical-chemical properties of the product, analytical methods, toxicity and efficacy. The studies are listed in Annex 2. </w:t>
      </w:r>
    </w:p>
    <w:p w:rsidR="00BA7C2C" w:rsidRPr="00A0425E" w:rsidRDefault="00BA7C2C" w:rsidP="00BA7C2C">
      <w:pPr>
        <w:pStyle w:val="Kop3"/>
        <w:numPr>
          <w:ilvl w:val="2"/>
          <w:numId w:val="12"/>
        </w:numPr>
        <w:tabs>
          <w:tab w:val="left" w:pos="1304"/>
        </w:tabs>
        <w:spacing w:line="280" w:lineRule="atLeast"/>
        <w:jc w:val="left"/>
      </w:pPr>
      <w:bookmarkStart w:id="755" w:name="_Toc362858079"/>
      <w:r w:rsidRPr="00A0425E">
        <w:t>Access to documentation</w:t>
      </w:r>
      <w:bookmarkEnd w:id="755"/>
    </w:p>
    <w:p w:rsidR="00BA7C2C" w:rsidRPr="006D1B26" w:rsidRDefault="00BA7C2C" w:rsidP="00BA7C2C">
      <w:pPr>
        <w:spacing w:before="120" w:after="120"/>
        <w:rPr>
          <w:rFonts w:cs="Arial"/>
          <w:bCs/>
          <w:szCs w:val="22"/>
        </w:rPr>
      </w:pPr>
      <w:r w:rsidRPr="006D1B26">
        <w:rPr>
          <w:rFonts w:cs="Arial"/>
          <w:bCs/>
          <w:szCs w:val="22"/>
        </w:rPr>
        <w:t>The applicant</w:t>
      </w:r>
      <w:r>
        <w:rPr>
          <w:rFonts w:cs="Arial"/>
          <w:bCs/>
          <w:szCs w:val="22"/>
        </w:rPr>
        <w:t xml:space="preserve"> LiphaTech S.A.S</w:t>
      </w:r>
      <w:r w:rsidRPr="006D1B26">
        <w:rPr>
          <w:rFonts w:cs="Arial"/>
          <w:bCs/>
          <w:szCs w:val="22"/>
        </w:rPr>
        <w:t xml:space="preserve"> is owner of the </w:t>
      </w:r>
      <w:r>
        <w:rPr>
          <w:rFonts w:cs="Arial"/>
          <w:bCs/>
          <w:szCs w:val="22"/>
        </w:rPr>
        <w:t>data</w:t>
      </w:r>
      <w:r w:rsidRPr="006D1B26">
        <w:rPr>
          <w:rFonts w:cs="Arial"/>
          <w:bCs/>
          <w:szCs w:val="22"/>
        </w:rPr>
        <w:t xml:space="preserve"> of the B</w:t>
      </w:r>
      <w:r>
        <w:rPr>
          <w:rFonts w:cs="Arial"/>
          <w:bCs/>
          <w:szCs w:val="22"/>
        </w:rPr>
        <w:t xml:space="preserve">romadiolone Assessment </w:t>
      </w:r>
      <w:r w:rsidRPr="006D1B26">
        <w:rPr>
          <w:rFonts w:cs="Arial"/>
          <w:bCs/>
          <w:szCs w:val="22"/>
        </w:rPr>
        <w:t>report</w:t>
      </w:r>
      <w:r>
        <w:rPr>
          <w:rFonts w:cs="Arial"/>
          <w:bCs/>
          <w:szCs w:val="22"/>
        </w:rPr>
        <w:t xml:space="preserve"> for pt14</w:t>
      </w:r>
      <w:r w:rsidRPr="006D1B26">
        <w:rPr>
          <w:rFonts w:cs="Arial"/>
          <w:bCs/>
          <w:szCs w:val="22"/>
        </w:rPr>
        <w:t>.</w:t>
      </w:r>
    </w:p>
    <w:p w:rsidR="00BA7C2C" w:rsidRPr="00A0425E" w:rsidRDefault="00BA7C2C" w:rsidP="00BA7C2C">
      <w:r w:rsidRPr="00A0425E">
        <w:br w:type="page"/>
      </w:r>
    </w:p>
    <w:p w:rsidR="00BA7C2C" w:rsidRPr="00A0425E" w:rsidRDefault="00BA7C2C" w:rsidP="00BA7C2C">
      <w:pPr>
        <w:pStyle w:val="Kop1"/>
        <w:widowControl w:val="0"/>
        <w:numPr>
          <w:ilvl w:val="0"/>
          <w:numId w:val="12"/>
        </w:numPr>
        <w:tabs>
          <w:tab w:val="left" w:pos="1304"/>
        </w:tabs>
        <w:suppressAutoHyphens/>
        <w:autoSpaceDE w:val="0"/>
        <w:autoSpaceDN w:val="0"/>
        <w:adjustRightInd w:val="0"/>
        <w:spacing w:before="480" w:after="120" w:line="400" w:lineRule="atLeast"/>
      </w:pPr>
      <w:bookmarkStart w:id="756" w:name="_Toc362858080"/>
      <w:r w:rsidRPr="00A0425E">
        <w:lastRenderedPageBreak/>
        <w:t>Summary of the product assessment</w:t>
      </w:r>
      <w:bookmarkEnd w:id="756"/>
    </w:p>
    <w:p w:rsidR="00BA7C2C" w:rsidRPr="00A0425E" w:rsidRDefault="00BA7C2C" w:rsidP="00BA7C2C">
      <w:pPr>
        <w:pStyle w:val="Kop2"/>
        <w:numPr>
          <w:ilvl w:val="1"/>
          <w:numId w:val="12"/>
        </w:numPr>
        <w:tabs>
          <w:tab w:val="left" w:pos="1304"/>
        </w:tabs>
        <w:spacing w:after="240" w:line="280" w:lineRule="atLeast"/>
      </w:pPr>
      <w:bookmarkStart w:id="757" w:name="_Toc362858081"/>
      <w:r w:rsidRPr="00A0425E">
        <w:t>Identity related issues</w:t>
      </w:r>
      <w:bookmarkEnd w:id="757"/>
    </w:p>
    <w:tbl>
      <w:tblPr>
        <w:tblW w:w="0" w:type="auto"/>
        <w:tblLayout w:type="fixed"/>
        <w:tblLook w:val="01E0" w:firstRow="1" w:lastRow="1" w:firstColumn="1" w:lastColumn="1" w:noHBand="0" w:noVBand="0"/>
      </w:tblPr>
      <w:tblGrid>
        <w:gridCol w:w="1538"/>
        <w:gridCol w:w="1270"/>
        <w:gridCol w:w="1620"/>
        <w:gridCol w:w="1260"/>
        <w:gridCol w:w="2834"/>
      </w:tblGrid>
      <w:tr w:rsidR="00BA7C2C" w:rsidRPr="004B63E4" w:rsidTr="00613EE2">
        <w:tc>
          <w:tcPr>
            <w:tcW w:w="1538" w:type="dxa"/>
          </w:tcPr>
          <w:p w:rsidR="00BA7C2C" w:rsidRPr="004B63E4" w:rsidRDefault="00BA7C2C" w:rsidP="00613EE2">
            <w:pPr>
              <w:spacing w:before="120" w:after="120"/>
            </w:pPr>
            <w:r w:rsidRPr="004B63E4">
              <w:t>Trade name</w:t>
            </w:r>
          </w:p>
        </w:tc>
        <w:tc>
          <w:tcPr>
            <w:tcW w:w="6984" w:type="dxa"/>
            <w:gridSpan w:val="4"/>
          </w:tcPr>
          <w:p w:rsidR="00BA7C2C" w:rsidRPr="004B63E4" w:rsidRDefault="00BA7C2C" w:rsidP="00613EE2">
            <w:pPr>
              <w:spacing w:before="120" w:after="120"/>
            </w:pPr>
            <w:r w:rsidRPr="004B63E4">
              <w:rPr>
                <w:bCs/>
              </w:rPr>
              <w:t>Maki Pat</w:t>
            </w:r>
            <w:r>
              <w:rPr>
                <w:bCs/>
              </w:rPr>
              <w:t>’</w:t>
            </w:r>
          </w:p>
        </w:tc>
      </w:tr>
      <w:tr w:rsidR="00BA7C2C" w:rsidRPr="004B63E4" w:rsidTr="00613EE2">
        <w:tc>
          <w:tcPr>
            <w:tcW w:w="1538" w:type="dxa"/>
          </w:tcPr>
          <w:p w:rsidR="00BA7C2C" w:rsidRPr="004B63E4" w:rsidRDefault="00BA7C2C" w:rsidP="00613EE2">
            <w:pPr>
              <w:spacing w:before="120" w:after="120"/>
            </w:pPr>
            <w:r w:rsidRPr="004B63E4">
              <w:t>Active ingredient</w:t>
            </w:r>
          </w:p>
        </w:tc>
        <w:tc>
          <w:tcPr>
            <w:tcW w:w="1270" w:type="dxa"/>
          </w:tcPr>
          <w:p w:rsidR="00BA7C2C" w:rsidRPr="004B63E4" w:rsidRDefault="00BA7C2C" w:rsidP="00613EE2">
            <w:pPr>
              <w:spacing w:before="120" w:after="120"/>
            </w:pPr>
            <w:r w:rsidRPr="004B63E4">
              <w:t>Purity (%w/w)</w:t>
            </w:r>
          </w:p>
        </w:tc>
        <w:tc>
          <w:tcPr>
            <w:tcW w:w="1620" w:type="dxa"/>
          </w:tcPr>
          <w:p w:rsidR="00BA7C2C" w:rsidRPr="004B63E4" w:rsidRDefault="00BA7C2C" w:rsidP="00613EE2">
            <w:pPr>
              <w:spacing w:before="120" w:after="120"/>
            </w:pPr>
            <w:r w:rsidRPr="004B63E4">
              <w:t>CAS No.</w:t>
            </w:r>
          </w:p>
        </w:tc>
        <w:tc>
          <w:tcPr>
            <w:tcW w:w="1260" w:type="dxa"/>
          </w:tcPr>
          <w:p w:rsidR="00BA7C2C" w:rsidRPr="004B63E4" w:rsidRDefault="00BA7C2C" w:rsidP="00613EE2">
            <w:pPr>
              <w:spacing w:before="120" w:after="120"/>
            </w:pPr>
            <w:r w:rsidRPr="004B63E4">
              <w:t>EC No.</w:t>
            </w:r>
          </w:p>
        </w:tc>
        <w:tc>
          <w:tcPr>
            <w:tcW w:w="2834" w:type="dxa"/>
          </w:tcPr>
          <w:p w:rsidR="00BA7C2C" w:rsidRPr="004B63E4" w:rsidRDefault="00BA7C2C" w:rsidP="00613EE2">
            <w:pPr>
              <w:spacing w:before="120" w:after="120"/>
            </w:pPr>
            <w:r w:rsidRPr="004B63E4">
              <w:t>Content (</w:t>
            </w:r>
            <w:r>
              <w:t>%</w:t>
            </w:r>
            <w:r w:rsidRPr="004B63E4">
              <w:t>)</w:t>
            </w:r>
          </w:p>
        </w:tc>
      </w:tr>
      <w:tr w:rsidR="00BA7C2C" w:rsidRPr="004B63E4" w:rsidTr="00613EE2">
        <w:tc>
          <w:tcPr>
            <w:tcW w:w="1538" w:type="dxa"/>
          </w:tcPr>
          <w:p w:rsidR="00BA7C2C" w:rsidRPr="004B63E4" w:rsidRDefault="00BA7C2C" w:rsidP="00613EE2">
            <w:pPr>
              <w:spacing w:before="120" w:after="120"/>
            </w:pPr>
            <w:r w:rsidRPr="004B63E4">
              <w:t>Bro</w:t>
            </w:r>
            <w:r>
              <w:t>-</w:t>
            </w:r>
            <w:r w:rsidRPr="004B63E4">
              <w:t xml:space="preserve">madiolone </w:t>
            </w:r>
          </w:p>
        </w:tc>
        <w:tc>
          <w:tcPr>
            <w:tcW w:w="1270" w:type="dxa"/>
          </w:tcPr>
          <w:p w:rsidR="00BA7C2C" w:rsidRPr="004B63E4" w:rsidRDefault="00BA7C2C" w:rsidP="00613EE2">
            <w:pPr>
              <w:spacing w:before="120" w:after="120"/>
            </w:pPr>
            <w:r>
              <w:rPr>
                <w:color w:val="000000"/>
              </w:rPr>
              <w:sym w:font="Symbol" w:char="F0B3"/>
            </w:r>
            <w:r w:rsidRPr="004B63E4">
              <w:rPr>
                <w:color w:val="000000"/>
              </w:rPr>
              <w:t xml:space="preserve"> 96.9% w/w</w:t>
            </w:r>
          </w:p>
        </w:tc>
        <w:tc>
          <w:tcPr>
            <w:tcW w:w="1620" w:type="dxa"/>
          </w:tcPr>
          <w:p w:rsidR="00BA7C2C" w:rsidRPr="004B63E4" w:rsidRDefault="00BA7C2C" w:rsidP="00613EE2">
            <w:pPr>
              <w:spacing w:before="120" w:after="120"/>
            </w:pPr>
            <w:r w:rsidRPr="004B63E4">
              <w:rPr>
                <w:color w:val="000000"/>
              </w:rPr>
              <w:t>28772-56-7</w:t>
            </w:r>
          </w:p>
        </w:tc>
        <w:tc>
          <w:tcPr>
            <w:tcW w:w="1260" w:type="dxa"/>
          </w:tcPr>
          <w:p w:rsidR="00BA7C2C" w:rsidRPr="004B63E4" w:rsidRDefault="00BA7C2C" w:rsidP="00613EE2">
            <w:pPr>
              <w:spacing w:before="120" w:after="120"/>
            </w:pPr>
            <w:r w:rsidRPr="004B63E4">
              <w:rPr>
                <w:color w:val="000000"/>
              </w:rPr>
              <w:t>249-205-9</w:t>
            </w:r>
          </w:p>
        </w:tc>
        <w:tc>
          <w:tcPr>
            <w:tcW w:w="2834" w:type="dxa"/>
          </w:tcPr>
          <w:p w:rsidR="00BA7C2C" w:rsidRPr="004B63E4" w:rsidRDefault="00BA7C2C" w:rsidP="00613EE2">
            <w:pPr>
              <w:spacing w:before="120" w:after="120"/>
            </w:pPr>
            <w:r w:rsidRPr="004B63E4">
              <w:t>0.0050 (pure active)</w:t>
            </w:r>
          </w:p>
        </w:tc>
      </w:tr>
      <w:tr w:rsidR="00BA7C2C" w:rsidRPr="004B63E4" w:rsidTr="00613EE2">
        <w:tc>
          <w:tcPr>
            <w:tcW w:w="8522" w:type="dxa"/>
            <w:gridSpan w:val="5"/>
          </w:tcPr>
          <w:p w:rsidR="00BA7C2C" w:rsidRPr="004B63E4" w:rsidRDefault="00BA7C2C" w:rsidP="00613EE2">
            <w:pPr>
              <w:spacing w:before="120" w:after="120"/>
            </w:pPr>
            <w:r w:rsidRPr="004B63E4">
              <w:t xml:space="preserve">Remark: </w:t>
            </w:r>
            <w:r w:rsidRPr="004B63E4">
              <w:rPr>
                <w:lang w:eastAsia="nl-NL"/>
              </w:rPr>
              <w:t>Bromadiolone consists of four enantiomers (</w:t>
            </w:r>
            <w:r w:rsidRPr="004B63E4">
              <w:t xml:space="preserve">two racemic dl diastereoisomers present at the specification </w:t>
            </w:r>
            <w:r w:rsidRPr="004B63E4">
              <w:sym w:font="Symbol" w:char="F0B3"/>
            </w:r>
            <w:r w:rsidRPr="004B63E4">
              <w:t xml:space="preserve">80% and </w:t>
            </w:r>
            <w:r w:rsidRPr="004B63E4">
              <w:sym w:font="Symbol" w:char="F0A3"/>
            </w:r>
            <w:r w:rsidRPr="004B63E4">
              <w:t>20%).</w:t>
            </w:r>
          </w:p>
          <w:p w:rsidR="00BA7C2C" w:rsidRPr="004B63E4" w:rsidRDefault="00BA7C2C" w:rsidP="00613EE2">
            <w:pPr>
              <w:spacing w:before="120" w:after="120"/>
            </w:pPr>
            <w:r w:rsidRPr="004B63E4">
              <w:t xml:space="preserve">No substance of concern is found in </w:t>
            </w:r>
            <w:r w:rsidRPr="004B63E4">
              <w:rPr>
                <w:bCs/>
              </w:rPr>
              <w:t>Maki Pat</w:t>
            </w:r>
            <w:r>
              <w:rPr>
                <w:bCs/>
              </w:rPr>
              <w:t>’</w:t>
            </w:r>
            <w:r w:rsidRPr="004B63E4">
              <w:t>.</w:t>
            </w:r>
          </w:p>
        </w:tc>
      </w:tr>
    </w:tbl>
    <w:p w:rsidR="00BA7C2C" w:rsidRPr="00A0425E" w:rsidRDefault="00BA7C2C" w:rsidP="00BA7C2C">
      <w:pPr>
        <w:pStyle w:val="Kop2"/>
        <w:numPr>
          <w:ilvl w:val="1"/>
          <w:numId w:val="12"/>
        </w:numPr>
        <w:tabs>
          <w:tab w:val="left" w:pos="1304"/>
        </w:tabs>
        <w:spacing w:before="360" w:after="240" w:line="280" w:lineRule="atLeast"/>
      </w:pPr>
      <w:bookmarkStart w:id="758" w:name="_Toc362858082"/>
      <w:r w:rsidRPr="00A0425E">
        <w:t>Classification, labelling and packaging</w:t>
      </w:r>
      <w:bookmarkEnd w:id="758"/>
      <w:r w:rsidRPr="00A0425E">
        <w:t xml:space="preserve"> </w:t>
      </w:r>
    </w:p>
    <w:p w:rsidR="00BA7C2C" w:rsidRPr="00A0425E" w:rsidRDefault="00BA7C2C" w:rsidP="00BA7C2C">
      <w:pPr>
        <w:pStyle w:val="Kop3"/>
        <w:numPr>
          <w:ilvl w:val="2"/>
          <w:numId w:val="12"/>
        </w:numPr>
        <w:tabs>
          <w:tab w:val="left" w:pos="1304"/>
        </w:tabs>
        <w:spacing w:before="360" w:line="280" w:lineRule="atLeast"/>
        <w:jc w:val="left"/>
      </w:pPr>
      <w:bookmarkStart w:id="759" w:name="_Toc362858083"/>
      <w:r w:rsidRPr="00A0425E">
        <w:t xml:space="preserve">Harmonised classification </w:t>
      </w:r>
      <w:r>
        <w:t xml:space="preserve">and labelling </w:t>
      </w:r>
      <w:r w:rsidRPr="00A0425E">
        <w:t>of the biocidal product</w:t>
      </w:r>
      <w:bookmarkEnd w:id="759"/>
    </w:p>
    <w:p w:rsidR="00BA7C2C" w:rsidRPr="00C83947" w:rsidRDefault="00BA7C2C" w:rsidP="00BA7C2C">
      <w:pPr>
        <w:rPr>
          <w:rFonts w:cs="Arial"/>
          <w:lang w:val="en-US"/>
        </w:rPr>
      </w:pPr>
      <w:r w:rsidRPr="00C83947">
        <w:rPr>
          <w:rFonts w:cs="Arial"/>
          <w:b/>
          <w:bCs/>
          <w:lang w:val="en-US"/>
        </w:rPr>
        <w:t>Proposal for the classification and labelling of the formulation concerning physical chemical properties</w:t>
      </w:r>
    </w:p>
    <w:p w:rsidR="00BA7C2C" w:rsidRPr="00C83947" w:rsidRDefault="00BA7C2C" w:rsidP="00BA7C2C">
      <w:pPr>
        <w:rPr>
          <w:rFonts w:cs="Arial"/>
          <w:b/>
          <w:lang w:val="en-US"/>
        </w:rPr>
      </w:pPr>
    </w:p>
    <w:p w:rsidR="00BA7C2C" w:rsidRDefault="00BA7C2C" w:rsidP="00BA7C2C">
      <w:pPr>
        <w:rPr>
          <w:rFonts w:cs="Arial"/>
          <w:lang w:val="en-US"/>
        </w:rPr>
      </w:pPr>
      <w:r>
        <w:rPr>
          <w:rFonts w:cs="Arial"/>
          <w:lang w:val="en-US"/>
        </w:rPr>
        <w:t>Classification and labeling of the formulation concerning physical chemical properties is not required.</w:t>
      </w:r>
    </w:p>
    <w:p w:rsidR="00BA7C2C" w:rsidRDefault="00BA7C2C" w:rsidP="00BA7C2C">
      <w:pPr>
        <w:rPr>
          <w:rFonts w:cs="Arial"/>
          <w:lang w:val="en-US"/>
        </w:rPr>
      </w:pPr>
      <w:r w:rsidRPr="00C83947">
        <w:rPr>
          <w:rFonts w:cs="Arial"/>
          <w:lang w:val="en-US"/>
        </w:rPr>
        <w:t>Supported shelf life of the formulation: two years in PP. Extrapolation to PE is allowed.</w:t>
      </w:r>
    </w:p>
    <w:p w:rsidR="00BA7C2C" w:rsidRDefault="00BA7C2C" w:rsidP="00BA7C2C">
      <w:pPr>
        <w:rPr>
          <w:rFonts w:cs="Arial"/>
          <w:lang w:val="en-US"/>
        </w:rPr>
      </w:pPr>
    </w:p>
    <w:p w:rsidR="00BA7C2C" w:rsidRPr="00C83947" w:rsidRDefault="00BA7C2C" w:rsidP="00BA7C2C">
      <w:pPr>
        <w:rPr>
          <w:rFonts w:cs="Arial"/>
          <w:lang w:val="en-US"/>
        </w:rPr>
      </w:pPr>
      <w:r w:rsidRPr="00C83947">
        <w:rPr>
          <w:rFonts w:cs="Arial"/>
          <w:b/>
          <w:bCs/>
          <w:lang w:val="en-US"/>
        </w:rPr>
        <w:t>Proposal for the classification and labelling of the formulat</w:t>
      </w:r>
      <w:r>
        <w:rPr>
          <w:rFonts w:cs="Arial"/>
          <w:b/>
          <w:bCs/>
          <w:lang w:val="en-US"/>
        </w:rPr>
        <w:t>ion concerning toxicological</w:t>
      </w:r>
      <w:r w:rsidRPr="00C83947">
        <w:rPr>
          <w:rFonts w:cs="Arial"/>
          <w:b/>
          <w:bCs/>
          <w:lang w:val="en-US"/>
        </w:rPr>
        <w:t xml:space="preserve"> properties</w:t>
      </w:r>
    </w:p>
    <w:p w:rsidR="00BA7C2C" w:rsidRDefault="00BA7C2C" w:rsidP="00BA7C2C">
      <w:pPr>
        <w:rPr>
          <w:rFonts w:cs="Arial"/>
          <w:lang w:val="en-US"/>
        </w:rPr>
      </w:pPr>
    </w:p>
    <w:p w:rsidR="00BA7C2C" w:rsidRPr="00F16A03" w:rsidRDefault="00BA7C2C" w:rsidP="00BA7C2C">
      <w:pPr>
        <w:rPr>
          <w:rFonts w:cs="Arial"/>
          <w:u w:val="single"/>
          <w:lang w:val="en-US"/>
        </w:rPr>
      </w:pPr>
      <w:r w:rsidRPr="00F16A03">
        <w:rPr>
          <w:rFonts w:cs="Arial"/>
          <w:u w:val="single"/>
          <w:lang w:val="en-US"/>
        </w:rPr>
        <w:t>Proposed classification based on Directive 1999/45/EC</w:t>
      </w:r>
    </w:p>
    <w:p w:rsidR="00BA7C2C" w:rsidRDefault="00BA7C2C" w:rsidP="00BA7C2C">
      <w:pPr>
        <w:autoSpaceDE w:val="0"/>
        <w:autoSpaceDN w:val="0"/>
        <w:adjustRightInd w:val="0"/>
        <w:rPr>
          <w:lang w:eastAsia="nl-NL"/>
        </w:rPr>
      </w:pPr>
    </w:p>
    <w:p w:rsidR="00BA7C2C" w:rsidRPr="00F80D22" w:rsidRDefault="00BA7C2C" w:rsidP="00BA7C2C">
      <w:pPr>
        <w:rPr>
          <w:rFonts w:cs="Arial"/>
          <w:b/>
          <w:lang w:val="en-US"/>
        </w:rPr>
      </w:pPr>
      <w:r w:rsidRPr="00F80D22">
        <w:rPr>
          <w:rFonts w:cs="Arial"/>
          <w:b/>
          <w:lang w:val="en-US"/>
        </w:rPr>
        <w:t>Professional user:</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427"/>
        <w:gridCol w:w="6040"/>
      </w:tblGrid>
      <w:tr w:rsidR="00BA7C2C" w:rsidRPr="007432C9" w:rsidTr="00613EE2">
        <w:tc>
          <w:tcPr>
            <w:tcW w:w="2375"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Symbol:</w:t>
            </w:r>
          </w:p>
        </w:tc>
        <w:tc>
          <w:tcPr>
            <w:tcW w:w="7467" w:type="dxa"/>
            <w:gridSpan w:val="2"/>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Xn</w:t>
            </w:r>
          </w:p>
        </w:tc>
      </w:tr>
      <w:tr w:rsidR="00BA7C2C" w:rsidRPr="007432C9" w:rsidTr="00613EE2">
        <w:tc>
          <w:tcPr>
            <w:tcW w:w="2375"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Indication of danger:</w:t>
            </w:r>
          </w:p>
        </w:tc>
        <w:tc>
          <w:tcPr>
            <w:tcW w:w="7467" w:type="dxa"/>
            <w:gridSpan w:val="2"/>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Harmful</w:t>
            </w:r>
          </w:p>
        </w:tc>
      </w:tr>
      <w:tr w:rsidR="00BA7C2C" w:rsidRPr="007432C9" w:rsidTr="00613EE2">
        <w:tc>
          <w:tcPr>
            <w:tcW w:w="2375"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R-phrases:</w:t>
            </w:r>
          </w:p>
        </w:tc>
        <w:tc>
          <w:tcPr>
            <w:tcW w:w="1427"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R48/20/21/22</w:t>
            </w:r>
          </w:p>
        </w:tc>
        <w:tc>
          <w:tcPr>
            <w:tcW w:w="6040" w:type="dxa"/>
            <w:shd w:val="clear" w:color="auto" w:fill="auto"/>
            <w:vAlign w:val="center"/>
          </w:tcPr>
          <w:p w:rsidR="00BA7C2C" w:rsidRPr="007432C9" w:rsidRDefault="00BA7C2C" w:rsidP="00613EE2">
            <w:pPr>
              <w:autoSpaceDE w:val="0"/>
              <w:autoSpaceDN w:val="0"/>
              <w:adjustRightInd w:val="0"/>
              <w:rPr>
                <w:rFonts w:cs="Arial"/>
              </w:rPr>
            </w:pPr>
            <w:r w:rsidRPr="007432C9">
              <w:rPr>
                <w:rFonts w:cs="Arial"/>
              </w:rPr>
              <w:t>Danger of serious damage to health by prolonged oral, dermal and inhalation exposure</w:t>
            </w:r>
          </w:p>
        </w:tc>
      </w:tr>
      <w:tr w:rsidR="00BA7C2C" w:rsidRPr="007432C9" w:rsidTr="00613EE2">
        <w:tc>
          <w:tcPr>
            <w:tcW w:w="2375" w:type="dxa"/>
            <w:vMerge w:val="restart"/>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S-phrases:</w:t>
            </w:r>
          </w:p>
        </w:tc>
        <w:tc>
          <w:tcPr>
            <w:tcW w:w="1427"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S2</w:t>
            </w:r>
          </w:p>
        </w:tc>
        <w:tc>
          <w:tcPr>
            <w:tcW w:w="6040" w:type="dxa"/>
            <w:shd w:val="clear" w:color="auto" w:fill="auto"/>
          </w:tcPr>
          <w:p w:rsidR="00BA7C2C" w:rsidRPr="007432C9" w:rsidRDefault="00BA7C2C" w:rsidP="00613EE2">
            <w:pPr>
              <w:rPr>
                <w:rFonts w:cs="Arial"/>
              </w:rPr>
            </w:pPr>
            <w:r w:rsidRPr="007432C9">
              <w:rPr>
                <w:rFonts w:cs="Arial"/>
              </w:rPr>
              <w:t>Keep out of the reach of children</w:t>
            </w:r>
          </w:p>
        </w:tc>
      </w:tr>
      <w:tr w:rsidR="00BA7C2C" w:rsidRPr="007432C9" w:rsidTr="00613EE2">
        <w:tc>
          <w:tcPr>
            <w:tcW w:w="2375"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427" w:type="dxa"/>
            <w:shd w:val="clear" w:color="auto" w:fill="auto"/>
            <w:vAlign w:val="center"/>
          </w:tcPr>
          <w:p w:rsidR="00BA7C2C" w:rsidRPr="0088049C" w:rsidRDefault="00BA7C2C" w:rsidP="00613EE2">
            <w:pPr>
              <w:autoSpaceDE w:val="0"/>
              <w:autoSpaceDN w:val="0"/>
              <w:adjustRightInd w:val="0"/>
              <w:rPr>
                <w:rFonts w:cs="Arial"/>
                <w:highlight w:val="yellow"/>
                <w:lang w:eastAsia="nl-NL"/>
              </w:rPr>
            </w:pPr>
            <w:r w:rsidRPr="0088049C">
              <w:rPr>
                <w:rFonts w:cs="Arial"/>
                <w:highlight w:val="yellow"/>
                <w:lang w:eastAsia="nl-NL"/>
              </w:rPr>
              <w:t>S37</w:t>
            </w:r>
          </w:p>
        </w:tc>
        <w:tc>
          <w:tcPr>
            <w:tcW w:w="6040" w:type="dxa"/>
            <w:shd w:val="clear" w:color="auto" w:fill="auto"/>
          </w:tcPr>
          <w:p w:rsidR="00BA7C2C" w:rsidRPr="007432C9" w:rsidRDefault="00BA7C2C" w:rsidP="00613EE2">
            <w:pPr>
              <w:rPr>
                <w:rFonts w:cs="Arial"/>
              </w:rPr>
            </w:pPr>
            <w:r w:rsidRPr="0088049C">
              <w:rPr>
                <w:rFonts w:cs="Arial"/>
                <w:highlight w:val="yellow"/>
              </w:rPr>
              <w:t>Wear protective gloves</w:t>
            </w:r>
          </w:p>
        </w:tc>
      </w:tr>
      <w:tr w:rsidR="00BA7C2C" w:rsidRPr="007432C9" w:rsidTr="00613EE2">
        <w:tc>
          <w:tcPr>
            <w:tcW w:w="2375"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427" w:type="dxa"/>
            <w:shd w:val="clear" w:color="auto" w:fill="auto"/>
          </w:tcPr>
          <w:p w:rsidR="00BA7C2C" w:rsidRPr="007432C9" w:rsidRDefault="00BA7C2C" w:rsidP="00613EE2">
            <w:pPr>
              <w:rPr>
                <w:rFonts w:cs="Arial"/>
              </w:rPr>
            </w:pPr>
            <w:r w:rsidRPr="007432C9">
              <w:rPr>
                <w:rFonts w:cs="Arial"/>
              </w:rPr>
              <w:t>S46</w:t>
            </w:r>
          </w:p>
        </w:tc>
        <w:tc>
          <w:tcPr>
            <w:tcW w:w="6040" w:type="dxa"/>
            <w:shd w:val="clear" w:color="auto" w:fill="auto"/>
          </w:tcPr>
          <w:p w:rsidR="00BA7C2C" w:rsidRPr="007432C9" w:rsidRDefault="00BA7C2C" w:rsidP="00613EE2">
            <w:pPr>
              <w:rPr>
                <w:rFonts w:cs="Arial"/>
              </w:rPr>
            </w:pPr>
            <w:r w:rsidRPr="007432C9">
              <w:rPr>
                <w:rFonts w:cs="Arial"/>
              </w:rPr>
              <w:t>If swallowed, seek medical advice immediately and show this container or label</w:t>
            </w:r>
          </w:p>
        </w:tc>
      </w:tr>
    </w:tbl>
    <w:p w:rsidR="00BA7C2C" w:rsidRPr="007432C9" w:rsidRDefault="00BA7C2C" w:rsidP="00BA7C2C">
      <w:pPr>
        <w:rPr>
          <w:rFonts w:cs="Arial"/>
        </w:rPr>
      </w:pPr>
    </w:p>
    <w:tbl>
      <w:tblPr>
        <w:tblW w:w="9900" w:type="dxa"/>
        <w:tblInd w:w="-39"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520"/>
        <w:gridCol w:w="7380"/>
      </w:tblGrid>
      <w:tr w:rsidR="00BA7C2C" w:rsidRPr="007432C9" w:rsidTr="00613EE2">
        <w:trPr>
          <w:trHeight w:val="263"/>
        </w:trPr>
        <w:tc>
          <w:tcPr>
            <w:tcW w:w="9900" w:type="dxa"/>
            <w:gridSpan w:val="2"/>
            <w:tcBorders>
              <w:bottom w:val="single" w:sz="6" w:space="0" w:color="808080"/>
            </w:tcBorders>
          </w:tcPr>
          <w:p w:rsidR="00BA7C2C" w:rsidRPr="007432C9" w:rsidRDefault="00BA7C2C" w:rsidP="00613EE2">
            <w:pPr>
              <w:rPr>
                <w:rFonts w:cs="Arial"/>
              </w:rPr>
            </w:pPr>
            <w:r w:rsidRPr="007432C9">
              <w:rPr>
                <w:rFonts w:cs="Arial"/>
              </w:rPr>
              <w:t>Explanation:</w:t>
            </w:r>
          </w:p>
        </w:tc>
      </w:tr>
      <w:tr w:rsidR="00BA7C2C" w:rsidRPr="007432C9" w:rsidTr="00613EE2">
        <w:trPr>
          <w:trHeight w:val="262"/>
        </w:trPr>
        <w:tc>
          <w:tcPr>
            <w:tcW w:w="2520" w:type="dxa"/>
            <w:tcBorders>
              <w:top w:val="single" w:sz="6" w:space="0" w:color="808080"/>
            </w:tcBorders>
          </w:tcPr>
          <w:p w:rsidR="00BA7C2C" w:rsidRPr="007432C9" w:rsidRDefault="00BA7C2C" w:rsidP="00613EE2">
            <w:pPr>
              <w:rPr>
                <w:rFonts w:cs="Arial"/>
              </w:rPr>
            </w:pPr>
            <w:r w:rsidRPr="007432C9">
              <w:rPr>
                <w:rFonts w:cs="Arial"/>
              </w:rPr>
              <w:t>Hazard symbol:</w:t>
            </w:r>
          </w:p>
        </w:tc>
        <w:tc>
          <w:tcPr>
            <w:tcW w:w="7380" w:type="dxa"/>
            <w:tcBorders>
              <w:top w:val="single" w:sz="6" w:space="0" w:color="808080"/>
            </w:tcBorders>
          </w:tcPr>
          <w:p w:rsidR="00BA7C2C" w:rsidRPr="007432C9" w:rsidRDefault="00BA7C2C" w:rsidP="00613EE2">
            <w:pPr>
              <w:rPr>
                <w:rFonts w:cs="Arial"/>
                <w:szCs w:val="22"/>
              </w:rPr>
            </w:pPr>
            <w:r w:rsidRPr="007432C9">
              <w:rPr>
                <w:rFonts w:cs="Arial"/>
                <w:szCs w:val="22"/>
              </w:rPr>
              <w:t>Xn is obligatory with the assigned R-phrase.</w:t>
            </w:r>
          </w:p>
        </w:tc>
      </w:tr>
      <w:tr w:rsidR="00BA7C2C" w:rsidRPr="007432C9" w:rsidTr="00613EE2">
        <w:trPr>
          <w:trHeight w:val="262"/>
        </w:trPr>
        <w:tc>
          <w:tcPr>
            <w:tcW w:w="2520" w:type="dxa"/>
            <w:tcBorders>
              <w:top w:val="single" w:sz="6" w:space="0" w:color="808080"/>
            </w:tcBorders>
          </w:tcPr>
          <w:p w:rsidR="00BA7C2C" w:rsidRPr="007432C9" w:rsidRDefault="00BA7C2C" w:rsidP="00613EE2">
            <w:pPr>
              <w:rPr>
                <w:rFonts w:cs="Arial"/>
              </w:rPr>
            </w:pPr>
            <w:r w:rsidRPr="007432C9">
              <w:rPr>
                <w:rFonts w:cs="Arial"/>
              </w:rPr>
              <w:lastRenderedPageBreak/>
              <w:t>Risk phrases:</w:t>
            </w:r>
          </w:p>
        </w:tc>
        <w:tc>
          <w:tcPr>
            <w:tcW w:w="7380" w:type="dxa"/>
            <w:tcBorders>
              <w:top w:val="single" w:sz="6" w:space="0" w:color="808080"/>
            </w:tcBorders>
          </w:tcPr>
          <w:p w:rsidR="00BA7C2C" w:rsidRPr="007432C9" w:rsidRDefault="00BA7C2C" w:rsidP="00613EE2">
            <w:pPr>
              <w:rPr>
                <w:rFonts w:cs="Arial"/>
                <w:szCs w:val="22"/>
              </w:rPr>
            </w:pPr>
            <w:r w:rsidRPr="007432C9">
              <w:rPr>
                <w:rFonts w:cs="Arial"/>
                <w:szCs w:val="22"/>
              </w:rPr>
              <w:t>R48/20/21/22 is assigned based on the calculation using the proposed classification of the Technical Committee on Classification and Labelling for bromadiolone (TC&amp;L, May 2007), which is the current status although the discussion at ECHA is not finalised. The R48/20/21/22 classification and specific limit values are also included/supported by data in the CAR of bromadiolone.</w:t>
            </w:r>
          </w:p>
        </w:tc>
      </w:tr>
      <w:tr w:rsidR="00BA7C2C" w:rsidRPr="007432C9" w:rsidTr="00613EE2">
        <w:trPr>
          <w:trHeight w:val="262"/>
        </w:trPr>
        <w:tc>
          <w:tcPr>
            <w:tcW w:w="2520" w:type="dxa"/>
          </w:tcPr>
          <w:p w:rsidR="00BA7C2C" w:rsidRPr="007432C9" w:rsidRDefault="00BA7C2C" w:rsidP="00613EE2">
            <w:pPr>
              <w:rPr>
                <w:rFonts w:cs="Arial"/>
              </w:rPr>
            </w:pPr>
            <w:r w:rsidRPr="007432C9">
              <w:rPr>
                <w:rFonts w:cs="Arial"/>
              </w:rPr>
              <w:t>Safety phrases:</w:t>
            </w:r>
          </w:p>
        </w:tc>
        <w:tc>
          <w:tcPr>
            <w:tcW w:w="7380" w:type="dxa"/>
          </w:tcPr>
          <w:p w:rsidR="00BA7C2C" w:rsidRPr="007432C9" w:rsidRDefault="00BA7C2C" w:rsidP="00613EE2">
            <w:pPr>
              <w:rPr>
                <w:rFonts w:cs="Arial"/>
                <w:szCs w:val="22"/>
              </w:rPr>
            </w:pPr>
            <w:r w:rsidRPr="007432C9">
              <w:rPr>
                <w:rFonts w:cs="Arial"/>
                <w:szCs w:val="22"/>
              </w:rPr>
              <w:t xml:space="preserve">S13 is not obligatory for professional users with the assigned R-phrase. S37 is assigned based on the risk assessment. </w:t>
            </w:r>
          </w:p>
        </w:tc>
      </w:tr>
      <w:tr w:rsidR="00BA7C2C" w:rsidRPr="007432C9" w:rsidTr="00613EE2">
        <w:trPr>
          <w:trHeight w:val="262"/>
        </w:trPr>
        <w:tc>
          <w:tcPr>
            <w:tcW w:w="2520" w:type="dxa"/>
          </w:tcPr>
          <w:p w:rsidR="00BA7C2C" w:rsidRPr="007432C9" w:rsidRDefault="00BA7C2C" w:rsidP="00613EE2">
            <w:pPr>
              <w:rPr>
                <w:rFonts w:cs="Arial"/>
              </w:rPr>
            </w:pPr>
            <w:r w:rsidRPr="007432C9">
              <w:rPr>
                <w:rFonts w:cs="Arial"/>
              </w:rPr>
              <w:t>Other:</w:t>
            </w:r>
          </w:p>
        </w:tc>
        <w:tc>
          <w:tcPr>
            <w:tcW w:w="7380" w:type="dxa"/>
          </w:tcPr>
          <w:p w:rsidR="00BA7C2C" w:rsidRPr="007432C9" w:rsidRDefault="00BA7C2C" w:rsidP="00613EE2">
            <w:pPr>
              <w:rPr>
                <w:rFonts w:cs="Arial"/>
                <w:szCs w:val="22"/>
              </w:rPr>
            </w:pPr>
            <w:r w:rsidRPr="007432C9">
              <w:rPr>
                <w:rFonts w:cs="Arial"/>
                <w:szCs w:val="22"/>
              </w:rPr>
              <w:t xml:space="preserve">- </w:t>
            </w:r>
          </w:p>
        </w:tc>
      </w:tr>
    </w:tbl>
    <w:p w:rsidR="00BA7C2C" w:rsidRDefault="00BA7C2C" w:rsidP="00BA7C2C">
      <w:pPr>
        <w:rPr>
          <w:rFonts w:cs="Arial"/>
        </w:rPr>
      </w:pPr>
    </w:p>
    <w:p w:rsidR="00BA7C2C" w:rsidRDefault="00BA7C2C" w:rsidP="00BA7C2C">
      <w:pPr>
        <w:rPr>
          <w:rFonts w:cs="Arial"/>
        </w:rPr>
      </w:pPr>
    </w:p>
    <w:p w:rsidR="00BA7C2C" w:rsidRPr="00F80D22" w:rsidRDefault="00BA7C2C" w:rsidP="00BA7C2C">
      <w:pPr>
        <w:rPr>
          <w:rFonts w:cs="Arial"/>
        </w:rPr>
      </w:pPr>
    </w:p>
    <w:p w:rsidR="00BA7C2C" w:rsidRPr="00F80D22" w:rsidRDefault="00BA7C2C" w:rsidP="00BA7C2C">
      <w:pPr>
        <w:rPr>
          <w:rFonts w:cs="Arial"/>
          <w:lang w:val="nl-NL"/>
        </w:rPr>
      </w:pPr>
    </w:p>
    <w:p w:rsidR="00BA7C2C" w:rsidRPr="00F80D22" w:rsidRDefault="00BA7C2C" w:rsidP="00BA7C2C">
      <w:pPr>
        <w:rPr>
          <w:rFonts w:cs="Arial"/>
          <w:b/>
          <w:lang w:val="en-US"/>
        </w:rPr>
      </w:pPr>
      <w:r w:rsidRPr="00F80D22">
        <w:rPr>
          <w:rFonts w:cs="Arial"/>
          <w:b/>
          <w:lang w:val="en-US"/>
        </w:rPr>
        <w:t>Non-professional user:</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427"/>
        <w:gridCol w:w="6040"/>
      </w:tblGrid>
      <w:tr w:rsidR="00BA7C2C" w:rsidRPr="00F80D22" w:rsidTr="00613EE2">
        <w:tc>
          <w:tcPr>
            <w:tcW w:w="2375" w:type="dxa"/>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Symbol:</w:t>
            </w:r>
          </w:p>
        </w:tc>
        <w:tc>
          <w:tcPr>
            <w:tcW w:w="7467" w:type="dxa"/>
            <w:gridSpan w:val="2"/>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Xn</w:t>
            </w:r>
          </w:p>
        </w:tc>
      </w:tr>
      <w:tr w:rsidR="00BA7C2C" w:rsidRPr="00F80D22" w:rsidTr="00613EE2">
        <w:tc>
          <w:tcPr>
            <w:tcW w:w="2375" w:type="dxa"/>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Indication of danger:</w:t>
            </w:r>
          </w:p>
        </w:tc>
        <w:tc>
          <w:tcPr>
            <w:tcW w:w="7467" w:type="dxa"/>
            <w:gridSpan w:val="2"/>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Harmful</w:t>
            </w:r>
          </w:p>
        </w:tc>
      </w:tr>
      <w:tr w:rsidR="00BA7C2C" w:rsidRPr="00F80D22" w:rsidTr="00613EE2">
        <w:tc>
          <w:tcPr>
            <w:tcW w:w="2375" w:type="dxa"/>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R-phrases:</w:t>
            </w:r>
          </w:p>
        </w:tc>
        <w:tc>
          <w:tcPr>
            <w:tcW w:w="1427" w:type="dxa"/>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R48/20/21/22</w:t>
            </w:r>
          </w:p>
        </w:tc>
        <w:tc>
          <w:tcPr>
            <w:tcW w:w="6040" w:type="dxa"/>
            <w:shd w:val="clear" w:color="auto" w:fill="auto"/>
            <w:vAlign w:val="center"/>
          </w:tcPr>
          <w:p w:rsidR="00BA7C2C" w:rsidRPr="00F80D22" w:rsidRDefault="00BA7C2C" w:rsidP="00613EE2">
            <w:pPr>
              <w:autoSpaceDE w:val="0"/>
              <w:autoSpaceDN w:val="0"/>
              <w:adjustRightInd w:val="0"/>
              <w:rPr>
                <w:rFonts w:cs="Arial"/>
              </w:rPr>
            </w:pPr>
            <w:r w:rsidRPr="00F80D22">
              <w:rPr>
                <w:rFonts w:cs="Arial"/>
              </w:rPr>
              <w:t>Danger of serious damage to health by prolonged oral, dermal and inhalation exposure</w:t>
            </w:r>
          </w:p>
        </w:tc>
      </w:tr>
      <w:tr w:rsidR="00BA7C2C" w:rsidRPr="00F80D22" w:rsidTr="00613EE2">
        <w:tc>
          <w:tcPr>
            <w:tcW w:w="2375" w:type="dxa"/>
            <w:vMerge w:val="restart"/>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S-phrases:</w:t>
            </w:r>
          </w:p>
        </w:tc>
        <w:tc>
          <w:tcPr>
            <w:tcW w:w="1427" w:type="dxa"/>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S2</w:t>
            </w:r>
          </w:p>
        </w:tc>
        <w:tc>
          <w:tcPr>
            <w:tcW w:w="6040" w:type="dxa"/>
            <w:shd w:val="clear" w:color="auto" w:fill="auto"/>
          </w:tcPr>
          <w:p w:rsidR="00BA7C2C" w:rsidRPr="00F80D22" w:rsidRDefault="00BA7C2C" w:rsidP="00613EE2">
            <w:pPr>
              <w:rPr>
                <w:rFonts w:cs="Arial"/>
              </w:rPr>
            </w:pPr>
            <w:r w:rsidRPr="00F80D22">
              <w:rPr>
                <w:rFonts w:cs="Arial"/>
              </w:rPr>
              <w:t>Keep out of the reach of children</w:t>
            </w:r>
          </w:p>
        </w:tc>
      </w:tr>
      <w:tr w:rsidR="00BA7C2C" w:rsidRPr="00F80D22" w:rsidTr="00613EE2">
        <w:tc>
          <w:tcPr>
            <w:tcW w:w="2375" w:type="dxa"/>
            <w:vMerge/>
            <w:shd w:val="clear" w:color="auto" w:fill="auto"/>
            <w:vAlign w:val="center"/>
          </w:tcPr>
          <w:p w:rsidR="00BA7C2C" w:rsidRPr="00F80D22" w:rsidRDefault="00BA7C2C" w:rsidP="00613EE2">
            <w:pPr>
              <w:autoSpaceDE w:val="0"/>
              <w:autoSpaceDN w:val="0"/>
              <w:adjustRightInd w:val="0"/>
              <w:rPr>
                <w:rFonts w:cs="Arial"/>
                <w:b/>
                <w:lang w:eastAsia="nl-NL"/>
              </w:rPr>
            </w:pPr>
          </w:p>
        </w:tc>
        <w:tc>
          <w:tcPr>
            <w:tcW w:w="1427" w:type="dxa"/>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S13</w:t>
            </w:r>
          </w:p>
        </w:tc>
        <w:tc>
          <w:tcPr>
            <w:tcW w:w="6040" w:type="dxa"/>
            <w:shd w:val="clear" w:color="auto" w:fill="auto"/>
          </w:tcPr>
          <w:p w:rsidR="00BA7C2C" w:rsidRPr="00F80D22" w:rsidRDefault="00BA7C2C" w:rsidP="00613EE2">
            <w:pPr>
              <w:rPr>
                <w:rFonts w:cs="Arial"/>
              </w:rPr>
            </w:pPr>
            <w:r w:rsidRPr="00F80D22">
              <w:rPr>
                <w:rFonts w:cs="Arial"/>
              </w:rPr>
              <w:t>Keep away from food, drink and animal feedingstuffs</w:t>
            </w:r>
          </w:p>
        </w:tc>
      </w:tr>
      <w:tr w:rsidR="00BA7C2C" w:rsidRPr="00F80D22" w:rsidTr="00613EE2">
        <w:tc>
          <w:tcPr>
            <w:tcW w:w="2375" w:type="dxa"/>
            <w:vMerge/>
            <w:shd w:val="clear" w:color="auto" w:fill="auto"/>
            <w:vAlign w:val="center"/>
          </w:tcPr>
          <w:p w:rsidR="00BA7C2C" w:rsidRPr="00F80D22" w:rsidRDefault="00BA7C2C" w:rsidP="00613EE2">
            <w:pPr>
              <w:autoSpaceDE w:val="0"/>
              <w:autoSpaceDN w:val="0"/>
              <w:adjustRightInd w:val="0"/>
              <w:rPr>
                <w:rFonts w:cs="Arial"/>
                <w:b/>
                <w:lang w:eastAsia="nl-NL"/>
              </w:rPr>
            </w:pPr>
          </w:p>
        </w:tc>
        <w:tc>
          <w:tcPr>
            <w:tcW w:w="1427" w:type="dxa"/>
            <w:shd w:val="clear" w:color="auto" w:fill="auto"/>
          </w:tcPr>
          <w:p w:rsidR="00BA7C2C" w:rsidRPr="00F80D22" w:rsidRDefault="00BA7C2C" w:rsidP="00613EE2">
            <w:pPr>
              <w:rPr>
                <w:rFonts w:cs="Arial"/>
              </w:rPr>
            </w:pPr>
            <w:r w:rsidRPr="00F80D22">
              <w:rPr>
                <w:rFonts w:cs="Arial"/>
              </w:rPr>
              <w:t>S46</w:t>
            </w:r>
          </w:p>
        </w:tc>
        <w:tc>
          <w:tcPr>
            <w:tcW w:w="6040" w:type="dxa"/>
            <w:shd w:val="clear" w:color="auto" w:fill="auto"/>
          </w:tcPr>
          <w:p w:rsidR="00BA7C2C" w:rsidRPr="00F80D22" w:rsidRDefault="00BA7C2C" w:rsidP="00613EE2">
            <w:pPr>
              <w:rPr>
                <w:rFonts w:cs="Arial"/>
              </w:rPr>
            </w:pPr>
            <w:r w:rsidRPr="00F80D22">
              <w:rPr>
                <w:rFonts w:cs="Arial"/>
              </w:rPr>
              <w:t>If swallowed, seek medical advice immediately and show this container or label</w:t>
            </w:r>
          </w:p>
        </w:tc>
      </w:tr>
    </w:tbl>
    <w:p w:rsidR="00BA7C2C" w:rsidRPr="00F80D22" w:rsidRDefault="00BA7C2C" w:rsidP="00BA7C2C">
      <w:pPr>
        <w:rPr>
          <w:rFonts w:cs="Arial"/>
        </w:rPr>
      </w:pPr>
    </w:p>
    <w:tbl>
      <w:tblPr>
        <w:tblW w:w="9900" w:type="dxa"/>
        <w:tblInd w:w="-39"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520"/>
        <w:gridCol w:w="7380"/>
      </w:tblGrid>
      <w:tr w:rsidR="00BA7C2C" w:rsidRPr="00F80D22" w:rsidTr="00613EE2">
        <w:trPr>
          <w:trHeight w:val="263"/>
        </w:trPr>
        <w:tc>
          <w:tcPr>
            <w:tcW w:w="9900" w:type="dxa"/>
            <w:gridSpan w:val="2"/>
            <w:tcBorders>
              <w:bottom w:val="single" w:sz="6" w:space="0" w:color="808080"/>
            </w:tcBorders>
          </w:tcPr>
          <w:p w:rsidR="00BA7C2C" w:rsidRPr="00F80D22" w:rsidRDefault="00BA7C2C" w:rsidP="00613EE2">
            <w:pPr>
              <w:rPr>
                <w:rFonts w:cs="Arial"/>
              </w:rPr>
            </w:pPr>
            <w:r w:rsidRPr="00F80D22">
              <w:rPr>
                <w:rFonts w:cs="Arial"/>
              </w:rPr>
              <w:t>Explanation:</w:t>
            </w:r>
          </w:p>
        </w:tc>
      </w:tr>
      <w:tr w:rsidR="00BA7C2C" w:rsidRPr="00F80D22" w:rsidTr="00613EE2">
        <w:trPr>
          <w:trHeight w:val="262"/>
        </w:trPr>
        <w:tc>
          <w:tcPr>
            <w:tcW w:w="2520" w:type="dxa"/>
            <w:tcBorders>
              <w:top w:val="single" w:sz="6" w:space="0" w:color="808080"/>
            </w:tcBorders>
          </w:tcPr>
          <w:p w:rsidR="00BA7C2C" w:rsidRPr="00F80D22" w:rsidRDefault="00BA7C2C" w:rsidP="00613EE2">
            <w:pPr>
              <w:rPr>
                <w:rFonts w:cs="Arial"/>
              </w:rPr>
            </w:pPr>
            <w:r w:rsidRPr="00F80D22">
              <w:rPr>
                <w:rFonts w:cs="Arial"/>
              </w:rPr>
              <w:t>Hazard symbol:</w:t>
            </w:r>
          </w:p>
        </w:tc>
        <w:tc>
          <w:tcPr>
            <w:tcW w:w="7380" w:type="dxa"/>
            <w:tcBorders>
              <w:top w:val="single" w:sz="6" w:space="0" w:color="808080"/>
            </w:tcBorders>
          </w:tcPr>
          <w:p w:rsidR="00BA7C2C" w:rsidRPr="00F80D22" w:rsidRDefault="00BA7C2C" w:rsidP="00613EE2">
            <w:pPr>
              <w:rPr>
                <w:rFonts w:cs="Arial"/>
              </w:rPr>
            </w:pPr>
            <w:r w:rsidRPr="00F80D22">
              <w:rPr>
                <w:rFonts w:cs="Arial"/>
              </w:rPr>
              <w:t>Xn is obligatory with the assigned R-phrase.</w:t>
            </w:r>
          </w:p>
        </w:tc>
      </w:tr>
      <w:tr w:rsidR="00BA7C2C" w:rsidRPr="00F80D22" w:rsidTr="00613EE2">
        <w:trPr>
          <w:trHeight w:val="262"/>
        </w:trPr>
        <w:tc>
          <w:tcPr>
            <w:tcW w:w="2520" w:type="dxa"/>
            <w:tcBorders>
              <w:top w:val="single" w:sz="6" w:space="0" w:color="808080"/>
            </w:tcBorders>
          </w:tcPr>
          <w:p w:rsidR="00BA7C2C" w:rsidRPr="00F80D22" w:rsidRDefault="00BA7C2C" w:rsidP="00613EE2">
            <w:pPr>
              <w:rPr>
                <w:rFonts w:cs="Arial"/>
              </w:rPr>
            </w:pPr>
            <w:r w:rsidRPr="00F80D22">
              <w:rPr>
                <w:rFonts w:cs="Arial"/>
              </w:rPr>
              <w:t>Risk phrases:</w:t>
            </w:r>
          </w:p>
        </w:tc>
        <w:tc>
          <w:tcPr>
            <w:tcW w:w="7380" w:type="dxa"/>
            <w:tcBorders>
              <w:top w:val="single" w:sz="6" w:space="0" w:color="808080"/>
            </w:tcBorders>
          </w:tcPr>
          <w:p w:rsidR="00BA7C2C" w:rsidRPr="00F80D22" w:rsidRDefault="00BA7C2C" w:rsidP="00613EE2">
            <w:pPr>
              <w:rPr>
                <w:rFonts w:cs="Arial"/>
              </w:rPr>
            </w:pPr>
            <w:r w:rsidRPr="00F80D22">
              <w:rPr>
                <w:rFonts w:cs="Arial"/>
              </w:rPr>
              <w:t>R48/20/21/22 is assigned based on the calculation using the proposed classification of the Technical Committee on Classification and Labelling for bromadiolone (TC&amp;L, May 2007), which is the current status although the discussion at ECHA is not finalised. The R48/20/21/22 classification and specific limit values are also included/supported by data in the CAR of bromadiolone.</w:t>
            </w:r>
          </w:p>
        </w:tc>
      </w:tr>
      <w:tr w:rsidR="00BA7C2C" w:rsidRPr="00F80D22" w:rsidTr="00613EE2">
        <w:trPr>
          <w:trHeight w:val="262"/>
        </w:trPr>
        <w:tc>
          <w:tcPr>
            <w:tcW w:w="2520" w:type="dxa"/>
          </w:tcPr>
          <w:p w:rsidR="00BA7C2C" w:rsidRPr="00F80D22" w:rsidRDefault="00BA7C2C" w:rsidP="00613EE2">
            <w:pPr>
              <w:rPr>
                <w:rFonts w:cs="Arial"/>
              </w:rPr>
            </w:pPr>
            <w:r w:rsidRPr="00F80D22">
              <w:rPr>
                <w:rFonts w:cs="Arial"/>
              </w:rPr>
              <w:t>Safety phrases:</w:t>
            </w:r>
          </w:p>
        </w:tc>
        <w:tc>
          <w:tcPr>
            <w:tcW w:w="7380" w:type="dxa"/>
          </w:tcPr>
          <w:p w:rsidR="00BA7C2C" w:rsidRPr="00F80D22" w:rsidRDefault="00BA7C2C" w:rsidP="00613EE2">
            <w:pPr>
              <w:rPr>
                <w:rFonts w:cs="Arial"/>
              </w:rPr>
            </w:pPr>
            <w:r w:rsidRPr="00F80D22">
              <w:rPr>
                <w:rFonts w:cs="Arial"/>
              </w:rPr>
              <w:t xml:space="preserve">- </w:t>
            </w:r>
          </w:p>
        </w:tc>
      </w:tr>
      <w:tr w:rsidR="00BA7C2C" w:rsidRPr="00F80D22" w:rsidTr="00613EE2">
        <w:trPr>
          <w:trHeight w:val="262"/>
        </w:trPr>
        <w:tc>
          <w:tcPr>
            <w:tcW w:w="2520" w:type="dxa"/>
          </w:tcPr>
          <w:p w:rsidR="00BA7C2C" w:rsidRPr="00F80D22" w:rsidRDefault="00BA7C2C" w:rsidP="00613EE2">
            <w:pPr>
              <w:rPr>
                <w:rFonts w:cs="Arial"/>
              </w:rPr>
            </w:pPr>
            <w:r w:rsidRPr="00F80D22">
              <w:rPr>
                <w:rFonts w:cs="Arial"/>
              </w:rPr>
              <w:t>Other:</w:t>
            </w:r>
          </w:p>
        </w:tc>
        <w:tc>
          <w:tcPr>
            <w:tcW w:w="7380" w:type="dxa"/>
          </w:tcPr>
          <w:p w:rsidR="00BA7C2C" w:rsidRPr="00F80D22" w:rsidRDefault="00BA7C2C" w:rsidP="00613EE2">
            <w:pPr>
              <w:rPr>
                <w:rFonts w:cs="Arial"/>
              </w:rPr>
            </w:pPr>
            <w:r w:rsidRPr="00F80D22">
              <w:rPr>
                <w:rFonts w:cs="Arial"/>
              </w:rPr>
              <w:t xml:space="preserve">The product is labelled as harmful, therefore tactile warning of danger is obligatory for non-professional users.  </w:t>
            </w:r>
          </w:p>
        </w:tc>
      </w:tr>
    </w:tbl>
    <w:p w:rsidR="00BA7C2C" w:rsidRPr="00F80D22" w:rsidRDefault="00BA7C2C" w:rsidP="00BA7C2C">
      <w:pPr>
        <w:ind w:left="360"/>
        <w:rPr>
          <w:rFonts w:cs="Arial"/>
        </w:rPr>
      </w:pPr>
    </w:p>
    <w:p w:rsidR="00BA7C2C" w:rsidRPr="00F16A03" w:rsidRDefault="00BA7C2C" w:rsidP="00BA7C2C">
      <w:pPr>
        <w:rPr>
          <w:rFonts w:cs="Arial"/>
          <w:u w:val="single"/>
          <w:lang w:val="en-US"/>
        </w:rPr>
      </w:pPr>
      <w:r w:rsidRPr="00F16A03">
        <w:rPr>
          <w:rFonts w:cs="Arial"/>
          <w:u w:val="single"/>
          <w:lang w:val="en-US"/>
        </w:rPr>
        <w:t>Proposed classification based on Regulation EC 1272/2008</w:t>
      </w:r>
    </w:p>
    <w:p w:rsidR="00BA7C2C" w:rsidRPr="007432C9" w:rsidRDefault="00BA7C2C" w:rsidP="00BA7C2C">
      <w:pPr>
        <w:autoSpaceDE w:val="0"/>
        <w:autoSpaceDN w:val="0"/>
        <w:adjustRightInd w:val="0"/>
        <w:rPr>
          <w:rFonts w:cs="Arial"/>
          <w:lang w:eastAsia="nl-NL"/>
        </w:rPr>
      </w:pPr>
    </w:p>
    <w:p w:rsidR="00BA7C2C" w:rsidRPr="007432C9" w:rsidRDefault="00BA7C2C" w:rsidP="00BA7C2C">
      <w:pPr>
        <w:autoSpaceDE w:val="0"/>
        <w:autoSpaceDN w:val="0"/>
        <w:adjustRightInd w:val="0"/>
        <w:rPr>
          <w:rFonts w:cs="Arial"/>
          <w:lang w:eastAsia="nl-NL"/>
        </w:rPr>
      </w:pPr>
      <w:r w:rsidRPr="007432C9">
        <w:rPr>
          <w:rFonts w:cs="Arial"/>
          <w:lang w:eastAsia="nl-NL"/>
        </w:rPr>
        <w:t>Professional user:</w:t>
      </w:r>
    </w:p>
    <w:p w:rsidR="00BA7C2C" w:rsidRPr="007432C9" w:rsidRDefault="00BA7C2C" w:rsidP="00BA7C2C">
      <w:pPr>
        <w:autoSpaceDE w:val="0"/>
        <w:autoSpaceDN w:val="0"/>
        <w:adjustRightInd w:val="0"/>
        <w:rPr>
          <w:rFonts w:cs="Arial"/>
          <w:lang w:eastAsia="nl-NL"/>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4371"/>
      </w:tblGrid>
      <w:tr w:rsidR="00BA7C2C" w:rsidRPr="007432C9" w:rsidTr="00613EE2">
        <w:trPr>
          <w:trHeight w:val="383"/>
        </w:trPr>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Signal word:</w:t>
            </w:r>
          </w:p>
        </w:tc>
        <w:tc>
          <w:tcPr>
            <w:tcW w:w="8056" w:type="dxa"/>
            <w:gridSpan w:val="3"/>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Warning</w:t>
            </w:r>
          </w:p>
        </w:tc>
      </w:tr>
      <w:tr w:rsidR="00BA7C2C" w:rsidRPr="007432C9" w:rsidTr="00613EE2">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Pictogram:</w:t>
            </w:r>
          </w:p>
        </w:tc>
        <w:tc>
          <w:tcPr>
            <w:tcW w:w="8056" w:type="dxa"/>
            <w:gridSpan w:val="3"/>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GHS08</w:t>
            </w:r>
          </w:p>
        </w:tc>
      </w:tr>
      <w:tr w:rsidR="00BA7C2C" w:rsidRPr="007432C9" w:rsidTr="00613EE2">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shd w:val="clear" w:color="auto" w:fill="auto"/>
            <w:vAlign w:val="center"/>
          </w:tcPr>
          <w:p w:rsidR="00BA7C2C" w:rsidRPr="007432C9" w:rsidRDefault="00BA7C2C" w:rsidP="00613EE2">
            <w:pPr>
              <w:autoSpaceDE w:val="0"/>
              <w:autoSpaceDN w:val="0"/>
              <w:adjustRightInd w:val="0"/>
              <w:jc w:val="center"/>
              <w:rPr>
                <w:rFonts w:cs="Arial"/>
                <w:b/>
                <w:lang w:eastAsia="nl-NL"/>
              </w:rPr>
            </w:pPr>
            <w:r w:rsidRPr="007432C9">
              <w:rPr>
                <w:rFonts w:cs="Arial"/>
                <w:b/>
                <w:lang w:eastAsia="nl-NL"/>
              </w:rPr>
              <w:t>Hazard class-and-Category</w:t>
            </w:r>
          </w:p>
        </w:tc>
        <w:tc>
          <w:tcPr>
            <w:tcW w:w="1843" w:type="dxa"/>
            <w:shd w:val="clear" w:color="auto" w:fill="auto"/>
            <w:vAlign w:val="center"/>
          </w:tcPr>
          <w:p w:rsidR="00BA7C2C" w:rsidRPr="007432C9" w:rsidRDefault="00BA7C2C" w:rsidP="00613EE2">
            <w:pPr>
              <w:autoSpaceDE w:val="0"/>
              <w:autoSpaceDN w:val="0"/>
              <w:adjustRightInd w:val="0"/>
              <w:jc w:val="center"/>
              <w:rPr>
                <w:rFonts w:cs="Arial"/>
                <w:b/>
                <w:lang w:eastAsia="nl-NL"/>
              </w:rPr>
            </w:pPr>
            <w:r w:rsidRPr="007432C9">
              <w:rPr>
                <w:rFonts w:cs="Arial"/>
                <w:b/>
                <w:lang w:eastAsia="nl-NL"/>
              </w:rPr>
              <w:t>Code</w:t>
            </w:r>
          </w:p>
        </w:tc>
        <w:tc>
          <w:tcPr>
            <w:tcW w:w="4371" w:type="dxa"/>
            <w:shd w:val="clear" w:color="auto" w:fill="auto"/>
            <w:vAlign w:val="center"/>
          </w:tcPr>
          <w:p w:rsidR="00BA7C2C" w:rsidRPr="007432C9" w:rsidRDefault="00BA7C2C" w:rsidP="00613EE2">
            <w:pPr>
              <w:autoSpaceDE w:val="0"/>
              <w:autoSpaceDN w:val="0"/>
              <w:adjustRightInd w:val="0"/>
              <w:jc w:val="center"/>
              <w:rPr>
                <w:rFonts w:cs="Arial"/>
                <w:b/>
                <w:lang w:eastAsia="nl-NL"/>
              </w:rPr>
            </w:pPr>
            <w:r w:rsidRPr="007432C9">
              <w:rPr>
                <w:rFonts w:cs="Arial"/>
                <w:b/>
                <w:lang w:eastAsia="nl-NL"/>
              </w:rPr>
              <w:t>Hazard statement</w:t>
            </w:r>
          </w:p>
        </w:tc>
      </w:tr>
      <w:tr w:rsidR="00BA7C2C" w:rsidRPr="007432C9" w:rsidTr="00613EE2">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 xml:space="preserve">Hazard </w:t>
            </w:r>
            <w:r w:rsidRPr="007432C9">
              <w:rPr>
                <w:rFonts w:cs="Arial"/>
                <w:b/>
                <w:lang w:eastAsia="nl-NL"/>
              </w:rPr>
              <w:lastRenderedPageBreak/>
              <w:t>statements:</w:t>
            </w:r>
          </w:p>
        </w:tc>
        <w:tc>
          <w:tcPr>
            <w:tcW w:w="1842"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lastRenderedPageBreak/>
              <w:t>STOT RE Cat. 2</w:t>
            </w:r>
          </w:p>
        </w:tc>
        <w:tc>
          <w:tcPr>
            <w:tcW w:w="1843" w:type="dxa"/>
            <w:shd w:val="clear" w:color="auto" w:fill="auto"/>
            <w:vAlign w:val="center"/>
          </w:tcPr>
          <w:p w:rsidR="00BA7C2C" w:rsidRPr="007432C9" w:rsidRDefault="00BA7C2C" w:rsidP="00613EE2">
            <w:pPr>
              <w:autoSpaceDE w:val="0"/>
              <w:autoSpaceDN w:val="0"/>
              <w:adjustRightInd w:val="0"/>
              <w:jc w:val="center"/>
              <w:rPr>
                <w:rFonts w:cs="Arial"/>
                <w:szCs w:val="22"/>
                <w:lang w:eastAsia="nl-NL"/>
              </w:rPr>
            </w:pPr>
            <w:r w:rsidRPr="007432C9">
              <w:rPr>
                <w:rFonts w:cs="Arial"/>
                <w:szCs w:val="22"/>
                <w:lang w:eastAsia="nl-NL"/>
              </w:rPr>
              <w:t>H373</w:t>
            </w:r>
          </w:p>
        </w:tc>
        <w:tc>
          <w:tcPr>
            <w:tcW w:w="4371"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szCs w:val="22"/>
                <w:lang w:eastAsia="nl-NL"/>
              </w:rPr>
              <w:t xml:space="preserve">May cause damage to haemolytic system </w:t>
            </w:r>
            <w:r w:rsidRPr="007432C9">
              <w:rPr>
                <w:rFonts w:cs="Arial"/>
                <w:szCs w:val="22"/>
                <w:lang w:eastAsia="nl-NL"/>
              </w:rPr>
              <w:lastRenderedPageBreak/>
              <w:t>through prolonged or repeated exposure</w:t>
            </w:r>
          </w:p>
        </w:tc>
      </w:tr>
      <w:tr w:rsidR="00BA7C2C" w:rsidRPr="007432C9" w:rsidTr="00613EE2">
        <w:tc>
          <w:tcPr>
            <w:tcW w:w="1842" w:type="dxa"/>
            <w:vMerge w:val="restart"/>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lastRenderedPageBreak/>
              <w:t>Precautionary statements:</w:t>
            </w:r>
          </w:p>
        </w:tc>
        <w:tc>
          <w:tcPr>
            <w:tcW w:w="1842" w:type="dxa"/>
            <w:vMerge w:val="restart"/>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P102</w:t>
            </w:r>
          </w:p>
        </w:tc>
        <w:tc>
          <w:tcPr>
            <w:tcW w:w="4371" w:type="dxa"/>
            <w:shd w:val="clear" w:color="auto" w:fill="auto"/>
            <w:vAlign w:val="center"/>
          </w:tcPr>
          <w:p w:rsidR="00BA7C2C" w:rsidRPr="007432C9" w:rsidRDefault="00BA7C2C" w:rsidP="00613EE2">
            <w:pPr>
              <w:autoSpaceDE w:val="0"/>
              <w:autoSpaceDN w:val="0"/>
              <w:adjustRightInd w:val="0"/>
              <w:spacing w:line="240" w:lineRule="auto"/>
              <w:rPr>
                <w:rFonts w:cs="Arial"/>
                <w:szCs w:val="22"/>
                <w:lang w:eastAsia="nl-NL"/>
              </w:rPr>
            </w:pPr>
            <w:r w:rsidRPr="007432C9">
              <w:rPr>
                <w:rFonts w:cs="Arial"/>
                <w:szCs w:val="22"/>
                <w:lang w:eastAsia="nl-NL"/>
              </w:rPr>
              <w:t>Keep out of reach of children</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P260</w:t>
            </w:r>
          </w:p>
        </w:tc>
        <w:tc>
          <w:tcPr>
            <w:tcW w:w="4371" w:type="dxa"/>
            <w:shd w:val="clear" w:color="auto" w:fill="auto"/>
            <w:vAlign w:val="center"/>
          </w:tcPr>
          <w:p w:rsidR="00BA7C2C" w:rsidRPr="007432C9" w:rsidRDefault="00BA7C2C" w:rsidP="00613EE2">
            <w:pPr>
              <w:autoSpaceDE w:val="0"/>
              <w:autoSpaceDN w:val="0"/>
              <w:adjustRightInd w:val="0"/>
              <w:spacing w:line="240" w:lineRule="auto"/>
              <w:rPr>
                <w:rFonts w:cs="Arial"/>
                <w:szCs w:val="22"/>
                <w:lang w:eastAsia="nl-NL"/>
              </w:rPr>
            </w:pPr>
            <w:r w:rsidRPr="007432C9">
              <w:rPr>
                <w:rFonts w:cs="Arial"/>
                <w:szCs w:val="22"/>
                <w:lang w:eastAsia="nl-NL"/>
              </w:rPr>
              <w:t>Do not breathe dust</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88049C" w:rsidRDefault="00BA7C2C" w:rsidP="00613EE2">
            <w:pPr>
              <w:autoSpaceDE w:val="0"/>
              <w:autoSpaceDN w:val="0"/>
              <w:adjustRightInd w:val="0"/>
              <w:jc w:val="center"/>
              <w:rPr>
                <w:rFonts w:cs="Arial"/>
                <w:highlight w:val="yellow"/>
                <w:lang w:eastAsia="nl-NL"/>
              </w:rPr>
            </w:pPr>
            <w:r w:rsidRPr="0088049C">
              <w:rPr>
                <w:rFonts w:cs="Arial"/>
                <w:highlight w:val="yellow"/>
                <w:lang w:eastAsia="nl-NL"/>
              </w:rPr>
              <w:t>P280a</w:t>
            </w:r>
          </w:p>
        </w:tc>
        <w:tc>
          <w:tcPr>
            <w:tcW w:w="4371" w:type="dxa"/>
            <w:shd w:val="clear" w:color="auto" w:fill="auto"/>
            <w:vAlign w:val="center"/>
          </w:tcPr>
          <w:p w:rsidR="00BA7C2C" w:rsidRPr="0088049C" w:rsidRDefault="00BA7C2C" w:rsidP="00613EE2">
            <w:pPr>
              <w:autoSpaceDE w:val="0"/>
              <w:autoSpaceDN w:val="0"/>
              <w:adjustRightInd w:val="0"/>
              <w:spacing w:line="240" w:lineRule="auto"/>
              <w:rPr>
                <w:rFonts w:cs="Arial"/>
                <w:szCs w:val="22"/>
                <w:highlight w:val="yellow"/>
                <w:lang w:eastAsia="nl-NL"/>
              </w:rPr>
            </w:pPr>
            <w:r w:rsidRPr="0088049C">
              <w:rPr>
                <w:rFonts w:cs="Arial"/>
                <w:szCs w:val="22"/>
                <w:highlight w:val="yellow"/>
                <w:lang w:eastAsia="nl-NL"/>
              </w:rPr>
              <w:t>Wear protective gloves</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P314</w:t>
            </w:r>
          </w:p>
        </w:tc>
        <w:tc>
          <w:tcPr>
            <w:tcW w:w="4371"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szCs w:val="22"/>
                <w:lang w:eastAsia="nl-NL"/>
              </w:rPr>
              <w:t>Get medical advice/attention if you feel unwell</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P501</w:t>
            </w:r>
          </w:p>
        </w:tc>
        <w:tc>
          <w:tcPr>
            <w:tcW w:w="4371"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szCs w:val="22"/>
                <w:lang w:eastAsia="nl-NL"/>
              </w:rPr>
              <w:t>Dispose of contents/container to …</w:t>
            </w:r>
          </w:p>
        </w:tc>
      </w:tr>
    </w:tbl>
    <w:p w:rsidR="00BA7C2C" w:rsidRPr="007432C9" w:rsidRDefault="00BA7C2C" w:rsidP="00BA7C2C">
      <w:pPr>
        <w:pStyle w:val="Plattetekst"/>
        <w:spacing w:line="240" w:lineRule="auto"/>
        <w:ind w:left="720"/>
        <w:rPr>
          <w:rFonts w:cs="Arial"/>
          <w:sz w:val="18"/>
          <w:szCs w:val="18"/>
        </w:rPr>
      </w:pPr>
    </w:p>
    <w:tbl>
      <w:tblPr>
        <w:tblW w:w="9900" w:type="dxa"/>
        <w:tblInd w:w="-39"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520"/>
        <w:gridCol w:w="7380"/>
      </w:tblGrid>
      <w:tr w:rsidR="00BA7C2C" w:rsidRPr="007432C9" w:rsidTr="00613EE2">
        <w:trPr>
          <w:trHeight w:val="263"/>
        </w:trPr>
        <w:tc>
          <w:tcPr>
            <w:tcW w:w="9900" w:type="dxa"/>
            <w:gridSpan w:val="2"/>
            <w:tcBorders>
              <w:bottom w:val="single" w:sz="6" w:space="0" w:color="808080"/>
            </w:tcBorders>
          </w:tcPr>
          <w:p w:rsidR="00BA7C2C" w:rsidRPr="007432C9" w:rsidRDefault="00BA7C2C" w:rsidP="00613EE2">
            <w:pPr>
              <w:rPr>
                <w:rFonts w:cs="Arial"/>
              </w:rPr>
            </w:pPr>
            <w:r w:rsidRPr="007432C9">
              <w:rPr>
                <w:rFonts w:cs="Arial"/>
              </w:rPr>
              <w:t>Explanation:</w:t>
            </w:r>
          </w:p>
        </w:tc>
      </w:tr>
      <w:tr w:rsidR="00BA7C2C" w:rsidRPr="007432C9" w:rsidTr="00613EE2">
        <w:trPr>
          <w:trHeight w:val="262"/>
        </w:trPr>
        <w:tc>
          <w:tcPr>
            <w:tcW w:w="2520" w:type="dxa"/>
            <w:tcBorders>
              <w:top w:val="single" w:sz="6" w:space="0" w:color="808080"/>
            </w:tcBorders>
          </w:tcPr>
          <w:p w:rsidR="00BA7C2C" w:rsidRPr="007432C9" w:rsidRDefault="00BA7C2C" w:rsidP="00613EE2">
            <w:pPr>
              <w:rPr>
                <w:rFonts w:cs="Arial"/>
              </w:rPr>
            </w:pPr>
            <w:r w:rsidRPr="007432C9">
              <w:rPr>
                <w:rFonts w:cs="Arial"/>
              </w:rPr>
              <w:t>Pictogram:</w:t>
            </w:r>
          </w:p>
        </w:tc>
        <w:tc>
          <w:tcPr>
            <w:tcW w:w="7380" w:type="dxa"/>
            <w:tcBorders>
              <w:top w:val="single" w:sz="6" w:space="0" w:color="808080"/>
            </w:tcBorders>
          </w:tcPr>
          <w:p w:rsidR="00BA7C2C" w:rsidRPr="007432C9" w:rsidRDefault="00BA7C2C" w:rsidP="00613EE2">
            <w:pPr>
              <w:rPr>
                <w:rFonts w:cs="Arial"/>
              </w:rPr>
            </w:pPr>
            <w:r w:rsidRPr="007432C9">
              <w:rPr>
                <w:rFonts w:cs="Arial"/>
              </w:rPr>
              <w:t>GSH08 is obligatory with the assigned H-statement.</w:t>
            </w:r>
          </w:p>
        </w:tc>
      </w:tr>
      <w:tr w:rsidR="00BA7C2C" w:rsidRPr="007432C9" w:rsidTr="00613EE2">
        <w:trPr>
          <w:trHeight w:val="262"/>
        </w:trPr>
        <w:tc>
          <w:tcPr>
            <w:tcW w:w="2520" w:type="dxa"/>
            <w:tcBorders>
              <w:top w:val="single" w:sz="6" w:space="0" w:color="808080"/>
            </w:tcBorders>
          </w:tcPr>
          <w:p w:rsidR="00BA7C2C" w:rsidRPr="007432C9" w:rsidRDefault="00BA7C2C" w:rsidP="00613EE2">
            <w:pPr>
              <w:rPr>
                <w:rFonts w:cs="Arial"/>
              </w:rPr>
            </w:pPr>
            <w:r w:rsidRPr="007432C9">
              <w:rPr>
                <w:rFonts w:cs="Arial"/>
              </w:rPr>
              <w:t>H-statements:</w:t>
            </w:r>
          </w:p>
        </w:tc>
        <w:tc>
          <w:tcPr>
            <w:tcW w:w="7380" w:type="dxa"/>
            <w:tcBorders>
              <w:top w:val="single" w:sz="6" w:space="0" w:color="808080"/>
            </w:tcBorders>
          </w:tcPr>
          <w:p w:rsidR="00BA7C2C" w:rsidRPr="007432C9" w:rsidRDefault="00BA7C2C" w:rsidP="00613EE2">
            <w:pPr>
              <w:rPr>
                <w:rFonts w:cs="Arial"/>
                <w:szCs w:val="22"/>
              </w:rPr>
            </w:pPr>
            <w:r w:rsidRPr="007432C9">
              <w:rPr>
                <w:rFonts w:cs="Arial"/>
                <w:szCs w:val="22"/>
              </w:rPr>
              <w:t xml:space="preserve">H373 is assigned based on the human toxiciolgical data provided in the CAR for bromadiolone and the proposed classification of the  Technical Committee on Classification and Labelling for bromadiolone (TC&amp;L, May 2007), which is the current status although the discussion at ECHA is not finalised. Furthermore, bromadiolone is included </w:t>
            </w:r>
            <w:r w:rsidRPr="007432C9">
              <w:rPr>
                <w:rFonts w:cs="Arial"/>
                <w:szCs w:val="22"/>
                <w:lang w:eastAsia="nl-NL"/>
              </w:rPr>
              <w:t>in the Registry of submitted Harmonised Classification and Labelling intentions (see www.echa.eu).</w:t>
            </w:r>
          </w:p>
        </w:tc>
      </w:tr>
      <w:tr w:rsidR="00BA7C2C" w:rsidRPr="007432C9" w:rsidTr="00613EE2">
        <w:trPr>
          <w:trHeight w:val="262"/>
        </w:trPr>
        <w:tc>
          <w:tcPr>
            <w:tcW w:w="2520" w:type="dxa"/>
          </w:tcPr>
          <w:p w:rsidR="00BA7C2C" w:rsidRPr="007432C9" w:rsidRDefault="00BA7C2C" w:rsidP="00613EE2">
            <w:pPr>
              <w:rPr>
                <w:rFonts w:cs="Arial"/>
              </w:rPr>
            </w:pPr>
            <w:r w:rsidRPr="007432C9">
              <w:rPr>
                <w:rFonts w:cs="Arial"/>
              </w:rPr>
              <w:t>P-statements:</w:t>
            </w:r>
          </w:p>
        </w:tc>
        <w:tc>
          <w:tcPr>
            <w:tcW w:w="7380" w:type="dxa"/>
          </w:tcPr>
          <w:p w:rsidR="00BA7C2C" w:rsidRPr="007432C9" w:rsidRDefault="00BA7C2C" w:rsidP="00613EE2">
            <w:pPr>
              <w:rPr>
                <w:rFonts w:cs="Arial"/>
              </w:rPr>
            </w:pPr>
            <w:r w:rsidRPr="007432C9">
              <w:rPr>
                <w:rFonts w:cs="Arial"/>
              </w:rPr>
              <w:t>P-statements are chosen according to the Guidance on Labelling and Packaging</w:t>
            </w:r>
          </w:p>
          <w:p w:rsidR="00BA7C2C" w:rsidRPr="007432C9" w:rsidRDefault="00BA7C2C" w:rsidP="00613EE2">
            <w:pPr>
              <w:rPr>
                <w:rFonts w:cs="Arial"/>
              </w:rPr>
            </w:pPr>
            <w:r w:rsidRPr="007432C9">
              <w:rPr>
                <w:rFonts w:cs="Arial"/>
              </w:rPr>
              <w:t xml:space="preserve">in accordance with Regulation (EC) No 1272/2008 and the risk assessment. </w:t>
            </w:r>
          </w:p>
        </w:tc>
      </w:tr>
    </w:tbl>
    <w:p w:rsidR="00BA7C2C" w:rsidRPr="007432C9" w:rsidRDefault="00BA7C2C" w:rsidP="00BA7C2C">
      <w:pPr>
        <w:pStyle w:val="Kop3"/>
        <w:numPr>
          <w:ilvl w:val="0"/>
          <w:numId w:val="0"/>
        </w:numPr>
        <w:spacing w:before="300"/>
        <w:rPr>
          <w:b w:val="0"/>
          <w:bCs w:val="0"/>
          <w:sz w:val="22"/>
          <w:szCs w:val="22"/>
        </w:rPr>
      </w:pPr>
      <w:bookmarkStart w:id="760" w:name="_Toc362858084"/>
      <w:r w:rsidRPr="007432C9">
        <w:rPr>
          <w:b w:val="0"/>
          <w:bCs w:val="0"/>
          <w:sz w:val="22"/>
          <w:szCs w:val="22"/>
        </w:rPr>
        <w:t>Non-professional user:</w:t>
      </w:r>
      <w:bookmarkEnd w:id="760"/>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4371"/>
      </w:tblGrid>
      <w:tr w:rsidR="00BA7C2C" w:rsidRPr="007432C9" w:rsidTr="00613EE2">
        <w:trPr>
          <w:trHeight w:val="383"/>
        </w:trPr>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Signal word:</w:t>
            </w:r>
          </w:p>
        </w:tc>
        <w:tc>
          <w:tcPr>
            <w:tcW w:w="8056" w:type="dxa"/>
            <w:gridSpan w:val="3"/>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Warning</w:t>
            </w:r>
          </w:p>
        </w:tc>
      </w:tr>
      <w:tr w:rsidR="00BA7C2C" w:rsidRPr="007432C9" w:rsidTr="00613EE2">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Pictogram:</w:t>
            </w:r>
          </w:p>
        </w:tc>
        <w:tc>
          <w:tcPr>
            <w:tcW w:w="8056" w:type="dxa"/>
            <w:gridSpan w:val="3"/>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GHS08</w:t>
            </w:r>
          </w:p>
        </w:tc>
      </w:tr>
      <w:tr w:rsidR="00BA7C2C" w:rsidRPr="007432C9" w:rsidTr="00613EE2">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shd w:val="clear" w:color="auto" w:fill="auto"/>
            <w:vAlign w:val="center"/>
          </w:tcPr>
          <w:p w:rsidR="00BA7C2C" w:rsidRPr="007432C9" w:rsidRDefault="00BA7C2C" w:rsidP="00613EE2">
            <w:pPr>
              <w:autoSpaceDE w:val="0"/>
              <w:autoSpaceDN w:val="0"/>
              <w:adjustRightInd w:val="0"/>
              <w:jc w:val="center"/>
              <w:rPr>
                <w:rFonts w:cs="Arial"/>
                <w:b/>
                <w:lang w:eastAsia="nl-NL"/>
              </w:rPr>
            </w:pPr>
            <w:r w:rsidRPr="007432C9">
              <w:rPr>
                <w:rFonts w:cs="Arial"/>
                <w:b/>
                <w:lang w:eastAsia="nl-NL"/>
              </w:rPr>
              <w:t>Hazard class-and-Category</w:t>
            </w:r>
          </w:p>
        </w:tc>
        <w:tc>
          <w:tcPr>
            <w:tcW w:w="1843" w:type="dxa"/>
            <w:shd w:val="clear" w:color="auto" w:fill="auto"/>
            <w:vAlign w:val="center"/>
          </w:tcPr>
          <w:p w:rsidR="00BA7C2C" w:rsidRPr="007432C9" w:rsidRDefault="00BA7C2C" w:rsidP="00613EE2">
            <w:pPr>
              <w:autoSpaceDE w:val="0"/>
              <w:autoSpaceDN w:val="0"/>
              <w:adjustRightInd w:val="0"/>
              <w:jc w:val="center"/>
              <w:rPr>
                <w:rFonts w:cs="Arial"/>
                <w:b/>
                <w:lang w:eastAsia="nl-NL"/>
              </w:rPr>
            </w:pPr>
            <w:r w:rsidRPr="007432C9">
              <w:rPr>
                <w:rFonts w:cs="Arial"/>
                <w:b/>
                <w:lang w:eastAsia="nl-NL"/>
              </w:rPr>
              <w:t>Code</w:t>
            </w:r>
          </w:p>
        </w:tc>
        <w:tc>
          <w:tcPr>
            <w:tcW w:w="4371" w:type="dxa"/>
            <w:shd w:val="clear" w:color="auto" w:fill="auto"/>
            <w:vAlign w:val="center"/>
          </w:tcPr>
          <w:p w:rsidR="00BA7C2C" w:rsidRPr="007432C9" w:rsidRDefault="00BA7C2C" w:rsidP="00613EE2">
            <w:pPr>
              <w:autoSpaceDE w:val="0"/>
              <w:autoSpaceDN w:val="0"/>
              <w:adjustRightInd w:val="0"/>
              <w:jc w:val="center"/>
              <w:rPr>
                <w:rFonts w:cs="Arial"/>
                <w:b/>
                <w:lang w:eastAsia="nl-NL"/>
              </w:rPr>
            </w:pPr>
            <w:r w:rsidRPr="007432C9">
              <w:rPr>
                <w:rFonts w:cs="Arial"/>
                <w:b/>
                <w:lang w:eastAsia="nl-NL"/>
              </w:rPr>
              <w:t>Hazard statement</w:t>
            </w:r>
          </w:p>
        </w:tc>
      </w:tr>
      <w:tr w:rsidR="00BA7C2C" w:rsidRPr="007432C9" w:rsidTr="00613EE2">
        <w:tc>
          <w:tcPr>
            <w:tcW w:w="1842"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Hazard statements:</w:t>
            </w:r>
          </w:p>
        </w:tc>
        <w:tc>
          <w:tcPr>
            <w:tcW w:w="1842"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STOT RE Cat. 2</w:t>
            </w:r>
          </w:p>
        </w:tc>
        <w:tc>
          <w:tcPr>
            <w:tcW w:w="1843" w:type="dxa"/>
            <w:shd w:val="clear" w:color="auto" w:fill="auto"/>
            <w:vAlign w:val="center"/>
          </w:tcPr>
          <w:p w:rsidR="00BA7C2C" w:rsidRPr="007432C9" w:rsidRDefault="00BA7C2C" w:rsidP="00613EE2">
            <w:pPr>
              <w:autoSpaceDE w:val="0"/>
              <w:autoSpaceDN w:val="0"/>
              <w:adjustRightInd w:val="0"/>
              <w:jc w:val="center"/>
              <w:rPr>
                <w:rFonts w:cs="Arial"/>
                <w:szCs w:val="22"/>
                <w:lang w:eastAsia="nl-NL"/>
              </w:rPr>
            </w:pPr>
            <w:r w:rsidRPr="007432C9">
              <w:rPr>
                <w:rFonts w:cs="Arial"/>
                <w:szCs w:val="22"/>
                <w:lang w:eastAsia="nl-NL"/>
              </w:rPr>
              <w:t>H373</w:t>
            </w:r>
          </w:p>
        </w:tc>
        <w:tc>
          <w:tcPr>
            <w:tcW w:w="4371"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szCs w:val="22"/>
                <w:lang w:eastAsia="nl-NL"/>
              </w:rPr>
              <w:t>May cause damage to haemolytic system through prolonged or repeated exposure</w:t>
            </w:r>
          </w:p>
        </w:tc>
      </w:tr>
      <w:tr w:rsidR="00BA7C2C" w:rsidRPr="007432C9" w:rsidTr="00613EE2">
        <w:tc>
          <w:tcPr>
            <w:tcW w:w="1842" w:type="dxa"/>
            <w:vMerge w:val="restart"/>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Precautionary statements:</w:t>
            </w:r>
          </w:p>
        </w:tc>
        <w:tc>
          <w:tcPr>
            <w:tcW w:w="1842" w:type="dxa"/>
            <w:vMerge w:val="restart"/>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P102</w:t>
            </w:r>
          </w:p>
        </w:tc>
        <w:tc>
          <w:tcPr>
            <w:tcW w:w="4371" w:type="dxa"/>
            <w:shd w:val="clear" w:color="auto" w:fill="auto"/>
            <w:vAlign w:val="center"/>
          </w:tcPr>
          <w:p w:rsidR="00BA7C2C" w:rsidRPr="007432C9" w:rsidRDefault="00BA7C2C" w:rsidP="00613EE2">
            <w:pPr>
              <w:autoSpaceDE w:val="0"/>
              <w:autoSpaceDN w:val="0"/>
              <w:adjustRightInd w:val="0"/>
              <w:spacing w:line="240" w:lineRule="auto"/>
              <w:rPr>
                <w:rFonts w:cs="Arial"/>
                <w:szCs w:val="22"/>
                <w:lang w:eastAsia="nl-NL"/>
              </w:rPr>
            </w:pPr>
            <w:r w:rsidRPr="007432C9">
              <w:rPr>
                <w:rFonts w:cs="Arial"/>
                <w:szCs w:val="22"/>
                <w:lang w:eastAsia="nl-NL"/>
              </w:rPr>
              <w:t>Keep out of reach of children</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P260</w:t>
            </w:r>
          </w:p>
        </w:tc>
        <w:tc>
          <w:tcPr>
            <w:tcW w:w="4371" w:type="dxa"/>
            <w:shd w:val="clear" w:color="auto" w:fill="auto"/>
            <w:vAlign w:val="center"/>
          </w:tcPr>
          <w:p w:rsidR="00BA7C2C" w:rsidRPr="007432C9" w:rsidRDefault="00BA7C2C" w:rsidP="00613EE2">
            <w:pPr>
              <w:autoSpaceDE w:val="0"/>
              <w:autoSpaceDN w:val="0"/>
              <w:adjustRightInd w:val="0"/>
              <w:spacing w:line="240" w:lineRule="auto"/>
              <w:rPr>
                <w:rFonts w:cs="Arial"/>
                <w:szCs w:val="22"/>
                <w:lang w:eastAsia="nl-NL"/>
              </w:rPr>
            </w:pPr>
            <w:r w:rsidRPr="007432C9">
              <w:rPr>
                <w:rFonts w:cs="Arial"/>
                <w:szCs w:val="22"/>
                <w:lang w:eastAsia="nl-NL"/>
              </w:rPr>
              <w:t>Do not breathe dust</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P314</w:t>
            </w:r>
          </w:p>
        </w:tc>
        <w:tc>
          <w:tcPr>
            <w:tcW w:w="4371"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szCs w:val="22"/>
                <w:lang w:eastAsia="nl-NL"/>
              </w:rPr>
              <w:t>Get medical advice/attention if you feel unwell</w:t>
            </w:r>
          </w:p>
        </w:tc>
      </w:tr>
      <w:tr w:rsidR="00BA7C2C" w:rsidRPr="007432C9" w:rsidTr="00613EE2">
        <w:tc>
          <w:tcPr>
            <w:tcW w:w="1842"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842" w:type="dxa"/>
            <w:vMerge/>
            <w:shd w:val="clear" w:color="auto" w:fill="auto"/>
            <w:vAlign w:val="center"/>
          </w:tcPr>
          <w:p w:rsidR="00BA7C2C" w:rsidRPr="007432C9" w:rsidRDefault="00BA7C2C" w:rsidP="00613EE2">
            <w:pPr>
              <w:autoSpaceDE w:val="0"/>
              <w:autoSpaceDN w:val="0"/>
              <w:adjustRightInd w:val="0"/>
              <w:jc w:val="center"/>
              <w:rPr>
                <w:rFonts w:cs="Arial"/>
                <w:lang w:eastAsia="nl-NL"/>
              </w:rPr>
            </w:pPr>
          </w:p>
        </w:tc>
        <w:tc>
          <w:tcPr>
            <w:tcW w:w="1843" w:type="dxa"/>
            <w:shd w:val="clear" w:color="auto" w:fill="auto"/>
            <w:vAlign w:val="center"/>
          </w:tcPr>
          <w:p w:rsidR="00BA7C2C" w:rsidRPr="007432C9" w:rsidRDefault="00BA7C2C" w:rsidP="00613EE2">
            <w:pPr>
              <w:autoSpaceDE w:val="0"/>
              <w:autoSpaceDN w:val="0"/>
              <w:adjustRightInd w:val="0"/>
              <w:jc w:val="center"/>
              <w:rPr>
                <w:rFonts w:cs="Arial"/>
                <w:lang w:eastAsia="nl-NL"/>
              </w:rPr>
            </w:pPr>
            <w:r w:rsidRPr="007432C9">
              <w:rPr>
                <w:rFonts w:cs="Arial"/>
                <w:lang w:eastAsia="nl-NL"/>
              </w:rPr>
              <w:t>P501</w:t>
            </w:r>
          </w:p>
        </w:tc>
        <w:tc>
          <w:tcPr>
            <w:tcW w:w="4371"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szCs w:val="22"/>
                <w:lang w:eastAsia="nl-NL"/>
              </w:rPr>
              <w:t>Dispose of contents/container to …</w:t>
            </w:r>
          </w:p>
        </w:tc>
      </w:tr>
    </w:tbl>
    <w:p w:rsidR="00BA7C2C" w:rsidRPr="007432C9" w:rsidRDefault="00BA7C2C" w:rsidP="00BA7C2C">
      <w:pPr>
        <w:rPr>
          <w:rFonts w:cs="Arial"/>
        </w:rPr>
      </w:pPr>
    </w:p>
    <w:tbl>
      <w:tblPr>
        <w:tblW w:w="9900" w:type="dxa"/>
        <w:tblInd w:w="-39"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520"/>
        <w:gridCol w:w="7380"/>
      </w:tblGrid>
      <w:tr w:rsidR="00BA7C2C" w:rsidRPr="007432C9" w:rsidTr="00613EE2">
        <w:trPr>
          <w:trHeight w:val="263"/>
        </w:trPr>
        <w:tc>
          <w:tcPr>
            <w:tcW w:w="9900" w:type="dxa"/>
            <w:gridSpan w:val="2"/>
            <w:tcBorders>
              <w:bottom w:val="single" w:sz="6" w:space="0" w:color="808080"/>
            </w:tcBorders>
          </w:tcPr>
          <w:p w:rsidR="00BA7C2C" w:rsidRPr="007432C9" w:rsidRDefault="00BA7C2C" w:rsidP="00613EE2">
            <w:pPr>
              <w:rPr>
                <w:rFonts w:cs="Arial"/>
              </w:rPr>
            </w:pPr>
            <w:r w:rsidRPr="007432C9">
              <w:rPr>
                <w:rFonts w:cs="Arial"/>
              </w:rPr>
              <w:t>Explanation:</w:t>
            </w:r>
          </w:p>
        </w:tc>
      </w:tr>
      <w:tr w:rsidR="00BA7C2C" w:rsidRPr="007432C9" w:rsidTr="00613EE2">
        <w:trPr>
          <w:trHeight w:val="262"/>
        </w:trPr>
        <w:tc>
          <w:tcPr>
            <w:tcW w:w="2520" w:type="dxa"/>
            <w:tcBorders>
              <w:top w:val="single" w:sz="6" w:space="0" w:color="808080"/>
            </w:tcBorders>
          </w:tcPr>
          <w:p w:rsidR="00BA7C2C" w:rsidRPr="007432C9" w:rsidRDefault="00BA7C2C" w:rsidP="00613EE2">
            <w:pPr>
              <w:rPr>
                <w:rFonts w:cs="Arial"/>
              </w:rPr>
            </w:pPr>
            <w:r w:rsidRPr="007432C9">
              <w:rPr>
                <w:rFonts w:cs="Arial"/>
              </w:rPr>
              <w:t>Pictogram:</w:t>
            </w:r>
          </w:p>
        </w:tc>
        <w:tc>
          <w:tcPr>
            <w:tcW w:w="7380" w:type="dxa"/>
            <w:tcBorders>
              <w:top w:val="single" w:sz="6" w:space="0" w:color="808080"/>
            </w:tcBorders>
          </w:tcPr>
          <w:p w:rsidR="00BA7C2C" w:rsidRPr="007432C9" w:rsidRDefault="00BA7C2C" w:rsidP="00613EE2">
            <w:pPr>
              <w:rPr>
                <w:rFonts w:cs="Arial"/>
              </w:rPr>
            </w:pPr>
            <w:r w:rsidRPr="007432C9">
              <w:rPr>
                <w:rFonts w:cs="Arial"/>
              </w:rPr>
              <w:t>GSH08 is obligatory with the assigned H-statement.</w:t>
            </w:r>
          </w:p>
        </w:tc>
      </w:tr>
      <w:tr w:rsidR="00BA7C2C" w:rsidRPr="007432C9" w:rsidTr="00613EE2">
        <w:trPr>
          <w:trHeight w:val="262"/>
        </w:trPr>
        <w:tc>
          <w:tcPr>
            <w:tcW w:w="2520" w:type="dxa"/>
            <w:tcBorders>
              <w:top w:val="single" w:sz="6" w:space="0" w:color="808080"/>
            </w:tcBorders>
          </w:tcPr>
          <w:p w:rsidR="00BA7C2C" w:rsidRPr="007432C9" w:rsidRDefault="00BA7C2C" w:rsidP="00613EE2">
            <w:pPr>
              <w:rPr>
                <w:rFonts w:cs="Arial"/>
              </w:rPr>
            </w:pPr>
            <w:r w:rsidRPr="007432C9">
              <w:rPr>
                <w:rFonts w:cs="Arial"/>
              </w:rPr>
              <w:t>H-statements:</w:t>
            </w:r>
          </w:p>
        </w:tc>
        <w:tc>
          <w:tcPr>
            <w:tcW w:w="7380" w:type="dxa"/>
            <w:tcBorders>
              <w:top w:val="single" w:sz="6" w:space="0" w:color="808080"/>
            </w:tcBorders>
          </w:tcPr>
          <w:p w:rsidR="00BA7C2C" w:rsidRPr="007432C9" w:rsidRDefault="00BA7C2C" w:rsidP="00613EE2">
            <w:pPr>
              <w:rPr>
                <w:rFonts w:cs="Arial"/>
                <w:szCs w:val="22"/>
              </w:rPr>
            </w:pPr>
            <w:r w:rsidRPr="007432C9">
              <w:rPr>
                <w:rFonts w:cs="Arial"/>
                <w:szCs w:val="22"/>
              </w:rPr>
              <w:t xml:space="preserve">H373 is assigned based on the human toxiciolgical data provided in the CAR for bromadiolone and the proposed classification of the  Technical Committee on Classification and Labelling for bromadiolone (TC&amp;L, May 2007), which is the current status although the discussion at ECHA is not finalised. Furthermore, bromadiolone is included </w:t>
            </w:r>
            <w:r w:rsidRPr="007432C9">
              <w:rPr>
                <w:rFonts w:cs="Arial"/>
                <w:szCs w:val="22"/>
                <w:lang w:eastAsia="nl-NL"/>
              </w:rPr>
              <w:t>in the Registry of submitted Harmonised Classification and Labelling intentions (see www.echa.eu).</w:t>
            </w:r>
          </w:p>
        </w:tc>
      </w:tr>
      <w:tr w:rsidR="00BA7C2C" w:rsidRPr="007432C9" w:rsidTr="00613EE2">
        <w:trPr>
          <w:trHeight w:val="262"/>
        </w:trPr>
        <w:tc>
          <w:tcPr>
            <w:tcW w:w="2520" w:type="dxa"/>
          </w:tcPr>
          <w:p w:rsidR="00BA7C2C" w:rsidRPr="007432C9" w:rsidRDefault="00BA7C2C" w:rsidP="00613EE2">
            <w:pPr>
              <w:rPr>
                <w:rFonts w:cs="Arial"/>
              </w:rPr>
            </w:pPr>
            <w:r w:rsidRPr="007432C9">
              <w:rPr>
                <w:rFonts w:cs="Arial"/>
              </w:rPr>
              <w:t>P-statements:</w:t>
            </w:r>
          </w:p>
        </w:tc>
        <w:tc>
          <w:tcPr>
            <w:tcW w:w="7380" w:type="dxa"/>
          </w:tcPr>
          <w:p w:rsidR="00BA7C2C" w:rsidRPr="007432C9" w:rsidRDefault="00BA7C2C" w:rsidP="00613EE2">
            <w:pPr>
              <w:rPr>
                <w:rFonts w:cs="Arial"/>
              </w:rPr>
            </w:pPr>
            <w:r w:rsidRPr="007432C9">
              <w:rPr>
                <w:rFonts w:cs="Arial"/>
              </w:rPr>
              <w:t>P-statements are chosen according to the Guidance on Labelling and Packaging</w:t>
            </w:r>
          </w:p>
          <w:p w:rsidR="00BA7C2C" w:rsidRPr="007432C9" w:rsidRDefault="00BA7C2C" w:rsidP="00613EE2">
            <w:pPr>
              <w:rPr>
                <w:rFonts w:cs="Arial"/>
              </w:rPr>
            </w:pPr>
            <w:r w:rsidRPr="007432C9">
              <w:rPr>
                <w:rFonts w:cs="Arial"/>
              </w:rPr>
              <w:t>in accordance with Regulation (EC) No 1272/2008 and the risk assessment.</w:t>
            </w:r>
          </w:p>
        </w:tc>
      </w:tr>
    </w:tbl>
    <w:p w:rsidR="00BA7C2C" w:rsidRPr="007432C9" w:rsidRDefault="00BA7C2C" w:rsidP="00BA7C2C">
      <w:pPr>
        <w:autoSpaceDE w:val="0"/>
        <w:autoSpaceDN w:val="0"/>
        <w:adjustRightInd w:val="0"/>
        <w:rPr>
          <w:rFonts w:cs="Arial"/>
          <w:lang w:eastAsia="nl-NL"/>
        </w:rPr>
      </w:pPr>
    </w:p>
    <w:p w:rsidR="00BA7C2C" w:rsidRDefault="00BA7C2C" w:rsidP="00BA7C2C">
      <w:pPr>
        <w:rPr>
          <w:rFonts w:cs="Arial"/>
        </w:rPr>
      </w:pPr>
    </w:p>
    <w:p w:rsidR="00BA7C2C" w:rsidRPr="00C83947" w:rsidRDefault="00BA7C2C" w:rsidP="00BA7C2C">
      <w:pPr>
        <w:rPr>
          <w:rFonts w:cs="Arial"/>
          <w:lang w:val="en-US"/>
        </w:rPr>
      </w:pPr>
      <w:r w:rsidRPr="00C83947">
        <w:rPr>
          <w:rFonts w:cs="Arial"/>
          <w:b/>
          <w:bCs/>
          <w:lang w:val="en-US"/>
        </w:rPr>
        <w:t>Proposal for the classification and labelling of the formulat</w:t>
      </w:r>
      <w:r>
        <w:rPr>
          <w:rFonts w:cs="Arial"/>
          <w:b/>
          <w:bCs/>
          <w:lang w:val="en-US"/>
        </w:rPr>
        <w:t>ion concerning environmental</w:t>
      </w:r>
      <w:r w:rsidRPr="00C83947">
        <w:rPr>
          <w:rFonts w:cs="Arial"/>
          <w:b/>
          <w:bCs/>
          <w:lang w:val="en-US"/>
        </w:rPr>
        <w:t xml:space="preserve"> properties</w:t>
      </w:r>
    </w:p>
    <w:p w:rsidR="00BA7C2C" w:rsidRDefault="00BA7C2C" w:rsidP="00BA7C2C">
      <w:pPr>
        <w:rPr>
          <w:rFonts w:cs="Arial"/>
          <w:lang w:val="en-US"/>
        </w:rPr>
      </w:pPr>
    </w:p>
    <w:p w:rsidR="00BA7C2C" w:rsidRDefault="00BA7C2C" w:rsidP="00BA7C2C">
      <w:pPr>
        <w:rPr>
          <w:rFonts w:cs="Arial"/>
          <w:lang w:val="en-US"/>
        </w:rPr>
      </w:pPr>
      <w:r>
        <w:rPr>
          <w:rFonts w:cs="Arial"/>
          <w:lang w:val="en-US"/>
        </w:rPr>
        <w:t>Classification and labeling of the formulation concerning environmental properties is not required.</w:t>
      </w:r>
    </w:p>
    <w:p w:rsidR="00BA7C2C" w:rsidRPr="00E63545" w:rsidRDefault="00BA7C2C" w:rsidP="00BA7C2C">
      <w:pPr>
        <w:rPr>
          <w:rFonts w:cs="Arial"/>
          <w:lang w:val="en-US"/>
        </w:rPr>
      </w:pPr>
    </w:p>
    <w:p w:rsidR="00BA7C2C" w:rsidRPr="00A0425E" w:rsidRDefault="00BA7C2C" w:rsidP="00BA7C2C">
      <w:pPr>
        <w:pStyle w:val="Kop3"/>
        <w:numPr>
          <w:ilvl w:val="2"/>
          <w:numId w:val="12"/>
        </w:numPr>
        <w:tabs>
          <w:tab w:val="left" w:pos="1304"/>
        </w:tabs>
        <w:spacing w:before="300" w:line="280" w:lineRule="atLeast"/>
        <w:jc w:val="left"/>
      </w:pPr>
      <w:bookmarkStart w:id="761" w:name="_Toc362858085"/>
      <w:r w:rsidRPr="00A0425E">
        <w:t>Packaging of the biocidal product</w:t>
      </w:r>
      <w:bookmarkEnd w:id="761"/>
    </w:p>
    <w:p w:rsidR="00BA7C2C" w:rsidRPr="00D55DDC" w:rsidRDefault="00BA7C2C" w:rsidP="00BA7C2C">
      <w:pPr>
        <w:rPr>
          <w:rFonts w:cs="Arial"/>
          <w:b/>
        </w:rPr>
      </w:pPr>
      <w:r w:rsidRPr="00D55DDC">
        <w:rPr>
          <w:rFonts w:cs="Arial"/>
          <w:b/>
        </w:rPr>
        <w:t>Professional use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06"/>
        <w:gridCol w:w="2526"/>
        <w:gridCol w:w="2155"/>
        <w:gridCol w:w="2154"/>
      </w:tblGrid>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Outer packaging type applied for</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Inner packaging type applied for</w:t>
            </w:r>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Packaging sizes authorised by RMS</w:t>
            </w:r>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Packaging sizes authorised in NL</w:t>
            </w:r>
            <w:r>
              <w:rPr>
                <w:rFonts w:cs="Arial"/>
                <w:b/>
              </w:rPr>
              <w:t>*</w:t>
            </w:r>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PP</w:t>
            </w:r>
            <w:r w:rsidRPr="00D55DDC">
              <w:rPr>
                <w:rFonts w:cs="Arial"/>
                <w:lang w:eastAsia="nl-NL"/>
              </w:rPr>
              <w:t xml:space="preserve"> bucket with lid</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 xml:space="preserve">Up to </w:t>
            </w:r>
            <w:smartTag w:uri="urn:schemas-microsoft-com:office:smarttags" w:element="metricconverter">
              <w:smartTagPr>
                <w:attr w:name="ProductID" w:val="21 kg"/>
              </w:smartTagPr>
              <w:r>
                <w:rPr>
                  <w:rFonts w:cs="Arial"/>
                  <w:lang w:eastAsia="nl-NL"/>
                </w:rPr>
                <w:t>21</w:t>
              </w:r>
              <w:r w:rsidRPr="00D55DDC">
                <w:rPr>
                  <w:rFonts w:cs="Arial"/>
                  <w:lang w:eastAsia="nl-NL"/>
                </w:rPr>
                <w:t xml:space="preserve">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800g to </w:t>
            </w:r>
            <w:smartTag w:uri="urn:schemas-microsoft-com:office:smarttags" w:element="metricconverter">
              <w:smartTagPr>
                <w:attr w:name="ProductID" w:val="20 kg"/>
              </w:smartTagPr>
              <w:r w:rsidRPr="00D55DDC">
                <w:rPr>
                  <w:rFonts w:cs="Arial"/>
                  <w:lang w:eastAsia="nl-NL"/>
                </w:rPr>
                <w:t>20 kg</w:t>
              </w:r>
            </w:smartTag>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Cardboard carton with integral plastic </w:t>
            </w:r>
            <w:r>
              <w:rPr>
                <w:rFonts w:cs="Arial"/>
                <w:lang w:eastAsia="nl-NL"/>
              </w:rPr>
              <w:t xml:space="preserve">(PP/PE) </w:t>
            </w:r>
            <w:r w:rsidRPr="00D55DDC">
              <w:rPr>
                <w:rFonts w:cs="Arial"/>
                <w:lang w:eastAsia="nl-NL"/>
              </w:rPr>
              <w:t xml:space="preserve">bag </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 xml:space="preserve">Up to </w:t>
            </w:r>
            <w:smartTag w:uri="urn:schemas-microsoft-com:office:smarttags" w:element="metricconverter">
              <w:smartTagPr>
                <w:attr w:name="ProductID" w:val="25 kg"/>
              </w:smartTagPr>
              <w:r>
                <w:rPr>
                  <w:rFonts w:cs="Arial"/>
                  <w:lang w:eastAsia="nl-NL"/>
                </w:rPr>
                <w:t>25</w:t>
              </w:r>
              <w:r w:rsidRPr="00D55DDC">
                <w:rPr>
                  <w:rFonts w:cs="Arial"/>
                  <w:lang w:eastAsia="nl-NL"/>
                </w:rPr>
                <w:t xml:space="preserve">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800g to </w:t>
            </w:r>
            <w:smartTag w:uri="urn:schemas-microsoft-com:office:smarttags" w:element="metricconverter">
              <w:smartTagPr>
                <w:attr w:name="ProductID" w:val="20 kg"/>
              </w:smartTagPr>
              <w:r w:rsidRPr="00D55DDC">
                <w:rPr>
                  <w:rFonts w:cs="Arial"/>
                  <w:lang w:eastAsia="nl-NL"/>
                </w:rPr>
                <w:t>20 kg</w:t>
              </w:r>
            </w:smartTag>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Plastic</w:t>
            </w:r>
            <w:r>
              <w:rPr>
                <w:rFonts w:cs="Arial"/>
                <w:lang w:eastAsia="nl-NL"/>
              </w:rPr>
              <w:t xml:space="preserve"> (PP/PE) </w:t>
            </w:r>
            <w:r w:rsidRPr="00D55DDC">
              <w:rPr>
                <w:rFonts w:cs="Arial"/>
                <w:lang w:eastAsia="nl-NL"/>
              </w:rPr>
              <w:t>container</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 xml:space="preserve">Up to </w:t>
            </w:r>
            <w:smartTag w:uri="urn:schemas-microsoft-com:office:smarttags" w:element="metricconverter">
              <w:smartTagPr>
                <w:attr w:name="ProductID" w:val="1.5 kg"/>
              </w:smartTagPr>
              <w:r>
                <w:rPr>
                  <w:rFonts w:cs="Arial"/>
                  <w:lang w:eastAsia="nl-NL"/>
                </w:rPr>
                <w:t>1.5</w:t>
              </w:r>
              <w:r w:rsidRPr="00D55DDC">
                <w:rPr>
                  <w:rFonts w:cs="Arial"/>
                  <w:lang w:eastAsia="nl-NL"/>
                </w:rPr>
                <w:t xml:space="preserve">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smartTag w:uri="urn:schemas-microsoft-com:office:smarttags" w:element="metricconverter">
              <w:smartTagPr>
                <w:attr w:name="ProductID" w:val="800 g"/>
              </w:smartTagPr>
              <w:r w:rsidRPr="00D55DDC">
                <w:rPr>
                  <w:rFonts w:cs="Arial"/>
                  <w:lang w:eastAsia="nl-NL"/>
                </w:rPr>
                <w:t>800 g</w:t>
              </w:r>
            </w:smartTag>
            <w:r w:rsidRPr="00D55DDC">
              <w:rPr>
                <w:rFonts w:cs="Arial"/>
                <w:lang w:eastAsia="nl-NL"/>
              </w:rPr>
              <w:t xml:space="preserve"> to </w:t>
            </w:r>
            <w:smartTag w:uri="urn:schemas-microsoft-com:office:smarttags" w:element="metricconverter">
              <w:smartTagPr>
                <w:attr w:name="ProductID" w:val="1.5 kg"/>
              </w:smartTagPr>
              <w:r w:rsidRPr="00D55DDC">
                <w:rPr>
                  <w:rFonts w:cs="Arial"/>
                  <w:lang w:eastAsia="nl-NL"/>
                </w:rPr>
                <w:t>1.5 kg</w:t>
              </w:r>
            </w:smartTag>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Plastic </w:t>
            </w:r>
            <w:r>
              <w:rPr>
                <w:rFonts w:cs="Arial"/>
                <w:lang w:eastAsia="nl-NL"/>
              </w:rPr>
              <w:t xml:space="preserve">(PP/PE) </w:t>
            </w:r>
            <w:r w:rsidRPr="00D55DDC">
              <w:rPr>
                <w:rFonts w:cs="Arial"/>
                <w:lang w:eastAsia="nl-NL"/>
              </w:rPr>
              <w:t>pouch</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 xml:space="preserve">Up to </w:t>
            </w:r>
            <w:smartTag w:uri="urn:schemas-microsoft-com:office:smarttags" w:element="metricconverter">
              <w:smartTagPr>
                <w:attr w:name="ProductID" w:val="20 kg"/>
              </w:smartTagPr>
              <w:r>
                <w:rPr>
                  <w:rFonts w:cs="Arial"/>
                  <w:lang w:eastAsia="nl-NL"/>
                </w:rPr>
                <w:t>20</w:t>
              </w:r>
              <w:r w:rsidRPr="00D55DDC">
                <w:rPr>
                  <w:rFonts w:cs="Arial"/>
                  <w:lang w:eastAsia="nl-NL"/>
                </w:rPr>
                <w:t xml:space="preserve">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smartTag w:uri="urn:schemas-microsoft-com:office:smarttags" w:element="metricconverter">
              <w:smartTagPr>
                <w:attr w:name="ProductID" w:val="800 g"/>
              </w:smartTagPr>
              <w:r w:rsidRPr="00D55DDC">
                <w:rPr>
                  <w:rFonts w:cs="Arial"/>
                  <w:lang w:eastAsia="nl-NL"/>
                </w:rPr>
                <w:t>800 g</w:t>
              </w:r>
            </w:smartTag>
            <w:r>
              <w:rPr>
                <w:rFonts w:cs="Arial"/>
                <w:lang w:eastAsia="nl-NL"/>
              </w:rPr>
              <w:t xml:space="preserve"> to </w:t>
            </w:r>
            <w:smartTag w:uri="urn:schemas-microsoft-com:office:smarttags" w:element="metricconverter">
              <w:smartTagPr>
                <w:attr w:name="ProductID" w:val="20 kg"/>
              </w:smartTagPr>
              <w:r>
                <w:rPr>
                  <w:rFonts w:cs="Arial"/>
                  <w:lang w:eastAsia="nl-NL"/>
                </w:rPr>
                <w:t>20</w:t>
              </w:r>
              <w:r w:rsidRPr="00D55DDC">
                <w:rPr>
                  <w:rFonts w:cs="Arial"/>
                  <w:lang w:eastAsia="nl-NL"/>
                </w:rPr>
                <w:t xml:space="preserve"> kg</w:t>
              </w:r>
            </w:smartTag>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Carton containing prefilled </w:t>
            </w:r>
            <w:r>
              <w:rPr>
                <w:rFonts w:cs="Arial"/>
                <w:lang w:eastAsia="nl-NL"/>
              </w:rPr>
              <w:t xml:space="preserve">PP/HDPE/PS </w:t>
            </w:r>
            <w:r w:rsidRPr="00D55DDC">
              <w:rPr>
                <w:rFonts w:cs="Arial"/>
                <w:lang w:eastAsia="nl-NL"/>
              </w:rPr>
              <w:t>bait stations</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 xml:space="preserve">Up to </w:t>
            </w:r>
            <w:smartTag w:uri="urn:schemas-microsoft-com:office:smarttags" w:element="metricconverter">
              <w:smartTagPr>
                <w:attr w:name="ProductID" w:val="10 kg"/>
              </w:smartTagPr>
              <w:r>
                <w:rPr>
                  <w:rFonts w:cs="Arial"/>
                  <w:lang w:eastAsia="nl-NL"/>
                </w:rPr>
                <w:t>10</w:t>
              </w:r>
              <w:r w:rsidRPr="00D55DDC">
                <w:rPr>
                  <w:rFonts w:cs="Arial"/>
                  <w:lang w:eastAsia="nl-NL"/>
                </w:rPr>
                <w:t xml:space="preserve">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800g to </w:t>
            </w:r>
            <w:smartTag w:uri="urn:schemas-microsoft-com:office:smarttags" w:element="metricconverter">
              <w:smartTagPr>
                <w:attr w:name="ProductID" w:val="10 kg"/>
              </w:smartTagPr>
              <w:r w:rsidRPr="00D55DDC">
                <w:rPr>
                  <w:rFonts w:cs="Arial"/>
                  <w:lang w:eastAsia="nl-NL"/>
                </w:rPr>
                <w:t>10 kg</w:t>
              </w:r>
            </w:smartTag>
          </w:p>
        </w:tc>
      </w:tr>
    </w:tbl>
    <w:p w:rsidR="00BA7C2C" w:rsidRPr="004B63E4" w:rsidRDefault="00BA7C2C" w:rsidP="00BA7C2C">
      <w:pPr>
        <w:rPr>
          <w:rFonts w:cs="Arial"/>
          <w:sz w:val="18"/>
          <w:szCs w:val="18"/>
        </w:rPr>
      </w:pPr>
      <w:r w:rsidRPr="004B63E4">
        <w:rPr>
          <w:rFonts w:cs="Arial"/>
          <w:sz w:val="18"/>
          <w:szCs w:val="18"/>
        </w:rPr>
        <w:t>*</w:t>
      </w:r>
      <w:r>
        <w:rPr>
          <w:rFonts w:cs="Arial"/>
          <w:sz w:val="18"/>
          <w:szCs w:val="18"/>
        </w:rPr>
        <w:t>NL</w:t>
      </w:r>
      <w:r w:rsidRPr="004B63E4">
        <w:rPr>
          <w:rFonts w:cs="Arial"/>
          <w:sz w:val="18"/>
          <w:szCs w:val="18"/>
        </w:rPr>
        <w:t xml:space="preserve"> specific regulations only allow pack sizes of up to </w:t>
      </w:r>
      <w:smartTag w:uri="urn:schemas-microsoft-com:office:smarttags" w:element="metricconverter">
        <w:smartTagPr>
          <w:attr w:name="ProductID" w:val="200 g"/>
        </w:smartTagPr>
        <w:r w:rsidRPr="004B63E4">
          <w:rPr>
            <w:rFonts w:cs="Arial"/>
            <w:sz w:val="18"/>
            <w:szCs w:val="18"/>
          </w:rPr>
          <w:t>200 g</w:t>
        </w:r>
      </w:smartTag>
      <w:r w:rsidRPr="004B63E4">
        <w:rPr>
          <w:rFonts w:cs="Arial"/>
          <w:sz w:val="18"/>
          <w:szCs w:val="18"/>
        </w:rPr>
        <w:t xml:space="preserve"> for non-professional use and from </w:t>
      </w:r>
      <w:smartTag w:uri="urn:schemas-microsoft-com:office:smarttags" w:element="metricconverter">
        <w:smartTagPr>
          <w:attr w:name="ProductID" w:val="800 g"/>
        </w:smartTagPr>
        <w:r w:rsidRPr="004B63E4">
          <w:rPr>
            <w:rFonts w:cs="Arial"/>
            <w:sz w:val="18"/>
            <w:szCs w:val="18"/>
          </w:rPr>
          <w:t>800 g</w:t>
        </w:r>
      </w:smartTag>
      <w:r w:rsidRPr="004B63E4">
        <w:rPr>
          <w:rFonts w:cs="Arial"/>
          <w:sz w:val="18"/>
          <w:szCs w:val="18"/>
        </w:rPr>
        <w:t xml:space="preserve"> for professional use, concerning authorization of rodenticides in the </w:t>
      </w:r>
      <w:smartTag w:uri="urn:schemas-microsoft-com:office:smarttags" w:element="place">
        <w:smartTag w:uri="urn:schemas-microsoft-com:office:smarttags" w:element="country-region">
          <w:r w:rsidRPr="004B63E4">
            <w:rPr>
              <w:rFonts w:cs="Arial"/>
              <w:sz w:val="18"/>
              <w:szCs w:val="18"/>
            </w:rPr>
            <w:t>Netherlands</w:t>
          </w:r>
        </w:smartTag>
      </w:smartTag>
      <w:r w:rsidRPr="004B63E4">
        <w:rPr>
          <w:rFonts w:cs="Arial"/>
          <w:sz w:val="18"/>
          <w:szCs w:val="18"/>
        </w:rPr>
        <w:t>.</w:t>
      </w:r>
    </w:p>
    <w:p w:rsidR="00BA7C2C" w:rsidRPr="00D55DDC" w:rsidRDefault="00BA7C2C" w:rsidP="00BA7C2C">
      <w:pPr>
        <w:rPr>
          <w:rFonts w:cs="Arial"/>
        </w:rPr>
      </w:pPr>
    </w:p>
    <w:p w:rsidR="00BA7C2C" w:rsidRPr="00D55DDC" w:rsidRDefault="00BA7C2C" w:rsidP="00BA7C2C">
      <w:pPr>
        <w:rPr>
          <w:rFonts w:cs="Arial"/>
          <w:b/>
        </w:rPr>
      </w:pPr>
      <w:r w:rsidRPr="00D55DDC">
        <w:rPr>
          <w:rFonts w:cs="Arial"/>
          <w:b/>
        </w:rPr>
        <w:t>Non-professional use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06"/>
        <w:gridCol w:w="2526"/>
        <w:gridCol w:w="2155"/>
        <w:gridCol w:w="2154"/>
      </w:tblGrid>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Outer packaging type applied for</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Inner packaging type applied for</w:t>
            </w:r>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Packaging sizes authorised by RMS</w:t>
            </w:r>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b/>
              </w:rPr>
            </w:pPr>
            <w:r w:rsidRPr="00D55DDC">
              <w:rPr>
                <w:rFonts w:cs="Arial"/>
                <w:b/>
              </w:rPr>
              <w:t>Packaging sizes authorised in NL</w:t>
            </w:r>
            <w:r>
              <w:rPr>
                <w:rFonts w:cs="Arial"/>
                <w:b/>
              </w:rPr>
              <w:t>*</w:t>
            </w:r>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Pr>
                <w:rFonts w:cs="Arial"/>
                <w:lang w:eastAsia="nl-NL"/>
              </w:rPr>
              <w:t>PP</w:t>
            </w:r>
            <w:r w:rsidRPr="00D55DDC">
              <w:rPr>
                <w:rFonts w:cs="Arial"/>
                <w:lang w:eastAsia="nl-NL"/>
              </w:rPr>
              <w:t xml:space="preserve"> bucket with lid</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Up to </w:t>
            </w:r>
            <w:smartTag w:uri="urn:schemas-microsoft-com:office:smarttags" w:element="metricconverter">
              <w:smartTagPr>
                <w:attr w:name="ProductID" w:val="4 kg"/>
              </w:smartTagPr>
              <w:r w:rsidRPr="00D55DDC">
                <w:rPr>
                  <w:rFonts w:cs="Arial"/>
                  <w:lang w:eastAsia="nl-NL"/>
                </w:rPr>
                <w:t>4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Up to 200g</w:t>
            </w:r>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Cardboard carton with integral plastic </w:t>
            </w:r>
            <w:r>
              <w:rPr>
                <w:rFonts w:cs="Arial"/>
                <w:lang w:eastAsia="nl-NL"/>
              </w:rPr>
              <w:t xml:space="preserve">(PP/PE) </w:t>
            </w:r>
            <w:r w:rsidRPr="00D55DDC">
              <w:rPr>
                <w:rFonts w:cs="Arial"/>
                <w:lang w:eastAsia="nl-NL"/>
              </w:rPr>
              <w:t xml:space="preserve">bag </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Default="00BA7C2C" w:rsidP="00613EE2">
            <w:r w:rsidRPr="00210516">
              <w:rPr>
                <w:rFonts w:cs="Arial"/>
                <w:lang w:eastAsia="nl-NL"/>
              </w:rPr>
              <w:t xml:space="preserve">Up to </w:t>
            </w:r>
            <w:smartTag w:uri="urn:schemas-microsoft-com:office:smarttags" w:element="metricconverter">
              <w:smartTagPr>
                <w:attr w:name="ProductID" w:val="3 kg"/>
              </w:smartTagPr>
              <w:r w:rsidRPr="00210516">
                <w:rPr>
                  <w:rFonts w:cs="Arial"/>
                  <w:lang w:eastAsia="nl-NL"/>
                </w:rPr>
                <w:t>3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Up to 200g</w:t>
            </w:r>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Plastic</w:t>
            </w:r>
            <w:r>
              <w:rPr>
                <w:rFonts w:cs="Arial"/>
                <w:lang w:eastAsia="nl-NL"/>
              </w:rPr>
              <w:t xml:space="preserve"> (PP/PE) </w:t>
            </w:r>
            <w:r w:rsidRPr="00D55DDC">
              <w:rPr>
                <w:rFonts w:cs="Arial"/>
                <w:lang w:eastAsia="nl-NL"/>
              </w:rPr>
              <w:t>container</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Default="00BA7C2C" w:rsidP="00613EE2">
            <w:r w:rsidRPr="00210516">
              <w:rPr>
                <w:rFonts w:cs="Arial"/>
                <w:lang w:eastAsia="nl-NL"/>
              </w:rPr>
              <w:t xml:space="preserve">Up to </w:t>
            </w:r>
            <w:smartTag w:uri="urn:schemas-microsoft-com:office:smarttags" w:element="metricconverter">
              <w:smartTagPr>
                <w:attr w:name="ProductID" w:val="3 kg"/>
              </w:smartTagPr>
              <w:r w:rsidRPr="00210516">
                <w:rPr>
                  <w:rFonts w:cs="Arial"/>
                  <w:lang w:eastAsia="nl-NL"/>
                </w:rPr>
                <w:t>3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Up to 200g</w:t>
            </w:r>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Plastic </w:t>
            </w:r>
            <w:r>
              <w:rPr>
                <w:rFonts w:cs="Arial"/>
                <w:lang w:eastAsia="nl-NL"/>
              </w:rPr>
              <w:t xml:space="preserve">(PP/PE) </w:t>
            </w:r>
            <w:r w:rsidRPr="00D55DDC">
              <w:rPr>
                <w:rFonts w:cs="Arial"/>
                <w:lang w:eastAsia="nl-NL"/>
              </w:rPr>
              <w:t>pouch</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Up to </w:t>
            </w:r>
            <w:smartTag w:uri="urn:schemas-microsoft-com:office:smarttags" w:element="metricconverter">
              <w:smartTagPr>
                <w:attr w:name="ProductID" w:val="3 kg"/>
              </w:smartTagPr>
              <w:r w:rsidRPr="00D55DDC">
                <w:rPr>
                  <w:rFonts w:cs="Arial"/>
                  <w:lang w:eastAsia="nl-NL"/>
                </w:rPr>
                <w:t>3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Up to 200g</w:t>
            </w:r>
          </w:p>
        </w:tc>
      </w:tr>
      <w:tr w:rsidR="00BA7C2C" w:rsidRPr="00D55DDC" w:rsidTr="00613EE2">
        <w:tc>
          <w:tcPr>
            <w:tcW w:w="1220"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 xml:space="preserve">Carton containing prefilled </w:t>
            </w:r>
            <w:r>
              <w:rPr>
                <w:rFonts w:cs="Arial"/>
                <w:lang w:eastAsia="nl-NL"/>
              </w:rPr>
              <w:t xml:space="preserve">PP/HDPE/PS </w:t>
            </w:r>
            <w:r w:rsidRPr="00D55DDC">
              <w:rPr>
                <w:rFonts w:cs="Arial"/>
                <w:lang w:eastAsia="nl-NL"/>
              </w:rPr>
              <w:t>bait stations</w:t>
            </w:r>
          </w:p>
        </w:tc>
        <w:tc>
          <w:tcPr>
            <w:tcW w:w="1397"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Paper bag/PP sachet: 10 to </w:t>
            </w:r>
            <w:smartTag w:uri="urn:schemas-microsoft-com:office:smarttags" w:element="metricconverter">
              <w:smartTagPr>
                <w:attr w:name="ProductID" w:val="40 g"/>
              </w:smartTagPr>
              <w:r w:rsidRPr="00D55DDC">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rPr>
                <w:rFonts w:cs="Arial"/>
              </w:rPr>
            </w:pPr>
            <w:r w:rsidRPr="00D55DDC">
              <w:rPr>
                <w:rFonts w:cs="Arial"/>
                <w:lang w:eastAsia="nl-NL"/>
              </w:rPr>
              <w:t xml:space="preserve">Up to </w:t>
            </w:r>
            <w:smartTag w:uri="urn:schemas-microsoft-com:office:smarttags" w:element="metricconverter">
              <w:smartTagPr>
                <w:attr w:name="ProductID" w:val="3 kg"/>
              </w:smartTagPr>
              <w:r w:rsidRPr="00D55DDC">
                <w:rPr>
                  <w:rFonts w:cs="Arial"/>
                  <w:lang w:eastAsia="nl-NL"/>
                </w:rPr>
                <w:t>3 kg</w:t>
              </w:r>
            </w:smartTag>
          </w:p>
        </w:tc>
        <w:tc>
          <w:tcPr>
            <w:tcW w:w="1191" w:type="pct"/>
            <w:tcBorders>
              <w:top w:val="single" w:sz="4" w:space="0" w:color="auto"/>
              <w:left w:val="single" w:sz="4" w:space="0" w:color="auto"/>
              <w:bottom w:val="single" w:sz="4" w:space="0" w:color="auto"/>
              <w:right w:val="single" w:sz="4" w:space="0" w:color="auto"/>
            </w:tcBorders>
          </w:tcPr>
          <w:p w:rsidR="00BA7C2C" w:rsidRPr="00D55DDC" w:rsidRDefault="00BA7C2C" w:rsidP="00613EE2">
            <w:pPr>
              <w:overflowPunct w:val="0"/>
              <w:spacing w:before="40" w:after="40" w:line="240" w:lineRule="auto"/>
              <w:rPr>
                <w:rFonts w:cs="Arial"/>
                <w:lang w:eastAsia="nl-NL"/>
              </w:rPr>
            </w:pPr>
            <w:r w:rsidRPr="00D55DDC">
              <w:rPr>
                <w:rFonts w:cs="Arial"/>
                <w:lang w:eastAsia="nl-NL"/>
              </w:rPr>
              <w:t>Up to 200g</w:t>
            </w:r>
          </w:p>
        </w:tc>
      </w:tr>
    </w:tbl>
    <w:p w:rsidR="00BA7C2C" w:rsidRPr="004B63E4" w:rsidRDefault="00BA7C2C" w:rsidP="00BA7C2C">
      <w:pPr>
        <w:rPr>
          <w:rFonts w:cs="Arial"/>
          <w:sz w:val="18"/>
          <w:szCs w:val="18"/>
        </w:rPr>
      </w:pPr>
      <w:r w:rsidRPr="004B63E4">
        <w:rPr>
          <w:rFonts w:cs="Arial"/>
          <w:sz w:val="18"/>
          <w:szCs w:val="18"/>
        </w:rPr>
        <w:t>*</w:t>
      </w:r>
      <w:r>
        <w:rPr>
          <w:rFonts w:cs="Arial"/>
          <w:sz w:val="18"/>
          <w:szCs w:val="18"/>
        </w:rPr>
        <w:t>NL</w:t>
      </w:r>
      <w:r w:rsidRPr="004B63E4">
        <w:rPr>
          <w:rFonts w:cs="Arial"/>
          <w:sz w:val="18"/>
          <w:szCs w:val="18"/>
        </w:rPr>
        <w:t xml:space="preserve"> specific regulations only allow pack sizes of up to </w:t>
      </w:r>
      <w:smartTag w:uri="urn:schemas-microsoft-com:office:smarttags" w:element="metricconverter">
        <w:smartTagPr>
          <w:attr w:name="ProductID" w:val="200 g"/>
        </w:smartTagPr>
        <w:r w:rsidRPr="004B63E4">
          <w:rPr>
            <w:rFonts w:cs="Arial"/>
            <w:sz w:val="18"/>
            <w:szCs w:val="18"/>
          </w:rPr>
          <w:t>200 g</w:t>
        </w:r>
      </w:smartTag>
      <w:r w:rsidRPr="004B63E4">
        <w:rPr>
          <w:rFonts w:cs="Arial"/>
          <w:sz w:val="18"/>
          <w:szCs w:val="18"/>
        </w:rPr>
        <w:t xml:space="preserve"> for non-professional use and from </w:t>
      </w:r>
      <w:smartTag w:uri="urn:schemas-microsoft-com:office:smarttags" w:element="metricconverter">
        <w:smartTagPr>
          <w:attr w:name="ProductID" w:val="800 g"/>
        </w:smartTagPr>
        <w:r w:rsidRPr="004B63E4">
          <w:rPr>
            <w:rFonts w:cs="Arial"/>
            <w:sz w:val="18"/>
            <w:szCs w:val="18"/>
          </w:rPr>
          <w:t>800 g</w:t>
        </w:r>
      </w:smartTag>
      <w:r w:rsidRPr="004B63E4">
        <w:rPr>
          <w:rFonts w:cs="Arial"/>
          <w:sz w:val="18"/>
          <w:szCs w:val="18"/>
        </w:rPr>
        <w:t xml:space="preserve"> for professional use, concerning authorization of rodenticides in the </w:t>
      </w:r>
      <w:smartTag w:uri="urn:schemas-microsoft-com:office:smarttags" w:element="place">
        <w:smartTag w:uri="urn:schemas-microsoft-com:office:smarttags" w:element="country-region">
          <w:r w:rsidRPr="004B63E4">
            <w:rPr>
              <w:rFonts w:cs="Arial"/>
              <w:sz w:val="18"/>
              <w:szCs w:val="18"/>
            </w:rPr>
            <w:t>Netherlands</w:t>
          </w:r>
        </w:smartTag>
      </w:smartTag>
      <w:r w:rsidRPr="004B63E4">
        <w:rPr>
          <w:rFonts w:cs="Arial"/>
          <w:sz w:val="18"/>
          <w:szCs w:val="18"/>
        </w:rPr>
        <w:t>.</w:t>
      </w:r>
    </w:p>
    <w:p w:rsidR="00BA7C2C" w:rsidRPr="00A0425E" w:rsidRDefault="00BA7C2C" w:rsidP="00BA7C2C">
      <w:pPr>
        <w:pStyle w:val="Kop2"/>
        <w:numPr>
          <w:ilvl w:val="1"/>
          <w:numId w:val="12"/>
        </w:numPr>
        <w:tabs>
          <w:tab w:val="left" w:pos="1304"/>
        </w:tabs>
        <w:spacing w:after="240" w:line="280" w:lineRule="atLeast"/>
      </w:pPr>
      <w:bookmarkStart w:id="762" w:name="_Toc362858086"/>
      <w:r w:rsidRPr="00A0425E">
        <w:lastRenderedPageBreak/>
        <w:t>Physico/chemical properties and analytical methods</w:t>
      </w:r>
      <w:bookmarkEnd w:id="762"/>
    </w:p>
    <w:p w:rsidR="00BA7C2C" w:rsidRPr="00217A76" w:rsidRDefault="00BA7C2C" w:rsidP="00BA7C2C">
      <w:pPr>
        <w:spacing w:before="120" w:after="120"/>
        <w:rPr>
          <w:rFonts w:cs="Arial"/>
          <w:szCs w:val="22"/>
        </w:rPr>
      </w:pPr>
      <w:bookmarkStart w:id="763" w:name="_Toc244417170"/>
      <w:r w:rsidRPr="00217A76">
        <w:rPr>
          <w:rFonts w:cs="Arial"/>
          <w:szCs w:val="22"/>
        </w:rPr>
        <w:t>The applicant is owner of the Annex I dossier. The physico/chemical properties for the active substance bromadiolone are detailed in the Annex I dossier, Doc IIIA, Section 3.</w:t>
      </w:r>
    </w:p>
    <w:p w:rsidR="00BA7C2C" w:rsidRDefault="00BA7C2C" w:rsidP="00BA7C2C">
      <w:pPr>
        <w:pStyle w:val="Tablebody"/>
        <w:rPr>
          <w:rFonts w:cs="Arial"/>
          <w:sz w:val="22"/>
          <w:szCs w:val="22"/>
          <w:lang w:val="en-GB"/>
        </w:rPr>
      </w:pPr>
      <w:r w:rsidRPr="00217A76">
        <w:rPr>
          <w:rFonts w:cs="Arial"/>
          <w:sz w:val="22"/>
          <w:szCs w:val="22"/>
          <w:lang w:val="en-GB"/>
        </w:rPr>
        <w:t xml:space="preserve">The methods for the active substance </w:t>
      </w:r>
      <w:r w:rsidRPr="00217A76">
        <w:rPr>
          <w:rFonts w:cs="Arial"/>
          <w:sz w:val="22"/>
          <w:szCs w:val="22"/>
        </w:rPr>
        <w:t>bromadiolone</w:t>
      </w:r>
      <w:r w:rsidRPr="00217A76">
        <w:rPr>
          <w:rFonts w:cs="Arial"/>
          <w:sz w:val="22"/>
          <w:szCs w:val="22"/>
          <w:lang w:val="en-GB"/>
        </w:rPr>
        <w:t>, the impurities and the enantiomeric ratios of the active substance in the technical active substance are detailed in the Annex I dossier, Doc IIIA, Section 4.1.</w:t>
      </w:r>
    </w:p>
    <w:p w:rsidR="00BA7C2C" w:rsidRPr="00217A76" w:rsidRDefault="00BA7C2C" w:rsidP="00BA7C2C">
      <w:pPr>
        <w:pStyle w:val="Tablebody"/>
        <w:rPr>
          <w:rFonts w:cs="Arial"/>
          <w:sz w:val="22"/>
          <w:szCs w:val="22"/>
          <w:lang w:val="en-GB"/>
        </w:rPr>
      </w:pPr>
      <w:r>
        <w:rPr>
          <w:rFonts w:cs="Arial"/>
          <w:sz w:val="22"/>
          <w:szCs w:val="22"/>
          <w:lang w:val="en-GB"/>
        </w:rPr>
        <w:br w:type="page"/>
      </w:r>
    </w:p>
    <w:p w:rsidR="00BA7C2C" w:rsidRPr="00A0425E" w:rsidRDefault="00BA7C2C" w:rsidP="00BA7C2C">
      <w:pPr>
        <w:pStyle w:val="Kop3"/>
        <w:numPr>
          <w:ilvl w:val="2"/>
          <w:numId w:val="12"/>
        </w:numPr>
        <w:tabs>
          <w:tab w:val="left" w:pos="1304"/>
        </w:tabs>
        <w:spacing w:after="60" w:line="280" w:lineRule="atLeast"/>
        <w:jc w:val="left"/>
      </w:pPr>
      <w:bookmarkStart w:id="764" w:name="_Toc362858087"/>
      <w:r w:rsidRPr="00A0425E">
        <w:lastRenderedPageBreak/>
        <w:t>Physico-chemical properties</w:t>
      </w:r>
      <w:bookmarkEnd w:id="763"/>
      <w:bookmarkEnd w:id="764"/>
    </w:p>
    <w:p w:rsidR="00BA7C2C" w:rsidRPr="00A0425E" w:rsidRDefault="00BA7C2C" w:rsidP="00BA7C2C"/>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BA7C2C" w:rsidRPr="00A0425E" w:rsidTr="00613EE2">
        <w:tc>
          <w:tcPr>
            <w:tcW w:w="2270" w:type="dxa"/>
          </w:tcPr>
          <w:p w:rsidR="00BA7C2C" w:rsidRPr="00364578" w:rsidRDefault="00BA7C2C" w:rsidP="00613EE2">
            <w:pPr>
              <w:pStyle w:val="Tablebody"/>
              <w:rPr>
                <w:rFonts w:cs="Arial"/>
                <w:lang w:val="en-GB"/>
              </w:rPr>
            </w:pPr>
            <w:r w:rsidRPr="00364578">
              <w:rPr>
                <w:rFonts w:cs="Arial"/>
                <w:lang w:val="en-GB"/>
              </w:rPr>
              <w:t>Other indications of flammability</w:t>
            </w:r>
          </w:p>
        </w:tc>
        <w:tc>
          <w:tcPr>
            <w:tcW w:w="1430" w:type="dxa"/>
          </w:tcPr>
          <w:p w:rsidR="00BA7C2C" w:rsidRPr="00364578" w:rsidRDefault="00BA7C2C" w:rsidP="00613EE2">
            <w:pPr>
              <w:pStyle w:val="Koptekst"/>
              <w:keepNext/>
              <w:tabs>
                <w:tab w:val="clear" w:pos="4536"/>
                <w:tab w:val="clear" w:pos="9072"/>
              </w:tabs>
              <w:spacing w:before="40" w:after="40"/>
              <w:rPr>
                <w:rFonts w:ascii="Arial" w:hAnsi="Arial" w:cs="Arial"/>
                <w:sz w:val="20"/>
              </w:rPr>
            </w:pPr>
            <w:r w:rsidRPr="00364578">
              <w:rPr>
                <w:rFonts w:ascii="Arial" w:hAnsi="Arial" w:cs="Arial"/>
                <w:sz w:val="20"/>
              </w:rPr>
              <w:t>EEC A10</w:t>
            </w:r>
            <w:r w:rsidRPr="00364578">
              <w:rPr>
                <w:rFonts w:ascii="Arial" w:hAnsi="Arial" w:cs="Arial"/>
                <w:sz w:val="20"/>
              </w:rPr>
              <w:br/>
              <w:t>(flammability of solids)</w:t>
            </w:r>
          </w:p>
        </w:tc>
        <w:tc>
          <w:tcPr>
            <w:tcW w:w="2090" w:type="dxa"/>
          </w:tcPr>
          <w:p w:rsidR="00BA7C2C" w:rsidRPr="00A91F44" w:rsidRDefault="00BA7C2C" w:rsidP="00613EE2">
            <w:pPr>
              <w:keepNext/>
              <w:spacing w:before="40" w:after="40"/>
              <w:rPr>
                <w:rFonts w:cs="Arial"/>
              </w:rPr>
            </w:pPr>
            <w:r w:rsidRPr="00A91F44">
              <w:rPr>
                <w:rFonts w:cs="Arial"/>
              </w:rPr>
              <w:t xml:space="preserve">Study conducted with alternative formulation F00060. </w:t>
            </w:r>
            <w:r w:rsidRPr="00A91F44">
              <w:rPr>
                <w:rFonts w:cs="Arial"/>
              </w:rPr>
              <w:br/>
              <w:t>Nominal 50 mg/kg.</w:t>
            </w:r>
          </w:p>
        </w:tc>
        <w:tc>
          <w:tcPr>
            <w:tcW w:w="1760" w:type="dxa"/>
          </w:tcPr>
          <w:p w:rsidR="00BA7C2C" w:rsidRPr="00A91F44" w:rsidRDefault="00BA7C2C" w:rsidP="00613EE2">
            <w:pPr>
              <w:keepNext/>
              <w:spacing w:before="40" w:after="40"/>
              <w:rPr>
                <w:rFonts w:cs="Arial"/>
              </w:rPr>
            </w:pPr>
            <w:r w:rsidRPr="00A91F44">
              <w:rPr>
                <w:rFonts w:cs="Arial"/>
              </w:rPr>
              <w:t>Paste formulation F00060 is not flammable and red paste F01153 is expected to have the same property.</w:t>
            </w:r>
          </w:p>
        </w:tc>
        <w:tc>
          <w:tcPr>
            <w:tcW w:w="1760" w:type="dxa"/>
          </w:tcPr>
          <w:p w:rsidR="00BA7C2C" w:rsidRPr="00A91F44" w:rsidRDefault="00BA7C2C" w:rsidP="00613EE2">
            <w:pPr>
              <w:pStyle w:val="Tablebody"/>
              <w:rPr>
                <w:rFonts w:cs="Arial"/>
                <w:lang w:val="en-GB"/>
              </w:rPr>
            </w:pPr>
            <w:r w:rsidRPr="00A91F44">
              <w:rPr>
                <w:rFonts w:cs="Arial"/>
              </w:rPr>
              <w:t>Demangel, B.</w:t>
            </w:r>
            <w:r w:rsidRPr="00A91F44">
              <w:rPr>
                <w:rFonts w:cs="Arial"/>
              </w:rPr>
              <w:br/>
              <w:t>(2008)</w:t>
            </w:r>
            <w:r w:rsidRPr="00A91F44">
              <w:rPr>
                <w:rFonts w:cs="Arial"/>
              </w:rPr>
              <w:br/>
              <w:t>IIIB 3.4-01</w:t>
            </w:r>
            <w:r w:rsidRPr="00A91F44">
              <w:rPr>
                <w:rFonts w:cs="Arial"/>
              </w:rPr>
              <w:br/>
              <w:t>GLP</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 xml:space="preserve">Acidity / </w:t>
            </w:r>
            <w:smartTag w:uri="urn:schemas-microsoft-com:office:smarttags" w:element="PersonName">
              <w:r w:rsidRPr="00A91F44">
                <w:rPr>
                  <w:rFonts w:cs="Arial"/>
                  <w:lang w:val="en-GB"/>
                </w:rPr>
                <w:t>Alka</w:t>
              </w:r>
            </w:smartTag>
            <w:r w:rsidRPr="00A91F44">
              <w:rPr>
                <w:rFonts w:cs="Arial"/>
                <w:lang w:val="en-GB"/>
              </w:rPr>
              <w:t>linity</w:t>
            </w:r>
          </w:p>
        </w:tc>
        <w:tc>
          <w:tcPr>
            <w:tcW w:w="1430" w:type="dxa"/>
          </w:tcPr>
          <w:p w:rsidR="00BA7C2C" w:rsidRPr="00A91F44" w:rsidRDefault="00BA7C2C" w:rsidP="00613EE2">
            <w:pPr>
              <w:pStyle w:val="SFGuidnotesitalics"/>
              <w:spacing w:before="40" w:after="40"/>
              <w:rPr>
                <w:rFonts w:ascii="Arial" w:hAnsi="Arial" w:cs="Arial"/>
                <w:i w:val="0"/>
                <w:lang w:val="en-GB"/>
              </w:rPr>
            </w:pPr>
            <w:r w:rsidRPr="00A91F44">
              <w:rPr>
                <w:rFonts w:ascii="Arial" w:hAnsi="Arial" w:cs="Arial"/>
                <w:i w:val="0"/>
                <w:lang w:val="en-GB"/>
              </w:rPr>
              <w:t>CIPAC MT75</w:t>
            </w:r>
          </w:p>
        </w:tc>
        <w:tc>
          <w:tcPr>
            <w:tcW w:w="2090" w:type="dxa"/>
          </w:tcPr>
          <w:p w:rsidR="00BA7C2C" w:rsidRPr="00A91F44" w:rsidRDefault="00BA7C2C" w:rsidP="00613EE2">
            <w:pPr>
              <w:keepNext/>
              <w:spacing w:before="40" w:after="40"/>
              <w:rPr>
                <w:rFonts w:cs="Arial"/>
              </w:rPr>
            </w:pPr>
            <w:r w:rsidRPr="00A91F44">
              <w:rPr>
                <w:rFonts w:cs="Arial"/>
              </w:rPr>
              <w:t>Red Paste F001153.</w:t>
            </w:r>
            <w:r w:rsidRPr="00A91F44">
              <w:rPr>
                <w:rFonts w:cs="Arial"/>
              </w:rPr>
              <w:br/>
              <w:t>Batch F1292.</w:t>
            </w:r>
            <w:r w:rsidRPr="00A91F44">
              <w:rPr>
                <w:rFonts w:cs="Arial"/>
              </w:rPr>
              <w:br/>
              <w:t>Nominal 50 mg/kg.</w:t>
            </w:r>
          </w:p>
        </w:tc>
        <w:tc>
          <w:tcPr>
            <w:tcW w:w="1760" w:type="dxa"/>
          </w:tcPr>
          <w:p w:rsidR="00BA7C2C" w:rsidRPr="00A91F44" w:rsidRDefault="00BA7C2C" w:rsidP="00613EE2">
            <w:pPr>
              <w:spacing w:before="40" w:after="40"/>
              <w:rPr>
                <w:rFonts w:cs="Arial"/>
              </w:rPr>
            </w:pPr>
            <w:r w:rsidRPr="00A91F44">
              <w:rPr>
                <w:rFonts w:cs="Arial"/>
              </w:rPr>
              <w:t xml:space="preserve">pH of a 1% dispersion was 6.43 </w:t>
            </w:r>
          </w:p>
        </w:tc>
        <w:tc>
          <w:tcPr>
            <w:tcW w:w="1760" w:type="dxa"/>
          </w:tcPr>
          <w:p w:rsidR="00BA7C2C" w:rsidRPr="00A91F44" w:rsidRDefault="00BA7C2C" w:rsidP="00613EE2">
            <w:pPr>
              <w:pStyle w:val="Tablebody"/>
              <w:rPr>
                <w:rFonts w:cs="Arial"/>
                <w:lang w:val="en-GB"/>
              </w:rPr>
            </w:pPr>
            <w:r w:rsidRPr="00A91F44">
              <w:rPr>
                <w:rFonts w:cs="Arial"/>
              </w:rPr>
              <w:t>Caruel, H.</w:t>
            </w:r>
            <w:r w:rsidRPr="00A91F44">
              <w:rPr>
                <w:rFonts w:cs="Arial"/>
              </w:rPr>
              <w:br/>
              <w:t>(2010)</w:t>
            </w:r>
            <w:r w:rsidRPr="00A91F44">
              <w:rPr>
                <w:rFonts w:cs="Arial"/>
              </w:rPr>
              <w:br/>
              <w:t>IIIB 3.5-01</w:t>
            </w:r>
            <w:r w:rsidRPr="00A91F44">
              <w:rPr>
                <w:rFonts w:cs="Arial"/>
              </w:rPr>
              <w:br/>
              <w:t>GLP</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Relative density / bulk density</w:t>
            </w:r>
          </w:p>
        </w:tc>
        <w:tc>
          <w:tcPr>
            <w:tcW w:w="1430" w:type="dxa"/>
          </w:tcPr>
          <w:p w:rsidR="00BA7C2C" w:rsidRPr="00A91F44" w:rsidRDefault="00BA7C2C" w:rsidP="00613EE2">
            <w:pPr>
              <w:pStyle w:val="SFGuidnotesitalics"/>
              <w:keepNext w:val="0"/>
              <w:spacing w:before="40" w:after="40"/>
              <w:rPr>
                <w:rFonts w:ascii="Arial" w:hAnsi="Arial" w:cs="Arial"/>
                <w:i w:val="0"/>
                <w:lang w:val="en-GB"/>
              </w:rPr>
            </w:pPr>
            <w:r w:rsidRPr="00A91F44">
              <w:rPr>
                <w:rFonts w:ascii="Arial" w:hAnsi="Arial" w:cs="Arial"/>
                <w:i w:val="0"/>
                <w:lang w:val="en-GB"/>
              </w:rPr>
              <w:t>FAO method using displacemen</w:t>
            </w:r>
            <w:r>
              <w:rPr>
                <w:rFonts w:ascii="Arial" w:hAnsi="Arial" w:cs="Arial"/>
                <w:i w:val="0"/>
                <w:lang w:val="en-GB"/>
              </w:rPr>
              <w:t>t</w:t>
            </w:r>
          </w:p>
        </w:tc>
        <w:tc>
          <w:tcPr>
            <w:tcW w:w="2090" w:type="dxa"/>
          </w:tcPr>
          <w:p w:rsidR="00BA7C2C" w:rsidRPr="00A91F44" w:rsidRDefault="00BA7C2C" w:rsidP="00613EE2">
            <w:pPr>
              <w:spacing w:before="40" w:after="40"/>
              <w:rPr>
                <w:rFonts w:cs="Arial"/>
              </w:rPr>
            </w:pPr>
            <w:r w:rsidRPr="00A91F44">
              <w:rPr>
                <w:rFonts w:cs="Arial"/>
              </w:rPr>
              <w:t>Red paste F001153</w:t>
            </w:r>
          </w:p>
          <w:p w:rsidR="00BA7C2C" w:rsidRPr="00A91F44" w:rsidRDefault="00BA7C2C" w:rsidP="00613EE2">
            <w:pPr>
              <w:spacing w:before="40" w:after="40"/>
              <w:rPr>
                <w:rFonts w:cs="Arial"/>
              </w:rPr>
            </w:pPr>
            <w:r w:rsidRPr="00A91F44">
              <w:rPr>
                <w:rFonts w:cs="Arial"/>
              </w:rPr>
              <w:t>Batch F1473</w:t>
            </w:r>
          </w:p>
          <w:p w:rsidR="00BA7C2C" w:rsidRPr="00A91F44" w:rsidRDefault="00BA7C2C" w:rsidP="00613EE2">
            <w:pPr>
              <w:spacing w:before="40" w:after="40"/>
              <w:rPr>
                <w:rFonts w:cs="Arial"/>
              </w:rPr>
            </w:pPr>
            <w:r w:rsidRPr="00A91F44">
              <w:rPr>
                <w:rFonts w:cs="Arial"/>
              </w:rPr>
              <w:t>Nominal 50 mg/kg</w:t>
            </w:r>
          </w:p>
        </w:tc>
        <w:tc>
          <w:tcPr>
            <w:tcW w:w="1760" w:type="dxa"/>
          </w:tcPr>
          <w:p w:rsidR="00BA7C2C" w:rsidRDefault="00BA7C2C" w:rsidP="00613EE2">
            <w:pPr>
              <w:spacing w:before="40" w:after="40"/>
              <w:rPr>
                <w:rFonts w:cs="Arial"/>
              </w:rPr>
            </w:pPr>
            <w:r w:rsidRPr="00A91F44">
              <w:rPr>
                <w:rFonts w:cs="Arial"/>
              </w:rPr>
              <w:t xml:space="preserve">Density: </w:t>
            </w:r>
          </w:p>
          <w:p w:rsidR="00BA7C2C" w:rsidRPr="00A91F44" w:rsidRDefault="00BA7C2C" w:rsidP="00613EE2">
            <w:pPr>
              <w:spacing w:before="40" w:after="40"/>
              <w:rPr>
                <w:rFonts w:cs="Arial"/>
              </w:rPr>
            </w:pPr>
            <w:r w:rsidRPr="00A91F44">
              <w:rPr>
                <w:rFonts w:cs="Arial"/>
              </w:rPr>
              <w:t xml:space="preserve">1.149 g/mL measured at </w:t>
            </w:r>
            <w:smartTag w:uri="urn:schemas-microsoft-com:office:smarttags" w:element="metricconverter">
              <w:smartTagPr>
                <w:attr w:name="ProductID" w:val="25ﾰC"/>
              </w:smartTagPr>
              <w:r w:rsidRPr="00A91F44">
                <w:rPr>
                  <w:rFonts w:cs="Arial"/>
                </w:rPr>
                <w:t>25°C</w:t>
              </w:r>
            </w:smartTag>
            <w:r w:rsidRPr="00A91F44">
              <w:rPr>
                <w:rFonts w:cs="Arial"/>
              </w:rPr>
              <w:t>.</w:t>
            </w:r>
          </w:p>
        </w:tc>
        <w:tc>
          <w:tcPr>
            <w:tcW w:w="1760" w:type="dxa"/>
          </w:tcPr>
          <w:p w:rsidR="00BA7C2C" w:rsidRPr="00A91F44" w:rsidRDefault="00BA7C2C" w:rsidP="00613EE2">
            <w:pPr>
              <w:pStyle w:val="Tablebody"/>
              <w:rPr>
                <w:rFonts w:cs="Arial"/>
                <w:lang w:val="en-GB"/>
              </w:rPr>
            </w:pPr>
            <w:r w:rsidRPr="00A91F44">
              <w:rPr>
                <w:rFonts w:cs="Arial"/>
                <w:lang w:val="de-DE"/>
              </w:rPr>
              <w:t>Caruel, H.</w:t>
            </w:r>
            <w:r w:rsidRPr="00A91F44">
              <w:rPr>
                <w:rFonts w:cs="Arial"/>
                <w:lang w:val="de-DE"/>
              </w:rPr>
              <w:br/>
              <w:t>(2011)</w:t>
            </w:r>
            <w:r w:rsidRPr="00A91F44">
              <w:rPr>
                <w:rFonts w:cs="Arial"/>
                <w:lang w:val="de-DE"/>
              </w:rPr>
              <w:br/>
              <w:t>IIIB 3.6-02</w:t>
            </w:r>
            <w:r w:rsidRPr="00A91F44">
              <w:rPr>
                <w:rFonts w:cs="Arial"/>
                <w:lang w:val="de-DE"/>
              </w:rPr>
              <w:br/>
              <w:t>GLP</w:t>
            </w:r>
          </w:p>
        </w:tc>
      </w:tr>
      <w:tr w:rsidR="00BA7C2C" w:rsidRPr="00A91F44" w:rsidTr="00613EE2">
        <w:tc>
          <w:tcPr>
            <w:tcW w:w="2270" w:type="dxa"/>
          </w:tcPr>
          <w:p w:rsidR="00BA7C2C" w:rsidRPr="00A91F44" w:rsidRDefault="00BA7C2C" w:rsidP="00613EE2">
            <w:pPr>
              <w:pStyle w:val="Tablebody"/>
              <w:rPr>
                <w:rFonts w:cs="Arial"/>
                <w:lang w:val="en-GB"/>
              </w:rPr>
            </w:pPr>
            <w:r w:rsidRPr="00A91F44">
              <w:rPr>
                <w:rFonts w:cs="Arial"/>
                <w:lang w:val="en-GB"/>
              </w:rPr>
              <w:t>Storage stability – stability and shelf life</w:t>
            </w:r>
          </w:p>
        </w:tc>
        <w:tc>
          <w:tcPr>
            <w:tcW w:w="1430" w:type="dxa"/>
          </w:tcPr>
          <w:p w:rsidR="00BA7C2C" w:rsidRPr="00A91F44" w:rsidRDefault="00BA7C2C" w:rsidP="00613EE2">
            <w:pPr>
              <w:spacing w:before="40" w:after="40"/>
              <w:rPr>
                <w:rFonts w:cs="Arial"/>
              </w:rPr>
            </w:pPr>
            <w:r w:rsidRPr="00A91F44">
              <w:rPr>
                <w:rFonts w:cs="Arial"/>
              </w:rPr>
              <w:t>GIFAP</w:t>
            </w:r>
            <w:r w:rsidRPr="00A91F44">
              <w:rPr>
                <w:rFonts w:cs="Arial"/>
              </w:rPr>
              <w:br/>
              <w:t>Monograph No.17</w:t>
            </w:r>
          </w:p>
        </w:tc>
        <w:tc>
          <w:tcPr>
            <w:tcW w:w="2090" w:type="dxa"/>
          </w:tcPr>
          <w:p w:rsidR="00BA7C2C" w:rsidRPr="00A91F44" w:rsidRDefault="00BA7C2C" w:rsidP="00613EE2">
            <w:pPr>
              <w:spacing w:before="40" w:after="40"/>
              <w:rPr>
                <w:rFonts w:cs="Arial"/>
              </w:rPr>
            </w:pPr>
            <w:r w:rsidRPr="00A91F44">
              <w:rPr>
                <w:rFonts w:cs="Arial"/>
              </w:rPr>
              <w:t>Red Paste F001153.</w:t>
            </w:r>
            <w:r w:rsidRPr="00A91F44">
              <w:rPr>
                <w:rFonts w:cs="Arial"/>
              </w:rPr>
              <w:br/>
              <w:t>Batch F1292.</w:t>
            </w:r>
            <w:r w:rsidRPr="00A91F44">
              <w:rPr>
                <w:rFonts w:cs="Arial"/>
              </w:rPr>
              <w:br/>
              <w:t>Nominal 50 mg/kg.</w:t>
            </w:r>
          </w:p>
        </w:tc>
        <w:tc>
          <w:tcPr>
            <w:tcW w:w="1760" w:type="dxa"/>
          </w:tcPr>
          <w:p w:rsidR="00BA7C2C" w:rsidRPr="00A91F44" w:rsidRDefault="00BA7C2C" w:rsidP="00613EE2">
            <w:pPr>
              <w:spacing w:before="40" w:after="40"/>
              <w:rPr>
                <w:rFonts w:cs="Arial"/>
              </w:rPr>
            </w:pPr>
            <w:r w:rsidRPr="00A91F44">
              <w:rPr>
                <w:rFonts w:cs="Arial"/>
                <w:lang w:val="de-DE"/>
              </w:rPr>
              <w:t>Content of a.s.:</w:t>
            </w:r>
            <w:r w:rsidRPr="00A91F44">
              <w:rPr>
                <w:rFonts w:cs="Arial"/>
                <w:lang w:val="de-DE"/>
              </w:rPr>
              <w:br/>
              <w:t>Initial: 60.24 mg/kg</w:t>
            </w:r>
            <w:r w:rsidRPr="00A91F44">
              <w:rPr>
                <w:rFonts w:cs="Arial"/>
                <w:lang w:val="de-DE"/>
              </w:rPr>
              <w:br/>
              <w:t>Final: 54.42 mg/kg</w:t>
            </w:r>
            <w:r w:rsidRPr="00A91F44">
              <w:rPr>
                <w:rFonts w:cs="Arial"/>
                <w:lang w:val="de-DE"/>
              </w:rPr>
              <w:br/>
            </w:r>
            <w:r w:rsidRPr="00A91F44">
              <w:rPr>
                <w:rFonts w:cs="Arial"/>
              </w:rPr>
              <w:t>The active substance content</w:t>
            </w:r>
            <w:r>
              <w:rPr>
                <w:rFonts w:cs="Arial"/>
              </w:rPr>
              <w:t xml:space="preserve"> showed an acceptable decrease, </w:t>
            </w:r>
            <w:r w:rsidRPr="00A91F44">
              <w:rPr>
                <w:rFonts w:cs="Arial"/>
              </w:rPr>
              <w:t xml:space="preserve">aspect of test item and packaging and pH of 1% dispersion did not change significantly after storage at </w:t>
            </w:r>
            <w:smartTag w:uri="urn:schemas-microsoft-com:office:smarttags" w:element="metricconverter">
              <w:smartTagPr>
                <w:attr w:name="ProductID" w:val="25ﾰC"/>
              </w:smartTagPr>
              <w:r w:rsidRPr="00A91F44">
                <w:rPr>
                  <w:rFonts w:cs="Arial"/>
                </w:rPr>
                <w:t>25°C</w:t>
              </w:r>
            </w:smartTag>
            <w:r w:rsidRPr="00A91F44">
              <w:rPr>
                <w:rFonts w:cs="Arial"/>
              </w:rPr>
              <w:t xml:space="preserve"> for 2 years.</w:t>
            </w:r>
          </w:p>
        </w:tc>
        <w:tc>
          <w:tcPr>
            <w:tcW w:w="1760" w:type="dxa"/>
          </w:tcPr>
          <w:p w:rsidR="00BA7C2C" w:rsidRPr="00A91F44" w:rsidRDefault="00BA7C2C" w:rsidP="00613EE2">
            <w:pPr>
              <w:pStyle w:val="Tablebody"/>
              <w:rPr>
                <w:rFonts w:cs="Arial"/>
                <w:lang w:val="en-GB"/>
              </w:rPr>
            </w:pPr>
            <w:r w:rsidRPr="00A91F44">
              <w:rPr>
                <w:rFonts w:cs="Arial"/>
                <w:color w:val="000000"/>
              </w:rPr>
              <w:t>Caruel, H. (2007), IIIB 3.7-01</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 xml:space="preserve">Effects of temperature </w:t>
            </w:r>
          </w:p>
        </w:tc>
        <w:tc>
          <w:tcPr>
            <w:tcW w:w="1430" w:type="dxa"/>
          </w:tcPr>
          <w:p w:rsidR="00BA7C2C" w:rsidRPr="00A91F44" w:rsidRDefault="00BA7C2C" w:rsidP="00613EE2">
            <w:pPr>
              <w:spacing w:before="40" w:after="40"/>
              <w:rPr>
                <w:rFonts w:cs="Arial"/>
              </w:rPr>
            </w:pPr>
            <w:r w:rsidRPr="00A91F44">
              <w:rPr>
                <w:rFonts w:cs="Arial"/>
              </w:rPr>
              <w:t xml:space="preserve">Accelerated storage stability </w:t>
            </w:r>
            <w:smartTag w:uri="urn:schemas-microsoft-com:office:smarttags" w:element="metricconverter">
              <w:smartTagPr>
                <w:attr w:name="ProductID" w:val="40ﾰC"/>
              </w:smartTagPr>
              <w:r w:rsidRPr="00A91F44">
                <w:rPr>
                  <w:rFonts w:cs="Arial"/>
                </w:rPr>
                <w:t>40°C</w:t>
              </w:r>
            </w:smartTag>
            <w:r w:rsidRPr="00A91F44">
              <w:rPr>
                <w:rFonts w:cs="Arial"/>
              </w:rPr>
              <w:t xml:space="preserve"> - 8 weeks</w:t>
            </w:r>
          </w:p>
          <w:p w:rsidR="00BA7C2C" w:rsidRPr="00A91F44" w:rsidRDefault="00BA7C2C" w:rsidP="00613EE2">
            <w:pPr>
              <w:spacing w:before="40" w:after="40"/>
              <w:rPr>
                <w:rFonts w:cs="Arial"/>
              </w:rPr>
            </w:pPr>
            <w:r>
              <w:rPr>
                <w:rFonts w:cs="Arial"/>
              </w:rPr>
              <w:t>According to CIPAC MT 46.1</w:t>
            </w:r>
          </w:p>
        </w:tc>
        <w:tc>
          <w:tcPr>
            <w:tcW w:w="2090" w:type="dxa"/>
          </w:tcPr>
          <w:p w:rsidR="00BA7C2C" w:rsidRPr="00A91F44" w:rsidRDefault="00BA7C2C" w:rsidP="00613EE2">
            <w:pPr>
              <w:spacing w:before="40" w:after="40"/>
              <w:rPr>
                <w:rFonts w:cs="Arial"/>
              </w:rPr>
            </w:pPr>
            <w:r w:rsidRPr="00A91F44">
              <w:rPr>
                <w:rFonts w:cs="Arial"/>
              </w:rPr>
              <w:t>Red paste F001153</w:t>
            </w:r>
          </w:p>
          <w:p w:rsidR="00BA7C2C" w:rsidRPr="00A91F44" w:rsidRDefault="00BA7C2C" w:rsidP="00613EE2">
            <w:pPr>
              <w:spacing w:before="40" w:after="40"/>
              <w:rPr>
                <w:rFonts w:cs="Arial"/>
              </w:rPr>
            </w:pPr>
            <w:r w:rsidRPr="00A91F44">
              <w:rPr>
                <w:rFonts w:cs="Arial"/>
              </w:rPr>
              <w:t>Batch F1292</w:t>
            </w:r>
          </w:p>
          <w:p w:rsidR="00BA7C2C" w:rsidRPr="00A91F44" w:rsidRDefault="00BA7C2C" w:rsidP="00613EE2">
            <w:pPr>
              <w:spacing w:before="40" w:after="40"/>
              <w:rPr>
                <w:rFonts w:cs="Arial"/>
              </w:rPr>
            </w:pPr>
            <w:r w:rsidRPr="00A91F44">
              <w:rPr>
                <w:rFonts w:cs="Arial"/>
              </w:rPr>
              <w:t>Nominal 50 mg/kg</w:t>
            </w:r>
          </w:p>
        </w:tc>
        <w:tc>
          <w:tcPr>
            <w:tcW w:w="1760" w:type="dxa"/>
          </w:tcPr>
          <w:p w:rsidR="00BA7C2C" w:rsidRPr="00A91F44" w:rsidRDefault="00BA7C2C" w:rsidP="00613EE2">
            <w:pPr>
              <w:spacing w:before="40" w:after="40"/>
              <w:rPr>
                <w:rFonts w:cs="Arial"/>
              </w:rPr>
            </w:pPr>
            <w:r>
              <w:rPr>
                <w:rFonts w:cs="Arial"/>
              </w:rPr>
              <w:t>Content of a.s.:</w:t>
            </w:r>
            <w:r>
              <w:rPr>
                <w:rFonts w:cs="Arial"/>
              </w:rPr>
              <w:br/>
              <w:t>Initial:</w:t>
            </w:r>
            <w:r w:rsidRPr="00A91F44">
              <w:rPr>
                <w:rFonts w:cs="Arial"/>
              </w:rPr>
              <w:t>60.73 mg/kg</w:t>
            </w:r>
            <w:r w:rsidRPr="00A91F44">
              <w:rPr>
                <w:rFonts w:cs="Arial"/>
              </w:rPr>
              <w:br/>
              <w:t>Final:58.41 mg/kg</w:t>
            </w:r>
            <w:r w:rsidRPr="00A91F44">
              <w:rPr>
                <w:rFonts w:cs="Arial"/>
              </w:rPr>
              <w:br/>
            </w:r>
            <w:r w:rsidRPr="00A91F44">
              <w:rPr>
                <w:rFonts w:cs="Arial"/>
              </w:rPr>
              <w:br/>
              <w:t xml:space="preserve">The active substance </w:t>
            </w:r>
            <w:r w:rsidRPr="00A91F44">
              <w:rPr>
                <w:rFonts w:cs="Arial"/>
              </w:rPr>
              <w:lastRenderedPageBreak/>
              <w:t xml:space="preserve">content remained stable, aspect of test item and packaging and pH of 1% dispersion did not change significantly after storage at </w:t>
            </w:r>
            <w:smartTag w:uri="urn:schemas-microsoft-com:office:smarttags" w:element="metricconverter">
              <w:smartTagPr>
                <w:attr w:name="ProductID" w:val="40ﾰC"/>
              </w:smartTagPr>
              <w:r w:rsidRPr="00A91F44">
                <w:rPr>
                  <w:rFonts w:cs="Arial"/>
                </w:rPr>
                <w:t>40°C</w:t>
              </w:r>
            </w:smartTag>
            <w:r w:rsidRPr="00A91F44">
              <w:rPr>
                <w:rFonts w:cs="Arial"/>
              </w:rPr>
              <w:t xml:space="preserve"> for 8 weeks</w:t>
            </w:r>
            <w:r>
              <w:rPr>
                <w:rFonts w:cs="Arial"/>
              </w:rPr>
              <w:t>. Test was performed in PP packaging.</w:t>
            </w:r>
          </w:p>
        </w:tc>
        <w:tc>
          <w:tcPr>
            <w:tcW w:w="1760" w:type="dxa"/>
          </w:tcPr>
          <w:p w:rsidR="00BA7C2C" w:rsidRPr="00A91F44" w:rsidRDefault="00BA7C2C" w:rsidP="00613EE2">
            <w:pPr>
              <w:pStyle w:val="Tablebody"/>
              <w:rPr>
                <w:rFonts w:cs="Arial"/>
                <w:lang w:val="en-GB"/>
              </w:rPr>
            </w:pPr>
            <w:r w:rsidRPr="00A91F44">
              <w:rPr>
                <w:rFonts w:cs="Arial"/>
              </w:rPr>
              <w:lastRenderedPageBreak/>
              <w:t>Caruel, H.</w:t>
            </w:r>
            <w:r w:rsidRPr="00A91F44">
              <w:rPr>
                <w:rFonts w:cs="Arial"/>
              </w:rPr>
              <w:br/>
              <w:t>(2009)</w:t>
            </w:r>
            <w:r w:rsidRPr="00A91F44">
              <w:rPr>
                <w:rFonts w:cs="Arial"/>
              </w:rPr>
              <w:br/>
              <w:t>IIIB 3.7-02</w:t>
            </w:r>
            <w:r w:rsidRPr="00A91F44">
              <w:rPr>
                <w:rFonts w:cs="Arial"/>
              </w:rPr>
              <w:br/>
              <w:t>GLP</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lastRenderedPageBreak/>
              <w:t>Effects of light</w:t>
            </w:r>
          </w:p>
        </w:tc>
        <w:tc>
          <w:tcPr>
            <w:tcW w:w="7040" w:type="dxa"/>
            <w:gridSpan w:val="4"/>
          </w:tcPr>
          <w:p w:rsidR="00BA7C2C" w:rsidRPr="00A91F44" w:rsidRDefault="00BA7C2C" w:rsidP="00613EE2">
            <w:pPr>
              <w:pStyle w:val="Tablebody"/>
              <w:rPr>
                <w:rFonts w:cs="Arial"/>
                <w:lang w:val="en-GB"/>
              </w:rPr>
            </w:pPr>
            <w:r w:rsidRPr="00A91F44">
              <w:rPr>
                <w:rFonts w:cs="Arial"/>
                <w:lang w:val="en-GB"/>
              </w:rPr>
              <w:t>n.a.</w:t>
            </w:r>
          </w:p>
        </w:tc>
      </w:tr>
      <w:tr w:rsidR="00BA7C2C" w:rsidRPr="00A0425E" w:rsidTr="00613EE2">
        <w:tc>
          <w:tcPr>
            <w:tcW w:w="2270" w:type="dxa"/>
            <w:vMerge w:val="restart"/>
          </w:tcPr>
          <w:p w:rsidR="00BA7C2C" w:rsidRPr="00A91F44" w:rsidRDefault="00BA7C2C" w:rsidP="00613EE2">
            <w:pPr>
              <w:pStyle w:val="Tablebody"/>
              <w:rPr>
                <w:rFonts w:cs="Arial"/>
                <w:lang w:val="en-GB"/>
              </w:rPr>
            </w:pPr>
            <w:r w:rsidRPr="00A91F44">
              <w:rPr>
                <w:rFonts w:cs="Arial"/>
                <w:lang w:val="en-GB"/>
              </w:rPr>
              <w:t xml:space="preserve">Reactivity towards container material </w:t>
            </w:r>
          </w:p>
        </w:tc>
        <w:tc>
          <w:tcPr>
            <w:tcW w:w="1430" w:type="dxa"/>
          </w:tcPr>
          <w:p w:rsidR="00BA7C2C" w:rsidRPr="007B15BE" w:rsidRDefault="00BA7C2C" w:rsidP="00613EE2">
            <w:pPr>
              <w:spacing w:before="40" w:after="40"/>
              <w:rPr>
                <w:rFonts w:cs="Arial"/>
              </w:rPr>
            </w:pPr>
            <w:r w:rsidRPr="007B15BE">
              <w:rPr>
                <w:rFonts w:cs="Arial"/>
              </w:rPr>
              <w:t>GIFAP</w:t>
            </w:r>
            <w:r w:rsidRPr="007B15BE">
              <w:rPr>
                <w:rFonts w:cs="Arial"/>
              </w:rPr>
              <w:br/>
              <w:t>Monograph No.17</w:t>
            </w:r>
          </w:p>
        </w:tc>
        <w:tc>
          <w:tcPr>
            <w:tcW w:w="2090" w:type="dxa"/>
          </w:tcPr>
          <w:p w:rsidR="00BA7C2C" w:rsidRPr="007B15BE" w:rsidRDefault="00BA7C2C" w:rsidP="00613EE2">
            <w:pPr>
              <w:spacing w:before="40" w:after="40"/>
              <w:rPr>
                <w:rFonts w:cs="Arial"/>
              </w:rPr>
            </w:pPr>
            <w:r w:rsidRPr="007B15BE">
              <w:rPr>
                <w:rFonts w:cs="Arial"/>
              </w:rPr>
              <w:t>Red Paste F001153.</w:t>
            </w:r>
            <w:r w:rsidRPr="007B15BE">
              <w:rPr>
                <w:rFonts w:cs="Arial"/>
              </w:rPr>
              <w:br/>
              <w:t>Batch F1292.</w:t>
            </w:r>
            <w:r w:rsidRPr="007B15BE">
              <w:rPr>
                <w:rFonts w:cs="Arial"/>
              </w:rPr>
              <w:br/>
              <w:t>Nominal 50 mg/kg.</w:t>
            </w:r>
          </w:p>
        </w:tc>
        <w:tc>
          <w:tcPr>
            <w:tcW w:w="1760" w:type="dxa"/>
          </w:tcPr>
          <w:p w:rsidR="00BA7C2C" w:rsidRPr="007B15BE" w:rsidRDefault="00BA7C2C" w:rsidP="00613EE2">
            <w:pPr>
              <w:rPr>
                <w:rFonts w:cs="Arial"/>
              </w:rPr>
            </w:pPr>
            <w:r w:rsidRPr="007B15BE">
              <w:rPr>
                <w:rFonts w:cs="Arial"/>
              </w:rPr>
              <w:t>Packaging: PP box</w:t>
            </w:r>
          </w:p>
          <w:p w:rsidR="00BA7C2C" w:rsidRPr="007B15BE" w:rsidRDefault="00BA7C2C" w:rsidP="00613EE2">
            <w:pPr>
              <w:pStyle w:val="Tablebody"/>
              <w:rPr>
                <w:rFonts w:cs="Arial"/>
                <w:lang w:val="en-GB"/>
              </w:rPr>
            </w:pPr>
            <w:r w:rsidRPr="007B15BE">
              <w:rPr>
                <w:rFonts w:cs="Arial"/>
                <w:lang w:val="en-GB"/>
              </w:rPr>
              <w:t>stable for 2 years.</w:t>
            </w:r>
          </w:p>
        </w:tc>
        <w:tc>
          <w:tcPr>
            <w:tcW w:w="1760" w:type="dxa"/>
          </w:tcPr>
          <w:p w:rsidR="00BA7C2C" w:rsidRPr="007B15BE" w:rsidRDefault="00BA7C2C" w:rsidP="00613EE2">
            <w:pPr>
              <w:pStyle w:val="Tablebody"/>
              <w:rPr>
                <w:rFonts w:cs="Arial"/>
                <w:lang w:val="en-GB"/>
              </w:rPr>
            </w:pPr>
            <w:r w:rsidRPr="007B15BE">
              <w:rPr>
                <w:rFonts w:cs="Arial"/>
                <w:color w:val="000000"/>
              </w:rPr>
              <w:t>Caruel, H. (2007), IIIB 3.7-01</w:t>
            </w:r>
          </w:p>
        </w:tc>
      </w:tr>
      <w:tr w:rsidR="00BA7C2C" w:rsidRPr="00A0425E" w:rsidTr="00613EE2">
        <w:tc>
          <w:tcPr>
            <w:tcW w:w="2270" w:type="dxa"/>
            <w:vMerge/>
          </w:tcPr>
          <w:p w:rsidR="00BA7C2C" w:rsidRPr="00A91F44" w:rsidRDefault="00BA7C2C" w:rsidP="00613EE2">
            <w:pPr>
              <w:pStyle w:val="Tablebody"/>
              <w:rPr>
                <w:rFonts w:cs="Arial"/>
                <w:lang w:val="en-GB"/>
              </w:rPr>
            </w:pPr>
          </w:p>
        </w:tc>
        <w:tc>
          <w:tcPr>
            <w:tcW w:w="1430" w:type="dxa"/>
          </w:tcPr>
          <w:p w:rsidR="00BA7C2C" w:rsidRPr="007B15BE" w:rsidRDefault="00BA7C2C" w:rsidP="00613EE2">
            <w:pPr>
              <w:spacing w:before="40" w:after="40"/>
              <w:rPr>
                <w:rFonts w:cs="Arial"/>
              </w:rPr>
            </w:pPr>
            <w:r w:rsidRPr="007B15BE">
              <w:rPr>
                <w:rFonts w:cs="Arial"/>
              </w:rPr>
              <w:t xml:space="preserve">Accelerated storage stability </w:t>
            </w:r>
            <w:smartTag w:uri="urn:schemas-microsoft-com:office:smarttags" w:element="metricconverter">
              <w:smartTagPr>
                <w:attr w:name="ProductID" w:val="54ﾰC"/>
              </w:smartTagPr>
              <w:r w:rsidRPr="007B15BE">
                <w:rPr>
                  <w:rFonts w:cs="Arial"/>
                </w:rPr>
                <w:t>54°C</w:t>
              </w:r>
            </w:smartTag>
            <w:r w:rsidRPr="007B15BE">
              <w:rPr>
                <w:rFonts w:cs="Arial"/>
              </w:rPr>
              <w:t xml:space="preserve"> - 2 weeks</w:t>
            </w:r>
          </w:p>
        </w:tc>
        <w:tc>
          <w:tcPr>
            <w:tcW w:w="2090" w:type="dxa"/>
          </w:tcPr>
          <w:p w:rsidR="00BA7C2C" w:rsidRPr="007B15BE" w:rsidRDefault="00BA7C2C" w:rsidP="00613EE2">
            <w:pPr>
              <w:spacing w:before="40" w:after="40"/>
              <w:rPr>
                <w:rFonts w:cs="Arial"/>
              </w:rPr>
            </w:pPr>
            <w:r w:rsidRPr="007B15BE">
              <w:rPr>
                <w:rFonts w:cs="Arial"/>
              </w:rPr>
              <w:t>Bromadiolone</w:t>
            </w:r>
            <w:r>
              <w:rPr>
                <w:rFonts w:cs="Arial"/>
              </w:rPr>
              <w:t xml:space="preserve"> paste. </w:t>
            </w:r>
          </w:p>
          <w:p w:rsidR="00BA7C2C" w:rsidRDefault="00BA7C2C" w:rsidP="00613EE2">
            <w:pPr>
              <w:spacing w:before="40" w:after="40"/>
              <w:rPr>
                <w:rFonts w:cs="Arial"/>
              </w:rPr>
            </w:pPr>
            <w:r>
              <w:rPr>
                <w:rFonts w:cs="Arial"/>
              </w:rPr>
              <w:t>B</w:t>
            </w:r>
            <w:r w:rsidRPr="007B15BE">
              <w:rPr>
                <w:rFonts w:cs="Arial"/>
              </w:rPr>
              <w:t>atch F1473</w:t>
            </w:r>
            <w:r>
              <w:rPr>
                <w:rFonts w:cs="Arial"/>
              </w:rPr>
              <w:t>.</w:t>
            </w:r>
          </w:p>
          <w:p w:rsidR="00BA7C2C" w:rsidRPr="007B15BE" w:rsidRDefault="00BA7C2C" w:rsidP="00613EE2">
            <w:pPr>
              <w:spacing w:before="40" w:after="40"/>
              <w:rPr>
                <w:rFonts w:cs="Arial"/>
              </w:rPr>
            </w:pPr>
            <w:r>
              <w:rPr>
                <w:rFonts w:cs="Arial"/>
              </w:rPr>
              <w:t>a.i.: 51.86 mg/Kg</w:t>
            </w:r>
          </w:p>
        </w:tc>
        <w:tc>
          <w:tcPr>
            <w:tcW w:w="1760" w:type="dxa"/>
          </w:tcPr>
          <w:p w:rsidR="00BA7C2C" w:rsidRPr="007B15BE" w:rsidRDefault="00BA7C2C" w:rsidP="00613EE2">
            <w:pPr>
              <w:rPr>
                <w:rFonts w:cs="Arial"/>
              </w:rPr>
            </w:pPr>
            <w:r>
              <w:rPr>
                <w:rFonts w:cs="Arial"/>
              </w:rPr>
              <w:t>No damage and no alteration in PE and PP sachet or in paper, non-woven film.</w:t>
            </w:r>
          </w:p>
        </w:tc>
        <w:tc>
          <w:tcPr>
            <w:tcW w:w="1760" w:type="dxa"/>
          </w:tcPr>
          <w:p w:rsidR="00BA7C2C" w:rsidRPr="007B15BE" w:rsidRDefault="00BA7C2C" w:rsidP="00613EE2">
            <w:pPr>
              <w:pStyle w:val="Tablebody"/>
              <w:rPr>
                <w:rFonts w:cs="Arial"/>
                <w:color w:val="000000"/>
              </w:rPr>
            </w:pPr>
            <w:r w:rsidRPr="007B15BE">
              <w:rPr>
                <w:rFonts w:cs="Arial"/>
              </w:rPr>
              <w:t xml:space="preserve">Deslux, R. (2012), </w:t>
            </w:r>
            <w:r w:rsidRPr="007B15BE">
              <w:rPr>
                <w:rFonts w:cs="Arial"/>
                <w:spacing w:val="-2"/>
              </w:rPr>
              <w:t>IIIB 3.7-03</w:t>
            </w:r>
          </w:p>
        </w:tc>
      </w:tr>
      <w:tr w:rsidR="00BA7C2C" w:rsidRPr="005E7543" w:rsidTr="00613EE2">
        <w:tc>
          <w:tcPr>
            <w:tcW w:w="2270" w:type="dxa"/>
          </w:tcPr>
          <w:p w:rsidR="00BA7C2C" w:rsidRPr="00A91F44" w:rsidRDefault="00BA7C2C" w:rsidP="00613EE2">
            <w:pPr>
              <w:pStyle w:val="Tablebody"/>
              <w:rPr>
                <w:rFonts w:cs="Arial"/>
                <w:lang w:val="en-GB"/>
              </w:rPr>
            </w:pPr>
            <w:r w:rsidRPr="00A91F44">
              <w:rPr>
                <w:rFonts w:cs="Arial"/>
                <w:lang w:val="en-GB"/>
              </w:rPr>
              <w:t>Technical characteristics in dependence of the formulation type</w:t>
            </w:r>
          </w:p>
        </w:tc>
        <w:tc>
          <w:tcPr>
            <w:tcW w:w="7040" w:type="dxa"/>
            <w:gridSpan w:val="4"/>
          </w:tcPr>
          <w:p w:rsidR="00BA7C2C" w:rsidRPr="00A91F44" w:rsidRDefault="00BA7C2C" w:rsidP="00613EE2">
            <w:pPr>
              <w:pStyle w:val="Tablebody"/>
              <w:rPr>
                <w:rFonts w:cs="Arial"/>
                <w:lang w:val="en-GB"/>
              </w:rPr>
            </w:pPr>
            <w:r w:rsidRPr="00A91F44">
              <w:rPr>
                <w:rFonts w:cs="Arial"/>
                <w:lang w:val="en-GB"/>
              </w:rPr>
              <w:t>n.a.</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Compability with other products</w:t>
            </w:r>
          </w:p>
        </w:tc>
        <w:tc>
          <w:tcPr>
            <w:tcW w:w="7040" w:type="dxa"/>
            <w:gridSpan w:val="4"/>
          </w:tcPr>
          <w:p w:rsidR="00BA7C2C" w:rsidRPr="00A91F44" w:rsidRDefault="00BA7C2C" w:rsidP="00613EE2">
            <w:pPr>
              <w:pStyle w:val="Tablebody"/>
              <w:rPr>
                <w:rFonts w:cs="Arial"/>
                <w:lang w:val="en-GB"/>
              </w:rPr>
            </w:pPr>
            <w:r w:rsidRPr="00A91F44">
              <w:rPr>
                <w:rFonts w:cs="Arial"/>
                <w:color w:val="000000"/>
              </w:rPr>
              <w:t>This ready to use paste preparation is not intended to be used or mixed with other products.</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Surface tension</w:t>
            </w:r>
          </w:p>
        </w:tc>
        <w:tc>
          <w:tcPr>
            <w:tcW w:w="7040" w:type="dxa"/>
            <w:gridSpan w:val="4"/>
          </w:tcPr>
          <w:p w:rsidR="00BA7C2C" w:rsidRPr="00A91F44" w:rsidRDefault="00BA7C2C" w:rsidP="00613EE2">
            <w:pPr>
              <w:pStyle w:val="Tablebody"/>
              <w:rPr>
                <w:rFonts w:cs="Arial"/>
                <w:lang w:val="en-GB"/>
              </w:rPr>
            </w:pPr>
            <w:r w:rsidRPr="00A91F44">
              <w:rPr>
                <w:rFonts w:cs="Arial"/>
                <w:lang w:val="en-GB"/>
              </w:rPr>
              <w:t>n.a.</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Viscosity</w:t>
            </w:r>
          </w:p>
        </w:tc>
        <w:tc>
          <w:tcPr>
            <w:tcW w:w="7040" w:type="dxa"/>
            <w:gridSpan w:val="4"/>
          </w:tcPr>
          <w:p w:rsidR="00BA7C2C" w:rsidRPr="00A91F44" w:rsidRDefault="00BA7C2C" w:rsidP="00613EE2">
            <w:pPr>
              <w:pStyle w:val="Tablebody"/>
              <w:rPr>
                <w:rFonts w:cs="Arial"/>
                <w:lang w:val="en-GB"/>
              </w:rPr>
            </w:pPr>
            <w:r w:rsidRPr="00A91F44">
              <w:rPr>
                <w:rFonts w:cs="Arial"/>
                <w:lang w:val="en-GB"/>
              </w:rPr>
              <w:t>n.a.</w:t>
            </w:r>
          </w:p>
        </w:tc>
      </w:tr>
      <w:tr w:rsidR="00BA7C2C" w:rsidRPr="00A0425E" w:rsidTr="00613EE2">
        <w:tc>
          <w:tcPr>
            <w:tcW w:w="2270" w:type="dxa"/>
          </w:tcPr>
          <w:p w:rsidR="00BA7C2C" w:rsidRPr="00A91F44" w:rsidRDefault="00BA7C2C" w:rsidP="00613EE2">
            <w:pPr>
              <w:pStyle w:val="Tablebody"/>
              <w:rPr>
                <w:rFonts w:cs="Arial"/>
                <w:lang w:val="en-GB"/>
              </w:rPr>
            </w:pPr>
            <w:r w:rsidRPr="00A91F44">
              <w:rPr>
                <w:rFonts w:cs="Arial"/>
                <w:lang w:val="en-GB"/>
              </w:rPr>
              <w:t>Particle size distribution</w:t>
            </w:r>
          </w:p>
        </w:tc>
        <w:tc>
          <w:tcPr>
            <w:tcW w:w="7040" w:type="dxa"/>
            <w:gridSpan w:val="4"/>
          </w:tcPr>
          <w:p w:rsidR="00BA7C2C" w:rsidRPr="00A91F44" w:rsidRDefault="00BA7C2C" w:rsidP="00613EE2">
            <w:pPr>
              <w:pStyle w:val="Tablebody"/>
              <w:rPr>
                <w:rFonts w:cs="Arial"/>
                <w:lang w:val="en-GB"/>
              </w:rPr>
            </w:pPr>
            <w:r w:rsidRPr="00A91F44">
              <w:rPr>
                <w:rFonts w:cs="Arial"/>
                <w:lang w:val="en-GB"/>
              </w:rPr>
              <w:t>n.a.</w:t>
            </w:r>
          </w:p>
        </w:tc>
      </w:tr>
    </w:tbl>
    <w:p w:rsidR="00BA7C2C" w:rsidRPr="00A0425E" w:rsidRDefault="00BA7C2C" w:rsidP="00BA7C2C"/>
    <w:p w:rsidR="00BA7C2C" w:rsidRPr="00A0425E" w:rsidRDefault="00BA7C2C" w:rsidP="00BA7C2C">
      <w:pPr>
        <w:pStyle w:val="Kop3"/>
        <w:numPr>
          <w:ilvl w:val="2"/>
          <w:numId w:val="12"/>
        </w:numPr>
        <w:tabs>
          <w:tab w:val="left" w:pos="1304"/>
        </w:tabs>
        <w:spacing w:after="60" w:line="280" w:lineRule="atLeast"/>
        <w:jc w:val="left"/>
      </w:pPr>
      <w:bookmarkStart w:id="765" w:name="_Toc244417171"/>
      <w:bookmarkStart w:id="766" w:name="_Toc362858088"/>
      <w:r w:rsidRPr="00A0425E">
        <w:t>Analytical methods</w:t>
      </w:r>
      <w:bookmarkEnd w:id="765"/>
      <w:bookmarkEnd w:id="766"/>
    </w:p>
    <w:p w:rsidR="00BA7C2C" w:rsidRPr="00A0425E" w:rsidRDefault="00BA7C2C" w:rsidP="00BA7C2C"/>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BA7C2C" w:rsidRPr="004B63E4" w:rsidTr="00613EE2">
        <w:tc>
          <w:tcPr>
            <w:tcW w:w="4395" w:type="dxa"/>
          </w:tcPr>
          <w:p w:rsidR="00BA7C2C" w:rsidRPr="004B63E4" w:rsidRDefault="00BA7C2C" w:rsidP="00613EE2">
            <w:pPr>
              <w:rPr>
                <w:rFonts w:cs="Arial"/>
              </w:rPr>
            </w:pPr>
          </w:p>
        </w:tc>
        <w:tc>
          <w:tcPr>
            <w:tcW w:w="4819" w:type="dxa"/>
          </w:tcPr>
          <w:p w:rsidR="00BA7C2C" w:rsidRPr="004B63E4" w:rsidRDefault="00BA7C2C" w:rsidP="00613EE2">
            <w:pPr>
              <w:rPr>
                <w:rFonts w:cs="Arial"/>
              </w:rPr>
            </w:pPr>
            <w:r w:rsidRPr="004B63E4">
              <w:rPr>
                <w:rFonts w:cs="Arial"/>
              </w:rPr>
              <w:t>Principle of method</w:t>
            </w:r>
          </w:p>
        </w:tc>
      </w:tr>
      <w:tr w:rsidR="00BA7C2C" w:rsidRPr="004B63E4" w:rsidTr="00613EE2">
        <w:tc>
          <w:tcPr>
            <w:tcW w:w="4395" w:type="dxa"/>
          </w:tcPr>
          <w:p w:rsidR="00BA7C2C" w:rsidRPr="004B63E4" w:rsidRDefault="00BA7C2C" w:rsidP="00613EE2">
            <w:pPr>
              <w:rPr>
                <w:rFonts w:cs="Arial"/>
              </w:rPr>
            </w:pPr>
            <w:r w:rsidRPr="004B63E4">
              <w:rPr>
                <w:rFonts w:cs="Arial"/>
              </w:rPr>
              <w:t xml:space="preserve">Technical active substance as manufactured: </w:t>
            </w:r>
          </w:p>
        </w:tc>
        <w:tc>
          <w:tcPr>
            <w:tcW w:w="4819" w:type="dxa"/>
          </w:tcPr>
          <w:p w:rsidR="00BA7C2C" w:rsidRPr="004B63E4" w:rsidRDefault="00BA7C2C" w:rsidP="00613EE2">
            <w:pPr>
              <w:tabs>
                <w:tab w:val="left" w:pos="1386"/>
              </w:tabs>
              <w:rPr>
                <w:rFonts w:cs="Arial"/>
              </w:rPr>
            </w:pPr>
            <w:r w:rsidRPr="004B63E4">
              <w:rPr>
                <w:rFonts w:cs="Arial"/>
              </w:rPr>
              <w:t>HPLC/UV</w:t>
            </w:r>
            <w:r w:rsidRPr="004B63E4">
              <w:rPr>
                <w:rFonts w:cs="Arial"/>
              </w:rPr>
              <w:tab/>
            </w:r>
          </w:p>
        </w:tc>
      </w:tr>
      <w:tr w:rsidR="00BA7C2C" w:rsidRPr="004B63E4" w:rsidTr="00613EE2">
        <w:tc>
          <w:tcPr>
            <w:tcW w:w="4395" w:type="dxa"/>
          </w:tcPr>
          <w:p w:rsidR="00BA7C2C" w:rsidRPr="004B63E4" w:rsidRDefault="00BA7C2C" w:rsidP="00613EE2">
            <w:pPr>
              <w:rPr>
                <w:rFonts w:cs="Arial"/>
              </w:rPr>
            </w:pPr>
            <w:r w:rsidRPr="004B63E4">
              <w:rPr>
                <w:rFonts w:cs="Arial"/>
              </w:rPr>
              <w:t xml:space="preserve">Impurities in technical active substance: </w:t>
            </w:r>
          </w:p>
        </w:tc>
        <w:tc>
          <w:tcPr>
            <w:tcW w:w="4819" w:type="dxa"/>
          </w:tcPr>
          <w:p w:rsidR="00BA7C2C" w:rsidRPr="004B63E4" w:rsidRDefault="00BA7C2C" w:rsidP="00613EE2">
            <w:pPr>
              <w:tabs>
                <w:tab w:val="left" w:pos="1386"/>
              </w:tabs>
              <w:rPr>
                <w:rFonts w:cs="Arial"/>
              </w:rPr>
            </w:pPr>
            <w:r w:rsidRPr="004B63E4">
              <w:rPr>
                <w:rFonts w:cs="Arial"/>
              </w:rPr>
              <w:t>HPLC/UV</w:t>
            </w:r>
            <w:r w:rsidRPr="004B63E4">
              <w:rPr>
                <w:rFonts w:cs="Arial"/>
              </w:rPr>
              <w:tab/>
            </w:r>
          </w:p>
        </w:tc>
      </w:tr>
      <w:tr w:rsidR="00BA7C2C" w:rsidRPr="004B63E4" w:rsidTr="00613EE2">
        <w:tc>
          <w:tcPr>
            <w:tcW w:w="4395" w:type="dxa"/>
          </w:tcPr>
          <w:p w:rsidR="00BA7C2C" w:rsidRPr="004B63E4" w:rsidRDefault="00BA7C2C" w:rsidP="00613EE2">
            <w:pPr>
              <w:rPr>
                <w:rFonts w:cs="Arial"/>
              </w:rPr>
            </w:pPr>
            <w:r w:rsidRPr="004B63E4">
              <w:rPr>
                <w:rFonts w:cs="Arial"/>
              </w:rPr>
              <w:t>active substance in the formulation:</w:t>
            </w:r>
          </w:p>
        </w:tc>
        <w:tc>
          <w:tcPr>
            <w:tcW w:w="4819" w:type="dxa"/>
          </w:tcPr>
          <w:p w:rsidR="00BA7C2C" w:rsidRPr="004B63E4" w:rsidRDefault="00BA7C2C" w:rsidP="00613EE2">
            <w:pPr>
              <w:tabs>
                <w:tab w:val="left" w:pos="1386"/>
              </w:tabs>
              <w:rPr>
                <w:rFonts w:cs="Arial"/>
              </w:rPr>
            </w:pPr>
            <w:r w:rsidRPr="004B63E4">
              <w:rPr>
                <w:rFonts w:cs="Arial"/>
              </w:rPr>
              <w:t>HPLC/UV</w:t>
            </w:r>
            <w:r w:rsidRPr="004B63E4">
              <w:rPr>
                <w:rFonts w:cs="Arial"/>
              </w:rPr>
              <w:tab/>
            </w:r>
          </w:p>
        </w:tc>
      </w:tr>
    </w:tbl>
    <w:p w:rsidR="00BA7C2C" w:rsidRPr="00A0425E" w:rsidRDefault="00BA7C2C" w:rsidP="00BA7C2C"/>
    <w:p w:rsidR="00BA7C2C" w:rsidRPr="00A0425E" w:rsidRDefault="00BA7C2C" w:rsidP="00BA7C2C">
      <w:pPr>
        <w:pStyle w:val="Kop2"/>
        <w:numPr>
          <w:ilvl w:val="1"/>
          <w:numId w:val="12"/>
        </w:numPr>
        <w:tabs>
          <w:tab w:val="left" w:pos="1304"/>
        </w:tabs>
        <w:spacing w:after="240" w:line="280" w:lineRule="atLeast"/>
      </w:pPr>
      <w:bookmarkStart w:id="767" w:name="_Toc362858089"/>
      <w:r w:rsidRPr="00A0425E">
        <w:lastRenderedPageBreak/>
        <w:t>Risk assessment for Physico-chemical properties</w:t>
      </w:r>
      <w:bookmarkEnd w:id="767"/>
    </w:p>
    <w:p w:rsidR="00BA7C2C" w:rsidRPr="003675DA" w:rsidRDefault="00BA7C2C" w:rsidP="00BA7C2C">
      <w:pPr>
        <w:rPr>
          <w:rFonts w:cs="Arial"/>
        </w:rPr>
      </w:pPr>
      <w:r w:rsidRPr="003675DA">
        <w:rPr>
          <w:rFonts w:cs="Arial"/>
        </w:rPr>
        <w:t>No new data/information on physico-chemical properties has been submitted for the product or for the active substance(s) that provides additional data for the risk assessment.</w:t>
      </w:r>
    </w:p>
    <w:p w:rsidR="00BA7C2C" w:rsidRPr="00A0425E" w:rsidRDefault="00BA7C2C" w:rsidP="00BA7C2C"/>
    <w:p w:rsidR="00BA7C2C" w:rsidRPr="00A0425E" w:rsidRDefault="00BA7C2C" w:rsidP="00BA7C2C">
      <w:pPr>
        <w:pStyle w:val="Kop2"/>
        <w:numPr>
          <w:ilvl w:val="1"/>
          <w:numId w:val="12"/>
        </w:numPr>
        <w:tabs>
          <w:tab w:val="left" w:pos="1304"/>
        </w:tabs>
        <w:spacing w:before="360" w:after="240" w:line="280" w:lineRule="atLeast"/>
      </w:pPr>
      <w:bookmarkStart w:id="768" w:name="_Toc362858090"/>
      <w:r w:rsidRPr="00A0425E">
        <w:t>Effectiveness against target organisms</w:t>
      </w:r>
      <w:bookmarkEnd w:id="768"/>
    </w:p>
    <w:p w:rsidR="00BA7C2C" w:rsidRPr="00715E7A" w:rsidRDefault="00BA7C2C" w:rsidP="00BA7C2C">
      <w:pPr>
        <w:spacing w:before="60"/>
        <w:ind w:left="720" w:hanging="720"/>
        <w:rPr>
          <w:rFonts w:cs="Arial"/>
          <w:color w:val="0000FF"/>
          <w:szCs w:val="22"/>
          <w:u w:val="single"/>
        </w:rPr>
      </w:pPr>
      <w:r w:rsidRPr="00715E7A">
        <w:rPr>
          <w:rFonts w:cs="Arial"/>
          <w:b/>
          <w:bCs/>
        </w:rPr>
        <w:t>2.5.1</w:t>
      </w:r>
      <w:r w:rsidRPr="00715E7A">
        <w:rPr>
          <w:rFonts w:cs="Arial"/>
          <w:b/>
          <w:bCs/>
        </w:rPr>
        <w:tab/>
        <w:t>Function</w:t>
      </w:r>
      <w:r w:rsidRPr="00715E7A">
        <w:rPr>
          <w:rFonts w:cs="Arial"/>
          <w:color w:val="0000FF"/>
          <w:szCs w:val="22"/>
          <w:u w:val="single"/>
        </w:rPr>
        <w:t xml:space="preserve"> </w:t>
      </w:r>
    </w:p>
    <w:p w:rsidR="00BA7C2C" w:rsidRPr="00715E7A" w:rsidRDefault="00BA7C2C" w:rsidP="00BA7C2C">
      <w:pPr>
        <w:spacing w:before="60"/>
        <w:rPr>
          <w:rFonts w:cs="Arial"/>
          <w:color w:val="000000"/>
          <w:szCs w:val="22"/>
        </w:rPr>
      </w:pPr>
      <w:r w:rsidRPr="00715E7A">
        <w:rPr>
          <w:rFonts w:cs="Arial"/>
          <w:color w:val="000000"/>
          <w:szCs w:val="22"/>
        </w:rPr>
        <w:t>The product is a rodenticide (PT14)</w:t>
      </w:r>
      <w:r>
        <w:rPr>
          <w:rFonts w:cs="Arial"/>
          <w:color w:val="000000"/>
          <w:szCs w:val="22"/>
        </w:rPr>
        <w:t xml:space="preserve"> based on 0.</w:t>
      </w:r>
      <w:r w:rsidRPr="00715E7A">
        <w:rPr>
          <w:rFonts w:cs="Arial"/>
          <w:color w:val="000000"/>
          <w:szCs w:val="22"/>
        </w:rPr>
        <w:t>005% w/w b</w:t>
      </w:r>
      <w:r w:rsidRPr="00715E7A">
        <w:rPr>
          <w:rFonts w:cs="Arial"/>
          <w:szCs w:val="22"/>
        </w:rPr>
        <w:t>romadiolone.</w:t>
      </w:r>
      <w:r>
        <w:rPr>
          <w:rFonts w:cs="Arial"/>
          <w:szCs w:val="22"/>
        </w:rPr>
        <w:t xml:space="preserve"> The product is for both professional and non-professional use.</w:t>
      </w:r>
    </w:p>
    <w:p w:rsidR="00BA7C2C" w:rsidRPr="00715E7A" w:rsidRDefault="00BA7C2C" w:rsidP="00BA7C2C">
      <w:pPr>
        <w:spacing w:before="60"/>
        <w:ind w:left="720" w:hanging="720"/>
        <w:rPr>
          <w:rFonts w:cs="Arial"/>
          <w:color w:val="0000FF"/>
          <w:szCs w:val="22"/>
          <w:u w:val="single"/>
        </w:rPr>
      </w:pPr>
    </w:p>
    <w:p w:rsidR="00BA7C2C" w:rsidRPr="00715E7A" w:rsidRDefault="00BA7C2C" w:rsidP="00BA7C2C">
      <w:pPr>
        <w:numPr>
          <w:ilvl w:val="2"/>
          <w:numId w:val="17"/>
        </w:numPr>
        <w:spacing w:line="260" w:lineRule="atLeast"/>
        <w:rPr>
          <w:rFonts w:cs="Arial"/>
          <w:b/>
          <w:bCs/>
        </w:rPr>
      </w:pPr>
      <w:r w:rsidRPr="00715E7A">
        <w:rPr>
          <w:rFonts w:cs="Arial"/>
          <w:b/>
          <w:bCs/>
        </w:rPr>
        <w:t>Organisms to be controlled and products, organisms or objects to be protected</w:t>
      </w:r>
    </w:p>
    <w:p w:rsidR="00BA7C2C" w:rsidRPr="00F87B08" w:rsidRDefault="00BA7C2C" w:rsidP="00BA7C2C">
      <w:pPr>
        <w:autoSpaceDE w:val="0"/>
        <w:autoSpaceDN w:val="0"/>
        <w:adjustRightInd w:val="0"/>
        <w:spacing w:after="240"/>
        <w:rPr>
          <w:rFonts w:cs="Arial"/>
          <w:color w:val="000000"/>
          <w:szCs w:val="22"/>
        </w:rPr>
      </w:pPr>
      <w:r w:rsidRPr="00F87B08">
        <w:rPr>
          <w:rFonts w:cs="Arial"/>
          <w:color w:val="000000"/>
          <w:szCs w:val="22"/>
        </w:rPr>
        <w:t xml:space="preserve">MAKI PAT’ paste bait is used to control: </w:t>
      </w:r>
      <w:r w:rsidRPr="00F87B08">
        <w:rPr>
          <w:rFonts w:cs="Arial"/>
          <w:color w:val="000000"/>
          <w:szCs w:val="22"/>
        </w:rPr>
        <w:br/>
      </w:r>
      <w:r w:rsidRPr="00F87B08">
        <w:rPr>
          <w:rFonts w:cs="Arial"/>
          <w:i/>
          <w:iCs/>
          <w:color w:val="000000"/>
          <w:szCs w:val="22"/>
        </w:rPr>
        <w:t xml:space="preserve">Rattus norvegicus </w:t>
      </w:r>
      <w:r w:rsidRPr="00F87B08">
        <w:rPr>
          <w:rFonts w:cs="Arial"/>
          <w:color w:val="000000"/>
          <w:szCs w:val="22"/>
        </w:rPr>
        <w:t xml:space="preserve">(Norway rat, Brown rat) </w:t>
      </w:r>
      <w:r w:rsidRPr="00F87B08">
        <w:rPr>
          <w:rFonts w:cs="Arial"/>
          <w:color w:val="000000"/>
          <w:szCs w:val="22"/>
        </w:rPr>
        <w:br/>
      </w:r>
      <w:r w:rsidRPr="00F87B08">
        <w:rPr>
          <w:rFonts w:cs="Arial"/>
          <w:i/>
          <w:iCs/>
          <w:color w:val="000000"/>
          <w:szCs w:val="22"/>
        </w:rPr>
        <w:t xml:space="preserve">Rattus rattus </w:t>
      </w:r>
      <w:r w:rsidRPr="00F87B08">
        <w:rPr>
          <w:rFonts w:cs="Arial"/>
          <w:color w:val="000000"/>
          <w:szCs w:val="22"/>
        </w:rPr>
        <w:t xml:space="preserve">(Black rat) </w:t>
      </w:r>
      <w:r w:rsidRPr="00F87B08">
        <w:rPr>
          <w:rFonts w:cs="Arial"/>
          <w:color w:val="000000"/>
          <w:szCs w:val="22"/>
        </w:rPr>
        <w:br/>
      </w:r>
      <w:r w:rsidRPr="00F87B08">
        <w:rPr>
          <w:rFonts w:cs="Arial"/>
          <w:i/>
          <w:iCs/>
          <w:color w:val="000000"/>
          <w:szCs w:val="22"/>
        </w:rPr>
        <w:t xml:space="preserve">Mus musculus </w:t>
      </w:r>
      <w:r w:rsidRPr="00F87B08">
        <w:rPr>
          <w:rFonts w:cs="Arial"/>
          <w:color w:val="000000"/>
          <w:szCs w:val="22"/>
        </w:rPr>
        <w:t xml:space="preserve">(House mouse) </w:t>
      </w:r>
    </w:p>
    <w:p w:rsidR="00BA7C2C" w:rsidRDefault="00BA7C2C" w:rsidP="00BA7C2C">
      <w:pPr>
        <w:rPr>
          <w:rFonts w:cs="Arial"/>
          <w:szCs w:val="22"/>
          <w:lang w:eastAsia="nl-NL"/>
        </w:rPr>
      </w:pPr>
      <w:r w:rsidRPr="007B3B14">
        <w:rPr>
          <w:rFonts w:cs="Arial"/>
          <w:szCs w:val="22"/>
          <w:lang w:eastAsia="nl-NL"/>
        </w:rPr>
        <w:t>Professional use: the control of rats and mice in and around buildings, in open areas and waste dumps.</w:t>
      </w:r>
    </w:p>
    <w:p w:rsidR="00BA7C2C" w:rsidRPr="007B3B14" w:rsidRDefault="00BA7C2C" w:rsidP="00BA7C2C">
      <w:pPr>
        <w:rPr>
          <w:rFonts w:cs="Arial"/>
          <w:szCs w:val="22"/>
          <w:lang w:eastAsia="nl-NL"/>
        </w:rPr>
      </w:pPr>
    </w:p>
    <w:p w:rsidR="00BA7C2C" w:rsidRDefault="00BA7C2C" w:rsidP="00BA7C2C">
      <w:pPr>
        <w:rPr>
          <w:rFonts w:cs="Arial"/>
          <w:szCs w:val="22"/>
          <w:lang w:eastAsia="nl-NL"/>
        </w:rPr>
      </w:pPr>
      <w:r w:rsidRPr="00F87B08">
        <w:rPr>
          <w:rFonts w:cs="Arial"/>
          <w:szCs w:val="22"/>
          <w:lang w:eastAsia="nl-NL"/>
        </w:rPr>
        <w:t>Non-professional use:</w:t>
      </w:r>
      <w:r>
        <w:rPr>
          <w:rFonts w:cs="Arial"/>
          <w:szCs w:val="22"/>
          <w:lang w:eastAsia="nl-NL"/>
        </w:rPr>
        <w:t xml:space="preserve"> </w:t>
      </w:r>
      <w:r w:rsidRPr="00F87B08">
        <w:rPr>
          <w:rFonts w:cs="Arial"/>
          <w:szCs w:val="22"/>
        </w:rPr>
        <w:t>the control of rats and mice in and around buildings</w:t>
      </w:r>
      <w:r>
        <w:rPr>
          <w:rFonts w:cs="Arial"/>
          <w:szCs w:val="22"/>
        </w:rPr>
        <w:t>.</w:t>
      </w:r>
      <w:r w:rsidRPr="00F87B08">
        <w:rPr>
          <w:rFonts w:cs="Arial"/>
          <w:szCs w:val="22"/>
          <w:lang w:eastAsia="nl-NL"/>
        </w:rPr>
        <w:t xml:space="preserve"> </w:t>
      </w:r>
    </w:p>
    <w:p w:rsidR="00BA7C2C" w:rsidRDefault="00BA7C2C" w:rsidP="00BA7C2C">
      <w:pPr>
        <w:rPr>
          <w:rFonts w:cs="Arial"/>
          <w:szCs w:val="22"/>
          <w:lang w:eastAsia="nl-NL"/>
        </w:rPr>
      </w:pPr>
    </w:p>
    <w:p w:rsidR="00BA7C2C" w:rsidRDefault="00BA7C2C" w:rsidP="00BA7C2C">
      <w:pPr>
        <w:pStyle w:val="Plattetekst"/>
        <w:spacing w:line="240" w:lineRule="auto"/>
        <w:rPr>
          <w:rFonts w:cs="Arial"/>
        </w:rPr>
      </w:pPr>
      <w:r w:rsidRPr="00F87B08">
        <w:rPr>
          <w:rFonts w:cs="Arial"/>
          <w:color w:val="000000"/>
          <w:szCs w:val="22"/>
        </w:rPr>
        <w:t xml:space="preserve">MAKI PAT’ paste bait is used </w:t>
      </w:r>
      <w:r w:rsidRPr="00510A65">
        <w:rPr>
          <w:rFonts w:cs="Arial"/>
        </w:rPr>
        <w:t>to protect human food and animal feedstuffs and for general hygiene purposes.</w:t>
      </w:r>
    </w:p>
    <w:p w:rsidR="00BA7C2C" w:rsidRDefault="00BA7C2C" w:rsidP="00BA7C2C">
      <w:pPr>
        <w:pStyle w:val="Plattetekst"/>
        <w:spacing w:line="240" w:lineRule="auto"/>
        <w:rPr>
          <w:rFonts w:cs="Arial"/>
        </w:rPr>
      </w:pPr>
    </w:p>
    <w:p w:rsidR="00BA7C2C" w:rsidRDefault="00BA7C2C" w:rsidP="00BA7C2C">
      <w:pPr>
        <w:pStyle w:val="Plattetekst"/>
        <w:spacing w:line="240" w:lineRule="auto"/>
        <w:rPr>
          <w:rFonts w:cs="Arial"/>
        </w:rPr>
      </w:pPr>
    </w:p>
    <w:p w:rsidR="00BA7C2C" w:rsidRDefault="00BA7C2C" w:rsidP="00BA7C2C">
      <w:pPr>
        <w:pStyle w:val="Plattetekst"/>
        <w:spacing w:line="240" w:lineRule="auto"/>
        <w:rPr>
          <w:rFonts w:cs="Arial"/>
        </w:rPr>
      </w:pPr>
    </w:p>
    <w:p w:rsidR="00BA7C2C" w:rsidRPr="00715E7A" w:rsidRDefault="00BA7C2C" w:rsidP="00BA7C2C">
      <w:pPr>
        <w:numPr>
          <w:ilvl w:val="2"/>
          <w:numId w:val="17"/>
        </w:numPr>
        <w:spacing w:line="260" w:lineRule="atLeast"/>
        <w:rPr>
          <w:rFonts w:cs="Arial"/>
          <w:b/>
          <w:bCs/>
        </w:rPr>
      </w:pPr>
      <w:r w:rsidRPr="00715E7A">
        <w:rPr>
          <w:rFonts w:cs="Arial"/>
          <w:b/>
          <w:bCs/>
        </w:rPr>
        <w:t>Effects on target organisms</w:t>
      </w:r>
    </w:p>
    <w:p w:rsidR="00BA7C2C" w:rsidRPr="007B3B14" w:rsidRDefault="00BA7C2C" w:rsidP="00BA7C2C">
      <w:pPr>
        <w:pStyle w:val="Standard-italics"/>
        <w:spacing w:after="240"/>
        <w:ind w:right="-188"/>
        <w:rPr>
          <w:rFonts w:cs="Arial"/>
          <w:i w:val="0"/>
          <w:sz w:val="22"/>
          <w:szCs w:val="22"/>
        </w:rPr>
      </w:pPr>
      <w:r w:rsidRPr="007B3B14">
        <w:rPr>
          <w:rFonts w:cs="Arial"/>
          <w:i w:val="0"/>
          <w:sz w:val="22"/>
          <w:szCs w:val="22"/>
        </w:rPr>
        <w:t xml:space="preserve">Bromadiolone is a second-generation single-dose anticoagulant rodenticide. It disrupts the normal blood clotting mechanisms resulting in increased bleeding tendency and, within a relatively short time frame (typically 2-4 days), profuse haemorrhage and death.  Effectiveness of the active substance depends on exposure (i.e. consumption of the bait by the target organism).  For effective and comprehensive control of rats and mice with MAKI PAT’, a bait concentration of 50 mg/kg is proposed.  </w:t>
      </w:r>
    </w:p>
    <w:p w:rsidR="00BA7C2C" w:rsidRPr="007B3B14" w:rsidRDefault="00BA7C2C" w:rsidP="00BA7C2C">
      <w:pPr>
        <w:pStyle w:val="Standard-italics"/>
        <w:spacing w:after="240"/>
        <w:ind w:right="-187"/>
        <w:rPr>
          <w:rFonts w:cs="Arial"/>
          <w:i w:val="0"/>
          <w:sz w:val="22"/>
          <w:szCs w:val="22"/>
        </w:rPr>
      </w:pPr>
      <w:r w:rsidRPr="007B3B14">
        <w:rPr>
          <w:rFonts w:cs="Arial"/>
          <w:i w:val="0"/>
          <w:sz w:val="22"/>
          <w:szCs w:val="22"/>
        </w:rPr>
        <w:t>MAKI PAT’ differs from the products described in the CAR of bromadiolone since the bait is a paste. Therefore, the studies presented in the CAR are not applicable and new laboratory and field studies have been conducted with mice and rats using paste bait formulations containing 50 mg/kg bromadiolone. The results are summarised in table 2.5.3.0 below.</w:t>
      </w:r>
    </w:p>
    <w:p w:rsidR="00BA7C2C" w:rsidRDefault="00BA7C2C" w:rsidP="00BA7C2C">
      <w:pPr>
        <w:rPr>
          <w:rFonts w:cs="Arial"/>
          <w:szCs w:val="22"/>
        </w:rPr>
      </w:pPr>
      <w:r w:rsidRPr="007B3B14">
        <w:rPr>
          <w:rFonts w:cs="Arial"/>
        </w:rPr>
        <w:t xml:space="preserve">Besides these efficacy studies, </w:t>
      </w:r>
      <w:r w:rsidRPr="007B3B14">
        <w:rPr>
          <w:rFonts w:cs="Arial"/>
          <w:szCs w:val="22"/>
        </w:rPr>
        <w:t>two studies have been provided showing that the warfarine resistant strains of R.</w:t>
      </w:r>
      <w:r w:rsidRPr="007B3B14">
        <w:rPr>
          <w:rFonts w:cs="Arial"/>
        </w:rPr>
        <w:t> </w:t>
      </w:r>
      <w:r w:rsidRPr="007B3B14">
        <w:rPr>
          <w:rFonts w:cs="Arial"/>
          <w:szCs w:val="22"/>
        </w:rPr>
        <w:t>norvegicus and M.</w:t>
      </w:r>
      <w:r w:rsidRPr="007B3B14">
        <w:rPr>
          <w:rFonts w:cs="Arial"/>
        </w:rPr>
        <w:t> </w:t>
      </w:r>
      <w:r w:rsidRPr="007B3B14">
        <w:rPr>
          <w:rFonts w:cs="Arial"/>
          <w:szCs w:val="22"/>
        </w:rPr>
        <w:t xml:space="preserve">musculus were actually resistant to warfarine (IIIB 5.10.2-09 and 10). Furthermore, </w:t>
      </w:r>
      <w:r w:rsidRPr="007B3B14">
        <w:rPr>
          <w:rFonts w:cs="Arial"/>
        </w:rPr>
        <w:t xml:space="preserve">studies have been provided showing that neither the packaging of the paste in </w:t>
      </w:r>
      <w:r w:rsidRPr="007B3B14">
        <w:rPr>
          <w:rFonts w:cs="Arial"/>
        </w:rPr>
        <w:lastRenderedPageBreak/>
        <w:t xml:space="preserve">polyethylene or polypropylene bags, nor the addition of the bittering agent bitrex to the paste had any effect on the palatability of the paste for R. norvegicus </w:t>
      </w:r>
      <w:r w:rsidRPr="007B3B14">
        <w:rPr>
          <w:rFonts w:cs="Arial"/>
          <w:szCs w:val="22"/>
        </w:rPr>
        <w:t xml:space="preserve">(IIIB 5.10.2-07 and 08). </w:t>
      </w:r>
    </w:p>
    <w:p w:rsidR="00BA7C2C" w:rsidRDefault="00BA7C2C" w:rsidP="00BA7C2C">
      <w:pPr>
        <w:rPr>
          <w:rFonts w:cs="Arial"/>
          <w:szCs w:val="22"/>
        </w:rPr>
      </w:pPr>
    </w:p>
    <w:p w:rsidR="00BA7C2C" w:rsidRPr="00715E7A" w:rsidRDefault="00BA7C2C" w:rsidP="00BA7C2C">
      <w:pPr>
        <w:pStyle w:val="Standard-fett"/>
        <w:keepNext/>
        <w:rPr>
          <w:rFonts w:cs="Arial"/>
        </w:rPr>
      </w:pPr>
      <w:r w:rsidRPr="00715E7A">
        <w:rPr>
          <w:rFonts w:cs="Arial"/>
        </w:rPr>
        <w:t>Table 2.5.3.0: Efficacy of the active substance from its use in the biocidal product – paste bait formulations</w:t>
      </w:r>
    </w:p>
    <w:tbl>
      <w:tblPr>
        <w:tblW w:w="9228" w:type="dxa"/>
        <w:tblInd w:w="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64"/>
        <w:gridCol w:w="1652"/>
        <w:gridCol w:w="2338"/>
        <w:gridCol w:w="3182"/>
        <w:gridCol w:w="992"/>
      </w:tblGrid>
      <w:tr w:rsidR="00BA7C2C" w:rsidRPr="00A53825" w:rsidTr="00613EE2">
        <w:trPr>
          <w:tblHeader/>
        </w:trPr>
        <w:tc>
          <w:tcPr>
            <w:tcW w:w="1064" w:type="dxa"/>
          </w:tcPr>
          <w:p w:rsidR="00BA7C2C" w:rsidRPr="00A53825" w:rsidRDefault="00BA7C2C" w:rsidP="00613EE2">
            <w:pPr>
              <w:pStyle w:val="Standard-fett"/>
              <w:spacing w:before="40" w:after="40"/>
              <w:rPr>
                <w:rFonts w:cs="Arial"/>
                <w:sz w:val="18"/>
                <w:szCs w:val="18"/>
              </w:rPr>
            </w:pPr>
            <w:r w:rsidRPr="00A53825">
              <w:rPr>
                <w:rFonts w:cs="Arial"/>
                <w:sz w:val="18"/>
                <w:szCs w:val="18"/>
              </w:rPr>
              <w:t>Test substance</w:t>
            </w:r>
          </w:p>
        </w:tc>
        <w:tc>
          <w:tcPr>
            <w:tcW w:w="1652" w:type="dxa"/>
          </w:tcPr>
          <w:p w:rsidR="00BA7C2C" w:rsidRPr="00A53825" w:rsidRDefault="00BA7C2C" w:rsidP="00613EE2">
            <w:pPr>
              <w:pStyle w:val="Standard-fett"/>
              <w:spacing w:before="40" w:after="40"/>
              <w:rPr>
                <w:rFonts w:cs="Arial"/>
                <w:sz w:val="18"/>
                <w:szCs w:val="18"/>
              </w:rPr>
            </w:pPr>
            <w:r w:rsidRPr="00A53825">
              <w:rPr>
                <w:rFonts w:cs="Arial"/>
                <w:sz w:val="18"/>
                <w:szCs w:val="18"/>
              </w:rPr>
              <w:t>Test organism(s)</w:t>
            </w:r>
          </w:p>
        </w:tc>
        <w:tc>
          <w:tcPr>
            <w:tcW w:w="2338" w:type="dxa"/>
          </w:tcPr>
          <w:p w:rsidR="00BA7C2C" w:rsidRPr="00A53825" w:rsidRDefault="00BA7C2C" w:rsidP="00613EE2">
            <w:pPr>
              <w:pStyle w:val="Standard-fett"/>
              <w:spacing w:before="40" w:after="40"/>
              <w:rPr>
                <w:rFonts w:cs="Arial"/>
                <w:sz w:val="18"/>
                <w:szCs w:val="18"/>
              </w:rPr>
            </w:pPr>
            <w:r w:rsidRPr="00A53825">
              <w:rPr>
                <w:rFonts w:cs="Arial"/>
                <w:sz w:val="18"/>
                <w:szCs w:val="18"/>
              </w:rPr>
              <w:t>Test system / concentrations applied / exposure time</w:t>
            </w:r>
          </w:p>
        </w:tc>
        <w:tc>
          <w:tcPr>
            <w:tcW w:w="3182" w:type="dxa"/>
          </w:tcPr>
          <w:p w:rsidR="00BA7C2C" w:rsidRPr="00A53825" w:rsidRDefault="00BA7C2C" w:rsidP="00613EE2">
            <w:pPr>
              <w:pStyle w:val="Standard-fett"/>
              <w:spacing w:before="40" w:after="40"/>
              <w:rPr>
                <w:rFonts w:cs="Arial"/>
                <w:sz w:val="18"/>
                <w:szCs w:val="18"/>
              </w:rPr>
            </w:pPr>
            <w:r w:rsidRPr="00A53825">
              <w:rPr>
                <w:rFonts w:cs="Arial"/>
                <w:sz w:val="18"/>
                <w:szCs w:val="18"/>
              </w:rPr>
              <w:t>Test results *</w:t>
            </w:r>
          </w:p>
        </w:tc>
        <w:tc>
          <w:tcPr>
            <w:tcW w:w="992" w:type="dxa"/>
          </w:tcPr>
          <w:p w:rsidR="00BA7C2C" w:rsidRPr="00A53825" w:rsidRDefault="00BA7C2C" w:rsidP="00613EE2">
            <w:pPr>
              <w:pStyle w:val="Standard-fett"/>
              <w:spacing w:before="40" w:after="40"/>
              <w:rPr>
                <w:rFonts w:cs="Arial"/>
                <w:sz w:val="18"/>
                <w:szCs w:val="18"/>
              </w:rPr>
            </w:pPr>
            <w:r w:rsidRPr="00A53825">
              <w:rPr>
                <w:rFonts w:cs="Arial"/>
                <w:sz w:val="18"/>
                <w:szCs w:val="18"/>
              </w:rPr>
              <w:t>Reference</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t xml:space="preserve">Red paste LR0265 </w:t>
            </w:r>
          </w:p>
        </w:tc>
        <w:tc>
          <w:tcPr>
            <w:tcW w:w="165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Mouse</w:t>
            </w:r>
            <w:r w:rsidRPr="00A53825">
              <w:rPr>
                <w:rFonts w:cs="Arial"/>
                <w:sz w:val="18"/>
                <w:szCs w:val="18"/>
              </w:rPr>
              <w:br/>
            </w:r>
            <w:r w:rsidRPr="00A53825">
              <w:rPr>
                <w:rFonts w:cs="Arial"/>
                <w:i/>
                <w:sz w:val="18"/>
                <w:szCs w:val="18"/>
              </w:rPr>
              <w:t>Mus musculus</w:t>
            </w:r>
            <w:r w:rsidRPr="00A53825">
              <w:rPr>
                <w:rFonts w:cs="Arial"/>
                <w:sz w:val="18"/>
                <w:szCs w:val="18"/>
              </w:rPr>
              <w:t xml:space="preserve"> (wild strain, sensitive to warfarin)</w:t>
            </w:r>
          </w:p>
        </w:tc>
        <w:tc>
          <w:tcPr>
            <w:tcW w:w="2338"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 xml:space="preserve">Laboratory study, using bait aged for 2.5 month, single free-choice test with a total of 24 mixed sex animals, 4 day exposure. </w:t>
            </w:r>
            <w:r w:rsidRPr="00A53825">
              <w:rPr>
                <w:rFonts w:cs="Arial"/>
                <w:sz w:val="18"/>
                <w:szCs w:val="18"/>
              </w:rPr>
              <w:br/>
              <w:t>Test method: EPPO protocol</w:t>
            </w:r>
          </w:p>
        </w:tc>
        <w:tc>
          <w:tcPr>
            <w:tcW w:w="318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Palatability of the treated bait was greater than the reference diet (attractivity value: 0.90).</w:t>
            </w:r>
            <w:r w:rsidRPr="00A53825">
              <w:rPr>
                <w:rFonts w:cs="Arial"/>
                <w:sz w:val="18"/>
                <w:szCs w:val="18"/>
              </w:rPr>
              <w:br/>
              <w:t>Efficacy was 96% occurring between 7 and 11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5.10.2-02</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t>Red paste F01153</w:t>
            </w:r>
          </w:p>
          <w:p w:rsidR="00BA7C2C" w:rsidRPr="00A53825" w:rsidRDefault="00BA7C2C" w:rsidP="00613EE2">
            <w:pPr>
              <w:pStyle w:val="Standard-fett"/>
              <w:spacing w:before="40" w:after="40"/>
              <w:rPr>
                <w:rFonts w:cs="Arial"/>
                <w:b w:val="0"/>
                <w:sz w:val="18"/>
                <w:szCs w:val="18"/>
              </w:rPr>
            </w:pPr>
          </w:p>
        </w:tc>
        <w:tc>
          <w:tcPr>
            <w:tcW w:w="165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Mouse</w:t>
            </w:r>
            <w:r w:rsidRPr="00A53825">
              <w:rPr>
                <w:rFonts w:cs="Arial"/>
                <w:sz w:val="18"/>
                <w:szCs w:val="18"/>
              </w:rPr>
              <w:br/>
            </w:r>
            <w:r w:rsidRPr="00A53825">
              <w:rPr>
                <w:rFonts w:cs="Arial"/>
                <w:i/>
                <w:sz w:val="18"/>
                <w:szCs w:val="18"/>
              </w:rPr>
              <w:t>Mus musculus</w:t>
            </w:r>
            <w:r w:rsidRPr="00A53825">
              <w:rPr>
                <w:rFonts w:cs="Arial"/>
                <w:sz w:val="18"/>
                <w:szCs w:val="18"/>
              </w:rPr>
              <w:t xml:space="preserve"> (wild strain, resistant to warfarin)</w:t>
            </w:r>
          </w:p>
        </w:tc>
        <w:tc>
          <w:tcPr>
            <w:tcW w:w="2338" w:type="dxa"/>
          </w:tcPr>
          <w:p w:rsidR="00BA7C2C" w:rsidRPr="00F135D9" w:rsidRDefault="00BA7C2C" w:rsidP="00613EE2">
            <w:pPr>
              <w:pStyle w:val="Tabellenformat"/>
              <w:spacing w:before="40" w:after="40" w:line="240" w:lineRule="auto"/>
              <w:rPr>
                <w:rFonts w:cs="Arial"/>
                <w:sz w:val="18"/>
                <w:szCs w:val="18"/>
              </w:rPr>
            </w:pPr>
            <w:r w:rsidRPr="00F135D9">
              <w:rPr>
                <w:rFonts w:cs="Arial"/>
                <w:sz w:val="18"/>
                <w:szCs w:val="18"/>
              </w:rPr>
              <w:t>Laboratory study, using bait aged for 4 months, single free-choice test with a total of 24 mixed sex animals, 4 day exposure.</w:t>
            </w:r>
          </w:p>
          <w:p w:rsidR="00BA7C2C" w:rsidRPr="00F135D9" w:rsidRDefault="00BA7C2C" w:rsidP="00613EE2">
            <w:pPr>
              <w:pStyle w:val="Tabellenformat"/>
              <w:spacing w:before="40" w:after="40" w:line="240" w:lineRule="auto"/>
              <w:rPr>
                <w:rFonts w:cs="Arial"/>
                <w:sz w:val="18"/>
                <w:szCs w:val="18"/>
              </w:rPr>
            </w:pPr>
            <w:r w:rsidRPr="00F135D9">
              <w:rPr>
                <w:rFonts w:cs="Arial"/>
                <w:sz w:val="18"/>
                <w:szCs w:val="18"/>
              </w:rPr>
              <w:t>Test method: EPPO PP1/214(1)</w:t>
            </w:r>
          </w:p>
        </w:tc>
        <w:tc>
          <w:tcPr>
            <w:tcW w:w="318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Palatability of the treated bait was greater than the reference diet in the test (attractivity value: 0.87).</w:t>
            </w:r>
            <w:r w:rsidRPr="00A53825">
              <w:rPr>
                <w:rFonts w:cs="Arial"/>
                <w:sz w:val="18"/>
                <w:szCs w:val="18"/>
              </w:rPr>
              <w:br/>
              <w:t>Efficacy was 100% occurring between 7 and 14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5.10.2-03</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t>Red paste F001153</w:t>
            </w:r>
          </w:p>
        </w:tc>
        <w:tc>
          <w:tcPr>
            <w:tcW w:w="1652" w:type="dxa"/>
          </w:tcPr>
          <w:p w:rsidR="00BA7C2C" w:rsidRPr="00A53825" w:rsidRDefault="00BA7C2C" w:rsidP="00613EE2">
            <w:pPr>
              <w:pStyle w:val="Tabellenformat"/>
              <w:keepNext/>
              <w:spacing w:before="40" w:after="40" w:line="240" w:lineRule="auto"/>
              <w:rPr>
                <w:rFonts w:cs="Arial"/>
                <w:sz w:val="18"/>
                <w:szCs w:val="18"/>
              </w:rPr>
            </w:pPr>
            <w:r w:rsidRPr="00A53825">
              <w:rPr>
                <w:rFonts w:cs="Arial"/>
                <w:sz w:val="18"/>
                <w:szCs w:val="18"/>
              </w:rPr>
              <w:t>Mouse</w:t>
            </w:r>
            <w:r w:rsidRPr="00A53825">
              <w:rPr>
                <w:rFonts w:cs="Arial"/>
                <w:sz w:val="18"/>
                <w:szCs w:val="18"/>
              </w:rPr>
              <w:br/>
            </w:r>
            <w:r w:rsidRPr="00A53825">
              <w:rPr>
                <w:rFonts w:cs="Arial"/>
                <w:i/>
                <w:sz w:val="18"/>
                <w:szCs w:val="18"/>
              </w:rPr>
              <w:t>Mus musculus</w:t>
            </w:r>
            <w:r w:rsidRPr="00A53825">
              <w:rPr>
                <w:rFonts w:cs="Arial"/>
                <w:sz w:val="18"/>
                <w:szCs w:val="18"/>
              </w:rPr>
              <w:t xml:space="preserve"> (wild strain, resistant to warfarin)</w:t>
            </w:r>
          </w:p>
        </w:tc>
        <w:tc>
          <w:tcPr>
            <w:tcW w:w="2338" w:type="dxa"/>
          </w:tcPr>
          <w:p w:rsidR="00BA7C2C" w:rsidRPr="00F135D9" w:rsidRDefault="00BA7C2C" w:rsidP="00613EE2">
            <w:pPr>
              <w:pStyle w:val="Tabellenformat"/>
              <w:spacing w:before="40" w:after="40" w:line="240" w:lineRule="auto"/>
              <w:rPr>
                <w:rFonts w:cs="Arial"/>
                <w:sz w:val="18"/>
                <w:szCs w:val="18"/>
              </w:rPr>
            </w:pPr>
            <w:r w:rsidRPr="00F135D9">
              <w:rPr>
                <w:rFonts w:cs="Arial"/>
                <w:sz w:val="18"/>
                <w:szCs w:val="18"/>
              </w:rPr>
              <w:t>Laboratory study, using bait aged for 32 months, single free-choice test with a total of 10 male and 12 female mice, 4 day exposure</w:t>
            </w:r>
            <w:r w:rsidRPr="00F135D9">
              <w:rPr>
                <w:rFonts w:cs="Arial"/>
                <w:sz w:val="18"/>
                <w:szCs w:val="18"/>
              </w:rPr>
              <w:br/>
              <w:t>Test method: EPPO PP1/214(1)</w:t>
            </w:r>
          </w:p>
        </w:tc>
        <w:tc>
          <w:tcPr>
            <w:tcW w:w="318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Palatability of the treated bait was greater than that of the reference diet (attractivity value: 0.79).</w:t>
            </w:r>
            <w:r w:rsidRPr="00A53825">
              <w:rPr>
                <w:rFonts w:cs="Arial"/>
                <w:sz w:val="18"/>
                <w:szCs w:val="18"/>
              </w:rPr>
              <w:br/>
              <w:t>Efficacy was 100% occurring between 4 and 14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5.10.2-14</w:t>
            </w:r>
          </w:p>
        </w:tc>
      </w:tr>
      <w:tr w:rsidR="00BA7C2C" w:rsidRPr="00421CF1" w:rsidTr="00613EE2">
        <w:trPr>
          <w:cantSplit/>
        </w:trPr>
        <w:tc>
          <w:tcPr>
            <w:tcW w:w="1064" w:type="dxa"/>
          </w:tcPr>
          <w:p w:rsidR="00BA7C2C" w:rsidRDefault="00BA7C2C" w:rsidP="00613EE2">
            <w:pPr>
              <w:pStyle w:val="Standard-fett"/>
              <w:spacing w:before="40" w:after="40"/>
              <w:rPr>
                <w:rFonts w:cs="Arial"/>
                <w:b w:val="0"/>
                <w:sz w:val="18"/>
                <w:szCs w:val="18"/>
              </w:rPr>
            </w:pPr>
            <w:r>
              <w:rPr>
                <w:rFonts w:cs="Arial"/>
                <w:b w:val="0"/>
                <w:sz w:val="18"/>
                <w:szCs w:val="18"/>
              </w:rPr>
              <w:t>Wheat rodenticide</w:t>
            </w:r>
          </w:p>
          <w:p w:rsidR="00BA7C2C" w:rsidRPr="00A92374" w:rsidRDefault="00BA7C2C" w:rsidP="00613EE2">
            <w:pPr>
              <w:pStyle w:val="Standard-fett"/>
              <w:spacing w:before="40" w:after="40"/>
              <w:rPr>
                <w:rFonts w:cs="Arial"/>
                <w:b w:val="0"/>
                <w:sz w:val="18"/>
                <w:szCs w:val="18"/>
              </w:rPr>
            </w:pPr>
            <w:r w:rsidRPr="00A92374">
              <w:rPr>
                <w:rFonts w:cs="Arial"/>
                <w:b w:val="0"/>
                <w:sz w:val="18"/>
                <w:szCs w:val="18"/>
              </w:rPr>
              <w:t>LR0234</w:t>
            </w:r>
          </w:p>
        </w:tc>
        <w:tc>
          <w:tcPr>
            <w:tcW w:w="1652" w:type="dxa"/>
          </w:tcPr>
          <w:p w:rsidR="00BA7C2C" w:rsidRPr="00A53825" w:rsidRDefault="00BA7C2C" w:rsidP="00613EE2">
            <w:pPr>
              <w:pStyle w:val="Tabellenformat"/>
              <w:keepNext/>
              <w:spacing w:before="40" w:after="40" w:line="240" w:lineRule="auto"/>
              <w:rPr>
                <w:rFonts w:cs="Arial"/>
                <w:sz w:val="18"/>
                <w:szCs w:val="18"/>
              </w:rPr>
            </w:pPr>
            <w:r w:rsidRPr="00A53825">
              <w:rPr>
                <w:rFonts w:cs="Arial"/>
                <w:sz w:val="18"/>
                <w:szCs w:val="18"/>
              </w:rPr>
              <w:t>Mouse</w:t>
            </w:r>
            <w:r w:rsidRPr="00A53825">
              <w:rPr>
                <w:rFonts w:cs="Arial"/>
                <w:sz w:val="18"/>
                <w:szCs w:val="18"/>
              </w:rPr>
              <w:br/>
            </w:r>
            <w:r w:rsidRPr="00A53825">
              <w:rPr>
                <w:rFonts w:cs="Arial"/>
                <w:i/>
                <w:sz w:val="18"/>
                <w:szCs w:val="18"/>
              </w:rPr>
              <w:t>Mus musculus</w:t>
            </w:r>
            <w:r w:rsidRPr="00A53825">
              <w:rPr>
                <w:rFonts w:cs="Arial"/>
                <w:sz w:val="18"/>
                <w:szCs w:val="18"/>
              </w:rPr>
              <w:t xml:space="preserve"> (wild strain)</w:t>
            </w:r>
          </w:p>
        </w:tc>
        <w:tc>
          <w:tcPr>
            <w:tcW w:w="2338" w:type="dxa"/>
          </w:tcPr>
          <w:p w:rsidR="00BA7C2C" w:rsidRPr="00F135D9" w:rsidRDefault="00BA7C2C" w:rsidP="00613EE2">
            <w:pPr>
              <w:pStyle w:val="Tabellenformat"/>
              <w:spacing w:before="40" w:after="40" w:line="240" w:lineRule="auto"/>
              <w:rPr>
                <w:rFonts w:cs="Arial"/>
                <w:sz w:val="18"/>
                <w:szCs w:val="18"/>
              </w:rPr>
            </w:pPr>
            <w:r>
              <w:rPr>
                <w:rFonts w:cs="Arial"/>
                <w:sz w:val="18"/>
                <w:szCs w:val="18"/>
              </w:rPr>
              <w:t xml:space="preserve">Field study conducted at 2 sites, in and around urban buildings with high mice populations. Bait stations contained 40g bait at 12 locations per site (distances 2-15m between stations). </w:t>
            </w:r>
            <w:r w:rsidRPr="00A53825">
              <w:rPr>
                <w:rFonts w:cs="Arial"/>
                <w:sz w:val="18"/>
                <w:szCs w:val="18"/>
              </w:rPr>
              <w:t>The number of mice estimated on the maximum food intake recorded during treatment was 10</w:t>
            </w:r>
            <w:r>
              <w:rPr>
                <w:rFonts w:cs="Arial"/>
                <w:sz w:val="18"/>
                <w:szCs w:val="18"/>
              </w:rPr>
              <w:t>9 and 76</w:t>
            </w:r>
            <w:r w:rsidRPr="00A53825">
              <w:rPr>
                <w:rFonts w:cs="Arial"/>
                <w:sz w:val="18"/>
                <w:szCs w:val="18"/>
              </w:rPr>
              <w:t xml:space="preserve"> </w:t>
            </w:r>
            <w:r>
              <w:rPr>
                <w:rFonts w:cs="Arial"/>
                <w:sz w:val="18"/>
                <w:szCs w:val="18"/>
              </w:rPr>
              <w:t>mice</w:t>
            </w:r>
            <w:r w:rsidRPr="00A53825">
              <w:rPr>
                <w:rFonts w:cs="Arial"/>
                <w:sz w:val="18"/>
                <w:szCs w:val="18"/>
              </w:rPr>
              <w:t>. Assessments were conducted throug</w:t>
            </w:r>
            <w:r>
              <w:rPr>
                <w:rFonts w:cs="Arial"/>
                <w:sz w:val="18"/>
                <w:szCs w:val="18"/>
              </w:rPr>
              <w:t>hout the duration of the trial at 1-4 day intervals</w:t>
            </w:r>
            <w:r w:rsidRPr="00A53825">
              <w:rPr>
                <w:rFonts w:cs="Arial"/>
                <w:sz w:val="18"/>
                <w:szCs w:val="18"/>
              </w:rPr>
              <w:t xml:space="preserve">.  During each assessment the food/bait at each station was weighed and replenished, and the </w:t>
            </w:r>
            <w:r>
              <w:rPr>
                <w:rFonts w:cs="Arial"/>
                <w:sz w:val="18"/>
                <w:szCs w:val="18"/>
              </w:rPr>
              <w:t>amount consumed</w:t>
            </w:r>
            <w:r w:rsidRPr="00A53825">
              <w:rPr>
                <w:rFonts w:cs="Arial"/>
                <w:sz w:val="18"/>
                <w:szCs w:val="18"/>
              </w:rPr>
              <w:t xml:space="preserve"> was calculated.  During the treatment, searches were conducted for dead and dying mice in and around the site.</w:t>
            </w:r>
            <w:r>
              <w:rPr>
                <w:rFonts w:cs="Arial"/>
                <w:sz w:val="18"/>
                <w:szCs w:val="18"/>
              </w:rPr>
              <w:t xml:space="preserve"> </w:t>
            </w:r>
            <w:r w:rsidRPr="00A53825">
              <w:rPr>
                <w:rFonts w:cs="Arial"/>
                <w:sz w:val="18"/>
                <w:szCs w:val="18"/>
              </w:rPr>
              <w:t xml:space="preserve">The duration of the whole test was </w:t>
            </w:r>
            <w:r>
              <w:rPr>
                <w:rFonts w:cs="Arial"/>
                <w:sz w:val="18"/>
                <w:szCs w:val="18"/>
              </w:rPr>
              <w:t>35</w:t>
            </w:r>
            <w:r w:rsidRPr="00A53825">
              <w:rPr>
                <w:rFonts w:cs="Arial"/>
                <w:sz w:val="18"/>
                <w:szCs w:val="18"/>
              </w:rPr>
              <w:t xml:space="preserve"> days</w:t>
            </w:r>
            <w:r>
              <w:rPr>
                <w:rFonts w:cs="Arial"/>
                <w:sz w:val="18"/>
                <w:szCs w:val="18"/>
              </w:rPr>
              <w:t xml:space="preserve"> (incl. pre and post baiting period)</w:t>
            </w:r>
            <w:r w:rsidRPr="00A53825">
              <w:rPr>
                <w:rFonts w:cs="Arial"/>
                <w:sz w:val="18"/>
                <w:szCs w:val="18"/>
              </w:rPr>
              <w:t xml:space="preserve">. </w:t>
            </w:r>
          </w:p>
        </w:tc>
        <w:tc>
          <w:tcPr>
            <w:tcW w:w="3182" w:type="dxa"/>
          </w:tcPr>
          <w:p w:rsidR="00BA7C2C" w:rsidRDefault="00BA7C2C" w:rsidP="00613EE2">
            <w:pPr>
              <w:pStyle w:val="Tabellenformat"/>
              <w:spacing w:before="40" w:after="40" w:line="240" w:lineRule="auto"/>
              <w:rPr>
                <w:rFonts w:cs="Arial"/>
                <w:sz w:val="18"/>
                <w:szCs w:val="18"/>
              </w:rPr>
            </w:pPr>
            <w:r w:rsidRPr="00A53825">
              <w:rPr>
                <w:rFonts w:cs="Arial"/>
                <w:sz w:val="18"/>
                <w:szCs w:val="18"/>
              </w:rPr>
              <w:t xml:space="preserve">Based on consumption estimates the efficacy under field conditions was 100% at each site.  </w:t>
            </w:r>
          </w:p>
          <w:p w:rsidR="00BA7C2C" w:rsidRDefault="00BA7C2C" w:rsidP="00613EE2">
            <w:pPr>
              <w:pStyle w:val="Tabellenformat"/>
              <w:spacing w:before="40" w:after="40" w:line="240" w:lineRule="auto"/>
              <w:rPr>
                <w:rFonts w:cs="Arial"/>
                <w:sz w:val="18"/>
                <w:szCs w:val="18"/>
              </w:rPr>
            </w:pPr>
            <w:r w:rsidRPr="00A92374">
              <w:rPr>
                <w:rFonts w:cs="Arial"/>
                <w:sz w:val="18"/>
                <w:szCs w:val="18"/>
              </w:rPr>
              <w:t xml:space="preserve">At both sites, in the treatment census, the bait began at a high level and then quickly decreased as the bait began to take effect in reducing and controlling the house mice population.  </w:t>
            </w:r>
          </w:p>
          <w:p w:rsidR="00BA7C2C" w:rsidRPr="00A92374" w:rsidRDefault="00BA7C2C" w:rsidP="00613EE2">
            <w:pPr>
              <w:pStyle w:val="Tabellenformat"/>
              <w:spacing w:before="40" w:after="40" w:line="240" w:lineRule="auto"/>
              <w:rPr>
                <w:rFonts w:cs="Arial"/>
                <w:sz w:val="18"/>
                <w:szCs w:val="18"/>
              </w:rPr>
            </w:pPr>
            <w:r w:rsidRPr="00A92374">
              <w:rPr>
                <w:rFonts w:cs="Arial"/>
                <w:sz w:val="18"/>
                <w:szCs w:val="18"/>
              </w:rPr>
              <w:t>At Site 1, 12 dead mice were collected, and 11 mice at Site 2, with the cause of death confirmed as bait consumption with signs of intra-peritoneal bleeding.</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5.10.2-1</w:t>
            </w:r>
            <w:r>
              <w:rPr>
                <w:rFonts w:cs="Arial"/>
                <w:sz w:val="18"/>
                <w:szCs w:val="18"/>
              </w:rPr>
              <w:t>2</w:t>
            </w:r>
          </w:p>
        </w:tc>
      </w:tr>
      <w:tr w:rsidR="00BA7C2C" w:rsidRPr="00A53825" w:rsidTr="00613EE2">
        <w:trPr>
          <w:cantSplit/>
        </w:trPr>
        <w:tc>
          <w:tcPr>
            <w:tcW w:w="1064" w:type="dxa"/>
          </w:tcPr>
          <w:p w:rsidR="00BA7C2C" w:rsidRPr="00421CF1" w:rsidRDefault="00BA7C2C" w:rsidP="00613EE2">
            <w:pPr>
              <w:pStyle w:val="Standard-fett"/>
              <w:spacing w:before="40" w:after="40"/>
              <w:rPr>
                <w:rFonts w:cs="Arial"/>
                <w:b w:val="0"/>
                <w:sz w:val="18"/>
                <w:szCs w:val="18"/>
              </w:rPr>
            </w:pPr>
            <w:r w:rsidRPr="00A53825">
              <w:rPr>
                <w:rFonts w:cs="Arial"/>
                <w:b w:val="0"/>
                <w:sz w:val="18"/>
                <w:szCs w:val="18"/>
              </w:rPr>
              <w:lastRenderedPageBreak/>
              <w:t>Red paste F01153</w:t>
            </w:r>
          </w:p>
        </w:tc>
        <w:tc>
          <w:tcPr>
            <w:tcW w:w="165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Mouse</w:t>
            </w:r>
            <w:r w:rsidRPr="00A53825">
              <w:rPr>
                <w:rFonts w:cs="Arial"/>
                <w:sz w:val="18"/>
                <w:szCs w:val="18"/>
              </w:rPr>
              <w:br/>
            </w:r>
            <w:r w:rsidRPr="00A53825">
              <w:rPr>
                <w:rFonts w:cs="Arial"/>
                <w:i/>
                <w:sz w:val="18"/>
                <w:szCs w:val="18"/>
              </w:rPr>
              <w:t>Mus musculus</w:t>
            </w:r>
            <w:r w:rsidRPr="00A53825">
              <w:rPr>
                <w:rFonts w:cs="Arial"/>
                <w:sz w:val="18"/>
                <w:szCs w:val="18"/>
              </w:rPr>
              <w:t xml:space="preserve"> (wild strain)</w:t>
            </w:r>
          </w:p>
        </w:tc>
        <w:tc>
          <w:tcPr>
            <w:tcW w:w="2338"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 xml:space="preserve">Field study conducted at 1 site, an equestrian centre, in and around buildings with high mice activity. Bait stations contained 20-50g bait at 20 locations. </w:t>
            </w:r>
            <w:r w:rsidRPr="00A53825">
              <w:rPr>
                <w:rFonts w:cs="Arial"/>
                <w:sz w:val="18"/>
                <w:szCs w:val="18"/>
              </w:rPr>
              <w:br/>
              <w:t>The number of mice estimated on the maximum food intake recorded during treatment was 150-200 animals. Assessments were conducted throughout the duration of the trial, and were undertaken at day 3, 7, 14, 21, 28.  During each assessment the food/bait at each station was weighed and replenished, and the consumption in grams was calculated.  During the treatment, searches were conducted for dead and dying mice in and around the site.</w:t>
            </w:r>
            <w:r>
              <w:rPr>
                <w:rFonts w:cs="Arial"/>
                <w:sz w:val="18"/>
                <w:szCs w:val="18"/>
              </w:rPr>
              <w:t xml:space="preserve"> </w:t>
            </w:r>
            <w:r w:rsidRPr="00A53825">
              <w:rPr>
                <w:rFonts w:cs="Arial"/>
                <w:sz w:val="18"/>
                <w:szCs w:val="18"/>
              </w:rPr>
              <w:t>The duration of the whole test was 28 days. The post baiting period was not conducted</w:t>
            </w:r>
            <w:r>
              <w:rPr>
                <w:rFonts w:cs="Arial"/>
                <w:sz w:val="18"/>
                <w:szCs w:val="18"/>
              </w:rPr>
              <w:t>.</w:t>
            </w:r>
          </w:p>
        </w:tc>
        <w:tc>
          <w:tcPr>
            <w:tcW w:w="318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lang w:eastAsia="nl-NL"/>
              </w:rPr>
              <w:t xml:space="preserve">The bait consumption decreased very quickly (max consumption </w:t>
            </w:r>
            <w:smartTag w:uri="urn:schemas-microsoft-com:office:smarttags" w:element="metricconverter">
              <w:smartTagPr>
                <w:attr w:name="ProductID" w:val="520 g"/>
              </w:smartTagPr>
              <w:r w:rsidRPr="00A53825">
                <w:rPr>
                  <w:rFonts w:cs="Arial"/>
                  <w:sz w:val="18"/>
                  <w:szCs w:val="18"/>
                  <w:lang w:eastAsia="nl-NL"/>
                </w:rPr>
                <w:t>520 g</w:t>
              </w:r>
            </w:smartTag>
            <w:r w:rsidRPr="00A53825">
              <w:rPr>
                <w:rFonts w:cs="Arial"/>
                <w:sz w:val="18"/>
                <w:szCs w:val="18"/>
                <w:lang w:eastAsia="nl-NL"/>
              </w:rPr>
              <w:t xml:space="preserve"> on day 7); at day 28 consumption of the bait was 0. </w:t>
            </w:r>
            <w:r w:rsidRPr="00A53825">
              <w:rPr>
                <w:rFonts w:cs="Arial"/>
                <w:sz w:val="18"/>
                <w:szCs w:val="18"/>
              </w:rPr>
              <w:t>Approximately 40 dead mice were collected during the treatment (day 7 and 14).</w:t>
            </w:r>
            <w:r w:rsidRPr="00A53825">
              <w:rPr>
                <w:rFonts w:cs="Arial"/>
                <w:sz w:val="18"/>
                <w:szCs w:val="18"/>
              </w:rPr>
              <w:br/>
              <w:t>Efficacy based on consumption estimates cannot be calculated as there was no post baiting period conducted</w:t>
            </w:r>
            <w:r>
              <w:rPr>
                <w:rFonts w:cs="Arial"/>
                <w:sz w:val="18"/>
                <w:szCs w:val="18"/>
              </w:rPr>
              <w:t>, but given the strong decrease in consumption to 0 at the end of the trial and the high number of mice found dead, efficacy is sufficiently shown.</w:t>
            </w:r>
          </w:p>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The paste bait tested was effective under field conditions against mice when in competition against natural food sources and other environmental factors.</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 5.10.2-16</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highlight w:val="yellow"/>
              </w:rPr>
            </w:pPr>
            <w:r w:rsidRPr="00A53825">
              <w:rPr>
                <w:rFonts w:cs="Arial"/>
                <w:b w:val="0"/>
                <w:sz w:val="18"/>
                <w:szCs w:val="18"/>
              </w:rPr>
              <w:t>Red paste LR0265</w:t>
            </w:r>
          </w:p>
        </w:tc>
        <w:tc>
          <w:tcPr>
            <w:tcW w:w="165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Rat</w:t>
            </w:r>
            <w:r w:rsidRPr="00A53825">
              <w:rPr>
                <w:rFonts w:cs="Arial"/>
                <w:sz w:val="18"/>
                <w:szCs w:val="18"/>
              </w:rPr>
              <w:br/>
            </w:r>
            <w:r w:rsidRPr="00A53825">
              <w:rPr>
                <w:rFonts w:cs="Arial"/>
                <w:i/>
                <w:sz w:val="18"/>
                <w:szCs w:val="18"/>
              </w:rPr>
              <w:t>Rattus norvegicus</w:t>
            </w:r>
            <w:r w:rsidRPr="00A53825">
              <w:rPr>
                <w:rFonts w:cs="Arial"/>
                <w:sz w:val="18"/>
                <w:szCs w:val="18"/>
              </w:rPr>
              <w:br/>
              <w:t>(wild strain, sensitive to warfarin)</w:t>
            </w:r>
          </w:p>
        </w:tc>
        <w:tc>
          <w:tcPr>
            <w:tcW w:w="2338"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Laboratory study, using fresh bait, two free-choice tests with a total of 20 mixed sex animals, 4 day exposure.</w:t>
            </w:r>
            <w:r w:rsidRPr="00A53825">
              <w:rPr>
                <w:rFonts w:cs="Arial"/>
                <w:sz w:val="18"/>
                <w:szCs w:val="18"/>
              </w:rPr>
              <w:br/>
              <w:t>Test method: EPPO protocol</w:t>
            </w:r>
          </w:p>
        </w:tc>
        <w:tc>
          <w:tcPr>
            <w:tcW w:w="318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Palatability of the treated bait was equivalent to or similar to that of the reference diet in each test (attractivity values: 0.51 and 0.66).</w:t>
            </w:r>
            <w:r w:rsidRPr="00A53825">
              <w:rPr>
                <w:rFonts w:cs="Arial"/>
                <w:sz w:val="18"/>
                <w:szCs w:val="18"/>
              </w:rPr>
              <w:br/>
              <w:t>Efficacy was 100% occurring between 7 and 14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5.10.2-01</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t>Red paste F01153</w:t>
            </w:r>
          </w:p>
          <w:p w:rsidR="00BA7C2C" w:rsidRPr="00A53825" w:rsidRDefault="00BA7C2C" w:rsidP="00613EE2">
            <w:pPr>
              <w:pStyle w:val="Standard-fett"/>
              <w:spacing w:before="40" w:after="40"/>
              <w:rPr>
                <w:rFonts w:cs="Arial"/>
                <w:b w:val="0"/>
                <w:sz w:val="18"/>
                <w:szCs w:val="18"/>
                <w:highlight w:val="yellow"/>
              </w:rPr>
            </w:pPr>
          </w:p>
        </w:tc>
        <w:tc>
          <w:tcPr>
            <w:tcW w:w="165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Rat</w:t>
            </w:r>
            <w:r w:rsidRPr="00A53825">
              <w:rPr>
                <w:rFonts w:cs="Arial"/>
                <w:sz w:val="18"/>
                <w:szCs w:val="18"/>
              </w:rPr>
              <w:br/>
            </w:r>
            <w:r w:rsidRPr="00A53825">
              <w:rPr>
                <w:rFonts w:cs="Arial"/>
                <w:i/>
                <w:sz w:val="18"/>
                <w:szCs w:val="18"/>
              </w:rPr>
              <w:t>Rattus norvegicus</w:t>
            </w:r>
            <w:r w:rsidRPr="00A53825">
              <w:rPr>
                <w:rFonts w:cs="Arial"/>
                <w:sz w:val="18"/>
                <w:szCs w:val="18"/>
              </w:rPr>
              <w:br/>
              <w:t>(wild strain, resistant to warfarin)</w:t>
            </w:r>
          </w:p>
        </w:tc>
        <w:tc>
          <w:tcPr>
            <w:tcW w:w="2338" w:type="dxa"/>
          </w:tcPr>
          <w:p w:rsidR="00BA7C2C" w:rsidRPr="00F135D9" w:rsidRDefault="00BA7C2C" w:rsidP="00613EE2">
            <w:pPr>
              <w:pStyle w:val="Tabellenformat"/>
              <w:spacing w:before="40" w:after="40" w:line="240" w:lineRule="auto"/>
              <w:rPr>
                <w:rFonts w:cs="Arial"/>
                <w:sz w:val="18"/>
                <w:szCs w:val="18"/>
              </w:rPr>
            </w:pPr>
            <w:r w:rsidRPr="00F135D9">
              <w:rPr>
                <w:rFonts w:cs="Arial"/>
                <w:sz w:val="18"/>
                <w:szCs w:val="18"/>
              </w:rPr>
              <w:t>Laboratory study, using bait aged for 4 months, two free-choice test with a total of 20 mixed sex animals, 4 day exposure.</w:t>
            </w:r>
            <w:r w:rsidRPr="00F135D9">
              <w:rPr>
                <w:rFonts w:cs="Arial"/>
                <w:sz w:val="18"/>
                <w:szCs w:val="18"/>
              </w:rPr>
              <w:br/>
              <w:t>Test method: EPPO PP1/214(1)</w:t>
            </w:r>
          </w:p>
        </w:tc>
        <w:tc>
          <w:tcPr>
            <w:tcW w:w="318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Palatability of the treated bait was equivalent to or similar to that of the reference diet in each test (attractivity values: 0.66 and 0.43).</w:t>
            </w:r>
            <w:r w:rsidRPr="00A53825">
              <w:rPr>
                <w:rFonts w:cs="Arial"/>
                <w:sz w:val="18"/>
                <w:szCs w:val="18"/>
              </w:rPr>
              <w:br/>
              <w:t>Efficacy was 90% occurring between 4 and 15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5.10.2-04</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t>Red paste F01153</w:t>
            </w:r>
          </w:p>
          <w:p w:rsidR="00BA7C2C" w:rsidRPr="00A53825" w:rsidRDefault="00BA7C2C" w:rsidP="00613EE2">
            <w:pPr>
              <w:pStyle w:val="Standard-fett"/>
              <w:spacing w:before="40" w:after="40"/>
              <w:rPr>
                <w:rFonts w:cs="Arial"/>
                <w:b w:val="0"/>
                <w:sz w:val="18"/>
                <w:szCs w:val="18"/>
              </w:rPr>
            </w:pPr>
          </w:p>
        </w:tc>
        <w:tc>
          <w:tcPr>
            <w:tcW w:w="1652" w:type="dxa"/>
          </w:tcPr>
          <w:p w:rsidR="00BA7C2C" w:rsidRPr="00A53825" w:rsidRDefault="00BA7C2C" w:rsidP="00613EE2">
            <w:pPr>
              <w:pStyle w:val="Tabellenformat"/>
              <w:keepNext/>
              <w:spacing w:before="40" w:after="40" w:line="240" w:lineRule="auto"/>
              <w:rPr>
                <w:rFonts w:cs="Arial"/>
                <w:sz w:val="18"/>
                <w:szCs w:val="18"/>
              </w:rPr>
            </w:pPr>
            <w:r w:rsidRPr="00A53825">
              <w:rPr>
                <w:rFonts w:cs="Arial"/>
                <w:sz w:val="18"/>
                <w:szCs w:val="18"/>
              </w:rPr>
              <w:t>Rat</w:t>
            </w:r>
            <w:r w:rsidRPr="00A53825">
              <w:rPr>
                <w:rFonts w:cs="Arial"/>
                <w:sz w:val="18"/>
                <w:szCs w:val="18"/>
              </w:rPr>
              <w:br/>
            </w:r>
            <w:r w:rsidRPr="00A53825">
              <w:rPr>
                <w:rFonts w:cs="Arial"/>
                <w:i/>
                <w:sz w:val="18"/>
                <w:szCs w:val="18"/>
              </w:rPr>
              <w:t>Rattus norvegicus</w:t>
            </w:r>
            <w:r w:rsidRPr="00A53825">
              <w:rPr>
                <w:rFonts w:cs="Arial"/>
                <w:sz w:val="18"/>
                <w:szCs w:val="18"/>
              </w:rPr>
              <w:br/>
              <w:t>(wild strain, resistant to warfarin)</w:t>
            </w:r>
          </w:p>
        </w:tc>
        <w:tc>
          <w:tcPr>
            <w:tcW w:w="2338" w:type="dxa"/>
          </w:tcPr>
          <w:p w:rsidR="00BA7C2C" w:rsidRPr="00F135D9" w:rsidRDefault="00BA7C2C" w:rsidP="00613EE2">
            <w:pPr>
              <w:pStyle w:val="Tabellenformat"/>
              <w:spacing w:before="40" w:after="40" w:line="240" w:lineRule="auto"/>
              <w:rPr>
                <w:rFonts w:cs="Arial"/>
                <w:sz w:val="18"/>
                <w:szCs w:val="18"/>
              </w:rPr>
            </w:pPr>
            <w:r w:rsidRPr="00F135D9">
              <w:rPr>
                <w:rFonts w:cs="Arial"/>
                <w:sz w:val="18"/>
                <w:szCs w:val="18"/>
              </w:rPr>
              <w:t>Laboratory study, using bait aged for 32 months, single free-choice test with a total of 5 male and 5 female rats, 4 day exposure</w:t>
            </w:r>
            <w:r w:rsidRPr="00F135D9">
              <w:rPr>
                <w:rFonts w:cs="Arial"/>
                <w:sz w:val="18"/>
                <w:szCs w:val="18"/>
              </w:rPr>
              <w:br/>
              <w:t>Test method: EPPO PP1/214(1)</w:t>
            </w:r>
          </w:p>
        </w:tc>
        <w:tc>
          <w:tcPr>
            <w:tcW w:w="318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Palatability of the treated bait was equivalent to or similar to that of the reference diet (attractivity value: 0.45).</w:t>
            </w:r>
            <w:r w:rsidRPr="00A53825">
              <w:rPr>
                <w:rFonts w:cs="Arial"/>
                <w:sz w:val="18"/>
                <w:szCs w:val="18"/>
              </w:rPr>
              <w:br/>
              <w:t>Efficacy was 90% occurring between 7 and 14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5.10.2-13</w:t>
            </w:r>
          </w:p>
        </w:tc>
      </w:tr>
      <w:tr w:rsidR="00BA7C2C" w:rsidRPr="00A53825" w:rsidTr="00613EE2">
        <w:trPr>
          <w:cantSplit/>
        </w:trPr>
        <w:tc>
          <w:tcPr>
            <w:tcW w:w="1064" w:type="dxa"/>
          </w:tcPr>
          <w:p w:rsidR="00BA7C2C" w:rsidRPr="00FD423C" w:rsidRDefault="00BA7C2C" w:rsidP="00613EE2">
            <w:pPr>
              <w:pStyle w:val="Standard-fett"/>
              <w:spacing w:before="40" w:after="40"/>
              <w:rPr>
                <w:rFonts w:cs="Arial"/>
                <w:b w:val="0"/>
                <w:sz w:val="18"/>
                <w:szCs w:val="18"/>
              </w:rPr>
            </w:pPr>
            <w:r>
              <w:rPr>
                <w:rFonts w:cs="Arial"/>
                <w:b w:val="0"/>
                <w:sz w:val="18"/>
                <w:szCs w:val="18"/>
              </w:rPr>
              <w:lastRenderedPageBreak/>
              <w:t>O</w:t>
            </w:r>
            <w:r w:rsidRPr="00FD423C">
              <w:rPr>
                <w:rFonts w:cs="Arial"/>
                <w:b w:val="0"/>
                <w:sz w:val="18"/>
                <w:szCs w:val="18"/>
              </w:rPr>
              <w:t>at rodenticide</w:t>
            </w:r>
          </w:p>
          <w:p w:rsidR="00BA7C2C" w:rsidRPr="00236334" w:rsidRDefault="00BA7C2C" w:rsidP="00613EE2">
            <w:pPr>
              <w:pStyle w:val="Standard-fett"/>
              <w:spacing w:before="40" w:after="40"/>
              <w:rPr>
                <w:rFonts w:cs="Arial"/>
                <w:b w:val="0"/>
                <w:sz w:val="18"/>
                <w:szCs w:val="18"/>
                <w:highlight w:val="yellow"/>
              </w:rPr>
            </w:pPr>
            <w:r w:rsidRPr="00FD423C">
              <w:rPr>
                <w:rFonts w:cs="Arial"/>
                <w:b w:val="0"/>
                <w:sz w:val="18"/>
                <w:szCs w:val="18"/>
              </w:rPr>
              <w:t>LR02</w:t>
            </w:r>
            <w:r>
              <w:rPr>
                <w:rFonts w:cs="Arial"/>
                <w:b w:val="0"/>
                <w:sz w:val="18"/>
                <w:szCs w:val="18"/>
              </w:rPr>
              <w:t>16</w:t>
            </w:r>
          </w:p>
        </w:tc>
        <w:tc>
          <w:tcPr>
            <w:tcW w:w="1652" w:type="dxa"/>
          </w:tcPr>
          <w:p w:rsidR="00BA7C2C" w:rsidRPr="00236334" w:rsidRDefault="00BA7C2C" w:rsidP="00613EE2">
            <w:pPr>
              <w:pStyle w:val="Tabellenformat"/>
              <w:keepNext/>
              <w:spacing w:before="40" w:after="40" w:line="240" w:lineRule="auto"/>
              <w:rPr>
                <w:rFonts w:cs="Arial"/>
                <w:sz w:val="18"/>
                <w:szCs w:val="18"/>
                <w:highlight w:val="yellow"/>
              </w:rPr>
            </w:pPr>
            <w:r w:rsidRPr="00A53825">
              <w:rPr>
                <w:rFonts w:cs="Arial"/>
                <w:sz w:val="18"/>
                <w:szCs w:val="18"/>
              </w:rPr>
              <w:t>Rat</w:t>
            </w:r>
            <w:r w:rsidRPr="00A53825">
              <w:rPr>
                <w:rFonts w:cs="Arial"/>
                <w:sz w:val="18"/>
                <w:szCs w:val="18"/>
              </w:rPr>
              <w:br/>
            </w:r>
            <w:r w:rsidRPr="00A53825">
              <w:rPr>
                <w:rFonts w:cs="Arial"/>
                <w:i/>
                <w:sz w:val="18"/>
                <w:szCs w:val="18"/>
              </w:rPr>
              <w:t>Rattus norvegicus</w:t>
            </w:r>
            <w:r w:rsidRPr="00A53825">
              <w:rPr>
                <w:rFonts w:cs="Arial"/>
                <w:sz w:val="18"/>
                <w:szCs w:val="18"/>
              </w:rPr>
              <w:br/>
              <w:t>(wild strain)</w:t>
            </w:r>
          </w:p>
        </w:tc>
        <w:tc>
          <w:tcPr>
            <w:tcW w:w="2338" w:type="dxa"/>
          </w:tcPr>
          <w:p w:rsidR="00BA7C2C" w:rsidRPr="00236334" w:rsidRDefault="00BA7C2C" w:rsidP="00613EE2">
            <w:pPr>
              <w:pStyle w:val="Tabellenformat"/>
              <w:spacing w:before="40" w:after="40" w:line="240" w:lineRule="auto"/>
              <w:rPr>
                <w:rFonts w:cs="Arial"/>
                <w:sz w:val="18"/>
                <w:szCs w:val="18"/>
                <w:highlight w:val="yellow"/>
              </w:rPr>
            </w:pPr>
            <w:r w:rsidRPr="00372E42">
              <w:rPr>
                <w:rFonts w:cs="Arial"/>
                <w:sz w:val="18"/>
                <w:szCs w:val="18"/>
              </w:rPr>
              <w:t xml:space="preserve">Field study conducted at 2 sites, </w:t>
            </w:r>
            <w:r w:rsidRPr="004E0240">
              <w:rPr>
                <w:rFonts w:cs="Arial"/>
                <w:sz w:val="18"/>
                <w:szCs w:val="18"/>
              </w:rPr>
              <w:t xml:space="preserve">in and around agricultural buildings with high rat populations. Bait stations contained 150 or 200g bait at 14 locations (site 1) and 24 locations (site 2), (distances 2-15m between stations). </w:t>
            </w:r>
            <w:r w:rsidRPr="00372E42">
              <w:rPr>
                <w:rFonts w:cs="Arial"/>
                <w:sz w:val="18"/>
                <w:szCs w:val="18"/>
              </w:rPr>
              <w:t xml:space="preserve">The number of rats estimated on the maximum food intake recorded during treatment was 50 and 84 rats. </w:t>
            </w:r>
            <w:r w:rsidRPr="004E0240">
              <w:rPr>
                <w:rFonts w:cs="Arial"/>
                <w:sz w:val="18"/>
                <w:szCs w:val="18"/>
              </w:rPr>
              <w:t xml:space="preserve">Assessments were conducted throughout the duration of the trial at 1-4 day intervals.  During each assessment the food/bait at each station was weighed and replenished, and the amount consumed was calculated.  During the treatment, searches were conducted for dead and dying rats in and around the site. The duration of the whole test was 48-52 days. </w:t>
            </w:r>
          </w:p>
        </w:tc>
        <w:tc>
          <w:tcPr>
            <w:tcW w:w="3182" w:type="dxa"/>
          </w:tcPr>
          <w:p w:rsidR="00BA7C2C" w:rsidRPr="00372E42" w:rsidRDefault="00BA7C2C" w:rsidP="00613EE2">
            <w:pPr>
              <w:pStyle w:val="Tabellenformat"/>
              <w:spacing w:before="40" w:after="40" w:line="240" w:lineRule="auto"/>
              <w:rPr>
                <w:rFonts w:cs="Arial"/>
                <w:sz w:val="18"/>
                <w:szCs w:val="18"/>
              </w:rPr>
            </w:pPr>
            <w:r w:rsidRPr="00372E42">
              <w:rPr>
                <w:rFonts w:cs="Arial"/>
                <w:sz w:val="18"/>
                <w:szCs w:val="18"/>
              </w:rPr>
              <w:t xml:space="preserve">Based on consumption estimates the efficacy under field conditions was 100% at each site.  </w:t>
            </w:r>
          </w:p>
          <w:p w:rsidR="00BA7C2C" w:rsidRPr="00372E42" w:rsidRDefault="00BA7C2C" w:rsidP="00613EE2">
            <w:pPr>
              <w:pStyle w:val="Tabellenformat"/>
              <w:spacing w:before="40" w:after="40" w:line="240" w:lineRule="auto"/>
              <w:rPr>
                <w:rFonts w:cs="Arial"/>
                <w:sz w:val="18"/>
                <w:szCs w:val="18"/>
              </w:rPr>
            </w:pPr>
            <w:r w:rsidRPr="00372E42">
              <w:rPr>
                <w:rFonts w:cs="Arial"/>
                <w:sz w:val="18"/>
                <w:szCs w:val="18"/>
              </w:rPr>
              <w:t xml:space="preserve">At both sites, in the treatment census, the bait began at a high level and then quickly decreased as the bait began to take effect in reducing and controlling the wild brown rats population.  </w:t>
            </w:r>
          </w:p>
          <w:p w:rsidR="00BA7C2C" w:rsidRPr="00236334" w:rsidRDefault="00BA7C2C" w:rsidP="00613EE2">
            <w:pPr>
              <w:pStyle w:val="Tabellenformat"/>
              <w:spacing w:before="40" w:after="40" w:line="240" w:lineRule="auto"/>
              <w:rPr>
                <w:rFonts w:cs="Arial"/>
                <w:sz w:val="18"/>
                <w:szCs w:val="18"/>
                <w:highlight w:val="yellow"/>
              </w:rPr>
            </w:pPr>
            <w:r w:rsidRPr="00372E42">
              <w:rPr>
                <w:rFonts w:cs="Arial"/>
                <w:sz w:val="18"/>
                <w:szCs w:val="18"/>
              </w:rPr>
              <w:t>At Site 1, 9 dead rats were collected, and 17 rats at site 2, with the cause of death confirmed as bait consumption with signs of intra-peritoneal bleeding.</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w:t>
            </w:r>
            <w:r>
              <w:rPr>
                <w:rFonts w:cs="Arial"/>
                <w:sz w:val="18"/>
                <w:szCs w:val="18"/>
              </w:rPr>
              <w:t>11</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Pr>
                <w:rFonts w:cs="Arial"/>
                <w:b w:val="0"/>
                <w:sz w:val="18"/>
                <w:szCs w:val="18"/>
              </w:rPr>
              <w:t xml:space="preserve">Blue </w:t>
            </w:r>
            <w:r w:rsidRPr="00A53825">
              <w:rPr>
                <w:rFonts w:cs="Arial"/>
                <w:b w:val="0"/>
                <w:sz w:val="18"/>
                <w:szCs w:val="18"/>
              </w:rPr>
              <w:t>paste</w:t>
            </w:r>
            <w:r w:rsidRPr="00A53825">
              <w:rPr>
                <w:rFonts w:cs="Arial"/>
                <w:b w:val="0"/>
                <w:sz w:val="18"/>
                <w:szCs w:val="18"/>
              </w:rPr>
              <w:br/>
              <w:t>F00060</w:t>
            </w:r>
            <w:r w:rsidRPr="00A53825">
              <w:rPr>
                <w:rFonts w:cs="Arial"/>
                <w:b w:val="0"/>
                <w:sz w:val="18"/>
                <w:szCs w:val="18"/>
              </w:rPr>
              <w:br/>
              <w:t>(active: 25 mg/kg difethialon)</w:t>
            </w:r>
          </w:p>
        </w:tc>
        <w:tc>
          <w:tcPr>
            <w:tcW w:w="165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Rat</w:t>
            </w:r>
            <w:r w:rsidRPr="00A53825">
              <w:rPr>
                <w:rFonts w:cs="Arial"/>
                <w:sz w:val="18"/>
                <w:szCs w:val="18"/>
              </w:rPr>
              <w:br/>
            </w:r>
            <w:r w:rsidRPr="00A53825">
              <w:rPr>
                <w:rFonts w:cs="Arial"/>
                <w:i/>
                <w:sz w:val="18"/>
                <w:szCs w:val="18"/>
              </w:rPr>
              <w:t>Rattus norvegicus</w:t>
            </w:r>
            <w:r w:rsidRPr="00A53825">
              <w:rPr>
                <w:rFonts w:cs="Arial"/>
                <w:sz w:val="18"/>
                <w:szCs w:val="18"/>
              </w:rPr>
              <w:br/>
              <w:t>(wild strain)</w:t>
            </w:r>
          </w:p>
        </w:tc>
        <w:tc>
          <w:tcPr>
            <w:tcW w:w="2338"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 xml:space="preserve">Field study conducted at 2 sites in </w:t>
            </w:r>
            <w:smartTag w:uri="urn:schemas-microsoft-com:office:smarttags" w:element="place">
              <w:smartTag w:uri="urn:schemas-microsoft-com:office:smarttags" w:element="country-region">
                <w:r w:rsidRPr="00A53825">
                  <w:rPr>
                    <w:rFonts w:cs="Arial"/>
                    <w:sz w:val="18"/>
                    <w:szCs w:val="18"/>
                  </w:rPr>
                  <w:t>France</w:t>
                </w:r>
              </w:smartTag>
            </w:smartTag>
            <w:r w:rsidRPr="00A53825">
              <w:rPr>
                <w:rFonts w:cs="Arial"/>
                <w:sz w:val="18"/>
                <w:szCs w:val="18"/>
              </w:rPr>
              <w:t xml:space="preserve"> with high rat activity.  Bait stations contained </w:t>
            </w:r>
            <w:smartTag w:uri="urn:schemas-microsoft-com:office:smarttags" w:element="metricconverter">
              <w:smartTagPr>
                <w:attr w:name="ProductID" w:val="150 g"/>
              </w:smartTagPr>
              <w:r w:rsidRPr="00A53825">
                <w:rPr>
                  <w:rFonts w:cs="Arial"/>
                  <w:sz w:val="18"/>
                  <w:szCs w:val="18"/>
                </w:rPr>
                <w:t>150 g</w:t>
              </w:r>
            </w:smartTag>
            <w:r w:rsidRPr="00A53825">
              <w:rPr>
                <w:rFonts w:cs="Arial"/>
                <w:sz w:val="18"/>
                <w:szCs w:val="18"/>
              </w:rPr>
              <w:t xml:space="preserve"> at 18 to 20 locations across the test sites and were positioned 2-</w:t>
            </w:r>
            <w:smartTag w:uri="urn:schemas-microsoft-com:office:smarttags" w:element="metricconverter">
              <w:smartTagPr>
                <w:attr w:name="ProductID" w:val="15 metres"/>
              </w:smartTagPr>
              <w:r w:rsidRPr="00A53825">
                <w:rPr>
                  <w:rFonts w:cs="Arial"/>
                  <w:sz w:val="18"/>
                  <w:szCs w:val="18"/>
                </w:rPr>
                <w:t>15 metres</w:t>
              </w:r>
            </w:smartTag>
            <w:r w:rsidRPr="00A53825">
              <w:rPr>
                <w:rFonts w:cs="Arial"/>
                <w:sz w:val="18"/>
                <w:szCs w:val="18"/>
              </w:rPr>
              <w:t xml:space="preserve"> apart.</w:t>
            </w:r>
            <w:r w:rsidRPr="00A53825">
              <w:rPr>
                <w:rFonts w:cs="Arial"/>
                <w:sz w:val="18"/>
                <w:szCs w:val="18"/>
              </w:rPr>
              <w:br/>
              <w:t>The number of rats calculated on the maximum food intake recorded before treatment was 90 for site 1 and 64 for site 2.</w:t>
            </w:r>
          </w:p>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Assessments were conducted throughout the trial and were done every 1-4 days; baits were weighed and replenished, then the amount consumed was calculated.</w:t>
            </w:r>
          </w:p>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The duration of the whole test was approximately 1.5 months for both sites.</w:t>
            </w:r>
          </w:p>
        </w:tc>
        <w:tc>
          <w:tcPr>
            <w:tcW w:w="3182" w:type="dxa"/>
          </w:tcPr>
          <w:p w:rsidR="00BA7C2C" w:rsidRPr="00A53825" w:rsidRDefault="00BA7C2C" w:rsidP="00613EE2">
            <w:pPr>
              <w:pStyle w:val="Tabellenformat"/>
              <w:spacing w:before="40" w:after="40" w:line="240" w:lineRule="auto"/>
              <w:rPr>
                <w:rFonts w:cs="Arial"/>
                <w:sz w:val="18"/>
                <w:szCs w:val="18"/>
                <w:lang w:eastAsia="nl-NL"/>
              </w:rPr>
            </w:pPr>
            <w:r w:rsidRPr="00A53825">
              <w:rPr>
                <w:rFonts w:cs="Arial"/>
                <w:sz w:val="18"/>
                <w:szCs w:val="18"/>
              </w:rPr>
              <w:t xml:space="preserve">Based on consumption estimates the efficacy under field conditions was 97.5% at site 1 and 99.7% at site 2.  </w:t>
            </w:r>
            <w:r w:rsidRPr="00A53825">
              <w:rPr>
                <w:rFonts w:cs="Arial"/>
                <w:sz w:val="18"/>
                <w:szCs w:val="18"/>
              </w:rPr>
              <w:br/>
              <w:t>At Site 1, 23 dead rats were collected  and 9 rats at Site 2, with the cause of death confirmed as bait consumption with signs of intra-peritoneal bleeding.</w:t>
            </w:r>
            <w:r w:rsidRPr="00A53825">
              <w:rPr>
                <w:rFonts w:cs="Arial"/>
                <w:sz w:val="18"/>
                <w:szCs w:val="18"/>
              </w:rPr>
              <w:br/>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 5.10.2-15</w:t>
            </w:r>
          </w:p>
        </w:tc>
      </w:tr>
      <w:tr w:rsidR="00BA7C2C" w:rsidRPr="00F2352A" w:rsidTr="00613EE2">
        <w:trPr>
          <w:cantSplit/>
        </w:trPr>
        <w:tc>
          <w:tcPr>
            <w:tcW w:w="1064" w:type="dxa"/>
          </w:tcPr>
          <w:p w:rsidR="00BA7C2C" w:rsidRPr="00F2352A" w:rsidRDefault="00BA7C2C" w:rsidP="00613EE2">
            <w:pPr>
              <w:pStyle w:val="Standard-fett"/>
              <w:spacing w:before="40" w:after="40"/>
              <w:rPr>
                <w:rFonts w:cs="Arial"/>
                <w:b w:val="0"/>
                <w:sz w:val="18"/>
                <w:szCs w:val="18"/>
              </w:rPr>
            </w:pPr>
            <w:r w:rsidRPr="00F2352A">
              <w:rPr>
                <w:rFonts w:cs="Arial"/>
                <w:b w:val="0"/>
                <w:sz w:val="18"/>
                <w:szCs w:val="18"/>
              </w:rPr>
              <w:t>Blue paste</w:t>
            </w:r>
            <w:r w:rsidRPr="00F2352A">
              <w:rPr>
                <w:rFonts w:cs="Arial"/>
                <w:b w:val="0"/>
                <w:sz w:val="18"/>
                <w:szCs w:val="18"/>
              </w:rPr>
              <w:br/>
            </w:r>
            <w:r w:rsidRPr="00A53825">
              <w:rPr>
                <w:rFonts w:cs="Arial"/>
                <w:b w:val="0"/>
                <w:sz w:val="18"/>
                <w:szCs w:val="18"/>
              </w:rPr>
              <w:t>F00060</w:t>
            </w:r>
            <w:r w:rsidRPr="00A53825">
              <w:rPr>
                <w:rFonts w:cs="Arial"/>
                <w:b w:val="0"/>
                <w:sz w:val="18"/>
                <w:szCs w:val="18"/>
              </w:rPr>
              <w:br/>
              <w:t>(active: 25 mg/kg difethialon)</w:t>
            </w:r>
            <w:r>
              <w:rPr>
                <w:rFonts w:cs="Arial"/>
                <w:b w:val="0"/>
                <w:sz w:val="18"/>
                <w:szCs w:val="18"/>
              </w:rPr>
              <w:br/>
              <w:t>(</w:t>
            </w:r>
            <w:r w:rsidRPr="009A2C49">
              <w:rPr>
                <w:rFonts w:cs="Arial"/>
                <w:b w:val="0"/>
                <w:sz w:val="18"/>
                <w:szCs w:val="18"/>
              </w:rPr>
              <w:t>Bridging</w:t>
            </w:r>
            <w:r>
              <w:rPr>
                <w:rFonts w:cs="Arial"/>
                <w:b w:val="0"/>
                <w:sz w:val="18"/>
                <w:szCs w:val="18"/>
              </w:rPr>
              <w:t xml:space="preserve"> </w:t>
            </w:r>
            <w:r w:rsidRPr="009A2C49">
              <w:rPr>
                <w:rFonts w:cs="Arial"/>
                <w:b w:val="0"/>
                <w:sz w:val="18"/>
                <w:szCs w:val="18"/>
              </w:rPr>
              <w:t>study</w:t>
            </w:r>
            <w:r>
              <w:rPr>
                <w:rFonts w:cs="Arial"/>
                <w:b w:val="0"/>
                <w:sz w:val="18"/>
                <w:szCs w:val="18"/>
              </w:rPr>
              <w:t>)</w:t>
            </w:r>
          </w:p>
        </w:tc>
        <w:tc>
          <w:tcPr>
            <w:tcW w:w="1652" w:type="dxa"/>
          </w:tcPr>
          <w:p w:rsidR="00BA7C2C" w:rsidRPr="00F2352A" w:rsidRDefault="00BA7C2C" w:rsidP="00613EE2">
            <w:pPr>
              <w:pStyle w:val="Tabellenformat"/>
              <w:spacing w:before="40" w:after="40" w:line="240" w:lineRule="auto"/>
              <w:rPr>
                <w:rFonts w:cs="Arial"/>
                <w:sz w:val="18"/>
                <w:szCs w:val="18"/>
              </w:rPr>
            </w:pPr>
            <w:r w:rsidRPr="00A53825">
              <w:rPr>
                <w:rFonts w:cs="Arial"/>
                <w:sz w:val="18"/>
                <w:szCs w:val="18"/>
              </w:rPr>
              <w:t>Rat</w:t>
            </w:r>
            <w:r w:rsidRPr="00A53825">
              <w:rPr>
                <w:rFonts w:cs="Arial"/>
                <w:sz w:val="18"/>
                <w:szCs w:val="18"/>
              </w:rPr>
              <w:br/>
            </w:r>
            <w:r w:rsidRPr="00A53825">
              <w:rPr>
                <w:rFonts w:cs="Arial"/>
                <w:i/>
                <w:sz w:val="18"/>
                <w:szCs w:val="18"/>
              </w:rPr>
              <w:t>Rattus norvegicus</w:t>
            </w:r>
            <w:r w:rsidRPr="00A53825">
              <w:rPr>
                <w:rFonts w:cs="Arial"/>
                <w:sz w:val="18"/>
                <w:szCs w:val="18"/>
              </w:rPr>
              <w:br/>
              <w:t>(wild strain</w:t>
            </w:r>
            <w:r>
              <w:rPr>
                <w:rFonts w:cs="Arial"/>
                <w:sz w:val="18"/>
                <w:szCs w:val="18"/>
              </w:rPr>
              <w:t>, warfarin resistant</w:t>
            </w:r>
            <w:r w:rsidRPr="00A53825">
              <w:rPr>
                <w:rFonts w:cs="Arial"/>
                <w:sz w:val="18"/>
                <w:szCs w:val="18"/>
              </w:rPr>
              <w:t>)</w:t>
            </w:r>
          </w:p>
        </w:tc>
        <w:tc>
          <w:tcPr>
            <w:tcW w:w="2338" w:type="dxa"/>
          </w:tcPr>
          <w:p w:rsidR="00BA7C2C" w:rsidRPr="00F2352A" w:rsidRDefault="00BA7C2C" w:rsidP="00613EE2">
            <w:pPr>
              <w:pStyle w:val="Tabellenformat"/>
              <w:spacing w:before="40" w:after="40" w:line="240" w:lineRule="auto"/>
              <w:rPr>
                <w:rFonts w:cs="Arial"/>
                <w:sz w:val="18"/>
                <w:szCs w:val="18"/>
              </w:rPr>
            </w:pPr>
            <w:r w:rsidRPr="00F135D9">
              <w:rPr>
                <w:rFonts w:cs="Arial"/>
                <w:sz w:val="18"/>
                <w:szCs w:val="18"/>
              </w:rPr>
              <w:t xml:space="preserve">Laboratory study, using bait aged for </w:t>
            </w:r>
            <w:r>
              <w:rPr>
                <w:rFonts w:cs="Arial"/>
                <w:sz w:val="18"/>
                <w:szCs w:val="18"/>
              </w:rPr>
              <w:t>7</w:t>
            </w:r>
            <w:r w:rsidRPr="00F135D9">
              <w:rPr>
                <w:rFonts w:cs="Arial"/>
                <w:sz w:val="18"/>
                <w:szCs w:val="18"/>
              </w:rPr>
              <w:t xml:space="preserve"> months, two free-choice tests with a total of 20 mixed sex animals, 4 day exposure.</w:t>
            </w:r>
            <w:r w:rsidRPr="00F135D9">
              <w:rPr>
                <w:rFonts w:cs="Arial"/>
                <w:sz w:val="18"/>
                <w:szCs w:val="18"/>
              </w:rPr>
              <w:br/>
              <w:t>Test method: EPPO PP1/214(1)</w:t>
            </w:r>
          </w:p>
        </w:tc>
        <w:tc>
          <w:tcPr>
            <w:tcW w:w="3182" w:type="dxa"/>
          </w:tcPr>
          <w:p w:rsidR="00BA7C2C" w:rsidRPr="00F2352A" w:rsidRDefault="00BA7C2C" w:rsidP="00613EE2">
            <w:pPr>
              <w:pStyle w:val="Tabellenformat"/>
              <w:spacing w:before="40" w:after="40" w:line="240" w:lineRule="auto"/>
              <w:rPr>
                <w:rFonts w:cs="Arial"/>
                <w:sz w:val="18"/>
                <w:szCs w:val="18"/>
              </w:rPr>
            </w:pPr>
            <w:r w:rsidRPr="00A53825">
              <w:rPr>
                <w:rFonts w:cs="Arial"/>
                <w:sz w:val="18"/>
                <w:szCs w:val="18"/>
              </w:rPr>
              <w:t>Palatability of the treated bait was equivalent to or similar to that of the reference diet in each test (attractivity values: 0.4</w:t>
            </w:r>
            <w:r>
              <w:rPr>
                <w:rFonts w:cs="Arial"/>
                <w:sz w:val="18"/>
                <w:szCs w:val="18"/>
              </w:rPr>
              <w:t>5</w:t>
            </w:r>
            <w:r w:rsidRPr="00A53825">
              <w:rPr>
                <w:rFonts w:cs="Arial"/>
                <w:sz w:val="18"/>
                <w:szCs w:val="18"/>
              </w:rPr>
              <w:t xml:space="preserve"> and 0.4</w:t>
            </w:r>
            <w:r>
              <w:rPr>
                <w:rFonts w:cs="Arial"/>
                <w:sz w:val="18"/>
                <w:szCs w:val="18"/>
              </w:rPr>
              <w:t>7</w:t>
            </w:r>
            <w:r w:rsidRPr="00A53825">
              <w:rPr>
                <w:rFonts w:cs="Arial"/>
                <w:sz w:val="18"/>
                <w:szCs w:val="18"/>
              </w:rPr>
              <w:t>).</w:t>
            </w:r>
            <w:r w:rsidRPr="00A53825">
              <w:rPr>
                <w:rFonts w:cs="Arial"/>
                <w:sz w:val="18"/>
                <w:szCs w:val="18"/>
                <w:highlight w:val="yellow"/>
              </w:rPr>
              <w:br/>
            </w:r>
            <w:r w:rsidRPr="00A53825">
              <w:rPr>
                <w:rFonts w:cs="Arial"/>
                <w:sz w:val="18"/>
                <w:szCs w:val="18"/>
              </w:rPr>
              <w:t xml:space="preserve">Efficacy was </w:t>
            </w:r>
            <w:r>
              <w:rPr>
                <w:rFonts w:cs="Arial"/>
                <w:sz w:val="18"/>
                <w:szCs w:val="18"/>
              </w:rPr>
              <w:t>10</w:t>
            </w:r>
            <w:r w:rsidRPr="00A53825">
              <w:rPr>
                <w:rFonts w:cs="Arial"/>
                <w:sz w:val="18"/>
                <w:szCs w:val="18"/>
              </w:rPr>
              <w:t xml:space="preserve">0% occurring between </w:t>
            </w:r>
            <w:r>
              <w:rPr>
                <w:rFonts w:cs="Arial"/>
                <w:sz w:val="18"/>
                <w:szCs w:val="18"/>
              </w:rPr>
              <w:t>3</w:t>
            </w:r>
            <w:r w:rsidRPr="00A53825">
              <w:rPr>
                <w:rFonts w:cs="Arial"/>
                <w:sz w:val="18"/>
                <w:szCs w:val="18"/>
              </w:rPr>
              <w:t xml:space="preserve"> and </w:t>
            </w:r>
            <w:r>
              <w:rPr>
                <w:rFonts w:cs="Arial"/>
                <w:sz w:val="18"/>
                <w:szCs w:val="18"/>
              </w:rPr>
              <w:t>9</w:t>
            </w:r>
            <w:r w:rsidRPr="00A53825">
              <w:rPr>
                <w:rFonts w:cs="Arial"/>
                <w:sz w:val="18"/>
                <w:szCs w:val="18"/>
              </w:rPr>
              <w:t xml:space="preserve">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 5.10.2-1</w:t>
            </w:r>
            <w:r>
              <w:rPr>
                <w:rFonts w:cs="Arial"/>
                <w:sz w:val="18"/>
                <w:szCs w:val="18"/>
              </w:rPr>
              <w:t>7</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lastRenderedPageBreak/>
              <w:t>Red paste F01153</w:t>
            </w:r>
          </w:p>
          <w:p w:rsidR="00BA7C2C" w:rsidRPr="00A53825" w:rsidRDefault="00BA7C2C" w:rsidP="00613EE2">
            <w:pPr>
              <w:pStyle w:val="Standard-fett"/>
              <w:spacing w:before="40" w:after="40"/>
              <w:rPr>
                <w:rFonts w:cs="Arial"/>
                <w:b w:val="0"/>
                <w:sz w:val="18"/>
                <w:szCs w:val="18"/>
                <w:highlight w:val="yellow"/>
              </w:rPr>
            </w:pPr>
          </w:p>
        </w:tc>
        <w:tc>
          <w:tcPr>
            <w:tcW w:w="1652" w:type="dxa"/>
          </w:tcPr>
          <w:p w:rsidR="00BA7C2C" w:rsidRPr="00A53825" w:rsidRDefault="00BA7C2C" w:rsidP="00613EE2">
            <w:pPr>
              <w:pStyle w:val="Tabellenformat"/>
              <w:keepNext/>
              <w:spacing w:before="40" w:after="40" w:line="240" w:lineRule="auto"/>
              <w:rPr>
                <w:rFonts w:cs="Arial"/>
                <w:sz w:val="18"/>
                <w:szCs w:val="18"/>
                <w:highlight w:val="yellow"/>
              </w:rPr>
            </w:pPr>
            <w:r w:rsidRPr="00A53825">
              <w:rPr>
                <w:rFonts w:cs="Arial"/>
                <w:sz w:val="18"/>
                <w:szCs w:val="18"/>
              </w:rPr>
              <w:t>Rat</w:t>
            </w:r>
            <w:r w:rsidRPr="00A53825">
              <w:rPr>
                <w:rFonts w:cs="Arial"/>
                <w:sz w:val="18"/>
                <w:szCs w:val="18"/>
              </w:rPr>
              <w:br/>
            </w:r>
            <w:r w:rsidRPr="00A53825">
              <w:rPr>
                <w:rFonts w:cs="Arial"/>
                <w:i/>
                <w:sz w:val="18"/>
                <w:szCs w:val="18"/>
              </w:rPr>
              <w:t>Rattus rattus</w:t>
            </w:r>
            <w:r w:rsidRPr="00A53825">
              <w:rPr>
                <w:rFonts w:cs="Arial"/>
                <w:i/>
                <w:sz w:val="18"/>
                <w:szCs w:val="18"/>
              </w:rPr>
              <w:br/>
            </w:r>
            <w:r w:rsidRPr="00A53825">
              <w:rPr>
                <w:rFonts w:cs="Arial"/>
                <w:sz w:val="18"/>
                <w:szCs w:val="18"/>
              </w:rPr>
              <w:t>(wild strain, sensitive to warfarin)</w:t>
            </w:r>
          </w:p>
        </w:tc>
        <w:tc>
          <w:tcPr>
            <w:tcW w:w="2338" w:type="dxa"/>
          </w:tcPr>
          <w:p w:rsidR="00BA7C2C" w:rsidRPr="00F135D9" w:rsidRDefault="00BA7C2C" w:rsidP="00613EE2">
            <w:pPr>
              <w:pStyle w:val="Tabellenformat"/>
              <w:spacing w:before="40" w:after="40" w:line="240" w:lineRule="auto"/>
              <w:rPr>
                <w:rFonts w:cs="Arial"/>
                <w:sz w:val="18"/>
                <w:szCs w:val="18"/>
              </w:rPr>
            </w:pPr>
            <w:r w:rsidRPr="00F135D9">
              <w:rPr>
                <w:rFonts w:cs="Arial"/>
                <w:sz w:val="18"/>
                <w:szCs w:val="18"/>
              </w:rPr>
              <w:t>Laboratory study, using bait aged for 4 months, two free-choice tests with a total of 20 mixed sex animals, 4 day exposure.</w:t>
            </w:r>
            <w:r w:rsidRPr="00F135D9">
              <w:rPr>
                <w:rFonts w:cs="Arial"/>
                <w:sz w:val="18"/>
                <w:szCs w:val="18"/>
              </w:rPr>
              <w:br/>
              <w:t>Test method: EPPO PP1/214(1)</w:t>
            </w:r>
          </w:p>
        </w:tc>
        <w:tc>
          <w:tcPr>
            <w:tcW w:w="3182" w:type="dxa"/>
          </w:tcPr>
          <w:p w:rsidR="00BA7C2C" w:rsidRPr="00A53825" w:rsidRDefault="00BA7C2C" w:rsidP="00613EE2">
            <w:pPr>
              <w:pStyle w:val="Tabellenformat"/>
              <w:spacing w:before="40" w:after="40" w:line="240" w:lineRule="auto"/>
              <w:rPr>
                <w:rFonts w:cs="Arial"/>
                <w:sz w:val="18"/>
                <w:szCs w:val="18"/>
                <w:highlight w:val="yellow"/>
              </w:rPr>
            </w:pPr>
            <w:r w:rsidRPr="00A53825">
              <w:rPr>
                <w:rFonts w:cs="Arial"/>
                <w:sz w:val="18"/>
                <w:szCs w:val="18"/>
              </w:rPr>
              <w:t>Palatability of the treated bait was equivalent to or similar to that of the reference diet in each test (attractivity values: 0.47 and 0.45).</w:t>
            </w:r>
            <w:r w:rsidRPr="00A53825">
              <w:rPr>
                <w:rFonts w:cs="Arial"/>
                <w:sz w:val="18"/>
                <w:szCs w:val="18"/>
                <w:highlight w:val="yellow"/>
              </w:rPr>
              <w:br/>
            </w:r>
            <w:r w:rsidRPr="00A53825">
              <w:rPr>
                <w:rFonts w:cs="Arial"/>
                <w:sz w:val="18"/>
                <w:szCs w:val="18"/>
              </w:rPr>
              <w:t>Efficacy was 90% occurring between 7 and 14 days after initial consumption.</w:t>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5.10.2-05</w:t>
            </w:r>
          </w:p>
        </w:tc>
      </w:tr>
      <w:tr w:rsidR="00BA7C2C" w:rsidRPr="00A53825" w:rsidTr="00613EE2">
        <w:trPr>
          <w:cantSplit/>
        </w:trPr>
        <w:tc>
          <w:tcPr>
            <w:tcW w:w="1064" w:type="dxa"/>
          </w:tcPr>
          <w:p w:rsidR="00BA7C2C" w:rsidRPr="00A53825" w:rsidRDefault="00BA7C2C" w:rsidP="00613EE2">
            <w:pPr>
              <w:pStyle w:val="Standard-fett"/>
              <w:spacing w:before="40" w:after="40"/>
              <w:rPr>
                <w:rFonts w:cs="Arial"/>
                <w:b w:val="0"/>
                <w:sz w:val="18"/>
                <w:szCs w:val="18"/>
              </w:rPr>
            </w:pPr>
            <w:r w:rsidRPr="00A53825">
              <w:rPr>
                <w:rFonts w:cs="Arial"/>
                <w:b w:val="0"/>
                <w:sz w:val="18"/>
                <w:szCs w:val="18"/>
              </w:rPr>
              <w:t>Red paste F01153</w:t>
            </w:r>
          </w:p>
        </w:tc>
        <w:tc>
          <w:tcPr>
            <w:tcW w:w="165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Rat</w:t>
            </w:r>
            <w:r w:rsidRPr="00A53825">
              <w:rPr>
                <w:rFonts w:cs="Arial"/>
                <w:sz w:val="18"/>
                <w:szCs w:val="18"/>
              </w:rPr>
              <w:br/>
            </w:r>
            <w:r w:rsidRPr="00A53825">
              <w:rPr>
                <w:rFonts w:cs="Arial"/>
                <w:i/>
                <w:sz w:val="18"/>
                <w:szCs w:val="18"/>
              </w:rPr>
              <w:t>Rattus rattus</w:t>
            </w:r>
            <w:r w:rsidRPr="00A53825">
              <w:rPr>
                <w:rFonts w:cs="Arial"/>
                <w:sz w:val="18"/>
                <w:szCs w:val="18"/>
              </w:rPr>
              <w:br/>
              <w:t>(wild strain)</w:t>
            </w:r>
          </w:p>
        </w:tc>
        <w:tc>
          <w:tcPr>
            <w:tcW w:w="2338"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 xml:space="preserve">Field study conducted at 2 farm sites in </w:t>
            </w:r>
            <w:smartTag w:uri="urn:schemas-microsoft-com:office:smarttags" w:element="place">
              <w:smartTag w:uri="urn:schemas-microsoft-com:office:smarttags" w:element="country-region">
                <w:r w:rsidRPr="00A53825">
                  <w:rPr>
                    <w:rFonts w:cs="Arial"/>
                    <w:sz w:val="18"/>
                    <w:szCs w:val="18"/>
                  </w:rPr>
                  <w:t>France</w:t>
                </w:r>
              </w:smartTag>
            </w:smartTag>
            <w:r w:rsidRPr="00A53825">
              <w:rPr>
                <w:rFonts w:cs="Arial"/>
                <w:sz w:val="18"/>
                <w:szCs w:val="18"/>
              </w:rPr>
              <w:t xml:space="preserve"> with high rat activity.  Bait stations contained </w:t>
            </w:r>
            <w:smartTag w:uri="urn:schemas-microsoft-com:office:smarttags" w:element="metricconverter">
              <w:smartTagPr>
                <w:attr w:name="ProductID" w:val="150 g"/>
              </w:smartTagPr>
              <w:r w:rsidRPr="00A53825">
                <w:rPr>
                  <w:rFonts w:cs="Arial"/>
                  <w:sz w:val="18"/>
                  <w:szCs w:val="18"/>
                </w:rPr>
                <w:t>150 g</w:t>
              </w:r>
            </w:smartTag>
            <w:r w:rsidRPr="00A53825">
              <w:rPr>
                <w:rFonts w:cs="Arial"/>
                <w:sz w:val="18"/>
                <w:szCs w:val="18"/>
              </w:rPr>
              <w:t xml:space="preserve"> at 10 to 17 locations across the test sites and were positioned 2-</w:t>
            </w:r>
            <w:smartTag w:uri="urn:schemas-microsoft-com:office:smarttags" w:element="metricconverter">
              <w:smartTagPr>
                <w:attr w:name="ProductID" w:val="15 metres"/>
              </w:smartTagPr>
              <w:r w:rsidRPr="00A53825">
                <w:rPr>
                  <w:rFonts w:cs="Arial"/>
                  <w:sz w:val="18"/>
                  <w:szCs w:val="18"/>
                </w:rPr>
                <w:t>15 metres</w:t>
              </w:r>
            </w:smartTag>
            <w:r w:rsidRPr="00A53825">
              <w:rPr>
                <w:rFonts w:cs="Arial"/>
                <w:sz w:val="18"/>
                <w:szCs w:val="18"/>
              </w:rPr>
              <w:t xml:space="preserve"> apart.</w:t>
            </w:r>
            <w:r w:rsidRPr="00A53825">
              <w:rPr>
                <w:rFonts w:cs="Arial"/>
                <w:sz w:val="18"/>
                <w:szCs w:val="18"/>
              </w:rPr>
              <w:br/>
              <w:t>The number of rats calculated on the maximum food intake recorded before treatment was 57 for site 1 and 29 for site 2.</w:t>
            </w:r>
          </w:p>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Assessments were conducted throughout the trial and were done every 1-4 days (every two days in the high consumption period); baits were weighed and replenished, then the amount consumed was calculated.</w:t>
            </w:r>
          </w:p>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The duration of the whole test was approximately 2 months for both sites.</w:t>
            </w:r>
          </w:p>
        </w:tc>
        <w:tc>
          <w:tcPr>
            <w:tcW w:w="318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 xml:space="preserve">Based on consumption estimates the efficacy under field conditions was 100% at each site.  </w:t>
            </w:r>
            <w:r w:rsidRPr="00A53825">
              <w:rPr>
                <w:rFonts w:cs="Arial"/>
                <w:sz w:val="18"/>
                <w:szCs w:val="18"/>
              </w:rPr>
              <w:br/>
              <w:t>At Site 1, 16 dead rats were collected, and 10 rats at Site 2, with the cause of death confirmed as bait consumption with signs of intra-peritoneal bleeding.</w:t>
            </w:r>
            <w:r w:rsidRPr="00A53825">
              <w:rPr>
                <w:rFonts w:cs="Arial"/>
                <w:sz w:val="18"/>
                <w:szCs w:val="18"/>
              </w:rPr>
              <w:br/>
            </w:r>
          </w:p>
        </w:tc>
        <w:tc>
          <w:tcPr>
            <w:tcW w:w="992" w:type="dxa"/>
          </w:tcPr>
          <w:p w:rsidR="00BA7C2C" w:rsidRPr="00A53825" w:rsidRDefault="00BA7C2C" w:rsidP="00613EE2">
            <w:pPr>
              <w:pStyle w:val="Tabellenformat"/>
              <w:spacing w:before="40" w:after="40" w:line="240" w:lineRule="auto"/>
              <w:rPr>
                <w:rFonts w:cs="Arial"/>
                <w:sz w:val="18"/>
                <w:szCs w:val="18"/>
              </w:rPr>
            </w:pPr>
            <w:r w:rsidRPr="00A53825">
              <w:rPr>
                <w:rFonts w:cs="Arial"/>
                <w:sz w:val="18"/>
                <w:szCs w:val="18"/>
              </w:rPr>
              <w:t>IIIB</w:t>
            </w:r>
            <w:r w:rsidRPr="00A53825">
              <w:rPr>
                <w:rFonts w:cs="Arial"/>
                <w:sz w:val="18"/>
                <w:szCs w:val="18"/>
              </w:rPr>
              <w:br/>
              <w:t>5.10.2-06</w:t>
            </w:r>
          </w:p>
        </w:tc>
      </w:tr>
    </w:tbl>
    <w:p w:rsidR="00BA7C2C" w:rsidRDefault="00BA7C2C" w:rsidP="00BA7C2C">
      <w:pPr>
        <w:rPr>
          <w:rFonts w:cs="Arial"/>
        </w:rPr>
      </w:pPr>
      <w:r w:rsidRPr="00184280">
        <w:rPr>
          <w:rFonts w:cs="Arial"/>
        </w:rPr>
        <w:t xml:space="preserve">* Efficacy laboratory study = mean mortality of male and female animals tested (in %); Efficacy of field study = (Ipre-Ipost)/Ipre*100% (Ipre = mean (stabilized) intake in pre-baiting period, Ipost=mean daily intake in post-baiting period); Palatability (=attractivity of the bait) is expressed as the attractivity value calculated as A/(A+B) (A = amount of test bait consumed, B = amount of standard bait consumed).    </w:t>
      </w:r>
    </w:p>
    <w:p w:rsidR="00BA7C2C" w:rsidRDefault="00BA7C2C" w:rsidP="00BA7C2C">
      <w:pPr>
        <w:rPr>
          <w:rFonts w:cs="Arial"/>
        </w:rPr>
      </w:pPr>
    </w:p>
    <w:p w:rsidR="00BA7C2C" w:rsidRPr="00184280" w:rsidRDefault="00BA7C2C" w:rsidP="00BA7C2C">
      <w:pPr>
        <w:rPr>
          <w:rFonts w:cs="Arial"/>
          <w:szCs w:val="22"/>
        </w:rPr>
      </w:pPr>
      <w:r w:rsidRPr="00184280">
        <w:rPr>
          <w:rFonts w:cs="Arial"/>
          <w:szCs w:val="22"/>
          <w:u w:val="single"/>
        </w:rPr>
        <w:t>Lab studies</w:t>
      </w:r>
      <w:r w:rsidRPr="00184280">
        <w:rPr>
          <w:rFonts w:cs="Arial"/>
          <w:szCs w:val="22"/>
        </w:rPr>
        <w:t>:</w:t>
      </w:r>
    </w:p>
    <w:p w:rsidR="00BA7C2C" w:rsidRDefault="00BA7C2C" w:rsidP="00BA7C2C">
      <w:pPr>
        <w:rPr>
          <w:rFonts w:cs="Arial"/>
          <w:szCs w:val="22"/>
        </w:rPr>
      </w:pPr>
      <w:r>
        <w:rPr>
          <w:rFonts w:cs="Arial"/>
          <w:szCs w:val="22"/>
        </w:rPr>
        <w:t>E</w:t>
      </w:r>
      <w:r w:rsidRPr="005474F7">
        <w:rPr>
          <w:rFonts w:cs="Arial"/>
          <w:szCs w:val="22"/>
        </w:rPr>
        <w:t xml:space="preserve">fficacy </w:t>
      </w:r>
      <w:r>
        <w:rPr>
          <w:rFonts w:cs="Arial"/>
          <w:szCs w:val="22"/>
        </w:rPr>
        <w:t xml:space="preserve">against </w:t>
      </w:r>
      <w:r w:rsidRPr="00184280">
        <w:rPr>
          <w:rFonts w:cs="Arial"/>
          <w:i/>
          <w:szCs w:val="22"/>
        </w:rPr>
        <w:t>R.</w:t>
      </w:r>
      <w:r w:rsidRPr="00184280">
        <w:rPr>
          <w:rFonts w:cs="Arial"/>
        </w:rPr>
        <w:t> </w:t>
      </w:r>
      <w:r w:rsidRPr="00184280">
        <w:rPr>
          <w:rFonts w:cs="Arial"/>
          <w:i/>
          <w:szCs w:val="22"/>
        </w:rPr>
        <w:t xml:space="preserve">norvegicus </w:t>
      </w:r>
      <w:r w:rsidRPr="00184280">
        <w:rPr>
          <w:rFonts w:cs="Arial"/>
          <w:szCs w:val="22"/>
        </w:rPr>
        <w:t>and</w:t>
      </w:r>
      <w:r w:rsidRPr="00184280">
        <w:rPr>
          <w:rFonts w:cs="Arial"/>
          <w:i/>
          <w:szCs w:val="22"/>
        </w:rPr>
        <w:t xml:space="preserve"> M.</w:t>
      </w:r>
      <w:r w:rsidRPr="00184280">
        <w:rPr>
          <w:rFonts w:cs="Arial"/>
        </w:rPr>
        <w:t> </w:t>
      </w:r>
      <w:r w:rsidRPr="00184280">
        <w:rPr>
          <w:rFonts w:cs="Arial"/>
          <w:i/>
          <w:szCs w:val="22"/>
        </w:rPr>
        <w:t>musculus</w:t>
      </w:r>
      <w:r w:rsidRPr="003F0FF8">
        <w:rPr>
          <w:rFonts w:cs="Arial"/>
          <w:szCs w:val="22"/>
        </w:rPr>
        <w:t xml:space="preserve"> </w:t>
      </w:r>
      <w:r w:rsidRPr="005474F7">
        <w:rPr>
          <w:rFonts w:cs="Arial"/>
          <w:szCs w:val="22"/>
        </w:rPr>
        <w:t xml:space="preserve">has been sufficiently demonstrated </w:t>
      </w:r>
      <w:r>
        <w:rPr>
          <w:rFonts w:cs="Arial"/>
          <w:szCs w:val="22"/>
        </w:rPr>
        <w:t>in test with the product (</w:t>
      </w:r>
      <w:r w:rsidRPr="00184280">
        <w:rPr>
          <w:rFonts w:cs="Arial"/>
          <w:szCs w:val="22"/>
        </w:rPr>
        <w:t>Red paste F01153</w:t>
      </w:r>
      <w:r>
        <w:rPr>
          <w:rFonts w:cs="Arial"/>
          <w:szCs w:val="22"/>
        </w:rPr>
        <w:t>) and a similar product (</w:t>
      </w:r>
      <w:r w:rsidRPr="00184280">
        <w:rPr>
          <w:rFonts w:cs="Arial"/>
          <w:szCs w:val="22"/>
        </w:rPr>
        <w:t>Red paste LR0265</w:t>
      </w:r>
      <w:r>
        <w:rPr>
          <w:rFonts w:cs="Arial"/>
          <w:szCs w:val="22"/>
        </w:rPr>
        <w:t>).</w:t>
      </w:r>
      <w:r w:rsidRPr="00184280">
        <w:rPr>
          <w:rFonts w:cs="Arial"/>
          <w:szCs w:val="22"/>
        </w:rPr>
        <w:t xml:space="preserve"> Since </w:t>
      </w:r>
      <w:r w:rsidRPr="00184280">
        <w:rPr>
          <w:rFonts w:cs="Arial"/>
          <w:i/>
          <w:szCs w:val="22"/>
        </w:rPr>
        <w:t>R.</w:t>
      </w:r>
      <w:r w:rsidRPr="00184280">
        <w:rPr>
          <w:rFonts w:cs="Arial"/>
        </w:rPr>
        <w:t> </w:t>
      </w:r>
      <w:r w:rsidRPr="00184280">
        <w:rPr>
          <w:rFonts w:cs="Arial"/>
          <w:i/>
          <w:szCs w:val="22"/>
        </w:rPr>
        <w:t xml:space="preserve">norvegicus </w:t>
      </w:r>
      <w:r w:rsidRPr="00184280">
        <w:rPr>
          <w:rFonts w:cs="Arial"/>
          <w:szCs w:val="22"/>
        </w:rPr>
        <w:t>and</w:t>
      </w:r>
      <w:r w:rsidRPr="00184280">
        <w:rPr>
          <w:rFonts w:cs="Arial"/>
          <w:i/>
          <w:szCs w:val="22"/>
        </w:rPr>
        <w:t xml:space="preserve"> M.</w:t>
      </w:r>
      <w:r w:rsidRPr="00184280">
        <w:rPr>
          <w:rFonts w:cs="Arial"/>
        </w:rPr>
        <w:t> </w:t>
      </w:r>
      <w:r w:rsidRPr="00184280">
        <w:rPr>
          <w:rFonts w:cs="Arial"/>
          <w:i/>
          <w:szCs w:val="22"/>
        </w:rPr>
        <w:t>musculus</w:t>
      </w:r>
      <w:r w:rsidRPr="00184280">
        <w:rPr>
          <w:rFonts w:cs="Arial"/>
          <w:szCs w:val="22"/>
        </w:rPr>
        <w:t xml:space="preserve"> wild strains are tested with Red paste LR0265 and </w:t>
      </w:r>
      <w:r w:rsidRPr="00184280">
        <w:rPr>
          <w:rFonts w:cs="Arial"/>
          <w:i/>
          <w:szCs w:val="22"/>
        </w:rPr>
        <w:t>R.</w:t>
      </w:r>
      <w:r w:rsidRPr="00184280">
        <w:rPr>
          <w:rFonts w:cs="Arial"/>
        </w:rPr>
        <w:t> </w:t>
      </w:r>
      <w:r w:rsidRPr="00184280">
        <w:rPr>
          <w:rFonts w:cs="Arial"/>
          <w:i/>
          <w:szCs w:val="22"/>
        </w:rPr>
        <w:t xml:space="preserve">norvegicus </w:t>
      </w:r>
      <w:r w:rsidRPr="00184280">
        <w:rPr>
          <w:rFonts w:cs="Arial"/>
          <w:szCs w:val="22"/>
        </w:rPr>
        <w:t>and</w:t>
      </w:r>
      <w:r w:rsidRPr="00184280">
        <w:rPr>
          <w:rFonts w:cs="Arial"/>
          <w:i/>
          <w:szCs w:val="22"/>
        </w:rPr>
        <w:t xml:space="preserve"> M.</w:t>
      </w:r>
      <w:r w:rsidRPr="00184280">
        <w:rPr>
          <w:rFonts w:cs="Arial"/>
        </w:rPr>
        <w:t> </w:t>
      </w:r>
      <w:r w:rsidRPr="00184280">
        <w:rPr>
          <w:rFonts w:cs="Arial"/>
          <w:i/>
          <w:szCs w:val="22"/>
        </w:rPr>
        <w:t>musculus</w:t>
      </w:r>
      <w:r w:rsidRPr="00184280">
        <w:rPr>
          <w:rFonts w:cs="Arial"/>
          <w:szCs w:val="22"/>
        </w:rPr>
        <w:t xml:space="preserve"> warfarin-resistant strains were tested with Red paste F01153 and both gave good results, it can be concluded that there is no significant difference in palatability between the two bait formulations. </w:t>
      </w:r>
    </w:p>
    <w:p w:rsidR="00BA7C2C" w:rsidRDefault="00BA7C2C" w:rsidP="00BA7C2C">
      <w:pPr>
        <w:rPr>
          <w:rFonts w:cs="Arial"/>
          <w:szCs w:val="22"/>
        </w:rPr>
      </w:pPr>
      <w:r>
        <w:rPr>
          <w:rFonts w:cs="Arial"/>
          <w:szCs w:val="22"/>
        </w:rPr>
        <w:t>E</w:t>
      </w:r>
      <w:r w:rsidRPr="005474F7">
        <w:rPr>
          <w:rFonts w:cs="Arial"/>
          <w:szCs w:val="22"/>
        </w:rPr>
        <w:t xml:space="preserve">fficacy of the product in </w:t>
      </w:r>
      <w:r>
        <w:rPr>
          <w:rFonts w:cs="Arial"/>
          <w:szCs w:val="22"/>
        </w:rPr>
        <w:t>lab</w:t>
      </w:r>
      <w:r w:rsidRPr="005474F7">
        <w:rPr>
          <w:rFonts w:cs="Arial"/>
          <w:szCs w:val="22"/>
        </w:rPr>
        <w:t xml:space="preserve"> tests has been sufficiently demonstrated for </w:t>
      </w:r>
      <w:r w:rsidRPr="005474F7">
        <w:rPr>
          <w:rFonts w:cs="Arial"/>
          <w:i/>
          <w:szCs w:val="22"/>
        </w:rPr>
        <w:t>R. rattus</w:t>
      </w:r>
      <w:r w:rsidRPr="005474F7">
        <w:rPr>
          <w:rFonts w:cs="Arial"/>
          <w:szCs w:val="22"/>
        </w:rPr>
        <w:t xml:space="preserve"> (</w:t>
      </w:r>
      <w:r>
        <w:rPr>
          <w:rFonts w:cs="Arial"/>
          <w:szCs w:val="22"/>
        </w:rPr>
        <w:t>9</w:t>
      </w:r>
      <w:r w:rsidRPr="005474F7">
        <w:rPr>
          <w:rFonts w:cs="Arial"/>
          <w:szCs w:val="22"/>
        </w:rPr>
        <w:t>0% efficacy).</w:t>
      </w:r>
      <w:r>
        <w:rPr>
          <w:rFonts w:cs="Arial"/>
          <w:szCs w:val="22"/>
        </w:rPr>
        <w:t xml:space="preserve"> </w:t>
      </w:r>
    </w:p>
    <w:p w:rsidR="00BA7C2C" w:rsidRPr="00184280" w:rsidRDefault="00BA7C2C" w:rsidP="00BA7C2C">
      <w:pPr>
        <w:rPr>
          <w:rFonts w:cs="Arial"/>
          <w:szCs w:val="22"/>
        </w:rPr>
      </w:pPr>
      <w:r w:rsidRPr="00184280">
        <w:rPr>
          <w:rFonts w:cs="Arial"/>
          <w:szCs w:val="22"/>
        </w:rPr>
        <w:t xml:space="preserve">Therefore </w:t>
      </w:r>
      <w:r>
        <w:rPr>
          <w:rFonts w:cs="Arial"/>
          <w:szCs w:val="22"/>
        </w:rPr>
        <w:t xml:space="preserve">it can be concluded that </w:t>
      </w:r>
      <w:r w:rsidRPr="00184280">
        <w:rPr>
          <w:rFonts w:cs="Arial"/>
          <w:szCs w:val="22"/>
        </w:rPr>
        <w:t xml:space="preserve">efficacy has been sufficiently demonstrated in laboratory mortality and palatability tests for all target organisms, both wild strain and warfarine resistant strains. The studies show that the palatability of the product is still sufficient after a storage period of 32 months. </w:t>
      </w:r>
    </w:p>
    <w:p w:rsidR="00BA7C2C" w:rsidRDefault="00BA7C2C" w:rsidP="00BA7C2C">
      <w:pPr>
        <w:rPr>
          <w:rFonts w:cs="Arial"/>
          <w:szCs w:val="22"/>
          <w:u w:val="single"/>
        </w:rPr>
      </w:pPr>
    </w:p>
    <w:p w:rsidR="00BA7C2C" w:rsidRPr="00184280" w:rsidRDefault="00BA7C2C" w:rsidP="00BA7C2C">
      <w:pPr>
        <w:rPr>
          <w:rFonts w:cs="Arial"/>
          <w:szCs w:val="22"/>
        </w:rPr>
      </w:pPr>
      <w:r w:rsidRPr="00184280">
        <w:rPr>
          <w:rFonts w:cs="Arial"/>
          <w:szCs w:val="22"/>
          <w:u w:val="single"/>
        </w:rPr>
        <w:t>Field studies</w:t>
      </w:r>
      <w:r w:rsidRPr="00184280">
        <w:rPr>
          <w:rFonts w:cs="Arial"/>
          <w:szCs w:val="22"/>
        </w:rPr>
        <w:t xml:space="preserve">:  </w:t>
      </w:r>
    </w:p>
    <w:p w:rsidR="00BA7C2C" w:rsidRDefault="00BA7C2C" w:rsidP="00BA7C2C">
      <w:pPr>
        <w:pStyle w:val="tekst1"/>
        <w:ind w:left="0"/>
        <w:rPr>
          <w:rFonts w:cs="Arial"/>
          <w:i/>
          <w:szCs w:val="22"/>
          <w:lang w:val="en-GB"/>
        </w:rPr>
      </w:pPr>
      <w:r w:rsidRPr="00184280">
        <w:rPr>
          <w:rFonts w:cs="Arial"/>
          <w:szCs w:val="22"/>
          <w:lang w:val="en-GB"/>
        </w:rPr>
        <w:t xml:space="preserve">Efficacy of the product in field tests has been sufficiently demonstrated for </w:t>
      </w:r>
      <w:r w:rsidRPr="00184280">
        <w:rPr>
          <w:rFonts w:cs="Arial"/>
          <w:i/>
          <w:szCs w:val="22"/>
          <w:lang w:val="en-GB"/>
        </w:rPr>
        <w:t xml:space="preserve">R. rattus </w:t>
      </w:r>
      <w:r w:rsidRPr="00184280">
        <w:rPr>
          <w:rFonts w:cs="Arial"/>
          <w:szCs w:val="22"/>
          <w:lang w:val="en-GB"/>
        </w:rPr>
        <w:t>(100% efficacy)</w:t>
      </w:r>
      <w:r w:rsidRPr="00184280">
        <w:rPr>
          <w:rFonts w:cs="Arial"/>
          <w:i/>
          <w:szCs w:val="22"/>
          <w:lang w:val="en-GB"/>
        </w:rPr>
        <w:t xml:space="preserve">. </w:t>
      </w:r>
    </w:p>
    <w:p w:rsidR="00BA7C2C" w:rsidRDefault="00BA7C2C" w:rsidP="00BA7C2C">
      <w:pPr>
        <w:pStyle w:val="tekst1"/>
        <w:ind w:left="0"/>
        <w:rPr>
          <w:rFonts w:cs="Arial"/>
          <w:szCs w:val="22"/>
          <w:lang w:val="en-GB"/>
        </w:rPr>
      </w:pPr>
      <w:r w:rsidRPr="00184280">
        <w:rPr>
          <w:rFonts w:cs="Arial"/>
          <w:szCs w:val="22"/>
          <w:lang w:val="en-GB"/>
        </w:rPr>
        <w:lastRenderedPageBreak/>
        <w:t xml:space="preserve">For </w:t>
      </w:r>
      <w:r w:rsidRPr="00184280">
        <w:rPr>
          <w:rFonts w:cs="Arial"/>
          <w:i/>
          <w:szCs w:val="22"/>
          <w:lang w:val="en-GB"/>
        </w:rPr>
        <w:t>M.</w:t>
      </w:r>
      <w:r w:rsidRPr="00184280">
        <w:rPr>
          <w:rFonts w:cs="Arial"/>
          <w:szCs w:val="22"/>
          <w:lang w:val="en-GB"/>
        </w:rPr>
        <w:t> </w:t>
      </w:r>
      <w:r w:rsidRPr="00184280">
        <w:rPr>
          <w:rFonts w:cs="Arial"/>
          <w:i/>
          <w:szCs w:val="22"/>
          <w:lang w:val="en-GB"/>
        </w:rPr>
        <w:t>musculus</w:t>
      </w:r>
      <w:r>
        <w:rPr>
          <w:rFonts w:cs="Arial"/>
          <w:i/>
          <w:szCs w:val="22"/>
          <w:lang w:val="en-GB"/>
        </w:rPr>
        <w:t>,</w:t>
      </w:r>
      <w:r w:rsidRPr="00184280">
        <w:rPr>
          <w:rFonts w:cs="Arial"/>
          <w:i/>
          <w:szCs w:val="22"/>
          <w:lang w:val="en-GB"/>
        </w:rPr>
        <w:t xml:space="preserve"> </w:t>
      </w:r>
      <w:r w:rsidRPr="00184280">
        <w:rPr>
          <w:rFonts w:cs="Arial"/>
          <w:szCs w:val="22"/>
          <w:lang w:val="en-GB"/>
        </w:rPr>
        <w:t>efficacy</w:t>
      </w:r>
      <w:r>
        <w:rPr>
          <w:rFonts w:cs="Arial"/>
          <w:szCs w:val="22"/>
          <w:lang w:val="en-GB"/>
        </w:rPr>
        <w:t xml:space="preserve"> of </w:t>
      </w:r>
      <w:r w:rsidRPr="00D015CB">
        <w:rPr>
          <w:rFonts w:cs="Arial"/>
          <w:szCs w:val="22"/>
          <w:lang w:val="en-GB"/>
        </w:rPr>
        <w:t>Red paste F01153</w:t>
      </w:r>
      <w:r w:rsidRPr="00184280">
        <w:rPr>
          <w:rFonts w:cs="Arial"/>
          <w:szCs w:val="22"/>
          <w:lang w:val="en-GB"/>
        </w:rPr>
        <w:t xml:space="preserve"> in the field could not be calculated due to the missing post baiting period. However, given the strong decrease in consumption to 0 at the end of the trial and the high number of mice found dead</w:t>
      </w:r>
      <w:r>
        <w:rPr>
          <w:rFonts w:cs="Arial"/>
          <w:szCs w:val="22"/>
          <w:lang w:val="en-GB"/>
        </w:rPr>
        <w:t xml:space="preserve"> (comparable or even higher numbers than in the field study on w</w:t>
      </w:r>
      <w:r w:rsidRPr="00D015CB">
        <w:rPr>
          <w:rFonts w:cs="Arial"/>
          <w:szCs w:val="22"/>
          <w:lang w:val="en-GB"/>
        </w:rPr>
        <w:t>heat rodenticide</w:t>
      </w:r>
      <w:r>
        <w:rPr>
          <w:rFonts w:cs="Arial"/>
          <w:szCs w:val="22"/>
          <w:lang w:val="en-GB"/>
        </w:rPr>
        <w:t xml:space="preserve"> </w:t>
      </w:r>
      <w:r w:rsidRPr="00D015CB">
        <w:rPr>
          <w:rFonts w:cs="Arial"/>
          <w:szCs w:val="22"/>
          <w:lang w:val="en-GB"/>
        </w:rPr>
        <w:t>LR0234</w:t>
      </w:r>
      <w:r w:rsidRPr="00184280">
        <w:rPr>
          <w:rFonts w:cs="Arial"/>
          <w:szCs w:val="22"/>
          <w:lang w:val="en-GB"/>
        </w:rPr>
        <w:t>,</w:t>
      </w:r>
      <w:r>
        <w:rPr>
          <w:rFonts w:cs="Arial"/>
          <w:szCs w:val="22"/>
          <w:lang w:val="en-GB"/>
        </w:rPr>
        <w:t xml:space="preserve"> which included a post baiting period),</w:t>
      </w:r>
      <w:r w:rsidRPr="00184280">
        <w:rPr>
          <w:rFonts w:cs="Arial"/>
          <w:szCs w:val="22"/>
          <w:lang w:val="en-GB"/>
        </w:rPr>
        <w:t xml:space="preserve"> efficacy </w:t>
      </w:r>
      <w:r>
        <w:rPr>
          <w:rFonts w:cs="Arial"/>
          <w:szCs w:val="22"/>
          <w:lang w:val="en-GB"/>
        </w:rPr>
        <w:t xml:space="preserve">in the field </w:t>
      </w:r>
      <w:r w:rsidRPr="00184280">
        <w:rPr>
          <w:rFonts w:cs="Arial"/>
          <w:szCs w:val="22"/>
          <w:lang w:val="en-GB"/>
        </w:rPr>
        <w:t xml:space="preserve">is sufficiently shown </w:t>
      </w:r>
      <w:r>
        <w:rPr>
          <w:rFonts w:cs="Arial"/>
          <w:szCs w:val="22"/>
          <w:lang w:val="en-GB"/>
        </w:rPr>
        <w:t xml:space="preserve">for </w:t>
      </w:r>
      <w:r w:rsidRPr="00184280">
        <w:rPr>
          <w:rFonts w:cs="Arial"/>
          <w:i/>
          <w:szCs w:val="22"/>
          <w:lang w:val="en-GB"/>
        </w:rPr>
        <w:t>M.</w:t>
      </w:r>
      <w:r w:rsidRPr="00184280">
        <w:rPr>
          <w:rFonts w:cs="Arial"/>
          <w:szCs w:val="22"/>
          <w:lang w:val="en-GB"/>
        </w:rPr>
        <w:t> </w:t>
      </w:r>
      <w:r w:rsidRPr="00184280">
        <w:rPr>
          <w:rFonts w:cs="Arial"/>
          <w:i/>
          <w:szCs w:val="22"/>
          <w:lang w:val="en-GB"/>
        </w:rPr>
        <w:t>musculus</w:t>
      </w:r>
      <w:r w:rsidRPr="00184280">
        <w:rPr>
          <w:rFonts w:cs="Arial"/>
          <w:szCs w:val="22"/>
          <w:lang w:val="en-GB"/>
        </w:rPr>
        <w:t>.</w:t>
      </w:r>
      <w:r>
        <w:rPr>
          <w:rFonts w:cs="Arial"/>
          <w:szCs w:val="22"/>
          <w:lang w:val="en-GB"/>
        </w:rPr>
        <w:t xml:space="preserve"> </w:t>
      </w:r>
      <w:r w:rsidRPr="00184280">
        <w:rPr>
          <w:rFonts w:cs="Arial"/>
          <w:szCs w:val="22"/>
          <w:lang w:val="en-GB"/>
        </w:rPr>
        <w:t xml:space="preserve">  </w:t>
      </w:r>
    </w:p>
    <w:p w:rsidR="00BA7C2C" w:rsidRPr="004F39D4" w:rsidRDefault="00BA7C2C" w:rsidP="00BA7C2C">
      <w:pPr>
        <w:pStyle w:val="tekst1"/>
        <w:ind w:left="0"/>
        <w:rPr>
          <w:lang w:val="en-GB"/>
        </w:rPr>
      </w:pPr>
      <w:r w:rsidRPr="00184280">
        <w:rPr>
          <w:rFonts w:cs="Arial"/>
          <w:szCs w:val="22"/>
          <w:lang w:val="en-GB"/>
        </w:rPr>
        <w:t xml:space="preserve">For </w:t>
      </w:r>
      <w:r w:rsidRPr="00184280">
        <w:rPr>
          <w:rFonts w:cs="Arial"/>
          <w:i/>
          <w:szCs w:val="22"/>
          <w:lang w:val="en-GB"/>
        </w:rPr>
        <w:t>R.</w:t>
      </w:r>
      <w:r w:rsidRPr="00184280">
        <w:rPr>
          <w:rFonts w:cs="Arial"/>
          <w:szCs w:val="22"/>
          <w:lang w:val="en-GB"/>
        </w:rPr>
        <w:t> </w:t>
      </w:r>
      <w:r w:rsidRPr="00184280">
        <w:rPr>
          <w:rFonts w:cs="Arial"/>
          <w:i/>
          <w:szCs w:val="22"/>
          <w:lang w:val="en-GB"/>
        </w:rPr>
        <w:t xml:space="preserve">norvegicus </w:t>
      </w:r>
      <w:r w:rsidRPr="00E00650">
        <w:rPr>
          <w:rFonts w:cs="Arial"/>
          <w:szCs w:val="22"/>
          <w:lang w:val="en-GB"/>
        </w:rPr>
        <w:t xml:space="preserve">two </w:t>
      </w:r>
      <w:r w:rsidRPr="00184280">
        <w:rPr>
          <w:rFonts w:cs="Arial"/>
          <w:szCs w:val="22"/>
          <w:lang w:val="en-GB"/>
        </w:rPr>
        <w:t>field test with another product</w:t>
      </w:r>
      <w:r w:rsidRPr="00E00650">
        <w:rPr>
          <w:rFonts w:cs="Arial"/>
          <w:szCs w:val="22"/>
          <w:lang w:val="en-GB"/>
        </w:rPr>
        <w:t xml:space="preserve"> </w:t>
      </w:r>
      <w:r w:rsidRPr="00184280">
        <w:rPr>
          <w:rFonts w:cs="Arial"/>
          <w:szCs w:val="22"/>
          <w:lang w:val="en-GB"/>
        </w:rPr>
        <w:t>have been provided</w:t>
      </w:r>
      <w:r>
        <w:rPr>
          <w:rFonts w:cs="Arial"/>
          <w:szCs w:val="22"/>
          <w:lang w:val="en-GB"/>
        </w:rPr>
        <w:t>:</w:t>
      </w:r>
      <w:r w:rsidRPr="00184280">
        <w:rPr>
          <w:rFonts w:cs="Arial"/>
          <w:szCs w:val="22"/>
          <w:lang w:val="en-GB"/>
        </w:rPr>
        <w:t xml:space="preserve"> </w:t>
      </w:r>
      <w:r>
        <w:rPr>
          <w:rFonts w:cs="Arial"/>
          <w:szCs w:val="22"/>
          <w:lang w:val="en-GB"/>
        </w:rPr>
        <w:t>blue</w:t>
      </w:r>
      <w:r w:rsidRPr="00184280">
        <w:rPr>
          <w:rFonts w:cs="Arial"/>
          <w:szCs w:val="22"/>
          <w:lang w:val="en-GB"/>
        </w:rPr>
        <w:t xml:space="preserve"> paste F00060 with active difethialon </w:t>
      </w:r>
      <w:r>
        <w:rPr>
          <w:rFonts w:cs="Arial"/>
          <w:szCs w:val="22"/>
          <w:lang w:val="en-GB"/>
        </w:rPr>
        <w:t>(</w:t>
      </w:r>
      <w:r w:rsidRPr="00184280">
        <w:rPr>
          <w:rFonts w:cs="Arial"/>
          <w:szCs w:val="22"/>
          <w:lang w:val="en-GB"/>
        </w:rPr>
        <w:t>25mg/kg), but similar bait (paste in sachets)</w:t>
      </w:r>
      <w:r>
        <w:rPr>
          <w:rFonts w:cs="Arial"/>
          <w:szCs w:val="22"/>
          <w:lang w:val="en-GB"/>
        </w:rPr>
        <w:t xml:space="preserve"> and oat </w:t>
      </w:r>
      <w:r w:rsidRPr="00FD423C">
        <w:rPr>
          <w:rFonts w:cs="Arial"/>
          <w:szCs w:val="22"/>
          <w:lang w:val="en-GB"/>
        </w:rPr>
        <w:t>rodenticide</w:t>
      </w:r>
      <w:r>
        <w:rPr>
          <w:rFonts w:cs="Arial"/>
          <w:szCs w:val="22"/>
          <w:lang w:val="en-GB"/>
        </w:rPr>
        <w:t xml:space="preserve"> </w:t>
      </w:r>
      <w:r w:rsidRPr="00FD423C">
        <w:rPr>
          <w:rFonts w:cs="Arial"/>
          <w:szCs w:val="22"/>
          <w:lang w:val="en-GB"/>
        </w:rPr>
        <w:t>LR02</w:t>
      </w:r>
      <w:r>
        <w:rPr>
          <w:rFonts w:cs="Arial"/>
          <w:szCs w:val="22"/>
          <w:lang w:val="en-GB"/>
        </w:rPr>
        <w:t xml:space="preserve">16 with similar active bromadiolone (50mg/kg), but different bait (grain). </w:t>
      </w:r>
      <w:r w:rsidRPr="00184280">
        <w:rPr>
          <w:rFonts w:cs="Arial"/>
          <w:szCs w:val="22"/>
          <w:lang w:val="en-GB"/>
        </w:rPr>
        <w:t>The results of th</w:t>
      </w:r>
      <w:r>
        <w:rPr>
          <w:rFonts w:cs="Arial"/>
          <w:szCs w:val="22"/>
          <w:lang w:val="en-GB"/>
        </w:rPr>
        <w:t xml:space="preserve">e field </w:t>
      </w:r>
      <w:r w:rsidRPr="00184280">
        <w:rPr>
          <w:rFonts w:cs="Arial"/>
          <w:szCs w:val="22"/>
          <w:lang w:val="en-GB"/>
        </w:rPr>
        <w:t xml:space="preserve">study </w:t>
      </w:r>
      <w:r>
        <w:rPr>
          <w:rFonts w:cs="Arial"/>
          <w:szCs w:val="22"/>
          <w:lang w:val="en-GB"/>
        </w:rPr>
        <w:t xml:space="preserve">with </w:t>
      </w:r>
      <w:r w:rsidRPr="00184280">
        <w:rPr>
          <w:rFonts w:cs="Arial"/>
          <w:szCs w:val="22"/>
          <w:lang w:val="en-GB"/>
        </w:rPr>
        <w:t>F00060</w:t>
      </w:r>
      <w:r>
        <w:rPr>
          <w:rFonts w:cs="Arial"/>
          <w:szCs w:val="22"/>
          <w:lang w:val="en-GB"/>
        </w:rPr>
        <w:t xml:space="preserve"> </w:t>
      </w:r>
      <w:r w:rsidRPr="00184280">
        <w:rPr>
          <w:rFonts w:cs="Arial"/>
          <w:szCs w:val="22"/>
          <w:lang w:val="en-GB"/>
        </w:rPr>
        <w:t xml:space="preserve">show that </w:t>
      </w:r>
      <w:r w:rsidRPr="00184280">
        <w:rPr>
          <w:rFonts w:cs="Arial"/>
          <w:i/>
          <w:szCs w:val="22"/>
          <w:lang w:val="en-GB"/>
        </w:rPr>
        <w:t>R.</w:t>
      </w:r>
      <w:r w:rsidRPr="00184280">
        <w:rPr>
          <w:rFonts w:cs="Arial"/>
          <w:szCs w:val="22"/>
          <w:lang w:val="en-GB"/>
        </w:rPr>
        <w:t> </w:t>
      </w:r>
      <w:r w:rsidRPr="00184280">
        <w:rPr>
          <w:rFonts w:cs="Arial"/>
          <w:i/>
          <w:szCs w:val="22"/>
          <w:lang w:val="en-GB"/>
        </w:rPr>
        <w:t>norvegicus</w:t>
      </w:r>
      <w:r w:rsidRPr="00184280">
        <w:rPr>
          <w:rFonts w:cs="Arial"/>
          <w:szCs w:val="22"/>
          <w:lang w:val="en-GB"/>
        </w:rPr>
        <w:t xml:space="preserve"> can open and have access to this type of bait (gel in sachets) and are sufficiently attracted to this bait under field conditions. Furthermore, this product has a high efficacy (97.5%-99.7%) with the active substance difethialon. </w:t>
      </w:r>
      <w:r>
        <w:rPr>
          <w:rFonts w:cs="Arial"/>
          <w:szCs w:val="22"/>
          <w:lang w:val="en-GB"/>
        </w:rPr>
        <w:t xml:space="preserve">Results of the field </w:t>
      </w:r>
      <w:r w:rsidRPr="00184280">
        <w:rPr>
          <w:rFonts w:cs="Arial"/>
          <w:szCs w:val="22"/>
          <w:lang w:val="en-GB"/>
        </w:rPr>
        <w:t xml:space="preserve">study </w:t>
      </w:r>
      <w:r>
        <w:rPr>
          <w:rFonts w:cs="Arial"/>
          <w:szCs w:val="22"/>
          <w:lang w:val="en-GB"/>
        </w:rPr>
        <w:t xml:space="preserve">with </w:t>
      </w:r>
      <w:r w:rsidRPr="00FD423C">
        <w:rPr>
          <w:rFonts w:cs="Arial"/>
          <w:szCs w:val="22"/>
          <w:lang w:val="en-GB"/>
        </w:rPr>
        <w:t>LR02</w:t>
      </w:r>
      <w:r>
        <w:rPr>
          <w:rFonts w:cs="Arial"/>
          <w:szCs w:val="22"/>
          <w:lang w:val="en-GB"/>
        </w:rPr>
        <w:t xml:space="preserve">16 show that this product with the active bromadiolone has a high efficacy (100%). Both products have a comparable high efficacy in the field (97.5-100%) based on consumption before and after baiting and comparable percentages of rats are found dead (26/134; 32/154). However, mean daily consumption of the pasta bait (502 and 497g) was somewhat lower than that of the oat bait (548 and 816g). </w:t>
      </w:r>
      <w:r w:rsidRPr="004F39D4">
        <w:rPr>
          <w:lang w:val="en-GB"/>
        </w:rPr>
        <w:t xml:space="preserve">Laboratory studies (free-choice tests) with </w:t>
      </w:r>
      <w:r>
        <w:rPr>
          <w:lang w:val="en-GB"/>
        </w:rPr>
        <w:t xml:space="preserve">pasta </w:t>
      </w:r>
      <w:r w:rsidRPr="004F39D4">
        <w:rPr>
          <w:lang w:val="en-GB"/>
        </w:rPr>
        <w:t xml:space="preserve">products, one with difethialon </w:t>
      </w:r>
      <w:r>
        <w:rPr>
          <w:lang w:val="en-GB"/>
        </w:rPr>
        <w:t>(</w:t>
      </w:r>
      <w:r w:rsidRPr="00443A78">
        <w:rPr>
          <w:rFonts w:cs="Arial"/>
          <w:szCs w:val="22"/>
          <w:lang w:val="en-GB"/>
        </w:rPr>
        <w:t>IIIB</w:t>
      </w:r>
      <w:r>
        <w:rPr>
          <w:rFonts w:cs="Arial"/>
          <w:szCs w:val="22"/>
          <w:lang w:val="en-GB"/>
        </w:rPr>
        <w:t xml:space="preserve"> </w:t>
      </w:r>
      <w:r w:rsidRPr="00014529">
        <w:rPr>
          <w:rFonts w:cs="Arial"/>
          <w:szCs w:val="22"/>
          <w:lang w:val="en-GB"/>
        </w:rPr>
        <w:t>5.10.2-17</w:t>
      </w:r>
      <w:r>
        <w:rPr>
          <w:rFonts w:cs="Arial"/>
          <w:szCs w:val="22"/>
          <w:lang w:val="en-GB"/>
        </w:rPr>
        <w:t xml:space="preserve">) </w:t>
      </w:r>
      <w:r w:rsidRPr="004F39D4">
        <w:rPr>
          <w:lang w:val="en-GB"/>
        </w:rPr>
        <w:t>and one with bromadiolone</w:t>
      </w:r>
      <w:r>
        <w:rPr>
          <w:lang w:val="en-GB"/>
        </w:rPr>
        <w:t xml:space="preserve"> </w:t>
      </w:r>
      <w:r w:rsidRPr="00443A78">
        <w:rPr>
          <w:szCs w:val="22"/>
          <w:lang w:val="en-GB"/>
        </w:rPr>
        <w:t>(</w:t>
      </w:r>
      <w:r w:rsidRPr="006C36D4">
        <w:rPr>
          <w:rFonts w:cs="Arial"/>
          <w:szCs w:val="22"/>
          <w:lang w:val="en-GB"/>
        </w:rPr>
        <w:t>IIIB 5.10.2-1)</w:t>
      </w:r>
      <w:r w:rsidRPr="006C36D4">
        <w:rPr>
          <w:szCs w:val="22"/>
          <w:lang w:val="en-GB"/>
        </w:rPr>
        <w:t>,</w:t>
      </w:r>
      <w:r w:rsidRPr="00443A78">
        <w:rPr>
          <w:szCs w:val="22"/>
          <w:lang w:val="en-GB"/>
        </w:rPr>
        <w:t xml:space="preserve"> </w:t>
      </w:r>
      <w:r w:rsidRPr="004F39D4">
        <w:rPr>
          <w:lang w:val="en-GB"/>
        </w:rPr>
        <w:t xml:space="preserve">can be used as bridging study. These laboratory studies show a mean consumption rate of 45.18g/kg body weight (difethialon) and 31.6 g/kg body weight (bromadiolone) and 100% mortality. Since a lower amount of bait with bromadiolone already gives the same mortality as a slightly higher amount of bait with difethialon, we assume that </w:t>
      </w:r>
      <w:r>
        <w:rPr>
          <w:lang w:val="en-GB"/>
        </w:rPr>
        <w:t xml:space="preserve">the field studies are </w:t>
      </w:r>
      <w:r w:rsidRPr="004F39D4">
        <w:rPr>
          <w:lang w:val="en-GB"/>
        </w:rPr>
        <w:t xml:space="preserve">representative for the efficacy of MAKI PAT’. </w:t>
      </w:r>
    </w:p>
    <w:p w:rsidR="00BA7C2C" w:rsidRDefault="00BA7C2C" w:rsidP="00BA7C2C">
      <w:pPr>
        <w:pStyle w:val="tekst1"/>
        <w:ind w:left="0"/>
        <w:rPr>
          <w:rFonts w:cs="Arial"/>
          <w:szCs w:val="22"/>
          <w:lang w:val="en-GB"/>
        </w:rPr>
      </w:pPr>
    </w:p>
    <w:p w:rsidR="00BA7C2C" w:rsidRPr="00A25D13" w:rsidRDefault="00BA7C2C" w:rsidP="00BA7C2C">
      <w:pPr>
        <w:pStyle w:val="tekst1"/>
        <w:ind w:left="0"/>
        <w:rPr>
          <w:rFonts w:cs="Arial"/>
          <w:szCs w:val="22"/>
          <w:highlight w:val="yellow"/>
          <w:lang w:val="en-GB" w:eastAsia="sv-SE"/>
        </w:rPr>
      </w:pPr>
      <w:r w:rsidRPr="00184280">
        <w:rPr>
          <w:rFonts w:cs="Arial"/>
          <w:szCs w:val="22"/>
          <w:lang w:val="en-GB"/>
        </w:rPr>
        <w:t>It is therefore concluded that efficacy has been sufficiently demonstrated for all target organisms</w:t>
      </w:r>
      <w:r w:rsidRPr="00F17CCE">
        <w:rPr>
          <w:rFonts w:cs="Arial"/>
          <w:szCs w:val="22"/>
          <w:lang w:val="en-GB"/>
        </w:rPr>
        <w:t xml:space="preserve"> </w:t>
      </w:r>
      <w:r>
        <w:rPr>
          <w:rFonts w:cs="Arial"/>
          <w:szCs w:val="22"/>
          <w:lang w:val="en-GB"/>
        </w:rPr>
        <w:t>in the field. Note that efficacy in sewers has not been demonstrated.</w:t>
      </w:r>
      <w:r w:rsidRPr="00184280">
        <w:rPr>
          <w:rFonts w:cs="Arial"/>
          <w:szCs w:val="22"/>
          <w:lang w:val="en-GB"/>
        </w:rPr>
        <w:t xml:space="preserve"> </w:t>
      </w:r>
    </w:p>
    <w:p w:rsidR="00BA7C2C" w:rsidRDefault="00BA7C2C" w:rsidP="00BA7C2C">
      <w:pPr>
        <w:rPr>
          <w:rFonts w:cs="Arial"/>
        </w:rPr>
      </w:pPr>
    </w:p>
    <w:p w:rsidR="00BA7C2C" w:rsidRPr="00715E7A" w:rsidRDefault="00BA7C2C" w:rsidP="00BA7C2C">
      <w:pPr>
        <w:tabs>
          <w:tab w:val="left" w:pos="900"/>
        </w:tabs>
        <w:autoSpaceDE w:val="0"/>
        <w:autoSpaceDN w:val="0"/>
        <w:adjustRightInd w:val="0"/>
        <w:rPr>
          <w:rFonts w:cs="Arial"/>
          <w:b/>
          <w:bCs/>
          <w:szCs w:val="22"/>
        </w:rPr>
      </w:pPr>
      <w:r w:rsidRPr="00715E7A">
        <w:rPr>
          <w:rFonts w:cs="Arial"/>
          <w:b/>
          <w:bCs/>
          <w:szCs w:val="22"/>
        </w:rPr>
        <w:t>2.5.3.1</w:t>
      </w:r>
      <w:r w:rsidRPr="00715E7A">
        <w:rPr>
          <w:rFonts w:cs="Arial"/>
          <w:b/>
          <w:bCs/>
          <w:szCs w:val="22"/>
        </w:rPr>
        <w:tab/>
        <w:t>Dose</w:t>
      </w:r>
    </w:p>
    <w:p w:rsidR="00BA7C2C" w:rsidRPr="00715E7A" w:rsidRDefault="00BA7C2C" w:rsidP="00BA7C2C">
      <w:pPr>
        <w:tabs>
          <w:tab w:val="left" w:pos="900"/>
        </w:tabs>
        <w:autoSpaceDE w:val="0"/>
        <w:autoSpaceDN w:val="0"/>
        <w:adjustRightInd w:val="0"/>
        <w:rPr>
          <w:rFonts w:cs="Arial"/>
        </w:rPr>
      </w:pPr>
      <w:r w:rsidRPr="00715E7A">
        <w:rPr>
          <w:rFonts w:cs="Arial"/>
        </w:rPr>
        <w:t xml:space="preserve">The active substance is incorporated into a paste bait at a concentration of 50 mg/kg and used by both professional and non-professional users. Each sachet contains 10 to </w:t>
      </w:r>
      <w:smartTag w:uri="urn:schemas-microsoft-com:office:smarttags" w:element="metricconverter">
        <w:smartTagPr>
          <w:attr w:name="ProductID" w:val="40 gram"/>
        </w:smartTagPr>
        <w:r w:rsidRPr="00715E7A">
          <w:rPr>
            <w:rFonts w:cs="Arial"/>
          </w:rPr>
          <w:t>40 gram</w:t>
        </w:r>
      </w:smartTag>
      <w:r w:rsidRPr="00715E7A">
        <w:rPr>
          <w:rFonts w:cs="Arial"/>
        </w:rPr>
        <w:t xml:space="preserve"> of product.</w:t>
      </w:r>
      <w:r>
        <w:rPr>
          <w:rFonts w:cs="Arial"/>
        </w:rPr>
        <w:t xml:space="preserve"> A box contains sachets</w:t>
      </w:r>
      <w:r w:rsidRPr="00B468E8">
        <w:rPr>
          <w:rFonts w:cs="Arial"/>
        </w:rPr>
        <w:t xml:space="preserve"> </w:t>
      </w:r>
      <w:r>
        <w:rPr>
          <w:rFonts w:cs="Arial"/>
        </w:rPr>
        <w:t>of one weight.</w:t>
      </w:r>
    </w:p>
    <w:p w:rsidR="00BA7C2C" w:rsidRPr="00715E7A" w:rsidRDefault="00BA7C2C" w:rsidP="00BA7C2C">
      <w:pPr>
        <w:tabs>
          <w:tab w:val="left" w:pos="900"/>
        </w:tabs>
        <w:autoSpaceDE w:val="0"/>
        <w:autoSpaceDN w:val="0"/>
        <w:adjustRightInd w:val="0"/>
        <w:rPr>
          <w:rFonts w:cs="Arial"/>
          <w:szCs w:val="22"/>
        </w:rPr>
      </w:pPr>
    </w:p>
    <w:p w:rsidR="00BA7C2C" w:rsidRPr="00715E7A" w:rsidRDefault="00BA7C2C" w:rsidP="00BA7C2C">
      <w:pPr>
        <w:pStyle w:val="SectionHeader-Crossref"/>
        <w:spacing w:before="0"/>
        <w:rPr>
          <w:rFonts w:cs="Arial"/>
        </w:rPr>
      </w:pPr>
      <w:r w:rsidRPr="00715E7A">
        <w:rPr>
          <w:rFonts w:cs="Arial"/>
        </w:rPr>
        <w:t>Table 2.5.3.1: Summary of use pattern for red paste bait for professional and amateur users</w:t>
      </w:r>
    </w:p>
    <w:tbl>
      <w:tblPr>
        <w:tblW w:w="9211" w:type="dxa"/>
        <w:tblInd w:w="57" w:type="dxa"/>
        <w:tblLayout w:type="fixed"/>
        <w:tblCellMar>
          <w:left w:w="57" w:type="dxa"/>
          <w:right w:w="57" w:type="dxa"/>
        </w:tblCellMar>
        <w:tblLook w:val="01E0" w:firstRow="1" w:lastRow="1" w:firstColumn="1" w:lastColumn="1" w:noHBand="0" w:noVBand="0"/>
      </w:tblPr>
      <w:tblGrid>
        <w:gridCol w:w="835"/>
        <w:gridCol w:w="2000"/>
        <w:gridCol w:w="1843"/>
        <w:gridCol w:w="3119"/>
        <w:gridCol w:w="1414"/>
      </w:tblGrid>
      <w:tr w:rsidR="00BA7C2C" w:rsidRPr="00715E7A" w:rsidTr="00613EE2">
        <w:tc>
          <w:tcPr>
            <w:tcW w:w="835" w:type="dxa"/>
          </w:tcPr>
          <w:p w:rsidR="00BA7C2C" w:rsidRPr="00715E7A" w:rsidRDefault="00BA7C2C" w:rsidP="00613EE2">
            <w:pPr>
              <w:rPr>
                <w:rFonts w:cs="Arial"/>
                <w:b/>
                <w:sz w:val="18"/>
                <w:szCs w:val="18"/>
              </w:rPr>
            </w:pPr>
            <w:r w:rsidRPr="00715E7A">
              <w:rPr>
                <w:rFonts w:cs="Arial"/>
                <w:b/>
                <w:sz w:val="18"/>
                <w:szCs w:val="18"/>
              </w:rPr>
              <w:t>Species</w:t>
            </w:r>
          </w:p>
        </w:tc>
        <w:tc>
          <w:tcPr>
            <w:tcW w:w="2000" w:type="dxa"/>
          </w:tcPr>
          <w:p w:rsidR="00BA7C2C" w:rsidRPr="00701F20" w:rsidRDefault="00BA7C2C" w:rsidP="00613EE2">
            <w:pPr>
              <w:rPr>
                <w:rFonts w:cs="Arial"/>
                <w:b/>
                <w:sz w:val="18"/>
                <w:szCs w:val="18"/>
              </w:rPr>
            </w:pPr>
            <w:r w:rsidRPr="00715E7A">
              <w:rPr>
                <w:rFonts w:cs="Arial"/>
                <w:b/>
                <w:sz w:val="18"/>
                <w:szCs w:val="18"/>
              </w:rPr>
              <w:t>Recommended Application rate for one bait point/baiting point intervals</w:t>
            </w:r>
            <w:r w:rsidRPr="00701F20">
              <w:rPr>
                <w:rFonts w:cs="Arial"/>
                <w:sz w:val="18"/>
                <w:szCs w:val="18"/>
                <w:vertAlign w:val="superscript"/>
              </w:rPr>
              <w:t>#</w:t>
            </w:r>
          </w:p>
        </w:tc>
        <w:tc>
          <w:tcPr>
            <w:tcW w:w="1843" w:type="dxa"/>
          </w:tcPr>
          <w:p w:rsidR="00BA7C2C" w:rsidRPr="00715E7A" w:rsidRDefault="00BA7C2C" w:rsidP="00613EE2">
            <w:pPr>
              <w:rPr>
                <w:rFonts w:cs="Arial"/>
                <w:b/>
                <w:sz w:val="18"/>
                <w:szCs w:val="18"/>
              </w:rPr>
            </w:pPr>
            <w:r w:rsidRPr="00715E7A">
              <w:rPr>
                <w:rFonts w:cs="Arial"/>
                <w:b/>
                <w:sz w:val="18"/>
                <w:szCs w:val="18"/>
              </w:rPr>
              <w:t xml:space="preserve">Frequency of controls </w:t>
            </w:r>
          </w:p>
        </w:tc>
        <w:tc>
          <w:tcPr>
            <w:tcW w:w="3119" w:type="dxa"/>
          </w:tcPr>
          <w:p w:rsidR="00BA7C2C" w:rsidRPr="00715E7A" w:rsidRDefault="00BA7C2C" w:rsidP="00613EE2">
            <w:pPr>
              <w:rPr>
                <w:rFonts w:cs="Arial"/>
                <w:b/>
                <w:sz w:val="18"/>
                <w:szCs w:val="18"/>
              </w:rPr>
            </w:pPr>
            <w:r w:rsidRPr="00715E7A">
              <w:rPr>
                <w:rFonts w:cs="Arial"/>
                <w:b/>
                <w:sz w:val="18"/>
                <w:szCs w:val="18"/>
              </w:rPr>
              <w:t xml:space="preserve">Checking / Replenishing </w:t>
            </w:r>
          </w:p>
        </w:tc>
        <w:tc>
          <w:tcPr>
            <w:tcW w:w="1414" w:type="dxa"/>
          </w:tcPr>
          <w:p w:rsidR="00BA7C2C" w:rsidRPr="00715E7A" w:rsidRDefault="00BA7C2C" w:rsidP="00613EE2">
            <w:pPr>
              <w:rPr>
                <w:rFonts w:cs="Arial"/>
                <w:b/>
                <w:sz w:val="18"/>
                <w:szCs w:val="18"/>
              </w:rPr>
            </w:pPr>
            <w:r w:rsidRPr="00715E7A">
              <w:rPr>
                <w:rFonts w:cs="Arial"/>
                <w:b/>
                <w:sz w:val="18"/>
                <w:szCs w:val="18"/>
              </w:rPr>
              <w:t xml:space="preserve">Time of treatment and place of application </w:t>
            </w:r>
          </w:p>
        </w:tc>
      </w:tr>
      <w:tr w:rsidR="00BA7C2C" w:rsidRPr="00715E7A" w:rsidTr="00613EE2">
        <w:tc>
          <w:tcPr>
            <w:tcW w:w="9211" w:type="dxa"/>
            <w:gridSpan w:val="5"/>
          </w:tcPr>
          <w:p w:rsidR="00BA7C2C" w:rsidRPr="00715E7A" w:rsidRDefault="00BA7C2C" w:rsidP="00613EE2">
            <w:pPr>
              <w:rPr>
                <w:rFonts w:cs="Arial"/>
                <w:b/>
                <w:sz w:val="18"/>
                <w:szCs w:val="18"/>
              </w:rPr>
            </w:pPr>
            <w:r>
              <w:rPr>
                <w:rFonts w:cs="Arial"/>
                <w:b/>
                <w:sz w:val="18"/>
                <w:szCs w:val="18"/>
              </w:rPr>
              <w:t>Non-professional</w:t>
            </w:r>
            <w:r w:rsidRPr="00715E7A">
              <w:rPr>
                <w:rFonts w:cs="Arial"/>
                <w:b/>
                <w:sz w:val="18"/>
                <w:szCs w:val="18"/>
              </w:rPr>
              <w:t xml:space="preserve"> users</w:t>
            </w:r>
          </w:p>
        </w:tc>
      </w:tr>
      <w:tr w:rsidR="00BA7C2C" w:rsidRPr="00715E7A" w:rsidTr="00613EE2">
        <w:tc>
          <w:tcPr>
            <w:tcW w:w="835" w:type="dxa"/>
          </w:tcPr>
          <w:p w:rsidR="00BA7C2C" w:rsidRPr="00715E7A" w:rsidRDefault="00BA7C2C" w:rsidP="00613EE2">
            <w:pPr>
              <w:rPr>
                <w:rFonts w:cs="Arial"/>
                <w:sz w:val="18"/>
                <w:szCs w:val="18"/>
              </w:rPr>
            </w:pPr>
            <w:r w:rsidRPr="00715E7A">
              <w:rPr>
                <w:rFonts w:cs="Arial"/>
                <w:sz w:val="18"/>
                <w:szCs w:val="18"/>
              </w:rPr>
              <w:t>Mice</w:t>
            </w:r>
          </w:p>
        </w:tc>
        <w:tc>
          <w:tcPr>
            <w:tcW w:w="2000" w:type="dxa"/>
          </w:tcPr>
          <w:p w:rsidR="00BA7C2C" w:rsidRPr="00715E7A" w:rsidRDefault="00BA7C2C" w:rsidP="00613EE2">
            <w:pPr>
              <w:rPr>
                <w:rFonts w:cs="Arial"/>
                <w:sz w:val="18"/>
                <w:szCs w:val="18"/>
              </w:rPr>
            </w:pPr>
            <w:r>
              <w:rPr>
                <w:rFonts w:cs="Arial"/>
                <w:sz w:val="18"/>
                <w:szCs w:val="18"/>
              </w:rPr>
              <w:t xml:space="preserve">30 to </w:t>
            </w:r>
            <w:smartTag w:uri="urn:schemas-microsoft-com:office:smarttags" w:element="metricconverter">
              <w:smartTagPr>
                <w:attr w:name="ProductID" w:val="50 g"/>
              </w:smartTagPr>
              <w:r>
                <w:rPr>
                  <w:rFonts w:cs="Arial"/>
                  <w:sz w:val="18"/>
                  <w:szCs w:val="18"/>
                </w:rPr>
                <w:t>50 g</w:t>
              </w:r>
            </w:smartTag>
            <w:r>
              <w:rPr>
                <w:rFonts w:cs="Arial"/>
                <w:sz w:val="18"/>
                <w:szCs w:val="18"/>
              </w:rPr>
              <w:t xml:space="preserve"> </w:t>
            </w:r>
            <w:r w:rsidRPr="00715E7A">
              <w:rPr>
                <w:rFonts w:cs="Arial"/>
                <w:sz w:val="18"/>
                <w:szCs w:val="18"/>
              </w:rPr>
              <w:t xml:space="preserve">of paste in </w:t>
            </w:r>
            <w:r>
              <w:rPr>
                <w:rFonts w:cs="Arial"/>
                <w:sz w:val="18"/>
                <w:szCs w:val="18"/>
              </w:rPr>
              <w:t xml:space="preserve">one or more </w:t>
            </w:r>
            <w:r w:rsidRPr="00715E7A">
              <w:rPr>
                <w:rFonts w:cs="Arial"/>
                <w:sz w:val="18"/>
                <w:szCs w:val="18"/>
              </w:rPr>
              <w:t xml:space="preserve">sachets </w:t>
            </w:r>
            <w:r>
              <w:rPr>
                <w:rFonts w:cs="Arial"/>
                <w:sz w:val="18"/>
                <w:szCs w:val="18"/>
              </w:rPr>
              <w:t xml:space="preserve">per </w:t>
            </w:r>
            <w:r w:rsidRPr="00715E7A">
              <w:rPr>
                <w:rFonts w:cs="Arial"/>
                <w:sz w:val="18"/>
                <w:szCs w:val="18"/>
              </w:rPr>
              <w:t xml:space="preserve">bait station. Place 1 station every 1 to </w:t>
            </w:r>
            <w:smartTag w:uri="urn:schemas-microsoft-com:office:smarttags" w:element="metricconverter">
              <w:smartTagPr>
                <w:attr w:name="ProductID" w:val="3 m"/>
              </w:smartTagPr>
              <w:r>
                <w:rPr>
                  <w:rFonts w:cs="Arial"/>
                  <w:sz w:val="18"/>
                  <w:szCs w:val="18"/>
                </w:rPr>
                <w:t>3</w:t>
              </w:r>
              <w:r w:rsidRPr="00715E7A">
                <w:rPr>
                  <w:rFonts w:cs="Arial"/>
                  <w:sz w:val="18"/>
                  <w:szCs w:val="18"/>
                </w:rPr>
                <w:t xml:space="preserve"> m</w:t>
              </w:r>
            </w:smartTag>
          </w:p>
        </w:tc>
        <w:tc>
          <w:tcPr>
            <w:tcW w:w="1843" w:type="dxa"/>
          </w:tcPr>
          <w:p w:rsidR="00BA7C2C" w:rsidRPr="00715E7A" w:rsidRDefault="00BA7C2C"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 </w:t>
            </w:r>
          </w:p>
        </w:tc>
        <w:tc>
          <w:tcPr>
            <w:tcW w:w="3119" w:type="dxa"/>
          </w:tcPr>
          <w:p w:rsidR="00BA7C2C" w:rsidRPr="00715E7A" w:rsidRDefault="00BA7C2C"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all bait is eaten, refill the station and use more bait stations and/or increase the control frequency.</w:t>
            </w:r>
          </w:p>
        </w:tc>
        <w:tc>
          <w:tcPr>
            <w:tcW w:w="1414" w:type="dxa"/>
            <w:vMerge w:val="restart"/>
          </w:tcPr>
          <w:p w:rsidR="00BA7C2C" w:rsidRPr="00715E7A" w:rsidRDefault="00BA7C2C" w:rsidP="00613EE2">
            <w:pPr>
              <w:rPr>
                <w:rFonts w:cs="Arial"/>
                <w:sz w:val="18"/>
                <w:szCs w:val="18"/>
              </w:rPr>
            </w:pPr>
            <w:r w:rsidRPr="00715E7A">
              <w:rPr>
                <w:rFonts w:cs="Arial"/>
                <w:sz w:val="18"/>
                <w:szCs w:val="18"/>
              </w:rPr>
              <w:t>All year</w:t>
            </w:r>
          </w:p>
          <w:p w:rsidR="00BA7C2C" w:rsidRPr="00715E7A" w:rsidRDefault="00BA7C2C" w:rsidP="00613EE2">
            <w:pPr>
              <w:rPr>
                <w:rFonts w:cs="Arial"/>
                <w:sz w:val="18"/>
                <w:szCs w:val="18"/>
              </w:rPr>
            </w:pPr>
            <w:r w:rsidRPr="00715E7A">
              <w:rPr>
                <w:rFonts w:cs="Arial"/>
                <w:sz w:val="18"/>
                <w:szCs w:val="18"/>
              </w:rPr>
              <w:t>In &amp; around buildings.</w:t>
            </w:r>
          </w:p>
        </w:tc>
      </w:tr>
      <w:tr w:rsidR="00BA7C2C" w:rsidRPr="00715E7A" w:rsidTr="00613EE2">
        <w:tc>
          <w:tcPr>
            <w:tcW w:w="835" w:type="dxa"/>
          </w:tcPr>
          <w:p w:rsidR="00BA7C2C" w:rsidRPr="00B9456E" w:rsidRDefault="00BA7C2C" w:rsidP="00613EE2">
            <w:pPr>
              <w:rPr>
                <w:rFonts w:cs="Arial"/>
                <w:sz w:val="18"/>
                <w:szCs w:val="18"/>
                <w:vertAlign w:val="superscript"/>
              </w:rPr>
            </w:pPr>
            <w:r w:rsidRPr="00715E7A">
              <w:rPr>
                <w:rFonts w:cs="Arial"/>
                <w:sz w:val="18"/>
                <w:szCs w:val="18"/>
              </w:rPr>
              <w:t>Rats:</w:t>
            </w:r>
            <w:r w:rsidRPr="00715E7A">
              <w:rPr>
                <w:rFonts w:cs="Arial"/>
                <w:sz w:val="18"/>
                <w:szCs w:val="18"/>
              </w:rPr>
              <w:br/>
              <w:t>Brown &amp; Black</w:t>
            </w:r>
          </w:p>
        </w:tc>
        <w:tc>
          <w:tcPr>
            <w:tcW w:w="2000" w:type="dxa"/>
          </w:tcPr>
          <w:p w:rsidR="00BA7C2C" w:rsidRDefault="00BA7C2C" w:rsidP="00613EE2">
            <w:pPr>
              <w:rPr>
                <w:rFonts w:cs="Arial"/>
                <w:sz w:val="18"/>
                <w:szCs w:val="18"/>
              </w:rPr>
            </w:pPr>
            <w:r>
              <w:rPr>
                <w:rFonts w:cs="Arial"/>
                <w:sz w:val="18"/>
                <w:szCs w:val="18"/>
              </w:rPr>
              <w:t xml:space="preserve">100 to </w:t>
            </w:r>
            <w:smartTag w:uri="urn:schemas-microsoft-com:office:smarttags" w:element="metricconverter">
              <w:smartTagPr>
                <w:attr w:name="ProductID" w:val="200 g"/>
              </w:smartTagPr>
              <w:r>
                <w:rPr>
                  <w:rFonts w:cs="Arial"/>
                  <w:sz w:val="18"/>
                  <w:szCs w:val="18"/>
                </w:rPr>
                <w:t>200 g</w:t>
              </w:r>
            </w:smartTag>
            <w:r>
              <w:rPr>
                <w:rFonts w:cs="Arial"/>
                <w:sz w:val="18"/>
                <w:szCs w:val="18"/>
              </w:rPr>
              <w:t xml:space="preserve"> </w:t>
            </w:r>
            <w:r w:rsidRPr="00715E7A">
              <w:rPr>
                <w:rFonts w:cs="Arial"/>
                <w:sz w:val="18"/>
                <w:szCs w:val="18"/>
              </w:rPr>
              <w:t xml:space="preserve">of paste in </w:t>
            </w:r>
            <w:r>
              <w:rPr>
                <w:rFonts w:cs="Arial"/>
                <w:sz w:val="18"/>
                <w:szCs w:val="18"/>
              </w:rPr>
              <w:t>2 or more</w:t>
            </w:r>
            <w:r w:rsidRPr="00715E7A">
              <w:rPr>
                <w:rFonts w:cs="Arial"/>
                <w:sz w:val="18"/>
                <w:szCs w:val="18"/>
              </w:rPr>
              <w:t xml:space="preserve"> sachets </w:t>
            </w:r>
            <w:r>
              <w:rPr>
                <w:rFonts w:cs="Arial"/>
                <w:sz w:val="18"/>
                <w:szCs w:val="18"/>
              </w:rPr>
              <w:t>per</w:t>
            </w:r>
            <w:r w:rsidRPr="00715E7A">
              <w:rPr>
                <w:rFonts w:cs="Arial"/>
                <w:sz w:val="18"/>
                <w:szCs w:val="18"/>
              </w:rPr>
              <w:t xml:space="preserve"> bait station. Place 1 station every 4 to </w:t>
            </w:r>
            <w:smartTag w:uri="urn:schemas-microsoft-com:office:smarttags" w:element="metricconverter">
              <w:smartTagPr>
                <w:attr w:name="ProductID" w:val="10 m"/>
              </w:smartTagPr>
              <w:r>
                <w:rPr>
                  <w:rFonts w:cs="Arial"/>
                  <w:sz w:val="18"/>
                  <w:szCs w:val="18"/>
                </w:rPr>
                <w:t>10</w:t>
              </w:r>
              <w:r w:rsidRPr="00715E7A">
                <w:rPr>
                  <w:rFonts w:cs="Arial"/>
                  <w:sz w:val="18"/>
                  <w:szCs w:val="18"/>
                </w:rPr>
                <w:t xml:space="preserve"> m</w:t>
              </w:r>
            </w:smartTag>
            <w:r>
              <w:rPr>
                <w:rFonts w:cs="Arial"/>
                <w:sz w:val="18"/>
                <w:szCs w:val="18"/>
              </w:rPr>
              <w:t>.</w:t>
            </w:r>
          </w:p>
          <w:p w:rsidR="00BA7C2C" w:rsidRPr="00B9456E" w:rsidRDefault="00BA7C2C" w:rsidP="00613EE2">
            <w:pPr>
              <w:rPr>
                <w:rFonts w:cs="Arial"/>
                <w:sz w:val="18"/>
                <w:szCs w:val="18"/>
              </w:rPr>
            </w:pPr>
          </w:p>
        </w:tc>
        <w:tc>
          <w:tcPr>
            <w:tcW w:w="1843" w:type="dxa"/>
          </w:tcPr>
          <w:p w:rsidR="00BA7C2C" w:rsidRPr="00715E7A" w:rsidRDefault="00BA7C2C"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w:t>
            </w:r>
          </w:p>
        </w:tc>
        <w:tc>
          <w:tcPr>
            <w:tcW w:w="3119" w:type="dxa"/>
          </w:tcPr>
          <w:p w:rsidR="00BA7C2C" w:rsidRPr="00715E7A" w:rsidRDefault="00BA7C2C"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 xml:space="preserve">. </w:t>
            </w:r>
            <w:r w:rsidRPr="009D1C74">
              <w:rPr>
                <w:rFonts w:cs="Arial"/>
                <w:sz w:val="18"/>
                <w:szCs w:val="18"/>
              </w:rPr>
              <w:t>In case all bait is eaten, refill the station and use more bait stations and/or increase the control frequency.</w:t>
            </w:r>
            <w:r w:rsidRPr="00715E7A">
              <w:rPr>
                <w:rFonts w:cs="Arial"/>
                <w:sz w:val="18"/>
                <w:szCs w:val="18"/>
              </w:rPr>
              <w:t xml:space="preserve"> </w:t>
            </w:r>
          </w:p>
        </w:tc>
        <w:tc>
          <w:tcPr>
            <w:tcW w:w="1414" w:type="dxa"/>
            <w:vMerge/>
          </w:tcPr>
          <w:p w:rsidR="00BA7C2C" w:rsidRPr="00715E7A" w:rsidRDefault="00BA7C2C" w:rsidP="00613EE2">
            <w:pPr>
              <w:rPr>
                <w:rFonts w:cs="Arial"/>
              </w:rPr>
            </w:pPr>
          </w:p>
        </w:tc>
      </w:tr>
    </w:tbl>
    <w:p w:rsidR="00BA7C2C" w:rsidRDefault="00BA7C2C" w:rsidP="00BA7C2C">
      <w:r>
        <w:br w:type="page"/>
      </w:r>
    </w:p>
    <w:tbl>
      <w:tblPr>
        <w:tblW w:w="9211" w:type="dxa"/>
        <w:tblInd w:w="57" w:type="dxa"/>
        <w:tblLayout w:type="fixed"/>
        <w:tblCellMar>
          <w:left w:w="57" w:type="dxa"/>
          <w:right w:w="57" w:type="dxa"/>
        </w:tblCellMar>
        <w:tblLook w:val="01E0" w:firstRow="1" w:lastRow="1" w:firstColumn="1" w:lastColumn="1" w:noHBand="0" w:noVBand="0"/>
      </w:tblPr>
      <w:tblGrid>
        <w:gridCol w:w="835"/>
        <w:gridCol w:w="2000"/>
        <w:gridCol w:w="1843"/>
        <w:gridCol w:w="3119"/>
        <w:gridCol w:w="1414"/>
      </w:tblGrid>
      <w:tr w:rsidR="00BA7C2C" w:rsidRPr="00715E7A" w:rsidTr="00613EE2">
        <w:tc>
          <w:tcPr>
            <w:tcW w:w="9211" w:type="dxa"/>
            <w:gridSpan w:val="5"/>
          </w:tcPr>
          <w:p w:rsidR="00BA7C2C" w:rsidRPr="00715E7A" w:rsidRDefault="00BA7C2C" w:rsidP="00613EE2">
            <w:pPr>
              <w:rPr>
                <w:rFonts w:cs="Arial"/>
              </w:rPr>
            </w:pPr>
            <w:r w:rsidRPr="00715E7A">
              <w:rPr>
                <w:rFonts w:cs="Arial"/>
                <w:b/>
                <w:sz w:val="18"/>
                <w:szCs w:val="18"/>
              </w:rPr>
              <w:lastRenderedPageBreak/>
              <w:t>Professional users*</w:t>
            </w:r>
          </w:p>
        </w:tc>
      </w:tr>
      <w:tr w:rsidR="00BA7C2C" w:rsidRPr="00715E7A" w:rsidTr="00613EE2">
        <w:tc>
          <w:tcPr>
            <w:tcW w:w="835" w:type="dxa"/>
            <w:vMerge w:val="restart"/>
          </w:tcPr>
          <w:p w:rsidR="00BA7C2C" w:rsidRPr="00715E7A" w:rsidRDefault="00BA7C2C" w:rsidP="00613EE2">
            <w:pPr>
              <w:rPr>
                <w:rFonts w:cs="Arial"/>
                <w:sz w:val="18"/>
                <w:szCs w:val="18"/>
              </w:rPr>
            </w:pPr>
            <w:r w:rsidRPr="00715E7A">
              <w:rPr>
                <w:rFonts w:cs="Arial"/>
                <w:sz w:val="18"/>
                <w:szCs w:val="18"/>
              </w:rPr>
              <w:t>Mice</w:t>
            </w:r>
          </w:p>
        </w:tc>
        <w:tc>
          <w:tcPr>
            <w:tcW w:w="2000" w:type="dxa"/>
          </w:tcPr>
          <w:p w:rsidR="00BA7C2C" w:rsidRPr="00715E7A" w:rsidRDefault="00BA7C2C" w:rsidP="00613EE2">
            <w:pPr>
              <w:rPr>
                <w:rFonts w:cs="Arial"/>
                <w:sz w:val="18"/>
                <w:szCs w:val="18"/>
              </w:rPr>
            </w:pPr>
            <w:r w:rsidRPr="00715E7A">
              <w:rPr>
                <w:rFonts w:cs="Arial"/>
                <w:sz w:val="18"/>
                <w:szCs w:val="18"/>
              </w:rPr>
              <w:t>High infestation</w:t>
            </w:r>
            <w:r w:rsidRPr="00715E7A">
              <w:rPr>
                <w:rFonts w:cs="Arial"/>
                <w:sz w:val="18"/>
                <w:szCs w:val="18"/>
              </w:rPr>
              <w:br/>
            </w:r>
            <w:r>
              <w:rPr>
                <w:rFonts w:cs="Arial"/>
                <w:sz w:val="18"/>
                <w:szCs w:val="18"/>
              </w:rPr>
              <w:t xml:space="preserve">30 to </w:t>
            </w:r>
            <w:smartTag w:uri="urn:schemas-microsoft-com:office:smarttags" w:element="metricconverter">
              <w:smartTagPr>
                <w:attr w:name="ProductID" w:val="50 g"/>
              </w:smartTagPr>
              <w:r>
                <w:rPr>
                  <w:rFonts w:cs="Arial"/>
                  <w:sz w:val="18"/>
                  <w:szCs w:val="18"/>
                </w:rPr>
                <w:t>50 g</w:t>
              </w:r>
            </w:smartTag>
            <w:r>
              <w:rPr>
                <w:rFonts w:cs="Arial"/>
                <w:sz w:val="18"/>
                <w:szCs w:val="18"/>
              </w:rPr>
              <w:t xml:space="preserve"> </w:t>
            </w:r>
            <w:r w:rsidRPr="00715E7A">
              <w:rPr>
                <w:rFonts w:cs="Arial"/>
                <w:sz w:val="18"/>
                <w:szCs w:val="18"/>
              </w:rPr>
              <w:t xml:space="preserve">of paste in </w:t>
            </w:r>
            <w:r>
              <w:rPr>
                <w:rFonts w:cs="Arial"/>
                <w:sz w:val="18"/>
                <w:szCs w:val="18"/>
              </w:rPr>
              <w:t xml:space="preserve">one or more </w:t>
            </w:r>
            <w:r w:rsidRPr="00715E7A">
              <w:rPr>
                <w:rFonts w:cs="Arial"/>
                <w:sz w:val="18"/>
                <w:szCs w:val="18"/>
              </w:rPr>
              <w:t xml:space="preserve">sachets </w:t>
            </w:r>
            <w:r>
              <w:rPr>
                <w:rFonts w:cs="Arial"/>
                <w:sz w:val="18"/>
                <w:szCs w:val="18"/>
              </w:rPr>
              <w:t xml:space="preserve">per </w:t>
            </w:r>
            <w:r w:rsidRPr="00715E7A">
              <w:rPr>
                <w:rFonts w:cs="Arial"/>
                <w:sz w:val="18"/>
                <w:szCs w:val="18"/>
              </w:rPr>
              <w:t xml:space="preserve">bait station. Dispose 1 station every 1 to </w:t>
            </w:r>
            <w:smartTag w:uri="urn:schemas-microsoft-com:office:smarttags" w:element="metricconverter">
              <w:smartTagPr>
                <w:attr w:name="ProductID" w:val="1.5 m"/>
              </w:smartTagPr>
              <w:r w:rsidRPr="00715E7A">
                <w:rPr>
                  <w:rFonts w:cs="Arial"/>
                  <w:sz w:val="18"/>
                  <w:szCs w:val="18"/>
                </w:rPr>
                <w:t>1.5 m</w:t>
              </w:r>
            </w:smartTag>
          </w:p>
        </w:tc>
        <w:tc>
          <w:tcPr>
            <w:tcW w:w="1843" w:type="dxa"/>
          </w:tcPr>
          <w:p w:rsidR="00BA7C2C" w:rsidRPr="00715E7A" w:rsidRDefault="00BA7C2C" w:rsidP="00613EE2">
            <w:pPr>
              <w:rPr>
                <w:rFonts w:cs="Arial"/>
                <w:sz w:val="18"/>
                <w:szCs w:val="18"/>
              </w:rPr>
            </w:pPr>
            <w:r w:rsidRPr="00715E7A">
              <w:rPr>
                <w:rFonts w:cs="Arial"/>
                <w:sz w:val="18"/>
                <w:szCs w:val="18"/>
              </w:rPr>
              <w:t xml:space="preserve">Dispose the product, </w:t>
            </w:r>
            <w:r>
              <w:rPr>
                <w:rFonts w:cs="Arial"/>
                <w:sz w:val="18"/>
                <w:szCs w:val="18"/>
              </w:rPr>
              <w:t>check</w:t>
            </w:r>
            <w:r w:rsidRPr="00715E7A">
              <w:rPr>
                <w:rFonts w:cs="Arial"/>
                <w:sz w:val="18"/>
                <w:szCs w:val="18"/>
              </w:rPr>
              <w:t xml:space="preserve"> 3 days after first application, then regularly every week or 15 days</w:t>
            </w:r>
          </w:p>
        </w:tc>
        <w:tc>
          <w:tcPr>
            <w:tcW w:w="3119" w:type="dxa"/>
          </w:tcPr>
          <w:p w:rsidR="00BA7C2C" w:rsidRPr="00715E7A" w:rsidRDefault="00BA7C2C"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all bait is eaten</w:t>
            </w:r>
            <w:r>
              <w:rPr>
                <w:rFonts w:cs="Arial"/>
                <w:sz w:val="18"/>
                <w:szCs w:val="18"/>
              </w:rPr>
              <w:t>,</w:t>
            </w:r>
            <w:r w:rsidRPr="009D1C74">
              <w:rPr>
                <w:rFonts w:cs="Arial"/>
                <w:sz w:val="18"/>
                <w:szCs w:val="18"/>
              </w:rPr>
              <w:t xml:space="preserve"> refill the station and use more bait stations and/or increase the control frequency.</w:t>
            </w:r>
          </w:p>
        </w:tc>
        <w:tc>
          <w:tcPr>
            <w:tcW w:w="1414" w:type="dxa"/>
            <w:vMerge w:val="restart"/>
          </w:tcPr>
          <w:p w:rsidR="00BA7C2C" w:rsidRPr="00715E7A" w:rsidRDefault="00BA7C2C" w:rsidP="00613EE2">
            <w:pPr>
              <w:rPr>
                <w:rFonts w:cs="Arial"/>
                <w:sz w:val="18"/>
                <w:szCs w:val="18"/>
              </w:rPr>
            </w:pPr>
            <w:r w:rsidRPr="00715E7A">
              <w:rPr>
                <w:rFonts w:cs="Arial"/>
                <w:sz w:val="18"/>
                <w:szCs w:val="18"/>
              </w:rPr>
              <w:t>All year</w:t>
            </w:r>
          </w:p>
          <w:p w:rsidR="00BA7C2C" w:rsidRPr="00715E7A" w:rsidRDefault="00BA7C2C" w:rsidP="00613EE2">
            <w:pPr>
              <w:rPr>
                <w:rFonts w:cs="Arial"/>
                <w:sz w:val="18"/>
                <w:szCs w:val="18"/>
              </w:rPr>
            </w:pPr>
            <w:r w:rsidRPr="00715E7A">
              <w:rPr>
                <w:rFonts w:cs="Arial"/>
                <w:sz w:val="18"/>
                <w:szCs w:val="18"/>
              </w:rPr>
              <w:t>In &amp; around buildings</w:t>
            </w:r>
            <w:r w:rsidRPr="00715E7A">
              <w:rPr>
                <w:rFonts w:cs="Arial"/>
                <w:sz w:val="18"/>
                <w:szCs w:val="18"/>
              </w:rPr>
              <w:br/>
              <w:t>In open areas</w:t>
            </w:r>
            <w:r w:rsidRPr="00715E7A">
              <w:rPr>
                <w:rFonts w:cs="Arial"/>
                <w:sz w:val="18"/>
                <w:szCs w:val="18"/>
              </w:rPr>
              <w:br/>
              <w:t>In waste dumps.</w:t>
            </w:r>
          </w:p>
        </w:tc>
      </w:tr>
      <w:tr w:rsidR="00BA7C2C" w:rsidRPr="00715E7A" w:rsidTr="00613EE2">
        <w:tc>
          <w:tcPr>
            <w:tcW w:w="835" w:type="dxa"/>
            <w:vMerge/>
          </w:tcPr>
          <w:p w:rsidR="00BA7C2C" w:rsidRPr="00715E7A" w:rsidRDefault="00BA7C2C" w:rsidP="00613EE2">
            <w:pPr>
              <w:rPr>
                <w:rFonts w:cs="Arial"/>
                <w:sz w:val="18"/>
                <w:szCs w:val="18"/>
              </w:rPr>
            </w:pPr>
          </w:p>
        </w:tc>
        <w:tc>
          <w:tcPr>
            <w:tcW w:w="2000" w:type="dxa"/>
          </w:tcPr>
          <w:p w:rsidR="00BA7C2C" w:rsidRPr="00715E7A" w:rsidRDefault="00BA7C2C" w:rsidP="00613EE2">
            <w:pPr>
              <w:rPr>
                <w:rFonts w:cs="Arial"/>
                <w:sz w:val="18"/>
                <w:szCs w:val="18"/>
              </w:rPr>
            </w:pPr>
            <w:r>
              <w:rPr>
                <w:rFonts w:cs="Arial"/>
                <w:sz w:val="18"/>
                <w:szCs w:val="18"/>
              </w:rPr>
              <w:t>Low infestation</w:t>
            </w:r>
            <w:r w:rsidRPr="00715E7A">
              <w:rPr>
                <w:rFonts w:cs="Arial"/>
                <w:sz w:val="18"/>
                <w:szCs w:val="18"/>
              </w:rPr>
              <w:br/>
            </w:r>
            <w:r>
              <w:rPr>
                <w:rFonts w:cs="Arial"/>
                <w:sz w:val="18"/>
                <w:szCs w:val="18"/>
              </w:rPr>
              <w:t xml:space="preserve">30 to </w:t>
            </w:r>
            <w:smartTag w:uri="urn:schemas-microsoft-com:office:smarttags" w:element="metricconverter">
              <w:smartTagPr>
                <w:attr w:name="ProductID" w:val="50 g"/>
              </w:smartTagPr>
              <w:r>
                <w:rPr>
                  <w:rFonts w:cs="Arial"/>
                  <w:sz w:val="18"/>
                  <w:szCs w:val="18"/>
                </w:rPr>
                <w:t>50 g</w:t>
              </w:r>
            </w:smartTag>
            <w:r>
              <w:rPr>
                <w:rFonts w:cs="Arial"/>
                <w:sz w:val="18"/>
                <w:szCs w:val="18"/>
              </w:rPr>
              <w:t xml:space="preserve"> </w:t>
            </w:r>
            <w:r w:rsidRPr="00715E7A">
              <w:rPr>
                <w:rFonts w:cs="Arial"/>
                <w:sz w:val="18"/>
                <w:szCs w:val="18"/>
              </w:rPr>
              <w:t xml:space="preserve">of paste in </w:t>
            </w:r>
            <w:r>
              <w:rPr>
                <w:rFonts w:cs="Arial"/>
                <w:sz w:val="18"/>
                <w:szCs w:val="18"/>
              </w:rPr>
              <w:t xml:space="preserve">one or more </w:t>
            </w:r>
            <w:r w:rsidRPr="00715E7A">
              <w:rPr>
                <w:rFonts w:cs="Arial"/>
                <w:sz w:val="18"/>
                <w:szCs w:val="18"/>
              </w:rPr>
              <w:t xml:space="preserve">sachets </w:t>
            </w:r>
            <w:r>
              <w:rPr>
                <w:rFonts w:cs="Arial"/>
                <w:sz w:val="18"/>
                <w:szCs w:val="18"/>
              </w:rPr>
              <w:t xml:space="preserve">per </w:t>
            </w:r>
            <w:r w:rsidRPr="00715E7A">
              <w:rPr>
                <w:rFonts w:cs="Arial"/>
                <w:sz w:val="18"/>
                <w:szCs w:val="18"/>
              </w:rPr>
              <w:t xml:space="preserve">bait station. Dispose 1 station every 2 to </w:t>
            </w:r>
            <w:smartTag w:uri="urn:schemas-microsoft-com:office:smarttags" w:element="metricconverter">
              <w:smartTagPr>
                <w:attr w:name="ProductID" w:val="3 m"/>
              </w:smartTagPr>
              <w:r w:rsidRPr="00715E7A">
                <w:rPr>
                  <w:rFonts w:cs="Arial"/>
                  <w:sz w:val="18"/>
                  <w:szCs w:val="18"/>
                </w:rPr>
                <w:t>3 m</w:t>
              </w:r>
            </w:smartTag>
          </w:p>
        </w:tc>
        <w:tc>
          <w:tcPr>
            <w:tcW w:w="1843" w:type="dxa"/>
          </w:tcPr>
          <w:p w:rsidR="00BA7C2C" w:rsidRPr="00715E7A" w:rsidRDefault="00BA7C2C" w:rsidP="00613EE2">
            <w:pPr>
              <w:rPr>
                <w:rFonts w:cs="Arial"/>
                <w:sz w:val="18"/>
                <w:szCs w:val="18"/>
              </w:rPr>
            </w:pPr>
            <w:bookmarkStart w:id="769" w:name="OLE_LINK1"/>
            <w:r w:rsidRPr="00715E7A">
              <w:rPr>
                <w:rFonts w:cs="Arial"/>
                <w:sz w:val="18"/>
                <w:szCs w:val="18"/>
              </w:rPr>
              <w:t xml:space="preserve">Dispose the product, </w:t>
            </w:r>
            <w:r>
              <w:rPr>
                <w:rFonts w:cs="Arial"/>
                <w:sz w:val="18"/>
                <w:szCs w:val="18"/>
              </w:rPr>
              <w:t>check</w:t>
            </w:r>
            <w:r w:rsidRPr="00715E7A">
              <w:rPr>
                <w:rFonts w:cs="Arial"/>
                <w:sz w:val="18"/>
                <w:szCs w:val="18"/>
              </w:rPr>
              <w:t xml:space="preserve"> </w:t>
            </w:r>
            <w:r>
              <w:rPr>
                <w:rFonts w:cs="Arial"/>
                <w:sz w:val="18"/>
                <w:szCs w:val="18"/>
              </w:rPr>
              <w:t>3 days</w:t>
            </w:r>
            <w:r w:rsidRPr="00715E7A">
              <w:rPr>
                <w:rFonts w:cs="Arial"/>
                <w:sz w:val="18"/>
                <w:szCs w:val="18"/>
              </w:rPr>
              <w:t xml:space="preserve"> after </w:t>
            </w:r>
            <w:r>
              <w:rPr>
                <w:rFonts w:cs="Arial"/>
                <w:sz w:val="18"/>
                <w:szCs w:val="18"/>
              </w:rPr>
              <w:t>first</w:t>
            </w:r>
            <w:r w:rsidRPr="00715E7A">
              <w:rPr>
                <w:rFonts w:cs="Arial"/>
                <w:sz w:val="18"/>
                <w:szCs w:val="18"/>
              </w:rPr>
              <w:t xml:space="preserve"> application, then every </w:t>
            </w:r>
            <w:r>
              <w:rPr>
                <w:rFonts w:cs="Arial"/>
                <w:sz w:val="18"/>
                <w:szCs w:val="18"/>
              </w:rPr>
              <w:t xml:space="preserve">week or </w:t>
            </w:r>
            <w:r w:rsidRPr="00715E7A">
              <w:rPr>
                <w:rFonts w:cs="Arial"/>
                <w:sz w:val="18"/>
                <w:szCs w:val="18"/>
              </w:rPr>
              <w:t>15 days.</w:t>
            </w:r>
            <w:bookmarkEnd w:id="769"/>
          </w:p>
        </w:tc>
        <w:tc>
          <w:tcPr>
            <w:tcW w:w="3119" w:type="dxa"/>
          </w:tcPr>
          <w:p w:rsidR="00BA7C2C" w:rsidRPr="00715E7A" w:rsidRDefault="00BA7C2C"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that all bait is eaten at a bait station, refill the bait station and use more bait stations and/or increase the control frequency.</w:t>
            </w:r>
          </w:p>
        </w:tc>
        <w:tc>
          <w:tcPr>
            <w:tcW w:w="1414" w:type="dxa"/>
            <w:vMerge/>
          </w:tcPr>
          <w:p w:rsidR="00BA7C2C" w:rsidRPr="00715E7A" w:rsidRDefault="00BA7C2C" w:rsidP="00613EE2">
            <w:pPr>
              <w:rPr>
                <w:rFonts w:cs="Arial"/>
              </w:rPr>
            </w:pPr>
          </w:p>
        </w:tc>
      </w:tr>
      <w:tr w:rsidR="00BA7C2C" w:rsidRPr="00715E7A" w:rsidTr="00613EE2">
        <w:tc>
          <w:tcPr>
            <w:tcW w:w="835" w:type="dxa"/>
            <w:vMerge w:val="restart"/>
          </w:tcPr>
          <w:p w:rsidR="00BA7C2C" w:rsidRPr="00715E7A" w:rsidRDefault="00BA7C2C" w:rsidP="00613EE2">
            <w:pPr>
              <w:rPr>
                <w:rFonts w:cs="Arial"/>
                <w:sz w:val="18"/>
                <w:szCs w:val="18"/>
              </w:rPr>
            </w:pPr>
            <w:r w:rsidRPr="00715E7A">
              <w:rPr>
                <w:rFonts w:cs="Arial"/>
                <w:sz w:val="18"/>
                <w:szCs w:val="18"/>
              </w:rPr>
              <w:t>Rats:</w:t>
            </w:r>
            <w:r w:rsidRPr="00715E7A">
              <w:rPr>
                <w:rFonts w:cs="Arial"/>
                <w:sz w:val="18"/>
                <w:szCs w:val="18"/>
              </w:rPr>
              <w:br/>
              <w:t>Brown &amp; Black</w:t>
            </w:r>
          </w:p>
        </w:tc>
        <w:tc>
          <w:tcPr>
            <w:tcW w:w="2000" w:type="dxa"/>
          </w:tcPr>
          <w:p w:rsidR="00BA7C2C" w:rsidRPr="00715E7A" w:rsidRDefault="00BA7C2C" w:rsidP="00613EE2">
            <w:pPr>
              <w:rPr>
                <w:rFonts w:cs="Arial"/>
                <w:sz w:val="18"/>
                <w:szCs w:val="18"/>
              </w:rPr>
            </w:pPr>
            <w:r w:rsidRPr="00715E7A">
              <w:rPr>
                <w:rFonts w:cs="Arial"/>
                <w:sz w:val="18"/>
                <w:szCs w:val="18"/>
              </w:rPr>
              <w:t>High infestation</w:t>
            </w:r>
            <w:r w:rsidRPr="00715E7A">
              <w:rPr>
                <w:rFonts w:cs="Arial"/>
                <w:sz w:val="18"/>
                <w:szCs w:val="18"/>
              </w:rPr>
              <w:br/>
            </w:r>
            <w:r>
              <w:rPr>
                <w:rFonts w:cs="Arial"/>
                <w:sz w:val="18"/>
                <w:szCs w:val="18"/>
              </w:rPr>
              <w:t xml:space="preserve">100 to </w:t>
            </w:r>
            <w:smartTag w:uri="urn:schemas-microsoft-com:office:smarttags" w:element="metricconverter">
              <w:smartTagPr>
                <w:attr w:name="ProductID" w:val="200 g"/>
              </w:smartTagPr>
              <w:r>
                <w:rPr>
                  <w:rFonts w:cs="Arial"/>
                  <w:sz w:val="18"/>
                  <w:szCs w:val="18"/>
                </w:rPr>
                <w:t>200 g</w:t>
              </w:r>
            </w:smartTag>
            <w:r>
              <w:rPr>
                <w:rFonts w:cs="Arial"/>
                <w:sz w:val="18"/>
                <w:szCs w:val="18"/>
              </w:rPr>
              <w:t xml:space="preserve"> </w:t>
            </w:r>
            <w:r w:rsidRPr="00715E7A">
              <w:rPr>
                <w:rFonts w:cs="Arial"/>
                <w:sz w:val="18"/>
                <w:szCs w:val="18"/>
              </w:rPr>
              <w:t xml:space="preserve">of paste in </w:t>
            </w:r>
            <w:r>
              <w:rPr>
                <w:rFonts w:cs="Arial"/>
                <w:sz w:val="18"/>
                <w:szCs w:val="18"/>
              </w:rPr>
              <w:t>2 or more</w:t>
            </w:r>
            <w:r w:rsidRPr="00715E7A">
              <w:rPr>
                <w:rFonts w:cs="Arial"/>
                <w:sz w:val="18"/>
                <w:szCs w:val="18"/>
              </w:rPr>
              <w:t xml:space="preserve"> sachets </w:t>
            </w:r>
            <w:r>
              <w:rPr>
                <w:rFonts w:cs="Arial"/>
                <w:sz w:val="18"/>
                <w:szCs w:val="18"/>
              </w:rPr>
              <w:t>per</w:t>
            </w:r>
            <w:r w:rsidRPr="00715E7A">
              <w:rPr>
                <w:rFonts w:cs="Arial"/>
                <w:sz w:val="18"/>
                <w:szCs w:val="18"/>
              </w:rPr>
              <w:t xml:space="preserve"> bait station. Dispose 1 station every 4 to </w:t>
            </w:r>
            <w:smartTag w:uri="urn:schemas-microsoft-com:office:smarttags" w:element="metricconverter">
              <w:smartTagPr>
                <w:attr w:name="ProductID" w:val="5 m"/>
              </w:smartTagPr>
              <w:r w:rsidRPr="00715E7A">
                <w:rPr>
                  <w:rFonts w:cs="Arial"/>
                  <w:sz w:val="18"/>
                  <w:szCs w:val="18"/>
                </w:rPr>
                <w:t>5 m</w:t>
              </w:r>
            </w:smartTag>
            <w:r w:rsidRPr="00715E7A">
              <w:rPr>
                <w:rFonts w:cs="Arial"/>
                <w:sz w:val="18"/>
                <w:szCs w:val="18"/>
              </w:rPr>
              <w:t>.</w:t>
            </w:r>
          </w:p>
        </w:tc>
        <w:tc>
          <w:tcPr>
            <w:tcW w:w="1843" w:type="dxa"/>
          </w:tcPr>
          <w:p w:rsidR="00BA7C2C" w:rsidRPr="00715E7A" w:rsidRDefault="00BA7C2C" w:rsidP="00613EE2">
            <w:pPr>
              <w:rPr>
                <w:rFonts w:cs="Arial"/>
                <w:sz w:val="18"/>
                <w:szCs w:val="18"/>
              </w:rPr>
            </w:pPr>
            <w:r w:rsidRPr="00715E7A">
              <w:rPr>
                <w:rFonts w:cs="Arial"/>
                <w:sz w:val="18"/>
                <w:szCs w:val="18"/>
              </w:rPr>
              <w:t xml:space="preserve">Dispose the product, </w:t>
            </w:r>
            <w:r>
              <w:rPr>
                <w:rFonts w:cs="Arial"/>
                <w:sz w:val="18"/>
                <w:szCs w:val="18"/>
              </w:rPr>
              <w:t>check</w:t>
            </w:r>
            <w:r w:rsidRPr="00715E7A">
              <w:rPr>
                <w:rFonts w:cs="Arial"/>
                <w:sz w:val="18"/>
                <w:szCs w:val="18"/>
              </w:rPr>
              <w:t xml:space="preserve"> 3 days after first application, then regularly as consumption persist </w:t>
            </w:r>
            <w:r>
              <w:rPr>
                <w:rFonts w:cs="Arial"/>
                <w:sz w:val="18"/>
                <w:szCs w:val="18"/>
              </w:rPr>
              <w:t xml:space="preserve">then </w:t>
            </w:r>
            <w:r w:rsidRPr="00715E7A">
              <w:rPr>
                <w:rFonts w:cs="Arial"/>
                <w:sz w:val="18"/>
                <w:szCs w:val="18"/>
              </w:rPr>
              <w:t>every week or 15 days</w:t>
            </w:r>
            <w:r>
              <w:rPr>
                <w:rFonts w:cs="Arial"/>
                <w:sz w:val="18"/>
                <w:szCs w:val="18"/>
              </w:rPr>
              <w:t>.</w:t>
            </w:r>
          </w:p>
        </w:tc>
        <w:tc>
          <w:tcPr>
            <w:tcW w:w="3119" w:type="dxa"/>
          </w:tcPr>
          <w:p w:rsidR="00BA7C2C" w:rsidRPr="00715E7A" w:rsidRDefault="00BA7C2C"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that all bait is eaten at a bait station, refill the bait station and use more bait stations and/or increase the control frequency.</w:t>
            </w:r>
          </w:p>
        </w:tc>
        <w:tc>
          <w:tcPr>
            <w:tcW w:w="1414" w:type="dxa"/>
            <w:vMerge w:val="restart"/>
          </w:tcPr>
          <w:p w:rsidR="00BA7C2C" w:rsidRPr="00715E7A" w:rsidRDefault="00BA7C2C" w:rsidP="00613EE2">
            <w:pPr>
              <w:rPr>
                <w:rFonts w:cs="Arial"/>
                <w:sz w:val="18"/>
                <w:szCs w:val="18"/>
              </w:rPr>
            </w:pPr>
            <w:r w:rsidRPr="00715E7A">
              <w:rPr>
                <w:rFonts w:cs="Arial"/>
                <w:sz w:val="18"/>
                <w:szCs w:val="18"/>
              </w:rPr>
              <w:t>All year</w:t>
            </w:r>
          </w:p>
          <w:p w:rsidR="00BA7C2C" w:rsidRPr="00715E7A" w:rsidRDefault="00BA7C2C" w:rsidP="00613EE2">
            <w:pPr>
              <w:rPr>
                <w:rFonts w:cs="Arial"/>
                <w:sz w:val="18"/>
                <w:szCs w:val="18"/>
              </w:rPr>
            </w:pPr>
            <w:r w:rsidRPr="00715E7A">
              <w:rPr>
                <w:rFonts w:cs="Arial"/>
                <w:sz w:val="18"/>
                <w:szCs w:val="18"/>
              </w:rPr>
              <w:t>In &amp; around buildings</w:t>
            </w:r>
            <w:r w:rsidRPr="00715E7A">
              <w:rPr>
                <w:rFonts w:cs="Arial"/>
                <w:sz w:val="18"/>
                <w:szCs w:val="18"/>
              </w:rPr>
              <w:br/>
              <w:t>In open areas</w:t>
            </w:r>
            <w:r w:rsidRPr="00715E7A">
              <w:rPr>
                <w:rFonts w:cs="Arial"/>
                <w:sz w:val="18"/>
                <w:szCs w:val="18"/>
              </w:rPr>
              <w:br/>
              <w:t>In waste dumps.</w:t>
            </w:r>
          </w:p>
        </w:tc>
      </w:tr>
      <w:tr w:rsidR="00BA7C2C" w:rsidRPr="00715E7A" w:rsidTr="00613EE2">
        <w:tc>
          <w:tcPr>
            <w:tcW w:w="835" w:type="dxa"/>
            <w:vMerge/>
          </w:tcPr>
          <w:p w:rsidR="00BA7C2C" w:rsidRPr="00715E7A" w:rsidRDefault="00BA7C2C" w:rsidP="00613EE2">
            <w:pPr>
              <w:rPr>
                <w:rFonts w:cs="Arial"/>
                <w:sz w:val="18"/>
                <w:szCs w:val="18"/>
              </w:rPr>
            </w:pPr>
          </w:p>
        </w:tc>
        <w:tc>
          <w:tcPr>
            <w:tcW w:w="2000" w:type="dxa"/>
          </w:tcPr>
          <w:p w:rsidR="00BA7C2C" w:rsidRPr="00715E7A" w:rsidRDefault="00BA7C2C" w:rsidP="00613EE2">
            <w:pPr>
              <w:rPr>
                <w:rFonts w:cs="Arial"/>
                <w:sz w:val="18"/>
                <w:szCs w:val="18"/>
              </w:rPr>
            </w:pPr>
            <w:r w:rsidRPr="00715E7A">
              <w:rPr>
                <w:rFonts w:cs="Arial"/>
                <w:sz w:val="18"/>
                <w:szCs w:val="18"/>
              </w:rPr>
              <w:t>Low infestation</w:t>
            </w:r>
            <w:r w:rsidRPr="00715E7A">
              <w:rPr>
                <w:rFonts w:cs="Arial"/>
                <w:sz w:val="18"/>
                <w:szCs w:val="18"/>
              </w:rPr>
              <w:br/>
            </w:r>
            <w:r>
              <w:rPr>
                <w:rFonts w:cs="Arial"/>
                <w:sz w:val="18"/>
                <w:szCs w:val="18"/>
              </w:rPr>
              <w:t xml:space="preserve">100 to </w:t>
            </w:r>
            <w:smartTag w:uri="urn:schemas-microsoft-com:office:smarttags" w:element="metricconverter">
              <w:smartTagPr>
                <w:attr w:name="ProductID" w:val="200 g"/>
              </w:smartTagPr>
              <w:r>
                <w:rPr>
                  <w:rFonts w:cs="Arial"/>
                  <w:sz w:val="18"/>
                  <w:szCs w:val="18"/>
                </w:rPr>
                <w:t>200 g</w:t>
              </w:r>
            </w:smartTag>
            <w:r>
              <w:rPr>
                <w:rFonts w:cs="Arial"/>
                <w:sz w:val="18"/>
                <w:szCs w:val="18"/>
              </w:rPr>
              <w:t xml:space="preserve"> </w:t>
            </w:r>
            <w:r w:rsidRPr="00715E7A">
              <w:rPr>
                <w:rFonts w:cs="Arial"/>
                <w:sz w:val="18"/>
                <w:szCs w:val="18"/>
              </w:rPr>
              <w:t xml:space="preserve">of paste in </w:t>
            </w:r>
            <w:r>
              <w:rPr>
                <w:rFonts w:cs="Arial"/>
                <w:sz w:val="18"/>
                <w:szCs w:val="18"/>
              </w:rPr>
              <w:t>2 or more</w:t>
            </w:r>
            <w:r w:rsidRPr="00715E7A">
              <w:rPr>
                <w:rFonts w:cs="Arial"/>
                <w:sz w:val="18"/>
                <w:szCs w:val="18"/>
              </w:rPr>
              <w:t xml:space="preserve"> sachets </w:t>
            </w:r>
            <w:r>
              <w:rPr>
                <w:rFonts w:cs="Arial"/>
                <w:sz w:val="18"/>
                <w:szCs w:val="18"/>
              </w:rPr>
              <w:t>per</w:t>
            </w:r>
            <w:r w:rsidRPr="00715E7A">
              <w:rPr>
                <w:rFonts w:cs="Arial"/>
                <w:sz w:val="18"/>
                <w:szCs w:val="18"/>
              </w:rPr>
              <w:t xml:space="preserve"> bait station. Dispose 1 station every 8 to </w:t>
            </w:r>
            <w:smartTag w:uri="urn:schemas-microsoft-com:office:smarttags" w:element="metricconverter">
              <w:smartTagPr>
                <w:attr w:name="ProductID" w:val="10 m"/>
              </w:smartTagPr>
              <w:r w:rsidRPr="00715E7A">
                <w:rPr>
                  <w:rFonts w:cs="Arial"/>
                  <w:sz w:val="18"/>
                  <w:szCs w:val="18"/>
                </w:rPr>
                <w:t>10 m</w:t>
              </w:r>
            </w:smartTag>
            <w:r>
              <w:rPr>
                <w:rFonts w:cs="Arial"/>
                <w:sz w:val="18"/>
                <w:szCs w:val="18"/>
              </w:rPr>
              <w:t>.</w:t>
            </w:r>
            <w:r>
              <w:rPr>
                <w:rFonts w:cs="Arial"/>
                <w:sz w:val="18"/>
                <w:szCs w:val="18"/>
              </w:rPr>
              <w:br/>
            </w:r>
          </w:p>
        </w:tc>
        <w:tc>
          <w:tcPr>
            <w:tcW w:w="1843" w:type="dxa"/>
          </w:tcPr>
          <w:p w:rsidR="00BA7C2C" w:rsidRPr="00715E7A" w:rsidRDefault="00BA7C2C" w:rsidP="00613EE2">
            <w:pPr>
              <w:rPr>
                <w:rFonts w:cs="Arial"/>
                <w:sz w:val="18"/>
                <w:szCs w:val="18"/>
              </w:rPr>
            </w:pPr>
            <w:r w:rsidRPr="00715E7A">
              <w:rPr>
                <w:rFonts w:cs="Arial"/>
                <w:sz w:val="18"/>
                <w:szCs w:val="18"/>
              </w:rPr>
              <w:t xml:space="preserve">Dispose the product, </w:t>
            </w:r>
            <w:r>
              <w:rPr>
                <w:rFonts w:cs="Arial"/>
                <w:sz w:val="18"/>
                <w:szCs w:val="18"/>
              </w:rPr>
              <w:t>check</w:t>
            </w:r>
            <w:r w:rsidRPr="00715E7A">
              <w:rPr>
                <w:rFonts w:cs="Arial"/>
                <w:sz w:val="18"/>
                <w:szCs w:val="18"/>
              </w:rPr>
              <w:t xml:space="preserve"> </w:t>
            </w:r>
            <w:r>
              <w:rPr>
                <w:rFonts w:cs="Arial"/>
                <w:sz w:val="18"/>
                <w:szCs w:val="18"/>
              </w:rPr>
              <w:t>3 days</w:t>
            </w:r>
            <w:r w:rsidRPr="00715E7A">
              <w:rPr>
                <w:rFonts w:cs="Arial"/>
                <w:sz w:val="18"/>
                <w:szCs w:val="18"/>
              </w:rPr>
              <w:t xml:space="preserve"> after first application, then every </w:t>
            </w:r>
            <w:r>
              <w:rPr>
                <w:rFonts w:cs="Arial"/>
                <w:sz w:val="18"/>
                <w:szCs w:val="18"/>
              </w:rPr>
              <w:t xml:space="preserve">week or </w:t>
            </w:r>
            <w:r w:rsidRPr="00715E7A">
              <w:rPr>
                <w:rFonts w:cs="Arial"/>
                <w:sz w:val="18"/>
                <w:szCs w:val="18"/>
              </w:rPr>
              <w:t>15 days.</w:t>
            </w:r>
          </w:p>
        </w:tc>
        <w:tc>
          <w:tcPr>
            <w:tcW w:w="3119" w:type="dxa"/>
          </w:tcPr>
          <w:p w:rsidR="00BA7C2C" w:rsidRPr="00715E7A" w:rsidRDefault="00BA7C2C"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 xml:space="preserve">. </w:t>
            </w:r>
            <w:r w:rsidRPr="00715E7A">
              <w:rPr>
                <w:rFonts w:cs="Arial"/>
                <w:sz w:val="18"/>
                <w:szCs w:val="18"/>
              </w:rPr>
              <w:t xml:space="preserve"> </w:t>
            </w:r>
            <w:r w:rsidRPr="009D1C74">
              <w:rPr>
                <w:rFonts w:cs="Arial"/>
                <w:sz w:val="18"/>
                <w:szCs w:val="18"/>
              </w:rPr>
              <w:t>In case that all bait is eaten, refill the station and use more bait stations and/or increase the control frequency.</w:t>
            </w:r>
          </w:p>
        </w:tc>
        <w:tc>
          <w:tcPr>
            <w:tcW w:w="1414" w:type="dxa"/>
            <w:vMerge/>
          </w:tcPr>
          <w:p w:rsidR="00BA7C2C" w:rsidRPr="00715E7A" w:rsidRDefault="00BA7C2C" w:rsidP="00613EE2">
            <w:pPr>
              <w:rPr>
                <w:rFonts w:cs="Arial"/>
              </w:rPr>
            </w:pPr>
          </w:p>
        </w:tc>
      </w:tr>
    </w:tbl>
    <w:p w:rsidR="00BA7C2C" w:rsidRPr="00184280" w:rsidRDefault="00BA7C2C" w:rsidP="00BA7C2C">
      <w:pPr>
        <w:rPr>
          <w:rFonts w:cs="Arial"/>
        </w:rPr>
      </w:pPr>
    </w:p>
    <w:p w:rsidR="00BA7C2C" w:rsidRPr="00715E7A" w:rsidRDefault="00BA7C2C" w:rsidP="00BA7C2C">
      <w:pPr>
        <w:tabs>
          <w:tab w:val="left" w:pos="900"/>
        </w:tabs>
        <w:autoSpaceDE w:val="0"/>
        <w:autoSpaceDN w:val="0"/>
        <w:adjustRightInd w:val="0"/>
        <w:rPr>
          <w:rFonts w:cs="Arial"/>
          <w:b/>
          <w:bCs/>
          <w:szCs w:val="22"/>
        </w:rPr>
      </w:pPr>
      <w:r w:rsidRPr="00715E7A">
        <w:rPr>
          <w:rFonts w:cs="Arial"/>
          <w:b/>
          <w:bCs/>
          <w:szCs w:val="22"/>
        </w:rPr>
        <w:t>2.5.3.2</w:t>
      </w:r>
      <w:r w:rsidRPr="00715E7A">
        <w:rPr>
          <w:rFonts w:cs="Arial"/>
          <w:b/>
          <w:bCs/>
          <w:szCs w:val="22"/>
        </w:rPr>
        <w:tab/>
        <w:t>Mode of action</w:t>
      </w:r>
    </w:p>
    <w:p w:rsidR="00BA7C2C" w:rsidRPr="007B3B14" w:rsidRDefault="00BA7C2C" w:rsidP="00BA7C2C">
      <w:pPr>
        <w:tabs>
          <w:tab w:val="left" w:pos="900"/>
        </w:tabs>
        <w:autoSpaceDE w:val="0"/>
        <w:autoSpaceDN w:val="0"/>
        <w:adjustRightInd w:val="0"/>
        <w:rPr>
          <w:rFonts w:cs="Arial"/>
          <w:szCs w:val="22"/>
        </w:rPr>
      </w:pPr>
      <w:r w:rsidRPr="007B3B14">
        <w:rPr>
          <w:rFonts w:cs="Arial"/>
          <w:szCs w:val="22"/>
        </w:rPr>
        <w:t xml:space="preserve">Bromadiolone is a second-generation single-dose anticoagulant rodenticide. It disrupts the normal blood clotting mechanisms resulting in increased bleeding tendency and, within a relatively short time frame (typically 2-4 days), profuse haemorrhage and death.  </w:t>
      </w:r>
    </w:p>
    <w:p w:rsidR="00BA7C2C" w:rsidRPr="007B3B14" w:rsidRDefault="00BA7C2C" w:rsidP="00BA7C2C">
      <w:pPr>
        <w:pStyle w:val="Standard-italics"/>
        <w:keepLines/>
        <w:spacing w:after="240"/>
        <w:ind w:right="-188"/>
        <w:rPr>
          <w:rFonts w:cs="Arial"/>
          <w:i w:val="0"/>
          <w:sz w:val="22"/>
          <w:szCs w:val="22"/>
        </w:rPr>
      </w:pPr>
      <w:r w:rsidRPr="007B3B14">
        <w:rPr>
          <w:rFonts w:cs="Arial"/>
          <w:i w:val="0"/>
          <w:sz w:val="22"/>
          <w:szCs w:val="22"/>
        </w:rPr>
        <w:t>As with other anticoagulant rodenticides, the active substance is a vitamin K antagonist.  It interferes with the regeneration of prothrombin, disturbing the normal blood clotting mechanisms and causing an increased tendency to haemorrhage.  The site of action is the liver, where several of the blood coagulation precursors undergo vitamin K dependent post translation processing before they are converted into the respective pro-coagulant zymogens.  The point of action appears to be the inhibition of K1 epoxide reductase.  Rodents usually die within three to six days of the first consumption.  Clinical symptoms may be observed around one to two days before death.</w:t>
      </w:r>
    </w:p>
    <w:p w:rsidR="00BA7C2C" w:rsidRPr="00715E7A" w:rsidRDefault="00BA7C2C" w:rsidP="00BA7C2C">
      <w:pPr>
        <w:tabs>
          <w:tab w:val="left" w:pos="900"/>
        </w:tabs>
        <w:autoSpaceDE w:val="0"/>
        <w:autoSpaceDN w:val="0"/>
        <w:adjustRightInd w:val="0"/>
        <w:rPr>
          <w:rFonts w:cs="Arial"/>
          <w:b/>
          <w:bCs/>
          <w:szCs w:val="22"/>
        </w:rPr>
      </w:pPr>
      <w:r w:rsidRPr="00715E7A">
        <w:rPr>
          <w:rFonts w:cs="Arial"/>
          <w:b/>
          <w:bCs/>
          <w:szCs w:val="22"/>
        </w:rPr>
        <w:t>2.5.3.3</w:t>
      </w:r>
      <w:r w:rsidRPr="00715E7A">
        <w:rPr>
          <w:rFonts w:cs="Arial"/>
          <w:b/>
          <w:bCs/>
          <w:szCs w:val="22"/>
        </w:rPr>
        <w:tab/>
        <w:t>Limitations</w:t>
      </w:r>
    </w:p>
    <w:p w:rsidR="00BA7C2C" w:rsidRPr="00715E7A" w:rsidRDefault="00BA7C2C" w:rsidP="00BA7C2C">
      <w:pPr>
        <w:rPr>
          <w:rFonts w:cs="Arial"/>
        </w:rPr>
      </w:pPr>
      <w:r w:rsidRPr="00715E7A">
        <w:rPr>
          <w:rFonts w:cs="Arial"/>
        </w:rPr>
        <w:t>The product is not recommended for the concomitant use with other specific biocidal products (5.11.3).</w:t>
      </w:r>
    </w:p>
    <w:p w:rsidR="00BA7C2C" w:rsidRDefault="00BA7C2C" w:rsidP="00BA7C2C">
      <w:pPr>
        <w:rPr>
          <w:rFonts w:cs="Arial"/>
        </w:rPr>
      </w:pPr>
    </w:p>
    <w:p w:rsidR="00BA7C2C" w:rsidRPr="00715E7A" w:rsidRDefault="00BA7C2C" w:rsidP="00BA7C2C">
      <w:pPr>
        <w:rPr>
          <w:rFonts w:cs="Arial"/>
        </w:rPr>
      </w:pPr>
      <w:r w:rsidRPr="00715E7A">
        <w:rPr>
          <w:rFonts w:cs="Arial"/>
        </w:rPr>
        <w:lastRenderedPageBreak/>
        <w:t xml:space="preserve">For the authorisation of rodenticides for controlling rats, the RMS, the </w:t>
      </w:r>
      <w:smartTag w:uri="urn:schemas-microsoft-com:office:smarttags" w:element="place">
        <w:smartTag w:uri="urn:schemas-microsoft-com:office:smarttags" w:element="country-region">
          <w:smartTag w:uri="urn:schemas-microsoft-com:office:smarttags" w:element="PersonName">
            <w:r w:rsidRPr="00715E7A">
              <w:rPr>
                <w:rFonts w:cs="Arial"/>
              </w:rPr>
              <w:t>Netherlands</w:t>
            </w:r>
          </w:smartTag>
        </w:smartTag>
      </w:smartTag>
      <w:r w:rsidRPr="00715E7A">
        <w:rPr>
          <w:rFonts w:cs="Arial"/>
        </w:rPr>
        <w:t xml:space="preserve">, is of the opinion that the general public is not able to use rodenticides against rats in a correct way. Incorrect use can cause resistance in rats which will increase problems of controlling rats in the future. Furthermore, in the </w:t>
      </w:r>
      <w:smartTag w:uri="urn:schemas-microsoft-com:office:smarttags" w:element="place">
        <w:smartTag w:uri="urn:schemas-microsoft-com:office:smarttags" w:element="country-region">
          <w:smartTag w:uri="urn:schemas-microsoft-com:office:smarttags" w:element="PersonName">
            <w:r w:rsidRPr="00715E7A">
              <w:rPr>
                <w:rFonts w:cs="Arial"/>
              </w:rPr>
              <w:t>Netherlands</w:t>
            </w:r>
          </w:smartTag>
        </w:smartTag>
      </w:smartTag>
      <w:r w:rsidRPr="00715E7A">
        <w:rPr>
          <w:rFonts w:cs="Arial"/>
        </w:rPr>
        <w:t xml:space="preserve"> the control of rats and use of rodenticides against rats is restricted to licensed professional users and rodenticides against rats have never been used by the general public. Therefore the authorisation of rodenticides for controlling rats in the </w:t>
      </w:r>
      <w:smartTag w:uri="urn:schemas-microsoft-com:office:smarttags" w:element="place">
        <w:smartTag w:uri="urn:schemas-microsoft-com:office:smarttags" w:element="country-region">
          <w:smartTag w:uri="urn:schemas-microsoft-com:office:smarttags" w:element="PersonName">
            <w:r w:rsidRPr="00715E7A">
              <w:rPr>
                <w:rFonts w:cs="Arial"/>
              </w:rPr>
              <w:t>Netherlands</w:t>
            </w:r>
          </w:smartTag>
        </w:smartTag>
      </w:smartTag>
      <w:r w:rsidRPr="00715E7A">
        <w:rPr>
          <w:rFonts w:cs="Arial"/>
        </w:rPr>
        <w:t xml:space="preserve"> is restricted to licensed professional users only due to national policy.</w:t>
      </w:r>
    </w:p>
    <w:p w:rsidR="00BA7C2C" w:rsidRDefault="00BA7C2C" w:rsidP="00BA7C2C">
      <w:pPr>
        <w:tabs>
          <w:tab w:val="left" w:pos="900"/>
        </w:tabs>
        <w:autoSpaceDE w:val="0"/>
        <w:autoSpaceDN w:val="0"/>
        <w:adjustRightInd w:val="0"/>
        <w:rPr>
          <w:rFonts w:cs="Arial"/>
          <w:szCs w:val="22"/>
        </w:rPr>
      </w:pPr>
    </w:p>
    <w:p w:rsidR="00BA7C2C" w:rsidRDefault="00BA7C2C" w:rsidP="00BA7C2C">
      <w:pPr>
        <w:tabs>
          <w:tab w:val="left" w:pos="900"/>
        </w:tabs>
        <w:autoSpaceDE w:val="0"/>
        <w:autoSpaceDN w:val="0"/>
        <w:adjustRightInd w:val="0"/>
        <w:rPr>
          <w:rFonts w:cs="Arial"/>
          <w:bCs/>
          <w:szCs w:val="22"/>
        </w:rPr>
      </w:pPr>
      <w:r w:rsidRPr="0046234A">
        <w:rPr>
          <w:rFonts w:cs="Arial"/>
          <w:szCs w:val="22"/>
        </w:rPr>
        <w:t>Efficacy in sewers has not been demonstrated</w:t>
      </w:r>
      <w:r>
        <w:rPr>
          <w:rFonts w:cs="Arial"/>
          <w:szCs w:val="22"/>
        </w:rPr>
        <w:t xml:space="preserve">. Furthermore, </w:t>
      </w:r>
      <w:r>
        <w:rPr>
          <w:rFonts w:cs="Arial"/>
          <w:bCs/>
          <w:szCs w:val="22"/>
        </w:rPr>
        <w:t>t</w:t>
      </w:r>
      <w:r w:rsidRPr="00775495">
        <w:rPr>
          <w:rFonts w:cs="Arial"/>
          <w:bCs/>
          <w:szCs w:val="22"/>
        </w:rPr>
        <w:t xml:space="preserve">he Dutch CA is of the opinion considering the risk of primary and secondary poising determined in the PAR, the use needs to be restricted to indoor use only for authorization in the </w:t>
      </w:r>
      <w:smartTag w:uri="urn:schemas-microsoft-com:office:smarttags" w:element="place">
        <w:smartTag w:uri="urn:schemas-microsoft-com:office:smarttags" w:element="country-region">
          <w:r w:rsidRPr="00775495">
            <w:rPr>
              <w:rFonts w:cs="Arial"/>
              <w:bCs/>
              <w:szCs w:val="22"/>
            </w:rPr>
            <w:t>Netherlands</w:t>
          </w:r>
        </w:smartTag>
      </w:smartTag>
      <w:r>
        <w:rPr>
          <w:rFonts w:cs="Arial"/>
          <w:bCs/>
          <w:szCs w:val="22"/>
        </w:rPr>
        <w:t xml:space="preserve"> (see section 2.8)</w:t>
      </w:r>
      <w:r w:rsidRPr="00775495">
        <w:rPr>
          <w:rFonts w:cs="Arial"/>
          <w:bCs/>
          <w:szCs w:val="22"/>
        </w:rPr>
        <w:t xml:space="preserve">. </w:t>
      </w:r>
    </w:p>
    <w:p w:rsidR="00BA7C2C" w:rsidRPr="0046234A" w:rsidRDefault="00BA7C2C" w:rsidP="00BA7C2C">
      <w:pPr>
        <w:tabs>
          <w:tab w:val="left" w:pos="900"/>
        </w:tabs>
        <w:autoSpaceDE w:val="0"/>
        <w:autoSpaceDN w:val="0"/>
        <w:adjustRightInd w:val="0"/>
        <w:rPr>
          <w:rFonts w:cs="Arial"/>
          <w:szCs w:val="22"/>
        </w:rPr>
      </w:pPr>
      <w:r>
        <w:rPr>
          <w:rFonts w:cs="Arial"/>
          <w:szCs w:val="22"/>
        </w:rPr>
        <w:t>T</w:t>
      </w:r>
      <w:r w:rsidRPr="0046234A">
        <w:rPr>
          <w:rFonts w:cs="Arial"/>
          <w:szCs w:val="22"/>
        </w:rPr>
        <w:t>he area of use is</w:t>
      </w:r>
      <w:r>
        <w:rPr>
          <w:rFonts w:cs="Arial"/>
          <w:szCs w:val="22"/>
        </w:rPr>
        <w:t xml:space="preserve"> therefore</w:t>
      </w:r>
      <w:r w:rsidRPr="0046234A">
        <w:rPr>
          <w:rFonts w:cs="Arial"/>
          <w:szCs w:val="22"/>
        </w:rPr>
        <w:t xml:space="preserve"> restricted for professionals to </w:t>
      </w:r>
      <w:r w:rsidRPr="0046234A">
        <w:rPr>
          <w:rFonts w:cs="Arial"/>
        </w:rPr>
        <w:t>in and around buildings, and waste dumps and for non-professionals to in and around buildings.</w:t>
      </w:r>
    </w:p>
    <w:p w:rsidR="00BA7C2C" w:rsidRDefault="00BA7C2C" w:rsidP="00BA7C2C">
      <w:pPr>
        <w:pStyle w:val="Plattetekst"/>
        <w:spacing w:line="240" w:lineRule="auto"/>
        <w:rPr>
          <w:rFonts w:cs="Arial"/>
        </w:rPr>
      </w:pPr>
    </w:p>
    <w:p w:rsidR="00BA7C2C" w:rsidRPr="00715E7A" w:rsidRDefault="00BA7C2C" w:rsidP="00BA7C2C">
      <w:pPr>
        <w:tabs>
          <w:tab w:val="left" w:pos="900"/>
        </w:tabs>
        <w:autoSpaceDE w:val="0"/>
        <w:autoSpaceDN w:val="0"/>
        <w:adjustRightInd w:val="0"/>
        <w:rPr>
          <w:rFonts w:cs="Arial"/>
          <w:b/>
          <w:bCs/>
          <w:szCs w:val="22"/>
        </w:rPr>
      </w:pPr>
      <w:r w:rsidRPr="00715E7A">
        <w:rPr>
          <w:rFonts w:cs="Arial"/>
          <w:b/>
          <w:bCs/>
          <w:szCs w:val="22"/>
        </w:rPr>
        <w:t>2.5.3.4</w:t>
      </w:r>
      <w:r w:rsidRPr="00715E7A">
        <w:rPr>
          <w:rFonts w:cs="Arial"/>
          <w:b/>
          <w:bCs/>
          <w:szCs w:val="22"/>
        </w:rPr>
        <w:tab/>
        <w:t>Resistance</w:t>
      </w:r>
    </w:p>
    <w:p w:rsidR="00BA7C2C" w:rsidRPr="00B91798" w:rsidRDefault="00BA7C2C" w:rsidP="00BA7C2C">
      <w:pPr>
        <w:tabs>
          <w:tab w:val="left" w:pos="900"/>
        </w:tabs>
        <w:autoSpaceDE w:val="0"/>
        <w:autoSpaceDN w:val="0"/>
        <w:adjustRightInd w:val="0"/>
        <w:rPr>
          <w:rFonts w:cs="Arial"/>
        </w:rPr>
      </w:pPr>
      <w:r w:rsidRPr="00B91798">
        <w:rPr>
          <w:rFonts w:cs="Arial"/>
        </w:rPr>
        <w:t>Bromadiolone paste is effic</w:t>
      </w:r>
      <w:r>
        <w:rPr>
          <w:rFonts w:cs="Arial"/>
        </w:rPr>
        <w:t>acious</w:t>
      </w:r>
      <w:r w:rsidRPr="00B91798">
        <w:rPr>
          <w:rFonts w:cs="Arial"/>
        </w:rPr>
        <w:t xml:space="preserve"> against </w:t>
      </w:r>
      <w:r>
        <w:rPr>
          <w:rFonts w:cs="Arial"/>
        </w:rPr>
        <w:t xml:space="preserve">warfarin </w:t>
      </w:r>
      <w:r w:rsidRPr="00B91798">
        <w:rPr>
          <w:rFonts w:cs="Arial"/>
        </w:rPr>
        <w:t xml:space="preserve">resistant </w:t>
      </w:r>
      <w:r>
        <w:rPr>
          <w:rFonts w:cs="Arial"/>
        </w:rPr>
        <w:t>(</w:t>
      </w:r>
      <w:r w:rsidRPr="00B91798">
        <w:rPr>
          <w:rFonts w:cs="Arial"/>
        </w:rPr>
        <w:t>first generation anticoagulant</w:t>
      </w:r>
      <w:r>
        <w:rPr>
          <w:rFonts w:cs="Arial"/>
        </w:rPr>
        <w:t>)</w:t>
      </w:r>
      <w:r w:rsidRPr="00B91798">
        <w:rPr>
          <w:rFonts w:cs="Arial"/>
        </w:rPr>
        <w:t xml:space="preserve"> rodents (rats and mice).</w:t>
      </w:r>
    </w:p>
    <w:p w:rsidR="00BA7C2C" w:rsidRDefault="00BA7C2C" w:rsidP="00BA7C2C">
      <w:pPr>
        <w:tabs>
          <w:tab w:val="left" w:pos="900"/>
        </w:tabs>
        <w:autoSpaceDE w:val="0"/>
        <w:autoSpaceDN w:val="0"/>
        <w:adjustRightInd w:val="0"/>
        <w:rPr>
          <w:rFonts w:cs="Arial"/>
        </w:rPr>
      </w:pPr>
      <w:r w:rsidRPr="00B91798">
        <w:rPr>
          <w:rFonts w:cs="Arial"/>
        </w:rPr>
        <w:t xml:space="preserve">Some suspected cases of resistance to bromadiolone have been reported in some areas in the </w:t>
      </w:r>
      <w:smartTag w:uri="urn:schemas-microsoft-com:office:smarttags" w:element="place">
        <w:smartTag w:uri="urn:schemas-microsoft-com:office:smarttags" w:element="country-region">
          <w:r w:rsidRPr="00B91798">
            <w:rPr>
              <w:rFonts w:cs="Arial"/>
            </w:rPr>
            <w:t>UK</w:t>
          </w:r>
        </w:smartTag>
      </w:smartTag>
      <w:r w:rsidRPr="00B91798">
        <w:rPr>
          <w:rFonts w:cs="Arial"/>
        </w:rPr>
        <w:t xml:space="preserve">. </w:t>
      </w:r>
      <w:r>
        <w:rPr>
          <w:rFonts w:cs="Arial"/>
        </w:rPr>
        <w:t>Therefore, a</w:t>
      </w:r>
      <w:r w:rsidRPr="00B91798">
        <w:rPr>
          <w:rFonts w:cs="Arial"/>
        </w:rPr>
        <w:t xml:space="preserve"> management strategy </w:t>
      </w:r>
      <w:r>
        <w:rPr>
          <w:rFonts w:cs="Arial"/>
        </w:rPr>
        <w:t xml:space="preserve">should be outlined </w:t>
      </w:r>
      <w:r w:rsidRPr="00B91798">
        <w:rPr>
          <w:rFonts w:cs="Arial"/>
        </w:rPr>
        <w:t>to minimise the likelihood of resistance to the active substance developing in the target species</w:t>
      </w:r>
      <w:r>
        <w:rPr>
          <w:rFonts w:cs="Arial"/>
        </w:rPr>
        <w:t>.</w:t>
      </w:r>
    </w:p>
    <w:p w:rsidR="00BA7C2C" w:rsidRPr="00B91798" w:rsidRDefault="00BA7C2C" w:rsidP="00BA7C2C">
      <w:pPr>
        <w:tabs>
          <w:tab w:val="left" w:pos="900"/>
        </w:tabs>
        <w:autoSpaceDE w:val="0"/>
        <w:autoSpaceDN w:val="0"/>
        <w:adjustRightInd w:val="0"/>
        <w:rPr>
          <w:rFonts w:cs="Arial"/>
        </w:rPr>
      </w:pPr>
    </w:p>
    <w:p w:rsidR="00BA7C2C" w:rsidRPr="00715E7A" w:rsidRDefault="00BA7C2C" w:rsidP="00BA7C2C">
      <w:pPr>
        <w:tabs>
          <w:tab w:val="left" w:pos="900"/>
        </w:tabs>
        <w:autoSpaceDE w:val="0"/>
        <w:autoSpaceDN w:val="0"/>
        <w:adjustRightInd w:val="0"/>
        <w:rPr>
          <w:rFonts w:cs="Arial"/>
          <w:b/>
          <w:bCs/>
          <w:szCs w:val="22"/>
        </w:rPr>
      </w:pPr>
      <w:r w:rsidRPr="00715E7A">
        <w:rPr>
          <w:rFonts w:cs="Arial"/>
          <w:b/>
          <w:bCs/>
          <w:szCs w:val="22"/>
        </w:rPr>
        <w:t>2.5.3.4</w:t>
      </w:r>
      <w:r w:rsidRPr="00715E7A">
        <w:rPr>
          <w:rFonts w:cs="Arial"/>
          <w:b/>
          <w:bCs/>
          <w:szCs w:val="22"/>
        </w:rPr>
        <w:tab/>
        <w:t xml:space="preserve">Resistance management strategy </w:t>
      </w:r>
    </w:p>
    <w:p w:rsidR="00BA7C2C" w:rsidRPr="00B91798" w:rsidRDefault="00BA7C2C" w:rsidP="00BA7C2C">
      <w:pPr>
        <w:tabs>
          <w:tab w:val="left" w:pos="900"/>
        </w:tabs>
        <w:autoSpaceDE w:val="0"/>
        <w:autoSpaceDN w:val="0"/>
        <w:adjustRightInd w:val="0"/>
        <w:rPr>
          <w:rFonts w:cs="Arial"/>
        </w:rPr>
      </w:pPr>
      <w:r w:rsidRPr="00B91798">
        <w:rPr>
          <w:rFonts w:cs="Arial"/>
        </w:rPr>
        <w:t xml:space="preserve">A management strategy to minimise the likelihood of resistance to the active substance developing in the target species </w:t>
      </w:r>
      <w:r>
        <w:rPr>
          <w:rFonts w:cs="Arial"/>
        </w:rPr>
        <w:t xml:space="preserve">was provided by the applicant. It </w:t>
      </w:r>
      <w:r w:rsidRPr="00B91798">
        <w:rPr>
          <w:rFonts w:cs="Arial"/>
        </w:rPr>
        <w:t>consists of the following three components:</w:t>
      </w:r>
    </w:p>
    <w:p w:rsidR="00BA7C2C" w:rsidRDefault="00BA7C2C" w:rsidP="00BA7C2C">
      <w:pPr>
        <w:tabs>
          <w:tab w:val="left" w:pos="900"/>
        </w:tabs>
        <w:autoSpaceDE w:val="0"/>
        <w:autoSpaceDN w:val="0"/>
        <w:adjustRightInd w:val="0"/>
        <w:rPr>
          <w:rFonts w:cs="Arial"/>
        </w:rPr>
      </w:pPr>
    </w:p>
    <w:p w:rsidR="00BA7C2C" w:rsidRPr="00B91798" w:rsidRDefault="00BA7C2C" w:rsidP="00BA7C2C">
      <w:pPr>
        <w:tabs>
          <w:tab w:val="left" w:pos="900"/>
        </w:tabs>
        <w:autoSpaceDE w:val="0"/>
        <w:autoSpaceDN w:val="0"/>
        <w:adjustRightInd w:val="0"/>
        <w:rPr>
          <w:rFonts w:cs="Arial"/>
        </w:rPr>
      </w:pPr>
      <w:r w:rsidRPr="00B91798">
        <w:rPr>
          <w:rFonts w:cs="Arial"/>
        </w:rPr>
        <w:t>Firstly, in general ineffective use of anticoagulant rodenticides is often misdiagnosed as resistance.  The success of a control campaign is often depend</w:t>
      </w:r>
      <w:r>
        <w:rPr>
          <w:rFonts w:cs="Arial"/>
        </w:rPr>
        <w:t>e</w:t>
      </w:r>
      <w:r w:rsidRPr="00B91798">
        <w:rPr>
          <w:rFonts w:cs="Arial"/>
        </w:rPr>
        <w:t xml:space="preserve">nt on how the control measures are conducted in practice.  It is therefore most important to select an appropriate control strategy.  An effective control programme needs to consider the following aspects:  </w:t>
      </w:r>
    </w:p>
    <w:p w:rsidR="00BA7C2C" w:rsidRPr="00B91798" w:rsidRDefault="00BA7C2C" w:rsidP="00BA7C2C">
      <w:pPr>
        <w:numPr>
          <w:ilvl w:val="0"/>
          <w:numId w:val="18"/>
        </w:numPr>
        <w:tabs>
          <w:tab w:val="left" w:pos="900"/>
        </w:tabs>
        <w:autoSpaceDE w:val="0"/>
        <w:autoSpaceDN w:val="0"/>
        <w:adjustRightInd w:val="0"/>
        <w:spacing w:line="260" w:lineRule="atLeast"/>
        <w:rPr>
          <w:rFonts w:cs="Arial"/>
        </w:rPr>
      </w:pPr>
      <w:r w:rsidRPr="00B91798">
        <w:rPr>
          <w:rFonts w:cs="Arial"/>
        </w:rPr>
        <w:t>Identification of target organism and selection of an appropriate product.</w:t>
      </w:r>
    </w:p>
    <w:p w:rsidR="00BA7C2C" w:rsidRPr="00B91798" w:rsidRDefault="00BA7C2C" w:rsidP="00BA7C2C">
      <w:pPr>
        <w:numPr>
          <w:ilvl w:val="0"/>
          <w:numId w:val="18"/>
        </w:numPr>
        <w:tabs>
          <w:tab w:val="left" w:pos="900"/>
        </w:tabs>
        <w:autoSpaceDE w:val="0"/>
        <w:autoSpaceDN w:val="0"/>
        <w:adjustRightInd w:val="0"/>
        <w:spacing w:line="260" w:lineRule="atLeast"/>
        <w:rPr>
          <w:rFonts w:cs="Arial"/>
        </w:rPr>
      </w:pPr>
      <w:r w:rsidRPr="00B91798">
        <w:rPr>
          <w:rFonts w:cs="Arial"/>
        </w:rPr>
        <w:t>Correct positioning of bait stations.</w:t>
      </w:r>
    </w:p>
    <w:p w:rsidR="00BA7C2C" w:rsidRPr="00B91798" w:rsidRDefault="00BA7C2C" w:rsidP="00BA7C2C">
      <w:pPr>
        <w:numPr>
          <w:ilvl w:val="0"/>
          <w:numId w:val="18"/>
        </w:numPr>
        <w:tabs>
          <w:tab w:val="left" w:pos="900"/>
        </w:tabs>
        <w:autoSpaceDE w:val="0"/>
        <w:autoSpaceDN w:val="0"/>
        <w:adjustRightInd w:val="0"/>
        <w:spacing w:line="260" w:lineRule="atLeast"/>
        <w:rPr>
          <w:rFonts w:cs="Arial"/>
        </w:rPr>
      </w:pPr>
      <w:r w:rsidRPr="00B91798">
        <w:rPr>
          <w:rFonts w:cs="Arial"/>
        </w:rPr>
        <w:t>Attractiveness of bait selected/competition with abundant food sources.</w:t>
      </w:r>
    </w:p>
    <w:p w:rsidR="00BA7C2C" w:rsidRPr="00B91798" w:rsidRDefault="00BA7C2C" w:rsidP="00BA7C2C">
      <w:pPr>
        <w:numPr>
          <w:ilvl w:val="0"/>
          <w:numId w:val="18"/>
        </w:numPr>
        <w:tabs>
          <w:tab w:val="left" w:pos="900"/>
        </w:tabs>
        <w:autoSpaceDE w:val="0"/>
        <w:autoSpaceDN w:val="0"/>
        <w:adjustRightInd w:val="0"/>
        <w:spacing w:line="260" w:lineRule="atLeast"/>
        <w:rPr>
          <w:rFonts w:cs="Arial"/>
        </w:rPr>
      </w:pPr>
      <w:r w:rsidRPr="00B91798">
        <w:rPr>
          <w:rFonts w:cs="Arial"/>
        </w:rPr>
        <w:t>Baiting for an adequate time.</w:t>
      </w:r>
    </w:p>
    <w:p w:rsidR="00BA7C2C" w:rsidRDefault="00BA7C2C" w:rsidP="00BA7C2C">
      <w:pPr>
        <w:numPr>
          <w:ilvl w:val="0"/>
          <w:numId w:val="18"/>
        </w:numPr>
        <w:tabs>
          <w:tab w:val="left" w:pos="900"/>
        </w:tabs>
        <w:autoSpaceDE w:val="0"/>
        <w:autoSpaceDN w:val="0"/>
        <w:adjustRightInd w:val="0"/>
        <w:spacing w:line="260" w:lineRule="atLeast"/>
        <w:rPr>
          <w:rFonts w:cs="Arial"/>
        </w:rPr>
      </w:pPr>
      <w:r w:rsidRPr="00B91798">
        <w:rPr>
          <w:rFonts w:cs="Arial"/>
        </w:rPr>
        <w:t>Understanding the extent and area of infestation to ensure an adequate amount is used over a sufficient area.</w:t>
      </w:r>
    </w:p>
    <w:p w:rsidR="00BA7C2C" w:rsidRPr="00B91798" w:rsidRDefault="00BA7C2C" w:rsidP="00BA7C2C">
      <w:pPr>
        <w:numPr>
          <w:ilvl w:val="0"/>
          <w:numId w:val="18"/>
        </w:numPr>
        <w:tabs>
          <w:tab w:val="left" w:pos="900"/>
        </w:tabs>
        <w:autoSpaceDE w:val="0"/>
        <w:autoSpaceDN w:val="0"/>
        <w:adjustRightInd w:val="0"/>
        <w:spacing w:line="260" w:lineRule="atLeast"/>
        <w:rPr>
          <w:rFonts w:cs="Arial"/>
        </w:rPr>
      </w:pPr>
      <w:r w:rsidRPr="00B91798">
        <w:rPr>
          <w:rFonts w:cs="Arial"/>
        </w:rPr>
        <w:t>Immigration from neighbouring populations</w:t>
      </w:r>
      <w:r>
        <w:rPr>
          <w:rFonts w:cs="Arial"/>
        </w:rPr>
        <w:t>.</w:t>
      </w:r>
    </w:p>
    <w:p w:rsidR="00BA7C2C" w:rsidRPr="00B91798" w:rsidRDefault="00BA7C2C" w:rsidP="00BA7C2C">
      <w:pPr>
        <w:tabs>
          <w:tab w:val="left" w:pos="900"/>
        </w:tabs>
        <w:autoSpaceDE w:val="0"/>
        <w:autoSpaceDN w:val="0"/>
        <w:adjustRightInd w:val="0"/>
        <w:rPr>
          <w:rFonts w:cs="Arial"/>
        </w:rPr>
      </w:pPr>
    </w:p>
    <w:p w:rsidR="00BA7C2C" w:rsidRPr="00B91798" w:rsidRDefault="00BA7C2C" w:rsidP="00BA7C2C">
      <w:pPr>
        <w:tabs>
          <w:tab w:val="left" w:pos="900"/>
        </w:tabs>
        <w:autoSpaceDE w:val="0"/>
        <w:autoSpaceDN w:val="0"/>
        <w:adjustRightInd w:val="0"/>
        <w:rPr>
          <w:rFonts w:cs="Arial"/>
        </w:rPr>
      </w:pPr>
      <w:r w:rsidRPr="00B91798">
        <w:rPr>
          <w:rFonts w:cs="Arial"/>
        </w:rPr>
        <w:t>Secondly, to avoid the development of resistance in susceptible rodent populations the following points should be adopted for all control programmes:</w:t>
      </w:r>
    </w:p>
    <w:p w:rsidR="00BA7C2C"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 xml:space="preserve">Use anticoagulant rodenticides.  </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Ensure that all baiting points are inspected weekly and old bait replaced where necessary.</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Undertake treatment according to the label until the infestation is completely cleared.</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On completion of the treatment remove all unused baits.</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Do not use anticoagulant rodenticides as permanent baits routinely.  Use permanent baits only where there is a clear and identified risk of immigration or introduction or where protection is afforded to high risk areas.</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lastRenderedPageBreak/>
        <w:t>Monitoring of rodent activity should be undertaken using visual survey, through the use of non-toxic placebo monitors or by other effective means.</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Record details of treatment.</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Where rodent activity persists due to problems other than resistance, use alternate baits or baiting strategy, extend the baiting programme or apply alternate control techniques to eliminate the residual infestation (acute or sub-acute rodenticides, gassing or trapping).</w:t>
      </w:r>
    </w:p>
    <w:p w:rsidR="00BA7C2C" w:rsidRPr="00B91798"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Ensure that complete elimination of the infestation is achieved.</w:t>
      </w:r>
    </w:p>
    <w:p w:rsidR="00BA7C2C" w:rsidRDefault="00BA7C2C" w:rsidP="00BA7C2C">
      <w:pPr>
        <w:numPr>
          <w:ilvl w:val="0"/>
          <w:numId w:val="19"/>
        </w:numPr>
        <w:tabs>
          <w:tab w:val="left" w:pos="900"/>
        </w:tabs>
        <w:autoSpaceDE w:val="0"/>
        <w:autoSpaceDN w:val="0"/>
        <w:adjustRightInd w:val="0"/>
        <w:spacing w:line="260" w:lineRule="atLeast"/>
        <w:rPr>
          <w:rFonts w:cs="Arial"/>
        </w:rPr>
      </w:pPr>
      <w:r w:rsidRPr="00B91798">
        <w:rPr>
          <w:rFonts w:cs="Arial"/>
        </w:rPr>
        <w:t>As appropriate during the rodenticide treatment apply effective Integrated Pest Management measures (remove alternate food sources, remove water sources, remove harbourage and proof susceptible areas against rodent access).</w:t>
      </w:r>
    </w:p>
    <w:p w:rsidR="00BA7C2C" w:rsidRPr="00B91798" w:rsidRDefault="00BA7C2C" w:rsidP="00BA7C2C">
      <w:pPr>
        <w:tabs>
          <w:tab w:val="left" w:pos="900"/>
        </w:tabs>
        <w:autoSpaceDE w:val="0"/>
        <w:autoSpaceDN w:val="0"/>
        <w:adjustRightInd w:val="0"/>
        <w:ind w:left="360"/>
        <w:rPr>
          <w:rFonts w:cs="Arial"/>
        </w:rPr>
      </w:pPr>
    </w:p>
    <w:p w:rsidR="00BA7C2C" w:rsidRPr="00B91798" w:rsidRDefault="00BA7C2C" w:rsidP="00BA7C2C">
      <w:pPr>
        <w:tabs>
          <w:tab w:val="left" w:pos="900"/>
        </w:tabs>
        <w:autoSpaceDE w:val="0"/>
        <w:autoSpaceDN w:val="0"/>
        <w:adjustRightInd w:val="0"/>
        <w:rPr>
          <w:rFonts w:cs="Arial"/>
        </w:rPr>
      </w:pPr>
      <w:r w:rsidRPr="00B91798">
        <w:rPr>
          <w:rFonts w:cs="Arial"/>
        </w:rPr>
        <w:t xml:space="preserve">Thirdly, when resistance to anticoagulants is suspected or identified, the following should be conducted:  </w:t>
      </w:r>
    </w:p>
    <w:p w:rsidR="00BA7C2C" w:rsidRPr="00B91798" w:rsidRDefault="00BA7C2C" w:rsidP="00BA7C2C">
      <w:pPr>
        <w:numPr>
          <w:ilvl w:val="0"/>
          <w:numId w:val="20"/>
        </w:numPr>
        <w:tabs>
          <w:tab w:val="left" w:pos="900"/>
        </w:tabs>
        <w:autoSpaceDE w:val="0"/>
        <w:autoSpaceDN w:val="0"/>
        <w:adjustRightInd w:val="0"/>
        <w:spacing w:line="260" w:lineRule="atLeast"/>
        <w:rPr>
          <w:rFonts w:cs="Arial"/>
        </w:rPr>
      </w:pPr>
      <w:r w:rsidRPr="00B91798">
        <w:rPr>
          <w:rFonts w:cs="Arial"/>
        </w:rPr>
        <w:t>Where rodent infestations containing resistant individuals are identified, immediately use an alternate anticoagulant of the same potency.  If in doubt, seek expert advice on the local circumstances.</w:t>
      </w:r>
    </w:p>
    <w:p w:rsidR="00BA7C2C" w:rsidRPr="00B91798" w:rsidRDefault="00BA7C2C" w:rsidP="00BA7C2C">
      <w:pPr>
        <w:numPr>
          <w:ilvl w:val="0"/>
          <w:numId w:val="20"/>
        </w:numPr>
        <w:tabs>
          <w:tab w:val="left" w:pos="900"/>
        </w:tabs>
        <w:autoSpaceDE w:val="0"/>
        <w:autoSpaceDN w:val="0"/>
        <w:adjustRightInd w:val="0"/>
        <w:spacing w:line="260" w:lineRule="atLeast"/>
        <w:rPr>
          <w:rFonts w:cs="Arial"/>
        </w:rPr>
      </w:pPr>
      <w:r w:rsidRPr="00B91798">
        <w:rPr>
          <w:rFonts w:cs="Arial"/>
        </w:rPr>
        <w:t>Alternatively use an acute or sub-acute but non-anticoagulant rodenticide.</w:t>
      </w:r>
    </w:p>
    <w:p w:rsidR="00BA7C2C" w:rsidRPr="00B91798" w:rsidRDefault="00BA7C2C" w:rsidP="00BA7C2C">
      <w:pPr>
        <w:numPr>
          <w:ilvl w:val="0"/>
          <w:numId w:val="20"/>
        </w:numPr>
        <w:tabs>
          <w:tab w:val="left" w:pos="900"/>
        </w:tabs>
        <w:autoSpaceDE w:val="0"/>
        <w:autoSpaceDN w:val="0"/>
        <w:adjustRightInd w:val="0"/>
        <w:spacing w:line="260" w:lineRule="atLeast"/>
        <w:rPr>
          <w:rFonts w:cs="Arial"/>
        </w:rPr>
      </w:pPr>
      <w:r w:rsidRPr="00B91798">
        <w:rPr>
          <w:rFonts w:cs="Arial"/>
        </w:rPr>
        <w:t>In both cases it is essential that complete elimination of the rodent population is achieved.  Gassing or fumigation may be useful in specific situations.</w:t>
      </w:r>
    </w:p>
    <w:p w:rsidR="00BA7C2C" w:rsidRPr="00B91798" w:rsidRDefault="00BA7C2C" w:rsidP="00BA7C2C">
      <w:pPr>
        <w:numPr>
          <w:ilvl w:val="0"/>
          <w:numId w:val="20"/>
        </w:numPr>
        <w:tabs>
          <w:tab w:val="left" w:pos="900"/>
        </w:tabs>
        <w:autoSpaceDE w:val="0"/>
        <w:autoSpaceDN w:val="0"/>
        <w:adjustRightInd w:val="0"/>
        <w:spacing w:line="260" w:lineRule="atLeast"/>
        <w:rPr>
          <w:rFonts w:cs="Arial"/>
        </w:rPr>
      </w:pPr>
      <w:r w:rsidRPr="00B91798">
        <w:rPr>
          <w:rFonts w:cs="Arial"/>
        </w:rPr>
        <w:t>Apply thorough Integrated Pest Management procedures (environmental hygiene, proofing and exclusion).</w:t>
      </w:r>
    </w:p>
    <w:p w:rsidR="00BA7C2C" w:rsidRPr="00B91798" w:rsidRDefault="00BA7C2C" w:rsidP="00BA7C2C">
      <w:pPr>
        <w:numPr>
          <w:ilvl w:val="0"/>
          <w:numId w:val="20"/>
        </w:numPr>
        <w:tabs>
          <w:tab w:val="left" w:pos="900"/>
        </w:tabs>
        <w:autoSpaceDE w:val="0"/>
        <w:autoSpaceDN w:val="0"/>
        <w:adjustRightInd w:val="0"/>
        <w:spacing w:line="260" w:lineRule="atLeast"/>
        <w:rPr>
          <w:rFonts w:cs="Arial"/>
        </w:rPr>
      </w:pPr>
      <w:r w:rsidRPr="00B91798">
        <w:rPr>
          <w:rFonts w:cs="Arial"/>
        </w:rPr>
        <w:t xml:space="preserve">Do not use anticoagulant rodenticides as permanent baits as routine.  Use permanent baits only where there is a clear and identified risk of immigration or introduction or where protection is afforded to high risk areas.  </w:t>
      </w:r>
    </w:p>
    <w:p w:rsidR="00BA7C2C" w:rsidRDefault="00BA7C2C" w:rsidP="00BA7C2C">
      <w:pPr>
        <w:numPr>
          <w:ilvl w:val="0"/>
          <w:numId w:val="20"/>
        </w:numPr>
        <w:tabs>
          <w:tab w:val="left" w:pos="900"/>
        </w:tabs>
        <w:autoSpaceDE w:val="0"/>
        <w:autoSpaceDN w:val="0"/>
        <w:adjustRightInd w:val="0"/>
        <w:spacing w:line="260" w:lineRule="atLeast"/>
        <w:rPr>
          <w:rFonts w:cs="Arial"/>
        </w:rPr>
      </w:pPr>
      <w:r w:rsidRPr="00B91798">
        <w:rPr>
          <w:rFonts w:cs="Arial"/>
        </w:rPr>
        <w:t>Record details of treatment.</w:t>
      </w:r>
    </w:p>
    <w:p w:rsidR="00BA7C2C" w:rsidRPr="00B91798" w:rsidRDefault="00BA7C2C" w:rsidP="00BA7C2C">
      <w:pPr>
        <w:tabs>
          <w:tab w:val="left" w:pos="900"/>
        </w:tabs>
        <w:autoSpaceDE w:val="0"/>
        <w:autoSpaceDN w:val="0"/>
        <w:adjustRightInd w:val="0"/>
        <w:ind w:left="360"/>
        <w:rPr>
          <w:rFonts w:cs="Arial"/>
        </w:rPr>
      </w:pPr>
    </w:p>
    <w:p w:rsidR="00BA7C2C" w:rsidRPr="00B91798" w:rsidRDefault="00BA7C2C" w:rsidP="00BA7C2C">
      <w:pPr>
        <w:tabs>
          <w:tab w:val="left" w:pos="900"/>
        </w:tabs>
        <w:autoSpaceDE w:val="0"/>
        <w:autoSpaceDN w:val="0"/>
        <w:adjustRightInd w:val="0"/>
        <w:rPr>
          <w:rFonts w:cs="Arial"/>
        </w:rPr>
      </w:pPr>
      <w:r w:rsidRPr="00B91798">
        <w:rPr>
          <w:rFonts w:cs="Arial"/>
        </w:rPr>
        <w:t>Where individual infestations are found to be resistant or contain resistant individuals it is possible that the resistance extends further to neighbouring properties:</w:t>
      </w:r>
    </w:p>
    <w:p w:rsidR="00BA7C2C" w:rsidRPr="00B91798" w:rsidRDefault="00BA7C2C" w:rsidP="00BA7C2C">
      <w:pPr>
        <w:numPr>
          <w:ilvl w:val="0"/>
          <w:numId w:val="21"/>
        </w:numPr>
        <w:tabs>
          <w:tab w:val="left" w:pos="900"/>
        </w:tabs>
        <w:autoSpaceDE w:val="0"/>
        <w:autoSpaceDN w:val="0"/>
        <w:adjustRightInd w:val="0"/>
        <w:spacing w:line="260" w:lineRule="atLeast"/>
        <w:rPr>
          <w:rFonts w:cs="Arial"/>
        </w:rPr>
      </w:pPr>
      <w:r w:rsidRPr="00B91798">
        <w:rPr>
          <w:rFonts w:cs="Arial"/>
        </w:rPr>
        <w:t xml:space="preserve">Where there are indications that resistance may be more extensive than a single infestation, apply area or paste control rodent programmes.  </w:t>
      </w:r>
    </w:p>
    <w:p w:rsidR="00BA7C2C" w:rsidRPr="00B91798" w:rsidRDefault="00BA7C2C" w:rsidP="00BA7C2C">
      <w:pPr>
        <w:numPr>
          <w:ilvl w:val="0"/>
          <w:numId w:val="21"/>
        </w:numPr>
        <w:tabs>
          <w:tab w:val="left" w:pos="900"/>
        </w:tabs>
        <w:autoSpaceDE w:val="0"/>
        <w:autoSpaceDN w:val="0"/>
        <w:adjustRightInd w:val="0"/>
        <w:spacing w:line="260" w:lineRule="atLeast"/>
        <w:rPr>
          <w:rFonts w:cs="Arial"/>
        </w:rPr>
      </w:pPr>
      <w:r w:rsidRPr="00B91798">
        <w:rPr>
          <w:rFonts w:cs="Arial"/>
        </w:rPr>
        <w:t>The area under such management should extend at least to the area of known resistance and ideally beyond.</w:t>
      </w:r>
    </w:p>
    <w:p w:rsidR="00BA7C2C" w:rsidRDefault="00BA7C2C" w:rsidP="00BA7C2C">
      <w:pPr>
        <w:numPr>
          <w:ilvl w:val="0"/>
          <w:numId w:val="21"/>
        </w:numPr>
        <w:tabs>
          <w:tab w:val="left" w:pos="900"/>
        </w:tabs>
        <w:autoSpaceDE w:val="0"/>
        <w:autoSpaceDN w:val="0"/>
        <w:adjustRightInd w:val="0"/>
        <w:spacing w:line="260" w:lineRule="atLeast"/>
        <w:rPr>
          <w:rFonts w:cs="Arial"/>
        </w:rPr>
      </w:pPr>
      <w:r w:rsidRPr="00B91798">
        <w:rPr>
          <w:rFonts w:cs="Arial"/>
        </w:rPr>
        <w:t>These programmes must be effectively co-ordinated and should encompass the procedures identified above.</w:t>
      </w:r>
    </w:p>
    <w:p w:rsidR="00BA7C2C" w:rsidRPr="00B91798" w:rsidRDefault="00BA7C2C" w:rsidP="00BA7C2C">
      <w:pPr>
        <w:tabs>
          <w:tab w:val="left" w:pos="900"/>
        </w:tabs>
        <w:autoSpaceDE w:val="0"/>
        <w:autoSpaceDN w:val="0"/>
        <w:adjustRightInd w:val="0"/>
        <w:rPr>
          <w:rFonts w:cs="Arial"/>
        </w:rPr>
      </w:pPr>
    </w:p>
    <w:p w:rsidR="00BA7C2C" w:rsidRPr="00B91798" w:rsidRDefault="00BA7C2C" w:rsidP="00BA7C2C">
      <w:pPr>
        <w:tabs>
          <w:tab w:val="left" w:pos="900"/>
        </w:tabs>
        <w:autoSpaceDE w:val="0"/>
        <w:autoSpaceDN w:val="0"/>
        <w:adjustRightInd w:val="0"/>
        <w:rPr>
          <w:rFonts w:cs="Arial"/>
        </w:rPr>
      </w:pPr>
      <w:r w:rsidRPr="00B91798">
        <w:rPr>
          <w:rFonts w:cs="Arial"/>
        </w:rPr>
        <w:t>The use of differing bait formulations is an integral part of the resistance avoidance plan and as such, paste bait formulations provide suitable alternate preparations of anticoagulant rodenticide.</w:t>
      </w:r>
    </w:p>
    <w:p w:rsidR="00BA7C2C" w:rsidRDefault="00BA7C2C" w:rsidP="00BA7C2C">
      <w:pPr>
        <w:rPr>
          <w:rFonts w:cs="Arial"/>
        </w:rPr>
      </w:pPr>
    </w:p>
    <w:p w:rsidR="00BA7C2C" w:rsidRDefault="00BA7C2C" w:rsidP="00BA7C2C">
      <w:pPr>
        <w:rPr>
          <w:rFonts w:cs="Arial"/>
        </w:rPr>
      </w:pPr>
      <w:r>
        <w:rPr>
          <w:rFonts w:cs="Arial"/>
        </w:rPr>
        <w:t>In NL professionals always need to be certificated as a pest controller. These professionals are educated in the above resistance management strategies. It can not be expected that non-professionals have any knowledge on resistance. Therefore, it is stated on the Dutch label that a professional pest controller should be consulted when the control of the rodents is not sufficient.</w:t>
      </w:r>
    </w:p>
    <w:p w:rsidR="00BA7C2C" w:rsidRPr="00715E7A" w:rsidRDefault="00BA7C2C" w:rsidP="00BA7C2C">
      <w:pPr>
        <w:rPr>
          <w:rFonts w:cs="Arial"/>
        </w:rPr>
      </w:pPr>
    </w:p>
    <w:p w:rsidR="00BA7C2C" w:rsidRPr="00715E7A" w:rsidRDefault="00BA7C2C" w:rsidP="00BA7C2C">
      <w:pPr>
        <w:tabs>
          <w:tab w:val="left" w:pos="900"/>
        </w:tabs>
        <w:rPr>
          <w:rFonts w:cs="Arial"/>
          <w:b/>
          <w:bCs/>
          <w:szCs w:val="22"/>
        </w:rPr>
      </w:pPr>
      <w:r w:rsidRPr="00715E7A">
        <w:rPr>
          <w:rFonts w:cs="Arial"/>
          <w:b/>
          <w:bCs/>
          <w:szCs w:val="22"/>
        </w:rPr>
        <w:t>2.5.3.5</w:t>
      </w:r>
      <w:r w:rsidRPr="00715E7A">
        <w:rPr>
          <w:rFonts w:cs="Arial"/>
          <w:b/>
          <w:bCs/>
          <w:szCs w:val="22"/>
        </w:rPr>
        <w:tab/>
      </w:r>
      <w:r w:rsidRPr="00715E7A">
        <w:rPr>
          <w:rFonts w:cs="Arial"/>
          <w:b/>
          <w:szCs w:val="22"/>
        </w:rPr>
        <w:t>Humaneness</w:t>
      </w:r>
    </w:p>
    <w:p w:rsidR="00BA7C2C" w:rsidRPr="00715E7A" w:rsidRDefault="00BA7C2C" w:rsidP="00BA7C2C">
      <w:pPr>
        <w:tabs>
          <w:tab w:val="left" w:pos="900"/>
        </w:tabs>
        <w:autoSpaceDE w:val="0"/>
        <w:autoSpaceDN w:val="0"/>
        <w:adjustRightInd w:val="0"/>
        <w:rPr>
          <w:rFonts w:cs="Arial"/>
          <w:b/>
          <w:szCs w:val="22"/>
        </w:rPr>
      </w:pPr>
      <w:r w:rsidRPr="00715E7A">
        <w:rPr>
          <w:rFonts w:cs="Arial"/>
        </w:rPr>
        <w:t>The use of bromadiolone as a rodenticide could cause suffering of vertebrate target organisms. The use of anti-coagulant rodenticides is necessary as there are at present no other valuable measures available to control the rodent population in the European Union. Rodent control is needed to prevent disease transmission, contamination of food and feeding stuffs and structural damage.</w:t>
      </w:r>
    </w:p>
    <w:p w:rsidR="00BA7C2C" w:rsidRPr="00715E7A" w:rsidRDefault="00BA7C2C" w:rsidP="00BA7C2C">
      <w:pPr>
        <w:tabs>
          <w:tab w:val="left" w:pos="900"/>
        </w:tabs>
        <w:autoSpaceDE w:val="0"/>
        <w:autoSpaceDN w:val="0"/>
        <w:adjustRightInd w:val="0"/>
        <w:rPr>
          <w:rFonts w:cs="Arial"/>
          <w:szCs w:val="22"/>
        </w:rPr>
      </w:pPr>
      <w:r w:rsidRPr="00715E7A">
        <w:rPr>
          <w:rFonts w:cs="Arial"/>
          <w:szCs w:val="22"/>
        </w:rPr>
        <w:t xml:space="preserve">It is recognised that anticoagulants like </w:t>
      </w:r>
      <w:r w:rsidRPr="00715E7A">
        <w:rPr>
          <w:rFonts w:cs="Arial"/>
        </w:rPr>
        <w:t>bromadiolone</w:t>
      </w:r>
      <w:r w:rsidRPr="00715E7A">
        <w:rPr>
          <w:rFonts w:cs="Arial"/>
          <w:szCs w:val="22"/>
        </w:rPr>
        <w:t xml:space="preserve"> do cause pain in rodents but it is considered that this is not in conflict with the requirements of Art. 5.1 of the BPD “to avoid unnecessary pain and </w:t>
      </w:r>
      <w:r w:rsidRPr="00715E7A">
        <w:rPr>
          <w:rFonts w:cs="Arial"/>
          <w:szCs w:val="22"/>
        </w:rPr>
        <w:lastRenderedPageBreak/>
        <w:t>suffering of vertebrates”, as long as effective, but comparable less painful alternative biocidal substances or biocidal products or even non-biocidal alternatives are not available.</w:t>
      </w:r>
    </w:p>
    <w:p w:rsidR="00BA7C2C" w:rsidRPr="00715E7A" w:rsidRDefault="00BA7C2C" w:rsidP="00BA7C2C">
      <w:pPr>
        <w:tabs>
          <w:tab w:val="left" w:pos="900"/>
        </w:tabs>
        <w:rPr>
          <w:rFonts w:cs="Arial"/>
          <w:szCs w:val="22"/>
        </w:rPr>
      </w:pPr>
    </w:p>
    <w:p w:rsidR="00BA7C2C" w:rsidRPr="00715E7A" w:rsidRDefault="00BA7C2C" w:rsidP="00BA7C2C">
      <w:pPr>
        <w:tabs>
          <w:tab w:val="left" w:pos="900"/>
        </w:tabs>
        <w:autoSpaceDE w:val="0"/>
        <w:autoSpaceDN w:val="0"/>
        <w:adjustRightInd w:val="0"/>
        <w:rPr>
          <w:rFonts w:cs="Arial"/>
          <w:b/>
          <w:bCs/>
          <w:szCs w:val="22"/>
        </w:rPr>
      </w:pPr>
      <w:r w:rsidRPr="00715E7A">
        <w:rPr>
          <w:rFonts w:cs="Arial"/>
          <w:b/>
          <w:bCs/>
          <w:szCs w:val="22"/>
        </w:rPr>
        <w:t>2.5.4</w:t>
      </w:r>
      <w:r w:rsidRPr="00715E7A">
        <w:rPr>
          <w:rFonts w:cs="Arial"/>
          <w:b/>
          <w:bCs/>
          <w:szCs w:val="22"/>
        </w:rPr>
        <w:tab/>
        <w:t>Evaluation of the label claim</w:t>
      </w:r>
    </w:p>
    <w:p w:rsidR="00BA7C2C" w:rsidRDefault="00BA7C2C" w:rsidP="00BA7C2C">
      <w:pPr>
        <w:autoSpaceDE w:val="0"/>
        <w:autoSpaceDN w:val="0"/>
        <w:adjustRightInd w:val="0"/>
        <w:rPr>
          <w:rFonts w:cs="Arial"/>
        </w:rPr>
      </w:pPr>
      <w:r w:rsidRPr="00715E7A">
        <w:rPr>
          <w:rFonts w:cs="Arial"/>
        </w:rPr>
        <w:t xml:space="preserve">In the PAR a resistance management strategies is outlined. A short remark on resistance is added to the </w:t>
      </w:r>
      <w:r>
        <w:rPr>
          <w:rFonts w:cs="Arial"/>
        </w:rPr>
        <w:t>Dutch label (</w:t>
      </w:r>
      <w:r w:rsidRPr="00715E7A">
        <w:rPr>
          <w:rFonts w:cs="Arial"/>
        </w:rPr>
        <w:t>WG/GA</w:t>
      </w:r>
      <w:r>
        <w:rPr>
          <w:rFonts w:cs="Arial"/>
        </w:rPr>
        <w:t>), this differs for professional and non-professional use since non-professionals are not expected to have knowledge on resistance.</w:t>
      </w:r>
    </w:p>
    <w:p w:rsidR="00BA7C2C" w:rsidRDefault="00BA7C2C" w:rsidP="00BA7C2C">
      <w:pPr>
        <w:autoSpaceDE w:val="0"/>
        <w:autoSpaceDN w:val="0"/>
        <w:adjustRightInd w:val="0"/>
        <w:rPr>
          <w:rFonts w:cs="Arial"/>
        </w:rPr>
      </w:pPr>
      <w:r>
        <w:rPr>
          <w:rFonts w:cs="Arial"/>
        </w:rPr>
        <w:t>For professional use:</w:t>
      </w:r>
    </w:p>
    <w:p w:rsidR="00BA7C2C" w:rsidRDefault="00BA7C2C" w:rsidP="00BA7C2C">
      <w:pPr>
        <w:autoSpaceDE w:val="0"/>
        <w:autoSpaceDN w:val="0"/>
        <w:adjustRightInd w:val="0"/>
        <w:ind w:left="220"/>
        <w:rPr>
          <w:rFonts w:cs="Arial"/>
        </w:rPr>
      </w:pPr>
      <w:r>
        <w:rPr>
          <w:rFonts w:cs="Arial"/>
        </w:rPr>
        <w:t>For the active substance in this product, bromodialone, there is a risk of development of resistance. Therefore, this product should not be used in cases where resistance against bomodialone is presumed, for instance in cases where the last treatment with bromodialone containing products did not results in a reduction of the population</w:t>
      </w:r>
      <w:r w:rsidRPr="00715E7A">
        <w:rPr>
          <w:rFonts w:cs="Arial"/>
        </w:rPr>
        <w:t>.</w:t>
      </w:r>
    </w:p>
    <w:p w:rsidR="00BA7C2C" w:rsidRDefault="00BA7C2C" w:rsidP="00BA7C2C">
      <w:pPr>
        <w:autoSpaceDE w:val="0"/>
        <w:autoSpaceDN w:val="0"/>
        <w:adjustRightInd w:val="0"/>
        <w:rPr>
          <w:rFonts w:cs="Arial"/>
        </w:rPr>
      </w:pPr>
      <w:r>
        <w:rPr>
          <w:rFonts w:cs="Arial"/>
        </w:rPr>
        <w:t>For non-professional use (mice only in NL):</w:t>
      </w:r>
    </w:p>
    <w:p w:rsidR="00BA7C2C" w:rsidRPr="00715E7A" w:rsidRDefault="00BA7C2C" w:rsidP="00BA7C2C">
      <w:pPr>
        <w:autoSpaceDE w:val="0"/>
        <w:autoSpaceDN w:val="0"/>
        <w:adjustRightInd w:val="0"/>
        <w:ind w:left="220"/>
        <w:rPr>
          <w:rFonts w:cs="Arial"/>
        </w:rPr>
      </w:pPr>
      <w:r>
        <w:rPr>
          <w:rFonts w:cs="Arial"/>
        </w:rPr>
        <w:t>If 28 days after the start of the treatment the control of mice is not sufficient, a professional in pest control should be consulted.</w:t>
      </w:r>
    </w:p>
    <w:p w:rsidR="00BA7C2C" w:rsidRPr="00715E7A" w:rsidRDefault="00BA7C2C" w:rsidP="00BA7C2C">
      <w:pPr>
        <w:autoSpaceDE w:val="0"/>
        <w:autoSpaceDN w:val="0"/>
        <w:adjustRightInd w:val="0"/>
        <w:rPr>
          <w:rFonts w:cs="Arial"/>
          <w:szCs w:val="22"/>
        </w:rPr>
      </w:pPr>
      <w:r w:rsidRPr="00715E7A">
        <w:rPr>
          <w:rFonts w:cs="Arial"/>
        </w:rPr>
        <w:t>For the convenience of the competent authorities authorising this product through mutual recognition the Dutch label</w:t>
      </w:r>
      <w:r>
        <w:rPr>
          <w:rFonts w:cs="Arial"/>
        </w:rPr>
        <w:t>s</w:t>
      </w:r>
      <w:r w:rsidRPr="00715E7A">
        <w:rPr>
          <w:rFonts w:cs="Arial"/>
        </w:rPr>
        <w:t xml:space="preserve">, translated in English, </w:t>
      </w:r>
      <w:r>
        <w:rPr>
          <w:rFonts w:cs="Arial"/>
        </w:rPr>
        <w:t>are</w:t>
      </w:r>
      <w:r w:rsidRPr="00715E7A">
        <w:rPr>
          <w:rFonts w:cs="Arial"/>
        </w:rPr>
        <w:t xml:space="preserve"> added to the PAR</w:t>
      </w:r>
      <w:r>
        <w:rPr>
          <w:rFonts w:cs="Arial"/>
        </w:rPr>
        <w:t xml:space="preserve"> (see 1.5.2)</w:t>
      </w:r>
      <w:r w:rsidRPr="00715E7A">
        <w:rPr>
          <w:rFonts w:cs="Arial"/>
        </w:rPr>
        <w:t>.</w:t>
      </w:r>
    </w:p>
    <w:p w:rsidR="00BA7C2C" w:rsidRPr="00510A65" w:rsidRDefault="00BA7C2C" w:rsidP="00BA7C2C">
      <w:pPr>
        <w:pStyle w:val="Plattetekst"/>
        <w:spacing w:line="240" w:lineRule="auto"/>
        <w:rPr>
          <w:rFonts w:cs="Arial"/>
        </w:rPr>
      </w:pPr>
    </w:p>
    <w:p w:rsidR="00BA7C2C" w:rsidRPr="00A0425E" w:rsidRDefault="00BA7C2C" w:rsidP="00BA7C2C">
      <w:pPr>
        <w:pStyle w:val="Kop2"/>
        <w:numPr>
          <w:ilvl w:val="1"/>
          <w:numId w:val="12"/>
        </w:numPr>
        <w:tabs>
          <w:tab w:val="left" w:pos="1304"/>
        </w:tabs>
        <w:spacing w:before="360" w:after="240" w:line="280" w:lineRule="atLeast"/>
      </w:pPr>
      <w:bookmarkStart w:id="770" w:name="_Toc362858091"/>
      <w:r w:rsidRPr="00A0425E">
        <w:t>Exposure assessment</w:t>
      </w:r>
      <w:bookmarkEnd w:id="770"/>
    </w:p>
    <w:p w:rsidR="00BA7C2C" w:rsidRPr="00A0425E" w:rsidRDefault="00BA7C2C" w:rsidP="00BA7C2C">
      <w:pPr>
        <w:pStyle w:val="Kop3"/>
        <w:numPr>
          <w:ilvl w:val="2"/>
          <w:numId w:val="12"/>
        </w:numPr>
        <w:tabs>
          <w:tab w:val="left" w:pos="1304"/>
        </w:tabs>
        <w:spacing w:before="300" w:line="280" w:lineRule="atLeast"/>
        <w:jc w:val="left"/>
      </w:pPr>
      <w:bookmarkStart w:id="771" w:name="_Toc362858092"/>
      <w:r w:rsidRPr="00A0425E">
        <w:t>Description of the intended use(s)</w:t>
      </w:r>
      <w:bookmarkEnd w:id="771"/>
    </w:p>
    <w:p w:rsidR="00BA7C2C" w:rsidRPr="007832C6" w:rsidRDefault="00BA7C2C" w:rsidP="00BA7C2C">
      <w:pPr>
        <w:rPr>
          <w:rFonts w:cs="Arial"/>
          <w:szCs w:val="22"/>
          <w:lang w:eastAsia="nl-NL"/>
        </w:rPr>
      </w:pPr>
      <w:r w:rsidRPr="009C3E95">
        <w:rPr>
          <w:rFonts w:cs="Arial"/>
          <w:color w:val="000000"/>
        </w:rPr>
        <w:t>MAKI PAT’ is a ready-to-use rodenticide paste bait in sachets based on 0.005% w/w b</w:t>
      </w:r>
      <w:r w:rsidRPr="009C3E95">
        <w:rPr>
          <w:rFonts w:cs="Arial"/>
        </w:rPr>
        <w:t xml:space="preserve">romadiolone. </w:t>
      </w:r>
      <w:r w:rsidRPr="005C5527">
        <w:rPr>
          <w:rFonts w:cs="Arial"/>
        </w:rPr>
        <w:t xml:space="preserve">The product is for both professional and non-professional use. </w:t>
      </w:r>
      <w:r w:rsidRPr="005C5527">
        <w:rPr>
          <w:rFonts w:cs="Arial"/>
          <w:color w:val="000000"/>
        </w:rPr>
        <w:t>Professional use</w:t>
      </w:r>
      <w:r>
        <w:rPr>
          <w:rFonts w:cs="Arial"/>
          <w:color w:val="000000"/>
        </w:rPr>
        <w:t xml:space="preserve"> is restricted to</w:t>
      </w:r>
      <w:r w:rsidRPr="005C5527">
        <w:rPr>
          <w:rFonts w:cs="Arial"/>
          <w:color w:val="000000"/>
        </w:rPr>
        <w:t xml:space="preserve"> </w:t>
      </w:r>
      <w:r w:rsidRPr="005C5527">
        <w:rPr>
          <w:rFonts w:cs="Arial"/>
        </w:rPr>
        <w:t>the control of rats and mice in and around buildings, in open areas and waste dumps. Non-professional use</w:t>
      </w:r>
      <w:r>
        <w:rPr>
          <w:rFonts w:cs="Arial"/>
        </w:rPr>
        <w:t xml:space="preserve"> is restricted to</w:t>
      </w:r>
      <w:r w:rsidRPr="005C5527">
        <w:rPr>
          <w:rFonts w:cs="Arial"/>
        </w:rPr>
        <w:t xml:space="preserve"> the control of rats and mice in and around buildings. </w:t>
      </w:r>
      <w:r w:rsidRPr="00B9456E">
        <w:rPr>
          <w:rFonts w:cs="Arial"/>
        </w:rPr>
        <w:t xml:space="preserve">Baits should </w:t>
      </w:r>
      <w:r>
        <w:rPr>
          <w:rFonts w:cs="Arial"/>
        </w:rPr>
        <w:t xml:space="preserve">preferably be placed </w:t>
      </w:r>
      <w:r w:rsidRPr="00B9456E">
        <w:rPr>
          <w:rFonts w:cs="Arial"/>
        </w:rPr>
        <w:t>in tamper-resistant bait stations.</w:t>
      </w:r>
      <w:r>
        <w:rPr>
          <w:rFonts w:cs="Arial"/>
        </w:rPr>
        <w:t xml:space="preserve"> </w:t>
      </w:r>
      <w:r w:rsidRPr="007832C6">
        <w:rPr>
          <w:rFonts w:cs="Arial"/>
        </w:rPr>
        <w:t xml:space="preserve">For rats </w:t>
      </w:r>
      <w:r w:rsidRPr="009721E6">
        <w:rPr>
          <w:rFonts w:cs="Arial"/>
          <w:lang w:eastAsia="nl-NL"/>
        </w:rPr>
        <w:t xml:space="preserve">100 </w:t>
      </w:r>
      <w:r w:rsidRPr="007832C6">
        <w:rPr>
          <w:rFonts w:cs="Arial"/>
          <w:lang w:eastAsia="nl-NL"/>
        </w:rPr>
        <w:t xml:space="preserve">to </w:t>
      </w:r>
      <w:smartTag w:uri="urn:schemas-microsoft-com:office:smarttags" w:element="metricconverter">
        <w:smartTagPr>
          <w:attr w:name="ProductID" w:val="200 g"/>
        </w:smartTagPr>
        <w:r w:rsidRPr="007832C6">
          <w:rPr>
            <w:rFonts w:cs="Arial"/>
            <w:lang w:eastAsia="nl-NL"/>
          </w:rPr>
          <w:t>200 g</w:t>
        </w:r>
      </w:smartTag>
      <w:r w:rsidRPr="007832C6">
        <w:rPr>
          <w:rFonts w:cs="Arial"/>
          <w:lang w:eastAsia="nl-NL"/>
        </w:rPr>
        <w:t xml:space="preserve"> bait should be placed per bait station, which should be p</w:t>
      </w:r>
      <w:r>
        <w:rPr>
          <w:rFonts w:cs="Arial"/>
          <w:lang w:eastAsia="nl-NL"/>
        </w:rPr>
        <w:t>ositioned</w:t>
      </w:r>
      <w:r w:rsidRPr="007832C6">
        <w:rPr>
          <w:rFonts w:cs="Arial"/>
          <w:lang w:eastAsia="nl-NL"/>
        </w:rPr>
        <w:t xml:space="preserve"> at 4 to </w:t>
      </w:r>
      <w:smartTag w:uri="urn:schemas-microsoft-com:office:smarttags" w:element="metricconverter">
        <w:smartTagPr>
          <w:attr w:name="ProductID" w:val="10 meter"/>
        </w:smartTagPr>
        <w:r w:rsidRPr="007832C6">
          <w:rPr>
            <w:rFonts w:cs="Arial"/>
            <w:lang w:eastAsia="nl-NL"/>
          </w:rPr>
          <w:t>10 meter</w:t>
        </w:r>
      </w:smartTag>
      <w:r w:rsidRPr="007832C6">
        <w:rPr>
          <w:rFonts w:cs="Arial"/>
          <w:lang w:eastAsia="nl-NL"/>
        </w:rPr>
        <w:t xml:space="preserve"> distance of each other. For mice </w:t>
      </w:r>
      <w:r>
        <w:rPr>
          <w:rFonts w:cs="Arial"/>
          <w:lang w:eastAsia="nl-NL"/>
        </w:rPr>
        <w:t>30</w:t>
      </w:r>
      <w:r w:rsidRPr="007832C6">
        <w:rPr>
          <w:rFonts w:cs="Arial"/>
          <w:lang w:eastAsia="nl-NL"/>
        </w:rPr>
        <w:t xml:space="preserve"> to </w:t>
      </w:r>
      <w:smartTag w:uri="urn:schemas-microsoft-com:office:smarttags" w:element="metricconverter">
        <w:smartTagPr>
          <w:attr w:name="ProductID" w:val="50 g"/>
        </w:smartTagPr>
        <w:r w:rsidRPr="007832C6">
          <w:rPr>
            <w:rFonts w:cs="Arial"/>
            <w:lang w:eastAsia="nl-NL"/>
          </w:rPr>
          <w:t>50 g</w:t>
        </w:r>
      </w:smartTag>
      <w:r w:rsidRPr="007832C6">
        <w:rPr>
          <w:rFonts w:cs="Arial"/>
          <w:lang w:eastAsia="nl-NL"/>
        </w:rPr>
        <w:t xml:space="preserve"> bait should be placed per bait station, which should be </w:t>
      </w:r>
      <w:r>
        <w:rPr>
          <w:rFonts w:cs="Arial"/>
          <w:lang w:eastAsia="nl-NL"/>
        </w:rPr>
        <w:t xml:space="preserve">positioned </w:t>
      </w:r>
      <w:r w:rsidRPr="007832C6">
        <w:rPr>
          <w:rFonts w:cs="Arial"/>
          <w:lang w:eastAsia="nl-NL"/>
        </w:rPr>
        <w:t xml:space="preserve">at 1 to </w:t>
      </w:r>
      <w:smartTag w:uri="urn:schemas-microsoft-com:office:smarttags" w:element="metricconverter">
        <w:smartTagPr>
          <w:attr w:name="ProductID" w:val="3 meter"/>
        </w:smartTagPr>
        <w:r w:rsidRPr="007832C6">
          <w:rPr>
            <w:rFonts w:cs="Arial"/>
            <w:lang w:eastAsia="nl-NL"/>
          </w:rPr>
          <w:t>3 meter</w:t>
        </w:r>
      </w:smartTag>
      <w:r w:rsidRPr="007832C6">
        <w:rPr>
          <w:rFonts w:cs="Arial"/>
          <w:lang w:eastAsia="nl-NL"/>
        </w:rPr>
        <w:t xml:space="preserve"> distance of each other.</w:t>
      </w:r>
      <w:r w:rsidRPr="007832C6">
        <w:rPr>
          <w:rFonts w:cs="Arial"/>
          <w:color w:val="000000"/>
        </w:rPr>
        <w:t xml:space="preserve">  </w:t>
      </w:r>
    </w:p>
    <w:p w:rsidR="00BA7C2C" w:rsidRPr="00A0425E" w:rsidRDefault="00BA7C2C" w:rsidP="00BA7C2C">
      <w:pPr>
        <w:pStyle w:val="Kop3"/>
        <w:numPr>
          <w:ilvl w:val="2"/>
          <w:numId w:val="12"/>
        </w:numPr>
        <w:tabs>
          <w:tab w:val="left" w:pos="1304"/>
        </w:tabs>
        <w:spacing w:before="300" w:line="280" w:lineRule="atLeast"/>
        <w:jc w:val="left"/>
      </w:pPr>
      <w:bookmarkStart w:id="772" w:name="_Toc362858093"/>
      <w:r w:rsidRPr="00A0425E">
        <w:t>Assessment of exposure to humans and the environment</w:t>
      </w:r>
      <w:bookmarkEnd w:id="772"/>
    </w:p>
    <w:p w:rsidR="00BA7C2C" w:rsidRPr="00A0425E" w:rsidRDefault="00BA7C2C" w:rsidP="00BA7C2C">
      <w:pPr>
        <w:spacing w:before="120" w:after="120"/>
      </w:pPr>
      <w:bookmarkStart w:id="773" w:name="_Ref246312412"/>
      <w:r w:rsidRPr="00332D64">
        <w:rPr>
          <w:rFonts w:cs="Arial"/>
        </w:rPr>
        <w:t>For the product MAKI PAT’ no new operator exposure studies have been submitted by the applicant. The applicant has submitted the human exposure assessment which was based on two operator exposure studies using wax block bait which were also assessed in the CAR of bromadiolone and used for risk assessment. These studies were conducted using Racumin Ready Bait (cracked wheat) containing 0.031% w/w coumatetralyl and Storm Secure 20G containing 0.0056% w/w flocoumafen</w:t>
      </w:r>
      <w:r>
        <w:rPr>
          <w:rFonts w:cs="Arial"/>
        </w:rPr>
        <w:t>. Wax blocks were considered to be a suitable surrogate for the paste bait in protective sachets. The submitted exposure assessment was assessed and updated if necessary by the RMS NL.</w:t>
      </w:r>
    </w:p>
    <w:p w:rsidR="00BA7C2C" w:rsidRPr="007223F2" w:rsidRDefault="00BA7C2C" w:rsidP="00BA7C2C">
      <w:pPr>
        <w:rPr>
          <w:rFonts w:cs="Arial"/>
        </w:rPr>
      </w:pPr>
      <w:r w:rsidRPr="007223F2">
        <w:rPr>
          <w:rFonts w:cs="Arial"/>
        </w:rPr>
        <w:t xml:space="preserve">The environmental exposure and risk assessment of the biocidal product red paste F01153 containing 50 mg/kg bromadiolone (MAKI PAT’) from the applicant was examined appropriately according to standard requirements. </w:t>
      </w:r>
      <w:r>
        <w:rPr>
          <w:rFonts w:cs="Arial"/>
        </w:rPr>
        <w:t>N</w:t>
      </w:r>
      <w:r w:rsidRPr="007223F2">
        <w:rPr>
          <w:rFonts w:cs="Arial"/>
        </w:rPr>
        <w:t>o new studies have been provided</w:t>
      </w:r>
      <w:r>
        <w:rPr>
          <w:rFonts w:cs="Arial"/>
        </w:rPr>
        <w:t xml:space="preserve"> concerning environmental </w:t>
      </w:r>
      <w:r>
        <w:rPr>
          <w:rFonts w:cs="Arial"/>
        </w:rPr>
        <w:lastRenderedPageBreak/>
        <w:t>exposure. Th</w:t>
      </w:r>
      <w:r w:rsidRPr="007223F2">
        <w:rPr>
          <w:rFonts w:cs="Arial"/>
        </w:rPr>
        <w:t xml:space="preserve">e product was not a reference product in the EU-review program for inclusion of the active substance in Annex I of Directive 98/8/EC. For the environmental exposure and risk assessment of MAKI PAT’, the applicant considers the EUBEES 2 scenario for blocks to be appropriate for paste baits. </w:t>
      </w:r>
    </w:p>
    <w:p w:rsidR="00BA7C2C" w:rsidRPr="007223F2" w:rsidRDefault="00BA7C2C" w:rsidP="00BA7C2C">
      <w:pPr>
        <w:rPr>
          <w:rFonts w:cs="Arial"/>
        </w:rPr>
      </w:pPr>
      <w:r w:rsidRPr="007223F2">
        <w:rPr>
          <w:rFonts w:cs="Arial"/>
        </w:rPr>
        <w:t xml:space="preserve">The applicant has submitted an effect and exposure assessment for MAKI PAT’. The RMS NL has updated this risk assessment for the environmental aspect. For authorisation purposes the risk assessment of MAKI PAT’ performed by the applicant is included in this Product Authorisation Report. </w:t>
      </w:r>
    </w:p>
    <w:p w:rsidR="00BA7C2C" w:rsidRPr="00212B9B" w:rsidRDefault="00BA7C2C" w:rsidP="00BA7C2C">
      <w:pPr>
        <w:rPr>
          <w:lang w:eastAsia="nl-NL"/>
        </w:rPr>
      </w:pPr>
      <w:r w:rsidRPr="007223F2">
        <w:rPr>
          <w:rFonts w:cs="Arial"/>
          <w:lang w:eastAsia="nl-NL"/>
        </w:rPr>
        <w:t xml:space="preserve">Environmental exposure to soil occurs when </w:t>
      </w:r>
      <w:r w:rsidRPr="007223F2">
        <w:rPr>
          <w:rFonts w:cs="Arial"/>
        </w:rPr>
        <w:t xml:space="preserve">MAKI PAT’ </w:t>
      </w:r>
      <w:r w:rsidRPr="007223F2">
        <w:rPr>
          <w:rFonts w:cs="Arial"/>
          <w:lang w:eastAsia="nl-NL"/>
        </w:rPr>
        <w:t xml:space="preserve">is deployed outdoors. Non-target vertebrates may be exposed to </w:t>
      </w:r>
      <w:r w:rsidRPr="007223F2">
        <w:rPr>
          <w:rFonts w:cs="Arial"/>
        </w:rPr>
        <w:t xml:space="preserve">MAKI PAT’ </w:t>
      </w:r>
      <w:r w:rsidRPr="007223F2">
        <w:rPr>
          <w:rFonts w:cs="Arial"/>
          <w:lang w:eastAsia="nl-NL"/>
        </w:rPr>
        <w:t>either directly by ingestion of exposed paste (primary poisoning) or indirectly by ingestion of the carcasses of target rodents that contain bromadiolone residues (secondary poisoning). See for more detail section 2.8 below</w:t>
      </w:r>
      <w:r w:rsidRPr="00212B9B">
        <w:rPr>
          <w:lang w:eastAsia="nl-NL"/>
        </w:rPr>
        <w:t>.</w:t>
      </w:r>
    </w:p>
    <w:p w:rsidR="00BA7C2C" w:rsidRPr="00A0425E" w:rsidRDefault="00BA7C2C" w:rsidP="00BA7C2C">
      <w:pPr>
        <w:pStyle w:val="Kop2"/>
        <w:numPr>
          <w:ilvl w:val="1"/>
          <w:numId w:val="12"/>
        </w:numPr>
        <w:tabs>
          <w:tab w:val="left" w:pos="1304"/>
        </w:tabs>
        <w:spacing w:before="360" w:after="240" w:line="280" w:lineRule="atLeast"/>
      </w:pPr>
      <w:bookmarkStart w:id="774" w:name="_Toc362858094"/>
      <w:r w:rsidRPr="00A0425E">
        <w:t>Risk assessment for human health</w:t>
      </w:r>
      <w:bookmarkEnd w:id="773"/>
      <w:bookmarkEnd w:id="774"/>
    </w:p>
    <w:p w:rsidR="00BA7C2C" w:rsidRPr="00F72140" w:rsidRDefault="00BA7C2C" w:rsidP="00BA7C2C">
      <w:pPr>
        <w:spacing w:before="120" w:after="120"/>
        <w:rPr>
          <w:rFonts w:cs="Arial"/>
          <w:szCs w:val="22"/>
        </w:rPr>
      </w:pPr>
      <w:r w:rsidRPr="00F72140">
        <w:rPr>
          <w:rFonts w:cs="Arial"/>
          <w:szCs w:val="22"/>
        </w:rPr>
        <w:t>MAKI PAT’ is a ready-to-use paste bait used for the control of rats and mice.</w:t>
      </w:r>
    </w:p>
    <w:p w:rsidR="00BA7C2C" w:rsidRPr="00F72140" w:rsidRDefault="00BA7C2C" w:rsidP="00BA7C2C">
      <w:pPr>
        <w:spacing w:before="120" w:after="120"/>
        <w:rPr>
          <w:rFonts w:cs="Arial"/>
          <w:szCs w:val="22"/>
        </w:rPr>
      </w:pPr>
      <w:r w:rsidRPr="00F72140">
        <w:rPr>
          <w:rFonts w:cs="Arial"/>
          <w:szCs w:val="22"/>
        </w:rPr>
        <w:t xml:space="preserve">MAKI PAT’ is not a reference product of the CAR for bromadiolone; however, the risk assessment in the CAR was performed for two products, Super Caid AS Appat and Super Caid Bloc,  respectively. </w:t>
      </w:r>
      <w:r w:rsidRPr="00F72140">
        <w:rPr>
          <w:rFonts w:cs="Arial"/>
          <w:snapToGrid w:val="0"/>
          <w:szCs w:val="22"/>
        </w:rPr>
        <w:t>Based on the composition of these two products which have been evaluated in the CAR and the composition of MAKI PAT’ , the results of the evaluation with these products are considered to be applicable for MAKI PAT’ .</w:t>
      </w:r>
    </w:p>
    <w:p w:rsidR="00BA7C2C" w:rsidRPr="00F72140" w:rsidRDefault="00BA7C2C" w:rsidP="00BA7C2C">
      <w:pPr>
        <w:spacing w:before="120" w:after="120"/>
        <w:rPr>
          <w:rFonts w:cs="Arial"/>
          <w:szCs w:val="22"/>
        </w:rPr>
      </w:pPr>
      <w:r w:rsidRPr="00F72140">
        <w:rPr>
          <w:rFonts w:cs="Arial"/>
          <w:szCs w:val="22"/>
        </w:rPr>
        <w:t xml:space="preserve">GLP-compliant studies have been submitted by the applicant with the product MAKI PAT’ to address acute oral and dermal toxicity, skin and eye irritation and skin sensitization (see 2.7.1.3 for results). </w:t>
      </w:r>
      <w:r w:rsidRPr="00F72140">
        <w:rPr>
          <w:rFonts w:cs="Arial"/>
          <w:snapToGrid w:val="0"/>
          <w:szCs w:val="22"/>
        </w:rPr>
        <w:t xml:space="preserve">The applicant also provided a GLP-compliant acute inhalation toxicity study with Bromadiolone (1%) powder, containing 1% bromadiolone and 99% wheat starch, which is considered to be a suitable surrogate for inhalation toxicity of bromadiolone grain formulations. The LC50 was </w:t>
      </w:r>
      <w:r w:rsidRPr="00F72140">
        <w:rPr>
          <w:rFonts w:cs="Arial"/>
          <w:szCs w:val="22"/>
        </w:rPr>
        <w:t xml:space="preserve">&lt; 0.523 mg/L air, indicating that the product is toxic by inhalation and should be classified as T, R23. </w:t>
      </w:r>
      <w:r w:rsidRPr="00F72140">
        <w:rPr>
          <w:rFonts w:cs="Arial"/>
          <w:snapToGrid w:val="0"/>
          <w:szCs w:val="22"/>
        </w:rPr>
        <w:t xml:space="preserve"> However, as bromadialone is not volatile (vapour pressure </w:t>
      </w:r>
      <w:r w:rsidRPr="00F72140">
        <w:rPr>
          <w:rFonts w:cs="Arial"/>
          <w:color w:val="000000"/>
          <w:szCs w:val="22"/>
        </w:rPr>
        <w:t>2.13 x 10</w:t>
      </w:r>
      <w:r w:rsidRPr="00F72140">
        <w:rPr>
          <w:rFonts w:cs="Arial"/>
          <w:color w:val="000000"/>
          <w:szCs w:val="22"/>
          <w:vertAlign w:val="superscript"/>
        </w:rPr>
        <w:t>-8</w:t>
      </w:r>
      <w:r w:rsidRPr="00F72140">
        <w:rPr>
          <w:rFonts w:cs="Arial"/>
          <w:color w:val="000000"/>
          <w:szCs w:val="22"/>
        </w:rPr>
        <w:t xml:space="preserve"> Pa at </w:t>
      </w:r>
      <w:smartTag w:uri="urn:schemas-microsoft-com:office:smarttags" w:element="metricconverter">
        <w:smartTagPr>
          <w:attr w:name="ProductID" w:val="25ﾰC"/>
        </w:smartTagPr>
        <w:r w:rsidRPr="00F72140">
          <w:rPr>
            <w:rFonts w:cs="Arial"/>
            <w:color w:val="000000"/>
            <w:szCs w:val="22"/>
          </w:rPr>
          <w:t>25°C</w:t>
        </w:r>
      </w:smartTag>
      <w:r w:rsidRPr="00F72140">
        <w:rPr>
          <w:rFonts w:cs="Arial"/>
          <w:color w:val="000000"/>
          <w:szCs w:val="22"/>
        </w:rPr>
        <w:t xml:space="preserve">) and the product is applied in the form of paste, inhalation is considered to be not a relevant exposure route. Therefore no classification is warranted for acute inhalation toxicity. </w:t>
      </w:r>
      <w:r w:rsidRPr="00F72140">
        <w:rPr>
          <w:rFonts w:cs="Arial"/>
          <w:szCs w:val="22"/>
        </w:rPr>
        <w:t>In addition GLP-compliant dermal penetration studies have been provided which are evaluated in the CAR .</w:t>
      </w:r>
    </w:p>
    <w:p w:rsidR="00BA7C2C" w:rsidRPr="00A0425E" w:rsidRDefault="00BA7C2C" w:rsidP="00BA7C2C">
      <w:pPr>
        <w:pStyle w:val="Kop3"/>
        <w:numPr>
          <w:ilvl w:val="2"/>
          <w:numId w:val="12"/>
        </w:numPr>
        <w:tabs>
          <w:tab w:val="left" w:pos="1304"/>
        </w:tabs>
        <w:spacing w:before="300" w:line="280" w:lineRule="atLeast"/>
        <w:jc w:val="left"/>
      </w:pPr>
      <w:bookmarkStart w:id="775" w:name="_Toc362858095"/>
      <w:r w:rsidRPr="00A0425E">
        <w:t>Hazard potential</w:t>
      </w:r>
      <w:bookmarkEnd w:id="775"/>
    </w:p>
    <w:p w:rsidR="00BA7C2C" w:rsidRPr="00A0425E" w:rsidRDefault="00BA7C2C" w:rsidP="00BA7C2C">
      <w:pPr>
        <w:pStyle w:val="Kop4"/>
        <w:numPr>
          <w:ilvl w:val="3"/>
          <w:numId w:val="12"/>
        </w:numPr>
        <w:tabs>
          <w:tab w:val="left" w:pos="1304"/>
        </w:tabs>
        <w:spacing w:before="300" w:line="280" w:lineRule="atLeast"/>
        <w:jc w:val="left"/>
      </w:pPr>
      <w:r w:rsidRPr="00A0425E">
        <w:t>Toxicology of the active substance</w:t>
      </w:r>
    </w:p>
    <w:p w:rsidR="00BA7C2C" w:rsidRPr="00F80D22" w:rsidRDefault="00BA7C2C" w:rsidP="00BA7C2C">
      <w:pPr>
        <w:rPr>
          <w:rFonts w:cs="Arial"/>
        </w:rPr>
      </w:pPr>
      <w:r w:rsidRPr="00F80D22">
        <w:rPr>
          <w:rFonts w:cs="Arial"/>
        </w:rPr>
        <w:t>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w:t>
      </w:r>
    </w:p>
    <w:p w:rsidR="00BA7C2C" w:rsidRPr="00A0425E" w:rsidRDefault="00BA7C2C" w:rsidP="00BA7C2C">
      <w:pPr>
        <w:pStyle w:val="Kop4"/>
        <w:numPr>
          <w:ilvl w:val="3"/>
          <w:numId w:val="12"/>
        </w:numPr>
        <w:tabs>
          <w:tab w:val="left" w:pos="1304"/>
        </w:tabs>
        <w:spacing w:before="300" w:line="280" w:lineRule="atLeast"/>
        <w:jc w:val="left"/>
      </w:pPr>
      <w:r w:rsidRPr="00A0425E">
        <w:t xml:space="preserve">Toxicology of the substance(s) of concern </w:t>
      </w:r>
    </w:p>
    <w:p w:rsidR="00BA7C2C" w:rsidRPr="00F80D22" w:rsidRDefault="00BA7C2C" w:rsidP="00BA7C2C">
      <w:pPr>
        <w:pStyle w:val="Lijstalinea1"/>
        <w:ind w:left="0"/>
        <w:rPr>
          <w:rFonts w:ascii="Arial" w:eastAsia="Times New Roman" w:hAnsi="Arial" w:cs="Arial"/>
          <w:lang w:val="en-GB"/>
        </w:rPr>
      </w:pPr>
      <w:r w:rsidRPr="00F80D22">
        <w:rPr>
          <w:rFonts w:ascii="Arial" w:eastAsia="Times New Roman" w:hAnsi="Arial" w:cs="Arial"/>
          <w:lang w:val="en-GB"/>
        </w:rPr>
        <w:t>The biocidal product does not contain substances of concern.</w:t>
      </w:r>
    </w:p>
    <w:p w:rsidR="00BA7C2C" w:rsidRPr="00A0425E" w:rsidRDefault="00BA7C2C" w:rsidP="00BA7C2C">
      <w:pPr>
        <w:pStyle w:val="Kop4"/>
        <w:numPr>
          <w:ilvl w:val="3"/>
          <w:numId w:val="12"/>
        </w:numPr>
        <w:tabs>
          <w:tab w:val="left" w:pos="1304"/>
        </w:tabs>
        <w:spacing w:before="300" w:line="280" w:lineRule="atLeast"/>
        <w:jc w:val="left"/>
      </w:pPr>
      <w:r w:rsidRPr="00A0425E">
        <w:lastRenderedPageBreak/>
        <w:t>Toxicology of the biocidal product</w:t>
      </w:r>
    </w:p>
    <w:p w:rsidR="00BA7C2C" w:rsidRPr="00F80D22" w:rsidRDefault="00BA7C2C" w:rsidP="00BA7C2C">
      <w:pPr>
        <w:spacing w:before="120" w:after="120"/>
        <w:rPr>
          <w:rFonts w:cs="Arial"/>
        </w:rPr>
      </w:pPr>
      <w:r w:rsidRPr="00F80D22">
        <w:rPr>
          <w:rFonts w:cs="Arial"/>
        </w:rPr>
        <w:t xml:space="preserve">GLP-compliant studies have been submitted by the applicant with the product MAKI PAT’ to address acute oral and dermal toxicity, skin and eye irritation and skin sensitization. </w:t>
      </w:r>
    </w:p>
    <w:p w:rsidR="00BA7C2C" w:rsidRPr="00F80D22" w:rsidRDefault="00BA7C2C" w:rsidP="00BA7C2C">
      <w:pPr>
        <w:numPr>
          <w:ilvl w:val="0"/>
          <w:numId w:val="15"/>
        </w:numPr>
        <w:spacing w:before="40" w:after="40" w:line="260" w:lineRule="atLeast"/>
        <w:rPr>
          <w:rFonts w:cs="Arial"/>
        </w:rPr>
      </w:pPr>
      <w:r w:rsidRPr="00F80D22">
        <w:rPr>
          <w:rFonts w:cs="Arial"/>
        </w:rPr>
        <w:t>Acute oral toxicity</w:t>
      </w:r>
    </w:p>
    <w:p w:rsidR="00BA7C2C" w:rsidRPr="00F80D22" w:rsidRDefault="00BA7C2C" w:rsidP="00BA7C2C">
      <w:pPr>
        <w:spacing w:before="40" w:after="40"/>
        <w:rPr>
          <w:rFonts w:cs="Arial"/>
        </w:rPr>
      </w:pPr>
      <w:r w:rsidRPr="00F80D22">
        <w:rPr>
          <w:rFonts w:cs="Arial"/>
        </w:rPr>
        <w:t>Following gavage application of a single limit dose of 2000 mg/kg bw MAKI PAT’ to the group of 6 female rats no mortalities occurred. The median lethal oral dose, LD</w:t>
      </w:r>
      <w:r w:rsidRPr="00F80D22">
        <w:rPr>
          <w:rFonts w:cs="Arial"/>
          <w:vertAlign w:val="subscript"/>
        </w:rPr>
        <w:t xml:space="preserve">50, </w:t>
      </w:r>
      <w:r w:rsidRPr="00F80D22">
        <w:rPr>
          <w:rFonts w:cs="Arial"/>
        </w:rPr>
        <w:t xml:space="preserve">was &gt;2000 mg/kg bw. Based on this MAKI PAT’ does not need to be classified for oral toxicity. </w:t>
      </w:r>
    </w:p>
    <w:p w:rsidR="00BA7C2C" w:rsidRPr="00F80D22" w:rsidRDefault="00BA7C2C" w:rsidP="00BA7C2C">
      <w:pPr>
        <w:spacing w:before="40" w:after="40"/>
        <w:ind w:left="360"/>
        <w:rPr>
          <w:rFonts w:cs="Arial"/>
        </w:rPr>
      </w:pPr>
    </w:p>
    <w:p w:rsidR="00BA7C2C" w:rsidRPr="00F80D22" w:rsidRDefault="00BA7C2C" w:rsidP="00BA7C2C">
      <w:pPr>
        <w:numPr>
          <w:ilvl w:val="0"/>
          <w:numId w:val="15"/>
        </w:numPr>
        <w:spacing w:before="40" w:after="40" w:line="260" w:lineRule="atLeast"/>
        <w:rPr>
          <w:rFonts w:cs="Arial"/>
        </w:rPr>
      </w:pPr>
      <w:r w:rsidRPr="00F80D22">
        <w:rPr>
          <w:rFonts w:cs="Arial"/>
        </w:rPr>
        <w:t xml:space="preserve">Acute dermal toxicity </w:t>
      </w:r>
    </w:p>
    <w:p w:rsidR="00BA7C2C" w:rsidRPr="00F80D22" w:rsidRDefault="00BA7C2C" w:rsidP="00BA7C2C">
      <w:pPr>
        <w:spacing w:before="240" w:after="40"/>
        <w:rPr>
          <w:rFonts w:cs="Arial"/>
        </w:rPr>
      </w:pPr>
      <w:r w:rsidRPr="00F80D22">
        <w:rPr>
          <w:rFonts w:cs="Arial"/>
        </w:rPr>
        <w:t>Following dermal administration of a limit dose of 2000 mg/kg bw MAKI PAT’ to the group of 5 male and 5 female rats there were no mortalities. The median lethal dermal dose LD</w:t>
      </w:r>
      <w:r w:rsidRPr="00F80D22">
        <w:rPr>
          <w:rFonts w:cs="Arial"/>
          <w:vertAlign w:val="subscript"/>
        </w:rPr>
        <w:t>50</w:t>
      </w:r>
      <w:r w:rsidRPr="00F80D22">
        <w:rPr>
          <w:rFonts w:cs="Arial"/>
        </w:rPr>
        <w:t xml:space="preserve"> was &gt; 2000 mg/kg bw. Based on this MAKI PAT’ does not need to be classified for dermal toxicity.</w:t>
      </w:r>
    </w:p>
    <w:p w:rsidR="00BA7C2C" w:rsidRPr="00F80D22" w:rsidRDefault="00BA7C2C" w:rsidP="00BA7C2C">
      <w:pPr>
        <w:numPr>
          <w:ilvl w:val="0"/>
          <w:numId w:val="15"/>
        </w:numPr>
        <w:spacing w:before="240" w:after="40" w:line="260" w:lineRule="atLeast"/>
        <w:rPr>
          <w:rFonts w:cs="Arial"/>
        </w:rPr>
      </w:pPr>
      <w:r w:rsidRPr="00F80D22">
        <w:rPr>
          <w:rFonts w:cs="Arial"/>
        </w:rPr>
        <w:t xml:space="preserve">Skin irritation </w:t>
      </w:r>
    </w:p>
    <w:p w:rsidR="00BA7C2C" w:rsidRPr="00F80D22" w:rsidRDefault="00BA7C2C" w:rsidP="00BA7C2C">
      <w:pPr>
        <w:spacing w:before="240" w:after="40"/>
        <w:rPr>
          <w:rFonts w:cs="Arial"/>
        </w:rPr>
      </w:pPr>
      <w:r w:rsidRPr="00F80D22">
        <w:rPr>
          <w:rFonts w:cs="Arial"/>
        </w:rPr>
        <w:t>In the skin irritation study with three female rabbits only weak erythema (average score at 24, 48 and 72 hours 0.11) was observed following 4 hours semi-occlusive application. Based on this MAKI PAT’ is considered not irritating to skin.</w:t>
      </w:r>
    </w:p>
    <w:p w:rsidR="00BA7C2C" w:rsidRPr="00F80D22" w:rsidRDefault="00BA7C2C" w:rsidP="00BA7C2C">
      <w:pPr>
        <w:numPr>
          <w:ilvl w:val="0"/>
          <w:numId w:val="15"/>
        </w:numPr>
        <w:spacing w:before="240" w:after="40" w:line="260" w:lineRule="atLeast"/>
        <w:rPr>
          <w:rFonts w:cs="Arial"/>
        </w:rPr>
      </w:pPr>
      <w:r w:rsidRPr="00F80D22">
        <w:rPr>
          <w:rFonts w:cs="Arial"/>
        </w:rPr>
        <w:t xml:space="preserve">Eye irritation </w:t>
      </w:r>
    </w:p>
    <w:p w:rsidR="00BA7C2C" w:rsidRPr="00F80D22" w:rsidRDefault="00BA7C2C" w:rsidP="00BA7C2C">
      <w:pPr>
        <w:spacing w:before="40" w:after="40"/>
        <w:rPr>
          <w:rFonts w:cs="Arial"/>
        </w:rPr>
      </w:pPr>
      <w:r w:rsidRPr="00F80D22">
        <w:rPr>
          <w:rFonts w:cs="Arial"/>
        </w:rPr>
        <w:t>Instillation of MAKI PAT’ to the eyes of three rabbits resulted in no corneal changes and no iridial reaction. Conjunctival redness and swelling, no more than slight in severity, transient in duration, were apparent at the first observation and redness persisted to 24 hours. No other reactions were observed. Based on this MAKI PAT’ is considered to be not irritating to eyes.</w:t>
      </w:r>
    </w:p>
    <w:p w:rsidR="00BA7C2C" w:rsidRPr="00F80D22" w:rsidRDefault="00BA7C2C" w:rsidP="00BA7C2C">
      <w:pPr>
        <w:spacing w:before="40" w:after="40"/>
        <w:rPr>
          <w:rFonts w:cs="Arial"/>
        </w:rPr>
      </w:pPr>
    </w:p>
    <w:p w:rsidR="00BA7C2C" w:rsidRPr="00F80D22" w:rsidRDefault="00BA7C2C" w:rsidP="00BA7C2C">
      <w:pPr>
        <w:numPr>
          <w:ilvl w:val="0"/>
          <w:numId w:val="15"/>
        </w:numPr>
        <w:spacing w:before="40" w:after="40" w:line="260" w:lineRule="atLeast"/>
        <w:rPr>
          <w:rFonts w:cs="Arial"/>
        </w:rPr>
      </w:pPr>
      <w:r w:rsidRPr="00F80D22">
        <w:rPr>
          <w:rFonts w:cs="Arial"/>
        </w:rPr>
        <w:t>Skin sensitization</w:t>
      </w:r>
    </w:p>
    <w:p w:rsidR="00BA7C2C" w:rsidRPr="00F80D22" w:rsidRDefault="00BA7C2C" w:rsidP="00BA7C2C">
      <w:pPr>
        <w:spacing w:before="120" w:after="120"/>
        <w:rPr>
          <w:rFonts w:cs="Arial"/>
        </w:rPr>
      </w:pPr>
      <w:r w:rsidRPr="00F80D22">
        <w:rPr>
          <w:rFonts w:cs="Arial"/>
        </w:rPr>
        <w:t>MAKI PAT’ gave no evidence for inducing delayed contact hypersensitivity in a Buehler test conducted in twenty guinea pigs. None of the test animals showed any dermal irritation during the induction phase and no reactions were evident in the control or test group following challenge. Based on this MAKI PAT’ is considered to be not a skin sensitizer.</w:t>
      </w:r>
    </w:p>
    <w:p w:rsidR="00BA7C2C" w:rsidRPr="00F80D22" w:rsidRDefault="00BA7C2C" w:rsidP="00BA7C2C">
      <w:pPr>
        <w:spacing w:before="120" w:after="120"/>
        <w:rPr>
          <w:rFonts w:cs="Arial"/>
          <w:snapToGrid w:val="0"/>
        </w:rPr>
      </w:pPr>
      <w:r w:rsidRPr="00F80D22">
        <w:rPr>
          <w:rFonts w:cs="Arial"/>
          <w:snapToGrid w:val="0"/>
        </w:rPr>
        <w:t xml:space="preserve">The applicant also provided a GLP-compliant acute inhalation toxicity study with Bromadiolone (1%) powder, containing 1% bromadiolone and 99% wheat starch, which is considered to be a suitable surrogate for inhalation toxicity of bromadiolone grain formulations. The LC50 was </w:t>
      </w:r>
      <w:r w:rsidRPr="00F80D22">
        <w:rPr>
          <w:rFonts w:cs="Arial"/>
        </w:rPr>
        <w:t xml:space="preserve">&lt; 0.523 mg/L air, indicating that the product is toxic by inhalation and should be classified as T, R23. </w:t>
      </w:r>
      <w:r w:rsidRPr="00F80D22">
        <w:rPr>
          <w:rFonts w:cs="Arial"/>
          <w:snapToGrid w:val="0"/>
        </w:rPr>
        <w:t xml:space="preserve"> However, as bromadiolone is not volatile (vapour pressure </w:t>
      </w:r>
      <w:r w:rsidRPr="00F80D22">
        <w:rPr>
          <w:rFonts w:cs="Arial"/>
          <w:color w:val="000000"/>
        </w:rPr>
        <w:t>2.13 x 10</w:t>
      </w:r>
      <w:r w:rsidRPr="00F80D22">
        <w:rPr>
          <w:rFonts w:cs="Arial"/>
          <w:color w:val="000000"/>
          <w:vertAlign w:val="superscript"/>
        </w:rPr>
        <w:t>-8</w:t>
      </w:r>
      <w:r w:rsidRPr="00F80D22">
        <w:rPr>
          <w:rFonts w:cs="Arial"/>
          <w:color w:val="000000"/>
        </w:rPr>
        <w:t xml:space="preserve"> Pa at </w:t>
      </w:r>
      <w:smartTag w:uri="urn:schemas-microsoft-com:office:smarttags" w:element="metricconverter">
        <w:smartTagPr>
          <w:attr w:name="ProductID" w:val="25ﾰC"/>
        </w:smartTagPr>
        <w:r w:rsidRPr="00F80D22">
          <w:rPr>
            <w:rFonts w:cs="Arial"/>
            <w:color w:val="000000"/>
          </w:rPr>
          <w:t>25°C</w:t>
        </w:r>
      </w:smartTag>
      <w:r w:rsidRPr="00F80D22">
        <w:rPr>
          <w:rFonts w:cs="Arial"/>
          <w:color w:val="000000"/>
        </w:rPr>
        <w:t>) and the product is applied in the form of paste, inhalation is considered to be not a relevant exposure route, and the product will not be classified for acute inhalation toxicity.</w:t>
      </w:r>
    </w:p>
    <w:p w:rsidR="00BA7C2C" w:rsidRPr="00F80D22" w:rsidRDefault="00BA7C2C" w:rsidP="00BA7C2C">
      <w:pPr>
        <w:rPr>
          <w:rFonts w:cs="Arial"/>
        </w:rPr>
      </w:pPr>
      <w:r w:rsidRPr="00F80D22">
        <w:rPr>
          <w:rFonts w:cs="Arial"/>
        </w:rPr>
        <w:t>The basis for the health assessment of the biocidal product is laid out in Annex 5 ”Toxicology – biocidal product”</w:t>
      </w:r>
    </w:p>
    <w:p w:rsidR="00BA7C2C" w:rsidRPr="00A0425E" w:rsidRDefault="00BA7C2C" w:rsidP="00BA7C2C">
      <w:pPr>
        <w:pStyle w:val="Kop3"/>
        <w:numPr>
          <w:ilvl w:val="2"/>
          <w:numId w:val="12"/>
        </w:numPr>
        <w:tabs>
          <w:tab w:val="left" w:pos="1304"/>
        </w:tabs>
        <w:spacing w:before="300" w:line="280" w:lineRule="atLeast"/>
        <w:jc w:val="left"/>
      </w:pPr>
      <w:bookmarkStart w:id="776" w:name="_Toc362858096"/>
      <w:r w:rsidRPr="00A0425E">
        <w:lastRenderedPageBreak/>
        <w:t>Exposure</w:t>
      </w:r>
      <w:bookmarkEnd w:id="776"/>
    </w:p>
    <w:p w:rsidR="00BA7C2C" w:rsidRPr="00F72140" w:rsidRDefault="00BA7C2C" w:rsidP="00BA7C2C">
      <w:pPr>
        <w:pStyle w:val="Standard-italics"/>
        <w:keepNext w:val="0"/>
        <w:spacing w:before="0" w:after="240"/>
        <w:ind w:right="-188"/>
        <w:jc w:val="both"/>
        <w:rPr>
          <w:rFonts w:cs="Arial"/>
          <w:i w:val="0"/>
          <w:sz w:val="22"/>
          <w:szCs w:val="22"/>
        </w:rPr>
      </w:pPr>
      <w:r w:rsidRPr="00F72140">
        <w:rPr>
          <w:rFonts w:cs="Arial"/>
          <w:i w:val="0"/>
          <w:sz w:val="22"/>
          <w:szCs w:val="22"/>
          <w:lang w:eastAsia="sv-SE"/>
        </w:rPr>
        <w:t xml:space="preserve">The biocidal product </w:t>
      </w:r>
      <w:r w:rsidRPr="00F72140">
        <w:rPr>
          <w:rFonts w:cs="Arial"/>
          <w:i w:val="0"/>
          <w:sz w:val="22"/>
          <w:szCs w:val="22"/>
        </w:rPr>
        <w:t xml:space="preserve">MAKI PAT’ </w:t>
      </w:r>
      <w:r w:rsidRPr="00F72140">
        <w:rPr>
          <w:rFonts w:cs="Arial"/>
          <w:i w:val="0"/>
          <w:sz w:val="22"/>
          <w:szCs w:val="22"/>
          <w:lang w:eastAsia="sv-SE"/>
        </w:rPr>
        <w:t xml:space="preserve">contains the active substance bromadialone (pure: 0.050 g/kg).  </w:t>
      </w:r>
      <w:r w:rsidRPr="00F72140">
        <w:rPr>
          <w:rFonts w:cs="Arial"/>
          <w:i w:val="0"/>
          <w:sz w:val="22"/>
          <w:szCs w:val="22"/>
        </w:rPr>
        <w:t>MAKI PAT’ is a ready-to-use paste bait used for the control of rats and mice in and around buildings, in open areas and around waste sites with the purpose of protecting human food and animal feedstuffs, and for general human hygiene. MAKI PAT’ is supplied ready for use in sachets (weight: 10-</w:t>
      </w:r>
      <w:smartTag w:uri="urn:schemas-microsoft-com:office:smarttags" w:element="metricconverter">
        <w:smartTagPr>
          <w:attr w:name="ProductID" w:val="40 g"/>
        </w:smartTagPr>
        <w:r w:rsidRPr="00F72140">
          <w:rPr>
            <w:rFonts w:cs="Arial"/>
            <w:i w:val="0"/>
            <w:sz w:val="22"/>
            <w:szCs w:val="22"/>
          </w:rPr>
          <w:t>40 g</w:t>
        </w:r>
      </w:smartTag>
      <w:r w:rsidRPr="00F72140">
        <w:rPr>
          <w:rFonts w:cs="Arial"/>
          <w:i w:val="0"/>
          <w:sz w:val="22"/>
          <w:szCs w:val="22"/>
        </w:rPr>
        <w:t xml:space="preserve">) which are intended to be used directly (not to be opened by the user).  </w:t>
      </w:r>
    </w:p>
    <w:p w:rsidR="00BA7C2C" w:rsidRPr="00F72140" w:rsidRDefault="00BA7C2C" w:rsidP="00BA7C2C">
      <w:pPr>
        <w:pStyle w:val="Standard-italics"/>
        <w:keepNext w:val="0"/>
        <w:spacing w:before="0" w:after="240"/>
        <w:ind w:right="-188"/>
        <w:jc w:val="both"/>
        <w:rPr>
          <w:rFonts w:cs="Arial"/>
          <w:i w:val="0"/>
          <w:sz w:val="22"/>
          <w:szCs w:val="22"/>
        </w:rPr>
      </w:pPr>
      <w:r w:rsidRPr="00F72140">
        <w:rPr>
          <w:rFonts w:cs="Arial"/>
          <w:i w:val="0"/>
          <w:sz w:val="22"/>
          <w:szCs w:val="22"/>
        </w:rPr>
        <w:t xml:space="preserve">The product is intended for both professional and non-professional use. It should be noted, however, that non-professional use against rats is not permitted in the </w:t>
      </w:r>
      <w:smartTag w:uri="urn:schemas-microsoft-com:office:smarttags" w:element="place">
        <w:smartTag w:uri="urn:schemas-microsoft-com:office:smarttags" w:element="country-region">
          <w:r w:rsidRPr="00F72140">
            <w:rPr>
              <w:rFonts w:cs="Arial"/>
              <w:i w:val="0"/>
              <w:sz w:val="22"/>
              <w:szCs w:val="22"/>
            </w:rPr>
            <w:t>Netherlands</w:t>
          </w:r>
        </w:smartTag>
      </w:smartTag>
      <w:r w:rsidRPr="00F72140">
        <w:rPr>
          <w:rFonts w:cs="Arial"/>
          <w:i w:val="0"/>
          <w:sz w:val="22"/>
          <w:szCs w:val="22"/>
        </w:rPr>
        <w:t xml:space="preserve"> by national specific policy, but will be assessed in this risk assessment..</w:t>
      </w:r>
    </w:p>
    <w:p w:rsidR="00BA7C2C" w:rsidRPr="00F72140" w:rsidRDefault="00BA7C2C" w:rsidP="00BA7C2C">
      <w:pPr>
        <w:spacing w:after="240"/>
        <w:rPr>
          <w:rFonts w:cs="Arial"/>
        </w:rPr>
      </w:pPr>
      <w:r w:rsidRPr="00F72140">
        <w:rPr>
          <w:rFonts w:cs="Arial"/>
        </w:rPr>
        <w:t>The potential for exposure to bromadiolone paste baits is summarised in the table below.</w:t>
      </w: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559"/>
        <w:gridCol w:w="1984"/>
        <w:gridCol w:w="2127"/>
        <w:gridCol w:w="1984"/>
      </w:tblGrid>
      <w:tr w:rsidR="00BA7C2C" w:rsidRPr="00F72140" w:rsidTr="00613EE2">
        <w:tc>
          <w:tcPr>
            <w:tcW w:w="1560" w:type="dxa"/>
          </w:tcPr>
          <w:p w:rsidR="00BA7C2C" w:rsidRPr="00F72140" w:rsidRDefault="00BA7C2C" w:rsidP="00613EE2">
            <w:pPr>
              <w:keepNext/>
              <w:spacing w:before="40" w:after="40"/>
              <w:rPr>
                <w:rFonts w:cs="Arial"/>
                <w:b/>
              </w:rPr>
            </w:pPr>
            <w:r w:rsidRPr="00F72140">
              <w:rPr>
                <w:rFonts w:cs="Arial"/>
                <w:b/>
              </w:rPr>
              <w:t>Exposure path</w:t>
            </w:r>
          </w:p>
        </w:tc>
        <w:tc>
          <w:tcPr>
            <w:tcW w:w="1559" w:type="dxa"/>
            <w:tcBorders>
              <w:bottom w:val="nil"/>
            </w:tcBorders>
          </w:tcPr>
          <w:p w:rsidR="00BA7C2C" w:rsidRPr="00F72140" w:rsidRDefault="00BA7C2C" w:rsidP="00613EE2">
            <w:pPr>
              <w:keepNext/>
              <w:spacing w:before="40" w:after="40"/>
              <w:rPr>
                <w:rFonts w:cs="Arial"/>
                <w:b/>
              </w:rPr>
            </w:pPr>
            <w:r w:rsidRPr="00F72140">
              <w:rPr>
                <w:rFonts w:cs="Arial"/>
                <w:b/>
              </w:rPr>
              <w:t>Industrial use</w:t>
            </w:r>
          </w:p>
        </w:tc>
        <w:tc>
          <w:tcPr>
            <w:tcW w:w="1984" w:type="dxa"/>
          </w:tcPr>
          <w:p w:rsidR="00BA7C2C" w:rsidRPr="00F72140" w:rsidRDefault="00BA7C2C" w:rsidP="00613EE2">
            <w:pPr>
              <w:keepNext/>
              <w:spacing w:before="40" w:after="40"/>
              <w:rPr>
                <w:rFonts w:cs="Arial"/>
                <w:b/>
              </w:rPr>
            </w:pPr>
            <w:r w:rsidRPr="00F72140">
              <w:rPr>
                <w:rFonts w:cs="Arial"/>
                <w:b/>
              </w:rPr>
              <w:t>Professional use</w:t>
            </w:r>
          </w:p>
        </w:tc>
        <w:tc>
          <w:tcPr>
            <w:tcW w:w="2127" w:type="dxa"/>
            <w:tcBorders>
              <w:bottom w:val="nil"/>
            </w:tcBorders>
          </w:tcPr>
          <w:p w:rsidR="00BA7C2C" w:rsidRPr="00F72140" w:rsidRDefault="00BA7C2C" w:rsidP="00613EE2">
            <w:pPr>
              <w:keepNext/>
              <w:spacing w:before="40" w:after="40"/>
              <w:rPr>
                <w:rFonts w:cs="Arial"/>
                <w:b/>
              </w:rPr>
            </w:pPr>
            <w:r w:rsidRPr="00F72140">
              <w:rPr>
                <w:rFonts w:cs="Arial"/>
                <w:b/>
              </w:rPr>
              <w:t>General public</w:t>
            </w:r>
          </w:p>
        </w:tc>
        <w:tc>
          <w:tcPr>
            <w:tcW w:w="1984" w:type="dxa"/>
          </w:tcPr>
          <w:p w:rsidR="00BA7C2C" w:rsidRPr="00F72140" w:rsidRDefault="00BA7C2C" w:rsidP="00613EE2">
            <w:pPr>
              <w:keepNext/>
              <w:spacing w:before="40" w:after="40"/>
              <w:rPr>
                <w:rFonts w:cs="Arial"/>
                <w:b/>
              </w:rPr>
            </w:pPr>
            <w:r w:rsidRPr="00F72140">
              <w:rPr>
                <w:rFonts w:cs="Arial"/>
                <w:b/>
              </w:rPr>
              <w:t>Via the environment</w:t>
            </w:r>
          </w:p>
        </w:tc>
      </w:tr>
      <w:tr w:rsidR="00BA7C2C" w:rsidRPr="00F72140" w:rsidTr="00613EE2">
        <w:tc>
          <w:tcPr>
            <w:tcW w:w="1560" w:type="dxa"/>
            <w:tcBorders>
              <w:top w:val="nil"/>
            </w:tcBorders>
          </w:tcPr>
          <w:p w:rsidR="00BA7C2C" w:rsidRPr="00F72140" w:rsidRDefault="00BA7C2C" w:rsidP="00613EE2">
            <w:pPr>
              <w:keepNext/>
              <w:spacing w:before="40" w:after="40"/>
              <w:rPr>
                <w:rFonts w:cs="Arial"/>
              </w:rPr>
            </w:pPr>
            <w:r w:rsidRPr="00F72140">
              <w:rPr>
                <w:rFonts w:cs="Arial"/>
              </w:rPr>
              <w:t>Inhalation</w:t>
            </w:r>
          </w:p>
        </w:tc>
        <w:tc>
          <w:tcPr>
            <w:tcW w:w="1559" w:type="dxa"/>
          </w:tcPr>
          <w:p w:rsidR="00BA7C2C" w:rsidRPr="00F72140" w:rsidRDefault="00BA7C2C" w:rsidP="00613EE2">
            <w:pPr>
              <w:keepNext/>
              <w:spacing w:before="40" w:after="40"/>
              <w:rPr>
                <w:rFonts w:cs="Arial"/>
              </w:rPr>
            </w:pPr>
            <w:r w:rsidRPr="00F72140">
              <w:rPr>
                <w:rFonts w:cs="Arial"/>
              </w:rPr>
              <w:t>Not relevant</w:t>
            </w:r>
          </w:p>
        </w:tc>
        <w:tc>
          <w:tcPr>
            <w:tcW w:w="1984" w:type="dxa"/>
            <w:tcBorders>
              <w:top w:val="nil"/>
            </w:tcBorders>
          </w:tcPr>
          <w:p w:rsidR="00BA7C2C" w:rsidRPr="00F72140" w:rsidRDefault="00BA7C2C" w:rsidP="00613EE2">
            <w:pPr>
              <w:keepNext/>
              <w:spacing w:before="40" w:after="40"/>
              <w:rPr>
                <w:rFonts w:cs="Arial"/>
              </w:rPr>
            </w:pPr>
            <w:r w:rsidRPr="00F72140">
              <w:rPr>
                <w:rFonts w:cs="Arial"/>
              </w:rPr>
              <w:t>Not relevant</w:t>
            </w:r>
          </w:p>
        </w:tc>
        <w:tc>
          <w:tcPr>
            <w:tcW w:w="2127" w:type="dxa"/>
          </w:tcPr>
          <w:p w:rsidR="00BA7C2C" w:rsidRPr="00F72140" w:rsidRDefault="00BA7C2C" w:rsidP="00613EE2">
            <w:pPr>
              <w:keepNext/>
              <w:spacing w:before="40" w:after="40"/>
              <w:rPr>
                <w:rFonts w:cs="Arial"/>
              </w:rPr>
            </w:pPr>
            <w:r w:rsidRPr="00F72140">
              <w:rPr>
                <w:rFonts w:cs="Arial"/>
              </w:rPr>
              <w:t>Not relevant</w:t>
            </w:r>
          </w:p>
        </w:tc>
        <w:tc>
          <w:tcPr>
            <w:tcW w:w="1984" w:type="dxa"/>
            <w:tcBorders>
              <w:top w:val="nil"/>
            </w:tcBorders>
          </w:tcPr>
          <w:p w:rsidR="00BA7C2C" w:rsidRPr="00F72140" w:rsidRDefault="00BA7C2C" w:rsidP="00613EE2">
            <w:pPr>
              <w:keepNext/>
              <w:spacing w:before="40" w:after="40"/>
              <w:rPr>
                <w:rFonts w:cs="Arial"/>
              </w:rPr>
            </w:pPr>
            <w:r w:rsidRPr="00F72140">
              <w:rPr>
                <w:rFonts w:cs="Arial"/>
              </w:rPr>
              <w:t>Negligible</w:t>
            </w:r>
          </w:p>
        </w:tc>
      </w:tr>
      <w:tr w:rsidR="00BA7C2C" w:rsidRPr="00F72140" w:rsidTr="00613EE2">
        <w:tc>
          <w:tcPr>
            <w:tcW w:w="1560" w:type="dxa"/>
          </w:tcPr>
          <w:p w:rsidR="00BA7C2C" w:rsidRPr="00F72140" w:rsidRDefault="00BA7C2C" w:rsidP="00613EE2">
            <w:pPr>
              <w:keepNext/>
              <w:spacing w:before="40" w:after="40"/>
              <w:rPr>
                <w:rFonts w:cs="Arial"/>
              </w:rPr>
            </w:pPr>
            <w:r w:rsidRPr="00F72140">
              <w:rPr>
                <w:rFonts w:cs="Arial"/>
              </w:rPr>
              <w:t>Dermal</w:t>
            </w:r>
          </w:p>
        </w:tc>
        <w:tc>
          <w:tcPr>
            <w:tcW w:w="1559" w:type="dxa"/>
          </w:tcPr>
          <w:p w:rsidR="00BA7C2C" w:rsidRPr="00F72140" w:rsidRDefault="00BA7C2C" w:rsidP="00613EE2">
            <w:pPr>
              <w:keepNext/>
              <w:spacing w:before="40" w:after="40"/>
              <w:rPr>
                <w:rFonts w:cs="Arial"/>
              </w:rPr>
            </w:pPr>
            <w:r w:rsidRPr="00F72140">
              <w:rPr>
                <w:rFonts w:cs="Arial"/>
              </w:rPr>
              <w:t>Not relevant</w:t>
            </w:r>
          </w:p>
        </w:tc>
        <w:tc>
          <w:tcPr>
            <w:tcW w:w="1984" w:type="dxa"/>
          </w:tcPr>
          <w:p w:rsidR="00BA7C2C" w:rsidRPr="00F72140" w:rsidRDefault="00BA7C2C" w:rsidP="00613EE2">
            <w:pPr>
              <w:keepNext/>
              <w:spacing w:before="40" w:after="40"/>
              <w:rPr>
                <w:rFonts w:cs="Arial"/>
              </w:rPr>
            </w:pPr>
            <w:r w:rsidRPr="00F72140">
              <w:rPr>
                <w:rFonts w:cs="Arial"/>
              </w:rPr>
              <w:t>Potentially significant</w:t>
            </w:r>
          </w:p>
        </w:tc>
        <w:tc>
          <w:tcPr>
            <w:tcW w:w="2127" w:type="dxa"/>
          </w:tcPr>
          <w:p w:rsidR="00BA7C2C" w:rsidRPr="00F72140" w:rsidRDefault="00BA7C2C" w:rsidP="00613EE2">
            <w:pPr>
              <w:keepNext/>
              <w:spacing w:before="40" w:after="40"/>
              <w:rPr>
                <w:rFonts w:cs="Arial"/>
              </w:rPr>
            </w:pPr>
            <w:r w:rsidRPr="00F72140">
              <w:rPr>
                <w:rFonts w:cs="Arial"/>
              </w:rPr>
              <w:t>Potentially significant</w:t>
            </w:r>
          </w:p>
        </w:tc>
        <w:tc>
          <w:tcPr>
            <w:tcW w:w="1984" w:type="dxa"/>
          </w:tcPr>
          <w:p w:rsidR="00BA7C2C" w:rsidRPr="00F72140" w:rsidRDefault="00BA7C2C" w:rsidP="00613EE2">
            <w:pPr>
              <w:keepNext/>
              <w:spacing w:before="40" w:after="40"/>
              <w:rPr>
                <w:rFonts w:cs="Arial"/>
              </w:rPr>
            </w:pPr>
            <w:r w:rsidRPr="00F72140">
              <w:rPr>
                <w:rFonts w:cs="Arial"/>
              </w:rPr>
              <w:t>Negligible</w:t>
            </w:r>
          </w:p>
        </w:tc>
      </w:tr>
      <w:tr w:rsidR="00BA7C2C" w:rsidRPr="00F72140" w:rsidTr="00613EE2">
        <w:tc>
          <w:tcPr>
            <w:tcW w:w="1560" w:type="dxa"/>
          </w:tcPr>
          <w:p w:rsidR="00BA7C2C" w:rsidRPr="00F72140" w:rsidRDefault="00BA7C2C" w:rsidP="00613EE2">
            <w:pPr>
              <w:keepNext/>
              <w:spacing w:before="40" w:after="40"/>
              <w:rPr>
                <w:rFonts w:cs="Arial"/>
              </w:rPr>
            </w:pPr>
            <w:r w:rsidRPr="00F72140">
              <w:rPr>
                <w:rFonts w:cs="Arial"/>
              </w:rPr>
              <w:t>Oral</w:t>
            </w:r>
          </w:p>
        </w:tc>
        <w:tc>
          <w:tcPr>
            <w:tcW w:w="1559" w:type="dxa"/>
          </w:tcPr>
          <w:p w:rsidR="00BA7C2C" w:rsidRPr="00F72140" w:rsidRDefault="00BA7C2C" w:rsidP="00613EE2">
            <w:pPr>
              <w:keepNext/>
              <w:spacing w:before="40" w:after="40"/>
              <w:rPr>
                <w:rFonts w:cs="Arial"/>
              </w:rPr>
            </w:pPr>
            <w:r w:rsidRPr="00F72140">
              <w:rPr>
                <w:rFonts w:cs="Arial"/>
              </w:rPr>
              <w:t>Not relevant</w:t>
            </w:r>
          </w:p>
        </w:tc>
        <w:tc>
          <w:tcPr>
            <w:tcW w:w="1984" w:type="dxa"/>
          </w:tcPr>
          <w:p w:rsidR="00BA7C2C" w:rsidRPr="00F72140" w:rsidRDefault="00BA7C2C" w:rsidP="00613EE2">
            <w:pPr>
              <w:keepNext/>
              <w:spacing w:before="40" w:after="40"/>
              <w:rPr>
                <w:rFonts w:cs="Arial"/>
              </w:rPr>
            </w:pPr>
            <w:r w:rsidRPr="00F72140">
              <w:rPr>
                <w:rFonts w:cs="Arial"/>
              </w:rPr>
              <w:t>Negligible</w:t>
            </w:r>
          </w:p>
        </w:tc>
        <w:tc>
          <w:tcPr>
            <w:tcW w:w="2127" w:type="dxa"/>
          </w:tcPr>
          <w:p w:rsidR="00BA7C2C" w:rsidRPr="00F72140" w:rsidRDefault="00BA7C2C" w:rsidP="00613EE2">
            <w:pPr>
              <w:keepNext/>
              <w:spacing w:before="40" w:after="40"/>
              <w:rPr>
                <w:rFonts w:cs="Arial"/>
              </w:rPr>
            </w:pPr>
            <w:r w:rsidRPr="00F72140">
              <w:rPr>
                <w:rFonts w:cs="Arial"/>
              </w:rPr>
              <w:t>Negligible</w:t>
            </w:r>
          </w:p>
        </w:tc>
        <w:tc>
          <w:tcPr>
            <w:tcW w:w="1984" w:type="dxa"/>
          </w:tcPr>
          <w:p w:rsidR="00BA7C2C" w:rsidRPr="00F72140" w:rsidRDefault="00BA7C2C" w:rsidP="00613EE2">
            <w:pPr>
              <w:keepNext/>
              <w:spacing w:before="40" w:after="40"/>
              <w:rPr>
                <w:rFonts w:cs="Arial"/>
              </w:rPr>
            </w:pPr>
            <w:r w:rsidRPr="00F72140">
              <w:rPr>
                <w:rFonts w:cs="Arial"/>
              </w:rPr>
              <w:t>Negligible</w:t>
            </w:r>
          </w:p>
        </w:tc>
      </w:tr>
    </w:tbl>
    <w:p w:rsidR="00BA7C2C" w:rsidRPr="00F72140" w:rsidRDefault="00BA7C2C" w:rsidP="00BA7C2C">
      <w:pPr>
        <w:keepNext/>
        <w:keepLines/>
        <w:spacing w:after="60"/>
        <w:ind w:right="-164"/>
        <w:jc w:val="both"/>
        <w:rPr>
          <w:rFonts w:cs="Arial"/>
          <w:b/>
        </w:rPr>
      </w:pPr>
    </w:p>
    <w:p w:rsidR="00BA7C2C" w:rsidRPr="00F72140" w:rsidRDefault="00BA7C2C" w:rsidP="00BA7C2C">
      <w:pPr>
        <w:keepNext/>
        <w:keepLines/>
        <w:spacing w:after="60"/>
        <w:ind w:right="-164"/>
        <w:jc w:val="both"/>
        <w:rPr>
          <w:rFonts w:cs="Arial"/>
          <w:b/>
        </w:rPr>
      </w:pPr>
      <w:r w:rsidRPr="00F72140">
        <w:rPr>
          <w:rFonts w:cs="Arial"/>
          <w:b/>
        </w:rPr>
        <w:t>Inhalation exposure</w:t>
      </w:r>
    </w:p>
    <w:p w:rsidR="00BA7C2C" w:rsidRPr="00F72140" w:rsidRDefault="00BA7C2C" w:rsidP="00BA7C2C">
      <w:pPr>
        <w:spacing w:after="240"/>
        <w:ind w:right="-164"/>
        <w:jc w:val="both"/>
        <w:rPr>
          <w:rFonts w:cs="Arial"/>
        </w:rPr>
      </w:pPr>
      <w:r w:rsidRPr="00F72140">
        <w:rPr>
          <w:rFonts w:cs="Arial"/>
        </w:rPr>
        <w:t xml:space="preserve">Bromadiolone is not volatile and MAKI PAT’ bait is a non-dusty cereal based paste formulation.  Therefore, </w:t>
      </w:r>
      <w:r>
        <w:rPr>
          <w:rFonts w:cs="Arial"/>
        </w:rPr>
        <w:t>t</w:t>
      </w:r>
      <w:r w:rsidRPr="00F72140">
        <w:rPr>
          <w:rFonts w:cs="Arial"/>
        </w:rPr>
        <w:t xml:space="preserve">he risk of inhalation exposure to bromadiolone for professional or amateur users during use is not considered a relevant exposure path.  Similarly, for non-users, the risk of inhalation exposure to residues during or after application via the environment is considered to be negligible.  </w:t>
      </w:r>
    </w:p>
    <w:p w:rsidR="00BA7C2C" w:rsidRPr="00F72140" w:rsidRDefault="00BA7C2C" w:rsidP="00BA7C2C">
      <w:pPr>
        <w:keepNext/>
        <w:keepLines/>
        <w:spacing w:after="60"/>
        <w:ind w:right="-164"/>
        <w:jc w:val="both"/>
        <w:rPr>
          <w:rFonts w:cs="Arial"/>
          <w:b/>
        </w:rPr>
      </w:pPr>
      <w:r w:rsidRPr="00F72140">
        <w:rPr>
          <w:rFonts w:cs="Arial"/>
          <w:b/>
        </w:rPr>
        <w:t>Dermal exposure</w:t>
      </w:r>
    </w:p>
    <w:p w:rsidR="00BA7C2C" w:rsidRPr="007432C9" w:rsidRDefault="00BA7C2C" w:rsidP="00BA7C2C">
      <w:pPr>
        <w:spacing w:after="240"/>
        <w:ind w:right="-187"/>
        <w:jc w:val="both"/>
        <w:rPr>
          <w:rFonts w:cs="Arial"/>
        </w:rPr>
      </w:pPr>
      <w:r w:rsidRPr="007432C9">
        <w:rPr>
          <w:rFonts w:cs="Arial"/>
        </w:rPr>
        <w:t>MAKI PAT’ is supplied ready for use in polypropylene/paper sachets which are not intended to be opened by the user.  The product is placed in position by hand; however dermal exposure during application can be excluded due to the presence of the packaging.  Once in place the product packaging will be damaged by rodents as they feed and the red paste bait will be exposed.  Dermal exposure to paste is therefore possible during clean-up operations but will be limited to the hands and exposure to other parts of the body is negligible. Children could potentially be the group most at risk as they may play inside or around buildings where baits have been placed. However, product labels and good practice advise users to prevent access to bait by children.</w:t>
      </w:r>
    </w:p>
    <w:p w:rsidR="00BA7C2C" w:rsidRPr="00F72140" w:rsidRDefault="00BA7C2C" w:rsidP="00BA7C2C">
      <w:pPr>
        <w:spacing w:after="60"/>
        <w:ind w:right="-164"/>
        <w:jc w:val="both"/>
        <w:rPr>
          <w:rFonts w:cs="Arial"/>
          <w:b/>
        </w:rPr>
      </w:pPr>
      <w:r w:rsidRPr="00F72140">
        <w:rPr>
          <w:rFonts w:cs="Arial"/>
          <w:b/>
        </w:rPr>
        <w:t>Oral exposure</w:t>
      </w:r>
    </w:p>
    <w:p w:rsidR="00BA7C2C" w:rsidRPr="00F72140" w:rsidRDefault="00BA7C2C" w:rsidP="00BA7C2C">
      <w:pPr>
        <w:spacing w:after="240"/>
        <w:ind w:right="-164"/>
        <w:jc w:val="both"/>
        <w:rPr>
          <w:rFonts w:cs="Arial"/>
        </w:rPr>
      </w:pPr>
      <w:r w:rsidRPr="00F72140">
        <w:rPr>
          <w:rFonts w:cs="Arial"/>
        </w:rPr>
        <w:t xml:space="preserve">MAKI PAT’ bait is not likely to reach the mouth of professional or amateur users.  Therefore, the risk during use is considered to negligible. To prevent dermal-oral uptake, the following sentence is included in the WG/GA (instruction of use) ”Wash hand after use”. For non-users, risk of oral exposure </w:t>
      </w:r>
      <w:r w:rsidRPr="00F72140">
        <w:rPr>
          <w:rFonts w:cs="Arial"/>
        </w:rPr>
        <w:lastRenderedPageBreak/>
        <w:t>to residues during or after application is considered to be negligible if the instruction of use is followed. Children or infants may play close to the floor where baits have been placed indoors.  However, product labels and good practice advise users to prevent access to bait by children. MAKI PAT’ bait also contains a bittering agent to prevent infants ingesting bait.</w:t>
      </w:r>
    </w:p>
    <w:p w:rsidR="00BA7C2C" w:rsidRPr="00A0425E" w:rsidRDefault="00BA7C2C" w:rsidP="00BA7C2C">
      <w:pPr>
        <w:pStyle w:val="Kop4"/>
        <w:numPr>
          <w:ilvl w:val="3"/>
          <w:numId w:val="12"/>
        </w:numPr>
        <w:tabs>
          <w:tab w:val="left" w:pos="1304"/>
        </w:tabs>
        <w:spacing w:before="300" w:line="280" w:lineRule="atLeast"/>
        <w:jc w:val="left"/>
      </w:pPr>
      <w:r w:rsidRPr="00A0425E">
        <w:t>Exposure of professional users</w:t>
      </w:r>
    </w:p>
    <w:p w:rsidR="00BA7C2C" w:rsidRPr="00F72140" w:rsidRDefault="00BA7C2C" w:rsidP="00BA7C2C">
      <w:pPr>
        <w:pStyle w:val="BfRBBStandard"/>
        <w:rPr>
          <w:rFonts w:eastAsia="Times New Roman"/>
          <w:noProof w:val="0"/>
          <w:szCs w:val="24"/>
          <w:lang w:val="en-GB" w:eastAsia="sv-SE"/>
        </w:rPr>
      </w:pPr>
      <w:r w:rsidRPr="00F72140">
        <w:rPr>
          <w:rFonts w:eastAsia="Times New Roman"/>
          <w:noProof w:val="0"/>
          <w:szCs w:val="24"/>
          <w:lang w:val="en-GB" w:eastAsia="sv-SE"/>
        </w:rPr>
        <w:t>In Annex 6 „Safety for professional operators“, the results of the exposure calculations for the active substance and the substance of concern for the professional user are laid out.</w:t>
      </w:r>
    </w:p>
    <w:p w:rsidR="00BA7C2C" w:rsidRPr="00F72140" w:rsidRDefault="00BA7C2C" w:rsidP="00BA7C2C">
      <w:pPr>
        <w:pStyle w:val="BfRBBStandard"/>
        <w:rPr>
          <w:rFonts w:eastAsia="Times New Roman"/>
          <w:noProof w:val="0"/>
          <w:szCs w:val="24"/>
          <w:lang w:val="en-GB" w:eastAsia="sv-SE"/>
        </w:rPr>
      </w:pPr>
    </w:p>
    <w:p w:rsidR="00BA7C2C" w:rsidRPr="00F72140" w:rsidRDefault="00BA7C2C" w:rsidP="00BA7C2C">
      <w:pPr>
        <w:spacing w:after="240"/>
        <w:ind w:right="-187"/>
        <w:jc w:val="both"/>
        <w:rPr>
          <w:rFonts w:cs="Arial"/>
        </w:rPr>
      </w:pPr>
      <w:r w:rsidRPr="00F72140">
        <w:rPr>
          <w:rFonts w:cs="Arial"/>
        </w:rPr>
        <w:t xml:space="preserve">The exposure assessment to MAKI PAT’ has been performed by the applicant by considering three exposure scenarios: bait placement in and around buildings, application around waste dumps and application in open areas. </w:t>
      </w:r>
    </w:p>
    <w:p w:rsidR="00BA7C2C" w:rsidRPr="00F72140" w:rsidRDefault="00BA7C2C" w:rsidP="00BA7C2C">
      <w:pPr>
        <w:spacing w:after="240"/>
        <w:ind w:right="-187"/>
        <w:jc w:val="both"/>
        <w:rPr>
          <w:rFonts w:cs="Arial"/>
        </w:rPr>
      </w:pPr>
      <w:r w:rsidRPr="007432C9">
        <w:rPr>
          <w:rFonts w:cs="Arial"/>
        </w:rPr>
        <w:t xml:space="preserve">MAKI PAT’ is supplied in sachets ready to use by professional users. A maximum dose of </w:t>
      </w:r>
      <w:smartTag w:uri="urn:schemas-microsoft-com:office:smarttags" w:element="metricconverter">
        <w:smartTagPr>
          <w:attr w:name="ProductID" w:val="200 g"/>
        </w:smartTagPr>
        <w:r w:rsidRPr="007432C9">
          <w:rPr>
            <w:rFonts w:cs="Arial"/>
          </w:rPr>
          <w:t>200 g</w:t>
        </w:r>
      </w:smartTag>
      <w:r w:rsidRPr="007432C9">
        <w:rPr>
          <w:rFonts w:cs="Arial"/>
        </w:rPr>
        <w:t xml:space="preserve"> for rats and </w:t>
      </w:r>
      <w:smartTag w:uri="urn:schemas-microsoft-com:office:smarttags" w:element="metricconverter">
        <w:smartTagPr>
          <w:attr w:name="ProductID" w:val="50 g"/>
        </w:smartTagPr>
        <w:r w:rsidRPr="007432C9">
          <w:rPr>
            <w:rFonts w:cs="Arial"/>
          </w:rPr>
          <w:t>50 g</w:t>
        </w:r>
      </w:smartTag>
      <w:r w:rsidRPr="007432C9">
        <w:rPr>
          <w:rFonts w:cs="Arial"/>
        </w:rPr>
        <w:t xml:space="preserve"> for mice is used per one bait point. As a worst-case, a maximum application of 6 sachets of </w:t>
      </w:r>
      <w:smartTag w:uri="urn:schemas-microsoft-com:office:smarttags" w:element="metricconverter">
        <w:smartTagPr>
          <w:attr w:name="ProductID" w:val="40 g"/>
        </w:smartTagPr>
        <w:r w:rsidRPr="007432C9">
          <w:rPr>
            <w:rFonts w:cs="Arial"/>
          </w:rPr>
          <w:t>40 g</w:t>
        </w:r>
      </w:smartTag>
      <w:r w:rsidRPr="007432C9">
        <w:rPr>
          <w:rFonts w:cs="Arial"/>
        </w:rPr>
        <w:t xml:space="preserve"> per one bait point is considered by the applicant. As the product is supplied in ready to use polypropylene/paper protective sachets, which will not be opened by the user, dermal exposure during loading is considered to be negligible, as protective packaging will prevent any contact of the user with the product. Once in place the product packaging will be damaged by rodents as they feed and the red paste bait will be exposed.  Dermal exposure to paste is therefore possible during clean-up operations but will be limited to the hands and exposure to other parts of the body is negligible.</w:t>
      </w:r>
    </w:p>
    <w:p w:rsidR="00BA7C2C" w:rsidRPr="00F72140" w:rsidRDefault="00BA7C2C" w:rsidP="00BA7C2C">
      <w:pPr>
        <w:pStyle w:val="BfRBBStandard"/>
      </w:pPr>
      <w:r w:rsidRPr="00F72140">
        <w:t xml:space="preserve">According to HEEG opinion (2010) on the number of manipulations in the assessment of rodenticides (anticoagulants) a maximum of 75 manipulations per day per person is assumed (placing of 60 bait stations per day and cleaning of 15 bait stations per day). This corresponds to the maximum handling of 75 x 6 x 40 = </w:t>
      </w:r>
      <w:smartTag w:uri="urn:schemas-microsoft-com:office:smarttags" w:element="metricconverter">
        <w:smartTagPr>
          <w:attr w:name="ProductID" w:val="18 kg"/>
        </w:smartTagPr>
        <w:r w:rsidRPr="00F72140">
          <w:t>18 kg</w:t>
        </w:r>
      </w:smartTag>
      <w:r w:rsidRPr="00F72140">
        <w:t xml:space="preserve"> product/day, or 18 x 0.05 = 900 mg bromadi</w:t>
      </w:r>
      <w:r>
        <w:t>o</w:t>
      </w:r>
      <w:r w:rsidRPr="00F72140">
        <w:t>lone handled per day. This scenario has been considered by the applicant for bait placement in and around buildings.</w:t>
      </w:r>
    </w:p>
    <w:p w:rsidR="00BA7C2C" w:rsidRPr="00F72140" w:rsidRDefault="00BA7C2C" w:rsidP="00BA7C2C">
      <w:pPr>
        <w:pStyle w:val="BfRBBStandard"/>
      </w:pPr>
    </w:p>
    <w:p w:rsidR="00BA7C2C" w:rsidRPr="00F72140" w:rsidRDefault="00BA7C2C" w:rsidP="00BA7C2C">
      <w:pPr>
        <w:keepNext/>
        <w:keepLines/>
        <w:spacing w:before="20" w:after="20"/>
        <w:rPr>
          <w:rFonts w:cs="Arial"/>
        </w:rPr>
      </w:pPr>
      <w:r w:rsidRPr="00F72140">
        <w:rPr>
          <w:rFonts w:cs="Arial"/>
        </w:rPr>
        <w:t xml:space="preserve">Two additional exposure scenario’s for professional user have been considered by the applicant: aplication around waste dump (landfill) perimeters for control of rodents and application in open areas for control of rodents. In the first scenario, as a worst case a maximum of 50 bait points treated per day plus remains of 50 bait points collected is considered, which corresponds to 100 x 6 x 40 = </w:t>
      </w:r>
      <w:smartTag w:uri="urn:schemas-microsoft-com:office:smarttags" w:element="metricconverter">
        <w:smartTagPr>
          <w:attr w:name="ProductID" w:val="24 kg"/>
        </w:smartTagPr>
        <w:r w:rsidRPr="00F72140">
          <w:rPr>
            <w:rFonts w:cs="Arial"/>
          </w:rPr>
          <w:t>24 kg</w:t>
        </w:r>
      </w:smartTag>
      <w:r w:rsidRPr="00F72140">
        <w:rPr>
          <w:rFonts w:cs="Arial"/>
        </w:rPr>
        <w:t xml:space="preserve"> product/day, or 24 x 0.05 = 1200 mg bromadi</w:t>
      </w:r>
      <w:r>
        <w:rPr>
          <w:rFonts w:cs="Arial"/>
        </w:rPr>
        <w:t>o</w:t>
      </w:r>
      <w:r w:rsidRPr="00F72140">
        <w:rPr>
          <w:rFonts w:cs="Arial"/>
        </w:rPr>
        <w:t xml:space="preserve">lone handled per day. In the second scenario a maximum of 30 bait points treated per day is assumed, corresponding to 30 x 6 x 40 = </w:t>
      </w:r>
      <w:smartTag w:uri="urn:schemas-microsoft-com:office:smarttags" w:element="metricconverter">
        <w:smartTagPr>
          <w:attr w:name="ProductID" w:val="7.2 kg"/>
        </w:smartTagPr>
        <w:r w:rsidRPr="00F72140">
          <w:rPr>
            <w:rFonts w:cs="Arial"/>
          </w:rPr>
          <w:t>7.2 kg</w:t>
        </w:r>
      </w:smartTag>
      <w:r w:rsidRPr="00F72140">
        <w:rPr>
          <w:rFonts w:cs="Arial"/>
        </w:rPr>
        <w:t xml:space="preserve"> product/day, or 360 mg bromadialone handled per day. </w:t>
      </w:r>
    </w:p>
    <w:p w:rsidR="00BA7C2C" w:rsidRPr="00F72140" w:rsidRDefault="00BA7C2C" w:rsidP="00BA7C2C">
      <w:pPr>
        <w:keepNext/>
        <w:keepLines/>
        <w:spacing w:before="20" w:after="20"/>
        <w:rPr>
          <w:rFonts w:cs="Arial"/>
        </w:rPr>
      </w:pPr>
    </w:p>
    <w:p w:rsidR="00BA7C2C" w:rsidRPr="00F72140" w:rsidRDefault="00BA7C2C" w:rsidP="00BA7C2C">
      <w:pPr>
        <w:spacing w:after="240"/>
        <w:ind w:right="-187"/>
        <w:jc w:val="both"/>
        <w:rPr>
          <w:rFonts w:cs="Arial"/>
        </w:rPr>
      </w:pPr>
      <w:r w:rsidRPr="00F72140">
        <w:rPr>
          <w:rFonts w:cs="Arial"/>
        </w:rPr>
        <w:t xml:space="preserve">The same exposure scenarios (bait placement in and around buildings, application around waste dumps and application in open areas) were considered in the CAR of bromadiolone; however, as a worst-case approach, the assessment of the products (Super Caid AS Appat and Super Caid Bloc) without protective sachets was performed. Therefore dermal exposure during loading was also taken into account in the CAR, leading to overall higher total exposure estimates. However, a total number of cleaning manipulations was either identical or lower in the CAR (15 for the application in and around buildings and waste dumps, and none for the application in open areas); thus, the approach proposed by the applicant represents a more worst-case scenario. </w:t>
      </w:r>
    </w:p>
    <w:p w:rsidR="00BA7C2C" w:rsidRPr="00F72140" w:rsidRDefault="00BA7C2C" w:rsidP="00BA7C2C">
      <w:pPr>
        <w:spacing w:after="120" w:line="240" w:lineRule="auto"/>
        <w:ind w:right="-188"/>
        <w:jc w:val="both"/>
        <w:rPr>
          <w:rFonts w:cs="Arial"/>
        </w:rPr>
      </w:pPr>
      <w:r w:rsidRPr="00F72140">
        <w:rPr>
          <w:rFonts w:cs="Arial"/>
        </w:rPr>
        <w:lastRenderedPageBreak/>
        <w:t xml:space="preserve">The applicant has submitted two operator exposure studies using wax block bait which is considered to be a suitable surrogate for red paste bait in a clean-up/disposal scenario.  The studies were conducted using Racumin Ready Bait (cracked wheat) containing </w:t>
      </w:r>
      <w:r w:rsidRPr="00F72140">
        <w:rPr>
          <w:rFonts w:cs="Arial"/>
          <w:snapToGrid w:val="0"/>
        </w:rPr>
        <w:t>0.031% w/w</w:t>
      </w:r>
      <w:r w:rsidRPr="00F72140">
        <w:rPr>
          <w:rFonts w:cs="Arial"/>
        </w:rPr>
        <w:t xml:space="preserve"> coumatetralyl and Storm Secure 20G containing </w:t>
      </w:r>
      <w:r w:rsidRPr="00F72140">
        <w:rPr>
          <w:rFonts w:cs="Arial"/>
          <w:snapToGrid w:val="0"/>
        </w:rPr>
        <w:t>0.0056% w/w</w:t>
      </w:r>
      <w:r w:rsidRPr="00F72140">
        <w:rPr>
          <w:rFonts w:cs="Arial"/>
        </w:rPr>
        <w:t xml:space="preserve"> flocoumafen. These studies were also assessed in the CAR of bromadiolone and used for risk assessment. Following clean-up of 5 wax block residues from a single bait station, the mean residue on hands was 3.41 mg product equivalents/sample. The corresponding residues for cleaning up bait stations containing residues from 6 paste sachets and disposing of the unwanted bait will be (3.41 / 5) x 6 = 4.09 mg product equivalent/sample.</w:t>
      </w:r>
    </w:p>
    <w:p w:rsidR="00BA7C2C" w:rsidRPr="00F72140" w:rsidRDefault="00BA7C2C" w:rsidP="00BA7C2C">
      <w:pPr>
        <w:spacing w:after="120" w:line="240" w:lineRule="auto"/>
        <w:ind w:right="-188"/>
        <w:jc w:val="both"/>
        <w:rPr>
          <w:rFonts w:cs="Arial"/>
        </w:rPr>
      </w:pPr>
      <w:r w:rsidRPr="00F72140">
        <w:rPr>
          <w:rFonts w:cs="Arial"/>
        </w:rPr>
        <w:t xml:space="preserve">Operator body weight is assumed to be </w:t>
      </w:r>
      <w:smartTag w:uri="urn:schemas-microsoft-com:office:smarttags" w:element="metricconverter">
        <w:smartTagPr>
          <w:attr w:name="ProductID" w:val="60 kg"/>
        </w:smartTagPr>
        <w:r w:rsidRPr="00F72140">
          <w:rPr>
            <w:rFonts w:cs="Arial"/>
          </w:rPr>
          <w:t>60 kg</w:t>
        </w:r>
      </w:smartTag>
      <w:r w:rsidRPr="00F72140">
        <w:rPr>
          <w:rFonts w:cs="Arial"/>
        </w:rPr>
        <w:t>. The dermal penetration of bromadialone is considered to be 1.6%. The same dermal absorption value is used in the CAR of bromadiolone.</w:t>
      </w:r>
    </w:p>
    <w:p w:rsidR="00BA7C2C" w:rsidRPr="00F72140" w:rsidRDefault="00BA7C2C" w:rsidP="00BA7C2C">
      <w:pPr>
        <w:spacing w:before="40" w:after="40" w:line="240" w:lineRule="auto"/>
        <w:rPr>
          <w:rFonts w:cs="Arial"/>
        </w:rPr>
      </w:pPr>
      <w:r w:rsidRPr="00F72140">
        <w:rPr>
          <w:rFonts w:cs="Arial"/>
        </w:rPr>
        <w:t>The total systemic exposure to bromadiolone of professional operators cleaning up MAKI PAT’ bait considered 75 manipulations per day according to HEEG (2010) is estimated at 8.18 x 10</w:t>
      </w:r>
      <w:r w:rsidRPr="00F72140">
        <w:rPr>
          <w:rFonts w:cs="Arial"/>
          <w:vertAlign w:val="superscript"/>
        </w:rPr>
        <w:t xml:space="preserve">-7 </w:t>
      </w:r>
      <w:r w:rsidRPr="00F72140">
        <w:rPr>
          <w:rFonts w:cs="Arial"/>
        </w:rPr>
        <w:t>mg bromadiolone/kg bw/day without PPE. For two additional scenarios (application around waste dump and application in open area) considered by the registrant the total systemic exposure of 2.73 x 10</w:t>
      </w:r>
      <w:r w:rsidRPr="00F72140">
        <w:rPr>
          <w:rFonts w:cs="Arial"/>
          <w:vertAlign w:val="superscript"/>
        </w:rPr>
        <w:t>-6</w:t>
      </w:r>
      <w:r w:rsidRPr="00F72140">
        <w:rPr>
          <w:rFonts w:cs="Arial"/>
        </w:rPr>
        <w:t xml:space="preserve"> mg bromadiolone/kg bw/day and 1.64 x 10</w:t>
      </w:r>
      <w:r w:rsidRPr="00F72140">
        <w:rPr>
          <w:rFonts w:cs="Arial"/>
          <w:vertAlign w:val="superscript"/>
        </w:rPr>
        <w:t>-6</w:t>
      </w:r>
      <w:r w:rsidRPr="00F72140">
        <w:rPr>
          <w:rFonts w:cs="Arial"/>
        </w:rPr>
        <w:t xml:space="preserve"> mg  bromadiolone/kg bw/day without PPE is estimated.</w:t>
      </w:r>
    </w:p>
    <w:p w:rsidR="00BA7C2C" w:rsidRPr="00F72140" w:rsidRDefault="00BA7C2C" w:rsidP="00BA7C2C">
      <w:pPr>
        <w:spacing w:before="40" w:after="40" w:line="240" w:lineRule="auto"/>
        <w:rPr>
          <w:rFonts w:cs="Arial"/>
        </w:rPr>
      </w:pPr>
      <w:r w:rsidRPr="00F72140">
        <w:rPr>
          <w:rFonts w:cs="Arial"/>
        </w:rPr>
        <w:t>For professional users the use of gloves can be expected. Gloves are assumed to reduce the exposure of hands by 90%. This results in the total systemic exposure of 8.18 x 10</w:t>
      </w:r>
      <w:r w:rsidRPr="00F72140">
        <w:rPr>
          <w:rFonts w:cs="Arial"/>
          <w:vertAlign w:val="superscript"/>
        </w:rPr>
        <w:t>-8</w:t>
      </w:r>
      <w:r w:rsidRPr="00F72140">
        <w:rPr>
          <w:rFonts w:cs="Arial"/>
        </w:rPr>
        <w:t>, 2.73 x 10</w:t>
      </w:r>
      <w:r w:rsidRPr="00F72140">
        <w:rPr>
          <w:rFonts w:cs="Arial"/>
          <w:vertAlign w:val="superscript"/>
        </w:rPr>
        <w:t>-7</w:t>
      </w:r>
      <w:r w:rsidRPr="00F72140">
        <w:rPr>
          <w:rFonts w:cs="Arial"/>
        </w:rPr>
        <w:t xml:space="preserve"> and 1.64 x 10</w:t>
      </w:r>
      <w:r w:rsidRPr="00F72140">
        <w:rPr>
          <w:rFonts w:cs="Arial"/>
          <w:vertAlign w:val="superscript"/>
        </w:rPr>
        <w:t>-7</w:t>
      </w:r>
      <w:r w:rsidRPr="00F72140">
        <w:rPr>
          <w:rFonts w:cs="Arial"/>
        </w:rPr>
        <w:t xml:space="preserve"> mg bromadiolone/kg bw/day for three described scenarios, respectively. </w:t>
      </w:r>
    </w:p>
    <w:p w:rsidR="00BA7C2C" w:rsidRPr="00A0425E" w:rsidRDefault="00BA7C2C" w:rsidP="00BA7C2C">
      <w:pPr>
        <w:pStyle w:val="Kop4"/>
        <w:numPr>
          <w:ilvl w:val="3"/>
          <w:numId w:val="12"/>
        </w:numPr>
        <w:tabs>
          <w:tab w:val="left" w:pos="1304"/>
        </w:tabs>
        <w:spacing w:before="300" w:line="280" w:lineRule="atLeast"/>
        <w:jc w:val="left"/>
      </w:pPr>
      <w:r w:rsidRPr="00A0425E">
        <w:t xml:space="preserve">Exposure of non-professional users and the general public </w:t>
      </w:r>
    </w:p>
    <w:p w:rsidR="00BA7C2C" w:rsidRPr="00F72140" w:rsidRDefault="00BA7C2C" w:rsidP="00BA7C2C">
      <w:pPr>
        <w:pStyle w:val="BfRBBStandard"/>
        <w:rPr>
          <w:rFonts w:eastAsia="Times New Roman"/>
          <w:noProof w:val="0"/>
          <w:szCs w:val="24"/>
          <w:lang w:val="en-GB" w:eastAsia="sv-SE"/>
        </w:rPr>
      </w:pPr>
      <w:r w:rsidRPr="00F72140">
        <w:rPr>
          <w:rFonts w:eastAsia="Times New Roman"/>
          <w:noProof w:val="0"/>
          <w:szCs w:val="24"/>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rsidR="00BA7C2C" w:rsidRPr="00F72140" w:rsidRDefault="00BA7C2C" w:rsidP="00BA7C2C">
      <w:pPr>
        <w:pStyle w:val="BfRBBStandard"/>
        <w:rPr>
          <w:rFonts w:eastAsia="Times New Roman"/>
          <w:noProof w:val="0"/>
          <w:szCs w:val="24"/>
          <w:lang w:val="en-GB" w:eastAsia="sv-SE"/>
        </w:rPr>
      </w:pPr>
    </w:p>
    <w:p w:rsidR="00BA7C2C" w:rsidRPr="00F72140" w:rsidRDefault="00BA7C2C" w:rsidP="00BA7C2C">
      <w:pPr>
        <w:spacing w:after="240"/>
        <w:ind w:right="-187"/>
        <w:jc w:val="both"/>
        <w:rPr>
          <w:rFonts w:cs="Arial"/>
        </w:rPr>
      </w:pPr>
      <w:r w:rsidRPr="00F72140">
        <w:rPr>
          <w:rFonts w:cs="Arial"/>
        </w:rPr>
        <w:t>The exposure assessment to MAKI PAT’ has been performed by the applicant.</w:t>
      </w:r>
    </w:p>
    <w:p w:rsidR="00BA7C2C" w:rsidRPr="00F72140" w:rsidRDefault="00BA7C2C" w:rsidP="00BA7C2C">
      <w:pPr>
        <w:spacing w:after="240"/>
        <w:ind w:right="-187"/>
        <w:jc w:val="both"/>
        <w:rPr>
          <w:rFonts w:cs="Arial"/>
        </w:rPr>
      </w:pPr>
      <w:r w:rsidRPr="00F72140">
        <w:rPr>
          <w:rFonts w:cs="Arial"/>
        </w:rPr>
        <w:t xml:space="preserve">According to HEEG opinion (2010) on the number of manipulations in the assessment of rodenticides (anticoagulants) a maximum of 10 manipulations per day  per person (5 loading bait stations per day and 5 cleaning bait stations per day) is proposed for non-professional user. This corresponds to the maximum handling of 10 x 6 x 40 = </w:t>
      </w:r>
      <w:smartTag w:uri="urn:schemas-microsoft-com:office:smarttags" w:element="metricconverter">
        <w:smartTagPr>
          <w:attr w:name="ProductID" w:val="2.4 kg"/>
        </w:smartTagPr>
        <w:r w:rsidRPr="00F72140">
          <w:rPr>
            <w:rFonts w:cs="Arial"/>
          </w:rPr>
          <w:t>2.4 kg</w:t>
        </w:r>
      </w:smartTag>
      <w:r w:rsidRPr="00F72140">
        <w:rPr>
          <w:rFonts w:cs="Arial"/>
        </w:rPr>
        <w:t xml:space="preserve"> product/day, or 2.4 x 0.05 = 120 mg bromadialone handled per day. </w:t>
      </w:r>
    </w:p>
    <w:p w:rsidR="00BA7C2C" w:rsidRPr="007432C9" w:rsidRDefault="00BA7C2C" w:rsidP="00BA7C2C">
      <w:pPr>
        <w:spacing w:after="240"/>
        <w:ind w:right="-187"/>
        <w:jc w:val="both"/>
        <w:rPr>
          <w:rFonts w:cs="Arial"/>
        </w:rPr>
      </w:pPr>
      <w:r w:rsidRPr="007432C9">
        <w:rPr>
          <w:rFonts w:cs="Arial"/>
        </w:rPr>
        <w:t xml:space="preserve">As the product is supplied in ready to use polypropylene/paper protective sachets, dermal exposure during loading is considered to be negligible, as protective packaging will prevent any contact of the user with the product. Once in place the product packaging will be damaged by rodents as they feed and the red paste bait will be exposed.  Dermal exposure to paste is therefore possible during clean-up operations but will be limited to the hands and exposure to other parts of the body is negligible. </w:t>
      </w:r>
    </w:p>
    <w:p w:rsidR="00BA7C2C" w:rsidRPr="00F72140" w:rsidRDefault="00BA7C2C" w:rsidP="00BA7C2C">
      <w:pPr>
        <w:spacing w:after="240"/>
        <w:ind w:right="-187"/>
        <w:jc w:val="both"/>
        <w:rPr>
          <w:rFonts w:cs="Arial"/>
        </w:rPr>
      </w:pPr>
      <w:r w:rsidRPr="00F72140">
        <w:rPr>
          <w:rFonts w:cs="Arial"/>
        </w:rPr>
        <w:t>The same number of manipulations was considered in the CAR of bromadiolone for non-professional users. However, as a worst-case approach, the assessment of the products (Super Caid AS Appat and Super Caid Bloc) without protective sachets was performed. Therefore dermal exposure during loading was also taken into account in the CAR, leading to overall higher total exposure estimates.</w:t>
      </w:r>
    </w:p>
    <w:p w:rsidR="00BA7C2C" w:rsidRPr="00F72140" w:rsidRDefault="00BA7C2C" w:rsidP="00BA7C2C">
      <w:pPr>
        <w:spacing w:after="120" w:line="240" w:lineRule="auto"/>
        <w:ind w:right="-188"/>
        <w:jc w:val="both"/>
        <w:rPr>
          <w:rFonts w:cs="Arial"/>
        </w:rPr>
      </w:pPr>
      <w:r w:rsidRPr="00F72140">
        <w:rPr>
          <w:rFonts w:cs="Arial"/>
        </w:rPr>
        <w:t xml:space="preserve">Non-professional users are assumed not to wear protective gloves (or other protective clothing) when handling the products. Operator body weight is assumed to be </w:t>
      </w:r>
      <w:smartTag w:uri="urn:schemas-microsoft-com:office:smarttags" w:element="metricconverter">
        <w:smartTagPr>
          <w:attr w:name="ProductID" w:val="60 kg"/>
        </w:smartTagPr>
        <w:r w:rsidRPr="00F72140">
          <w:rPr>
            <w:rFonts w:cs="Arial"/>
          </w:rPr>
          <w:t>60 kg</w:t>
        </w:r>
      </w:smartTag>
      <w:r w:rsidRPr="00F72140">
        <w:rPr>
          <w:rFonts w:cs="Arial"/>
        </w:rPr>
        <w:t>. The dermal penetration of bromadialone is considered to be 1.6%.</w:t>
      </w:r>
    </w:p>
    <w:p w:rsidR="00BA7C2C" w:rsidRPr="00F72140" w:rsidRDefault="00BA7C2C" w:rsidP="00BA7C2C">
      <w:pPr>
        <w:pStyle w:val="BfRBBStandard"/>
        <w:rPr>
          <w:b/>
        </w:rPr>
      </w:pPr>
      <w:r w:rsidRPr="00F72140">
        <w:t>Exposure assessment was evaluated based on the submitted operator exposure studies. Following clean-up of 5 wax block residues from a single bait station, the mean residue on hands was 3.41 mg product equivalents/sample. The total systemic exposure to bromadiolone of non-professional operators cleaning up MAKI PAT’ bait in and around buildings is estimated at 2.7 x 10</w:t>
      </w:r>
      <w:r w:rsidRPr="00F72140">
        <w:rPr>
          <w:vertAlign w:val="superscript"/>
        </w:rPr>
        <w:t>-7</w:t>
      </w:r>
      <w:r w:rsidRPr="00F72140">
        <w:t xml:space="preserve"> mg/kg bw/day</w:t>
      </w:r>
      <w:r w:rsidRPr="00F72140">
        <w:rPr>
          <w:b/>
        </w:rPr>
        <w:t xml:space="preserve">. </w:t>
      </w:r>
    </w:p>
    <w:p w:rsidR="00BA7C2C" w:rsidRPr="00F72140" w:rsidRDefault="00BA7C2C" w:rsidP="00BA7C2C">
      <w:pPr>
        <w:pStyle w:val="BfRBBStandard"/>
        <w:rPr>
          <w:b/>
        </w:rPr>
      </w:pPr>
    </w:p>
    <w:p w:rsidR="00BA7C2C" w:rsidRPr="00F72140" w:rsidRDefault="00BA7C2C" w:rsidP="00BA7C2C">
      <w:pPr>
        <w:spacing w:after="240"/>
        <w:ind w:right="-187"/>
        <w:jc w:val="both"/>
        <w:rPr>
          <w:rFonts w:cs="Arial"/>
        </w:rPr>
      </w:pPr>
      <w:r w:rsidRPr="00F72140">
        <w:rPr>
          <w:rFonts w:cs="Arial"/>
        </w:rPr>
        <w:lastRenderedPageBreak/>
        <w:t xml:space="preserve">Indirect exposure to MAKI PAT’  due to the ingestion of a bait by an infant has been considered. It is assumed that an infant may ingest 10 mg of product treated with repellent, such as red paste.  Body weight is assumed to be </w:t>
      </w:r>
      <w:smartTag w:uri="urn:schemas-microsoft-com:office:smarttags" w:element="metricconverter">
        <w:smartTagPr>
          <w:attr w:name="ProductID" w:val="10 kg"/>
        </w:smartTagPr>
        <w:r w:rsidRPr="00F72140">
          <w:rPr>
            <w:rFonts w:cs="Arial"/>
          </w:rPr>
          <w:t>10 kg</w:t>
        </w:r>
      </w:smartTag>
      <w:r w:rsidRPr="00F72140">
        <w:rPr>
          <w:rFonts w:cs="Arial"/>
        </w:rPr>
        <w:t xml:space="preserve"> for infants. Total indirect systemic exposure to bromadiolone following the ingestion of MAKI PAT’  bait is estimated at 0.00005 mg/kg bw/day for infants. However, MAKI PAT’  bait contains bittering agent which would cause any person to immediately expel it from the mouth by reflex action. Furthermore, product labels and good practice advise users to prevent access to bait by children. </w:t>
      </w:r>
    </w:p>
    <w:p w:rsidR="00BA7C2C" w:rsidRPr="00A0425E" w:rsidRDefault="00BA7C2C" w:rsidP="00BA7C2C">
      <w:pPr>
        <w:pStyle w:val="Kop4"/>
        <w:numPr>
          <w:ilvl w:val="3"/>
          <w:numId w:val="12"/>
        </w:numPr>
        <w:tabs>
          <w:tab w:val="left" w:pos="1304"/>
        </w:tabs>
        <w:spacing w:before="300" w:line="280" w:lineRule="atLeast"/>
        <w:jc w:val="left"/>
      </w:pPr>
      <w:r w:rsidRPr="00A0425E">
        <w:t>Exposure to residues in food</w:t>
      </w:r>
    </w:p>
    <w:p w:rsidR="00BA7C2C" w:rsidRPr="00F72140" w:rsidRDefault="00BA7C2C" w:rsidP="00BA7C2C">
      <w:pPr>
        <w:pStyle w:val="BfRBBStandard"/>
        <w:rPr>
          <w:rFonts w:eastAsia="Times New Roman"/>
          <w:noProof w:val="0"/>
          <w:szCs w:val="24"/>
          <w:lang w:val="en-GB" w:eastAsia="sv-SE"/>
        </w:rPr>
      </w:pPr>
      <w:r w:rsidRPr="00F72140">
        <w:rPr>
          <w:rFonts w:eastAsia="Times New Roman"/>
          <w:noProof w:val="0"/>
          <w:szCs w:val="24"/>
          <w:lang w:val="en-GB" w:eastAsia="sv-SE"/>
        </w:rPr>
        <w:t>The acute or chronic exposure to residues in food resulting from the intended uses is unlikely. Therefore the risk for consumers to residues from food is considered negligible.</w:t>
      </w:r>
    </w:p>
    <w:p w:rsidR="00BA7C2C" w:rsidRPr="00A0425E" w:rsidRDefault="00BA7C2C" w:rsidP="00BA7C2C">
      <w:pPr>
        <w:pStyle w:val="Kop3"/>
        <w:numPr>
          <w:ilvl w:val="2"/>
          <w:numId w:val="12"/>
        </w:numPr>
        <w:tabs>
          <w:tab w:val="left" w:pos="1304"/>
        </w:tabs>
        <w:spacing w:before="300" w:line="280" w:lineRule="atLeast"/>
        <w:jc w:val="left"/>
      </w:pPr>
      <w:bookmarkStart w:id="777" w:name="_Toc362858097"/>
      <w:r w:rsidRPr="00A0425E">
        <w:t>Risk Characterisation</w:t>
      </w:r>
      <w:bookmarkEnd w:id="777"/>
    </w:p>
    <w:p w:rsidR="00BA7C2C" w:rsidRDefault="00BA7C2C" w:rsidP="00BA7C2C">
      <w:pPr>
        <w:pStyle w:val="BfRBBStandard"/>
        <w:rPr>
          <w:rFonts w:eastAsia="Times New Roman"/>
          <w:noProof w:val="0"/>
          <w:szCs w:val="24"/>
          <w:lang w:val="en-GB" w:eastAsia="sv-SE"/>
        </w:rPr>
      </w:pPr>
      <w:r w:rsidRPr="00F72140">
        <w:rPr>
          <w:rFonts w:eastAsia="Times New Roman"/>
          <w:noProof w:val="0"/>
          <w:szCs w:val="24"/>
          <w:lang w:val="en-GB" w:eastAsia="sv-SE"/>
        </w:rPr>
        <w:t>With proper use in accordance with regulations harmful effects on the health of users and third parties are not expected. The estimated exposures for the intended use are compared to the respective systemic AEL.</w:t>
      </w:r>
    </w:p>
    <w:p w:rsidR="00BA7C2C" w:rsidRDefault="00BA7C2C" w:rsidP="00BA7C2C">
      <w:pPr>
        <w:pStyle w:val="BfRBBStandard"/>
        <w:rPr>
          <w:rFonts w:eastAsia="Times New Roman"/>
          <w:noProof w:val="0"/>
          <w:szCs w:val="24"/>
          <w:lang w:val="en-GB" w:eastAsia="sv-SE"/>
        </w:rPr>
      </w:pPr>
    </w:p>
    <w:p w:rsidR="00BA7C2C" w:rsidRPr="00F72140" w:rsidRDefault="00BA7C2C" w:rsidP="00BA7C2C">
      <w:pPr>
        <w:pStyle w:val="BfRBBStandard"/>
        <w:rPr>
          <w:rFonts w:eastAsia="Times New Roman"/>
          <w:noProof w:val="0"/>
          <w:szCs w:val="24"/>
          <w:lang w:val="en-GB" w:eastAsia="sv-SE"/>
        </w:rPr>
      </w:pPr>
      <w:r w:rsidRPr="0088049C">
        <w:rPr>
          <w:highlight w:val="yellow"/>
        </w:rPr>
        <w:t>In the combined Assessment Report of bromadiolone prepared for TM III 2010, the derivation of an acceptable level of exposure value for single use (AEL</w:t>
      </w:r>
      <w:r w:rsidRPr="0088049C">
        <w:rPr>
          <w:highlight w:val="yellow"/>
          <w:vertAlign w:val="subscript"/>
        </w:rPr>
        <w:t>acute</w:t>
      </w:r>
      <w:r w:rsidRPr="0088049C">
        <w:rPr>
          <w:highlight w:val="yellow"/>
        </w:rPr>
        <w:t>) is based on the teratogenicity study in rabbits, considering the LOAEL of 2 µg/kg bw and a safety factor of 600 (10 for interspecies and 10 for intraspecies variability, 2 for using LOAEL instead of NOAEL and an extra factor of 3 for severity of effects). Applying a correction of 70% oral absorption results in an AEL</w:t>
      </w:r>
      <w:r w:rsidRPr="0088049C">
        <w:rPr>
          <w:highlight w:val="yellow"/>
          <w:vertAlign w:val="subscript"/>
        </w:rPr>
        <w:t>acute</w:t>
      </w:r>
      <w:r w:rsidRPr="0088049C">
        <w:rPr>
          <w:highlight w:val="yellow"/>
        </w:rPr>
        <w:t xml:space="preserve"> of 0.0023 µg/kg bw. To derive an AEL</w:t>
      </w:r>
      <w:r w:rsidRPr="0088049C">
        <w:rPr>
          <w:highlight w:val="yellow"/>
          <w:vertAlign w:val="subscript"/>
        </w:rPr>
        <w:t>medium</w:t>
      </w:r>
      <w:r w:rsidRPr="0088049C">
        <w:rPr>
          <w:highlight w:val="yellow"/>
        </w:rPr>
        <w:t>, for repeated exposure, the subchronic study in rabbit is used. The NOAEL in this study is 0.5 µg/kg bw based on the prolonged prothrombin time seen at 1 µg/kg bw. With a safety factor of 300 and with correction of 70% oral absorption, this leads to an AEL</w:t>
      </w:r>
      <w:r w:rsidRPr="0088049C">
        <w:rPr>
          <w:highlight w:val="yellow"/>
          <w:vertAlign w:val="subscript"/>
        </w:rPr>
        <w:t>medium</w:t>
      </w:r>
      <w:r w:rsidRPr="0088049C">
        <w:rPr>
          <w:highlight w:val="yellow"/>
        </w:rPr>
        <w:t xml:space="preserve"> of 0.0012 µg/kg bw. To set an AEL</w:t>
      </w:r>
      <w:r w:rsidRPr="0088049C">
        <w:rPr>
          <w:highlight w:val="yellow"/>
          <w:vertAlign w:val="subscript"/>
        </w:rPr>
        <w:t>chronic</w:t>
      </w:r>
      <w:r w:rsidRPr="0088049C">
        <w:rPr>
          <w:sz w:val="14"/>
          <w:szCs w:val="14"/>
          <w:highlight w:val="yellow"/>
        </w:rPr>
        <w:t xml:space="preserve"> </w:t>
      </w:r>
      <w:r w:rsidRPr="0088049C">
        <w:rPr>
          <w:highlight w:val="yellow"/>
        </w:rPr>
        <w:t>the same NOAEL as for AEL</w:t>
      </w:r>
      <w:r w:rsidRPr="0088049C">
        <w:rPr>
          <w:highlight w:val="yellow"/>
          <w:vertAlign w:val="subscript"/>
        </w:rPr>
        <w:t>medium</w:t>
      </w:r>
      <w:r w:rsidRPr="0088049C">
        <w:rPr>
          <w:highlight w:val="yellow"/>
        </w:rPr>
        <w:t xml:space="preserve"> is used, as no chronic studies have been performed. The extra safety factor of 3 will apart from severity of effects also cover for the differences in exposure time.</w:t>
      </w:r>
    </w:p>
    <w:p w:rsidR="00BA7C2C" w:rsidRPr="00A0425E" w:rsidRDefault="00BA7C2C" w:rsidP="00BA7C2C">
      <w:pPr>
        <w:pStyle w:val="Kop4"/>
        <w:numPr>
          <w:ilvl w:val="3"/>
          <w:numId w:val="12"/>
        </w:numPr>
        <w:tabs>
          <w:tab w:val="left" w:pos="1304"/>
        </w:tabs>
        <w:spacing w:before="300" w:line="280" w:lineRule="atLeast"/>
        <w:jc w:val="left"/>
      </w:pPr>
      <w:r w:rsidRPr="00A0425E">
        <w:t>Risk for Professional Users</w:t>
      </w:r>
    </w:p>
    <w:p w:rsidR="00BA7C2C" w:rsidRPr="0088049C" w:rsidRDefault="00BA7C2C" w:rsidP="00BA7C2C">
      <w:pPr>
        <w:pStyle w:val="BfRBBStandard"/>
        <w:rPr>
          <w:rFonts w:eastAsia="Times New Roman"/>
          <w:noProof w:val="0"/>
          <w:szCs w:val="24"/>
          <w:highlight w:val="yellow"/>
          <w:lang w:val="en-GB" w:eastAsia="sv-SE"/>
        </w:rPr>
      </w:pPr>
      <w:r w:rsidRPr="0088049C">
        <w:rPr>
          <w:rFonts w:eastAsia="Times New Roman"/>
          <w:noProof w:val="0"/>
          <w:szCs w:val="24"/>
          <w:highlight w:val="yellow"/>
          <w:lang w:val="en-GB" w:eastAsia="sv-SE"/>
        </w:rPr>
        <w:t>The following total systemic exposures to bromadiolone have been estimated for professional users for three exposure scenarios (application in and around buildings, application around waste dump and application in open areas):</w:t>
      </w:r>
    </w:p>
    <w:p w:rsidR="00BA7C2C" w:rsidRPr="0088049C" w:rsidRDefault="00BA7C2C" w:rsidP="00BA7C2C">
      <w:pPr>
        <w:pStyle w:val="BfRBBStandard"/>
        <w:tabs>
          <w:tab w:val="left" w:pos="2745"/>
        </w:tabs>
        <w:rPr>
          <w:rFonts w:eastAsia="Times New Roman"/>
          <w:noProof w:val="0"/>
          <w:szCs w:val="24"/>
          <w:highlight w:val="yellow"/>
          <w:lang w:val="en-GB" w:eastAsia="sv-SE"/>
        </w:rPr>
      </w:pPr>
      <w:r w:rsidRPr="0088049C">
        <w:rPr>
          <w:rFonts w:eastAsia="Times New Roman"/>
          <w:noProof w:val="0"/>
          <w:szCs w:val="24"/>
          <w:highlight w:val="yellow"/>
          <w:lang w:val="en-GB" w:eastAsia="sv-SE"/>
        </w:rPr>
        <w:tab/>
      </w:r>
    </w:p>
    <w:p w:rsidR="00BA7C2C" w:rsidRPr="0088049C" w:rsidRDefault="00BA7C2C" w:rsidP="00BA7C2C">
      <w:pPr>
        <w:pStyle w:val="BfRBBStandard"/>
        <w:rPr>
          <w:highlight w:val="yellow"/>
        </w:rPr>
      </w:pPr>
      <w:r w:rsidRPr="0088049C">
        <w:rPr>
          <w:rFonts w:eastAsia="Times New Roman"/>
          <w:noProof w:val="0"/>
          <w:szCs w:val="24"/>
          <w:highlight w:val="yellow"/>
          <w:lang w:val="en-GB" w:eastAsia="sv-SE"/>
        </w:rPr>
        <w:t xml:space="preserve">Without PPE: </w:t>
      </w:r>
      <w:r w:rsidRPr="0088049C">
        <w:rPr>
          <w:highlight w:val="yellow"/>
        </w:rPr>
        <w:t>8.18 x 10</w:t>
      </w:r>
      <w:r w:rsidRPr="0088049C">
        <w:rPr>
          <w:highlight w:val="yellow"/>
          <w:vertAlign w:val="superscript"/>
        </w:rPr>
        <w:t>-7</w:t>
      </w:r>
      <w:r w:rsidRPr="0088049C">
        <w:rPr>
          <w:highlight w:val="yellow"/>
        </w:rPr>
        <w:t>, 2.73 x 10</w:t>
      </w:r>
      <w:r w:rsidRPr="0088049C">
        <w:rPr>
          <w:highlight w:val="yellow"/>
          <w:vertAlign w:val="superscript"/>
        </w:rPr>
        <w:t>-6</w:t>
      </w:r>
      <w:r w:rsidRPr="0088049C">
        <w:rPr>
          <w:highlight w:val="yellow"/>
        </w:rPr>
        <w:t xml:space="preserve"> and 1.64 x 10</w:t>
      </w:r>
      <w:r w:rsidRPr="0088049C">
        <w:rPr>
          <w:highlight w:val="yellow"/>
          <w:vertAlign w:val="superscript"/>
        </w:rPr>
        <w:t>-6</w:t>
      </w:r>
      <w:r w:rsidRPr="0088049C">
        <w:rPr>
          <w:highlight w:val="yellow"/>
        </w:rPr>
        <w:t xml:space="preserve"> mg bromadiolone/kg bw/day, respectively</w:t>
      </w:r>
    </w:p>
    <w:p w:rsidR="00BA7C2C" w:rsidRPr="007432C9" w:rsidRDefault="00BA7C2C" w:rsidP="00BA7C2C">
      <w:pPr>
        <w:pStyle w:val="BfRBBStandard"/>
      </w:pPr>
      <w:r w:rsidRPr="0088049C">
        <w:rPr>
          <w:highlight w:val="yellow"/>
        </w:rPr>
        <w:t>With PPE (gloves), considering 90% reduction: 8.18 x 10</w:t>
      </w:r>
      <w:r w:rsidRPr="0088049C">
        <w:rPr>
          <w:highlight w:val="yellow"/>
          <w:vertAlign w:val="superscript"/>
        </w:rPr>
        <w:t>-8</w:t>
      </w:r>
      <w:r w:rsidRPr="0088049C">
        <w:rPr>
          <w:highlight w:val="yellow"/>
        </w:rPr>
        <w:t>, 2.73 x 10</w:t>
      </w:r>
      <w:r w:rsidRPr="0088049C">
        <w:rPr>
          <w:highlight w:val="yellow"/>
          <w:vertAlign w:val="superscript"/>
        </w:rPr>
        <w:t>-7</w:t>
      </w:r>
      <w:r w:rsidRPr="0088049C">
        <w:rPr>
          <w:highlight w:val="yellow"/>
        </w:rPr>
        <w:t xml:space="preserve"> and 1.64 x 10</w:t>
      </w:r>
      <w:r w:rsidRPr="0088049C">
        <w:rPr>
          <w:highlight w:val="yellow"/>
          <w:vertAlign w:val="superscript"/>
        </w:rPr>
        <w:t>-7</w:t>
      </w:r>
      <w:r w:rsidRPr="0088049C">
        <w:rPr>
          <w:highlight w:val="yellow"/>
        </w:rPr>
        <w:t xml:space="preserve"> mg bromadiolone/kg bw/day.</w:t>
      </w:r>
    </w:p>
    <w:p w:rsidR="00BA7C2C" w:rsidRPr="007432C9" w:rsidRDefault="00BA7C2C" w:rsidP="00BA7C2C">
      <w:pPr>
        <w:pStyle w:val="BfRBBStandard"/>
      </w:pPr>
    </w:p>
    <w:p w:rsidR="00BA7C2C" w:rsidRPr="0088049C" w:rsidRDefault="00BA7C2C" w:rsidP="00BA7C2C">
      <w:pPr>
        <w:pStyle w:val="BfRBBStandard"/>
        <w:rPr>
          <w:highlight w:val="yellow"/>
        </w:rPr>
      </w:pPr>
      <w:r w:rsidRPr="0088049C">
        <w:rPr>
          <w:highlight w:val="yellow"/>
        </w:rPr>
        <w:t>As professional users are expected to come in contact with MAKI PAT’ on a regular basis, the resulting estimated exposure values are compared with the AEL</w:t>
      </w:r>
      <w:r w:rsidRPr="0088049C">
        <w:rPr>
          <w:highlight w:val="yellow"/>
          <w:vertAlign w:val="subscript"/>
        </w:rPr>
        <w:t xml:space="preserve">chronic </w:t>
      </w:r>
      <w:r w:rsidRPr="0088049C">
        <w:rPr>
          <w:highlight w:val="yellow"/>
        </w:rPr>
        <w:t>of 0.0012 µg/kg bw. The resulting exposure estimates correspond to the following percentages of AEL</w:t>
      </w:r>
      <w:r w:rsidRPr="0088049C">
        <w:rPr>
          <w:highlight w:val="yellow"/>
          <w:vertAlign w:val="subscript"/>
        </w:rPr>
        <w:t>chronic</w:t>
      </w:r>
      <w:r w:rsidRPr="0088049C">
        <w:rPr>
          <w:highlight w:val="yellow"/>
        </w:rPr>
        <w:t>:</w:t>
      </w:r>
    </w:p>
    <w:p w:rsidR="00BA7C2C" w:rsidRPr="0088049C" w:rsidRDefault="00BA7C2C" w:rsidP="00BA7C2C">
      <w:pPr>
        <w:pStyle w:val="BfRBBStandard"/>
        <w:rPr>
          <w:highlight w:val="yellow"/>
        </w:rPr>
      </w:pPr>
    </w:p>
    <w:p w:rsidR="00BA7C2C" w:rsidRPr="0088049C" w:rsidRDefault="00BA7C2C" w:rsidP="00BA7C2C">
      <w:pPr>
        <w:pStyle w:val="BfRBBStandard"/>
        <w:rPr>
          <w:highlight w:val="yellow"/>
        </w:rPr>
      </w:pPr>
      <w:r w:rsidRPr="0088049C">
        <w:rPr>
          <w:highlight w:val="yellow"/>
        </w:rPr>
        <w:t>Without PPE: 68.2%, 227.5% and 136.7%, respectively</w:t>
      </w:r>
    </w:p>
    <w:p w:rsidR="00BA7C2C" w:rsidRPr="0088049C" w:rsidRDefault="00BA7C2C" w:rsidP="00BA7C2C">
      <w:pPr>
        <w:pStyle w:val="BfRBBStandard"/>
        <w:rPr>
          <w:highlight w:val="yellow"/>
        </w:rPr>
      </w:pPr>
      <w:r w:rsidRPr="0088049C">
        <w:rPr>
          <w:highlight w:val="yellow"/>
        </w:rPr>
        <w:t xml:space="preserve">With PPE (gloves, 90% reduction): 6.8%, 22.8% and 13.7%, respectively </w:t>
      </w:r>
    </w:p>
    <w:p w:rsidR="00BA7C2C" w:rsidRPr="0088049C" w:rsidRDefault="00BA7C2C" w:rsidP="00BA7C2C">
      <w:pPr>
        <w:pStyle w:val="BfRBBStandard"/>
        <w:rPr>
          <w:b/>
          <w:highlight w:val="yellow"/>
        </w:rPr>
      </w:pPr>
    </w:p>
    <w:p w:rsidR="00BA7C2C" w:rsidRDefault="00BA7C2C" w:rsidP="00BA7C2C">
      <w:pPr>
        <w:rPr>
          <w:rFonts w:cs="Arial"/>
        </w:rPr>
      </w:pPr>
      <w:r w:rsidRPr="0088049C">
        <w:rPr>
          <w:rFonts w:cs="Arial"/>
          <w:highlight w:val="yellow"/>
        </w:rPr>
        <w:t>Based on the risk assessment, it can be concluded that no adverse health effects are expected for the protected (gloves) professional operator after dermal and respiratory exposure to bromadiolone as a result of the application of MAKI PAT’ .</w:t>
      </w:r>
    </w:p>
    <w:p w:rsidR="00BA7C2C" w:rsidRPr="00A0425E" w:rsidRDefault="00BA7C2C" w:rsidP="00BA7C2C">
      <w:pPr>
        <w:pStyle w:val="Kop4"/>
        <w:numPr>
          <w:ilvl w:val="3"/>
          <w:numId w:val="12"/>
        </w:numPr>
        <w:tabs>
          <w:tab w:val="left" w:pos="1304"/>
        </w:tabs>
        <w:spacing w:before="300" w:line="280" w:lineRule="atLeast"/>
        <w:jc w:val="left"/>
      </w:pPr>
      <w:r w:rsidRPr="00A0425E">
        <w:lastRenderedPageBreak/>
        <w:t>Risk for non-professional users and the general public</w:t>
      </w:r>
    </w:p>
    <w:p w:rsidR="00BA7C2C" w:rsidRPr="007432C9" w:rsidRDefault="00BA7C2C" w:rsidP="00BA7C2C">
      <w:pPr>
        <w:pStyle w:val="BfRBBStandard"/>
        <w:rPr>
          <w:lang w:val="en-GB"/>
        </w:rPr>
      </w:pPr>
      <w:r w:rsidRPr="007432C9">
        <w:rPr>
          <w:rFonts w:eastAsia="Times New Roman"/>
          <w:noProof w:val="0"/>
          <w:szCs w:val="24"/>
          <w:lang w:val="en-GB" w:eastAsia="sv-SE"/>
        </w:rPr>
        <w:t xml:space="preserve">The total systemic exposure of 2.73 </w:t>
      </w:r>
      <w:r w:rsidRPr="007432C9">
        <w:t>x 10</w:t>
      </w:r>
      <w:r w:rsidRPr="007432C9">
        <w:rPr>
          <w:vertAlign w:val="superscript"/>
        </w:rPr>
        <w:t>-7</w:t>
      </w:r>
      <w:r w:rsidRPr="007432C9">
        <w:t xml:space="preserve"> mg bromadiolone/kg bw/day is estimated for non-professional users of MAKI PAT’ . As non-professional users are not expected to apply MAKI PAT’ on daily basis, the comparison with the AEL</w:t>
      </w:r>
      <w:r w:rsidRPr="007432C9">
        <w:rPr>
          <w:vertAlign w:val="subscript"/>
        </w:rPr>
        <w:t>chronic</w:t>
      </w:r>
      <w:r w:rsidRPr="007432C9">
        <w:t xml:space="preserve"> is not considered appropriate. Therefore the resulting exposure estimate is compared with the AEL</w:t>
      </w:r>
      <w:r w:rsidRPr="007432C9">
        <w:rPr>
          <w:vertAlign w:val="subscript"/>
        </w:rPr>
        <w:t>acute</w:t>
      </w:r>
      <w:r w:rsidRPr="007432C9">
        <w:t xml:space="preserve"> of 0.0023 µg/kg bw. </w:t>
      </w:r>
      <w:r w:rsidRPr="007432C9">
        <w:rPr>
          <w:lang w:val="en-GB"/>
        </w:rPr>
        <w:t>The resulting estimated exposure corresponds to 11.9% of AEL</w:t>
      </w:r>
      <w:r w:rsidRPr="007432C9">
        <w:rPr>
          <w:vertAlign w:val="subscript"/>
          <w:lang w:val="en-GB"/>
        </w:rPr>
        <w:t>acute</w:t>
      </w:r>
      <w:r w:rsidRPr="007432C9">
        <w:rPr>
          <w:lang w:val="en-GB"/>
        </w:rPr>
        <w:t>.</w:t>
      </w:r>
    </w:p>
    <w:p w:rsidR="00BA7C2C" w:rsidRPr="007432C9" w:rsidRDefault="00BA7C2C" w:rsidP="00BA7C2C">
      <w:pPr>
        <w:pStyle w:val="BfRBBStandard"/>
        <w:rPr>
          <w:lang w:val="en-GB"/>
        </w:rPr>
      </w:pPr>
    </w:p>
    <w:p w:rsidR="00BA7C2C" w:rsidRPr="007432C9" w:rsidRDefault="00BA7C2C" w:rsidP="00BA7C2C">
      <w:pPr>
        <w:rPr>
          <w:rFonts w:cs="Arial"/>
        </w:rPr>
      </w:pPr>
      <w:r w:rsidRPr="007432C9">
        <w:rPr>
          <w:rFonts w:cs="Arial"/>
        </w:rPr>
        <w:t>Based on the risk assessment, it can be concluded that no adverse health effects are expected for the unprotected non-professional operator, including the general public, after dermal and respiratory exposure to bromadiolone as a result of the application of MAKI PAT’ .</w:t>
      </w:r>
    </w:p>
    <w:p w:rsidR="00BA7C2C" w:rsidRPr="007432C9" w:rsidRDefault="00BA7C2C" w:rsidP="00BA7C2C">
      <w:pPr>
        <w:pStyle w:val="BfRBBStandard"/>
        <w:rPr>
          <w:lang w:val="en-GB"/>
        </w:rPr>
      </w:pPr>
    </w:p>
    <w:p w:rsidR="00BA7C2C" w:rsidRPr="007432C9" w:rsidRDefault="00BA7C2C" w:rsidP="00BA7C2C">
      <w:pPr>
        <w:spacing w:after="240"/>
        <w:ind w:right="-188"/>
        <w:jc w:val="both"/>
        <w:rPr>
          <w:rFonts w:cs="Arial"/>
          <w:color w:val="000000"/>
          <w:szCs w:val="22"/>
          <w:lang w:eastAsia="nl-NL"/>
        </w:rPr>
      </w:pPr>
      <w:r w:rsidRPr="007432C9">
        <w:rPr>
          <w:rFonts w:cs="Arial"/>
        </w:rPr>
        <w:t>Total indirect systemic exposure to bromadiolone following the ingestion of MAKI PAT’ bait is estimated at 0.00005 mg/kg bw/day for infants. As a possible ingestion will be an incidental occurrence, the resulting exposure is compared with the AEL</w:t>
      </w:r>
      <w:r w:rsidRPr="007432C9">
        <w:rPr>
          <w:rFonts w:cs="Arial"/>
          <w:vertAlign w:val="subscript"/>
        </w:rPr>
        <w:t>acute</w:t>
      </w:r>
      <w:r w:rsidRPr="007432C9">
        <w:rPr>
          <w:rFonts w:cs="Arial"/>
          <w:vertAlign w:val="subscript"/>
        </w:rPr>
        <w:softHyphen/>
        <w:t xml:space="preserve"> </w:t>
      </w:r>
      <w:r w:rsidRPr="007432C9">
        <w:rPr>
          <w:rFonts w:cs="Arial"/>
        </w:rPr>
        <w:t>of 0.0023 µg/kg bw. The estimated exposure corresponds to 2174% of AEL</w:t>
      </w:r>
      <w:r w:rsidRPr="007432C9">
        <w:rPr>
          <w:rFonts w:cs="Arial"/>
          <w:vertAlign w:val="subscript"/>
        </w:rPr>
        <w:t>acute</w:t>
      </w:r>
      <w:r w:rsidRPr="007432C9">
        <w:rPr>
          <w:rFonts w:cs="Arial"/>
        </w:rPr>
        <w:t xml:space="preserve">. The risk to infants thus appears to be of concern. </w:t>
      </w:r>
      <w:r w:rsidRPr="007432C9">
        <w:rPr>
          <w:rFonts w:cs="Arial"/>
          <w:color w:val="000000"/>
          <w:szCs w:val="22"/>
          <w:lang w:eastAsia="nl-NL"/>
        </w:rPr>
        <w:t xml:space="preserve">According to DOC I of CAR on bromadiolone the products containing bromadiolone are required to carry precautionary phrases on the label to mitigate the risk of secondary human exposure. These include: </w:t>
      </w:r>
    </w:p>
    <w:p w:rsidR="00BA7C2C" w:rsidRPr="007432C9" w:rsidRDefault="00BA7C2C" w:rsidP="00BA7C2C">
      <w:pPr>
        <w:autoSpaceDE w:val="0"/>
        <w:autoSpaceDN w:val="0"/>
        <w:adjustRightInd w:val="0"/>
        <w:spacing w:line="240" w:lineRule="auto"/>
        <w:ind w:left="720" w:hanging="360"/>
        <w:jc w:val="both"/>
        <w:rPr>
          <w:rFonts w:cs="Arial"/>
          <w:color w:val="000000"/>
          <w:szCs w:val="22"/>
          <w:lang w:eastAsia="nl-NL"/>
        </w:rPr>
      </w:pPr>
      <w:r w:rsidRPr="007432C9">
        <w:rPr>
          <w:rFonts w:cs="Arial"/>
          <w:color w:val="000000"/>
          <w:szCs w:val="22"/>
          <w:lang w:eastAsia="nl-NL"/>
        </w:rPr>
        <w:t xml:space="preserve">• “Prevent access to bait by children, birds and non-target animals (particularly dogs, cats, pigs and poultry)” </w:t>
      </w:r>
    </w:p>
    <w:p w:rsidR="00BA7C2C" w:rsidRPr="007432C9" w:rsidRDefault="00BA7C2C" w:rsidP="00BA7C2C">
      <w:pPr>
        <w:autoSpaceDE w:val="0"/>
        <w:autoSpaceDN w:val="0"/>
        <w:adjustRightInd w:val="0"/>
        <w:spacing w:line="240" w:lineRule="auto"/>
        <w:ind w:left="720" w:hanging="360"/>
        <w:jc w:val="both"/>
        <w:rPr>
          <w:rFonts w:cs="Arial"/>
          <w:color w:val="000000"/>
          <w:szCs w:val="22"/>
          <w:lang w:eastAsia="nl-NL"/>
        </w:rPr>
      </w:pPr>
      <w:r w:rsidRPr="007432C9">
        <w:rPr>
          <w:rFonts w:cs="Arial"/>
          <w:color w:val="000000"/>
          <w:szCs w:val="22"/>
          <w:lang w:eastAsia="nl-NL"/>
        </w:rPr>
        <w:t xml:space="preserve">• “Keep out of reach of children” </w:t>
      </w:r>
    </w:p>
    <w:p w:rsidR="00BA7C2C" w:rsidRPr="007432C9" w:rsidRDefault="00BA7C2C" w:rsidP="00BA7C2C">
      <w:pPr>
        <w:autoSpaceDE w:val="0"/>
        <w:autoSpaceDN w:val="0"/>
        <w:adjustRightInd w:val="0"/>
        <w:spacing w:line="240" w:lineRule="auto"/>
        <w:ind w:left="720" w:hanging="360"/>
        <w:jc w:val="both"/>
        <w:rPr>
          <w:rFonts w:cs="Arial"/>
          <w:color w:val="000000"/>
          <w:szCs w:val="22"/>
          <w:lang w:eastAsia="nl-NL"/>
        </w:rPr>
      </w:pPr>
      <w:r w:rsidRPr="007432C9">
        <w:rPr>
          <w:rFonts w:cs="Arial"/>
          <w:color w:val="000000"/>
          <w:szCs w:val="22"/>
          <w:lang w:eastAsia="nl-NL"/>
        </w:rPr>
        <w:t xml:space="preserve">• "Baits must be securely deposited in a way so as to minimise the risk of consumption by other animals or children. Where possible, secure baits so that they cannot be dragged away" </w:t>
      </w:r>
    </w:p>
    <w:p w:rsidR="00BA7C2C" w:rsidRPr="007432C9" w:rsidRDefault="00BA7C2C" w:rsidP="00BA7C2C">
      <w:pPr>
        <w:pStyle w:val="BfRBBStandard"/>
      </w:pPr>
    </w:p>
    <w:p w:rsidR="00BA7C2C" w:rsidRPr="007432C9" w:rsidRDefault="00BA7C2C" w:rsidP="00BA7C2C">
      <w:pPr>
        <w:pStyle w:val="BfRBBStandard"/>
      </w:pPr>
      <w:r w:rsidRPr="007432C9">
        <w:t xml:space="preserve">If these safety measures are taken into account, the risks of infant exposure due to the ingestion of bait are considered to be mitigated. </w:t>
      </w:r>
    </w:p>
    <w:p w:rsidR="00BA7C2C" w:rsidRPr="007432C9" w:rsidRDefault="00BA7C2C" w:rsidP="00BA7C2C">
      <w:pPr>
        <w:pStyle w:val="BfRBBStandard"/>
        <w:rPr>
          <w:rFonts w:eastAsia="Times New Roman"/>
          <w:noProof w:val="0"/>
          <w:szCs w:val="24"/>
          <w:lang w:val="en-GB" w:eastAsia="sv-SE"/>
        </w:rPr>
      </w:pPr>
    </w:p>
    <w:p w:rsidR="00BA7C2C" w:rsidRDefault="00BA7C2C" w:rsidP="00BA7C2C">
      <w:pPr>
        <w:rPr>
          <w:rFonts w:cs="Arial"/>
        </w:rPr>
      </w:pPr>
      <w:r w:rsidRPr="007432C9">
        <w:rPr>
          <w:rFonts w:cs="Arial"/>
        </w:rPr>
        <w:t xml:space="preserve">Based on the risk assessment, it can be concluded that no adverse health effects are expected from indirect exposure to bromadiolone as a result of use of MAKI PAT’ . </w:t>
      </w:r>
    </w:p>
    <w:p w:rsidR="00BA7C2C" w:rsidRPr="00F72140" w:rsidRDefault="00BA7C2C" w:rsidP="00BA7C2C">
      <w:pPr>
        <w:pStyle w:val="BfRBBStandard"/>
        <w:rPr>
          <w:rFonts w:eastAsia="Times New Roman"/>
          <w:noProof w:val="0"/>
          <w:szCs w:val="24"/>
          <w:lang w:val="en-GB" w:eastAsia="sv-SE"/>
        </w:rPr>
      </w:pPr>
      <w:r w:rsidRPr="00F72140">
        <w:rPr>
          <w:rFonts w:eastAsia="Times New Roman"/>
          <w:noProof w:val="0"/>
          <w:szCs w:val="24"/>
          <w:lang w:val="en-GB" w:eastAsia="sv-SE"/>
        </w:rPr>
        <w:t>.</w:t>
      </w:r>
    </w:p>
    <w:p w:rsidR="00BA7C2C" w:rsidRPr="00A0425E" w:rsidRDefault="00BA7C2C" w:rsidP="00BA7C2C">
      <w:pPr>
        <w:pStyle w:val="Kop4"/>
        <w:numPr>
          <w:ilvl w:val="3"/>
          <w:numId w:val="12"/>
        </w:numPr>
        <w:tabs>
          <w:tab w:val="left" w:pos="1304"/>
        </w:tabs>
        <w:spacing w:before="300" w:line="280" w:lineRule="atLeast"/>
        <w:jc w:val="left"/>
      </w:pPr>
      <w:r w:rsidRPr="00A0425E">
        <w:t>Risk for consumers via residues</w:t>
      </w:r>
    </w:p>
    <w:p w:rsidR="00BA7C2C" w:rsidRPr="00F72140" w:rsidRDefault="00BA7C2C" w:rsidP="00BA7C2C">
      <w:pPr>
        <w:pStyle w:val="BfRBBStandard"/>
        <w:rPr>
          <w:rFonts w:eastAsia="Times New Roman"/>
          <w:noProof w:val="0"/>
          <w:szCs w:val="24"/>
          <w:lang w:val="en-GB" w:eastAsia="sv-SE"/>
        </w:rPr>
      </w:pPr>
      <w:r w:rsidRPr="00F72140">
        <w:rPr>
          <w:rFonts w:eastAsia="Times New Roman"/>
          <w:noProof w:val="0"/>
          <w:szCs w:val="24"/>
          <w:lang w:val="en-GB" w:eastAsia="sv-SE"/>
        </w:rPr>
        <w:t xml:space="preserve">The acute or chronic exposure to residues in food resulting from the intended uses is unlikely and is considered negligible (see 2.7.2.3).  </w:t>
      </w:r>
    </w:p>
    <w:p w:rsidR="00BA7C2C" w:rsidRPr="00A0425E" w:rsidRDefault="00BA7C2C" w:rsidP="00BA7C2C">
      <w:pPr>
        <w:spacing w:before="120" w:after="120"/>
      </w:pPr>
    </w:p>
    <w:p w:rsidR="00BA7C2C" w:rsidRPr="00A0425E" w:rsidRDefault="00BA7C2C" w:rsidP="00BA7C2C">
      <w:pPr>
        <w:pStyle w:val="Kop2"/>
        <w:numPr>
          <w:ilvl w:val="1"/>
          <w:numId w:val="12"/>
        </w:numPr>
        <w:tabs>
          <w:tab w:val="left" w:pos="1304"/>
        </w:tabs>
        <w:spacing w:before="360" w:after="240" w:line="280" w:lineRule="atLeast"/>
      </w:pPr>
      <w:bookmarkStart w:id="778" w:name="_Ref246327250"/>
      <w:bookmarkStart w:id="779" w:name="_Toc362858098"/>
      <w:r w:rsidRPr="00A0425E">
        <w:t>Risk assessment for the environment</w:t>
      </w:r>
      <w:bookmarkEnd w:id="778"/>
      <w:bookmarkEnd w:id="779"/>
    </w:p>
    <w:p w:rsidR="00BA7C2C" w:rsidRPr="007223F2" w:rsidRDefault="00BA7C2C" w:rsidP="00BA7C2C">
      <w:pPr>
        <w:rPr>
          <w:rFonts w:cs="Arial"/>
        </w:rPr>
      </w:pPr>
      <w:bookmarkStart w:id="780" w:name="_Ref246312045"/>
      <w:r w:rsidRPr="007223F2">
        <w:rPr>
          <w:rFonts w:cs="Arial"/>
        </w:rPr>
        <w:t>Bromadiolone is manufactured in the EU at AlzChem Trostberg GmbH (Germany). The plant is ISO compliant and Government Approved (a certificate is available). The premix of active substance used to prepare products is manufactured by Liphatech S.A.S plant at Pont du Casse (France). The plant is ISO compliant and Government Approved (a certificate is available). Production of bromadiolone and formulation of paste baits at these sites takes place in closed systems. Production and formulation systems have air treatment and all liquid effluent is stored in liquid waste storage tanks and disposed of to specialist dangerous waste processors. Contaminated solid waste is stored in dedicated containers and incinerated in a special incinerator. Consequently environmental exposure via manufacture, formulation, distribution and storage is considered negligible.</w:t>
      </w:r>
    </w:p>
    <w:p w:rsidR="00BA7C2C" w:rsidRPr="007223F2" w:rsidRDefault="00BA7C2C" w:rsidP="00BA7C2C">
      <w:pPr>
        <w:rPr>
          <w:rFonts w:cs="Arial"/>
        </w:rPr>
      </w:pPr>
      <w:r w:rsidRPr="007223F2">
        <w:rPr>
          <w:rFonts w:cs="Arial"/>
        </w:rPr>
        <w:lastRenderedPageBreak/>
        <w:t>Consideration in the following text is confined to environmental releases following the use MAKI PAT’ containing 50 mg bromadiolone/kg in the scenario in and around buildings, in open areas and around waste sites. MAKI PAT’ is a ready-to-use product (paste) and further dilution prior to deployment is not foreseen.</w:t>
      </w:r>
    </w:p>
    <w:p w:rsidR="00BA7C2C" w:rsidRPr="007223F2" w:rsidRDefault="00BA7C2C" w:rsidP="00BA7C2C">
      <w:pPr>
        <w:rPr>
          <w:rFonts w:cs="Arial"/>
        </w:rPr>
      </w:pPr>
      <w:r w:rsidRPr="007223F2">
        <w:rPr>
          <w:rFonts w:cs="Arial"/>
        </w:rPr>
        <w:t xml:space="preserve">The risk characterisation for the environment is based on proprietary product information, authoritative guidance documents describing good application practice (Crop Life International, Rodenticide Resistance Action Committee, Technical Monograph; UK Health and Safety Executive, 1999; UK Health and Safety Executive, 2003), on the EUBEES 2 ‘Emission scenario document for </w:t>
      </w:r>
      <w:smartTag w:uri="urn:schemas-microsoft-com:office:smarttags" w:element="PersonName">
        <w:r w:rsidRPr="007223F2">
          <w:rPr>
            <w:rFonts w:cs="Arial"/>
          </w:rPr>
          <w:t>biocides</w:t>
        </w:r>
      </w:smartTag>
      <w:r w:rsidRPr="007223F2">
        <w:rPr>
          <w:rFonts w:cs="Arial"/>
        </w:rPr>
        <w:t xml:space="preserve"> used as rodenticides’ (Larsen, 2003), hereafter referred to as EUBEES 2, and on the Technical Guidance Document (TGD; ECB 2003).</w:t>
      </w:r>
    </w:p>
    <w:p w:rsidR="00BA7C2C" w:rsidRPr="007223F2" w:rsidRDefault="00BA7C2C" w:rsidP="00BA7C2C">
      <w:pPr>
        <w:rPr>
          <w:rFonts w:cs="Arial"/>
        </w:rPr>
      </w:pPr>
      <w:r w:rsidRPr="007223F2">
        <w:rPr>
          <w:rFonts w:cs="Arial"/>
        </w:rPr>
        <w:t xml:space="preserve">The risk characterisation and the underlying assumptions presented here are also confirmed in the </w:t>
      </w:r>
    </w:p>
    <w:p w:rsidR="00BA7C2C" w:rsidRPr="007223F2" w:rsidRDefault="00BA7C2C" w:rsidP="00BA7C2C">
      <w:pPr>
        <w:rPr>
          <w:rFonts w:cs="Arial"/>
        </w:rPr>
      </w:pPr>
      <w:r w:rsidRPr="007223F2">
        <w:rPr>
          <w:rFonts w:cs="Arial"/>
        </w:rPr>
        <w:t>Assessment Report for bromadiolone (Product Type 14).</w:t>
      </w:r>
    </w:p>
    <w:p w:rsidR="00BA7C2C" w:rsidRPr="007223F2" w:rsidRDefault="00BA7C2C" w:rsidP="00BA7C2C">
      <w:pPr>
        <w:rPr>
          <w:rFonts w:cs="Arial"/>
        </w:rPr>
      </w:pPr>
      <w:r w:rsidRPr="007223F2">
        <w:rPr>
          <w:rFonts w:cs="Arial"/>
        </w:rPr>
        <w:t>Application of MAKI PAT’ containing 50 mg/kg bromadiolone is confined to rodent control in the scenario in and around buildings, in open areas and around waste sites.</w:t>
      </w:r>
    </w:p>
    <w:p w:rsidR="00BA7C2C" w:rsidRPr="007223F2" w:rsidRDefault="00BA7C2C" w:rsidP="00BA7C2C">
      <w:pPr>
        <w:rPr>
          <w:rFonts w:cs="Arial"/>
        </w:rPr>
      </w:pPr>
      <w:r w:rsidRPr="007223F2">
        <w:rPr>
          <w:rFonts w:cs="Arial"/>
        </w:rPr>
        <w:t>No studies were submitted with the product authorisation application for the active substance or for the product that were not already evaluated during the Annex I active review stage or studies. Detailed data on the fate and distribution of bromadiolone in the environment and the effect of the active substance on environmental organisms can be consulted in Doc IIA of the final Assessment Report of LiphaTech (March 2008) for bromadiolone (PT14). The PNEC derivation is also described in detail in the Assessment Report for bromadiolone (Product Type 14), section 2.8.2.4 and a summary is included in</w:t>
      </w:r>
      <w:r w:rsidRPr="007223F2">
        <w:rPr>
          <w:rFonts w:cs="Arial"/>
          <w:i/>
        </w:rPr>
        <w:t xml:space="preserve"> </w:t>
      </w:r>
      <w:r w:rsidRPr="007223F2">
        <w:rPr>
          <w:rFonts w:cs="Arial"/>
        </w:rPr>
        <w:t>the table below.</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Summary of the PNECs derived for bromadiolone in the different compartments</w:t>
      </w:r>
    </w:p>
    <w:tbl>
      <w:tblPr>
        <w:tblW w:w="51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7"/>
        <w:gridCol w:w="2370"/>
        <w:gridCol w:w="2641"/>
        <w:gridCol w:w="688"/>
        <w:gridCol w:w="2257"/>
      </w:tblGrid>
      <w:tr w:rsidR="00BA7C2C" w:rsidRPr="007223F2" w:rsidTr="00613EE2">
        <w:trPr>
          <w:tblHeader/>
        </w:trPr>
        <w:tc>
          <w:tcPr>
            <w:tcW w:w="753" w:type="pct"/>
            <w:tcBorders>
              <w:top w:val="double" w:sz="4" w:space="0" w:color="auto"/>
            </w:tcBorders>
            <w:vAlign w:val="center"/>
          </w:tcPr>
          <w:p w:rsidR="00BA7C2C" w:rsidRPr="007223F2" w:rsidRDefault="00BA7C2C" w:rsidP="00613EE2">
            <w:pPr>
              <w:rPr>
                <w:rFonts w:cs="Arial"/>
                <w:b/>
              </w:rPr>
            </w:pPr>
            <w:r w:rsidRPr="007223F2">
              <w:rPr>
                <w:rFonts w:cs="Arial"/>
                <w:b/>
              </w:rPr>
              <w:t>Compartment</w:t>
            </w:r>
          </w:p>
        </w:tc>
        <w:tc>
          <w:tcPr>
            <w:tcW w:w="1263" w:type="pct"/>
            <w:tcBorders>
              <w:top w:val="double" w:sz="4" w:space="0" w:color="auto"/>
            </w:tcBorders>
            <w:vAlign w:val="center"/>
          </w:tcPr>
          <w:p w:rsidR="00BA7C2C" w:rsidRPr="007223F2" w:rsidRDefault="00BA7C2C" w:rsidP="00613EE2">
            <w:pPr>
              <w:rPr>
                <w:rFonts w:cs="Arial"/>
                <w:b/>
              </w:rPr>
            </w:pPr>
            <w:r w:rsidRPr="007223F2">
              <w:rPr>
                <w:rFonts w:cs="Arial"/>
                <w:b/>
              </w:rPr>
              <w:t>Organism</w:t>
            </w:r>
          </w:p>
        </w:tc>
        <w:tc>
          <w:tcPr>
            <w:tcW w:w="1406" w:type="pct"/>
            <w:tcBorders>
              <w:top w:val="double" w:sz="4" w:space="0" w:color="auto"/>
            </w:tcBorders>
            <w:vAlign w:val="center"/>
          </w:tcPr>
          <w:p w:rsidR="00BA7C2C" w:rsidRPr="007223F2" w:rsidRDefault="00BA7C2C" w:rsidP="00613EE2">
            <w:pPr>
              <w:rPr>
                <w:rFonts w:cs="Arial"/>
                <w:b/>
              </w:rPr>
            </w:pPr>
            <w:r w:rsidRPr="007223F2">
              <w:rPr>
                <w:rFonts w:cs="Arial"/>
                <w:b/>
              </w:rPr>
              <w:t>Endpoint</w:t>
            </w:r>
          </w:p>
        </w:tc>
        <w:tc>
          <w:tcPr>
            <w:tcW w:w="375" w:type="pct"/>
            <w:tcBorders>
              <w:top w:val="double" w:sz="4" w:space="0" w:color="auto"/>
            </w:tcBorders>
            <w:vAlign w:val="center"/>
          </w:tcPr>
          <w:p w:rsidR="00BA7C2C" w:rsidRPr="007223F2" w:rsidRDefault="00BA7C2C" w:rsidP="00613EE2">
            <w:pPr>
              <w:rPr>
                <w:rFonts w:cs="Arial"/>
                <w:b/>
              </w:rPr>
            </w:pPr>
            <w:r w:rsidRPr="007223F2">
              <w:rPr>
                <w:rFonts w:cs="Arial"/>
                <w:b/>
              </w:rPr>
              <w:t>AF</w:t>
            </w:r>
          </w:p>
        </w:tc>
        <w:tc>
          <w:tcPr>
            <w:tcW w:w="1203" w:type="pct"/>
            <w:tcBorders>
              <w:top w:val="double" w:sz="4" w:space="0" w:color="auto"/>
            </w:tcBorders>
            <w:vAlign w:val="center"/>
          </w:tcPr>
          <w:p w:rsidR="00BA7C2C" w:rsidRPr="007223F2" w:rsidRDefault="00BA7C2C" w:rsidP="00613EE2">
            <w:pPr>
              <w:rPr>
                <w:rFonts w:cs="Arial"/>
                <w:b/>
              </w:rPr>
            </w:pPr>
            <w:r w:rsidRPr="007223F2">
              <w:rPr>
                <w:rFonts w:cs="Arial"/>
                <w:b/>
              </w:rPr>
              <w:t>PNEC</w:t>
            </w:r>
          </w:p>
        </w:tc>
      </w:tr>
      <w:tr w:rsidR="00BA7C2C" w:rsidRPr="007223F2" w:rsidTr="00613EE2">
        <w:tc>
          <w:tcPr>
            <w:tcW w:w="753" w:type="pct"/>
          </w:tcPr>
          <w:p w:rsidR="00BA7C2C" w:rsidRPr="007223F2" w:rsidRDefault="00BA7C2C" w:rsidP="00613EE2">
            <w:pPr>
              <w:rPr>
                <w:rFonts w:cs="Arial"/>
              </w:rPr>
            </w:pPr>
            <w:r w:rsidRPr="007223F2">
              <w:rPr>
                <w:rFonts w:cs="Arial"/>
              </w:rPr>
              <w:t>Aquatic</w:t>
            </w:r>
          </w:p>
        </w:tc>
        <w:tc>
          <w:tcPr>
            <w:tcW w:w="1263" w:type="pct"/>
          </w:tcPr>
          <w:p w:rsidR="00BA7C2C" w:rsidRPr="007223F2" w:rsidRDefault="00BA7C2C" w:rsidP="00613EE2">
            <w:pPr>
              <w:rPr>
                <w:rFonts w:cs="Arial"/>
              </w:rPr>
            </w:pPr>
            <w:r w:rsidRPr="007223F2">
              <w:rPr>
                <w:rFonts w:cs="Arial"/>
              </w:rPr>
              <w:t>Green algae</w:t>
            </w:r>
          </w:p>
          <w:p w:rsidR="00BA7C2C" w:rsidRPr="007223F2" w:rsidRDefault="00BA7C2C" w:rsidP="00613EE2">
            <w:pPr>
              <w:rPr>
                <w:rFonts w:cs="Arial"/>
                <w:iCs/>
              </w:rPr>
            </w:pPr>
            <w:r w:rsidRPr="007223F2">
              <w:rPr>
                <w:rFonts w:cs="Arial"/>
                <w:iCs/>
                <w:color w:val="000000"/>
                <w:lang w:val="fr-FR"/>
              </w:rPr>
              <w:t>(</w:t>
            </w:r>
            <w:r w:rsidRPr="007223F2">
              <w:rPr>
                <w:rFonts w:cs="Arial"/>
                <w:i/>
                <w:color w:val="000000"/>
                <w:lang w:val="fr-FR"/>
              </w:rPr>
              <w:t>S.subspicatus</w:t>
            </w:r>
            <w:r w:rsidRPr="007223F2">
              <w:rPr>
                <w:rFonts w:cs="Arial"/>
                <w:iCs/>
                <w:color w:val="000000"/>
                <w:lang w:val="fr-FR"/>
              </w:rPr>
              <w:t>)</w:t>
            </w:r>
          </w:p>
          <w:p w:rsidR="00BA7C2C" w:rsidRPr="007223F2" w:rsidRDefault="00BA7C2C" w:rsidP="00613EE2">
            <w:pPr>
              <w:rPr>
                <w:rFonts w:cs="Arial"/>
                <w:szCs w:val="22"/>
              </w:rPr>
            </w:pPr>
          </w:p>
        </w:tc>
        <w:tc>
          <w:tcPr>
            <w:tcW w:w="1406" w:type="pct"/>
          </w:tcPr>
          <w:p w:rsidR="00BA7C2C" w:rsidRPr="007223F2" w:rsidRDefault="00BA7C2C" w:rsidP="00613EE2">
            <w:pPr>
              <w:rPr>
                <w:rFonts w:cs="Arial"/>
              </w:rPr>
            </w:pPr>
            <w:r w:rsidRPr="007223F2">
              <w:rPr>
                <w:rFonts w:cs="Arial"/>
                <w:lang w:val="fr-FR"/>
              </w:rPr>
              <w:t>EbC</w:t>
            </w:r>
            <w:r w:rsidRPr="007223F2">
              <w:rPr>
                <w:rFonts w:cs="Arial"/>
                <w:vertAlign w:val="subscript"/>
                <w:lang w:val="fr-FR"/>
              </w:rPr>
              <w:t>50</w:t>
            </w:r>
            <w:r w:rsidRPr="007223F2">
              <w:rPr>
                <w:rFonts w:cs="Arial"/>
                <w:lang w:val="fr-FR"/>
              </w:rPr>
              <w:t xml:space="preserve"> = 0.17 mg/L</w:t>
            </w:r>
          </w:p>
        </w:tc>
        <w:tc>
          <w:tcPr>
            <w:tcW w:w="375" w:type="pct"/>
          </w:tcPr>
          <w:p w:rsidR="00BA7C2C" w:rsidRPr="007223F2" w:rsidRDefault="00BA7C2C" w:rsidP="00613EE2">
            <w:pPr>
              <w:rPr>
                <w:rFonts w:cs="Arial"/>
              </w:rPr>
            </w:pPr>
            <w:r w:rsidRPr="007223F2">
              <w:rPr>
                <w:rFonts w:cs="Arial"/>
              </w:rPr>
              <w:t>1000 * 10</w:t>
            </w:r>
          </w:p>
        </w:tc>
        <w:tc>
          <w:tcPr>
            <w:tcW w:w="1203" w:type="pct"/>
          </w:tcPr>
          <w:p w:rsidR="00BA7C2C" w:rsidRPr="007223F2" w:rsidRDefault="00BA7C2C" w:rsidP="00613EE2">
            <w:pPr>
              <w:rPr>
                <w:rFonts w:cs="Arial"/>
              </w:rPr>
            </w:pPr>
            <w:r w:rsidRPr="007223F2">
              <w:rPr>
                <w:rFonts w:cs="Arial"/>
              </w:rPr>
              <w:t>0.000017 mg/L</w:t>
            </w:r>
          </w:p>
        </w:tc>
      </w:tr>
      <w:tr w:rsidR="00BA7C2C" w:rsidRPr="007223F2" w:rsidTr="00613EE2">
        <w:tc>
          <w:tcPr>
            <w:tcW w:w="753" w:type="pct"/>
          </w:tcPr>
          <w:p w:rsidR="00BA7C2C" w:rsidRPr="007223F2" w:rsidRDefault="00BA7C2C" w:rsidP="00613EE2">
            <w:pPr>
              <w:rPr>
                <w:rFonts w:cs="Arial"/>
              </w:rPr>
            </w:pPr>
            <w:r w:rsidRPr="007223F2">
              <w:rPr>
                <w:rFonts w:cs="Arial"/>
              </w:rPr>
              <w:t>STP</w:t>
            </w:r>
          </w:p>
        </w:tc>
        <w:tc>
          <w:tcPr>
            <w:tcW w:w="1263" w:type="pct"/>
          </w:tcPr>
          <w:p w:rsidR="00BA7C2C" w:rsidRPr="007223F2" w:rsidRDefault="00BA7C2C" w:rsidP="00613EE2">
            <w:pPr>
              <w:rPr>
                <w:rFonts w:cs="Arial"/>
                <w:szCs w:val="22"/>
              </w:rPr>
            </w:pPr>
            <w:r w:rsidRPr="007223F2">
              <w:rPr>
                <w:rFonts w:cs="Arial"/>
              </w:rPr>
              <w:t>Microorganisms from an activated sludge</w:t>
            </w:r>
          </w:p>
        </w:tc>
        <w:tc>
          <w:tcPr>
            <w:tcW w:w="1406" w:type="pct"/>
          </w:tcPr>
          <w:p w:rsidR="00BA7C2C" w:rsidRPr="007223F2" w:rsidRDefault="00BA7C2C" w:rsidP="00613EE2">
            <w:pPr>
              <w:rPr>
                <w:rFonts w:cs="Arial"/>
              </w:rPr>
            </w:pPr>
            <w:r w:rsidRPr="007223F2">
              <w:rPr>
                <w:rFonts w:cs="Arial"/>
              </w:rPr>
              <w:t>EC</w:t>
            </w:r>
            <w:r w:rsidRPr="007223F2">
              <w:rPr>
                <w:rFonts w:cs="Arial"/>
                <w:vertAlign w:val="subscript"/>
              </w:rPr>
              <w:t>50</w:t>
            </w:r>
            <w:r w:rsidRPr="007223F2">
              <w:rPr>
                <w:rFonts w:cs="Arial"/>
              </w:rPr>
              <w:t xml:space="preserve"> = 31.6 mg/L</w:t>
            </w:r>
          </w:p>
        </w:tc>
        <w:tc>
          <w:tcPr>
            <w:tcW w:w="375" w:type="pct"/>
          </w:tcPr>
          <w:p w:rsidR="00BA7C2C" w:rsidRPr="007223F2" w:rsidRDefault="00BA7C2C" w:rsidP="00613EE2">
            <w:pPr>
              <w:rPr>
                <w:rFonts w:cs="Arial"/>
              </w:rPr>
            </w:pPr>
            <w:r w:rsidRPr="007223F2">
              <w:rPr>
                <w:rFonts w:cs="Arial"/>
              </w:rPr>
              <w:t>100</w:t>
            </w:r>
          </w:p>
        </w:tc>
        <w:tc>
          <w:tcPr>
            <w:tcW w:w="1203" w:type="pct"/>
          </w:tcPr>
          <w:p w:rsidR="00BA7C2C" w:rsidRPr="007223F2" w:rsidRDefault="00BA7C2C" w:rsidP="00613EE2">
            <w:pPr>
              <w:rPr>
                <w:rFonts w:cs="Arial"/>
              </w:rPr>
            </w:pPr>
            <w:r w:rsidRPr="007223F2">
              <w:rPr>
                <w:rFonts w:cs="Arial"/>
              </w:rPr>
              <w:t>0.316 mg/L</w:t>
            </w:r>
          </w:p>
        </w:tc>
      </w:tr>
      <w:tr w:rsidR="00BA7C2C" w:rsidRPr="007223F2" w:rsidTr="00613EE2">
        <w:tc>
          <w:tcPr>
            <w:tcW w:w="753" w:type="pct"/>
          </w:tcPr>
          <w:p w:rsidR="00BA7C2C" w:rsidRPr="007223F2" w:rsidRDefault="00BA7C2C" w:rsidP="00613EE2">
            <w:pPr>
              <w:rPr>
                <w:rFonts w:cs="Arial"/>
              </w:rPr>
            </w:pPr>
            <w:r w:rsidRPr="007223F2">
              <w:rPr>
                <w:rFonts w:cs="Arial"/>
              </w:rPr>
              <w:t>Sediment</w:t>
            </w:r>
          </w:p>
        </w:tc>
        <w:tc>
          <w:tcPr>
            <w:tcW w:w="1263" w:type="pct"/>
          </w:tcPr>
          <w:p w:rsidR="00BA7C2C" w:rsidRPr="007223F2" w:rsidRDefault="00BA7C2C" w:rsidP="00613EE2">
            <w:pPr>
              <w:rPr>
                <w:rFonts w:cs="Arial"/>
              </w:rPr>
            </w:pPr>
            <w:r w:rsidRPr="007223F2">
              <w:rPr>
                <w:rFonts w:cs="Arial"/>
              </w:rPr>
              <w:t>Sediment-dwelling organisms</w:t>
            </w:r>
          </w:p>
        </w:tc>
        <w:tc>
          <w:tcPr>
            <w:tcW w:w="2985" w:type="pct"/>
            <w:gridSpan w:val="3"/>
          </w:tcPr>
          <w:p w:rsidR="00BA7C2C" w:rsidRPr="007223F2" w:rsidRDefault="00BA7C2C" w:rsidP="00613EE2">
            <w:pPr>
              <w:rPr>
                <w:rFonts w:cs="Arial"/>
              </w:rPr>
            </w:pPr>
            <w:r w:rsidRPr="007223F2">
              <w:rPr>
                <w:rFonts w:cs="Arial"/>
              </w:rPr>
              <w:t>Covered by the aquatic compartment</w:t>
            </w:r>
          </w:p>
        </w:tc>
      </w:tr>
      <w:tr w:rsidR="00BA7C2C" w:rsidRPr="007223F2" w:rsidTr="00613EE2">
        <w:tc>
          <w:tcPr>
            <w:tcW w:w="753" w:type="pct"/>
          </w:tcPr>
          <w:p w:rsidR="00BA7C2C" w:rsidRPr="007223F2" w:rsidRDefault="00BA7C2C" w:rsidP="00613EE2">
            <w:pPr>
              <w:rPr>
                <w:rFonts w:cs="Arial"/>
              </w:rPr>
            </w:pPr>
            <w:r w:rsidRPr="007223F2">
              <w:rPr>
                <w:rFonts w:cs="Arial"/>
              </w:rPr>
              <w:t>Soil</w:t>
            </w:r>
          </w:p>
        </w:tc>
        <w:tc>
          <w:tcPr>
            <w:tcW w:w="1263" w:type="pct"/>
          </w:tcPr>
          <w:p w:rsidR="00BA7C2C" w:rsidRPr="007223F2" w:rsidRDefault="00BA7C2C" w:rsidP="00613EE2">
            <w:pPr>
              <w:rPr>
                <w:rFonts w:cs="Arial"/>
                <w:szCs w:val="22"/>
              </w:rPr>
            </w:pPr>
            <w:r w:rsidRPr="007223F2">
              <w:rPr>
                <w:rFonts w:cs="Arial"/>
              </w:rPr>
              <w:t>Earthworm (Eisenia f</w:t>
            </w:r>
            <w:r w:rsidRPr="007223F2">
              <w:rPr>
                <w:rFonts w:cs="Arial"/>
                <w:i/>
                <w:szCs w:val="22"/>
              </w:rPr>
              <w:t>oetida</w:t>
            </w:r>
            <w:r w:rsidRPr="007223F2">
              <w:rPr>
                <w:rFonts w:cs="Arial"/>
              </w:rPr>
              <w:t>)</w:t>
            </w:r>
          </w:p>
        </w:tc>
        <w:tc>
          <w:tcPr>
            <w:tcW w:w="1406" w:type="pct"/>
          </w:tcPr>
          <w:p w:rsidR="00BA7C2C" w:rsidRPr="007223F2" w:rsidRDefault="00BA7C2C" w:rsidP="00613EE2">
            <w:pPr>
              <w:rPr>
                <w:rFonts w:cs="Arial"/>
              </w:rPr>
            </w:pPr>
            <w:r w:rsidRPr="007223F2">
              <w:rPr>
                <w:rFonts w:cs="Arial"/>
              </w:rPr>
              <w:t>LC</w:t>
            </w:r>
            <w:r w:rsidRPr="007223F2">
              <w:rPr>
                <w:rFonts w:cs="Arial"/>
                <w:vertAlign w:val="subscript"/>
              </w:rPr>
              <w:t>50</w:t>
            </w:r>
            <w:r w:rsidRPr="007223F2">
              <w:rPr>
                <w:rFonts w:cs="Arial"/>
                <w:vertAlign w:val="superscript"/>
              </w:rPr>
              <w:t xml:space="preserve"> </w:t>
            </w:r>
            <w:r w:rsidRPr="007223F2">
              <w:rPr>
                <w:rFonts w:cs="Arial"/>
              </w:rPr>
              <w:t>&gt; 8.4 mg/kg ww</w:t>
            </w:r>
          </w:p>
        </w:tc>
        <w:tc>
          <w:tcPr>
            <w:tcW w:w="375" w:type="pct"/>
          </w:tcPr>
          <w:p w:rsidR="00BA7C2C" w:rsidRPr="007223F2" w:rsidRDefault="00BA7C2C" w:rsidP="00613EE2">
            <w:pPr>
              <w:rPr>
                <w:rFonts w:cs="Arial"/>
              </w:rPr>
            </w:pPr>
            <w:r w:rsidRPr="007223F2">
              <w:rPr>
                <w:rFonts w:cs="Arial"/>
              </w:rPr>
              <w:t>1000</w:t>
            </w:r>
          </w:p>
        </w:tc>
        <w:tc>
          <w:tcPr>
            <w:tcW w:w="1203" w:type="pct"/>
          </w:tcPr>
          <w:p w:rsidR="00BA7C2C" w:rsidRPr="007223F2" w:rsidRDefault="00BA7C2C" w:rsidP="00613EE2">
            <w:pPr>
              <w:rPr>
                <w:rFonts w:cs="Arial"/>
              </w:rPr>
            </w:pPr>
            <w:r w:rsidRPr="007223F2">
              <w:rPr>
                <w:rFonts w:cs="Arial"/>
              </w:rPr>
              <w:t>0.0084 mg/kg ww</w:t>
            </w:r>
          </w:p>
        </w:tc>
      </w:tr>
      <w:tr w:rsidR="00BA7C2C" w:rsidRPr="007223F2" w:rsidTr="00613EE2">
        <w:tc>
          <w:tcPr>
            <w:tcW w:w="753" w:type="pct"/>
          </w:tcPr>
          <w:p w:rsidR="00BA7C2C" w:rsidRPr="007223F2" w:rsidRDefault="00BA7C2C" w:rsidP="00613EE2">
            <w:pPr>
              <w:rPr>
                <w:rFonts w:cs="Arial"/>
              </w:rPr>
            </w:pPr>
            <w:r w:rsidRPr="007223F2">
              <w:rPr>
                <w:rFonts w:cs="Arial"/>
              </w:rPr>
              <w:t>Terrestrial</w:t>
            </w:r>
          </w:p>
        </w:tc>
        <w:tc>
          <w:tcPr>
            <w:tcW w:w="1263" w:type="pct"/>
          </w:tcPr>
          <w:p w:rsidR="00BA7C2C" w:rsidRPr="007223F2" w:rsidRDefault="00BA7C2C" w:rsidP="00613EE2">
            <w:pPr>
              <w:rPr>
                <w:rFonts w:cs="Arial"/>
                <w:lang w:val="fr-FR"/>
              </w:rPr>
            </w:pPr>
            <w:r w:rsidRPr="007223F2">
              <w:rPr>
                <w:rFonts w:cs="Arial"/>
              </w:rPr>
              <w:t>Birds (</w:t>
            </w:r>
            <w:r w:rsidRPr="007223F2">
              <w:rPr>
                <w:rFonts w:cs="Arial"/>
                <w:lang w:val="fr-FR"/>
              </w:rPr>
              <w:t>Japanese quail)</w:t>
            </w:r>
          </w:p>
          <w:p w:rsidR="00BA7C2C" w:rsidRPr="007223F2" w:rsidRDefault="00BA7C2C" w:rsidP="00613EE2">
            <w:pPr>
              <w:rPr>
                <w:rFonts w:cs="Arial"/>
                <w:lang w:val="fr-FR"/>
              </w:rPr>
            </w:pPr>
          </w:p>
          <w:p w:rsidR="00BA7C2C" w:rsidRPr="007223F2" w:rsidRDefault="00BA7C2C" w:rsidP="00613EE2">
            <w:pPr>
              <w:rPr>
                <w:rFonts w:cs="Arial"/>
                <w:lang w:val="fr-FR"/>
              </w:rPr>
            </w:pPr>
          </w:p>
          <w:p w:rsidR="00BA7C2C" w:rsidRPr="007223F2" w:rsidRDefault="00BA7C2C" w:rsidP="00613EE2">
            <w:pPr>
              <w:rPr>
                <w:rFonts w:cs="Arial"/>
              </w:rPr>
            </w:pPr>
          </w:p>
        </w:tc>
        <w:tc>
          <w:tcPr>
            <w:tcW w:w="1406" w:type="pct"/>
          </w:tcPr>
          <w:p w:rsidR="00BA7C2C" w:rsidRPr="00BA7C2C" w:rsidRDefault="00BA7C2C" w:rsidP="00613EE2">
            <w:pPr>
              <w:rPr>
                <w:rFonts w:cs="Arial"/>
                <w:lang w:val="nl-NL"/>
              </w:rPr>
            </w:pPr>
            <w:r w:rsidRPr="00BA7C2C">
              <w:rPr>
                <w:rFonts w:cs="Arial"/>
                <w:lang w:val="nl-NL"/>
              </w:rPr>
              <w:t>NOEC = 0.1 mg/kg food</w:t>
            </w:r>
          </w:p>
          <w:p w:rsidR="00BA7C2C" w:rsidRPr="00BA7C2C" w:rsidRDefault="00BA7C2C" w:rsidP="00613EE2">
            <w:pPr>
              <w:rPr>
                <w:rFonts w:cs="Arial"/>
                <w:lang w:val="nl-NL"/>
              </w:rPr>
            </w:pPr>
            <w:r w:rsidRPr="00BA7C2C">
              <w:rPr>
                <w:rFonts w:cs="Arial"/>
                <w:lang w:val="nl-NL"/>
              </w:rPr>
              <w:t>NOEL = 0.01138 mg/kg bw/d</w:t>
            </w:r>
          </w:p>
          <w:p w:rsidR="00BA7C2C" w:rsidRPr="00BA7C2C" w:rsidRDefault="00BA7C2C" w:rsidP="00613EE2">
            <w:pPr>
              <w:rPr>
                <w:rFonts w:cs="Arial"/>
                <w:lang w:val="nl-NL"/>
              </w:rPr>
            </w:pPr>
          </w:p>
        </w:tc>
        <w:tc>
          <w:tcPr>
            <w:tcW w:w="375" w:type="pct"/>
          </w:tcPr>
          <w:p w:rsidR="00BA7C2C" w:rsidRPr="007223F2" w:rsidRDefault="00BA7C2C" w:rsidP="00613EE2">
            <w:pPr>
              <w:rPr>
                <w:rFonts w:cs="Arial"/>
              </w:rPr>
            </w:pPr>
            <w:r w:rsidRPr="007223F2">
              <w:rPr>
                <w:rFonts w:cs="Arial"/>
              </w:rPr>
              <w:t>30</w:t>
            </w:r>
          </w:p>
          <w:p w:rsidR="00BA7C2C" w:rsidRPr="007223F2" w:rsidRDefault="00BA7C2C" w:rsidP="00613EE2">
            <w:pPr>
              <w:rPr>
                <w:rFonts w:cs="Arial"/>
              </w:rPr>
            </w:pPr>
          </w:p>
          <w:p w:rsidR="00BA7C2C" w:rsidRPr="007223F2" w:rsidRDefault="00BA7C2C" w:rsidP="00613EE2">
            <w:pPr>
              <w:rPr>
                <w:rFonts w:cs="Arial"/>
              </w:rPr>
            </w:pPr>
          </w:p>
          <w:p w:rsidR="00BA7C2C" w:rsidRPr="007223F2" w:rsidRDefault="00BA7C2C" w:rsidP="00613EE2">
            <w:pPr>
              <w:rPr>
                <w:rFonts w:cs="Arial"/>
              </w:rPr>
            </w:pPr>
          </w:p>
        </w:tc>
        <w:tc>
          <w:tcPr>
            <w:tcW w:w="1203" w:type="pct"/>
          </w:tcPr>
          <w:p w:rsidR="00BA7C2C" w:rsidRPr="007223F2" w:rsidRDefault="00BA7C2C" w:rsidP="00613EE2">
            <w:pPr>
              <w:rPr>
                <w:rFonts w:cs="Arial"/>
              </w:rPr>
            </w:pPr>
            <w:r w:rsidRPr="007223F2">
              <w:rPr>
                <w:rFonts w:cs="Arial"/>
              </w:rPr>
              <w:t>0.0033 mg/kg food</w:t>
            </w:r>
          </w:p>
          <w:p w:rsidR="00BA7C2C" w:rsidRPr="007223F2" w:rsidRDefault="00BA7C2C" w:rsidP="00613EE2">
            <w:pPr>
              <w:rPr>
                <w:rFonts w:cs="Arial"/>
              </w:rPr>
            </w:pPr>
            <w:r w:rsidRPr="007223F2">
              <w:rPr>
                <w:rFonts w:cs="Arial"/>
              </w:rPr>
              <w:t>0.00038 mg/kg bw/d</w:t>
            </w:r>
          </w:p>
          <w:p w:rsidR="00BA7C2C" w:rsidRPr="007223F2" w:rsidRDefault="00BA7C2C" w:rsidP="00613EE2">
            <w:pPr>
              <w:rPr>
                <w:rFonts w:cs="Arial"/>
              </w:rPr>
            </w:pPr>
          </w:p>
          <w:p w:rsidR="00BA7C2C" w:rsidRPr="007223F2" w:rsidRDefault="00BA7C2C" w:rsidP="00613EE2">
            <w:pPr>
              <w:rPr>
                <w:rFonts w:cs="Arial"/>
              </w:rPr>
            </w:pPr>
          </w:p>
        </w:tc>
      </w:tr>
      <w:tr w:rsidR="00BA7C2C" w:rsidRPr="007223F2" w:rsidTr="00613EE2">
        <w:tc>
          <w:tcPr>
            <w:tcW w:w="753" w:type="pct"/>
            <w:tcBorders>
              <w:bottom w:val="double" w:sz="4" w:space="0" w:color="auto"/>
            </w:tcBorders>
          </w:tcPr>
          <w:p w:rsidR="00BA7C2C" w:rsidRPr="007223F2" w:rsidRDefault="00BA7C2C" w:rsidP="00613EE2">
            <w:pPr>
              <w:rPr>
                <w:rFonts w:cs="Arial"/>
              </w:rPr>
            </w:pPr>
            <w:r w:rsidRPr="007223F2">
              <w:rPr>
                <w:rFonts w:cs="Arial"/>
              </w:rPr>
              <w:t>Terrestrial</w:t>
            </w:r>
          </w:p>
        </w:tc>
        <w:tc>
          <w:tcPr>
            <w:tcW w:w="1263" w:type="pct"/>
            <w:tcBorders>
              <w:bottom w:val="double" w:sz="4" w:space="0" w:color="auto"/>
            </w:tcBorders>
          </w:tcPr>
          <w:p w:rsidR="00BA7C2C" w:rsidRPr="007223F2" w:rsidRDefault="00BA7C2C" w:rsidP="00613EE2">
            <w:pPr>
              <w:rPr>
                <w:rFonts w:cs="Arial"/>
              </w:rPr>
            </w:pPr>
            <w:r w:rsidRPr="007223F2">
              <w:rPr>
                <w:rFonts w:cs="Arial"/>
              </w:rPr>
              <w:t>Mammals (rat)</w:t>
            </w:r>
          </w:p>
          <w:p w:rsidR="00BA7C2C" w:rsidRPr="007223F2" w:rsidRDefault="00BA7C2C" w:rsidP="00613EE2">
            <w:pPr>
              <w:rPr>
                <w:rFonts w:cs="Arial"/>
              </w:rPr>
            </w:pPr>
          </w:p>
          <w:p w:rsidR="00BA7C2C" w:rsidRPr="007223F2" w:rsidRDefault="00BA7C2C" w:rsidP="00613EE2">
            <w:pPr>
              <w:rPr>
                <w:rFonts w:cs="Arial"/>
              </w:rPr>
            </w:pPr>
          </w:p>
          <w:p w:rsidR="00BA7C2C" w:rsidRPr="007223F2" w:rsidRDefault="00BA7C2C" w:rsidP="00613EE2">
            <w:pPr>
              <w:rPr>
                <w:rFonts w:cs="Arial"/>
              </w:rPr>
            </w:pPr>
            <w:r w:rsidRPr="007223F2">
              <w:rPr>
                <w:rFonts w:cs="Arial"/>
              </w:rPr>
              <w:t>Mammals (dog)</w:t>
            </w:r>
          </w:p>
        </w:tc>
        <w:tc>
          <w:tcPr>
            <w:tcW w:w="1406" w:type="pct"/>
            <w:tcBorders>
              <w:bottom w:val="double" w:sz="4" w:space="0" w:color="auto"/>
            </w:tcBorders>
          </w:tcPr>
          <w:p w:rsidR="00BA7C2C" w:rsidRPr="007223F2" w:rsidRDefault="00BA7C2C" w:rsidP="00613EE2">
            <w:pPr>
              <w:rPr>
                <w:rFonts w:cs="Arial"/>
                <w:color w:val="000000"/>
              </w:rPr>
            </w:pPr>
            <w:r w:rsidRPr="007223F2">
              <w:rPr>
                <w:rFonts w:cs="Arial"/>
              </w:rPr>
              <w:t>NOAEL (difethialone) = 2 µg</w:t>
            </w:r>
            <w:r w:rsidRPr="007223F2">
              <w:rPr>
                <w:rFonts w:cs="Arial"/>
                <w:color w:val="000000"/>
              </w:rPr>
              <w:t>/kg bw/d</w:t>
            </w:r>
          </w:p>
          <w:p w:rsidR="00BA7C2C" w:rsidRPr="007223F2" w:rsidRDefault="00BA7C2C" w:rsidP="00613EE2">
            <w:pPr>
              <w:rPr>
                <w:rFonts w:cs="Arial"/>
              </w:rPr>
            </w:pPr>
          </w:p>
          <w:p w:rsidR="00BA7C2C" w:rsidRPr="00BA7C2C" w:rsidRDefault="00BA7C2C" w:rsidP="00613EE2">
            <w:pPr>
              <w:rPr>
                <w:rFonts w:cs="Arial"/>
                <w:lang w:val="nl-NL"/>
              </w:rPr>
            </w:pPr>
            <w:r w:rsidRPr="00BA7C2C">
              <w:rPr>
                <w:rFonts w:cs="Arial"/>
                <w:lang w:val="nl-NL"/>
              </w:rPr>
              <w:t>NOAEL =8 µg</w:t>
            </w:r>
            <w:r w:rsidRPr="00BA7C2C">
              <w:rPr>
                <w:rFonts w:cs="Arial"/>
                <w:color w:val="000000"/>
                <w:lang w:val="nl-NL"/>
              </w:rPr>
              <w:t>/kg bw/d</w:t>
            </w:r>
          </w:p>
        </w:tc>
        <w:tc>
          <w:tcPr>
            <w:tcW w:w="375" w:type="pct"/>
            <w:tcBorders>
              <w:bottom w:val="double" w:sz="4" w:space="0" w:color="auto"/>
            </w:tcBorders>
          </w:tcPr>
          <w:p w:rsidR="00BA7C2C" w:rsidRPr="007223F2" w:rsidRDefault="00BA7C2C" w:rsidP="00613EE2">
            <w:pPr>
              <w:rPr>
                <w:rFonts w:cs="Arial"/>
              </w:rPr>
            </w:pPr>
            <w:r w:rsidRPr="007223F2">
              <w:rPr>
                <w:rFonts w:cs="Arial"/>
              </w:rPr>
              <w:t>90</w:t>
            </w:r>
          </w:p>
          <w:p w:rsidR="00BA7C2C" w:rsidRPr="007223F2" w:rsidRDefault="00BA7C2C" w:rsidP="00613EE2">
            <w:pPr>
              <w:rPr>
                <w:rFonts w:cs="Arial"/>
              </w:rPr>
            </w:pPr>
          </w:p>
          <w:p w:rsidR="00BA7C2C" w:rsidRPr="007223F2" w:rsidRDefault="00BA7C2C" w:rsidP="00613EE2">
            <w:pPr>
              <w:rPr>
                <w:rFonts w:cs="Arial"/>
              </w:rPr>
            </w:pPr>
          </w:p>
          <w:p w:rsidR="00BA7C2C" w:rsidRPr="007223F2" w:rsidRDefault="00BA7C2C" w:rsidP="00613EE2">
            <w:pPr>
              <w:rPr>
                <w:rFonts w:cs="Arial"/>
              </w:rPr>
            </w:pPr>
            <w:r w:rsidRPr="007223F2">
              <w:rPr>
                <w:rFonts w:cs="Arial"/>
              </w:rPr>
              <w:t>30</w:t>
            </w:r>
          </w:p>
        </w:tc>
        <w:tc>
          <w:tcPr>
            <w:tcW w:w="1203" w:type="pct"/>
            <w:tcBorders>
              <w:bottom w:val="double" w:sz="4" w:space="0" w:color="auto"/>
            </w:tcBorders>
          </w:tcPr>
          <w:p w:rsidR="00BA7C2C" w:rsidRPr="007223F2" w:rsidRDefault="00BA7C2C" w:rsidP="00613EE2">
            <w:pPr>
              <w:rPr>
                <w:rFonts w:cs="Arial"/>
                <w:vertAlign w:val="superscript"/>
              </w:rPr>
            </w:pPr>
            <w:r w:rsidRPr="007223F2">
              <w:rPr>
                <w:rFonts w:cs="Arial"/>
              </w:rPr>
              <w:t>0.00044 mg/kg food</w:t>
            </w:r>
            <w:r w:rsidRPr="007223F2">
              <w:rPr>
                <w:rFonts w:cs="Arial"/>
                <w:vertAlign w:val="superscript"/>
              </w:rPr>
              <w:t>1</w:t>
            </w:r>
          </w:p>
          <w:p w:rsidR="00BA7C2C" w:rsidRPr="007223F2" w:rsidRDefault="00BA7C2C" w:rsidP="00613EE2">
            <w:pPr>
              <w:rPr>
                <w:rFonts w:cs="Arial"/>
                <w:color w:val="000000"/>
              </w:rPr>
            </w:pPr>
            <w:r w:rsidRPr="007223F2">
              <w:rPr>
                <w:rFonts w:cs="Arial"/>
              </w:rPr>
              <w:t>0.000022 mg</w:t>
            </w:r>
            <w:r w:rsidRPr="007223F2">
              <w:rPr>
                <w:rFonts w:cs="Arial"/>
                <w:color w:val="000000"/>
              </w:rPr>
              <w:t>/kg bw/d</w:t>
            </w:r>
          </w:p>
          <w:p w:rsidR="00BA7C2C" w:rsidRPr="007223F2" w:rsidRDefault="00BA7C2C" w:rsidP="00613EE2">
            <w:pPr>
              <w:rPr>
                <w:rFonts w:cs="Arial"/>
                <w:color w:val="000000"/>
              </w:rPr>
            </w:pPr>
          </w:p>
          <w:p w:rsidR="00BA7C2C" w:rsidRPr="007223F2" w:rsidRDefault="00BA7C2C" w:rsidP="00613EE2">
            <w:pPr>
              <w:rPr>
                <w:rFonts w:cs="Arial"/>
                <w:vertAlign w:val="superscript"/>
              </w:rPr>
            </w:pPr>
            <w:r w:rsidRPr="007223F2">
              <w:rPr>
                <w:rFonts w:cs="Arial"/>
              </w:rPr>
              <w:t>0.011 mg/kg food</w:t>
            </w:r>
            <w:r w:rsidRPr="007223F2">
              <w:rPr>
                <w:rFonts w:cs="Arial"/>
                <w:vertAlign w:val="superscript"/>
              </w:rPr>
              <w:t>1</w:t>
            </w:r>
          </w:p>
          <w:p w:rsidR="00BA7C2C" w:rsidRPr="007223F2" w:rsidRDefault="00BA7C2C" w:rsidP="00613EE2">
            <w:pPr>
              <w:rPr>
                <w:rFonts w:cs="Arial"/>
              </w:rPr>
            </w:pPr>
            <w:r w:rsidRPr="007223F2">
              <w:rPr>
                <w:rFonts w:cs="Arial"/>
              </w:rPr>
              <w:t>0.00027 mg</w:t>
            </w:r>
            <w:r w:rsidRPr="007223F2">
              <w:rPr>
                <w:rFonts w:cs="Arial"/>
                <w:color w:val="000000"/>
              </w:rPr>
              <w:t>/kg bw/d</w:t>
            </w:r>
          </w:p>
        </w:tc>
      </w:tr>
    </w:tbl>
    <w:p w:rsidR="00BA7C2C" w:rsidRPr="007223F2" w:rsidRDefault="00BA7C2C" w:rsidP="00BA7C2C">
      <w:pPr>
        <w:rPr>
          <w:rFonts w:cs="Arial"/>
          <w:sz w:val="18"/>
          <w:szCs w:val="18"/>
        </w:rPr>
      </w:pPr>
      <w:bookmarkStart w:id="781" w:name="_Toc222558486"/>
      <w:bookmarkStart w:id="782" w:name="_Toc294249255"/>
      <w:r w:rsidRPr="007223F2">
        <w:rPr>
          <w:rFonts w:cs="Arial"/>
          <w:sz w:val="18"/>
          <w:szCs w:val="18"/>
        </w:rPr>
        <w:lastRenderedPageBreak/>
        <w:t>1 calculated using a conversion factor bw/dfi = 4 (EUBEES mean value for owls).</w:t>
      </w:r>
    </w:p>
    <w:p w:rsidR="00BA7C2C" w:rsidRPr="007223F2" w:rsidRDefault="00BA7C2C" w:rsidP="00BA7C2C">
      <w:pPr>
        <w:pStyle w:val="Kop3"/>
        <w:numPr>
          <w:ilvl w:val="2"/>
          <w:numId w:val="12"/>
        </w:numPr>
        <w:tabs>
          <w:tab w:val="num" w:pos="0"/>
          <w:tab w:val="left" w:pos="1304"/>
        </w:tabs>
        <w:spacing w:after="60" w:line="280" w:lineRule="atLeast"/>
        <w:jc w:val="left"/>
      </w:pPr>
      <w:bookmarkStart w:id="783" w:name="_Toc334194989"/>
      <w:bookmarkStart w:id="784" w:name="_Toc362858099"/>
      <w:r w:rsidRPr="007223F2">
        <w:t>Exposure Assessment</w:t>
      </w:r>
      <w:bookmarkEnd w:id="781"/>
      <w:bookmarkEnd w:id="782"/>
      <w:bookmarkEnd w:id="783"/>
      <w:bookmarkEnd w:id="784"/>
    </w:p>
    <w:p w:rsidR="00BA7C2C" w:rsidRPr="007223F2" w:rsidRDefault="00BA7C2C" w:rsidP="00BA7C2C">
      <w:pPr>
        <w:rPr>
          <w:rFonts w:cs="Arial"/>
        </w:rPr>
      </w:pPr>
      <w:r w:rsidRPr="007223F2">
        <w:rPr>
          <w:rFonts w:cs="Arial"/>
        </w:rPr>
        <w:t xml:space="preserve">An environmental exposure assessment has been conducted based on the fate and distribution properties of the active substance, bromadiolone, as determined from laboratory studies. The predicted environmental concentration (PEC) of bromadiolone has been estimated, where appropriate, in various environmental compartments (surface water, groundwater, sediment, air and soil) following realistic worst case and, where appropriate, normal case usage scenarios. </w:t>
      </w:r>
    </w:p>
    <w:p w:rsidR="00BA7C2C" w:rsidRPr="007223F2" w:rsidRDefault="00BA7C2C" w:rsidP="00BA7C2C">
      <w:pPr>
        <w:rPr>
          <w:rFonts w:cs="Arial"/>
        </w:rPr>
      </w:pPr>
      <w:r w:rsidRPr="007223F2">
        <w:rPr>
          <w:rFonts w:cs="Arial"/>
        </w:rPr>
        <w:t xml:space="preserve">The following PEC values are based on proprietary product information and on the EUBEES 2 ‘Emission scenario document for </w:t>
      </w:r>
      <w:smartTag w:uri="urn:schemas-microsoft-com:office:smarttags" w:element="PersonName">
        <w:r w:rsidRPr="007223F2">
          <w:rPr>
            <w:rFonts w:cs="Arial"/>
          </w:rPr>
          <w:t>biocides</w:t>
        </w:r>
      </w:smartTag>
      <w:r w:rsidRPr="007223F2">
        <w:rPr>
          <w:rFonts w:cs="Arial"/>
        </w:rPr>
        <w:t xml:space="preserve"> used as rodenticides’ (Larsen, 2003)</w:t>
      </w:r>
      <w:r w:rsidRPr="007223F2">
        <w:rPr>
          <w:rStyle w:val="Voetnootmarkering"/>
          <w:rFonts w:cs="Arial"/>
        </w:rPr>
        <w:footnoteReference w:id="9"/>
      </w:r>
      <w:r w:rsidRPr="007223F2">
        <w:rPr>
          <w:rFonts w:cs="Arial"/>
        </w:rPr>
        <w:t>. These PEC values and the underlying assumptions are also confirmed in the final Assessment Report for bromadiolone of LiphaTech (Product Type 14).</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785" w:name="_Toc476447724"/>
      <w:bookmarkStart w:id="786" w:name="_Toc476449963"/>
      <w:bookmarkStart w:id="787" w:name="_Toc476450522"/>
      <w:bookmarkStart w:id="788" w:name="_Toc476450993"/>
      <w:bookmarkStart w:id="789" w:name="_Toc261516217"/>
      <w:bookmarkStart w:id="790" w:name="_Toc476143388"/>
      <w:bookmarkStart w:id="791" w:name="_Toc465521183"/>
      <w:r w:rsidRPr="007223F2">
        <w:t>Fate and distribution in the environment</w:t>
      </w:r>
      <w:bookmarkEnd w:id="785"/>
      <w:bookmarkEnd w:id="786"/>
      <w:bookmarkEnd w:id="787"/>
      <w:bookmarkEnd w:id="788"/>
      <w:bookmarkEnd w:id="789"/>
    </w:p>
    <w:p w:rsidR="00BA7C2C" w:rsidRPr="007223F2" w:rsidRDefault="00BA7C2C" w:rsidP="00BA7C2C">
      <w:pPr>
        <w:rPr>
          <w:rFonts w:cs="Arial"/>
        </w:rPr>
      </w:pPr>
      <w:bookmarkStart w:id="792" w:name="_Toc476447725"/>
      <w:bookmarkStart w:id="793" w:name="_Toc476449964"/>
      <w:bookmarkStart w:id="794" w:name="_Toc476450523"/>
      <w:bookmarkStart w:id="795" w:name="_Toc476450994"/>
      <w:bookmarkEnd w:id="790"/>
      <w:r w:rsidRPr="007223F2">
        <w:rPr>
          <w:rFonts w:cs="Arial"/>
        </w:rPr>
        <w:t>The environmental fate and behaviour of the active substance bromadiolone is summarised in the Assessment Report for bromadiolone (Product Type 14).</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796" w:name="_Toc261516218"/>
      <w:r w:rsidRPr="007223F2">
        <w:rPr>
          <w:noProof/>
        </w:rPr>
        <w:t>PEC in surface water, ground water and sediment</w:t>
      </w:r>
      <w:bookmarkEnd w:id="791"/>
      <w:bookmarkEnd w:id="792"/>
      <w:bookmarkEnd w:id="793"/>
      <w:bookmarkEnd w:id="794"/>
      <w:bookmarkEnd w:id="795"/>
      <w:bookmarkEnd w:id="796"/>
    </w:p>
    <w:p w:rsidR="00BA7C2C" w:rsidRPr="007223F2" w:rsidRDefault="00BA7C2C" w:rsidP="00BA7C2C">
      <w:pPr>
        <w:rPr>
          <w:rFonts w:cs="Arial"/>
        </w:rPr>
      </w:pPr>
      <w:r w:rsidRPr="007223F2">
        <w:rPr>
          <w:rFonts w:cs="Arial"/>
        </w:rPr>
        <w:t>The PEC of bromadiolone in surface water, groundwater and sediment is considered for uses in and around buildings, in open areas and around waste sites. Contamination of surface water or sediment with bromadiolone from the placing of MAKI PAT’ in these areas is highly unlikely. Negligible exposure of surface water under these circumstances is also stated in the EUBEES 2 emission scenario document. In the Netherlands, however, it is well known that rats live near surface waters and that therefore also rodenticide campaigns may occur near these surface waters. Agreed scenarios to calculate the exposure in surface water from leaching of rodenticides are lacking, therefore risk mitigation measures derived from CLP characteristics of the active substance are set in place.</w:t>
      </w:r>
    </w:p>
    <w:p w:rsidR="00BA7C2C" w:rsidRPr="007223F2" w:rsidRDefault="00BA7C2C" w:rsidP="00BA7C2C">
      <w:pPr>
        <w:rPr>
          <w:rFonts w:cs="Arial"/>
        </w:rPr>
      </w:pPr>
      <w:r w:rsidRPr="007223F2">
        <w:rPr>
          <w:rFonts w:cs="Arial"/>
        </w:rPr>
        <w:t xml:space="preserve"> Furthermore, due to the likely low soil concentrations the restricted use patterns and the strong adsorption of the active substance to soil, it is considered that bromadiolone will not move to groundwater in significant quantities.</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797" w:name="_Toc462644841"/>
      <w:bookmarkStart w:id="798" w:name="_Toc465521184"/>
      <w:bookmarkStart w:id="799" w:name="_Toc476447726"/>
      <w:bookmarkStart w:id="800" w:name="_Toc476449965"/>
      <w:bookmarkStart w:id="801" w:name="_Toc476450524"/>
      <w:bookmarkStart w:id="802" w:name="_Toc476450995"/>
      <w:bookmarkStart w:id="803" w:name="_Toc261516219"/>
      <w:r w:rsidRPr="007223F2">
        <w:rPr>
          <w:noProof/>
        </w:rPr>
        <w:t>PEC in air</w:t>
      </w:r>
      <w:bookmarkEnd w:id="797"/>
      <w:bookmarkEnd w:id="798"/>
      <w:bookmarkEnd w:id="799"/>
      <w:bookmarkEnd w:id="800"/>
      <w:bookmarkEnd w:id="801"/>
      <w:bookmarkEnd w:id="802"/>
      <w:bookmarkEnd w:id="803"/>
    </w:p>
    <w:p w:rsidR="00BA7C2C" w:rsidRPr="007223F2" w:rsidRDefault="00BA7C2C" w:rsidP="00BA7C2C">
      <w:pPr>
        <w:rPr>
          <w:rFonts w:cs="Arial"/>
        </w:rPr>
      </w:pPr>
      <w:r w:rsidRPr="007223F2">
        <w:rPr>
          <w:rFonts w:cs="Arial"/>
        </w:rPr>
        <w:t>The vapour pressure of bromadiolone at ambient temperature is 2.13 × 10-8 Pa (OECD 104).  Furthermore, the Henry's law constant for bromadiolone is 8.99 × 10-7 Pa.m3.mol-1 (based on a water solubility of 12.5 mg/L). Bromadiolone is therefore not considered volatile and is not expected to volatilise to air in significant quantities following use in any of the usage scenarios (i.e. in and around buildings, open areas and waste dumps).</w:t>
      </w:r>
    </w:p>
    <w:p w:rsidR="00BA7C2C" w:rsidRPr="007223F2" w:rsidRDefault="00BA7C2C" w:rsidP="00BA7C2C">
      <w:pPr>
        <w:spacing w:after="240" w:line="240" w:lineRule="auto"/>
        <w:rPr>
          <w:rFonts w:cs="Arial"/>
        </w:rPr>
      </w:pPr>
      <w:r w:rsidRPr="007223F2">
        <w:rPr>
          <w:rFonts w:cs="Arial"/>
        </w:rPr>
        <w:lastRenderedPageBreak/>
        <w:t>In addition, the photochemical oxidative degradation half-life of bromadiolone in air has been estimated using the Atmospheric Oxidation Program v1.90 (AOPWIN), which is based on the structural activity relationship (QSAR) methods developed by Atkinson (1985 to 1996). The half-lives for the hydroxyl and ozone reactions in air are estimated to be 2.1 and 2.0 hours respectively, indicating that, if present in air, bromadiolone would not be expected to persist.</w:t>
      </w:r>
    </w:p>
    <w:p w:rsidR="00BA7C2C" w:rsidRPr="007223F2" w:rsidRDefault="00BA7C2C" w:rsidP="00BA7C2C">
      <w:pPr>
        <w:rPr>
          <w:rFonts w:cs="Arial"/>
        </w:rPr>
      </w:pPr>
      <w:r w:rsidRPr="007223F2">
        <w:rPr>
          <w:rFonts w:cs="Arial"/>
        </w:rPr>
        <w:t>Bromadiolone is not expected to volatilise to or persist in air in significant quantities; consequently, the potential concentration of bromadiolone in air is considered to be negligible.</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804" w:name="_Toc462644842"/>
      <w:bookmarkStart w:id="805" w:name="_Toc465521185"/>
      <w:bookmarkStart w:id="806" w:name="_Toc476447727"/>
      <w:bookmarkStart w:id="807" w:name="_Toc476449966"/>
      <w:bookmarkStart w:id="808" w:name="_Toc476450525"/>
      <w:bookmarkStart w:id="809" w:name="_Toc476450996"/>
      <w:bookmarkStart w:id="810" w:name="_Toc261516220"/>
      <w:r w:rsidRPr="007223F2">
        <w:rPr>
          <w:noProof/>
        </w:rPr>
        <w:t>PEC in soil</w:t>
      </w:r>
      <w:bookmarkEnd w:id="804"/>
      <w:bookmarkEnd w:id="805"/>
      <w:bookmarkEnd w:id="806"/>
      <w:bookmarkEnd w:id="807"/>
      <w:bookmarkEnd w:id="808"/>
      <w:bookmarkEnd w:id="809"/>
      <w:bookmarkEnd w:id="810"/>
    </w:p>
    <w:p w:rsidR="00BA7C2C" w:rsidRPr="007223F2" w:rsidRDefault="00BA7C2C" w:rsidP="00BA7C2C">
      <w:pPr>
        <w:rPr>
          <w:rFonts w:cs="Arial"/>
        </w:rPr>
      </w:pPr>
      <w:r w:rsidRPr="007223F2">
        <w:rPr>
          <w:rFonts w:cs="Arial"/>
        </w:rPr>
        <w:t>The PECs of bromadiolone in soil arising from the various usage scenarios (in and around buildings, open areas and waste dumps) are considered, as follows: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In and around buildings</w:t>
      </w:r>
    </w:p>
    <w:p w:rsidR="00BA7C2C" w:rsidRPr="007223F2" w:rsidRDefault="00BA7C2C" w:rsidP="00BA7C2C">
      <w:pPr>
        <w:rPr>
          <w:rFonts w:cs="Arial"/>
        </w:rPr>
      </w:pPr>
      <w:r w:rsidRPr="007223F2">
        <w:rPr>
          <w:rFonts w:cs="Arial"/>
        </w:rPr>
        <w:t>The PEC of bromadiolone in soil is considered for uses in and around buildings as follows:</w:t>
      </w:r>
    </w:p>
    <w:p w:rsidR="00BA7C2C" w:rsidRPr="007223F2" w:rsidRDefault="00BA7C2C" w:rsidP="00BA7C2C">
      <w:pPr>
        <w:rPr>
          <w:rFonts w:cs="Arial"/>
        </w:rPr>
      </w:pPr>
      <w:r w:rsidRPr="007223F2">
        <w:rPr>
          <w:rFonts w:cs="Arial"/>
        </w:rPr>
        <w:t xml:space="preserve">Exposure of the terrestrial compartment (soil) will occur when MAKI PAT’ is deployed outdoors. EUBEES 2 considers a scenario that entails outdoor baiting with bait blocks around a farm building. In this situation, exposure is assumed to arise through a combination of transfer (direct release) and deposition </w:t>
      </w:r>
      <w:r w:rsidRPr="007223F2">
        <w:rPr>
          <w:rFonts w:cs="Arial"/>
          <w:i/>
        </w:rPr>
        <w:t>via</w:t>
      </w:r>
      <w:r w:rsidRPr="007223F2">
        <w:rPr>
          <w:rFonts w:cs="Arial"/>
        </w:rPr>
        <w:t xml:space="preserve"> urine and faeces (disperse release) onto soil. The EUBEES 2 scenario for blocks is considered to be appropriate for paste baits.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Direct release is estimated to amount to 1.0% of the total bait deployment during the entire campaign, concentrated within </w:t>
      </w:r>
      <w:smartTag w:uri="urn:schemas-microsoft-com:office:smarttags" w:element="metricconverter">
        <w:smartTagPr>
          <w:attr w:name="ProductID" w:val="10ﾠcm"/>
        </w:smartTagPr>
        <w:r w:rsidRPr="007223F2">
          <w:rPr>
            <w:rFonts w:cs="Arial"/>
          </w:rPr>
          <w:t>10 cm</w:t>
        </w:r>
      </w:smartTag>
      <w:r w:rsidRPr="007223F2">
        <w:rPr>
          <w:rFonts w:cs="Arial"/>
        </w:rPr>
        <w:t xml:space="preserve"> of the individual secured bait points. However, since MAKI PAT’ is applied in packaging, the release is anticipated to be lower and a direct release of 0.1% is assumed to be more realistic. Similarly, EUBEES 2 considers that 90% of the total amount of rodenticide consumed by the target rodents over the duration of the outdoor baiting campaign enters soil via urine and faeces. In the case of bromadiolone, however, this is reduced to 22% in view of the extensive metabolism seen in a study with rats (see Doc. III</w:t>
      </w:r>
      <w:r w:rsidRPr="007223F2">
        <w:rPr>
          <w:rFonts w:cs="Arial"/>
        </w:rPr>
        <w:noBreakHyphen/>
        <w:t>A, Section 6.2</w:t>
      </w:r>
      <w:r w:rsidRPr="007223F2">
        <w:rPr>
          <w:rFonts w:cs="Arial"/>
        </w:rPr>
        <w:noBreakHyphen/>
        <w:t>01 of the Assessment Report for bromadiolone). This study is summarised below:</w:t>
      </w:r>
    </w:p>
    <w:p w:rsidR="00BA7C2C" w:rsidRPr="007223F2" w:rsidRDefault="00BA7C2C" w:rsidP="00BA7C2C">
      <w:pPr>
        <w:rPr>
          <w:rFonts w:cs="Arial"/>
        </w:rPr>
      </w:pPr>
    </w:p>
    <w:p w:rsidR="00BA7C2C" w:rsidRPr="007223F2" w:rsidRDefault="00BA7C2C" w:rsidP="00BA7C2C">
      <w:pPr>
        <w:rPr>
          <w:rFonts w:cs="Arial"/>
          <w:i/>
        </w:rPr>
      </w:pPr>
      <w:r w:rsidRPr="007223F2">
        <w:rPr>
          <w:rFonts w:cs="Arial"/>
          <w:i/>
        </w:rPr>
        <w:t xml:space="preserve">Groups of male rats were dosed orally with </w:t>
      </w:r>
      <w:r w:rsidRPr="007223F2">
        <w:rPr>
          <w:rFonts w:cs="Arial"/>
          <w:i/>
          <w:vertAlign w:val="superscript"/>
        </w:rPr>
        <w:t>14</w:t>
      </w:r>
      <w:r w:rsidRPr="007223F2">
        <w:rPr>
          <w:rFonts w:cs="Arial"/>
          <w:i/>
        </w:rPr>
        <w:t xml:space="preserve">C-bromadiolone on a single occasion at a level of 5.0 mg/kg bw. Three areas were investigated, mass balance, biliary excretion and protein binding.  Samples of urine, faeces and bile (from cannulated rats) were collected up to sacrifice at 48 hours after dosing. Blood was collected </w:t>
      </w:r>
      <w:smartTag w:uri="urn:schemas-microsoft-com:office:smarttags" w:element="time">
        <w:smartTagPr>
          <w:attr w:name="Minute" w:val="0"/>
          <w:attr w:name="Hour" w:val="13"/>
        </w:smartTagPr>
        <w:r w:rsidRPr="007223F2">
          <w:rPr>
            <w:rFonts w:cs="Arial"/>
            <w:i/>
          </w:rPr>
          <w:t>at 1,</w:t>
        </w:r>
      </w:smartTag>
      <w:r w:rsidRPr="007223F2">
        <w:rPr>
          <w:rFonts w:cs="Arial"/>
          <w:i/>
        </w:rPr>
        <w:t xml:space="preserve"> 2 and 4 hours after dosing.  Extracts were prepared from faeces and gastro-intestinal tract samples. At 1, 2 and 4 hours after dosing radioactivity was extensively (&gt;98.8%) bound to plasma proteins. No change in the degree of binding was observed up to 4 hours. The only tissue sample examined was the gastro-intestinal tract; radioactivity in the G.I tract at 48 hours accounted for 18.0% of the administered dose. Distribution in other tissues or loss in expired carbon dioxide was not measured in the study, hence no exact oral absorption value could be set. Faecal excretion accounted for 53.3% of the radioactive dose after 48 hours while only 0.86% of dose was present in the urine in the first 48 hours following dosing. Radioactivity in the bile duct of cannulated rats accounted for 46.5% of the dose after 48 hours, with urine and faeces from these animals containing 19.4% of the dose. Bromadiolone was rapidly absorbed by rats.  Absorbed radioactivity was excreted relatively slowly and almost entirely via the bile and faeces. Urinary excretion represented a minor route of elimination.  Analysis of faecal and gastro-intestinal tract </w:t>
      </w:r>
      <w:r w:rsidRPr="007223F2">
        <w:rPr>
          <w:rFonts w:cs="Arial"/>
          <w:i/>
        </w:rPr>
        <w:lastRenderedPageBreak/>
        <w:t>extracts showed a single major metabolite, up to 10 minor components and polar radioactivity remaining at the origin of the TLC plate plus unchanged bromadiolone. The unchanged parent, bromadiolone, accounted for ca 22% of the dose in faeces and a further ca 6% of the dose in the G.I. tract.  The single major metabolite accounted for ca 15% of the dose in the faeces and ca 4% of the dose in the G.I. tract. Polar radioactivity accounted for &gt; 80% of the sample radioactivity in bile. Treatment of bile with β-glucuronidase reduced the polar fraction to 45% of the sample radioactivity, with unchanged bromadiolone and the single major metabolite amongst the components released. MS analysis suggested the single metabolite was a hydroxylated anologue of bromadiolone; hydroxylation was proposed on the benzylic carbon atom.  This is consistent with other similar molecules in the AVK class.  None of the metabolites of this class of compounds has been shown to be more, or as, toxic as the unchanged parent.</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The maximum application rate for MAKI PAT’ containing 50 mg bromadiolone/kg entails the deployment of </w:t>
      </w:r>
      <w:smartTag w:uri="urn:schemas-microsoft-com:office:smarttags" w:element="metricconverter">
        <w:smartTagPr>
          <w:attr w:name="ProductID" w:val="240ﾠg"/>
        </w:smartTagPr>
        <w:r w:rsidRPr="007223F2">
          <w:rPr>
            <w:rFonts w:cs="Arial"/>
          </w:rPr>
          <w:t>240 g</w:t>
        </w:r>
      </w:smartTag>
      <w:r w:rsidRPr="007223F2">
        <w:rPr>
          <w:rFonts w:cs="Arial"/>
        </w:rPr>
        <w:t xml:space="preserve"> bait in each of ten secured bait points spaced </w:t>
      </w:r>
      <w:smartTag w:uri="urn:schemas-microsoft-com:office:smarttags" w:element="metricconverter">
        <w:smartTagPr>
          <w:attr w:name="ProductID" w:val="5ﾠm"/>
        </w:smartTagPr>
        <w:r w:rsidRPr="007223F2">
          <w:rPr>
            <w:rFonts w:cs="Arial"/>
          </w:rPr>
          <w:t>5 m</w:t>
        </w:r>
      </w:smartTag>
      <w:r w:rsidRPr="007223F2">
        <w:rPr>
          <w:rFonts w:cs="Arial"/>
        </w:rPr>
        <w:t xml:space="preserve"> apart against a </w:t>
      </w:r>
      <w:smartTag w:uri="urn:schemas-microsoft-com:office:smarttags" w:element="metricconverter">
        <w:smartTagPr>
          <w:attr w:name="ProductID" w:val="55ﾠm"/>
        </w:smartTagPr>
        <w:r w:rsidRPr="007223F2">
          <w:rPr>
            <w:rFonts w:cs="Arial"/>
          </w:rPr>
          <w:t>55 m</w:t>
        </w:r>
      </w:smartTag>
      <w:r w:rsidRPr="007223F2">
        <w:rPr>
          <w:rFonts w:cs="Arial"/>
        </w:rPr>
        <w:t xml:space="preserve"> length of external wall. EUBEES 2 assumes that direct release is concentrated in a </w:t>
      </w:r>
      <w:smartTag w:uri="urn:schemas-microsoft-com:office:smarttags" w:element="metricconverter">
        <w:smartTagPr>
          <w:attr w:name="ProductID" w:val="10ﾠcm"/>
        </w:smartTagPr>
        <w:r w:rsidRPr="007223F2">
          <w:rPr>
            <w:rFonts w:cs="Arial"/>
          </w:rPr>
          <w:t>10 cm</w:t>
        </w:r>
      </w:smartTag>
      <w:r w:rsidRPr="007223F2">
        <w:rPr>
          <w:rFonts w:cs="Arial"/>
        </w:rPr>
        <w:t xml:space="preserve"> strip in front of and to both sides of each bait point (0.09 m</w:t>
      </w:r>
      <w:r w:rsidRPr="007223F2">
        <w:rPr>
          <w:rFonts w:cs="Arial"/>
          <w:vertAlign w:val="superscript"/>
        </w:rPr>
        <w:t>2</w:t>
      </w:r>
      <w:r w:rsidRPr="007223F2">
        <w:rPr>
          <w:rFonts w:cs="Arial"/>
        </w:rPr>
        <w:t xml:space="preserve">). Based on penetration to a depth of </w:t>
      </w:r>
      <w:smartTag w:uri="urn:schemas-microsoft-com:office:smarttags" w:element="metricconverter">
        <w:smartTagPr>
          <w:attr w:name="ProductID" w:val="10ﾠcm"/>
        </w:smartTagPr>
        <w:r w:rsidRPr="007223F2">
          <w:rPr>
            <w:rFonts w:cs="Arial"/>
          </w:rPr>
          <w:t>10 cm</w:t>
        </w:r>
      </w:smartTag>
      <w:r w:rsidRPr="007223F2">
        <w:rPr>
          <w:rFonts w:cs="Arial"/>
        </w:rPr>
        <w:t xml:space="preserve"> and a bulk soil density of 1700 kg/m3, the mass of soil affected by the direct release around each secured bait point is 15.3 kg. To estimate the concentration of bromadiolone in soil arising from disperse release, it is assumed that most of the activity of the target rodents is confined to a strip of ground running along the length of the baited wall and extending to </w:t>
      </w:r>
      <w:smartTag w:uri="urn:schemas-microsoft-com:office:smarttags" w:element="metricconverter">
        <w:smartTagPr>
          <w:attr w:name="ProductID" w:val="10ﾠm"/>
        </w:smartTagPr>
        <w:r w:rsidRPr="007223F2">
          <w:rPr>
            <w:rFonts w:cs="Arial"/>
          </w:rPr>
          <w:t>10 m</w:t>
        </w:r>
      </w:smartTag>
      <w:r w:rsidRPr="007223F2">
        <w:rPr>
          <w:rFonts w:cs="Arial"/>
        </w:rPr>
        <w:t xml:space="preserve"> in front of it (presenting an area of </w:t>
      </w:r>
      <w:smartTag w:uri="urn:schemas-microsoft-com:office:smarttags" w:element="metricconverter">
        <w:smartTagPr>
          <w:attr w:name="ProductID" w:val="550ﾠm2"/>
        </w:smartTagPr>
        <w:r w:rsidRPr="007223F2">
          <w:rPr>
            <w:rFonts w:cs="Arial"/>
          </w:rPr>
          <w:t>550 m2</w:t>
        </w:r>
      </w:smartTag>
      <w:r w:rsidRPr="007223F2">
        <w:rPr>
          <w:rFonts w:cs="Arial"/>
        </w:rPr>
        <w:t xml:space="preserve">). Based on the depth and soil density values used above, the mass of soil receiving disperse inputs is 93,500 kg.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EUBEES 2 considers two levels of baiting. In the first, described as the “realistic worst-case”, the campaign lasts 21 days and secured bait points (initially filled on day 1 and repeatedly and completely emptied by the target rodents) are refilled on days 3, 7, 14 and </w:t>
      </w:r>
      <w:smartTag w:uri="urn:schemas-microsoft-com:office:smarttags" w:element="metricconverter">
        <w:smartTagPr>
          <w:attr w:name="ProductID" w:val="21. In"/>
        </w:smartTagPr>
        <w:r w:rsidRPr="007223F2">
          <w:rPr>
            <w:rFonts w:cs="Arial"/>
          </w:rPr>
          <w:t>21. In</w:t>
        </w:r>
      </w:smartTag>
      <w:r w:rsidRPr="007223F2">
        <w:rPr>
          <w:rFonts w:cs="Arial"/>
        </w:rPr>
        <w:t xml:space="preserve"> the other, “typical” scenario, bait consumption progressively declines as the campaign proceeds, such that the replenishments made on days 3, 7, 14 and 21 represent 100%, 25-50%, 10% and 0%, respectively, of the quantity initially deployed on day 1. It should be noted that the “typical” scenario is more representative of the consumption pattern for a potent anticoagulant rodenticide such as bromadiolone, as demonstrated by field studies.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In both scenarios, the direct and disperse bromadiolone releases (Elocal</w:t>
      </w:r>
      <w:r w:rsidRPr="007223F2">
        <w:rPr>
          <w:rFonts w:cs="Arial"/>
          <w:vertAlign w:val="subscript"/>
        </w:rPr>
        <w:t>soil</w:t>
      </w:r>
      <w:r w:rsidRPr="007223F2">
        <w:rPr>
          <w:rFonts w:cs="Arial"/>
        </w:rPr>
        <w:t xml:space="preserve">, mg) to the relevant soil surfaces may be calculated according to: </w:t>
      </w:r>
    </w:p>
    <w:p w:rsidR="00BA7C2C" w:rsidRPr="007223F2" w:rsidRDefault="00BA7C2C" w:rsidP="00BA7C2C">
      <w:pPr>
        <w:rPr>
          <w:rFonts w:cs="Arial"/>
        </w:rPr>
      </w:pPr>
      <w:r w:rsidRPr="007223F2">
        <w:rPr>
          <w:rFonts w:cs="Arial"/>
        </w:rPr>
        <w:t>Elocal</w:t>
      </w:r>
      <w:r w:rsidRPr="007223F2">
        <w:rPr>
          <w:rFonts w:cs="Arial"/>
          <w:vertAlign w:val="subscript"/>
        </w:rPr>
        <w:t>soil</w:t>
      </w:r>
      <w:r w:rsidRPr="007223F2">
        <w:rPr>
          <w:rFonts w:cs="Arial"/>
        </w:rPr>
        <w:t xml:space="preserve"> = Q</w:t>
      </w:r>
      <w:r w:rsidRPr="007223F2">
        <w:rPr>
          <w:rFonts w:cs="Arial"/>
          <w:vertAlign w:val="subscript"/>
        </w:rPr>
        <w:t>prod</w:t>
      </w:r>
      <w:r w:rsidRPr="007223F2">
        <w:rPr>
          <w:rFonts w:cs="Arial"/>
        </w:rPr>
        <w:t> × Fc</w:t>
      </w:r>
      <w:r w:rsidRPr="007223F2">
        <w:rPr>
          <w:rFonts w:cs="Arial"/>
          <w:vertAlign w:val="subscript"/>
        </w:rPr>
        <w:t>prod</w:t>
      </w:r>
      <w:r w:rsidRPr="007223F2">
        <w:rPr>
          <w:rFonts w:cs="Arial"/>
        </w:rPr>
        <w:t> × N</w:t>
      </w:r>
      <w:r w:rsidRPr="007223F2">
        <w:rPr>
          <w:rFonts w:cs="Arial"/>
          <w:vertAlign w:val="subscript"/>
        </w:rPr>
        <w:t>sites</w:t>
      </w:r>
      <w:r w:rsidRPr="007223F2">
        <w:rPr>
          <w:rFonts w:cs="Arial"/>
        </w:rPr>
        <w:t> × N</w:t>
      </w:r>
      <w:r w:rsidRPr="007223F2">
        <w:rPr>
          <w:rFonts w:cs="Arial"/>
          <w:vertAlign w:val="subscript"/>
        </w:rPr>
        <w:t>refill</w:t>
      </w:r>
      <w:r w:rsidRPr="007223F2">
        <w:rPr>
          <w:rFonts w:cs="Arial"/>
        </w:rPr>
        <w:t> × F</w:t>
      </w:r>
      <w:r w:rsidRPr="007223F2">
        <w:rPr>
          <w:rFonts w:cs="Arial"/>
          <w:vertAlign w:val="subscript"/>
        </w:rPr>
        <w:t>release, soil</w:t>
      </w:r>
      <w:r w:rsidRPr="007223F2">
        <w:rPr>
          <w:rFonts w:cs="Arial"/>
        </w:rPr>
        <w:t xml:space="preserve">, </w:t>
      </w:r>
    </w:p>
    <w:p w:rsidR="00BA7C2C" w:rsidRPr="007223F2" w:rsidRDefault="00BA7C2C" w:rsidP="00BA7C2C">
      <w:pPr>
        <w:rPr>
          <w:rFonts w:cs="Arial"/>
        </w:rPr>
      </w:pPr>
      <w:r w:rsidRPr="007223F2">
        <w:rPr>
          <w:rFonts w:cs="Arial"/>
        </w:rPr>
        <w:t xml:space="preserve">where: </w:t>
      </w:r>
    </w:p>
    <w:p w:rsidR="00BA7C2C" w:rsidRPr="007223F2" w:rsidRDefault="00BA7C2C" w:rsidP="00BA7C2C">
      <w:pPr>
        <w:rPr>
          <w:rFonts w:cs="Arial"/>
        </w:rPr>
      </w:pPr>
      <w:r w:rsidRPr="007223F2">
        <w:rPr>
          <w:rFonts w:cs="Arial"/>
        </w:rPr>
        <w:t>Q</w:t>
      </w:r>
      <w:r w:rsidRPr="007223F2">
        <w:rPr>
          <w:rFonts w:cs="Arial"/>
          <w:vertAlign w:val="subscript"/>
        </w:rPr>
        <w:t>prod</w:t>
      </w:r>
      <w:r w:rsidRPr="007223F2">
        <w:rPr>
          <w:rFonts w:cs="Arial"/>
        </w:rPr>
        <w:tab/>
        <w:t>= weight of MAKI PAT’ (</w:t>
      </w:r>
      <w:smartTag w:uri="urn:schemas-microsoft-com:office:smarttags" w:element="metricconverter">
        <w:smartTagPr>
          <w:attr w:name="ProductID" w:val="240ﾠg"/>
        </w:smartTagPr>
        <w:r w:rsidRPr="007223F2">
          <w:rPr>
            <w:rFonts w:cs="Arial"/>
          </w:rPr>
          <w:t>240 g</w:t>
        </w:r>
      </w:smartTag>
      <w:r w:rsidRPr="007223F2">
        <w:rPr>
          <w:rFonts w:cs="Arial"/>
        </w:rPr>
        <w:t>) per secured bait point;</w:t>
      </w:r>
      <w:r w:rsidRPr="007223F2">
        <w:rPr>
          <w:rFonts w:cs="Arial"/>
        </w:rPr>
        <w:br/>
        <w:t>Fc</w:t>
      </w:r>
      <w:r w:rsidRPr="007223F2">
        <w:rPr>
          <w:rFonts w:cs="Arial"/>
          <w:vertAlign w:val="subscript"/>
        </w:rPr>
        <w:t>prod</w:t>
      </w:r>
      <w:r w:rsidRPr="007223F2">
        <w:rPr>
          <w:rFonts w:cs="Arial"/>
        </w:rPr>
        <w:tab/>
        <w:t>= concentration of bromadiolone in the paste bait (0.050 mg/g);</w:t>
      </w:r>
      <w:r w:rsidRPr="007223F2">
        <w:rPr>
          <w:rFonts w:cs="Arial"/>
        </w:rPr>
        <w:br/>
        <w:t>N</w:t>
      </w:r>
      <w:r w:rsidRPr="007223F2">
        <w:rPr>
          <w:rFonts w:cs="Arial"/>
          <w:vertAlign w:val="subscript"/>
        </w:rPr>
        <w:t>sites</w:t>
      </w:r>
      <w:r w:rsidRPr="007223F2">
        <w:rPr>
          <w:rFonts w:cs="Arial"/>
        </w:rPr>
        <w:tab/>
        <w:t xml:space="preserve">= number of secured bait points (10); </w:t>
      </w:r>
      <w:r w:rsidRPr="007223F2">
        <w:rPr>
          <w:rFonts w:cs="Arial"/>
        </w:rPr>
        <w:br/>
        <w:t>N</w:t>
      </w:r>
      <w:r w:rsidRPr="007223F2">
        <w:rPr>
          <w:rFonts w:cs="Arial"/>
          <w:vertAlign w:val="subscript"/>
        </w:rPr>
        <w:t>refill</w:t>
      </w:r>
      <w:r w:rsidRPr="007223F2">
        <w:rPr>
          <w:rFonts w:cs="Arial"/>
        </w:rPr>
        <w:tab/>
        <w:t>= number of refills during the campaign (</w:t>
      </w:r>
      <w:smartTag w:uri="urn:schemas-microsoft-com:office:smarttags" w:element="metricconverter">
        <w:smartTagPr>
          <w:attr w:name="ProductID" w:val="5 in"/>
        </w:smartTagPr>
        <w:r w:rsidRPr="007223F2">
          <w:rPr>
            <w:rFonts w:cs="Arial"/>
          </w:rPr>
          <w:t>5 in</w:t>
        </w:r>
      </w:smartTag>
      <w:r w:rsidRPr="007223F2">
        <w:rPr>
          <w:rFonts w:cs="Arial"/>
        </w:rPr>
        <w:t xml:space="preserve"> “realistic worst-case” and </w:t>
      </w:r>
      <w:smartTag w:uri="urn:schemas-microsoft-com:office:smarttags" w:element="metricconverter">
        <w:smartTagPr>
          <w:attr w:name="ProductID" w:val="1.5 in"/>
        </w:smartTagPr>
        <w:r w:rsidRPr="007223F2">
          <w:rPr>
            <w:rFonts w:cs="Arial"/>
          </w:rPr>
          <w:t>1.5 in</w:t>
        </w:r>
      </w:smartTag>
      <w:r w:rsidRPr="007223F2">
        <w:rPr>
          <w:rFonts w:cs="Arial"/>
        </w:rPr>
        <w:t xml:space="preserve"> “typical” scenario)</w:t>
      </w:r>
      <w:r w:rsidRPr="007223F2">
        <w:rPr>
          <w:rFonts w:cs="Arial"/>
        </w:rPr>
        <w:br/>
        <w:t>F</w:t>
      </w:r>
      <w:r w:rsidRPr="007223F2">
        <w:rPr>
          <w:rFonts w:cs="Arial"/>
          <w:vertAlign w:val="subscript"/>
        </w:rPr>
        <w:t>release, soil</w:t>
      </w:r>
      <w:r w:rsidRPr="007223F2">
        <w:rPr>
          <w:rFonts w:cs="Arial"/>
        </w:rPr>
        <w:tab/>
        <w:t>= fraction released to soil (0.001 for direct release and 0.22 for disperse release).</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lastRenderedPageBreak/>
        <w:t>Concentrations of bromadiolone in soil following baiting around buildings with MAKI PAT’</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2126"/>
        <w:gridCol w:w="1861"/>
        <w:gridCol w:w="1825"/>
        <w:gridCol w:w="1559"/>
      </w:tblGrid>
      <w:tr w:rsidR="00BA7C2C" w:rsidRPr="007223F2" w:rsidTr="00613EE2">
        <w:trPr>
          <w:cantSplit/>
          <w:trHeight w:val="233"/>
        </w:trPr>
        <w:tc>
          <w:tcPr>
            <w:tcW w:w="1857" w:type="dxa"/>
            <w:vMerge w:val="restart"/>
          </w:tcPr>
          <w:p w:rsidR="00BA7C2C" w:rsidRPr="007223F2" w:rsidRDefault="00BA7C2C" w:rsidP="00613EE2">
            <w:pPr>
              <w:rPr>
                <w:rFonts w:cs="Arial"/>
                <w:b/>
              </w:rPr>
            </w:pPr>
            <w:r w:rsidRPr="007223F2">
              <w:rPr>
                <w:rFonts w:cs="Arial"/>
                <w:b/>
              </w:rPr>
              <w:t>Baiting scenario (EUBEES 2)</w:t>
            </w:r>
          </w:p>
        </w:tc>
        <w:tc>
          <w:tcPr>
            <w:tcW w:w="2126" w:type="dxa"/>
            <w:vMerge w:val="restart"/>
          </w:tcPr>
          <w:p w:rsidR="00BA7C2C" w:rsidRPr="007223F2" w:rsidRDefault="00BA7C2C" w:rsidP="00613EE2">
            <w:pPr>
              <w:rPr>
                <w:rFonts w:cs="Arial"/>
                <w:b/>
              </w:rPr>
            </w:pPr>
            <w:r w:rsidRPr="007223F2">
              <w:rPr>
                <w:rFonts w:cs="Arial"/>
                <w:b/>
              </w:rPr>
              <w:t>Direct release</w:t>
            </w:r>
            <w:r w:rsidRPr="007223F2">
              <w:rPr>
                <w:rFonts w:cs="Arial"/>
                <w:b/>
              </w:rPr>
              <w:br/>
              <w:t>(mg/0.09 m</w:t>
            </w:r>
            <w:r w:rsidRPr="007223F2">
              <w:rPr>
                <w:rFonts w:cs="Arial"/>
                <w:b/>
                <w:vertAlign w:val="superscript"/>
              </w:rPr>
              <w:t>2</w:t>
            </w:r>
            <w:r w:rsidRPr="007223F2">
              <w:rPr>
                <w:rFonts w:cs="Arial"/>
                <w:b/>
              </w:rPr>
              <w:t>)</w:t>
            </w:r>
          </w:p>
        </w:tc>
        <w:tc>
          <w:tcPr>
            <w:tcW w:w="1861" w:type="dxa"/>
            <w:vMerge w:val="restart"/>
          </w:tcPr>
          <w:p w:rsidR="00BA7C2C" w:rsidRPr="007223F2" w:rsidRDefault="00BA7C2C" w:rsidP="00613EE2">
            <w:pPr>
              <w:rPr>
                <w:rFonts w:cs="Arial"/>
                <w:b/>
              </w:rPr>
            </w:pPr>
            <w:r w:rsidRPr="007223F2">
              <w:rPr>
                <w:rFonts w:cs="Arial"/>
                <w:b/>
              </w:rPr>
              <w:t>Disperse release</w:t>
            </w:r>
            <w:r w:rsidRPr="007223F2">
              <w:rPr>
                <w:rFonts w:cs="Arial"/>
                <w:b/>
              </w:rPr>
              <w:br/>
              <w:t>(mg/550 m</w:t>
            </w:r>
            <w:r w:rsidRPr="007223F2">
              <w:rPr>
                <w:rFonts w:cs="Arial"/>
                <w:b/>
                <w:vertAlign w:val="superscript"/>
              </w:rPr>
              <w:t>2</w:t>
            </w:r>
            <w:r w:rsidRPr="007223F2">
              <w:rPr>
                <w:rFonts w:cs="Arial"/>
                <w:b/>
              </w:rPr>
              <w:t>)</w:t>
            </w:r>
          </w:p>
        </w:tc>
        <w:tc>
          <w:tcPr>
            <w:tcW w:w="3384" w:type="dxa"/>
            <w:gridSpan w:val="2"/>
          </w:tcPr>
          <w:p w:rsidR="00BA7C2C" w:rsidRPr="007223F2" w:rsidRDefault="00BA7C2C" w:rsidP="00613EE2">
            <w:pPr>
              <w:rPr>
                <w:rFonts w:cs="Arial"/>
                <w:b/>
              </w:rPr>
            </w:pPr>
            <w:r w:rsidRPr="007223F2">
              <w:rPr>
                <w:rFonts w:cs="Arial"/>
                <w:b/>
              </w:rPr>
              <w:t>PECsoil (mg bromadiolone/kg ww)</w:t>
            </w:r>
            <w:r w:rsidRPr="007223F2">
              <w:rPr>
                <w:rFonts w:cs="Arial"/>
                <w:b/>
                <w:vertAlign w:val="superscript"/>
              </w:rPr>
              <w:t>a</w:t>
            </w:r>
          </w:p>
        </w:tc>
      </w:tr>
      <w:tr w:rsidR="00BA7C2C" w:rsidRPr="007223F2" w:rsidTr="00613EE2">
        <w:trPr>
          <w:cantSplit/>
          <w:trHeight w:val="232"/>
        </w:trPr>
        <w:tc>
          <w:tcPr>
            <w:tcW w:w="1857" w:type="dxa"/>
            <w:vMerge/>
          </w:tcPr>
          <w:p w:rsidR="00BA7C2C" w:rsidRPr="007223F2" w:rsidRDefault="00BA7C2C" w:rsidP="00613EE2">
            <w:pPr>
              <w:keepNext/>
              <w:spacing w:before="40" w:after="40" w:line="240" w:lineRule="auto"/>
              <w:rPr>
                <w:rFonts w:cs="Arial"/>
                <w:b/>
              </w:rPr>
            </w:pPr>
          </w:p>
        </w:tc>
        <w:tc>
          <w:tcPr>
            <w:tcW w:w="2126" w:type="dxa"/>
            <w:vMerge/>
          </w:tcPr>
          <w:p w:rsidR="00BA7C2C" w:rsidRPr="007223F2" w:rsidRDefault="00BA7C2C" w:rsidP="00613EE2">
            <w:pPr>
              <w:pStyle w:val="TableTextcenterbold"/>
              <w:jc w:val="left"/>
              <w:rPr>
                <w:rFonts w:ascii="Arial" w:hAnsi="Arial" w:cs="Arial"/>
                <w:spacing w:val="0"/>
              </w:rPr>
            </w:pPr>
          </w:p>
        </w:tc>
        <w:tc>
          <w:tcPr>
            <w:tcW w:w="1861" w:type="dxa"/>
            <w:vMerge/>
          </w:tcPr>
          <w:p w:rsidR="00BA7C2C" w:rsidRPr="007223F2" w:rsidRDefault="00BA7C2C" w:rsidP="00613EE2">
            <w:pPr>
              <w:pStyle w:val="TableTextcenterbold"/>
              <w:jc w:val="left"/>
              <w:rPr>
                <w:rFonts w:ascii="Arial" w:hAnsi="Arial" w:cs="Arial"/>
                <w:spacing w:val="0"/>
              </w:rPr>
            </w:pPr>
          </w:p>
        </w:tc>
        <w:tc>
          <w:tcPr>
            <w:tcW w:w="1825" w:type="dxa"/>
          </w:tcPr>
          <w:p w:rsidR="00BA7C2C" w:rsidRPr="007223F2" w:rsidRDefault="00BA7C2C" w:rsidP="00613EE2">
            <w:pPr>
              <w:rPr>
                <w:rFonts w:cs="Arial"/>
                <w:b/>
              </w:rPr>
            </w:pPr>
            <w:r w:rsidRPr="007223F2">
              <w:rPr>
                <w:rFonts w:cs="Arial"/>
                <w:b/>
              </w:rPr>
              <w:t>mean</w:t>
            </w:r>
            <w:r w:rsidRPr="007223F2">
              <w:rPr>
                <w:rFonts w:cs="Arial"/>
                <w:b/>
                <w:vertAlign w:val="superscript"/>
              </w:rPr>
              <w:t>b</w:t>
            </w:r>
          </w:p>
        </w:tc>
        <w:tc>
          <w:tcPr>
            <w:tcW w:w="1559" w:type="dxa"/>
          </w:tcPr>
          <w:p w:rsidR="00BA7C2C" w:rsidRPr="007223F2" w:rsidRDefault="00BA7C2C" w:rsidP="00613EE2">
            <w:pPr>
              <w:rPr>
                <w:rFonts w:cs="Arial"/>
                <w:b/>
              </w:rPr>
            </w:pPr>
            <w:r w:rsidRPr="007223F2">
              <w:rPr>
                <w:rFonts w:cs="Arial"/>
                <w:b/>
              </w:rPr>
              <w:t>max</w:t>
            </w:r>
            <w:r w:rsidRPr="007223F2">
              <w:rPr>
                <w:rFonts w:cs="Arial"/>
                <w:b/>
                <w:vertAlign w:val="superscript"/>
              </w:rPr>
              <w:t>c</w:t>
            </w:r>
          </w:p>
        </w:tc>
      </w:tr>
      <w:tr w:rsidR="00BA7C2C" w:rsidRPr="007223F2" w:rsidTr="00613EE2">
        <w:tc>
          <w:tcPr>
            <w:tcW w:w="1857" w:type="dxa"/>
          </w:tcPr>
          <w:p w:rsidR="00BA7C2C" w:rsidRPr="007223F2" w:rsidRDefault="00BA7C2C" w:rsidP="00613EE2">
            <w:pPr>
              <w:rPr>
                <w:rFonts w:cs="Arial"/>
              </w:rPr>
            </w:pPr>
            <w:r w:rsidRPr="007223F2">
              <w:rPr>
                <w:rFonts w:cs="Arial"/>
              </w:rPr>
              <w:t>Realistic worst-case</w:t>
            </w:r>
          </w:p>
        </w:tc>
        <w:tc>
          <w:tcPr>
            <w:tcW w:w="2126" w:type="dxa"/>
          </w:tcPr>
          <w:p w:rsidR="00BA7C2C" w:rsidRPr="007223F2" w:rsidRDefault="00BA7C2C" w:rsidP="00613EE2">
            <w:pPr>
              <w:rPr>
                <w:rFonts w:cs="Arial"/>
              </w:rPr>
            </w:pPr>
            <w:r w:rsidRPr="007223F2">
              <w:rPr>
                <w:rFonts w:cs="Arial"/>
              </w:rPr>
              <w:t>0.60</w:t>
            </w:r>
          </w:p>
        </w:tc>
        <w:tc>
          <w:tcPr>
            <w:tcW w:w="1861" w:type="dxa"/>
          </w:tcPr>
          <w:p w:rsidR="00BA7C2C" w:rsidRPr="007223F2" w:rsidRDefault="00BA7C2C" w:rsidP="00613EE2">
            <w:pPr>
              <w:rPr>
                <w:rFonts w:cs="Arial"/>
              </w:rPr>
            </w:pPr>
            <w:r w:rsidRPr="007223F2">
              <w:rPr>
                <w:rFonts w:cs="Arial"/>
              </w:rPr>
              <w:t>132.0</w:t>
            </w:r>
          </w:p>
        </w:tc>
        <w:tc>
          <w:tcPr>
            <w:tcW w:w="1825" w:type="dxa"/>
          </w:tcPr>
          <w:p w:rsidR="00BA7C2C" w:rsidRPr="007223F2" w:rsidRDefault="00BA7C2C" w:rsidP="00613EE2">
            <w:pPr>
              <w:rPr>
                <w:rFonts w:cs="Arial"/>
              </w:rPr>
            </w:pPr>
            <w:r w:rsidRPr="007223F2">
              <w:rPr>
                <w:rFonts w:cs="Arial"/>
              </w:rPr>
              <w:t>0.0014</w:t>
            </w:r>
          </w:p>
        </w:tc>
        <w:tc>
          <w:tcPr>
            <w:tcW w:w="1559" w:type="dxa"/>
          </w:tcPr>
          <w:p w:rsidR="00BA7C2C" w:rsidRPr="007223F2" w:rsidRDefault="00BA7C2C" w:rsidP="00613EE2">
            <w:pPr>
              <w:rPr>
                <w:rFonts w:cs="Arial"/>
              </w:rPr>
            </w:pPr>
            <w:r w:rsidRPr="007223F2">
              <w:rPr>
                <w:rFonts w:cs="Arial"/>
              </w:rPr>
              <w:t>0.0053</w:t>
            </w:r>
          </w:p>
        </w:tc>
      </w:tr>
      <w:tr w:rsidR="00BA7C2C" w:rsidRPr="007223F2" w:rsidTr="00613EE2">
        <w:tc>
          <w:tcPr>
            <w:tcW w:w="1857" w:type="dxa"/>
            <w:tcBorders>
              <w:bottom w:val="single" w:sz="4" w:space="0" w:color="auto"/>
            </w:tcBorders>
          </w:tcPr>
          <w:p w:rsidR="00BA7C2C" w:rsidRPr="007223F2" w:rsidRDefault="00BA7C2C" w:rsidP="00613EE2">
            <w:pPr>
              <w:rPr>
                <w:rFonts w:cs="Arial"/>
              </w:rPr>
            </w:pPr>
            <w:r w:rsidRPr="007223F2">
              <w:rPr>
                <w:rFonts w:cs="Arial"/>
              </w:rPr>
              <w:t>Typical</w:t>
            </w:r>
          </w:p>
        </w:tc>
        <w:tc>
          <w:tcPr>
            <w:tcW w:w="2126" w:type="dxa"/>
            <w:tcBorders>
              <w:bottom w:val="single" w:sz="4" w:space="0" w:color="auto"/>
            </w:tcBorders>
          </w:tcPr>
          <w:p w:rsidR="00BA7C2C" w:rsidRPr="007223F2" w:rsidRDefault="00BA7C2C" w:rsidP="00613EE2">
            <w:pPr>
              <w:rPr>
                <w:rFonts w:cs="Arial"/>
              </w:rPr>
            </w:pPr>
            <w:r w:rsidRPr="007223F2">
              <w:rPr>
                <w:rFonts w:cs="Arial"/>
              </w:rPr>
              <w:t>0.18</w:t>
            </w:r>
          </w:p>
        </w:tc>
        <w:tc>
          <w:tcPr>
            <w:tcW w:w="1861" w:type="dxa"/>
            <w:tcBorders>
              <w:bottom w:val="single" w:sz="4" w:space="0" w:color="auto"/>
            </w:tcBorders>
          </w:tcPr>
          <w:p w:rsidR="00BA7C2C" w:rsidRPr="007223F2" w:rsidRDefault="00BA7C2C" w:rsidP="00613EE2">
            <w:pPr>
              <w:rPr>
                <w:rFonts w:cs="Arial"/>
              </w:rPr>
            </w:pPr>
            <w:r w:rsidRPr="007223F2">
              <w:rPr>
                <w:rFonts w:cs="Arial"/>
              </w:rPr>
              <w:t>39.6</w:t>
            </w:r>
          </w:p>
        </w:tc>
        <w:tc>
          <w:tcPr>
            <w:tcW w:w="1825" w:type="dxa"/>
            <w:tcBorders>
              <w:bottom w:val="single" w:sz="4" w:space="0" w:color="auto"/>
            </w:tcBorders>
          </w:tcPr>
          <w:p w:rsidR="00BA7C2C" w:rsidRPr="007223F2" w:rsidRDefault="00BA7C2C" w:rsidP="00613EE2">
            <w:pPr>
              <w:rPr>
                <w:rFonts w:cs="Arial"/>
              </w:rPr>
            </w:pPr>
            <w:r w:rsidRPr="007223F2">
              <w:rPr>
                <w:rFonts w:cs="Arial"/>
              </w:rPr>
              <w:t>0.0004</w:t>
            </w:r>
          </w:p>
        </w:tc>
        <w:tc>
          <w:tcPr>
            <w:tcW w:w="1559" w:type="dxa"/>
            <w:tcBorders>
              <w:bottom w:val="single" w:sz="4" w:space="0" w:color="auto"/>
            </w:tcBorders>
          </w:tcPr>
          <w:p w:rsidR="00BA7C2C" w:rsidRPr="007223F2" w:rsidRDefault="00BA7C2C" w:rsidP="00613EE2">
            <w:pPr>
              <w:rPr>
                <w:rFonts w:cs="Arial"/>
              </w:rPr>
            </w:pPr>
            <w:r w:rsidRPr="007223F2">
              <w:rPr>
                <w:rFonts w:cs="Arial"/>
              </w:rPr>
              <w:t>0.0016</w:t>
            </w:r>
          </w:p>
        </w:tc>
      </w:tr>
      <w:tr w:rsidR="00BA7C2C" w:rsidRPr="007223F2" w:rsidTr="00613EE2">
        <w:tc>
          <w:tcPr>
            <w:tcW w:w="9228" w:type="dxa"/>
            <w:gridSpan w:val="5"/>
            <w:tcBorders>
              <w:left w:val="single" w:sz="4" w:space="0" w:color="auto"/>
              <w:bottom w:val="single" w:sz="4" w:space="0" w:color="auto"/>
              <w:right w:val="single" w:sz="4" w:space="0" w:color="auto"/>
            </w:tcBorders>
          </w:tcPr>
          <w:p w:rsidR="00BA7C2C" w:rsidRPr="007223F2" w:rsidRDefault="00BA7C2C" w:rsidP="00613EE2">
            <w:pPr>
              <w:spacing w:before="40" w:after="240" w:line="240" w:lineRule="auto"/>
              <w:rPr>
                <w:rFonts w:cs="Arial"/>
              </w:rPr>
            </w:pPr>
            <w:r w:rsidRPr="007223F2">
              <w:rPr>
                <w:rFonts w:cs="Arial"/>
              </w:rPr>
              <w:t xml:space="preserve">a based on uniform distribution to </w:t>
            </w:r>
            <w:smartTag w:uri="urn:schemas-microsoft-com:office:smarttags" w:element="metricconverter">
              <w:smartTagPr>
                <w:attr w:name="ProductID" w:val="10ﾠcm"/>
              </w:smartTagPr>
              <w:r w:rsidRPr="007223F2">
                <w:rPr>
                  <w:rFonts w:cs="Arial"/>
                </w:rPr>
                <w:t>10 cm</w:t>
              </w:r>
            </w:smartTag>
            <w:r w:rsidRPr="007223F2">
              <w:rPr>
                <w:rFonts w:cs="Arial"/>
              </w:rPr>
              <w:t xml:space="preserve"> depth and wet soil bulk density of 1.7 g/cm3;</w:t>
            </w:r>
            <w:r w:rsidRPr="007223F2">
              <w:rPr>
                <w:rFonts w:cs="Arial"/>
              </w:rPr>
              <w:br/>
              <w:t>b disperse release applied to total area (</w:t>
            </w:r>
            <w:smartTag w:uri="urn:schemas-microsoft-com:office:smarttags" w:element="metricconverter">
              <w:smartTagPr>
                <w:attr w:name="ProductID" w:val="550ﾠm2"/>
              </w:smartTagPr>
              <w:r w:rsidRPr="007223F2">
                <w:rPr>
                  <w:rFonts w:cs="Arial"/>
                </w:rPr>
                <w:t>550 m2</w:t>
              </w:r>
            </w:smartTag>
            <w:r w:rsidRPr="007223F2">
              <w:rPr>
                <w:rFonts w:cs="Arial"/>
              </w:rPr>
              <w:t>);</w:t>
            </w:r>
            <w:r w:rsidRPr="007223F2">
              <w:rPr>
                <w:rFonts w:cs="Arial"/>
              </w:rPr>
              <w:br/>
              <w:t xml:space="preserve">c direct + disperse release within </w:t>
            </w:r>
            <w:smartTag w:uri="urn:schemas-microsoft-com:office:smarttags" w:element="metricconverter">
              <w:smartTagPr>
                <w:attr w:name="ProductID" w:val="10ﾠcm"/>
              </w:smartTagPr>
              <w:r w:rsidRPr="007223F2">
                <w:rPr>
                  <w:rFonts w:cs="Arial"/>
                </w:rPr>
                <w:t>10 cm</w:t>
              </w:r>
            </w:smartTag>
            <w:r w:rsidRPr="007223F2">
              <w:rPr>
                <w:rFonts w:cs="Arial"/>
              </w:rPr>
              <w:t xml:space="preserve"> in front of and to sides of each bait point.</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Clocal concentrations (PECsoil, mg bromadiolone/kg wet soil) have been calculated as indicated below. The mass of soil affected by the direct release around each secured bait point is 15.3 kg; the soil affected by indirect release around 10 bait stations is 93,500 kg.</w:t>
      </w:r>
    </w:p>
    <w:p w:rsidR="00BA7C2C" w:rsidRPr="007223F2" w:rsidRDefault="00BA7C2C" w:rsidP="00BA7C2C">
      <w:pPr>
        <w:rPr>
          <w:rFonts w:cs="Arial"/>
        </w:rPr>
      </w:pPr>
    </w:p>
    <w:p w:rsidR="00BA7C2C" w:rsidRPr="007223F2" w:rsidRDefault="00BA7C2C" w:rsidP="00BA7C2C">
      <w:pPr>
        <w:rPr>
          <w:rFonts w:cs="Arial"/>
        </w:rPr>
      </w:pPr>
      <w:r w:rsidRPr="007223F2">
        <w:rPr>
          <w:rFonts w:cs="Arial"/>
          <w:b/>
        </w:rPr>
        <w:t>Realistic worst-case (values for typical case shown in brackets)</w:t>
      </w:r>
      <w:r w:rsidRPr="007223F2">
        <w:rPr>
          <w:rFonts w:cs="Arial"/>
        </w:rPr>
        <w:t>:</w:t>
      </w:r>
    </w:p>
    <w:p w:rsidR="00BA7C2C" w:rsidRPr="007223F2" w:rsidRDefault="00BA7C2C" w:rsidP="00BA7C2C">
      <w:pPr>
        <w:rPr>
          <w:rFonts w:cs="Arial"/>
        </w:rPr>
      </w:pPr>
      <w:r w:rsidRPr="007223F2">
        <w:rPr>
          <w:rFonts w:cs="Arial"/>
        </w:rPr>
        <w:t>Direct release:</w:t>
      </w:r>
      <w:r w:rsidRPr="007223F2">
        <w:rPr>
          <w:rFonts w:cs="Arial"/>
        </w:rPr>
        <w:tab/>
        <w:t xml:space="preserve">Clocal, direct = </w:t>
      </w:r>
      <w:r w:rsidRPr="007223F2">
        <w:rPr>
          <w:rFonts w:cs="Arial"/>
          <w:position w:val="-30"/>
        </w:rPr>
        <w:object w:dxaOrig="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24" o:title=""/>
          </v:shape>
          <o:OLEObject Type="Embed" ProgID="Equation.3" ShapeID="_x0000_i1025" DrawAspect="Content" ObjectID="_1582097182" r:id="rId25"/>
        </w:object>
      </w:r>
      <w:r w:rsidRPr="007223F2">
        <w:rPr>
          <w:rFonts w:cs="Arial"/>
        </w:rPr>
        <w:t xml:space="preserve"> = 0.0039 mg/kg (0.0012 mg/kg ww);</w:t>
      </w:r>
      <w:r w:rsidRPr="007223F2">
        <w:rPr>
          <w:rFonts w:cs="Arial"/>
        </w:rPr>
        <w:tab/>
      </w:r>
    </w:p>
    <w:p w:rsidR="00BA7C2C" w:rsidRPr="007223F2" w:rsidRDefault="00BA7C2C" w:rsidP="00BA7C2C">
      <w:pPr>
        <w:rPr>
          <w:rFonts w:cs="Arial"/>
        </w:rPr>
      </w:pPr>
      <w:r w:rsidRPr="007223F2">
        <w:rPr>
          <w:rFonts w:cs="Arial"/>
        </w:rPr>
        <w:t xml:space="preserve">Indirect release:Clocal, indirect = </w:t>
      </w:r>
      <w:r w:rsidRPr="007223F2">
        <w:rPr>
          <w:rFonts w:cs="Arial"/>
          <w:position w:val="-26"/>
        </w:rPr>
        <w:object w:dxaOrig="1880" w:dyaOrig="639">
          <v:shape id="_x0000_i1026" type="#_x0000_t75" style="width:93.9pt;height:31.95pt" o:ole="">
            <v:imagedata r:id="rId26" o:title=""/>
          </v:shape>
          <o:OLEObject Type="Embed" ProgID="Equation.3" ShapeID="_x0000_i1026" DrawAspect="Content" ObjectID="_1582097183" r:id="rId27"/>
        </w:object>
      </w:r>
      <w:r w:rsidRPr="007223F2">
        <w:rPr>
          <w:rFonts w:cs="Arial"/>
        </w:rPr>
        <w:t xml:space="preserve"> = 0.0014 mg/kg (0.0004 mg/kg ww);</w:t>
      </w:r>
    </w:p>
    <w:p w:rsidR="00BA7C2C" w:rsidRPr="007223F2" w:rsidRDefault="00BA7C2C" w:rsidP="00BA7C2C">
      <w:pPr>
        <w:rPr>
          <w:rFonts w:cs="Arial"/>
        </w:rPr>
      </w:pPr>
      <w:r w:rsidRPr="007223F2">
        <w:rPr>
          <w:rFonts w:cs="Arial"/>
        </w:rPr>
        <w:t>Maximum concentration in soil: Clocal, direct + Clocal, indirect = 0.0053 mg/kg (0.0016 mg/kg).</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Open areas</w:t>
      </w:r>
    </w:p>
    <w:p w:rsidR="00BA7C2C" w:rsidRPr="007223F2" w:rsidRDefault="00BA7C2C" w:rsidP="00BA7C2C">
      <w:pPr>
        <w:rPr>
          <w:rFonts w:cs="Arial"/>
        </w:rPr>
      </w:pPr>
      <w:r w:rsidRPr="007223F2">
        <w:rPr>
          <w:rFonts w:cs="Arial"/>
        </w:rPr>
        <w:t xml:space="preserve">Paste baits are applied in open areas by inserting them inside the openings of the tunnels of the target rodents and, according to the scenario presented in EUBEES 2, two such treatments would typically be applied in the space of six days. Bait deployment comprising 6 × 40 g pastes per application per tunnel entrance is considered in this assessment as worst-case compared to the </w:t>
      </w:r>
      <w:smartTag w:uri="urn:schemas-microsoft-com:office:smarttags" w:element="metricconverter">
        <w:smartTagPr>
          <w:attr w:name="ProductID" w:val="100ﾠg"/>
        </w:smartTagPr>
        <w:r w:rsidRPr="007223F2">
          <w:rPr>
            <w:rFonts w:cs="Arial"/>
          </w:rPr>
          <w:t>100 g</w:t>
        </w:r>
      </w:smartTag>
      <w:r w:rsidRPr="007223F2">
        <w:rPr>
          <w:rFonts w:cs="Arial"/>
        </w:rPr>
        <w:t xml:space="preserve"> bait application suggested in EUBEES 2. Based on a tunnel of </w:t>
      </w:r>
      <w:smartTag w:uri="urn:schemas-microsoft-com:office:smarttags" w:element="metricconverter">
        <w:smartTagPr>
          <w:attr w:name="ProductID" w:val="8ﾠcm"/>
        </w:smartTagPr>
        <w:r w:rsidRPr="007223F2">
          <w:rPr>
            <w:rFonts w:cs="Arial"/>
          </w:rPr>
          <w:t>8 cm</w:t>
        </w:r>
      </w:smartTag>
      <w:r w:rsidRPr="007223F2">
        <w:rPr>
          <w:rFonts w:cs="Arial"/>
        </w:rPr>
        <w:t xml:space="preserve"> diameter, worst-case soil exposure is assumed to occur to a depth of </w:t>
      </w:r>
      <w:smartTag w:uri="urn:schemas-microsoft-com:office:smarttags" w:element="metricconverter">
        <w:smartTagPr>
          <w:attr w:name="ProductID" w:val="10ﾠcm"/>
        </w:smartTagPr>
        <w:r w:rsidRPr="007223F2">
          <w:rPr>
            <w:rFonts w:cs="Arial"/>
          </w:rPr>
          <w:t>10 cm</w:t>
        </w:r>
      </w:smartTag>
      <w:r w:rsidRPr="007223F2">
        <w:rPr>
          <w:rFonts w:cs="Arial"/>
        </w:rPr>
        <w:t xml:space="preserve"> from the contact half (</w:t>
      </w:r>
      <w:r w:rsidRPr="007223F2">
        <w:rPr>
          <w:rFonts w:cs="Arial"/>
          <w:i/>
        </w:rPr>
        <w:t>i.e</w:t>
      </w:r>
      <w:r w:rsidRPr="007223F2">
        <w:rPr>
          <w:rFonts w:cs="Arial"/>
        </w:rPr>
        <w:t xml:space="preserve">. the burrow floor) of a </w:t>
      </w:r>
      <w:smartTag w:uri="urn:schemas-microsoft-com:office:smarttags" w:element="metricconverter">
        <w:smartTagPr>
          <w:attr w:name="ProductID" w:val="30ﾠcm"/>
        </w:smartTagPr>
        <w:r w:rsidRPr="007223F2">
          <w:rPr>
            <w:rFonts w:cs="Arial"/>
          </w:rPr>
          <w:t>30 cm</w:t>
        </w:r>
      </w:smartTag>
      <w:r w:rsidRPr="007223F2">
        <w:rPr>
          <w:rFonts w:cs="Arial"/>
        </w:rPr>
        <w:t xml:space="preserve"> tunnel section in which the bait is placed. This section of tunnel floor is assumed to receive an input corresponding to 5% of the product during application and a further 20% as the bait is consumed.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Concentrations of bromadiolone in soil following baiting in open areas with paste bait</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2115"/>
        <w:gridCol w:w="2200"/>
        <w:gridCol w:w="2530"/>
      </w:tblGrid>
      <w:tr w:rsidR="00BA7C2C" w:rsidRPr="007223F2" w:rsidTr="00613EE2">
        <w:tc>
          <w:tcPr>
            <w:tcW w:w="2285" w:type="dxa"/>
          </w:tcPr>
          <w:p w:rsidR="00BA7C2C" w:rsidRPr="007223F2" w:rsidRDefault="00BA7C2C" w:rsidP="00613EE2">
            <w:pPr>
              <w:rPr>
                <w:rFonts w:cs="Arial"/>
                <w:b/>
              </w:rPr>
            </w:pPr>
            <w:r w:rsidRPr="007223F2">
              <w:rPr>
                <w:rFonts w:cs="Arial"/>
                <w:b/>
              </w:rPr>
              <w:t>Baiting scenario (EUBEES 2)</w:t>
            </w:r>
          </w:p>
        </w:tc>
        <w:tc>
          <w:tcPr>
            <w:tcW w:w="2115" w:type="dxa"/>
          </w:tcPr>
          <w:p w:rsidR="00BA7C2C" w:rsidRPr="007223F2" w:rsidRDefault="00BA7C2C" w:rsidP="00613EE2">
            <w:pPr>
              <w:rPr>
                <w:rFonts w:cs="Arial"/>
                <w:b/>
              </w:rPr>
            </w:pPr>
            <w:r w:rsidRPr="007223F2">
              <w:rPr>
                <w:rFonts w:cs="Arial"/>
                <w:b/>
              </w:rPr>
              <w:t>Bromadiolone applied</w:t>
            </w:r>
            <w:r w:rsidRPr="007223F2">
              <w:rPr>
                <w:rFonts w:cs="Arial"/>
                <w:b/>
              </w:rPr>
              <w:br/>
              <w:t>(mg)</w:t>
            </w:r>
            <w:r w:rsidRPr="007223F2">
              <w:rPr>
                <w:rFonts w:cs="Arial"/>
                <w:b/>
                <w:vertAlign w:val="superscript"/>
              </w:rPr>
              <w:t>a</w:t>
            </w:r>
          </w:p>
        </w:tc>
        <w:tc>
          <w:tcPr>
            <w:tcW w:w="2200" w:type="dxa"/>
          </w:tcPr>
          <w:p w:rsidR="00BA7C2C" w:rsidRPr="007223F2" w:rsidRDefault="00BA7C2C" w:rsidP="00613EE2">
            <w:pPr>
              <w:rPr>
                <w:rFonts w:cs="Arial"/>
                <w:b/>
                <w:lang w:val="fr-FR"/>
              </w:rPr>
            </w:pPr>
            <w:r w:rsidRPr="007223F2">
              <w:rPr>
                <w:rFonts w:cs="Arial"/>
                <w:b/>
                <w:lang w:val="fr-FR"/>
              </w:rPr>
              <w:t>Total direct deposition</w:t>
            </w:r>
            <w:r w:rsidRPr="007223F2">
              <w:rPr>
                <w:rFonts w:cs="Arial"/>
                <w:b/>
                <w:lang w:val="fr-FR"/>
              </w:rPr>
              <w:br/>
              <w:t>(mg)</w:t>
            </w:r>
            <w:r w:rsidRPr="007223F2">
              <w:rPr>
                <w:rFonts w:cs="Arial"/>
                <w:b/>
                <w:vertAlign w:val="superscript"/>
                <w:lang w:val="fr-FR"/>
              </w:rPr>
              <w:t>b</w:t>
            </w:r>
          </w:p>
        </w:tc>
        <w:tc>
          <w:tcPr>
            <w:tcW w:w="2530" w:type="dxa"/>
          </w:tcPr>
          <w:p w:rsidR="00BA7C2C" w:rsidRPr="007223F2" w:rsidRDefault="00BA7C2C" w:rsidP="00613EE2">
            <w:pPr>
              <w:rPr>
                <w:rFonts w:cs="Arial"/>
                <w:b/>
              </w:rPr>
            </w:pPr>
            <w:r w:rsidRPr="007223F2">
              <w:rPr>
                <w:rFonts w:cs="Arial"/>
                <w:b/>
              </w:rPr>
              <w:t>PECsoil</w:t>
            </w:r>
            <w:r w:rsidRPr="007223F2">
              <w:rPr>
                <w:rFonts w:cs="Arial"/>
                <w:b/>
              </w:rPr>
              <w:br/>
              <w:t>(mg bromadiolone/kg ww)</w:t>
            </w:r>
            <w:r w:rsidRPr="007223F2">
              <w:rPr>
                <w:rFonts w:cs="Arial"/>
                <w:b/>
                <w:vertAlign w:val="superscript"/>
              </w:rPr>
              <w:t>c</w:t>
            </w:r>
          </w:p>
        </w:tc>
      </w:tr>
      <w:tr w:rsidR="00BA7C2C" w:rsidRPr="007223F2" w:rsidTr="00613EE2">
        <w:tc>
          <w:tcPr>
            <w:tcW w:w="2285" w:type="dxa"/>
            <w:tcBorders>
              <w:bottom w:val="single" w:sz="4" w:space="0" w:color="auto"/>
            </w:tcBorders>
          </w:tcPr>
          <w:p w:rsidR="00BA7C2C" w:rsidRPr="007223F2" w:rsidRDefault="00BA7C2C" w:rsidP="00613EE2">
            <w:pPr>
              <w:rPr>
                <w:rFonts w:cs="Arial"/>
              </w:rPr>
            </w:pPr>
            <w:r w:rsidRPr="007223F2">
              <w:rPr>
                <w:rFonts w:cs="Arial"/>
              </w:rPr>
              <w:t>Worst-case</w:t>
            </w:r>
          </w:p>
        </w:tc>
        <w:tc>
          <w:tcPr>
            <w:tcW w:w="2115" w:type="dxa"/>
            <w:tcBorders>
              <w:bottom w:val="single" w:sz="4" w:space="0" w:color="auto"/>
            </w:tcBorders>
          </w:tcPr>
          <w:p w:rsidR="00BA7C2C" w:rsidRPr="007223F2" w:rsidRDefault="00BA7C2C" w:rsidP="00613EE2">
            <w:pPr>
              <w:rPr>
                <w:rFonts w:cs="Arial"/>
              </w:rPr>
            </w:pPr>
            <w:r w:rsidRPr="007223F2">
              <w:rPr>
                <w:rFonts w:cs="Arial"/>
              </w:rPr>
              <w:t>24.0</w:t>
            </w:r>
          </w:p>
        </w:tc>
        <w:tc>
          <w:tcPr>
            <w:tcW w:w="2200" w:type="dxa"/>
            <w:tcBorders>
              <w:bottom w:val="single" w:sz="4" w:space="0" w:color="auto"/>
            </w:tcBorders>
          </w:tcPr>
          <w:p w:rsidR="00BA7C2C" w:rsidRPr="007223F2" w:rsidRDefault="00BA7C2C" w:rsidP="00613EE2">
            <w:pPr>
              <w:rPr>
                <w:rFonts w:cs="Arial"/>
              </w:rPr>
            </w:pPr>
            <w:r w:rsidRPr="007223F2">
              <w:rPr>
                <w:rFonts w:cs="Arial"/>
              </w:rPr>
              <w:t>6.0</w:t>
            </w:r>
          </w:p>
        </w:tc>
        <w:tc>
          <w:tcPr>
            <w:tcW w:w="2530" w:type="dxa"/>
            <w:tcBorders>
              <w:bottom w:val="single" w:sz="4" w:space="0" w:color="auto"/>
            </w:tcBorders>
          </w:tcPr>
          <w:p w:rsidR="00BA7C2C" w:rsidRPr="007223F2" w:rsidRDefault="00BA7C2C" w:rsidP="00613EE2">
            <w:pPr>
              <w:rPr>
                <w:rFonts w:cs="Arial"/>
              </w:rPr>
            </w:pPr>
            <w:r w:rsidRPr="007223F2">
              <w:rPr>
                <w:rFonts w:cs="Arial"/>
              </w:rPr>
              <w:t>0.415</w:t>
            </w:r>
          </w:p>
        </w:tc>
      </w:tr>
      <w:tr w:rsidR="00BA7C2C" w:rsidRPr="007223F2" w:rsidTr="00613EE2">
        <w:tc>
          <w:tcPr>
            <w:tcW w:w="9130" w:type="dxa"/>
            <w:gridSpan w:val="4"/>
            <w:tcBorders>
              <w:left w:val="single" w:sz="4" w:space="0" w:color="auto"/>
              <w:bottom w:val="single" w:sz="4" w:space="0" w:color="auto"/>
              <w:right w:val="single" w:sz="4" w:space="0" w:color="auto"/>
            </w:tcBorders>
          </w:tcPr>
          <w:p w:rsidR="00BA7C2C" w:rsidRPr="007223F2" w:rsidRDefault="00BA7C2C" w:rsidP="00613EE2">
            <w:pPr>
              <w:spacing w:before="40" w:after="240" w:line="240" w:lineRule="auto"/>
              <w:rPr>
                <w:rFonts w:cs="Arial"/>
              </w:rPr>
            </w:pPr>
            <w:r w:rsidRPr="007223F2">
              <w:rPr>
                <w:rFonts w:cs="Arial"/>
              </w:rPr>
              <w:t>a based on 2 × (6 × 40 g) pastes containing 50 mg bromadiolone/kg;</w:t>
            </w:r>
            <w:r w:rsidRPr="007223F2">
              <w:rPr>
                <w:rFonts w:cs="Arial"/>
              </w:rPr>
              <w:br/>
              <w:t>b based on inputs during application and consumption giving a combined deposition of 25%;</w:t>
            </w:r>
            <w:r w:rsidRPr="007223F2">
              <w:rPr>
                <w:rFonts w:cs="Arial"/>
              </w:rPr>
              <w:br/>
              <w:t xml:space="preserve">c based on uniform distribution in a semi-cylinder of soil of </w:t>
            </w:r>
            <w:smartTag w:uri="urn:schemas-microsoft-com:office:smarttags" w:element="metricconverter">
              <w:smartTagPr>
                <w:attr w:name="ProductID" w:val="4ﾠcm"/>
              </w:smartTagPr>
              <w:r w:rsidRPr="007223F2">
                <w:rPr>
                  <w:rFonts w:cs="Arial"/>
                </w:rPr>
                <w:t>4 cm</w:t>
              </w:r>
            </w:smartTag>
            <w:r w:rsidRPr="007223F2">
              <w:rPr>
                <w:rFonts w:cs="Arial"/>
              </w:rPr>
              <w:t xml:space="preserve"> and </w:t>
            </w:r>
            <w:smartTag w:uri="urn:schemas-microsoft-com:office:smarttags" w:element="metricconverter">
              <w:smartTagPr>
                <w:attr w:name="ProductID" w:val="14ﾠcm"/>
              </w:smartTagPr>
              <w:r w:rsidRPr="007223F2">
                <w:rPr>
                  <w:rFonts w:cs="Arial"/>
                </w:rPr>
                <w:t>14 cm</w:t>
              </w:r>
            </w:smartTag>
            <w:r w:rsidRPr="007223F2">
              <w:rPr>
                <w:rFonts w:cs="Arial"/>
              </w:rPr>
              <w:t xml:space="preserve"> inner and outer radius, respectively, </w:t>
            </w:r>
            <w:smartTag w:uri="urn:schemas-microsoft-com:office:smarttags" w:element="metricconverter">
              <w:smartTagPr>
                <w:attr w:name="ProductID" w:val="30ﾠcm"/>
              </w:smartTagPr>
              <w:r w:rsidRPr="007223F2">
                <w:rPr>
                  <w:rFonts w:cs="Arial"/>
                </w:rPr>
                <w:t>30 cm</w:t>
              </w:r>
            </w:smartTag>
            <w:r w:rsidRPr="007223F2">
              <w:rPr>
                <w:rFonts w:cs="Arial"/>
              </w:rPr>
              <w:t xml:space="preserve"> length (volume: 8,500 cm3) and a wet soil bulk density of 1.7 g/cm3.</w:t>
            </w:r>
          </w:p>
        </w:tc>
      </w:tr>
    </w:tbl>
    <w:p w:rsidR="00BA7C2C" w:rsidRPr="007223F2" w:rsidRDefault="00BA7C2C" w:rsidP="00BA7C2C">
      <w:pPr>
        <w:rPr>
          <w:rFonts w:cs="Arial"/>
        </w:rPr>
      </w:pPr>
    </w:p>
    <w:p w:rsidR="00BA7C2C" w:rsidRPr="007223F2" w:rsidRDefault="00BA7C2C" w:rsidP="00BA7C2C">
      <w:pPr>
        <w:spacing w:after="240" w:line="240" w:lineRule="auto"/>
        <w:rPr>
          <w:rFonts w:cs="Arial"/>
        </w:rPr>
      </w:pPr>
      <w:r w:rsidRPr="007223F2">
        <w:rPr>
          <w:rFonts w:cs="Arial"/>
        </w:rPr>
        <w:lastRenderedPageBreak/>
        <w:t>The predicted concentration of 0.415 mg bromadiolone/kg soil represents the worst-case in the immediate vicinity of each bait application. However, since paste baits are supplied in sachets, the extent of release of bromadiolone into the floor of the tunnel is likely to be considerably less than the 25% suggested in EUBEES 2. Moreover, as the target rodents will eat and translocate portions of edible baits, and since much of the active substance will subsequently be excreted over a wide area outside the tunnel network, soil concentrations elsewhere will be considerably lower.</w:t>
      </w:r>
    </w:p>
    <w:p w:rsidR="00BA7C2C" w:rsidRPr="007223F2" w:rsidRDefault="00BA7C2C" w:rsidP="00BA7C2C">
      <w:pPr>
        <w:rPr>
          <w:rFonts w:cs="Arial"/>
          <w:b/>
        </w:rPr>
      </w:pPr>
      <w:r w:rsidRPr="007223F2">
        <w:rPr>
          <w:rFonts w:cs="Arial"/>
          <w:b/>
        </w:rPr>
        <w:t>Waste dumps</w:t>
      </w:r>
    </w:p>
    <w:p w:rsidR="00BA7C2C" w:rsidRPr="007223F2" w:rsidRDefault="00BA7C2C" w:rsidP="00BA7C2C">
      <w:pPr>
        <w:rPr>
          <w:rFonts w:cs="Arial"/>
        </w:rPr>
      </w:pPr>
      <w:r w:rsidRPr="007223F2">
        <w:rPr>
          <w:rFonts w:cs="Arial"/>
        </w:rPr>
        <w:t xml:space="preserve">Paste baits are deployed around the perimeter of waste-dumps and land-fill sites to control populations of rats. EUBEES 2 suggests a worst-case scenario in the event of an infestation outbreak that entails </w:t>
      </w:r>
      <w:smartTag w:uri="urn:schemas-microsoft-com:office:smarttags" w:element="metricconverter">
        <w:smartTagPr>
          <w:attr w:name="ProductID" w:val="40ﾠkg"/>
        </w:smartTagPr>
        <w:r w:rsidRPr="007223F2">
          <w:rPr>
            <w:rFonts w:cs="Arial"/>
          </w:rPr>
          <w:t>40 kg</w:t>
        </w:r>
      </w:smartTag>
      <w:r w:rsidRPr="007223F2">
        <w:rPr>
          <w:rFonts w:cs="Arial"/>
        </w:rPr>
        <w:t xml:space="preserve"> of paste protected inside bait boxes distributed over an area of </w:t>
      </w:r>
      <w:smartTag w:uri="urn:schemas-microsoft-com:office:smarttags" w:element="metricconverter">
        <w:smartTagPr>
          <w:attr w:name="ProductID" w:val="1ﾠha"/>
        </w:smartTagPr>
        <w:r w:rsidRPr="007223F2">
          <w:rPr>
            <w:rFonts w:cs="Arial"/>
          </w:rPr>
          <w:t>1 ha</w:t>
        </w:r>
      </w:smartTag>
      <w:r w:rsidRPr="007223F2">
        <w:rPr>
          <w:rFonts w:cs="Arial"/>
        </w:rPr>
        <w:t xml:space="preserve">, with a total of seven such applications per year. In this situation, soil exposure is assumed to arise through a combination of deposition via urine and faeces plus the rodenticide contained in the carcasses of poisoned target rodents. The EUBEES 2 scenario for blocks is considered to be appropriate for paste baits. In general, ninety percent of the total amount of rodenticide consumed by the target rodents over the duration of each baiting campaign is assumed to enter soil over the </w:t>
      </w:r>
      <w:smartTag w:uri="urn:schemas-microsoft-com:office:smarttags" w:element="metricconverter">
        <w:smartTagPr>
          <w:attr w:name="ProductID" w:val="1ﾠha"/>
        </w:smartTagPr>
        <w:r w:rsidRPr="007223F2">
          <w:rPr>
            <w:rFonts w:cs="Arial"/>
          </w:rPr>
          <w:t>1 ha</w:t>
        </w:r>
      </w:smartTag>
      <w:r w:rsidRPr="007223F2">
        <w:rPr>
          <w:rFonts w:cs="Arial"/>
        </w:rPr>
        <w:t xml:space="preserve"> surface, but this value is reduced to 22% in this case, based on the extensive metabolism of bromadiolone by rats.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According to the worst-case scenario, the total bromadiolone release (Elocal</w:t>
      </w:r>
      <w:r w:rsidRPr="007223F2">
        <w:rPr>
          <w:rFonts w:cs="Arial"/>
          <w:vertAlign w:val="subscript"/>
        </w:rPr>
        <w:t>soil</w:t>
      </w:r>
      <w:r w:rsidRPr="007223F2">
        <w:rPr>
          <w:rFonts w:cs="Arial"/>
        </w:rPr>
        <w:t>, mg) to the soil surface may be calculated according to:</w:t>
      </w:r>
    </w:p>
    <w:p w:rsidR="00BA7C2C" w:rsidRPr="007223F2" w:rsidRDefault="00BA7C2C" w:rsidP="00BA7C2C">
      <w:pPr>
        <w:rPr>
          <w:rFonts w:cs="Arial"/>
        </w:rPr>
      </w:pPr>
    </w:p>
    <w:p w:rsidR="00BA7C2C" w:rsidRPr="007223F2" w:rsidRDefault="00BA7C2C" w:rsidP="00BA7C2C">
      <w:pPr>
        <w:rPr>
          <w:rFonts w:cs="Arial"/>
        </w:rPr>
      </w:pPr>
      <w:r w:rsidRPr="007223F2">
        <w:rPr>
          <w:rFonts w:cs="Arial"/>
        </w:rPr>
        <w:t>Elocal</w:t>
      </w:r>
      <w:r w:rsidRPr="007223F2">
        <w:rPr>
          <w:rFonts w:cs="Arial"/>
          <w:vertAlign w:val="subscript"/>
        </w:rPr>
        <w:t>soil</w:t>
      </w:r>
      <w:r w:rsidRPr="007223F2">
        <w:rPr>
          <w:rFonts w:cs="Arial"/>
        </w:rPr>
        <w:t xml:space="preserve"> = Q</w:t>
      </w:r>
      <w:r w:rsidRPr="007223F2">
        <w:rPr>
          <w:rFonts w:cs="Arial"/>
          <w:vertAlign w:val="subscript"/>
        </w:rPr>
        <w:t>prod</w:t>
      </w:r>
      <w:r w:rsidRPr="007223F2">
        <w:rPr>
          <w:rFonts w:cs="Arial"/>
        </w:rPr>
        <w:t> × Fc</w:t>
      </w:r>
      <w:r w:rsidRPr="007223F2">
        <w:rPr>
          <w:rFonts w:cs="Arial"/>
          <w:vertAlign w:val="subscript"/>
        </w:rPr>
        <w:t>prod</w:t>
      </w:r>
      <w:r w:rsidRPr="007223F2">
        <w:rPr>
          <w:rFonts w:cs="Arial"/>
        </w:rPr>
        <w:t> × N</w:t>
      </w:r>
      <w:r w:rsidRPr="007223F2">
        <w:rPr>
          <w:rFonts w:cs="Arial"/>
          <w:vertAlign w:val="subscript"/>
        </w:rPr>
        <w:t>app</w:t>
      </w:r>
      <w:r w:rsidRPr="007223F2">
        <w:rPr>
          <w:rFonts w:cs="Arial"/>
        </w:rPr>
        <w:t> × F</w:t>
      </w:r>
      <w:r w:rsidRPr="007223F2">
        <w:rPr>
          <w:rFonts w:cs="Arial"/>
          <w:vertAlign w:val="subscript"/>
        </w:rPr>
        <w:t>release, soil</w:t>
      </w:r>
      <w:r w:rsidRPr="007223F2">
        <w:rPr>
          <w:rFonts w:cs="Arial"/>
        </w:rPr>
        <w:t xml:space="preserve">,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Where:</w:t>
      </w:r>
    </w:p>
    <w:p w:rsidR="00BA7C2C" w:rsidRPr="007223F2" w:rsidRDefault="00BA7C2C" w:rsidP="00BA7C2C">
      <w:pPr>
        <w:rPr>
          <w:rFonts w:cs="Arial"/>
        </w:rPr>
      </w:pPr>
      <w:r w:rsidRPr="007223F2">
        <w:rPr>
          <w:rFonts w:cs="Arial"/>
        </w:rPr>
        <w:t>Q</w:t>
      </w:r>
      <w:r w:rsidRPr="007223F2">
        <w:rPr>
          <w:rFonts w:cs="Arial"/>
          <w:vertAlign w:val="subscript"/>
        </w:rPr>
        <w:t>prod</w:t>
      </w:r>
      <w:r w:rsidRPr="007223F2">
        <w:rPr>
          <w:rFonts w:cs="Arial"/>
        </w:rPr>
        <w:t xml:space="preserve"> </w:t>
      </w:r>
      <w:r w:rsidRPr="007223F2">
        <w:rPr>
          <w:rFonts w:cs="Arial"/>
        </w:rPr>
        <w:tab/>
        <w:t>= the total weight of paste (</w:t>
      </w:r>
      <w:smartTag w:uri="urn:schemas-microsoft-com:office:smarttags" w:element="metricconverter">
        <w:smartTagPr>
          <w:attr w:name="ProductID" w:val="40ﾠkg"/>
        </w:smartTagPr>
        <w:r w:rsidRPr="007223F2">
          <w:rPr>
            <w:rFonts w:cs="Arial"/>
          </w:rPr>
          <w:t>40 kg</w:t>
        </w:r>
      </w:smartTag>
      <w:r w:rsidRPr="007223F2">
        <w:rPr>
          <w:rFonts w:cs="Arial"/>
        </w:rPr>
        <w:t>)</w:t>
      </w:r>
      <w:r w:rsidRPr="007223F2">
        <w:rPr>
          <w:rFonts w:cs="Arial"/>
        </w:rPr>
        <w:br/>
        <w:t>Fc</w:t>
      </w:r>
      <w:r w:rsidRPr="007223F2">
        <w:rPr>
          <w:rFonts w:cs="Arial"/>
          <w:vertAlign w:val="subscript"/>
        </w:rPr>
        <w:t>prod</w:t>
      </w:r>
      <w:r w:rsidRPr="007223F2">
        <w:rPr>
          <w:rFonts w:cs="Arial"/>
        </w:rPr>
        <w:t xml:space="preserve"> </w:t>
      </w:r>
      <w:r w:rsidRPr="007223F2">
        <w:rPr>
          <w:rFonts w:cs="Arial"/>
        </w:rPr>
        <w:tab/>
        <w:t>= the concentration of bromadiolone in the paste product (50 mg/kg)</w:t>
      </w:r>
      <w:r w:rsidRPr="007223F2">
        <w:rPr>
          <w:rFonts w:cs="Arial"/>
        </w:rPr>
        <w:br/>
        <w:t>N</w:t>
      </w:r>
      <w:r w:rsidRPr="007223F2">
        <w:rPr>
          <w:rFonts w:cs="Arial"/>
          <w:vertAlign w:val="subscript"/>
        </w:rPr>
        <w:t>app</w:t>
      </w:r>
      <w:r w:rsidRPr="007223F2">
        <w:rPr>
          <w:rFonts w:cs="Arial"/>
        </w:rPr>
        <w:t xml:space="preserve"> </w:t>
      </w:r>
      <w:r w:rsidRPr="007223F2">
        <w:rPr>
          <w:rFonts w:cs="Arial"/>
        </w:rPr>
        <w:tab/>
        <w:t>= the number of applications (7)</w:t>
      </w:r>
      <w:r w:rsidRPr="007223F2">
        <w:rPr>
          <w:rFonts w:cs="Arial"/>
        </w:rPr>
        <w:br/>
        <w:t>F</w:t>
      </w:r>
      <w:r w:rsidRPr="007223F2">
        <w:rPr>
          <w:rFonts w:cs="Arial"/>
          <w:vertAlign w:val="subscript"/>
        </w:rPr>
        <w:t>release, soil</w:t>
      </w:r>
      <w:r w:rsidRPr="007223F2">
        <w:rPr>
          <w:rFonts w:cs="Arial"/>
        </w:rPr>
        <w:t xml:space="preserve"> </w:t>
      </w:r>
      <w:r w:rsidRPr="007223F2">
        <w:rPr>
          <w:rFonts w:cs="Arial"/>
        </w:rPr>
        <w:tab/>
        <w:t>= the fraction released to soil (0.22).</w:t>
      </w:r>
    </w:p>
    <w:p w:rsidR="00BA7C2C" w:rsidRPr="007223F2" w:rsidRDefault="00BA7C2C" w:rsidP="00BA7C2C">
      <w:pPr>
        <w:rPr>
          <w:rFonts w:cs="Arial"/>
        </w:rPr>
      </w:pPr>
    </w:p>
    <w:p w:rsidR="00BA7C2C" w:rsidRPr="007223F2" w:rsidRDefault="00BA7C2C" w:rsidP="00BA7C2C">
      <w:pPr>
        <w:rPr>
          <w:rFonts w:cs="Arial"/>
        </w:rPr>
      </w:pPr>
    </w:p>
    <w:p w:rsidR="00BA7C2C" w:rsidRPr="007223F2" w:rsidRDefault="00BA7C2C" w:rsidP="00BA7C2C">
      <w:pPr>
        <w:rPr>
          <w:rFonts w:cs="Arial"/>
        </w:rPr>
      </w:pP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Worst-case concentration of bromadiolone in soil following baiting around waste dumps/landfills with bait pastes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3047"/>
        <w:gridCol w:w="3047"/>
      </w:tblGrid>
      <w:tr w:rsidR="00BA7C2C" w:rsidRPr="007223F2" w:rsidTr="00613EE2">
        <w:trPr>
          <w:trHeight w:val="475"/>
        </w:trPr>
        <w:tc>
          <w:tcPr>
            <w:tcW w:w="3047" w:type="dxa"/>
          </w:tcPr>
          <w:p w:rsidR="00BA7C2C" w:rsidRPr="007223F2" w:rsidRDefault="00BA7C2C" w:rsidP="00613EE2">
            <w:pPr>
              <w:rPr>
                <w:rFonts w:cs="Arial"/>
                <w:b/>
              </w:rPr>
            </w:pPr>
            <w:r w:rsidRPr="007223F2">
              <w:rPr>
                <w:rFonts w:cs="Arial"/>
                <w:b/>
              </w:rPr>
              <w:t>Baiting scenario</w:t>
            </w:r>
          </w:p>
        </w:tc>
        <w:tc>
          <w:tcPr>
            <w:tcW w:w="3047" w:type="dxa"/>
          </w:tcPr>
          <w:p w:rsidR="00BA7C2C" w:rsidRPr="007223F2" w:rsidRDefault="00BA7C2C" w:rsidP="00613EE2">
            <w:pPr>
              <w:rPr>
                <w:rFonts w:cs="Arial"/>
                <w:b/>
              </w:rPr>
            </w:pPr>
            <w:r w:rsidRPr="007223F2">
              <w:rPr>
                <w:rFonts w:cs="Arial"/>
                <w:b/>
              </w:rPr>
              <w:t>Release to soil</w:t>
            </w:r>
            <w:r w:rsidRPr="007223F2">
              <w:rPr>
                <w:rFonts w:cs="Arial"/>
                <w:b/>
              </w:rPr>
              <w:br/>
              <w:t>(mg bromadiolone/ha)</w:t>
            </w:r>
          </w:p>
        </w:tc>
        <w:tc>
          <w:tcPr>
            <w:tcW w:w="3047" w:type="dxa"/>
          </w:tcPr>
          <w:p w:rsidR="00BA7C2C" w:rsidRPr="007223F2" w:rsidRDefault="00BA7C2C" w:rsidP="00613EE2">
            <w:pPr>
              <w:rPr>
                <w:rFonts w:cs="Arial"/>
                <w:b/>
              </w:rPr>
            </w:pPr>
            <w:r w:rsidRPr="007223F2">
              <w:rPr>
                <w:rFonts w:cs="Arial"/>
                <w:b/>
              </w:rPr>
              <w:t>PECsoil</w:t>
            </w:r>
            <w:r w:rsidRPr="007223F2">
              <w:rPr>
                <w:rFonts w:cs="Arial"/>
                <w:b/>
              </w:rPr>
              <w:br/>
              <w:t>(mg bromadiolone/kg)</w:t>
            </w:r>
            <w:r w:rsidRPr="007223F2">
              <w:rPr>
                <w:rFonts w:cs="Arial"/>
                <w:b/>
                <w:vertAlign w:val="superscript"/>
              </w:rPr>
              <w:t>a</w:t>
            </w:r>
          </w:p>
        </w:tc>
      </w:tr>
      <w:tr w:rsidR="00BA7C2C" w:rsidRPr="007223F2" w:rsidTr="00613EE2">
        <w:tc>
          <w:tcPr>
            <w:tcW w:w="3047" w:type="dxa"/>
            <w:tcBorders>
              <w:bottom w:val="single" w:sz="4" w:space="0" w:color="auto"/>
            </w:tcBorders>
          </w:tcPr>
          <w:p w:rsidR="00BA7C2C" w:rsidRPr="007223F2" w:rsidRDefault="00BA7C2C" w:rsidP="00613EE2">
            <w:pPr>
              <w:rPr>
                <w:rFonts w:cs="Arial"/>
              </w:rPr>
            </w:pPr>
            <w:r w:rsidRPr="007223F2">
              <w:rPr>
                <w:rFonts w:cs="Arial"/>
              </w:rPr>
              <w:t>Worst-case (EUBEES 2)</w:t>
            </w:r>
            <w:r w:rsidRPr="007223F2">
              <w:rPr>
                <w:rFonts w:cs="Arial"/>
                <w:vertAlign w:val="superscript"/>
              </w:rPr>
              <w:t>b</w:t>
            </w:r>
          </w:p>
        </w:tc>
        <w:tc>
          <w:tcPr>
            <w:tcW w:w="3047" w:type="dxa"/>
            <w:tcBorders>
              <w:bottom w:val="single" w:sz="4" w:space="0" w:color="auto"/>
            </w:tcBorders>
          </w:tcPr>
          <w:p w:rsidR="00BA7C2C" w:rsidRPr="007223F2" w:rsidRDefault="00BA7C2C" w:rsidP="00613EE2">
            <w:pPr>
              <w:rPr>
                <w:rFonts w:cs="Arial"/>
              </w:rPr>
            </w:pPr>
            <w:r w:rsidRPr="007223F2">
              <w:rPr>
                <w:rFonts w:cs="Arial"/>
              </w:rPr>
              <w:t>3080</w:t>
            </w:r>
          </w:p>
        </w:tc>
        <w:tc>
          <w:tcPr>
            <w:tcW w:w="3047" w:type="dxa"/>
            <w:tcBorders>
              <w:bottom w:val="single" w:sz="4" w:space="0" w:color="auto"/>
            </w:tcBorders>
          </w:tcPr>
          <w:p w:rsidR="00BA7C2C" w:rsidRPr="007223F2" w:rsidRDefault="00BA7C2C" w:rsidP="00613EE2">
            <w:pPr>
              <w:rPr>
                <w:rFonts w:cs="Arial"/>
              </w:rPr>
            </w:pPr>
            <w:r w:rsidRPr="007223F2">
              <w:rPr>
                <w:rFonts w:cs="Arial"/>
              </w:rPr>
              <w:t>0.0018</w:t>
            </w:r>
          </w:p>
        </w:tc>
      </w:tr>
      <w:tr w:rsidR="00BA7C2C" w:rsidRPr="007223F2" w:rsidTr="00613EE2">
        <w:tc>
          <w:tcPr>
            <w:tcW w:w="9141" w:type="dxa"/>
            <w:gridSpan w:val="3"/>
            <w:tcBorders>
              <w:left w:val="single" w:sz="4" w:space="0" w:color="auto"/>
              <w:bottom w:val="single" w:sz="4" w:space="0" w:color="auto"/>
              <w:right w:val="single" w:sz="4" w:space="0" w:color="auto"/>
            </w:tcBorders>
          </w:tcPr>
          <w:p w:rsidR="00BA7C2C" w:rsidRPr="007223F2" w:rsidRDefault="00BA7C2C" w:rsidP="00613EE2">
            <w:pPr>
              <w:spacing w:before="40" w:after="240" w:line="240" w:lineRule="auto"/>
              <w:rPr>
                <w:rFonts w:cs="Arial"/>
              </w:rPr>
            </w:pPr>
            <w:r w:rsidRPr="007223F2">
              <w:rPr>
                <w:rFonts w:cs="Arial"/>
              </w:rPr>
              <w:t xml:space="preserve">a based on uniform distribution to </w:t>
            </w:r>
            <w:smartTag w:uri="urn:schemas-microsoft-com:office:smarttags" w:element="metricconverter">
              <w:smartTagPr>
                <w:attr w:name="ProductID" w:val="10ﾠcm"/>
              </w:smartTagPr>
              <w:r w:rsidRPr="007223F2">
                <w:rPr>
                  <w:rFonts w:cs="Arial"/>
                </w:rPr>
                <w:t>10 cm</w:t>
              </w:r>
            </w:smartTag>
            <w:r w:rsidRPr="007223F2">
              <w:rPr>
                <w:rFonts w:cs="Arial"/>
              </w:rPr>
              <w:t xml:space="preserve"> depth and wet soil bulk density of 1.7 g/cm3;</w:t>
            </w:r>
            <w:r w:rsidRPr="007223F2">
              <w:rPr>
                <w:rFonts w:cs="Arial"/>
              </w:rPr>
              <w:br/>
              <w:t>b based on seven applications of bromadiolone in pastes/year.</w:t>
            </w:r>
          </w:p>
        </w:tc>
      </w:tr>
    </w:tbl>
    <w:p w:rsidR="00BA7C2C" w:rsidRPr="007223F2" w:rsidRDefault="00BA7C2C" w:rsidP="00BA7C2C">
      <w:pPr>
        <w:rPr>
          <w:rFonts w:cs="Arial"/>
        </w:rPr>
      </w:pPr>
      <w:bookmarkStart w:id="811" w:name="_Toc261516221"/>
    </w:p>
    <w:p w:rsidR="00BA7C2C" w:rsidRPr="007223F2" w:rsidRDefault="00BA7C2C" w:rsidP="00BA7C2C">
      <w:pPr>
        <w:pStyle w:val="Kop4"/>
        <w:numPr>
          <w:ilvl w:val="3"/>
          <w:numId w:val="12"/>
        </w:numPr>
        <w:tabs>
          <w:tab w:val="num" w:pos="0"/>
          <w:tab w:val="left" w:pos="1304"/>
        </w:tabs>
        <w:spacing w:after="60" w:line="240" w:lineRule="atLeast"/>
        <w:jc w:val="left"/>
      </w:pPr>
      <w:r w:rsidRPr="007223F2">
        <w:lastRenderedPageBreak/>
        <w:t>Non compartment specific exposure relevant to the food chain</w:t>
      </w:r>
      <w:r w:rsidRPr="007223F2">
        <w:rPr>
          <w:noProof/>
        </w:rPr>
        <w:t xml:space="preserve"> </w:t>
      </w:r>
      <w:r w:rsidRPr="007223F2">
        <w:t>(secondary poisoning)</w:t>
      </w:r>
      <w:bookmarkEnd w:id="811"/>
    </w:p>
    <w:p w:rsidR="00BA7C2C" w:rsidRPr="007223F2" w:rsidRDefault="00BA7C2C" w:rsidP="00BA7C2C">
      <w:pPr>
        <w:rPr>
          <w:rFonts w:cs="Arial"/>
        </w:rPr>
      </w:pPr>
      <w:r w:rsidRPr="007223F2">
        <w:rPr>
          <w:rFonts w:cs="Arial"/>
        </w:rPr>
        <w:t>The exposure of bromadiolone directly to non-target birds and mammals and indirectly via target rodent carcasses (secondary poisoning) is quantified in section 2.8.2. These exposure routes to non-target vertebrates are not considered to have consequences for widespread contamination of environmental compartments.</w:t>
      </w:r>
    </w:p>
    <w:p w:rsidR="00BA7C2C" w:rsidRPr="007223F2" w:rsidRDefault="00BA7C2C" w:rsidP="00BA7C2C">
      <w:pPr>
        <w:pStyle w:val="Kop3"/>
        <w:numPr>
          <w:ilvl w:val="2"/>
          <w:numId w:val="12"/>
        </w:numPr>
        <w:tabs>
          <w:tab w:val="num" w:pos="0"/>
          <w:tab w:val="left" w:pos="1304"/>
        </w:tabs>
        <w:spacing w:after="60" w:line="280" w:lineRule="atLeast"/>
        <w:jc w:val="left"/>
      </w:pPr>
      <w:bookmarkStart w:id="812" w:name="_Toc293061173"/>
      <w:bookmarkStart w:id="813" w:name="_Toc294249256"/>
      <w:bookmarkStart w:id="814" w:name="_Toc334194990"/>
      <w:bookmarkStart w:id="815" w:name="_Toc362858100"/>
      <w:r w:rsidRPr="007223F2">
        <w:t>Risk Assessment</w:t>
      </w:r>
      <w:bookmarkEnd w:id="812"/>
      <w:bookmarkEnd w:id="813"/>
      <w:bookmarkEnd w:id="814"/>
      <w:bookmarkEnd w:id="815"/>
    </w:p>
    <w:p w:rsidR="00BA7C2C" w:rsidRPr="007223F2" w:rsidRDefault="00BA7C2C" w:rsidP="00BA7C2C">
      <w:pPr>
        <w:rPr>
          <w:rFonts w:cs="Arial"/>
        </w:rPr>
      </w:pPr>
      <w:r w:rsidRPr="007223F2">
        <w:rPr>
          <w:rFonts w:cs="Arial"/>
        </w:rPr>
        <w:t>The risk characterisation and the underlying assumptions presented here are also confirmed in the Assessment Report for bromadiolone (Product Type 14).</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816" w:name="_Toc263859915"/>
      <w:r w:rsidRPr="007223F2">
        <w:rPr>
          <w:noProof/>
        </w:rPr>
        <w:t>Aquatic compartment (incl. sediment)</w:t>
      </w:r>
      <w:bookmarkEnd w:id="816"/>
      <w:r w:rsidRPr="007223F2">
        <w:rPr>
          <w:noProof/>
        </w:rPr>
        <w:t xml:space="preserve"> </w:t>
      </w:r>
    </w:p>
    <w:p w:rsidR="00BA7C2C" w:rsidRPr="007223F2" w:rsidRDefault="00BA7C2C" w:rsidP="00BA7C2C">
      <w:pPr>
        <w:rPr>
          <w:rFonts w:cs="Arial"/>
        </w:rPr>
      </w:pPr>
      <w:r w:rsidRPr="007223F2">
        <w:rPr>
          <w:rFonts w:cs="Arial"/>
        </w:rPr>
        <w:t>Contamination of surface water or sediment with bromadiolone following the use of MAKI PAT’ in and around buildings, open areas and around waste dumps is highly unlikely. Negligible exposure of surface water is also stated in the EUBEES 2 emission scenario document. Furthermore, due to the likely low concentrations in soil the restricted usage patterns and the strong adsorption of the active substance to soil, it is considered that bromadiolone will not move to groundwater in significant quantities. Therefore, bromadiolone concentrations in surface waters have not been calculated and, since exposure is expected to be negligible, PEC/PNEC quotients are not presented. The use of MAKI PAT’ represents a very low risk to aquatic and sediment-dwelling biota and no further assessment of risk is necessary.</w:t>
      </w:r>
    </w:p>
    <w:p w:rsidR="00BA7C2C" w:rsidRPr="007223F2" w:rsidRDefault="00BA7C2C" w:rsidP="00BA7C2C">
      <w:pPr>
        <w:rPr>
          <w:rFonts w:cs="Arial"/>
        </w:rPr>
      </w:pPr>
      <w:r w:rsidRPr="007223F2">
        <w:rPr>
          <w:rFonts w:cs="Arial"/>
        </w:rPr>
        <w:t>In the Netherlands, however, it is well known that rats live near surface waters and that therefore also rodenticide campaigns may occur near these surface waters. Agreed scenarios to calculate the exposure in surface water from leaching of rodenticides are lacking, therefore risk mitigation measures derived from CLP characteristics of the active substance are set in place</w:t>
      </w:r>
      <w:r>
        <w:rPr>
          <w:rFonts w:cs="Arial"/>
        </w:rPr>
        <w:t xml:space="preserve"> </w:t>
      </w:r>
      <w:r w:rsidRPr="002D080C">
        <w:rPr>
          <w:rFonts w:cs="Arial"/>
        </w:rPr>
        <w:t>and at the label it should be indicated: Do not place the bait stations near water drainage systems where it can come into contact with water.</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817" w:name="_Toc462644856"/>
      <w:bookmarkStart w:id="818" w:name="_Toc476292169"/>
      <w:bookmarkStart w:id="819" w:name="_Toc476448370"/>
      <w:bookmarkStart w:id="820" w:name="_Toc476449998"/>
      <w:bookmarkStart w:id="821" w:name="_Toc476450551"/>
      <w:bookmarkStart w:id="822" w:name="_Toc476451028"/>
      <w:bookmarkStart w:id="823" w:name="_Toc263859919"/>
      <w:r w:rsidRPr="007223F2">
        <w:rPr>
          <w:noProof/>
        </w:rPr>
        <w:t>Atmosphere</w:t>
      </w:r>
      <w:bookmarkEnd w:id="817"/>
      <w:bookmarkEnd w:id="818"/>
      <w:bookmarkEnd w:id="819"/>
      <w:bookmarkEnd w:id="820"/>
      <w:bookmarkEnd w:id="821"/>
      <w:bookmarkEnd w:id="822"/>
      <w:bookmarkEnd w:id="823"/>
    </w:p>
    <w:p w:rsidR="00BA7C2C" w:rsidRPr="007223F2" w:rsidRDefault="00BA7C2C" w:rsidP="00BA7C2C">
      <w:pPr>
        <w:rPr>
          <w:rFonts w:cs="Arial"/>
        </w:rPr>
      </w:pPr>
      <w:r w:rsidRPr="007223F2">
        <w:rPr>
          <w:rFonts w:cs="Arial"/>
        </w:rPr>
        <w:t>Bromadiolone exhibits a negligible vapour pressure of 2.13 × 10</w:t>
      </w:r>
      <w:r w:rsidRPr="007223F2">
        <w:rPr>
          <w:rFonts w:cs="Arial"/>
          <w:vertAlign w:val="superscript"/>
        </w:rPr>
        <w:t>-8</w:t>
      </w:r>
      <w:r w:rsidRPr="007223F2">
        <w:rPr>
          <w:rFonts w:cs="Arial"/>
        </w:rPr>
        <w:t> Pa at ambient temperature. The use pattern and means by which bromadiolone is deployed in paste bait, coupled with its low volatility, ensure that exposure to non-target biota via the atmosphere is highly unlikely.</w:t>
      </w:r>
    </w:p>
    <w:p w:rsidR="00BA7C2C" w:rsidRPr="007223F2" w:rsidRDefault="00BA7C2C" w:rsidP="00BA7C2C">
      <w:pPr>
        <w:pStyle w:val="Kop4"/>
        <w:numPr>
          <w:ilvl w:val="3"/>
          <w:numId w:val="12"/>
        </w:numPr>
        <w:tabs>
          <w:tab w:val="num" w:pos="0"/>
          <w:tab w:val="left" w:pos="1304"/>
        </w:tabs>
        <w:spacing w:after="60" w:line="240" w:lineRule="atLeast"/>
        <w:jc w:val="left"/>
        <w:rPr>
          <w:noProof/>
        </w:rPr>
      </w:pPr>
      <w:bookmarkStart w:id="824" w:name="_Toc462644857"/>
      <w:bookmarkStart w:id="825" w:name="_Toc476292170"/>
      <w:bookmarkStart w:id="826" w:name="_Toc476448371"/>
      <w:bookmarkStart w:id="827" w:name="_Toc476449999"/>
      <w:bookmarkStart w:id="828" w:name="_Toc476450552"/>
      <w:bookmarkStart w:id="829" w:name="_Toc476451029"/>
      <w:bookmarkStart w:id="830" w:name="_Toc263859920"/>
      <w:r w:rsidRPr="007223F2">
        <w:rPr>
          <w:noProof/>
        </w:rPr>
        <w:t>Terrestrial compartment</w:t>
      </w:r>
      <w:bookmarkEnd w:id="824"/>
      <w:bookmarkEnd w:id="825"/>
      <w:bookmarkEnd w:id="826"/>
      <w:bookmarkEnd w:id="827"/>
      <w:bookmarkEnd w:id="828"/>
      <w:bookmarkEnd w:id="829"/>
      <w:bookmarkEnd w:id="830"/>
    </w:p>
    <w:p w:rsidR="00BA7C2C" w:rsidRPr="007223F2" w:rsidRDefault="00BA7C2C" w:rsidP="00BA7C2C">
      <w:pPr>
        <w:rPr>
          <w:rFonts w:cs="Arial"/>
        </w:rPr>
      </w:pPr>
      <w:bookmarkStart w:id="831" w:name="_Toc263859922"/>
      <w:r w:rsidRPr="007223F2">
        <w:rPr>
          <w:rFonts w:cs="Arial"/>
        </w:rPr>
        <w:t>Soil exposure occurs both through a combination of direct and indirect releases from the use of MAKI PAT’ in the scenario “in and around buildings”, in open areas and around waste sites.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In and around buildings</w:t>
      </w:r>
      <w:bookmarkEnd w:id="831"/>
    </w:p>
    <w:p w:rsidR="00BA7C2C" w:rsidRPr="007223F2" w:rsidRDefault="00BA7C2C" w:rsidP="00BA7C2C">
      <w:pPr>
        <w:rPr>
          <w:rFonts w:cs="Arial"/>
          <w:szCs w:val="22"/>
          <w:lang w:val="en-US"/>
        </w:rPr>
      </w:pPr>
      <w:r w:rsidRPr="007223F2">
        <w:rPr>
          <w:rFonts w:cs="Arial"/>
          <w:szCs w:val="22"/>
          <w:lang w:val="en-US"/>
        </w:rPr>
        <w:t xml:space="preserve">Exposure of the terrestrial compartment (soil) will occur when </w:t>
      </w:r>
      <w:r w:rsidRPr="007223F2">
        <w:rPr>
          <w:rFonts w:cs="Arial"/>
          <w:szCs w:val="22"/>
        </w:rPr>
        <w:t xml:space="preserve">MAKI PAT’ </w:t>
      </w:r>
      <w:r w:rsidRPr="007223F2">
        <w:rPr>
          <w:rFonts w:cs="Arial"/>
          <w:szCs w:val="22"/>
          <w:lang w:val="en-US"/>
        </w:rPr>
        <w:t>is deployed outdoors.</w:t>
      </w:r>
    </w:p>
    <w:p w:rsidR="00BA7C2C" w:rsidRPr="007223F2" w:rsidRDefault="00BA7C2C" w:rsidP="00BA7C2C">
      <w:pPr>
        <w:rPr>
          <w:rFonts w:cs="Arial"/>
          <w:szCs w:val="22"/>
          <w:lang w:val="en-US"/>
        </w:rPr>
      </w:pPr>
    </w:p>
    <w:p w:rsidR="00BA7C2C" w:rsidRPr="007223F2" w:rsidRDefault="00BA7C2C" w:rsidP="00BA7C2C">
      <w:pPr>
        <w:rPr>
          <w:rFonts w:cs="Arial"/>
          <w:szCs w:val="22"/>
        </w:rPr>
      </w:pPr>
      <w:r w:rsidRPr="007223F2">
        <w:rPr>
          <w:rFonts w:cs="Arial"/>
          <w:szCs w:val="22"/>
          <w:lang w:val="en-US"/>
        </w:rPr>
        <w:t xml:space="preserve">EUBEES 2 considers a scenario that entails outdoor baiting with rodenticide bait blocks around a farm building. In this situation, exposure is assumed to arise through a combination of transfer (direct release) and deposition </w:t>
      </w:r>
      <w:r w:rsidRPr="007223F2">
        <w:rPr>
          <w:rFonts w:cs="Arial"/>
        </w:rPr>
        <w:t>via urine and faeces (disperse release) onto soil. Direct release is estimated to amount to 1.0% of the total bait deployment during the entire camp</w:t>
      </w:r>
      <w:r w:rsidRPr="007223F2">
        <w:rPr>
          <w:rFonts w:cs="Arial"/>
          <w:szCs w:val="22"/>
          <w:lang w:val="en-US"/>
        </w:rPr>
        <w:t xml:space="preserve">aign, concentrated </w:t>
      </w:r>
      <w:r w:rsidRPr="007223F2">
        <w:rPr>
          <w:rFonts w:cs="Arial"/>
          <w:szCs w:val="22"/>
          <w:lang w:val="en-US"/>
        </w:rPr>
        <w:lastRenderedPageBreak/>
        <w:t xml:space="preserve">within </w:t>
      </w:r>
      <w:smartTag w:uri="urn:schemas-microsoft-com:office:smarttags" w:element="metricconverter">
        <w:smartTagPr>
          <w:attr w:name="ProductID" w:val="10ﾠcm"/>
        </w:smartTagPr>
        <w:r w:rsidRPr="007223F2">
          <w:rPr>
            <w:rFonts w:cs="Arial"/>
            <w:szCs w:val="22"/>
            <w:lang w:val="en-US"/>
          </w:rPr>
          <w:t>10 cm</w:t>
        </w:r>
      </w:smartTag>
      <w:r w:rsidRPr="007223F2">
        <w:rPr>
          <w:rFonts w:cs="Arial"/>
          <w:szCs w:val="22"/>
          <w:lang w:val="en-US"/>
        </w:rPr>
        <w:t xml:space="preserve"> of the individual secured bait points. Since </w:t>
      </w:r>
      <w:r w:rsidRPr="007223F2">
        <w:rPr>
          <w:rFonts w:cs="Arial"/>
        </w:rPr>
        <w:t>MAKI PAT’ is individually wrapped in sachets, the release is anticipated to be lower and a direct release of 0.1% is considered to be more realistic. Similarly, EUBEES 2 considers</w:t>
      </w:r>
      <w:r w:rsidRPr="007223F2">
        <w:rPr>
          <w:rFonts w:cs="Arial"/>
          <w:szCs w:val="22"/>
          <w:lang w:val="en-US"/>
        </w:rPr>
        <w:t xml:space="preserve"> that 90% of the total amount of rodenticide consumed by the target rodents over the duration of the outdoor baiting campaign enters soil </w:t>
      </w:r>
      <w:r w:rsidRPr="007223F2">
        <w:rPr>
          <w:rFonts w:cs="Arial"/>
        </w:rPr>
        <w:t>via urine and faeces.  In the case of bromadiolone, however, this is reduced to 22% in view of the extensive metabolis</w:t>
      </w:r>
      <w:r w:rsidRPr="007223F2">
        <w:rPr>
          <w:rFonts w:cs="Arial"/>
          <w:szCs w:val="22"/>
        </w:rPr>
        <w:t>m seen in a study with rats.</w:t>
      </w:r>
    </w:p>
    <w:p w:rsidR="00BA7C2C" w:rsidRPr="007223F2" w:rsidRDefault="00BA7C2C" w:rsidP="00BA7C2C">
      <w:pPr>
        <w:rPr>
          <w:rFonts w:cs="Arial"/>
          <w:szCs w:val="22"/>
        </w:rPr>
      </w:pPr>
    </w:p>
    <w:p w:rsidR="00BA7C2C" w:rsidRPr="007223F2" w:rsidRDefault="00BA7C2C" w:rsidP="00BA7C2C">
      <w:pPr>
        <w:rPr>
          <w:rFonts w:cs="Arial"/>
        </w:rPr>
      </w:pPr>
      <w:r w:rsidRPr="007223F2">
        <w:rPr>
          <w:rFonts w:cs="Arial"/>
        </w:rPr>
        <w:t xml:space="preserve">The maximum application rate for MAKI PAT’ entails the deployment of </w:t>
      </w:r>
      <w:smartTag w:uri="urn:schemas-microsoft-com:office:smarttags" w:element="metricconverter">
        <w:smartTagPr>
          <w:attr w:name="ProductID" w:val="55ﾠm"/>
        </w:smartTagPr>
        <w:r w:rsidRPr="007223F2">
          <w:rPr>
            <w:rFonts w:cs="Arial"/>
          </w:rPr>
          <w:t>240 g</w:t>
        </w:r>
      </w:smartTag>
      <w:r w:rsidRPr="007223F2">
        <w:rPr>
          <w:rFonts w:cs="Arial"/>
        </w:rPr>
        <w:t xml:space="preserve"> bait in each of ten secured bait points.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EUBEES 2 considers two levels of baiting. In the first, described as the “realistic worst-case”, the campaign lasts 21 days and bait stations (initially filled on day 1 and repeatedly and completely emptied by the target rodents) are refilled on days 3, 7, 14 and </w:t>
      </w:r>
      <w:smartTag w:uri="urn:schemas-microsoft-com:office:smarttags" w:element="metricconverter">
        <w:smartTagPr>
          <w:attr w:name="ProductID" w:val="21. In"/>
        </w:smartTagPr>
        <w:r w:rsidRPr="007223F2">
          <w:rPr>
            <w:rFonts w:cs="Arial"/>
          </w:rPr>
          <w:t>21. In</w:t>
        </w:r>
      </w:smartTag>
      <w:r w:rsidRPr="007223F2">
        <w:rPr>
          <w:rFonts w:cs="Arial"/>
        </w:rPr>
        <w:t xml:space="preserve"> the other, “typical” scenario, bait consumption progressively declines as the campaign proceeds, such that the replenishments made on days 3, 7, 14 and 21 represent 100%, 25-50%, 10% and 0%, respectively, of the quantity initially deployed on day 1. It should be noted that the “typical” scenario is more representative of the consumption pattern for an anticoagulant rodenticide such as bromadiolone. </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Concentrations of bromadiolone in soil following baiting around buildings with MAKI PAT’</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2126"/>
        <w:gridCol w:w="2127"/>
        <w:gridCol w:w="1559"/>
        <w:gridCol w:w="1559"/>
      </w:tblGrid>
      <w:tr w:rsidR="00BA7C2C" w:rsidRPr="007223F2" w:rsidTr="00613EE2">
        <w:trPr>
          <w:cantSplit/>
          <w:trHeight w:val="233"/>
        </w:trPr>
        <w:tc>
          <w:tcPr>
            <w:tcW w:w="1857" w:type="dxa"/>
            <w:vMerge w:val="restart"/>
          </w:tcPr>
          <w:p w:rsidR="00BA7C2C" w:rsidRPr="007223F2" w:rsidRDefault="00BA7C2C" w:rsidP="00613EE2">
            <w:pPr>
              <w:rPr>
                <w:rFonts w:cs="Arial"/>
                <w:b/>
              </w:rPr>
            </w:pPr>
            <w:r w:rsidRPr="007223F2">
              <w:rPr>
                <w:rFonts w:cs="Arial"/>
                <w:b/>
              </w:rPr>
              <w:t>Baiting scenario (EUBEES 2)</w:t>
            </w:r>
          </w:p>
        </w:tc>
        <w:tc>
          <w:tcPr>
            <w:tcW w:w="2126" w:type="dxa"/>
            <w:vMerge w:val="restart"/>
          </w:tcPr>
          <w:p w:rsidR="00BA7C2C" w:rsidRPr="007223F2" w:rsidRDefault="00BA7C2C" w:rsidP="00613EE2">
            <w:pPr>
              <w:rPr>
                <w:rFonts w:cs="Arial"/>
                <w:b/>
              </w:rPr>
            </w:pPr>
            <w:r w:rsidRPr="007223F2">
              <w:rPr>
                <w:rFonts w:cs="Arial"/>
                <w:b/>
              </w:rPr>
              <w:t>Direct release</w:t>
            </w:r>
            <w:r w:rsidRPr="007223F2">
              <w:rPr>
                <w:rFonts w:cs="Arial"/>
                <w:b/>
              </w:rPr>
              <w:br/>
              <w:t>(mg/0.09 m</w:t>
            </w:r>
            <w:r w:rsidRPr="007223F2">
              <w:rPr>
                <w:rFonts w:cs="Arial"/>
                <w:b/>
                <w:vertAlign w:val="superscript"/>
              </w:rPr>
              <w:t>2</w:t>
            </w:r>
            <w:r w:rsidRPr="007223F2">
              <w:rPr>
                <w:rFonts w:cs="Arial"/>
                <w:b/>
              </w:rPr>
              <w:t>)</w:t>
            </w:r>
          </w:p>
        </w:tc>
        <w:tc>
          <w:tcPr>
            <w:tcW w:w="2127" w:type="dxa"/>
            <w:vMerge w:val="restart"/>
          </w:tcPr>
          <w:p w:rsidR="00BA7C2C" w:rsidRPr="007223F2" w:rsidRDefault="00BA7C2C" w:rsidP="00613EE2">
            <w:pPr>
              <w:rPr>
                <w:rFonts w:cs="Arial"/>
                <w:b/>
              </w:rPr>
            </w:pPr>
            <w:r w:rsidRPr="007223F2">
              <w:rPr>
                <w:rFonts w:cs="Arial"/>
                <w:b/>
              </w:rPr>
              <w:t>Disperse release</w:t>
            </w:r>
            <w:r w:rsidRPr="007223F2">
              <w:rPr>
                <w:rFonts w:cs="Arial"/>
                <w:b/>
              </w:rPr>
              <w:br/>
              <w:t>(mg/550 m</w:t>
            </w:r>
            <w:r w:rsidRPr="007223F2">
              <w:rPr>
                <w:rFonts w:cs="Arial"/>
                <w:b/>
                <w:vertAlign w:val="superscript"/>
              </w:rPr>
              <w:t>2</w:t>
            </w:r>
            <w:r w:rsidRPr="007223F2">
              <w:rPr>
                <w:rFonts w:cs="Arial"/>
                <w:b/>
              </w:rPr>
              <w:t>)</w:t>
            </w:r>
          </w:p>
        </w:tc>
        <w:tc>
          <w:tcPr>
            <w:tcW w:w="3118" w:type="dxa"/>
            <w:gridSpan w:val="2"/>
          </w:tcPr>
          <w:p w:rsidR="00BA7C2C" w:rsidRPr="007223F2" w:rsidRDefault="00BA7C2C" w:rsidP="00613EE2">
            <w:pPr>
              <w:rPr>
                <w:rFonts w:cs="Arial"/>
                <w:b/>
              </w:rPr>
            </w:pPr>
            <w:r w:rsidRPr="007223F2">
              <w:rPr>
                <w:rFonts w:cs="Arial"/>
                <w:b/>
              </w:rPr>
              <w:t>PECsoil (mg bromadiolone/kg ww)</w:t>
            </w:r>
            <w:r w:rsidRPr="007223F2">
              <w:rPr>
                <w:rFonts w:cs="Arial"/>
                <w:b/>
                <w:vertAlign w:val="superscript"/>
              </w:rPr>
              <w:t>a</w:t>
            </w:r>
          </w:p>
        </w:tc>
      </w:tr>
      <w:tr w:rsidR="00BA7C2C" w:rsidRPr="007223F2" w:rsidTr="00613EE2">
        <w:trPr>
          <w:cantSplit/>
          <w:trHeight w:val="232"/>
        </w:trPr>
        <w:tc>
          <w:tcPr>
            <w:tcW w:w="1857" w:type="dxa"/>
            <w:vMerge/>
          </w:tcPr>
          <w:p w:rsidR="00BA7C2C" w:rsidRPr="007223F2" w:rsidRDefault="00BA7C2C" w:rsidP="00613EE2">
            <w:pPr>
              <w:keepNext/>
              <w:spacing w:before="40" w:after="40" w:line="240" w:lineRule="auto"/>
              <w:rPr>
                <w:rFonts w:cs="Arial"/>
                <w:b/>
                <w:szCs w:val="22"/>
              </w:rPr>
            </w:pPr>
          </w:p>
        </w:tc>
        <w:tc>
          <w:tcPr>
            <w:tcW w:w="2126" w:type="dxa"/>
            <w:vMerge/>
          </w:tcPr>
          <w:p w:rsidR="00BA7C2C" w:rsidRPr="007223F2" w:rsidRDefault="00BA7C2C" w:rsidP="00613EE2">
            <w:pPr>
              <w:pStyle w:val="TableTextcenterbold"/>
              <w:jc w:val="left"/>
              <w:rPr>
                <w:rFonts w:ascii="Arial" w:hAnsi="Arial" w:cs="Arial"/>
                <w:spacing w:val="0"/>
                <w:sz w:val="22"/>
                <w:szCs w:val="22"/>
              </w:rPr>
            </w:pPr>
          </w:p>
        </w:tc>
        <w:tc>
          <w:tcPr>
            <w:tcW w:w="2127" w:type="dxa"/>
            <w:vMerge/>
          </w:tcPr>
          <w:p w:rsidR="00BA7C2C" w:rsidRPr="007223F2" w:rsidRDefault="00BA7C2C" w:rsidP="00613EE2">
            <w:pPr>
              <w:pStyle w:val="TableTextcenterbold"/>
              <w:jc w:val="left"/>
              <w:rPr>
                <w:rFonts w:ascii="Arial" w:hAnsi="Arial" w:cs="Arial"/>
                <w:spacing w:val="0"/>
                <w:sz w:val="22"/>
                <w:szCs w:val="22"/>
              </w:rPr>
            </w:pPr>
          </w:p>
        </w:tc>
        <w:tc>
          <w:tcPr>
            <w:tcW w:w="1559" w:type="dxa"/>
          </w:tcPr>
          <w:p w:rsidR="00BA7C2C" w:rsidRPr="007223F2" w:rsidRDefault="00BA7C2C" w:rsidP="00613EE2">
            <w:pPr>
              <w:rPr>
                <w:rFonts w:cs="Arial"/>
                <w:b/>
              </w:rPr>
            </w:pPr>
            <w:r w:rsidRPr="007223F2">
              <w:rPr>
                <w:rFonts w:cs="Arial"/>
                <w:b/>
              </w:rPr>
              <w:t>mean</w:t>
            </w:r>
            <w:r w:rsidRPr="007223F2">
              <w:rPr>
                <w:rFonts w:cs="Arial"/>
                <w:b/>
                <w:vertAlign w:val="superscript"/>
              </w:rPr>
              <w:t>b</w:t>
            </w:r>
          </w:p>
        </w:tc>
        <w:tc>
          <w:tcPr>
            <w:tcW w:w="1559" w:type="dxa"/>
          </w:tcPr>
          <w:p w:rsidR="00BA7C2C" w:rsidRPr="007223F2" w:rsidRDefault="00BA7C2C" w:rsidP="00613EE2">
            <w:pPr>
              <w:rPr>
                <w:rFonts w:cs="Arial"/>
                <w:b/>
              </w:rPr>
            </w:pPr>
            <w:r w:rsidRPr="007223F2">
              <w:rPr>
                <w:rFonts w:cs="Arial"/>
                <w:b/>
              </w:rPr>
              <w:t>max</w:t>
            </w:r>
            <w:r w:rsidRPr="007223F2">
              <w:rPr>
                <w:rFonts w:cs="Arial"/>
                <w:b/>
                <w:vertAlign w:val="superscript"/>
              </w:rPr>
              <w:t>c</w:t>
            </w:r>
          </w:p>
        </w:tc>
      </w:tr>
      <w:tr w:rsidR="00BA7C2C" w:rsidRPr="007223F2" w:rsidTr="00613EE2">
        <w:tc>
          <w:tcPr>
            <w:tcW w:w="1857" w:type="dxa"/>
          </w:tcPr>
          <w:p w:rsidR="00BA7C2C" w:rsidRPr="007223F2" w:rsidRDefault="00BA7C2C" w:rsidP="00613EE2">
            <w:pPr>
              <w:rPr>
                <w:rFonts w:cs="Arial"/>
              </w:rPr>
            </w:pPr>
            <w:r w:rsidRPr="007223F2">
              <w:rPr>
                <w:rFonts w:cs="Arial"/>
              </w:rPr>
              <w:t>Realistic worst-case</w:t>
            </w:r>
          </w:p>
        </w:tc>
        <w:tc>
          <w:tcPr>
            <w:tcW w:w="2126" w:type="dxa"/>
          </w:tcPr>
          <w:p w:rsidR="00BA7C2C" w:rsidRPr="007223F2" w:rsidRDefault="00BA7C2C" w:rsidP="00613EE2">
            <w:pPr>
              <w:rPr>
                <w:rFonts w:cs="Arial"/>
              </w:rPr>
            </w:pPr>
            <w:r w:rsidRPr="007223F2">
              <w:rPr>
                <w:rFonts w:cs="Arial"/>
              </w:rPr>
              <w:t>0.60</w:t>
            </w:r>
          </w:p>
        </w:tc>
        <w:tc>
          <w:tcPr>
            <w:tcW w:w="2127" w:type="dxa"/>
          </w:tcPr>
          <w:p w:rsidR="00BA7C2C" w:rsidRPr="007223F2" w:rsidRDefault="00BA7C2C" w:rsidP="00613EE2">
            <w:pPr>
              <w:rPr>
                <w:rFonts w:cs="Arial"/>
              </w:rPr>
            </w:pPr>
            <w:r w:rsidRPr="007223F2">
              <w:rPr>
                <w:rFonts w:cs="Arial"/>
              </w:rPr>
              <w:t>132.0</w:t>
            </w:r>
          </w:p>
        </w:tc>
        <w:tc>
          <w:tcPr>
            <w:tcW w:w="1559" w:type="dxa"/>
          </w:tcPr>
          <w:p w:rsidR="00BA7C2C" w:rsidRPr="007223F2" w:rsidRDefault="00BA7C2C" w:rsidP="00613EE2">
            <w:pPr>
              <w:rPr>
                <w:rFonts w:cs="Arial"/>
              </w:rPr>
            </w:pPr>
            <w:r w:rsidRPr="007223F2">
              <w:rPr>
                <w:rFonts w:cs="Arial"/>
              </w:rPr>
              <w:t>0.0014</w:t>
            </w:r>
          </w:p>
        </w:tc>
        <w:tc>
          <w:tcPr>
            <w:tcW w:w="1559" w:type="dxa"/>
          </w:tcPr>
          <w:p w:rsidR="00BA7C2C" w:rsidRPr="007223F2" w:rsidRDefault="00BA7C2C" w:rsidP="00613EE2">
            <w:pPr>
              <w:rPr>
                <w:rFonts w:cs="Arial"/>
              </w:rPr>
            </w:pPr>
            <w:r w:rsidRPr="007223F2">
              <w:rPr>
                <w:rFonts w:cs="Arial"/>
              </w:rPr>
              <w:t>0.0053</w:t>
            </w:r>
          </w:p>
        </w:tc>
      </w:tr>
      <w:tr w:rsidR="00BA7C2C" w:rsidRPr="007223F2" w:rsidTr="00613EE2">
        <w:tc>
          <w:tcPr>
            <w:tcW w:w="1857" w:type="dxa"/>
            <w:tcBorders>
              <w:bottom w:val="single" w:sz="4" w:space="0" w:color="auto"/>
            </w:tcBorders>
          </w:tcPr>
          <w:p w:rsidR="00BA7C2C" w:rsidRPr="007223F2" w:rsidRDefault="00BA7C2C" w:rsidP="00613EE2">
            <w:pPr>
              <w:rPr>
                <w:rFonts w:cs="Arial"/>
              </w:rPr>
            </w:pPr>
            <w:r w:rsidRPr="007223F2">
              <w:rPr>
                <w:rFonts w:cs="Arial"/>
              </w:rPr>
              <w:t>Typical</w:t>
            </w:r>
          </w:p>
        </w:tc>
        <w:tc>
          <w:tcPr>
            <w:tcW w:w="2126" w:type="dxa"/>
            <w:tcBorders>
              <w:bottom w:val="single" w:sz="4" w:space="0" w:color="auto"/>
            </w:tcBorders>
          </w:tcPr>
          <w:p w:rsidR="00BA7C2C" w:rsidRPr="007223F2" w:rsidRDefault="00BA7C2C" w:rsidP="00613EE2">
            <w:pPr>
              <w:rPr>
                <w:rFonts w:cs="Arial"/>
              </w:rPr>
            </w:pPr>
            <w:r w:rsidRPr="007223F2">
              <w:rPr>
                <w:rFonts w:cs="Arial"/>
              </w:rPr>
              <w:t>0.18</w:t>
            </w:r>
          </w:p>
        </w:tc>
        <w:tc>
          <w:tcPr>
            <w:tcW w:w="2127" w:type="dxa"/>
            <w:tcBorders>
              <w:bottom w:val="single" w:sz="4" w:space="0" w:color="auto"/>
            </w:tcBorders>
          </w:tcPr>
          <w:p w:rsidR="00BA7C2C" w:rsidRPr="007223F2" w:rsidRDefault="00BA7C2C" w:rsidP="00613EE2">
            <w:pPr>
              <w:rPr>
                <w:rFonts w:cs="Arial"/>
              </w:rPr>
            </w:pPr>
            <w:r w:rsidRPr="007223F2">
              <w:rPr>
                <w:rFonts w:cs="Arial"/>
              </w:rPr>
              <w:t>39.6</w:t>
            </w:r>
          </w:p>
        </w:tc>
        <w:tc>
          <w:tcPr>
            <w:tcW w:w="1559" w:type="dxa"/>
            <w:tcBorders>
              <w:bottom w:val="single" w:sz="4" w:space="0" w:color="auto"/>
            </w:tcBorders>
          </w:tcPr>
          <w:p w:rsidR="00BA7C2C" w:rsidRPr="007223F2" w:rsidRDefault="00BA7C2C" w:rsidP="00613EE2">
            <w:pPr>
              <w:rPr>
                <w:rFonts w:cs="Arial"/>
              </w:rPr>
            </w:pPr>
            <w:r w:rsidRPr="007223F2">
              <w:rPr>
                <w:rFonts w:cs="Arial"/>
              </w:rPr>
              <w:t>0.0004</w:t>
            </w:r>
          </w:p>
        </w:tc>
        <w:tc>
          <w:tcPr>
            <w:tcW w:w="1559" w:type="dxa"/>
            <w:tcBorders>
              <w:bottom w:val="single" w:sz="4" w:space="0" w:color="auto"/>
            </w:tcBorders>
          </w:tcPr>
          <w:p w:rsidR="00BA7C2C" w:rsidRPr="007223F2" w:rsidRDefault="00BA7C2C" w:rsidP="00613EE2">
            <w:pPr>
              <w:rPr>
                <w:rFonts w:cs="Arial"/>
              </w:rPr>
            </w:pPr>
            <w:r w:rsidRPr="007223F2">
              <w:rPr>
                <w:rFonts w:cs="Arial"/>
              </w:rPr>
              <w:t>0.0016</w:t>
            </w:r>
          </w:p>
        </w:tc>
      </w:tr>
      <w:tr w:rsidR="00BA7C2C" w:rsidRPr="007223F2" w:rsidTr="00613EE2">
        <w:tc>
          <w:tcPr>
            <w:tcW w:w="9228" w:type="dxa"/>
            <w:gridSpan w:val="5"/>
            <w:tcBorders>
              <w:left w:val="single" w:sz="4" w:space="0" w:color="auto"/>
              <w:bottom w:val="single" w:sz="4" w:space="0" w:color="auto"/>
              <w:right w:val="single" w:sz="4" w:space="0" w:color="auto"/>
            </w:tcBorders>
          </w:tcPr>
          <w:p w:rsidR="00BA7C2C" w:rsidRPr="007223F2" w:rsidRDefault="00BA7C2C" w:rsidP="00613EE2">
            <w:pPr>
              <w:spacing w:before="40" w:after="240" w:line="240" w:lineRule="auto"/>
              <w:rPr>
                <w:rFonts w:cs="Arial"/>
              </w:rPr>
            </w:pPr>
            <w:r w:rsidRPr="007223F2">
              <w:rPr>
                <w:rFonts w:cs="Arial"/>
              </w:rPr>
              <w:t xml:space="preserve">a based on uniform distribution to </w:t>
            </w:r>
            <w:smartTag w:uri="urn:schemas-microsoft-com:office:smarttags" w:element="metricconverter">
              <w:smartTagPr>
                <w:attr w:name="ProductID" w:val="10ﾠcm"/>
              </w:smartTagPr>
              <w:r w:rsidRPr="007223F2">
                <w:rPr>
                  <w:rFonts w:cs="Arial"/>
                </w:rPr>
                <w:t>10 cm</w:t>
              </w:r>
            </w:smartTag>
            <w:r w:rsidRPr="007223F2">
              <w:rPr>
                <w:rFonts w:cs="Arial"/>
              </w:rPr>
              <w:t xml:space="preserve"> depth and wet soil bulk density of 1.7 g/cm3;</w:t>
            </w:r>
            <w:r w:rsidRPr="007223F2">
              <w:rPr>
                <w:rFonts w:cs="Arial"/>
              </w:rPr>
              <w:br/>
              <w:t>b disperse release applied to total area (</w:t>
            </w:r>
            <w:smartTag w:uri="urn:schemas-microsoft-com:office:smarttags" w:element="metricconverter">
              <w:smartTagPr>
                <w:attr w:name="ProductID" w:val="550ﾠm2"/>
              </w:smartTagPr>
              <w:r w:rsidRPr="007223F2">
                <w:rPr>
                  <w:rFonts w:cs="Arial"/>
                </w:rPr>
                <w:t>550 m2</w:t>
              </w:r>
            </w:smartTag>
            <w:r w:rsidRPr="007223F2">
              <w:rPr>
                <w:rFonts w:cs="Arial"/>
              </w:rPr>
              <w:t>);</w:t>
            </w:r>
            <w:r w:rsidRPr="007223F2">
              <w:rPr>
                <w:rFonts w:cs="Arial"/>
              </w:rPr>
              <w:br/>
              <w:t xml:space="preserve">c direct + disperse release within </w:t>
            </w:r>
            <w:smartTag w:uri="urn:schemas-microsoft-com:office:smarttags" w:element="metricconverter">
              <w:smartTagPr>
                <w:attr w:name="ProductID" w:val="10ﾠcm"/>
              </w:smartTagPr>
              <w:r w:rsidRPr="007223F2">
                <w:rPr>
                  <w:rFonts w:cs="Arial"/>
                </w:rPr>
                <w:t>10 cm</w:t>
              </w:r>
            </w:smartTag>
            <w:r w:rsidRPr="007223F2">
              <w:rPr>
                <w:rFonts w:cs="Arial"/>
              </w:rPr>
              <w:t xml:space="preserve"> in front of and to sides of each bait point.</w:t>
            </w:r>
          </w:p>
        </w:tc>
      </w:tr>
    </w:tbl>
    <w:p w:rsidR="00BA7C2C" w:rsidRPr="007223F2" w:rsidRDefault="00BA7C2C" w:rsidP="00BA7C2C">
      <w:pPr>
        <w:rPr>
          <w:rFonts w:cs="Arial"/>
        </w:rPr>
      </w:pPr>
    </w:p>
    <w:p w:rsidR="00BA7C2C" w:rsidRPr="007223F2" w:rsidRDefault="00BA7C2C" w:rsidP="00BA7C2C">
      <w:pPr>
        <w:pStyle w:val="BodyTestkeep"/>
        <w:rPr>
          <w:rFonts w:ascii="Arial" w:hAnsi="Arial" w:cs="Arial"/>
        </w:rPr>
      </w:pPr>
      <w:r w:rsidRPr="007223F2">
        <w:rPr>
          <w:rFonts w:ascii="Arial" w:hAnsi="Arial" w:cs="Arial"/>
        </w:rPr>
        <w:t>The risks to the terrestrial environment posed by contamination of soil by bromadiolone following “realistic worst-case” and “typical” outdoor use of MAKI PAT’ are assessed by calculating ratios of PEC/PNEC, as indicated below. As stated above, the “typical” pattern is the one more likely to apply to an efficient anticoagulant rodenticide such as bromadiolone.</w:t>
      </w:r>
    </w:p>
    <w:p w:rsidR="00BA7C2C" w:rsidRPr="007223F2" w:rsidRDefault="00BA7C2C" w:rsidP="00BA7C2C">
      <w:pPr>
        <w:pStyle w:val="Plattetekst"/>
        <w:keepNext/>
        <w:spacing w:after="60" w:line="240" w:lineRule="auto"/>
        <w:rPr>
          <w:rFonts w:cs="Arial"/>
          <w:b/>
        </w:rPr>
      </w:pPr>
      <w:r w:rsidRPr="007223F2">
        <w:rPr>
          <w:rFonts w:cs="Arial"/>
          <w:b/>
        </w:rPr>
        <w:t>PECsoil/PNECsoil for soil-dwelling invertebrates exposed to bromadiolone following outdoor use of bait pastes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004"/>
        <w:gridCol w:w="2719"/>
        <w:gridCol w:w="1404"/>
      </w:tblGrid>
      <w:tr w:rsidR="00BA7C2C" w:rsidRPr="007223F2" w:rsidTr="00613EE2">
        <w:tc>
          <w:tcPr>
            <w:tcW w:w="0" w:type="auto"/>
          </w:tcPr>
          <w:p w:rsidR="00BA7C2C" w:rsidRPr="007223F2" w:rsidRDefault="00BA7C2C" w:rsidP="00613EE2">
            <w:pPr>
              <w:rPr>
                <w:rFonts w:cs="Arial"/>
                <w:b/>
              </w:rPr>
            </w:pPr>
            <w:r w:rsidRPr="007223F2">
              <w:rPr>
                <w:rFonts w:cs="Arial"/>
                <w:b/>
              </w:rPr>
              <w:t>Baiting scenario (EUBEES 2)</w:t>
            </w:r>
          </w:p>
        </w:tc>
        <w:tc>
          <w:tcPr>
            <w:tcW w:w="0" w:type="auto"/>
          </w:tcPr>
          <w:p w:rsidR="00BA7C2C" w:rsidRPr="007223F2" w:rsidRDefault="00BA7C2C" w:rsidP="00613EE2">
            <w:pPr>
              <w:rPr>
                <w:rFonts w:cs="Arial"/>
                <w:b/>
              </w:rPr>
            </w:pPr>
            <w:r w:rsidRPr="007223F2">
              <w:rPr>
                <w:rFonts w:cs="Arial"/>
                <w:b/>
              </w:rPr>
              <w:t>maximum PECsoil (mg bromadiolone/kg ww)</w:t>
            </w:r>
          </w:p>
        </w:tc>
        <w:tc>
          <w:tcPr>
            <w:tcW w:w="0" w:type="auto"/>
          </w:tcPr>
          <w:p w:rsidR="00BA7C2C" w:rsidRPr="007223F2" w:rsidRDefault="00BA7C2C" w:rsidP="00613EE2">
            <w:pPr>
              <w:rPr>
                <w:rFonts w:cs="Arial"/>
                <w:b/>
              </w:rPr>
            </w:pPr>
            <w:r w:rsidRPr="007223F2">
              <w:rPr>
                <w:rFonts w:cs="Arial"/>
                <w:b/>
              </w:rPr>
              <w:t>PNECsoil (mg bromadiolone/kg ww)</w:t>
            </w:r>
          </w:p>
        </w:tc>
        <w:tc>
          <w:tcPr>
            <w:tcW w:w="0" w:type="auto"/>
          </w:tcPr>
          <w:p w:rsidR="00BA7C2C" w:rsidRPr="007223F2" w:rsidRDefault="00BA7C2C" w:rsidP="00613EE2">
            <w:pPr>
              <w:rPr>
                <w:rFonts w:cs="Arial"/>
                <w:b/>
              </w:rPr>
            </w:pPr>
            <w:r w:rsidRPr="007223F2">
              <w:rPr>
                <w:rFonts w:cs="Arial"/>
                <w:b/>
              </w:rPr>
              <w:t>PEC/PNEC ratio</w:t>
            </w:r>
          </w:p>
        </w:tc>
      </w:tr>
      <w:tr w:rsidR="00BA7C2C" w:rsidRPr="007223F2" w:rsidTr="00613EE2">
        <w:tc>
          <w:tcPr>
            <w:tcW w:w="0" w:type="auto"/>
          </w:tcPr>
          <w:p w:rsidR="00BA7C2C" w:rsidRPr="007223F2" w:rsidRDefault="00BA7C2C" w:rsidP="00613EE2">
            <w:pPr>
              <w:rPr>
                <w:rFonts w:cs="Arial"/>
              </w:rPr>
            </w:pPr>
            <w:r w:rsidRPr="007223F2">
              <w:rPr>
                <w:rFonts w:cs="Arial"/>
              </w:rPr>
              <w:t>Realistic worst-case</w:t>
            </w:r>
          </w:p>
        </w:tc>
        <w:tc>
          <w:tcPr>
            <w:tcW w:w="0" w:type="auto"/>
          </w:tcPr>
          <w:p w:rsidR="00BA7C2C" w:rsidRPr="007223F2" w:rsidRDefault="00BA7C2C" w:rsidP="00613EE2">
            <w:pPr>
              <w:rPr>
                <w:rFonts w:cs="Arial"/>
              </w:rPr>
            </w:pPr>
            <w:r w:rsidRPr="007223F2">
              <w:rPr>
                <w:rFonts w:cs="Arial"/>
              </w:rPr>
              <w:t>0.0053</w:t>
            </w:r>
          </w:p>
        </w:tc>
        <w:tc>
          <w:tcPr>
            <w:tcW w:w="0" w:type="auto"/>
          </w:tcPr>
          <w:p w:rsidR="00BA7C2C" w:rsidRPr="007223F2" w:rsidRDefault="00BA7C2C" w:rsidP="00613EE2">
            <w:pPr>
              <w:rPr>
                <w:rFonts w:cs="Arial"/>
              </w:rPr>
            </w:pPr>
            <w:r w:rsidRPr="007223F2">
              <w:rPr>
                <w:rFonts w:cs="Arial"/>
              </w:rPr>
              <w:t>0.0084</w:t>
            </w:r>
          </w:p>
        </w:tc>
        <w:tc>
          <w:tcPr>
            <w:tcW w:w="0" w:type="auto"/>
          </w:tcPr>
          <w:p w:rsidR="00BA7C2C" w:rsidRPr="007223F2" w:rsidRDefault="00BA7C2C" w:rsidP="00613EE2">
            <w:pPr>
              <w:rPr>
                <w:rFonts w:cs="Arial"/>
              </w:rPr>
            </w:pPr>
            <w:r w:rsidRPr="007223F2">
              <w:rPr>
                <w:rFonts w:cs="Arial"/>
              </w:rPr>
              <w:t> 0.6</w:t>
            </w:r>
          </w:p>
        </w:tc>
      </w:tr>
      <w:tr w:rsidR="00BA7C2C" w:rsidRPr="007223F2" w:rsidTr="00613EE2">
        <w:tc>
          <w:tcPr>
            <w:tcW w:w="0" w:type="auto"/>
            <w:tcBorders>
              <w:bottom w:val="single" w:sz="4" w:space="0" w:color="auto"/>
            </w:tcBorders>
          </w:tcPr>
          <w:p w:rsidR="00BA7C2C" w:rsidRPr="007223F2" w:rsidRDefault="00BA7C2C" w:rsidP="00613EE2">
            <w:pPr>
              <w:rPr>
                <w:rFonts w:cs="Arial"/>
              </w:rPr>
            </w:pPr>
            <w:r w:rsidRPr="007223F2">
              <w:rPr>
                <w:rFonts w:cs="Arial"/>
              </w:rPr>
              <w:t>Typical</w:t>
            </w:r>
          </w:p>
        </w:tc>
        <w:tc>
          <w:tcPr>
            <w:tcW w:w="0" w:type="auto"/>
            <w:tcBorders>
              <w:bottom w:val="single" w:sz="4" w:space="0" w:color="auto"/>
            </w:tcBorders>
          </w:tcPr>
          <w:p w:rsidR="00BA7C2C" w:rsidRPr="007223F2" w:rsidRDefault="00BA7C2C" w:rsidP="00613EE2">
            <w:pPr>
              <w:rPr>
                <w:rFonts w:cs="Arial"/>
              </w:rPr>
            </w:pPr>
            <w:r w:rsidRPr="007223F2">
              <w:rPr>
                <w:rFonts w:cs="Arial"/>
              </w:rPr>
              <w:t>0.0016</w:t>
            </w:r>
          </w:p>
        </w:tc>
        <w:tc>
          <w:tcPr>
            <w:tcW w:w="0" w:type="auto"/>
            <w:tcBorders>
              <w:bottom w:val="single" w:sz="4" w:space="0" w:color="auto"/>
            </w:tcBorders>
          </w:tcPr>
          <w:p w:rsidR="00BA7C2C" w:rsidRPr="007223F2" w:rsidRDefault="00BA7C2C" w:rsidP="00613EE2">
            <w:pPr>
              <w:rPr>
                <w:rFonts w:cs="Arial"/>
              </w:rPr>
            </w:pPr>
            <w:r w:rsidRPr="007223F2">
              <w:rPr>
                <w:rFonts w:cs="Arial"/>
              </w:rPr>
              <w:t>0.0084</w:t>
            </w:r>
          </w:p>
        </w:tc>
        <w:tc>
          <w:tcPr>
            <w:tcW w:w="0" w:type="auto"/>
            <w:tcBorders>
              <w:bottom w:val="single" w:sz="4" w:space="0" w:color="auto"/>
            </w:tcBorders>
          </w:tcPr>
          <w:p w:rsidR="00BA7C2C" w:rsidRPr="007223F2" w:rsidRDefault="00BA7C2C" w:rsidP="00613EE2">
            <w:pPr>
              <w:rPr>
                <w:rFonts w:cs="Arial"/>
              </w:rPr>
            </w:pPr>
            <w:r w:rsidRPr="007223F2">
              <w:rPr>
                <w:rFonts w:cs="Arial"/>
              </w:rPr>
              <w:t> 0.2</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lastRenderedPageBreak/>
        <w:t>The PEC/PNEC ratios are less than 1.0, indicating that the exposure to bromadiolone that arises following the use of MAKI PAT’ in and around buildings presents no unacceptable risks to soil-dwelling invertebrates.</w:t>
      </w:r>
    </w:p>
    <w:p w:rsidR="00BA7C2C" w:rsidRPr="007223F2" w:rsidRDefault="00BA7C2C" w:rsidP="00BA7C2C">
      <w:pPr>
        <w:rPr>
          <w:rFonts w:cs="Arial"/>
        </w:rPr>
      </w:pPr>
    </w:p>
    <w:p w:rsidR="00BA7C2C" w:rsidRPr="007223F2" w:rsidRDefault="00BA7C2C" w:rsidP="00BA7C2C">
      <w:pPr>
        <w:rPr>
          <w:rFonts w:cs="Arial"/>
          <w:b/>
        </w:rPr>
      </w:pPr>
      <w:bookmarkStart w:id="832" w:name="_Toc263859923"/>
      <w:r w:rsidRPr="007223F2">
        <w:rPr>
          <w:rFonts w:cs="Arial"/>
          <w:b/>
        </w:rPr>
        <w:t>Open areas</w:t>
      </w:r>
      <w:bookmarkEnd w:id="832"/>
    </w:p>
    <w:p w:rsidR="00BA7C2C" w:rsidRPr="007223F2" w:rsidRDefault="00BA7C2C" w:rsidP="00BA7C2C">
      <w:pPr>
        <w:rPr>
          <w:rFonts w:cs="Arial"/>
        </w:rPr>
      </w:pPr>
      <w:r w:rsidRPr="007223F2">
        <w:rPr>
          <w:rFonts w:cs="Arial"/>
        </w:rPr>
        <w:t xml:space="preserve">MAKI PAT’ is applied in open areas by inserting them inside the openings of the tunnels of the target rodents and, according to the scenario presented in EUBEES 2, two such treatments would typically be applied in the space of six days. Bait deployment comprising 6 × 40 g pastes per application per tunnel entrance is considered in this assessment as the closest practical approximation to the </w:t>
      </w:r>
      <w:smartTag w:uri="urn:schemas-microsoft-com:office:smarttags" w:element="metricconverter">
        <w:smartTagPr>
          <w:attr w:name="ProductID" w:val="100ﾠg"/>
        </w:smartTagPr>
        <w:r w:rsidRPr="007223F2">
          <w:rPr>
            <w:rFonts w:cs="Arial"/>
          </w:rPr>
          <w:t>100 g</w:t>
        </w:r>
      </w:smartTag>
      <w:r w:rsidRPr="007223F2">
        <w:rPr>
          <w:rFonts w:cs="Arial"/>
        </w:rPr>
        <w:t xml:space="preserve"> bait application suggested in EUBEES 2. Based on a tunnel of </w:t>
      </w:r>
      <w:smartTag w:uri="urn:schemas-microsoft-com:office:smarttags" w:element="metricconverter">
        <w:smartTagPr>
          <w:attr w:name="ProductID" w:val="8ﾠcm"/>
        </w:smartTagPr>
        <w:r w:rsidRPr="007223F2">
          <w:rPr>
            <w:rFonts w:cs="Arial"/>
          </w:rPr>
          <w:t>8 cm</w:t>
        </w:r>
      </w:smartTag>
      <w:r w:rsidRPr="007223F2">
        <w:rPr>
          <w:rFonts w:cs="Arial"/>
        </w:rPr>
        <w:t xml:space="preserve"> diameter, worst-case soil exposure is assumed to occur to a depth of </w:t>
      </w:r>
      <w:smartTag w:uri="urn:schemas-microsoft-com:office:smarttags" w:element="metricconverter">
        <w:smartTagPr>
          <w:attr w:name="ProductID" w:val="10ﾠcm"/>
        </w:smartTagPr>
        <w:r w:rsidRPr="007223F2">
          <w:rPr>
            <w:rFonts w:cs="Arial"/>
          </w:rPr>
          <w:t>10 cm</w:t>
        </w:r>
      </w:smartTag>
      <w:r w:rsidRPr="007223F2">
        <w:rPr>
          <w:rFonts w:cs="Arial"/>
        </w:rPr>
        <w:t xml:space="preserve"> from the contact half (i</w:t>
      </w:r>
      <w:r w:rsidRPr="007223F2">
        <w:rPr>
          <w:rFonts w:cs="Arial"/>
          <w:i/>
        </w:rPr>
        <w:t>.e</w:t>
      </w:r>
      <w:r w:rsidRPr="007223F2">
        <w:rPr>
          <w:rFonts w:cs="Arial"/>
        </w:rPr>
        <w:t xml:space="preserve">. the burrow floor) of a </w:t>
      </w:r>
      <w:smartTag w:uri="urn:schemas-microsoft-com:office:smarttags" w:element="metricconverter">
        <w:smartTagPr>
          <w:attr w:name="ProductID" w:val="30ﾠcm"/>
        </w:smartTagPr>
        <w:r w:rsidRPr="007223F2">
          <w:rPr>
            <w:rFonts w:cs="Arial"/>
          </w:rPr>
          <w:t>30 cm</w:t>
        </w:r>
      </w:smartTag>
      <w:r w:rsidRPr="007223F2">
        <w:rPr>
          <w:rFonts w:cs="Arial"/>
        </w:rPr>
        <w:t xml:space="preserve"> tunnel section in which the bait is placed. This section of tunnel floor is assumed to receive an input corresponding to 5% of the product during application and a further 20% as the bait is consumed.</w:t>
      </w:r>
    </w:p>
    <w:p w:rsidR="00BA7C2C" w:rsidRPr="007223F2" w:rsidRDefault="00BA7C2C" w:rsidP="00BA7C2C">
      <w:pPr>
        <w:rPr>
          <w:rFonts w:cs="Arial"/>
        </w:rPr>
      </w:pPr>
    </w:p>
    <w:p w:rsidR="00BA7C2C" w:rsidRPr="007223F2" w:rsidRDefault="00BA7C2C" w:rsidP="00BA7C2C">
      <w:pPr>
        <w:rPr>
          <w:rFonts w:cs="Arial"/>
        </w:rPr>
      </w:pPr>
      <w:r w:rsidRPr="007223F2">
        <w:rPr>
          <w:rFonts w:cs="Arial"/>
          <w:b/>
        </w:rPr>
        <w:t>Concentrations of bromadiolone in soil following baiting in open areas with bait pastes</w:t>
      </w:r>
      <w:r w:rsidRPr="007223F2">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113"/>
        <w:gridCol w:w="1883"/>
        <w:gridCol w:w="2805"/>
      </w:tblGrid>
      <w:tr w:rsidR="00BA7C2C" w:rsidRPr="007223F2" w:rsidTr="00613EE2">
        <w:tc>
          <w:tcPr>
            <w:tcW w:w="0" w:type="auto"/>
          </w:tcPr>
          <w:p w:rsidR="00BA7C2C" w:rsidRPr="007223F2" w:rsidRDefault="00BA7C2C" w:rsidP="00613EE2">
            <w:pPr>
              <w:rPr>
                <w:rFonts w:cs="Arial"/>
                <w:b/>
              </w:rPr>
            </w:pPr>
            <w:r w:rsidRPr="007223F2">
              <w:rPr>
                <w:rFonts w:cs="Arial"/>
                <w:b/>
              </w:rPr>
              <w:t>Baiting scenario (EUBEES 2)</w:t>
            </w:r>
          </w:p>
        </w:tc>
        <w:tc>
          <w:tcPr>
            <w:tcW w:w="0" w:type="auto"/>
          </w:tcPr>
          <w:p w:rsidR="00BA7C2C" w:rsidRPr="007223F2" w:rsidRDefault="00BA7C2C" w:rsidP="00613EE2">
            <w:pPr>
              <w:rPr>
                <w:rFonts w:cs="Arial"/>
                <w:b/>
              </w:rPr>
            </w:pPr>
            <w:r w:rsidRPr="007223F2">
              <w:rPr>
                <w:rFonts w:cs="Arial"/>
                <w:b/>
              </w:rPr>
              <w:t>Bromadiolone applied</w:t>
            </w:r>
            <w:r w:rsidRPr="007223F2">
              <w:rPr>
                <w:rFonts w:cs="Arial"/>
                <w:b/>
              </w:rPr>
              <w:br/>
              <w:t>(mg)</w:t>
            </w:r>
            <w:r w:rsidRPr="007223F2">
              <w:rPr>
                <w:rFonts w:cs="Arial"/>
                <w:b/>
                <w:vertAlign w:val="superscript"/>
              </w:rPr>
              <w:t>a</w:t>
            </w:r>
          </w:p>
        </w:tc>
        <w:tc>
          <w:tcPr>
            <w:tcW w:w="0" w:type="auto"/>
          </w:tcPr>
          <w:p w:rsidR="00BA7C2C" w:rsidRPr="007223F2" w:rsidRDefault="00BA7C2C" w:rsidP="00613EE2">
            <w:pPr>
              <w:rPr>
                <w:rFonts w:cs="Arial"/>
                <w:b/>
                <w:lang w:val="fr-FR"/>
              </w:rPr>
            </w:pPr>
            <w:r w:rsidRPr="007223F2">
              <w:rPr>
                <w:rFonts w:cs="Arial"/>
                <w:b/>
                <w:lang w:val="fr-FR"/>
              </w:rPr>
              <w:t>Total direct deposition</w:t>
            </w:r>
            <w:r w:rsidRPr="007223F2">
              <w:rPr>
                <w:rFonts w:cs="Arial"/>
                <w:b/>
                <w:lang w:val="fr-FR"/>
              </w:rPr>
              <w:br/>
              <w:t>(mg)</w:t>
            </w:r>
            <w:r w:rsidRPr="007223F2">
              <w:rPr>
                <w:rFonts w:cs="Arial"/>
                <w:b/>
                <w:vertAlign w:val="superscript"/>
                <w:lang w:val="fr-FR"/>
              </w:rPr>
              <w:t>b</w:t>
            </w:r>
          </w:p>
        </w:tc>
        <w:tc>
          <w:tcPr>
            <w:tcW w:w="0" w:type="auto"/>
          </w:tcPr>
          <w:p w:rsidR="00BA7C2C" w:rsidRPr="007223F2" w:rsidRDefault="00BA7C2C" w:rsidP="00613EE2">
            <w:pPr>
              <w:rPr>
                <w:rFonts w:cs="Arial"/>
                <w:b/>
              </w:rPr>
            </w:pPr>
            <w:r w:rsidRPr="007223F2">
              <w:rPr>
                <w:rFonts w:cs="Arial"/>
                <w:b/>
              </w:rPr>
              <w:t>PECsoil</w:t>
            </w:r>
            <w:r w:rsidRPr="007223F2">
              <w:rPr>
                <w:rFonts w:cs="Arial"/>
                <w:b/>
              </w:rPr>
              <w:br/>
              <w:t>(mg bromadiolone/kg ww)</w:t>
            </w:r>
            <w:r w:rsidRPr="007223F2">
              <w:rPr>
                <w:rFonts w:cs="Arial"/>
                <w:b/>
                <w:vertAlign w:val="superscript"/>
              </w:rPr>
              <w:t>c</w:t>
            </w:r>
          </w:p>
        </w:tc>
      </w:tr>
      <w:tr w:rsidR="00BA7C2C" w:rsidRPr="007223F2" w:rsidTr="00613EE2">
        <w:tc>
          <w:tcPr>
            <w:tcW w:w="0" w:type="auto"/>
            <w:tcBorders>
              <w:bottom w:val="single" w:sz="4" w:space="0" w:color="auto"/>
            </w:tcBorders>
          </w:tcPr>
          <w:p w:rsidR="00BA7C2C" w:rsidRPr="007223F2" w:rsidRDefault="00BA7C2C" w:rsidP="00613EE2">
            <w:pPr>
              <w:rPr>
                <w:rFonts w:cs="Arial"/>
              </w:rPr>
            </w:pPr>
            <w:r w:rsidRPr="007223F2">
              <w:rPr>
                <w:rFonts w:cs="Arial"/>
              </w:rPr>
              <w:t>Worst-case</w:t>
            </w:r>
          </w:p>
        </w:tc>
        <w:tc>
          <w:tcPr>
            <w:tcW w:w="0" w:type="auto"/>
            <w:tcBorders>
              <w:bottom w:val="single" w:sz="4" w:space="0" w:color="auto"/>
            </w:tcBorders>
          </w:tcPr>
          <w:p w:rsidR="00BA7C2C" w:rsidRPr="007223F2" w:rsidRDefault="00BA7C2C" w:rsidP="00613EE2">
            <w:pPr>
              <w:rPr>
                <w:rFonts w:cs="Arial"/>
              </w:rPr>
            </w:pPr>
            <w:r w:rsidRPr="007223F2">
              <w:rPr>
                <w:rFonts w:cs="Arial"/>
              </w:rPr>
              <w:t>24.0</w:t>
            </w:r>
          </w:p>
        </w:tc>
        <w:tc>
          <w:tcPr>
            <w:tcW w:w="0" w:type="auto"/>
            <w:tcBorders>
              <w:bottom w:val="single" w:sz="4" w:space="0" w:color="auto"/>
            </w:tcBorders>
          </w:tcPr>
          <w:p w:rsidR="00BA7C2C" w:rsidRPr="007223F2" w:rsidRDefault="00BA7C2C" w:rsidP="00613EE2">
            <w:pPr>
              <w:rPr>
                <w:rFonts w:cs="Arial"/>
              </w:rPr>
            </w:pPr>
            <w:r w:rsidRPr="007223F2">
              <w:rPr>
                <w:rFonts w:cs="Arial"/>
              </w:rPr>
              <w:t>6.0</w:t>
            </w:r>
          </w:p>
        </w:tc>
        <w:tc>
          <w:tcPr>
            <w:tcW w:w="0" w:type="auto"/>
            <w:tcBorders>
              <w:bottom w:val="single" w:sz="4" w:space="0" w:color="auto"/>
            </w:tcBorders>
          </w:tcPr>
          <w:p w:rsidR="00BA7C2C" w:rsidRPr="007223F2" w:rsidRDefault="00BA7C2C" w:rsidP="00613EE2">
            <w:pPr>
              <w:rPr>
                <w:rFonts w:cs="Arial"/>
              </w:rPr>
            </w:pPr>
            <w:r w:rsidRPr="007223F2">
              <w:rPr>
                <w:rFonts w:cs="Arial"/>
              </w:rPr>
              <w:t>0.415</w:t>
            </w:r>
          </w:p>
        </w:tc>
      </w:tr>
      <w:tr w:rsidR="00BA7C2C" w:rsidRPr="007223F2" w:rsidTr="00613EE2">
        <w:tc>
          <w:tcPr>
            <w:tcW w:w="0" w:type="auto"/>
            <w:gridSpan w:val="4"/>
            <w:tcBorders>
              <w:left w:val="single" w:sz="4" w:space="0" w:color="auto"/>
              <w:bottom w:val="single" w:sz="4" w:space="0" w:color="auto"/>
              <w:right w:val="single" w:sz="4" w:space="0" w:color="auto"/>
            </w:tcBorders>
          </w:tcPr>
          <w:p w:rsidR="00BA7C2C" w:rsidRPr="007223F2" w:rsidRDefault="00BA7C2C" w:rsidP="00613EE2">
            <w:pPr>
              <w:spacing w:before="40" w:after="240" w:line="240" w:lineRule="auto"/>
              <w:rPr>
                <w:rFonts w:cs="Arial"/>
              </w:rPr>
            </w:pPr>
            <w:r w:rsidRPr="007223F2">
              <w:rPr>
                <w:rFonts w:cs="Arial"/>
              </w:rPr>
              <w:t>a based on 2 × (6 × 40 g) pastes containing 50 mg bromadiolone/kg;</w:t>
            </w:r>
            <w:r w:rsidRPr="007223F2">
              <w:rPr>
                <w:rFonts w:cs="Arial"/>
              </w:rPr>
              <w:br/>
              <w:t>b based on inputs during application and consumption giving a combined deposition of 25%;</w:t>
            </w:r>
            <w:r w:rsidRPr="007223F2">
              <w:rPr>
                <w:rFonts w:cs="Arial"/>
              </w:rPr>
              <w:br/>
              <w:t xml:space="preserve">c based on uniform distribution in a semi-cylinder of soil of </w:t>
            </w:r>
            <w:smartTag w:uri="urn:schemas-microsoft-com:office:smarttags" w:element="metricconverter">
              <w:smartTagPr>
                <w:attr w:name="ProductID" w:val="4ﾠcm"/>
              </w:smartTagPr>
              <w:r w:rsidRPr="007223F2">
                <w:rPr>
                  <w:rFonts w:cs="Arial"/>
                </w:rPr>
                <w:t>4 cm</w:t>
              </w:r>
            </w:smartTag>
            <w:r w:rsidRPr="007223F2">
              <w:rPr>
                <w:rFonts w:cs="Arial"/>
              </w:rPr>
              <w:t xml:space="preserve"> and </w:t>
            </w:r>
            <w:smartTag w:uri="urn:schemas-microsoft-com:office:smarttags" w:element="metricconverter">
              <w:smartTagPr>
                <w:attr w:name="ProductID" w:val="14ﾠcm"/>
              </w:smartTagPr>
              <w:r w:rsidRPr="007223F2">
                <w:rPr>
                  <w:rFonts w:cs="Arial"/>
                </w:rPr>
                <w:t>14 cm</w:t>
              </w:r>
            </w:smartTag>
            <w:r w:rsidRPr="007223F2">
              <w:rPr>
                <w:rFonts w:cs="Arial"/>
              </w:rPr>
              <w:t xml:space="preserve"> inner and outer radius, respectively, </w:t>
            </w:r>
            <w:smartTag w:uri="urn:schemas-microsoft-com:office:smarttags" w:element="metricconverter">
              <w:smartTagPr>
                <w:attr w:name="ProductID" w:val="30ﾠcm"/>
              </w:smartTagPr>
              <w:r w:rsidRPr="007223F2">
                <w:rPr>
                  <w:rFonts w:cs="Arial"/>
                </w:rPr>
                <w:t>30 cm</w:t>
              </w:r>
            </w:smartTag>
            <w:r w:rsidRPr="007223F2">
              <w:rPr>
                <w:rFonts w:cs="Arial"/>
              </w:rPr>
              <w:t xml:space="preserve"> length (volume: 8,500 cm</w:t>
            </w:r>
            <w:r w:rsidRPr="007223F2">
              <w:rPr>
                <w:rFonts w:cs="Arial"/>
                <w:vertAlign w:val="superscript"/>
              </w:rPr>
              <w:t>3</w:t>
            </w:r>
            <w:r w:rsidRPr="007223F2">
              <w:rPr>
                <w:rFonts w:cs="Arial"/>
              </w:rPr>
              <w:t>) and a wet soil bulk density of 1.7 g/cm</w:t>
            </w:r>
            <w:r w:rsidRPr="007223F2">
              <w:rPr>
                <w:rFonts w:cs="Arial"/>
                <w:vertAlign w:val="superscript"/>
              </w:rPr>
              <w:t>3</w:t>
            </w:r>
            <w:r w:rsidRPr="007223F2">
              <w:rPr>
                <w:rFonts w:cs="Arial"/>
              </w:rPr>
              <w:t>.</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The predicted concentration of 0.415 mg bromadiolone/kg soil represents the worst-case in the immediate vicinity of each bait application.</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PECsoil/PNECsoil for soil-dwelling invertebrates exposed to bromadiolone following use of paste bait in rodent tunnels in open areas</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826"/>
        <w:gridCol w:w="2750"/>
        <w:gridCol w:w="1661"/>
      </w:tblGrid>
      <w:tr w:rsidR="00BA7C2C" w:rsidRPr="007223F2" w:rsidTr="00613EE2">
        <w:tc>
          <w:tcPr>
            <w:tcW w:w="1904" w:type="dxa"/>
          </w:tcPr>
          <w:p w:rsidR="00BA7C2C" w:rsidRPr="007223F2" w:rsidRDefault="00BA7C2C" w:rsidP="00613EE2">
            <w:pPr>
              <w:rPr>
                <w:rFonts w:cs="Arial"/>
                <w:b/>
              </w:rPr>
            </w:pPr>
            <w:r w:rsidRPr="007223F2">
              <w:rPr>
                <w:rFonts w:cs="Arial"/>
                <w:b/>
              </w:rPr>
              <w:t>Baiting scenario (EUBEES 2)</w:t>
            </w:r>
          </w:p>
        </w:tc>
        <w:tc>
          <w:tcPr>
            <w:tcW w:w="2826" w:type="dxa"/>
          </w:tcPr>
          <w:p w:rsidR="00BA7C2C" w:rsidRPr="007223F2" w:rsidRDefault="00BA7C2C" w:rsidP="00613EE2">
            <w:pPr>
              <w:rPr>
                <w:rFonts w:cs="Arial"/>
                <w:b/>
              </w:rPr>
            </w:pPr>
            <w:r w:rsidRPr="007223F2">
              <w:rPr>
                <w:rFonts w:cs="Arial"/>
                <w:b/>
              </w:rPr>
              <w:t>PECsoil (mg bromadiolone/kg ww)</w:t>
            </w:r>
          </w:p>
        </w:tc>
        <w:tc>
          <w:tcPr>
            <w:tcW w:w="2750" w:type="dxa"/>
          </w:tcPr>
          <w:p w:rsidR="00BA7C2C" w:rsidRPr="007223F2" w:rsidRDefault="00BA7C2C" w:rsidP="00613EE2">
            <w:pPr>
              <w:rPr>
                <w:rFonts w:cs="Arial"/>
                <w:b/>
              </w:rPr>
            </w:pPr>
            <w:r w:rsidRPr="007223F2">
              <w:rPr>
                <w:rFonts w:cs="Arial"/>
                <w:b/>
              </w:rPr>
              <w:t>PNECsoil (mg bromadiolone/kg ww)</w:t>
            </w:r>
          </w:p>
        </w:tc>
        <w:tc>
          <w:tcPr>
            <w:tcW w:w="1661" w:type="dxa"/>
          </w:tcPr>
          <w:p w:rsidR="00BA7C2C" w:rsidRPr="007223F2" w:rsidRDefault="00BA7C2C" w:rsidP="00613EE2">
            <w:pPr>
              <w:rPr>
                <w:rFonts w:cs="Arial"/>
                <w:b/>
              </w:rPr>
            </w:pPr>
            <w:r w:rsidRPr="007223F2">
              <w:rPr>
                <w:rFonts w:cs="Arial"/>
                <w:b/>
              </w:rPr>
              <w:t>PEC/PNEC ratio</w:t>
            </w:r>
          </w:p>
        </w:tc>
      </w:tr>
      <w:tr w:rsidR="00BA7C2C" w:rsidRPr="007223F2" w:rsidTr="00613EE2">
        <w:tc>
          <w:tcPr>
            <w:tcW w:w="1904" w:type="dxa"/>
          </w:tcPr>
          <w:p w:rsidR="00BA7C2C" w:rsidRPr="007223F2" w:rsidRDefault="00BA7C2C" w:rsidP="00613EE2">
            <w:pPr>
              <w:rPr>
                <w:rFonts w:cs="Arial"/>
              </w:rPr>
            </w:pPr>
            <w:r w:rsidRPr="007223F2">
              <w:rPr>
                <w:rFonts w:cs="Arial"/>
              </w:rPr>
              <w:t>Worst-case</w:t>
            </w:r>
          </w:p>
        </w:tc>
        <w:tc>
          <w:tcPr>
            <w:tcW w:w="2826" w:type="dxa"/>
          </w:tcPr>
          <w:p w:rsidR="00BA7C2C" w:rsidRPr="007223F2" w:rsidRDefault="00BA7C2C" w:rsidP="00613EE2">
            <w:pPr>
              <w:rPr>
                <w:rFonts w:cs="Arial"/>
              </w:rPr>
            </w:pPr>
            <w:r w:rsidRPr="007223F2">
              <w:rPr>
                <w:rFonts w:cs="Arial"/>
              </w:rPr>
              <w:t>0.415</w:t>
            </w:r>
          </w:p>
        </w:tc>
        <w:tc>
          <w:tcPr>
            <w:tcW w:w="2750" w:type="dxa"/>
          </w:tcPr>
          <w:p w:rsidR="00BA7C2C" w:rsidRPr="007223F2" w:rsidRDefault="00BA7C2C" w:rsidP="00613EE2">
            <w:pPr>
              <w:rPr>
                <w:rFonts w:cs="Arial"/>
              </w:rPr>
            </w:pPr>
            <w:r w:rsidRPr="007223F2">
              <w:rPr>
                <w:rFonts w:cs="Arial"/>
              </w:rPr>
              <w:t>0.0084</w:t>
            </w:r>
          </w:p>
        </w:tc>
        <w:tc>
          <w:tcPr>
            <w:tcW w:w="1661" w:type="dxa"/>
          </w:tcPr>
          <w:p w:rsidR="00BA7C2C" w:rsidRPr="007223F2" w:rsidRDefault="00BA7C2C" w:rsidP="00613EE2">
            <w:pPr>
              <w:rPr>
                <w:rFonts w:cs="Arial"/>
              </w:rPr>
            </w:pPr>
            <w:r w:rsidRPr="007223F2">
              <w:rPr>
                <w:rFonts w:cs="Arial"/>
              </w:rPr>
              <w:t>49.4</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The PEC/PNEC ratios calculated indicate a potential risk based on the PEC that represents a localised “hotspot” of contamination near the entrance of each baited tunnel.</w:t>
      </w:r>
    </w:p>
    <w:p w:rsidR="00BA7C2C" w:rsidRPr="007223F2" w:rsidRDefault="00BA7C2C" w:rsidP="00BA7C2C">
      <w:pPr>
        <w:rPr>
          <w:rFonts w:cs="Arial"/>
          <w:b/>
        </w:rPr>
      </w:pPr>
      <w:bookmarkStart w:id="833" w:name="_Toc263859924"/>
    </w:p>
    <w:p w:rsidR="00BA7C2C" w:rsidRPr="007223F2" w:rsidRDefault="00BA7C2C" w:rsidP="00BA7C2C">
      <w:pPr>
        <w:rPr>
          <w:rFonts w:cs="Arial"/>
          <w:b/>
        </w:rPr>
      </w:pPr>
      <w:r w:rsidRPr="007223F2">
        <w:rPr>
          <w:rFonts w:cs="Arial"/>
          <w:b/>
        </w:rPr>
        <w:t>Waste dumps</w:t>
      </w:r>
      <w:bookmarkEnd w:id="833"/>
    </w:p>
    <w:p w:rsidR="00BA7C2C" w:rsidRPr="007223F2" w:rsidRDefault="00BA7C2C" w:rsidP="00BA7C2C">
      <w:pPr>
        <w:rPr>
          <w:rFonts w:cs="Arial"/>
        </w:rPr>
      </w:pPr>
      <w:r w:rsidRPr="007223F2">
        <w:rPr>
          <w:rFonts w:cs="Arial"/>
        </w:rPr>
        <w:t xml:space="preserve">Paste baits are deployed around the perimeter of waste-dumps and land-fill sites to control populations of rats. EUBEES 2 suggests a worst-case scenario in the event of an infestation outbreak that entails </w:t>
      </w:r>
      <w:smartTag w:uri="urn:schemas-microsoft-com:office:smarttags" w:element="metricconverter">
        <w:smartTagPr>
          <w:attr w:name="ProductID" w:val="40ﾠkg"/>
        </w:smartTagPr>
        <w:r w:rsidRPr="007223F2">
          <w:rPr>
            <w:rFonts w:cs="Arial"/>
          </w:rPr>
          <w:t>40 kg</w:t>
        </w:r>
      </w:smartTag>
      <w:r w:rsidRPr="007223F2">
        <w:rPr>
          <w:rFonts w:cs="Arial"/>
        </w:rPr>
        <w:t xml:space="preserve"> of paste protected inside bait boxes distributed over an area of </w:t>
      </w:r>
      <w:smartTag w:uri="urn:schemas-microsoft-com:office:smarttags" w:element="metricconverter">
        <w:smartTagPr>
          <w:attr w:name="ProductID" w:val="1ﾠha"/>
        </w:smartTagPr>
        <w:r w:rsidRPr="007223F2">
          <w:rPr>
            <w:rFonts w:cs="Arial"/>
          </w:rPr>
          <w:t>1 ha</w:t>
        </w:r>
      </w:smartTag>
      <w:r w:rsidRPr="007223F2">
        <w:rPr>
          <w:rFonts w:cs="Arial"/>
        </w:rPr>
        <w:t xml:space="preserve">, with a total of seven such applications per year. In this situation, soil exposure is assumed to arise through a combination of deposition via urine and faeces plus the rodenticide contained in the </w:t>
      </w:r>
      <w:r w:rsidRPr="007223F2">
        <w:rPr>
          <w:rFonts w:cs="Arial"/>
        </w:rPr>
        <w:lastRenderedPageBreak/>
        <w:t xml:space="preserve">carcasses of poisoned target rodents. The EUBEES 2 scenario for blocks is considered to be appropriate for paste baits. In general, ninety percent of the total amount of rodenticide consumed by the target rodents over the duration of each baiting campaign is assumed to enter soil over the </w:t>
      </w:r>
      <w:smartTag w:uri="urn:schemas-microsoft-com:office:smarttags" w:element="metricconverter">
        <w:smartTagPr>
          <w:attr w:name="ProductID" w:val="1ﾠha"/>
        </w:smartTagPr>
        <w:r w:rsidRPr="007223F2">
          <w:rPr>
            <w:rFonts w:cs="Arial"/>
          </w:rPr>
          <w:t>1 ha</w:t>
        </w:r>
      </w:smartTag>
      <w:r w:rsidRPr="007223F2">
        <w:rPr>
          <w:rFonts w:cs="Arial"/>
        </w:rPr>
        <w:t xml:space="preserve"> surface, but this value is reduced to 22% in this case, based on the extensive metabolism of bromadiolone by rats.</w:t>
      </w:r>
    </w:p>
    <w:p w:rsidR="00BA7C2C" w:rsidRPr="007223F2" w:rsidRDefault="00BA7C2C" w:rsidP="00BA7C2C">
      <w:pPr>
        <w:spacing w:after="240" w:line="240" w:lineRule="auto"/>
        <w:rPr>
          <w:rFonts w:cs="Arial"/>
        </w:rPr>
      </w:pPr>
      <w:r w:rsidRPr="007223F2">
        <w:rPr>
          <w:rFonts w:cs="Arial"/>
        </w:rPr>
        <w:t>According to the worst-case scenario, the total bromadiolone release (Elocalsoil, mg) to the soil surface may be calculated according to:</w:t>
      </w:r>
    </w:p>
    <w:p w:rsidR="00BA7C2C" w:rsidRPr="007223F2" w:rsidRDefault="00BA7C2C" w:rsidP="00BA7C2C">
      <w:pPr>
        <w:rPr>
          <w:rFonts w:cs="Arial"/>
        </w:rPr>
      </w:pPr>
      <w:r w:rsidRPr="007223F2">
        <w:rPr>
          <w:rFonts w:cs="Arial"/>
        </w:rPr>
        <w:t>Elocal</w:t>
      </w:r>
      <w:r w:rsidRPr="007223F2">
        <w:rPr>
          <w:rFonts w:cs="Arial"/>
          <w:vertAlign w:val="subscript"/>
        </w:rPr>
        <w:t>soil</w:t>
      </w:r>
      <w:r w:rsidRPr="007223F2">
        <w:rPr>
          <w:rFonts w:cs="Arial"/>
        </w:rPr>
        <w:t xml:space="preserve"> = Q</w:t>
      </w:r>
      <w:r w:rsidRPr="007223F2">
        <w:rPr>
          <w:rFonts w:cs="Arial"/>
          <w:vertAlign w:val="subscript"/>
        </w:rPr>
        <w:t>prod</w:t>
      </w:r>
      <w:r w:rsidRPr="007223F2">
        <w:rPr>
          <w:rFonts w:cs="Arial"/>
        </w:rPr>
        <w:t> × Fc</w:t>
      </w:r>
      <w:r w:rsidRPr="007223F2">
        <w:rPr>
          <w:rFonts w:cs="Arial"/>
          <w:vertAlign w:val="subscript"/>
        </w:rPr>
        <w:t>prod</w:t>
      </w:r>
      <w:r w:rsidRPr="007223F2">
        <w:rPr>
          <w:rFonts w:cs="Arial"/>
        </w:rPr>
        <w:t> × N</w:t>
      </w:r>
      <w:r w:rsidRPr="007223F2">
        <w:rPr>
          <w:rFonts w:cs="Arial"/>
          <w:vertAlign w:val="subscript"/>
        </w:rPr>
        <w:t>app</w:t>
      </w:r>
      <w:r w:rsidRPr="007223F2">
        <w:rPr>
          <w:rFonts w:cs="Arial"/>
        </w:rPr>
        <w:t> × F</w:t>
      </w:r>
      <w:r w:rsidRPr="007223F2">
        <w:rPr>
          <w:rFonts w:cs="Arial"/>
          <w:vertAlign w:val="subscript"/>
        </w:rPr>
        <w:t>release, soil</w:t>
      </w:r>
      <w:r w:rsidRPr="007223F2">
        <w:rPr>
          <w:rFonts w:cs="Arial"/>
        </w:rPr>
        <w:t xml:space="preserve">, </w:t>
      </w:r>
    </w:p>
    <w:p w:rsidR="00BA7C2C" w:rsidRPr="007223F2" w:rsidRDefault="00BA7C2C" w:rsidP="00BA7C2C">
      <w:pPr>
        <w:rPr>
          <w:rFonts w:cs="Arial"/>
        </w:rPr>
      </w:pPr>
      <w:r w:rsidRPr="007223F2">
        <w:rPr>
          <w:rFonts w:cs="Arial"/>
        </w:rPr>
        <w:t>Where:</w:t>
      </w:r>
    </w:p>
    <w:p w:rsidR="00BA7C2C" w:rsidRPr="007223F2" w:rsidRDefault="00BA7C2C" w:rsidP="00BA7C2C">
      <w:pPr>
        <w:rPr>
          <w:rFonts w:cs="Arial"/>
        </w:rPr>
      </w:pPr>
      <w:r w:rsidRPr="007223F2">
        <w:rPr>
          <w:rFonts w:cs="Arial"/>
        </w:rPr>
        <w:t>Q</w:t>
      </w:r>
      <w:r w:rsidRPr="007223F2">
        <w:rPr>
          <w:rFonts w:cs="Arial"/>
          <w:vertAlign w:val="subscript"/>
        </w:rPr>
        <w:t>prod</w:t>
      </w:r>
      <w:r w:rsidRPr="007223F2">
        <w:rPr>
          <w:rFonts w:cs="Arial"/>
        </w:rPr>
        <w:t xml:space="preserve"> </w:t>
      </w:r>
      <w:r w:rsidRPr="007223F2">
        <w:rPr>
          <w:rFonts w:cs="Arial"/>
        </w:rPr>
        <w:tab/>
        <w:t>= the total weight of paste (</w:t>
      </w:r>
      <w:smartTag w:uri="urn:schemas-microsoft-com:office:smarttags" w:element="metricconverter">
        <w:smartTagPr>
          <w:attr w:name="ProductID" w:val="40ﾠkg"/>
        </w:smartTagPr>
        <w:r w:rsidRPr="007223F2">
          <w:rPr>
            <w:rFonts w:cs="Arial"/>
          </w:rPr>
          <w:t>40 kg</w:t>
        </w:r>
      </w:smartTag>
      <w:r w:rsidRPr="007223F2">
        <w:rPr>
          <w:rFonts w:cs="Arial"/>
        </w:rPr>
        <w:t>)</w:t>
      </w:r>
      <w:r w:rsidRPr="007223F2">
        <w:rPr>
          <w:rFonts w:cs="Arial"/>
        </w:rPr>
        <w:br/>
        <w:t>Fc</w:t>
      </w:r>
      <w:r w:rsidRPr="007223F2">
        <w:rPr>
          <w:rFonts w:cs="Arial"/>
          <w:vertAlign w:val="subscript"/>
        </w:rPr>
        <w:t>prod</w:t>
      </w:r>
      <w:r w:rsidRPr="007223F2">
        <w:rPr>
          <w:rFonts w:cs="Arial"/>
        </w:rPr>
        <w:t xml:space="preserve"> </w:t>
      </w:r>
      <w:r w:rsidRPr="007223F2">
        <w:rPr>
          <w:rFonts w:cs="Arial"/>
        </w:rPr>
        <w:tab/>
        <w:t>= the concentration of bromadiolone in the paste product (50 mg/kg)</w:t>
      </w:r>
      <w:r w:rsidRPr="007223F2">
        <w:rPr>
          <w:rFonts w:cs="Arial"/>
        </w:rPr>
        <w:br/>
        <w:t>N</w:t>
      </w:r>
      <w:r w:rsidRPr="007223F2">
        <w:rPr>
          <w:rFonts w:cs="Arial"/>
          <w:vertAlign w:val="subscript"/>
        </w:rPr>
        <w:t>app</w:t>
      </w:r>
      <w:r w:rsidRPr="007223F2">
        <w:rPr>
          <w:rFonts w:cs="Arial"/>
        </w:rPr>
        <w:t xml:space="preserve"> </w:t>
      </w:r>
      <w:r w:rsidRPr="007223F2">
        <w:rPr>
          <w:rFonts w:cs="Arial"/>
        </w:rPr>
        <w:tab/>
        <w:t>= the number of applications (7)</w:t>
      </w:r>
      <w:r w:rsidRPr="007223F2">
        <w:rPr>
          <w:rFonts w:cs="Arial"/>
        </w:rPr>
        <w:br/>
        <w:t>F</w:t>
      </w:r>
      <w:r w:rsidRPr="007223F2">
        <w:rPr>
          <w:rFonts w:cs="Arial"/>
          <w:vertAlign w:val="subscript"/>
        </w:rPr>
        <w:t>release, soil</w:t>
      </w:r>
      <w:r w:rsidRPr="007223F2">
        <w:rPr>
          <w:rFonts w:cs="Arial"/>
        </w:rPr>
        <w:t xml:space="preserve"> </w:t>
      </w:r>
      <w:r w:rsidRPr="007223F2">
        <w:rPr>
          <w:rFonts w:cs="Arial"/>
        </w:rPr>
        <w:tab/>
        <w:t>= the fraction released to soil (0.22).</w:t>
      </w: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rPr>
        <w:lastRenderedPageBreak/>
        <w:t>Worst-case concentration of bromadiolone in soil following baiting around waste dumps/landfills with bait pastes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3047"/>
        <w:gridCol w:w="3047"/>
      </w:tblGrid>
      <w:tr w:rsidR="00BA7C2C" w:rsidRPr="007223F2" w:rsidTr="00613EE2">
        <w:trPr>
          <w:trHeight w:val="475"/>
        </w:trPr>
        <w:tc>
          <w:tcPr>
            <w:tcW w:w="3047" w:type="dxa"/>
          </w:tcPr>
          <w:p w:rsidR="00BA7C2C" w:rsidRPr="007223F2" w:rsidRDefault="00BA7C2C" w:rsidP="00613EE2">
            <w:pPr>
              <w:rPr>
                <w:rFonts w:cs="Arial"/>
                <w:b/>
              </w:rPr>
            </w:pPr>
            <w:r w:rsidRPr="007223F2">
              <w:rPr>
                <w:rFonts w:cs="Arial"/>
                <w:b/>
              </w:rPr>
              <w:t>Baiting scenario</w:t>
            </w:r>
          </w:p>
        </w:tc>
        <w:tc>
          <w:tcPr>
            <w:tcW w:w="3047" w:type="dxa"/>
          </w:tcPr>
          <w:p w:rsidR="00BA7C2C" w:rsidRPr="007223F2" w:rsidRDefault="00BA7C2C" w:rsidP="00613EE2">
            <w:pPr>
              <w:rPr>
                <w:rFonts w:cs="Arial"/>
                <w:b/>
              </w:rPr>
            </w:pPr>
            <w:r w:rsidRPr="007223F2">
              <w:rPr>
                <w:rFonts w:cs="Arial"/>
                <w:b/>
              </w:rPr>
              <w:t>Release to soil</w:t>
            </w:r>
            <w:r w:rsidRPr="007223F2">
              <w:rPr>
                <w:rFonts w:cs="Arial"/>
                <w:b/>
              </w:rPr>
              <w:br/>
              <w:t>(mg bromadiolone/ha)</w:t>
            </w:r>
          </w:p>
        </w:tc>
        <w:tc>
          <w:tcPr>
            <w:tcW w:w="3047" w:type="dxa"/>
          </w:tcPr>
          <w:p w:rsidR="00BA7C2C" w:rsidRPr="007223F2" w:rsidRDefault="00BA7C2C" w:rsidP="00613EE2">
            <w:pPr>
              <w:rPr>
                <w:rFonts w:cs="Arial"/>
                <w:b/>
              </w:rPr>
            </w:pPr>
            <w:r w:rsidRPr="007223F2">
              <w:rPr>
                <w:rFonts w:cs="Arial"/>
                <w:b/>
              </w:rPr>
              <w:t>PECsoil</w:t>
            </w:r>
            <w:r w:rsidRPr="007223F2">
              <w:rPr>
                <w:rFonts w:cs="Arial"/>
                <w:b/>
              </w:rPr>
              <w:br/>
              <w:t>(mg bromadiolone/kg)</w:t>
            </w:r>
            <w:r w:rsidRPr="007223F2">
              <w:rPr>
                <w:rFonts w:cs="Arial"/>
                <w:b/>
                <w:vertAlign w:val="superscript"/>
              </w:rPr>
              <w:t>a</w:t>
            </w:r>
          </w:p>
        </w:tc>
      </w:tr>
      <w:tr w:rsidR="00BA7C2C" w:rsidRPr="007223F2" w:rsidTr="00613EE2">
        <w:tc>
          <w:tcPr>
            <w:tcW w:w="3047" w:type="dxa"/>
            <w:tcBorders>
              <w:bottom w:val="single" w:sz="4" w:space="0" w:color="auto"/>
            </w:tcBorders>
          </w:tcPr>
          <w:p w:rsidR="00BA7C2C" w:rsidRPr="007223F2" w:rsidRDefault="00BA7C2C" w:rsidP="00613EE2">
            <w:pPr>
              <w:rPr>
                <w:rFonts w:cs="Arial"/>
              </w:rPr>
            </w:pPr>
            <w:r w:rsidRPr="007223F2">
              <w:rPr>
                <w:rFonts w:cs="Arial"/>
              </w:rPr>
              <w:t>Worst-case (EUBEES 2)</w:t>
            </w:r>
            <w:r w:rsidRPr="007223F2">
              <w:rPr>
                <w:rFonts w:cs="Arial"/>
                <w:vertAlign w:val="superscript"/>
              </w:rPr>
              <w:t>b</w:t>
            </w:r>
          </w:p>
        </w:tc>
        <w:tc>
          <w:tcPr>
            <w:tcW w:w="3047" w:type="dxa"/>
            <w:tcBorders>
              <w:bottom w:val="single" w:sz="4" w:space="0" w:color="auto"/>
            </w:tcBorders>
          </w:tcPr>
          <w:p w:rsidR="00BA7C2C" w:rsidRPr="007223F2" w:rsidRDefault="00BA7C2C" w:rsidP="00613EE2">
            <w:pPr>
              <w:rPr>
                <w:rFonts w:cs="Arial"/>
              </w:rPr>
            </w:pPr>
            <w:r w:rsidRPr="007223F2">
              <w:rPr>
                <w:rFonts w:cs="Arial"/>
              </w:rPr>
              <w:t>3080</w:t>
            </w:r>
          </w:p>
        </w:tc>
        <w:tc>
          <w:tcPr>
            <w:tcW w:w="3047" w:type="dxa"/>
            <w:tcBorders>
              <w:bottom w:val="single" w:sz="4" w:space="0" w:color="auto"/>
            </w:tcBorders>
          </w:tcPr>
          <w:p w:rsidR="00BA7C2C" w:rsidRPr="007223F2" w:rsidRDefault="00BA7C2C" w:rsidP="00613EE2">
            <w:pPr>
              <w:rPr>
                <w:rFonts w:cs="Arial"/>
              </w:rPr>
            </w:pPr>
            <w:r w:rsidRPr="007223F2">
              <w:rPr>
                <w:rFonts w:cs="Arial"/>
              </w:rPr>
              <w:t>0.0018</w:t>
            </w:r>
          </w:p>
        </w:tc>
      </w:tr>
      <w:tr w:rsidR="00BA7C2C" w:rsidRPr="007223F2" w:rsidTr="00613EE2">
        <w:tc>
          <w:tcPr>
            <w:tcW w:w="9141" w:type="dxa"/>
            <w:gridSpan w:val="3"/>
            <w:tcBorders>
              <w:left w:val="single" w:sz="4" w:space="0" w:color="auto"/>
              <w:bottom w:val="single" w:sz="4" w:space="0" w:color="auto"/>
              <w:right w:val="single" w:sz="4" w:space="0" w:color="auto"/>
            </w:tcBorders>
          </w:tcPr>
          <w:p w:rsidR="00BA7C2C" w:rsidRPr="007223F2" w:rsidRDefault="00BA7C2C" w:rsidP="00613EE2">
            <w:pPr>
              <w:rPr>
                <w:rFonts w:cs="Arial"/>
              </w:rPr>
            </w:pPr>
            <w:r w:rsidRPr="007223F2">
              <w:rPr>
                <w:rFonts w:cs="Arial"/>
                <w:vertAlign w:val="superscript"/>
              </w:rPr>
              <w:t>a</w:t>
            </w:r>
            <w:r w:rsidRPr="007223F2">
              <w:rPr>
                <w:rFonts w:cs="Arial"/>
              </w:rPr>
              <w:t xml:space="preserve"> based on uniform distribution to </w:t>
            </w:r>
            <w:smartTag w:uri="urn:schemas-microsoft-com:office:smarttags" w:element="metricconverter">
              <w:smartTagPr>
                <w:attr w:name="ProductID" w:val="10ﾠcm"/>
              </w:smartTagPr>
              <w:r w:rsidRPr="007223F2">
                <w:rPr>
                  <w:rFonts w:cs="Arial"/>
                </w:rPr>
                <w:t>10 cm</w:t>
              </w:r>
            </w:smartTag>
            <w:r w:rsidRPr="007223F2">
              <w:rPr>
                <w:rFonts w:cs="Arial"/>
              </w:rPr>
              <w:t xml:space="preserve"> depth and wet soil bulk density of 1.7 g/cm</w:t>
            </w:r>
            <w:r w:rsidRPr="007223F2">
              <w:rPr>
                <w:rFonts w:cs="Arial"/>
                <w:vertAlign w:val="superscript"/>
              </w:rPr>
              <w:t>3</w:t>
            </w:r>
            <w:r w:rsidRPr="007223F2">
              <w:rPr>
                <w:rFonts w:cs="Arial"/>
              </w:rPr>
              <w:t>;</w:t>
            </w:r>
            <w:r w:rsidRPr="007223F2">
              <w:rPr>
                <w:rFonts w:cs="Arial"/>
              </w:rPr>
              <w:br/>
            </w:r>
            <w:r w:rsidRPr="007223F2">
              <w:rPr>
                <w:rFonts w:cs="Arial"/>
                <w:vertAlign w:val="superscript"/>
              </w:rPr>
              <w:t>b</w:t>
            </w:r>
            <w:r w:rsidRPr="007223F2">
              <w:rPr>
                <w:rFonts w:cs="Arial"/>
              </w:rPr>
              <w:t xml:space="preserve"> based on seven applications of bromadiolone in pastes/year.</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The risks to earthworms posed by contamination of soil by bromadiolone following the “worst-case” use of pastes at waste dumps and landfill sites are assessed by calculating ratios of PEC/PNEC, as indicated below.</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PECsoil/PNECsoil for soil-dwelling invertebrates exposed to bromadiolone following use of paste bait at waste dumps and landfill 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463"/>
        <w:gridCol w:w="2463"/>
        <w:gridCol w:w="1874"/>
      </w:tblGrid>
      <w:tr w:rsidR="00BA7C2C" w:rsidRPr="007223F2" w:rsidTr="00613EE2">
        <w:tc>
          <w:tcPr>
            <w:tcW w:w="2355" w:type="dxa"/>
          </w:tcPr>
          <w:p w:rsidR="00BA7C2C" w:rsidRPr="007223F2" w:rsidRDefault="00BA7C2C" w:rsidP="00613EE2">
            <w:pPr>
              <w:keepNext/>
              <w:spacing w:before="40" w:after="40" w:line="240" w:lineRule="auto"/>
              <w:rPr>
                <w:rFonts w:cs="Arial"/>
                <w:b/>
                <w:szCs w:val="22"/>
              </w:rPr>
            </w:pPr>
            <w:r w:rsidRPr="007223F2">
              <w:rPr>
                <w:rFonts w:cs="Arial"/>
                <w:b/>
              </w:rPr>
              <w:t>Baiting scen</w:t>
            </w:r>
            <w:r w:rsidRPr="007223F2">
              <w:rPr>
                <w:rFonts w:cs="Arial"/>
                <w:b/>
                <w:szCs w:val="22"/>
              </w:rPr>
              <w:t>ario</w:t>
            </w:r>
          </w:p>
        </w:tc>
        <w:tc>
          <w:tcPr>
            <w:tcW w:w="2463" w:type="dxa"/>
          </w:tcPr>
          <w:p w:rsidR="00BA7C2C" w:rsidRPr="007223F2" w:rsidRDefault="00BA7C2C" w:rsidP="00613EE2">
            <w:pPr>
              <w:rPr>
                <w:rFonts w:cs="Arial"/>
                <w:b/>
              </w:rPr>
            </w:pPr>
            <w:r w:rsidRPr="007223F2">
              <w:rPr>
                <w:rFonts w:cs="Arial"/>
                <w:b/>
              </w:rPr>
              <w:t>PECsoil (mg bromadiolone/kg ww)</w:t>
            </w:r>
          </w:p>
        </w:tc>
        <w:tc>
          <w:tcPr>
            <w:tcW w:w="2463" w:type="dxa"/>
          </w:tcPr>
          <w:p w:rsidR="00BA7C2C" w:rsidRPr="007223F2" w:rsidRDefault="00BA7C2C" w:rsidP="00613EE2">
            <w:pPr>
              <w:rPr>
                <w:rFonts w:cs="Arial"/>
                <w:b/>
              </w:rPr>
            </w:pPr>
            <w:r w:rsidRPr="007223F2">
              <w:rPr>
                <w:rFonts w:cs="Arial"/>
                <w:b/>
              </w:rPr>
              <w:t>PNECsoil (mg bromadiolone/kg ww)</w:t>
            </w:r>
          </w:p>
        </w:tc>
        <w:tc>
          <w:tcPr>
            <w:tcW w:w="1874" w:type="dxa"/>
          </w:tcPr>
          <w:p w:rsidR="00BA7C2C" w:rsidRPr="007223F2" w:rsidRDefault="00BA7C2C" w:rsidP="00613EE2">
            <w:pPr>
              <w:rPr>
                <w:rFonts w:cs="Arial"/>
                <w:b/>
              </w:rPr>
            </w:pPr>
            <w:r w:rsidRPr="007223F2">
              <w:rPr>
                <w:rFonts w:cs="Arial"/>
                <w:b/>
              </w:rPr>
              <w:t>PEC/PNEC ratio</w:t>
            </w:r>
          </w:p>
        </w:tc>
      </w:tr>
      <w:tr w:rsidR="00BA7C2C" w:rsidRPr="007223F2" w:rsidTr="00613EE2">
        <w:tc>
          <w:tcPr>
            <w:tcW w:w="2355" w:type="dxa"/>
          </w:tcPr>
          <w:p w:rsidR="00BA7C2C" w:rsidRPr="007223F2" w:rsidRDefault="00BA7C2C" w:rsidP="00613EE2">
            <w:pPr>
              <w:rPr>
                <w:rFonts w:cs="Arial"/>
              </w:rPr>
            </w:pPr>
            <w:r w:rsidRPr="007223F2">
              <w:rPr>
                <w:rFonts w:cs="Arial"/>
              </w:rPr>
              <w:t>Worst-case (EUBEES 2)</w:t>
            </w:r>
          </w:p>
        </w:tc>
        <w:tc>
          <w:tcPr>
            <w:tcW w:w="2463" w:type="dxa"/>
          </w:tcPr>
          <w:p w:rsidR="00BA7C2C" w:rsidRPr="007223F2" w:rsidRDefault="00BA7C2C" w:rsidP="00613EE2">
            <w:pPr>
              <w:rPr>
                <w:rFonts w:cs="Arial"/>
              </w:rPr>
            </w:pPr>
            <w:r w:rsidRPr="007223F2">
              <w:rPr>
                <w:rFonts w:cs="Arial"/>
              </w:rPr>
              <w:t>0.0018</w:t>
            </w:r>
          </w:p>
        </w:tc>
        <w:tc>
          <w:tcPr>
            <w:tcW w:w="2463" w:type="dxa"/>
          </w:tcPr>
          <w:p w:rsidR="00BA7C2C" w:rsidRPr="007223F2" w:rsidRDefault="00BA7C2C" w:rsidP="00613EE2">
            <w:pPr>
              <w:rPr>
                <w:rFonts w:cs="Arial"/>
              </w:rPr>
            </w:pPr>
            <w:r w:rsidRPr="007223F2">
              <w:rPr>
                <w:rFonts w:cs="Arial"/>
              </w:rPr>
              <w:t>0.0084</w:t>
            </w:r>
          </w:p>
        </w:tc>
        <w:tc>
          <w:tcPr>
            <w:tcW w:w="1874" w:type="dxa"/>
          </w:tcPr>
          <w:p w:rsidR="00BA7C2C" w:rsidRPr="007223F2" w:rsidRDefault="00BA7C2C" w:rsidP="00613EE2">
            <w:pPr>
              <w:rPr>
                <w:rFonts w:cs="Arial"/>
              </w:rPr>
            </w:pPr>
            <w:r w:rsidRPr="007223F2">
              <w:rPr>
                <w:rFonts w:cs="Arial"/>
              </w:rPr>
              <w:t>0.2</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The PEC/PNEC ratio is less than 1.0 under the worst case suggested by EUBEES 2. The exposure to bromadiolone that arises from the use of MAKI PAT’ at waste dumps and landfill sites therefore presents no unacceptable risks to soil-dwelling organisms.</w:t>
      </w:r>
    </w:p>
    <w:p w:rsidR="00BA7C2C" w:rsidRPr="007223F2" w:rsidRDefault="00BA7C2C" w:rsidP="00BA7C2C">
      <w:pPr>
        <w:rPr>
          <w:rFonts w:cs="Arial"/>
        </w:rPr>
      </w:pPr>
    </w:p>
    <w:p w:rsidR="00BA7C2C" w:rsidRPr="007223F2" w:rsidRDefault="00BA7C2C" w:rsidP="00BA7C2C">
      <w:pPr>
        <w:pStyle w:val="Kop4"/>
        <w:numPr>
          <w:ilvl w:val="3"/>
          <w:numId w:val="12"/>
        </w:numPr>
        <w:tabs>
          <w:tab w:val="num" w:pos="0"/>
          <w:tab w:val="left" w:pos="1304"/>
        </w:tabs>
        <w:spacing w:after="60" w:line="240" w:lineRule="atLeast"/>
        <w:jc w:val="left"/>
      </w:pPr>
      <w:bookmarkStart w:id="834" w:name="_Toc462644858"/>
      <w:bookmarkStart w:id="835" w:name="_Toc476292171"/>
      <w:bookmarkStart w:id="836" w:name="_Toc476448372"/>
      <w:bookmarkStart w:id="837" w:name="_Toc476450000"/>
      <w:bookmarkStart w:id="838" w:name="_Toc476450553"/>
      <w:bookmarkStart w:id="839" w:name="_Toc476451030"/>
      <w:bookmarkStart w:id="840" w:name="_Toc263859925"/>
      <w:r w:rsidRPr="007223F2">
        <w:rPr>
          <w:noProof/>
        </w:rPr>
        <w:t xml:space="preserve">Non compartment specific effects relevant to the food chain </w:t>
      </w:r>
      <w:r w:rsidRPr="007223F2">
        <w:t>(primary and secondary poisoning)</w:t>
      </w:r>
      <w:bookmarkEnd w:id="834"/>
      <w:bookmarkEnd w:id="835"/>
      <w:bookmarkEnd w:id="836"/>
      <w:bookmarkEnd w:id="837"/>
      <w:bookmarkEnd w:id="838"/>
      <w:bookmarkEnd w:id="839"/>
      <w:bookmarkEnd w:id="840"/>
    </w:p>
    <w:p w:rsidR="00BA7C2C" w:rsidRPr="007223F2" w:rsidRDefault="00BA7C2C" w:rsidP="00BA7C2C">
      <w:pPr>
        <w:rPr>
          <w:rFonts w:cs="Arial"/>
        </w:rPr>
      </w:pPr>
      <w:r w:rsidRPr="007223F2">
        <w:rPr>
          <w:rFonts w:cs="Arial"/>
        </w:rPr>
        <w:t>Non-target vertebrates (birds and mammals) may be exposed to MAKI PAT’ containing bromadiolone either directly by ingestion of exposed paste (primary poisoning) or indirectly by ingestion of the carcasses of target rodents that contain bromadiolone residues (secondary poisoning).</w:t>
      </w:r>
    </w:p>
    <w:p w:rsidR="00BA7C2C" w:rsidRPr="007223F2" w:rsidRDefault="00BA7C2C" w:rsidP="00BA7C2C">
      <w:pPr>
        <w:rPr>
          <w:rFonts w:cs="Arial"/>
        </w:rPr>
      </w:pPr>
      <w:r w:rsidRPr="007223F2">
        <w:rPr>
          <w:rFonts w:cs="Arial"/>
        </w:rPr>
        <w:t xml:space="preserve">Based on toxicity data bromadiolone is very toxic and presents a hazard to birds and non-target mammals. </w:t>
      </w:r>
    </w:p>
    <w:p w:rsidR="00BA7C2C" w:rsidRPr="007223F2" w:rsidRDefault="00BA7C2C" w:rsidP="00BA7C2C">
      <w:pPr>
        <w:rPr>
          <w:rFonts w:cs="Arial"/>
        </w:rPr>
      </w:pPr>
      <w:r w:rsidRPr="007223F2">
        <w:rPr>
          <w:rFonts w:cs="Arial"/>
        </w:rPr>
        <w:t>The Emission Scenario Document for Biocides used as Rodenticides (EUBE</w:t>
      </w:r>
      <w:smartTag w:uri="urn:schemas-microsoft-com:office:smarttags" w:element="PersonName">
        <w:r w:rsidRPr="007223F2">
          <w:rPr>
            <w:rFonts w:cs="Arial"/>
          </w:rPr>
          <w:t>ES</w:t>
        </w:r>
      </w:smartTag>
      <w:r w:rsidRPr="007223F2">
        <w:rPr>
          <w:rFonts w:cs="Arial"/>
        </w:rPr>
        <w:t xml:space="preserve"> 2) presents exposure scenarios and assessments which give a basis for evaluating the primary and secondary poisoning risk to non-target animals. It is proposed to introduce tiered approaches for assessing the risks through both primary and secondary poisoning and to derive different PECs for each step.</w:t>
      </w: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rPr>
        <w:lastRenderedPageBreak/>
        <w:t>Exposure scenarios for quantification of primary and secondary poisoning according to EUBE</w:t>
      </w:r>
      <w:smartTag w:uri="urn:schemas-microsoft-com:office:smarttags" w:element="PersonName">
        <w:r w:rsidRPr="007223F2">
          <w:rPr>
            <w:rFonts w:cs="Arial"/>
            <w:b/>
          </w:rPr>
          <w:t>ES</w:t>
        </w:r>
      </w:smartTag>
      <w:r w:rsidRPr="007223F2">
        <w:rPr>
          <w:rFonts w:cs="Arial"/>
          <w:b/>
        </w:rPr>
        <w:t xml:space="preserve"> 2</w:t>
      </w:r>
    </w:p>
    <w:tbl>
      <w:tblPr>
        <w:tblW w:w="0" w:type="auto"/>
        <w:tblLook w:val="01E0" w:firstRow="1" w:lastRow="1" w:firstColumn="1" w:lastColumn="1" w:noHBand="0" w:noVBand="0"/>
      </w:tblPr>
      <w:tblGrid>
        <w:gridCol w:w="1208"/>
        <w:gridCol w:w="4070"/>
        <w:gridCol w:w="3763"/>
      </w:tblGrid>
      <w:tr w:rsidR="00BA7C2C" w:rsidRPr="007223F2" w:rsidTr="00613EE2">
        <w:tc>
          <w:tcPr>
            <w:tcW w:w="1208" w:type="dxa"/>
          </w:tcPr>
          <w:p w:rsidR="00BA7C2C" w:rsidRPr="007223F2" w:rsidRDefault="00BA7C2C" w:rsidP="00613EE2">
            <w:pPr>
              <w:pStyle w:val="Standard-italics"/>
              <w:keepNext w:val="0"/>
              <w:spacing w:before="0" w:after="240"/>
              <w:ind w:right="37"/>
              <w:rPr>
                <w:b/>
                <w:i w:val="0"/>
                <w:sz w:val="22"/>
                <w:szCs w:val="22"/>
              </w:rPr>
            </w:pPr>
          </w:p>
        </w:tc>
        <w:tc>
          <w:tcPr>
            <w:tcW w:w="4070" w:type="dxa"/>
          </w:tcPr>
          <w:p w:rsidR="00BA7C2C" w:rsidRPr="007223F2" w:rsidRDefault="00BA7C2C" w:rsidP="00613EE2">
            <w:pPr>
              <w:rPr>
                <w:b/>
              </w:rPr>
            </w:pPr>
            <w:r w:rsidRPr="007223F2">
              <w:rPr>
                <w:b/>
              </w:rPr>
              <w:t>Primary poisoning</w:t>
            </w:r>
          </w:p>
        </w:tc>
        <w:tc>
          <w:tcPr>
            <w:tcW w:w="3763" w:type="dxa"/>
          </w:tcPr>
          <w:p w:rsidR="00BA7C2C" w:rsidRPr="007223F2" w:rsidRDefault="00BA7C2C" w:rsidP="00613EE2">
            <w:pPr>
              <w:rPr>
                <w:b/>
              </w:rPr>
            </w:pPr>
            <w:r w:rsidRPr="007223F2">
              <w:rPr>
                <w:b/>
              </w:rPr>
              <w:t>Secondary poisoning</w:t>
            </w:r>
          </w:p>
        </w:tc>
      </w:tr>
      <w:tr w:rsidR="00BA7C2C" w:rsidRPr="007223F2" w:rsidTr="00613EE2">
        <w:tc>
          <w:tcPr>
            <w:tcW w:w="1208" w:type="dxa"/>
          </w:tcPr>
          <w:p w:rsidR="00BA7C2C" w:rsidRPr="007223F2" w:rsidRDefault="00BA7C2C" w:rsidP="00613EE2">
            <w:r w:rsidRPr="007223F2">
              <w:t>Tier 1</w:t>
            </w:r>
          </w:p>
        </w:tc>
        <w:tc>
          <w:tcPr>
            <w:tcW w:w="4070" w:type="dxa"/>
          </w:tcPr>
          <w:p w:rsidR="00BA7C2C" w:rsidRPr="007223F2" w:rsidRDefault="00BA7C2C" w:rsidP="00613EE2">
            <w:pPr>
              <w:pStyle w:val="Standard-italics"/>
              <w:keepNext w:val="0"/>
              <w:spacing w:before="0" w:after="240"/>
              <w:ind w:right="37"/>
              <w:rPr>
                <w:i w:val="0"/>
                <w:iCs/>
                <w:sz w:val="22"/>
                <w:szCs w:val="24"/>
                <w:lang w:eastAsia="sv-SE"/>
              </w:rPr>
            </w:pPr>
            <w:r w:rsidRPr="007223F2">
              <w:rPr>
                <w:i w:val="0"/>
                <w:iCs/>
                <w:sz w:val="22"/>
                <w:szCs w:val="24"/>
                <w:lang w:eastAsia="sv-SE"/>
              </w:rPr>
              <w:t>Risk is quantified as the ratio between the concentration in the food for the non-target organism (PECoral) and the predicted no-effect-concentration for oral intake for the non-target organism (PNECoral)</w:t>
            </w:r>
          </w:p>
        </w:tc>
        <w:tc>
          <w:tcPr>
            <w:tcW w:w="3763" w:type="dxa"/>
          </w:tcPr>
          <w:p w:rsidR="00BA7C2C" w:rsidRPr="007223F2" w:rsidRDefault="00BA7C2C" w:rsidP="00613EE2">
            <w:pPr>
              <w:pStyle w:val="Default"/>
              <w:autoSpaceDE/>
              <w:autoSpaceDN/>
              <w:rPr>
                <w:color w:val="auto"/>
                <w:sz w:val="22"/>
                <w:lang w:eastAsia="sv-SE"/>
              </w:rPr>
            </w:pPr>
            <w:r w:rsidRPr="007223F2">
              <w:rPr>
                <w:color w:val="auto"/>
                <w:sz w:val="22"/>
                <w:lang w:eastAsia="sv-SE"/>
              </w:rPr>
              <w:t xml:space="preserve">Risk is quantified as the ratio between the concentration in the rodent immediately after a last meal on day 5 (EC5) and the predicted no-effect-concentration for oral intake for the non-target organism (PNECoral) </w:t>
            </w:r>
          </w:p>
        </w:tc>
      </w:tr>
      <w:tr w:rsidR="00BA7C2C" w:rsidRPr="007223F2" w:rsidTr="00613EE2">
        <w:tc>
          <w:tcPr>
            <w:tcW w:w="1208" w:type="dxa"/>
          </w:tcPr>
          <w:p w:rsidR="00BA7C2C" w:rsidRPr="007223F2" w:rsidRDefault="00BA7C2C" w:rsidP="00613EE2">
            <w:r w:rsidRPr="007223F2">
              <w:t>Tier 2</w:t>
            </w:r>
          </w:p>
        </w:tc>
        <w:tc>
          <w:tcPr>
            <w:tcW w:w="4070" w:type="dxa"/>
          </w:tcPr>
          <w:p w:rsidR="00BA7C2C" w:rsidRPr="007223F2" w:rsidRDefault="00BA7C2C" w:rsidP="00613EE2">
            <w:r w:rsidRPr="007223F2">
              <w:t>Risk is quantified as the ratio between the estimated daily intake of a compound (ETE) and the predicted no-effect-concentration for oral intake for the non-target organism (PNECoral).</w:t>
            </w:r>
          </w:p>
          <w:p w:rsidR="00BA7C2C" w:rsidRPr="007223F2" w:rsidRDefault="00BA7C2C" w:rsidP="00613EE2">
            <w:r w:rsidRPr="007223F2">
              <w:t xml:space="preserve">For the long-term exposure the estimated concentration of the active substance in the animal can be calculated and compared with the </w:t>
            </w:r>
            <w:smartTag w:uri="urn:schemas-microsoft-com:office:smarttags" w:element="PersonName">
              <w:r w:rsidRPr="007223F2">
                <w:t>NO</w:t>
              </w:r>
            </w:smartTag>
            <w:r w:rsidRPr="007223F2">
              <w:t>AEL.</w:t>
            </w:r>
          </w:p>
        </w:tc>
        <w:tc>
          <w:tcPr>
            <w:tcW w:w="3763" w:type="dxa"/>
          </w:tcPr>
          <w:p w:rsidR="00BA7C2C" w:rsidRPr="007223F2" w:rsidRDefault="00BA7C2C" w:rsidP="00613EE2">
            <w:r w:rsidRPr="007223F2">
              <w:t>Risk is quantified as the ratio between the estimated concentration in predatory mammals or birds and the no-observed-adverse-effect levels (</w:t>
            </w:r>
            <w:smartTag w:uri="urn:schemas-microsoft-com:office:smarttags" w:element="PersonName">
              <w:r w:rsidRPr="007223F2">
                <w:t>NO</w:t>
              </w:r>
            </w:smartTag>
            <w:r w:rsidRPr="007223F2">
              <w:t>AEL) for the organism.</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Object of a quantitative risk assessment will be:</w:t>
      </w:r>
    </w:p>
    <w:p w:rsidR="00BA7C2C" w:rsidRPr="007223F2" w:rsidRDefault="00BA7C2C" w:rsidP="00BA7C2C">
      <w:pPr>
        <w:rPr>
          <w:rFonts w:cs="Arial"/>
        </w:rPr>
      </w:pPr>
      <w:r w:rsidRPr="007223F2">
        <w:rPr>
          <w:rFonts w:cs="Arial"/>
        </w:rPr>
        <w:t>• Primary poisoning, Tier 1</w:t>
      </w:r>
    </w:p>
    <w:p w:rsidR="00BA7C2C" w:rsidRPr="007223F2" w:rsidRDefault="00BA7C2C" w:rsidP="00BA7C2C">
      <w:pPr>
        <w:rPr>
          <w:rFonts w:cs="Arial"/>
        </w:rPr>
      </w:pPr>
      <w:r w:rsidRPr="007223F2">
        <w:rPr>
          <w:rFonts w:cs="Arial"/>
        </w:rPr>
        <w:t>• Primary poisoning, Tier 2 for 5 day exposure</w:t>
      </w:r>
    </w:p>
    <w:p w:rsidR="00BA7C2C" w:rsidRPr="007223F2" w:rsidRDefault="00BA7C2C" w:rsidP="00BA7C2C">
      <w:pPr>
        <w:rPr>
          <w:rFonts w:cs="Arial"/>
        </w:rPr>
      </w:pPr>
      <w:r w:rsidRPr="007223F2">
        <w:rPr>
          <w:rFonts w:cs="Arial"/>
        </w:rPr>
        <w:t>• Secondary poisoning; Tier 1 for long-term exposure</w:t>
      </w:r>
    </w:p>
    <w:p w:rsidR="00BA7C2C" w:rsidRPr="007223F2" w:rsidRDefault="00BA7C2C" w:rsidP="00BA7C2C">
      <w:pPr>
        <w:rPr>
          <w:rFonts w:cs="Arial"/>
        </w:rPr>
      </w:pPr>
      <w:r w:rsidRPr="007223F2">
        <w:rPr>
          <w:rFonts w:cs="Arial"/>
        </w:rPr>
        <w:t>• Secondary poisoning; Tier 2 for long-term exposure</w:t>
      </w:r>
    </w:p>
    <w:p w:rsidR="00BA7C2C" w:rsidRPr="007223F2" w:rsidRDefault="00BA7C2C" w:rsidP="00BA7C2C">
      <w:pPr>
        <w:rPr>
          <w:rFonts w:cs="Arial"/>
        </w:rPr>
      </w:pPr>
    </w:p>
    <w:p w:rsidR="00BA7C2C" w:rsidRPr="007223F2" w:rsidRDefault="00BA7C2C" w:rsidP="00BA7C2C">
      <w:pPr>
        <w:rPr>
          <w:rFonts w:cs="Arial"/>
        </w:rPr>
      </w:pPr>
      <w:r w:rsidRPr="007223F2">
        <w:rPr>
          <w:rFonts w:cs="Arial"/>
        </w:rPr>
        <w:t>Object of a qualitative risk assessment will be:</w:t>
      </w:r>
    </w:p>
    <w:p w:rsidR="00BA7C2C" w:rsidRPr="007223F2" w:rsidRDefault="00BA7C2C" w:rsidP="00BA7C2C">
      <w:pPr>
        <w:rPr>
          <w:rFonts w:cs="Arial"/>
        </w:rPr>
      </w:pPr>
      <w:r w:rsidRPr="007223F2">
        <w:rPr>
          <w:rFonts w:cs="Arial"/>
        </w:rPr>
        <w:t>• Primary poisoning, Tier 2 for 1 day exposure</w:t>
      </w:r>
    </w:p>
    <w:p w:rsidR="00BA7C2C" w:rsidRPr="007223F2" w:rsidRDefault="00BA7C2C" w:rsidP="00BA7C2C">
      <w:pPr>
        <w:rPr>
          <w:rFonts w:cs="Arial"/>
        </w:rPr>
      </w:pPr>
      <w:r w:rsidRPr="007223F2">
        <w:rPr>
          <w:rFonts w:cs="Arial"/>
        </w:rPr>
        <w:t>• Secondary poisoning; Tier 1 for short-term exposure</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The primary and secondary poisoning assessment has further on been conducted in accordance with the newly developed guidance document on the PNECoral derivation for the primary and secondary poisoning assessment of anticoagulant rodenticides, which has been adopted by the Competent Authorities and published on JRC IHCP’s </w:t>
      </w:r>
      <w:smartTag w:uri="urn:schemas-microsoft-com:office:smarttags" w:element="PersonName">
        <w:r w:rsidRPr="007223F2">
          <w:rPr>
            <w:rFonts w:cs="Arial"/>
          </w:rPr>
          <w:t>biocides</w:t>
        </w:r>
      </w:smartTag>
      <w:r w:rsidRPr="007223F2">
        <w:rPr>
          <w:rFonts w:cs="Arial"/>
        </w:rPr>
        <w:t xml:space="preserve"> website. It describes a quantitative risk assessment for the long-term exposure situation regarding primary and secondary poisoning with anticoagulant rodenticides and what PNECoral to be used for this assessment. As at the moment no guidance is available on how to derive a PNECoral for an acute exposure situation, only a qualitative risk assessment for the acute primary and secondary poisoning situations is carried out.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Regarding the qualitative assessment only a description of the toxicity of the substance compared to the possible single uptake is presented instead of carrying out a quantitative risk assessment. It is important to stress that this qualitative assessment is a simple comparison of the acute exposure </w:t>
      </w:r>
      <w:r w:rsidRPr="007223F2">
        <w:rPr>
          <w:rFonts w:cs="Arial"/>
        </w:rPr>
        <w:lastRenderedPageBreak/>
        <w:t>situation with single dose LD50 values. It is not intended to be used for risk characterisation; no PNECoral shall be derived and hence no PEC/PNEC ratio can be established. This comparison gives only a first indication of the acute toxicity of the substance. Regarding the long-term exposure situation a quantitative risk assessment of the primary and secondary poisoning situation is carried out. However, it is not possible to quantify primary or secondary exposure accurately, given highly variable factors such as the specific locality of a rodent control campaign, whether there are non-target scavengers or predators present, whether predators will catch many rodents and whether such rodents will contain high levels of bromadiolone. Because of many uncertainties the following assessments of risk should be considered as a worst case.</w:t>
      </w:r>
    </w:p>
    <w:p w:rsidR="00BA7C2C" w:rsidRPr="007223F2" w:rsidRDefault="00BA7C2C" w:rsidP="00BA7C2C">
      <w:pPr>
        <w:rPr>
          <w:rFonts w:cs="Arial"/>
        </w:rPr>
      </w:pPr>
    </w:p>
    <w:p w:rsidR="00BA7C2C" w:rsidRPr="007223F2" w:rsidRDefault="00BA7C2C" w:rsidP="00BA7C2C">
      <w:pPr>
        <w:rPr>
          <w:rFonts w:cs="Arial"/>
        </w:rPr>
      </w:pPr>
      <w:r w:rsidRPr="007223F2">
        <w:rPr>
          <w:rFonts w:cs="Arial"/>
        </w:rPr>
        <w:t>Bromadiolone is presented in a matrix of cereal flour bound together with hydrogenated vegetable fat. Presentation of bromadiolone in this processed matrix has the benefit of reducing the appeal of the bait to non-target organisms that would otherwise readily consume loose bromadiolone-treated cereal grains (Marsh, 1985). Marsh noted that modification of cereal grains by rolling and milling reduces their acceptance by birds that would readily consume them in their natural state.</w:t>
      </w:r>
    </w:p>
    <w:p w:rsidR="00BA7C2C" w:rsidRPr="007223F2" w:rsidRDefault="00BA7C2C" w:rsidP="00BA7C2C">
      <w:pPr>
        <w:rPr>
          <w:rFonts w:cs="Arial"/>
        </w:rPr>
      </w:pPr>
    </w:p>
    <w:p w:rsidR="00BA7C2C" w:rsidRPr="007223F2" w:rsidRDefault="00BA7C2C" w:rsidP="00BA7C2C">
      <w:pPr>
        <w:rPr>
          <w:rFonts w:cs="Arial"/>
        </w:rPr>
      </w:pPr>
      <w:r w:rsidRPr="007223F2">
        <w:rPr>
          <w:rFonts w:cs="Arial"/>
        </w:rPr>
        <w:t>MAKI PAT’ is individually packaged in sachets and is deployed with the wrapping intact. This reduces the appeal to non-target vertebrates that rely predominantly on visual rather than olfactory recognition of potential food items. It is known that visual stimuli are particularly important to birds in the selection of novel foods and sachets containing paste are likely not to be visually appealing to birds as food, based on their shape, texture and colour (WHO, 1995). Inclusion of a red dye in bromadiolone paste bait is likely to reduce its appeal as a potential food item still further.</w:t>
      </w:r>
    </w:p>
    <w:p w:rsidR="00BA7C2C" w:rsidRPr="007223F2" w:rsidRDefault="00BA7C2C" w:rsidP="00BA7C2C">
      <w:pPr>
        <w:rPr>
          <w:rFonts w:cs="Arial"/>
        </w:rPr>
      </w:pPr>
    </w:p>
    <w:p w:rsidR="00BA7C2C" w:rsidRPr="007223F2" w:rsidRDefault="00BA7C2C" w:rsidP="00BA7C2C">
      <w:pPr>
        <w:rPr>
          <w:rFonts w:cs="Arial"/>
        </w:rPr>
      </w:pPr>
      <w:r w:rsidRPr="007223F2">
        <w:rPr>
          <w:rFonts w:cs="Arial"/>
        </w:rPr>
        <w:t>Gemmeke (2000)</w:t>
      </w:r>
      <w:r w:rsidRPr="007223F2">
        <w:rPr>
          <w:rStyle w:val="Voetnootmarkering"/>
          <w:rFonts w:cs="Arial"/>
          <w:szCs w:val="22"/>
        </w:rPr>
        <w:footnoteReference w:id="10"/>
      </w:r>
      <w:r w:rsidRPr="007223F2">
        <w:rPr>
          <w:rFonts w:cs="Arial"/>
        </w:rPr>
        <w:t xml:space="preserve"> noted that pigeons, Japanese quails, various crows, jackdaws, magpies and pheasants presented with a choice of natural and dyed seeds of various crop species all preferred the untreated option, and that seeds a</w:t>
      </w:r>
      <w:r w:rsidRPr="007223F2">
        <w:rPr>
          <w:rFonts w:cs="Arial"/>
          <w:szCs w:val="22"/>
        </w:rPr>
        <w:t>rtificially coloured green, grey, black, pink, blue, violet and brown-violet were either untouched or only eaten in small (</w:t>
      </w:r>
      <w:r w:rsidRPr="007223F2">
        <w:rPr>
          <w:rFonts w:cs="Arial"/>
        </w:rPr>
        <w:t>ca. 10%) amounts. Similarly, Moran (1999)</w:t>
      </w:r>
      <w:r w:rsidRPr="007223F2">
        <w:rPr>
          <w:rStyle w:val="Voetnootmarkering"/>
          <w:rFonts w:cs="Arial"/>
          <w:szCs w:val="22"/>
        </w:rPr>
        <w:footnoteReference w:id="11"/>
      </w:r>
      <w:r w:rsidRPr="007223F2">
        <w:rPr>
          <w:rFonts w:cs="Arial"/>
        </w:rPr>
        <w:t xml:space="preserve"> found that pigeons and partridges preferred undyed grains of their favoured seeds (whole-g</w:t>
      </w:r>
      <w:r w:rsidRPr="007223F2">
        <w:rPr>
          <w:rFonts w:cs="Arial"/>
          <w:szCs w:val="22"/>
        </w:rPr>
        <w:t xml:space="preserve">rain wheat and sorghum, respectively), but that pigeons showed no colour discrimination when only the seeds of a species normally avoided were available. Although species, sex and even individual preferences will modulate the response of birds to colour, there is evidence from the literature that colours in the middle of the visible colour spectrum range are generally better </w:t>
      </w:r>
      <w:r w:rsidRPr="007223F2">
        <w:rPr>
          <w:rFonts w:cs="Arial"/>
        </w:rPr>
        <w:t>deterrents than other colours. For example, Marsh (1985)</w:t>
      </w:r>
      <w:r w:rsidRPr="007223F2">
        <w:rPr>
          <w:rStyle w:val="Voetnootmarkering"/>
          <w:rFonts w:cs="Arial"/>
          <w:szCs w:val="22"/>
        </w:rPr>
        <w:footnoteReference w:id="12"/>
      </w:r>
      <w:r w:rsidRPr="007223F2">
        <w:rPr>
          <w:rFonts w:cs="Arial"/>
        </w:rPr>
        <w:t>, (citing Kalmbach (1943)</w:t>
      </w:r>
      <w:r w:rsidRPr="007223F2">
        <w:rPr>
          <w:rStyle w:val="Voetnootmarkering"/>
          <w:rFonts w:cs="Arial"/>
          <w:szCs w:val="22"/>
        </w:rPr>
        <w:footnoteReference w:id="13"/>
      </w:r>
      <w:r w:rsidRPr="007223F2">
        <w:rPr>
          <w:rFonts w:cs="Arial"/>
        </w:rPr>
        <w:t>, Kalmbach and Welch (1946)</w:t>
      </w:r>
      <w:r w:rsidRPr="007223F2">
        <w:rPr>
          <w:rStyle w:val="Voetnootmarkering"/>
          <w:rFonts w:cs="Arial"/>
          <w:szCs w:val="22"/>
        </w:rPr>
        <w:footnoteReference w:id="14"/>
      </w:r>
      <w:r w:rsidRPr="007223F2">
        <w:rPr>
          <w:rFonts w:cs="Arial"/>
        </w:rPr>
        <w:t xml:space="preserve">, </w:t>
      </w:r>
      <w:r w:rsidRPr="007223F2">
        <w:rPr>
          <w:rFonts w:cs="Arial"/>
        </w:rPr>
        <w:lastRenderedPageBreak/>
        <w:t>Caithness and William</w:t>
      </w:r>
      <w:r w:rsidRPr="007223F2">
        <w:rPr>
          <w:rFonts w:cs="Arial"/>
          <w:szCs w:val="22"/>
        </w:rPr>
        <w:t>s (1971)</w:t>
      </w:r>
      <w:r w:rsidRPr="007223F2">
        <w:rPr>
          <w:rStyle w:val="Voetnootmarkering"/>
          <w:rFonts w:cs="Arial"/>
          <w:szCs w:val="22"/>
        </w:rPr>
        <w:footnoteReference w:id="15"/>
      </w:r>
      <w:r w:rsidRPr="007223F2">
        <w:rPr>
          <w:rFonts w:cs="Arial"/>
        </w:rPr>
        <w:t>, Pank, (1976)</w:t>
      </w:r>
      <w:r w:rsidRPr="007223F2">
        <w:rPr>
          <w:rStyle w:val="Voetnootmarkering"/>
          <w:rFonts w:cs="Arial"/>
          <w:szCs w:val="22"/>
        </w:rPr>
        <w:footnoteReference w:id="16"/>
      </w:r>
      <w:r w:rsidRPr="007223F2">
        <w:rPr>
          <w:rFonts w:cs="Arial"/>
        </w:rPr>
        <w:t xml:space="preserve"> and Brunner and Coman (1983)</w:t>
      </w:r>
      <w:r w:rsidRPr="007223F2">
        <w:rPr>
          <w:rStyle w:val="Voetnootmarkering"/>
          <w:rFonts w:cs="Arial"/>
          <w:szCs w:val="22"/>
        </w:rPr>
        <w:footnoteReference w:id="17"/>
      </w:r>
      <w:r w:rsidRPr="007223F2">
        <w:rPr>
          <w:rFonts w:cs="Arial"/>
        </w:rPr>
        <w:t>) reported that green and yellow were particularly effective colours for discouraging intake of rodenticidal baits and suggested that the deterrent effect of the colorant may in some cases be a visual c</w:t>
      </w:r>
      <w:r w:rsidRPr="007223F2">
        <w:rPr>
          <w:rFonts w:cs="Arial"/>
          <w:szCs w:val="22"/>
        </w:rPr>
        <w:t xml:space="preserve">ue coupled with taste-conditioned aversion. </w:t>
      </w:r>
      <w:r w:rsidRPr="007223F2">
        <w:rPr>
          <w:rFonts w:cs="Arial"/>
        </w:rPr>
        <w:t>However, EUBE</w:t>
      </w:r>
      <w:smartTag w:uri="urn:schemas-microsoft-com:office:smarttags" w:element="PersonName">
        <w:r w:rsidRPr="007223F2">
          <w:rPr>
            <w:rFonts w:cs="Arial"/>
          </w:rPr>
          <w:t>ES</w:t>
        </w:r>
      </w:smartTag>
      <w:r w:rsidRPr="007223F2">
        <w:rPr>
          <w:rFonts w:cs="Arial"/>
        </w:rPr>
        <w:t xml:space="preserve"> 2 states clearly that it is impossible to quantify the effect of the coloured bait and that colour preferences vary between species and may change depending on the context (e.g. depending on the hunger of the animals). Birds are therefore not considered to be at low risk of primary poisoning, although the worst case scenarios described below may over-estimate uptake for birds. However, this can not be quantified and will not be considered in the primary poisoning risk assessment. As paste in sachets seems to have a very low likelihood to be ingested by birds the default value for the avoidance factor of 1 from EUBEES 2 is lowered to 0.5 for this product type.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Primary poisoning of mammals is included in this assessment since non-target mammals are less reliant solely on visual stimuli in identifying potential food and may ingest paste bait.</w:t>
      </w:r>
    </w:p>
    <w:p w:rsidR="00BA7C2C" w:rsidRPr="007223F2" w:rsidRDefault="00BA7C2C" w:rsidP="00BA7C2C">
      <w:pPr>
        <w:rPr>
          <w:rFonts w:cs="Arial"/>
        </w:rPr>
      </w:pPr>
    </w:p>
    <w:p w:rsidR="00BA7C2C" w:rsidRPr="007223F2" w:rsidRDefault="00BA7C2C" w:rsidP="00BA7C2C">
      <w:pPr>
        <w:spacing w:after="240" w:line="240" w:lineRule="auto"/>
        <w:ind w:right="78"/>
        <w:rPr>
          <w:rFonts w:cs="Arial"/>
        </w:rPr>
      </w:pPr>
      <w:r w:rsidRPr="007223F2">
        <w:rPr>
          <w:rFonts w:cs="Arial"/>
        </w:rPr>
        <w:t>A secondary poisoning risk assessment was carried out for birds and mammals for the use scenario “in and around buildings”.</w:t>
      </w:r>
    </w:p>
    <w:p w:rsidR="00BA7C2C" w:rsidRPr="007223F2" w:rsidRDefault="00BA7C2C" w:rsidP="00BA7C2C">
      <w:pPr>
        <w:rPr>
          <w:rFonts w:cs="Arial"/>
          <w:b/>
        </w:rPr>
      </w:pPr>
      <w:r w:rsidRPr="007223F2">
        <w:rPr>
          <w:rFonts w:cs="Arial"/>
          <w:b/>
        </w:rPr>
        <w:t>PNEC oral derivation for primary and secondary poisoning</w:t>
      </w:r>
    </w:p>
    <w:p w:rsidR="00BA7C2C" w:rsidRPr="007223F2" w:rsidRDefault="00BA7C2C" w:rsidP="00BA7C2C">
      <w:pPr>
        <w:rPr>
          <w:rFonts w:cs="Arial"/>
        </w:rPr>
      </w:pPr>
      <w:r w:rsidRPr="007223F2">
        <w:rPr>
          <w:rFonts w:cs="Arial"/>
        </w:rPr>
        <w:t>In EUBE</w:t>
      </w:r>
      <w:smartTag w:uri="urn:schemas-microsoft-com:office:smarttags" w:element="PersonName">
        <w:r w:rsidRPr="007223F2">
          <w:rPr>
            <w:rFonts w:cs="Arial"/>
          </w:rPr>
          <w:t>ES</w:t>
        </w:r>
      </w:smartTag>
      <w:r w:rsidRPr="007223F2">
        <w:rPr>
          <w:rFonts w:cs="Arial"/>
        </w:rPr>
        <w:t xml:space="preserve"> 2 no guidance is given on how to derive the PNECoral values. The PNECoral derivation described in the TGD for the secondary poisoning assessment considers the oral intake of a chemical via fish or worms and a long-term exposure situation. No guidance is given regarding primary poisoning. In EUBE</w:t>
      </w:r>
      <w:smartTag w:uri="urn:schemas-microsoft-com:office:smarttags" w:element="PersonName">
        <w:r w:rsidRPr="007223F2">
          <w:rPr>
            <w:rFonts w:cs="Arial"/>
          </w:rPr>
          <w:t>ES</w:t>
        </w:r>
      </w:smartTag>
      <w:r w:rsidRPr="007223F2">
        <w:rPr>
          <w:rFonts w:cs="Arial"/>
        </w:rPr>
        <w:t xml:space="preserve"> 2 it is mentioned that both an acute and a long-term risk assessment should be conduced for anticoagulant rodenticides, because although the mode of action is generally chronic, some anticoagulant rodenticides (including rodenticides containing bromadiolone) have substantial acute toxicity. But comparing an acute poisoning incident, which represents a single uptake of the anticoagulant rodenticide by a non-target mammal or a bird, with a PNECoral which has been derived in accordance with the TGD, considerably overestimates the risk due to the choice of long-term studies as a basis for deriving the PNECoral. The TGD does not give guidance on how to derive acute PNECoral in addition to the long-term PNECoral. Nothing is stated on the choice of studies, endpoints and assessment factors.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Therefore the acute primary and secondary poisoning risk assessment for the food chains rodenticide (bait) → rodenticide-eating mammal or bird (primary poisoning) and the food chain rodenticide (bait) → rodent → rodent-eating mammal or bird (secondary poisoning) is only assessed </w:t>
      </w:r>
      <w:r w:rsidRPr="007223F2">
        <w:rPr>
          <w:rFonts w:cs="Arial"/>
        </w:rPr>
        <w:lastRenderedPageBreak/>
        <w:t>in a qualitative, and not in a quantitative way. It is important to stress that this qualitative assessment is not intended to be used for the risk characterisation of primary and secondary poisoning of rodenticides and shall not be used for a comparative assessment. This comparison should only give a first indication of the acute toxicity of the substance. Regarding the long-term exposure situation a quantitative risk assessment is carried out. The risk characterisation for the primary and secondary poisoning risk assessment is based on the long-term exposure situation as described in EUBE</w:t>
      </w:r>
      <w:smartTag w:uri="urn:schemas-microsoft-com:office:smarttags" w:element="PersonName">
        <w:r w:rsidRPr="007223F2">
          <w:rPr>
            <w:rFonts w:cs="Arial"/>
          </w:rPr>
          <w:t>ES</w:t>
        </w:r>
      </w:smartTag>
      <w:r w:rsidRPr="007223F2">
        <w:rPr>
          <w:rFonts w:cs="Arial"/>
        </w:rPr>
        <w:t xml:space="preserve"> and on PNECoral values which are derived according to the TGD. The PNECsoral used for primary and for secondary poisoning are the same, as is anticipated that bromadialone taken up via bromadialone containing products is as toxic and equal available to non-target animals as bromadialone taken up via poisoned rodents.</w:t>
      </w:r>
    </w:p>
    <w:p w:rsidR="00BA7C2C" w:rsidRPr="007223F2" w:rsidRDefault="00BA7C2C" w:rsidP="00BA7C2C">
      <w:pPr>
        <w:rPr>
          <w:rFonts w:cs="Arial"/>
        </w:rPr>
      </w:pPr>
    </w:p>
    <w:p w:rsidR="00BA7C2C" w:rsidRPr="007223F2" w:rsidRDefault="00BA7C2C" w:rsidP="00BA7C2C">
      <w:pPr>
        <w:rPr>
          <w:rFonts w:cs="Arial"/>
          <w:b/>
          <w:u w:val="single"/>
        </w:rPr>
      </w:pPr>
      <w:r w:rsidRPr="007223F2">
        <w:rPr>
          <w:rFonts w:cs="Arial"/>
          <w:b/>
          <w:u w:val="single"/>
        </w:rPr>
        <w:t>PNECoral related to the concentration in the food</w:t>
      </w:r>
    </w:p>
    <w:p w:rsidR="00BA7C2C" w:rsidRPr="007223F2" w:rsidRDefault="00BA7C2C" w:rsidP="00BA7C2C">
      <w:pPr>
        <w:rPr>
          <w:rFonts w:cs="Arial"/>
        </w:rPr>
      </w:pPr>
      <w:r w:rsidRPr="007223F2">
        <w:rPr>
          <w:rFonts w:cs="Arial"/>
        </w:rPr>
        <w:t>For primary and secondary poisoning at Tier 1 the PNECoral is related to the food concentration [mg/kg food] and values for PNEC oral were derived according to the TGD.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Birds:</w:t>
      </w:r>
    </w:p>
    <w:p w:rsidR="00BA7C2C" w:rsidRPr="007223F2" w:rsidRDefault="00BA7C2C" w:rsidP="00BA7C2C">
      <w:pPr>
        <w:rPr>
          <w:rFonts w:cs="Arial"/>
        </w:rPr>
      </w:pPr>
      <w:r w:rsidRPr="007223F2">
        <w:rPr>
          <w:rFonts w:cs="Arial"/>
        </w:rPr>
        <w:t>The PNECoral for birds was derived from an avian reproduction study with Japanese quail on the related substance difenacoum. The study was done over 20 weeks and the highest administered diet concentration of difenacoum, 0.1 mg/kg diet, did not result in any substance-related effects, thus resulting in a NOEC of 0.1 mg/kg diet. As agreed at TMII-</w:t>
      </w:r>
      <w:smartTag w:uri="urn:schemas-microsoft-com:office:smarttags" w:element="metricconverter">
        <w:smartTagPr>
          <w:attr w:name="ProductID" w:val="07 in"/>
        </w:smartTagPr>
        <w:r w:rsidRPr="007223F2">
          <w:rPr>
            <w:rFonts w:cs="Arial"/>
          </w:rPr>
          <w:t>07 in</w:t>
        </w:r>
      </w:smartTag>
      <w:r w:rsidRPr="007223F2">
        <w:rPr>
          <w:rFonts w:cs="Arial"/>
        </w:rPr>
        <w:t xml:space="preserve"> Brussels in May-07 the long-term PNEC for bromadiolone for birds is derived from this study. No extra assessment factor due to read across is added with the argument that difenacoum is more toxic than bromadiolone, both for aquatic organisms (acute) and birds (acute and short-term).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According to the Risk Assessment TGD the oral assessment factor (AForal) for extrapolation of bird toxicity data from a chronic study is 30 resulting in a PNECoral (bird) of  3.3 μg/kg food.</w:t>
      </w: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rPr>
        <w:lastRenderedPageBreak/>
        <w:t>Mammals:</w:t>
      </w:r>
    </w:p>
    <w:p w:rsidR="00BA7C2C" w:rsidRPr="007223F2" w:rsidRDefault="00BA7C2C" w:rsidP="00BA7C2C">
      <w:pPr>
        <w:rPr>
          <w:rFonts w:cs="Arial"/>
          <w:u w:val="single"/>
        </w:rPr>
      </w:pPr>
      <w:r w:rsidRPr="007223F2">
        <w:rPr>
          <w:rFonts w:cs="Arial"/>
          <w:u w:val="single"/>
        </w:rPr>
        <w:t>Rats</w:t>
      </w:r>
    </w:p>
    <w:p w:rsidR="00BA7C2C" w:rsidRPr="007223F2" w:rsidRDefault="00BA7C2C" w:rsidP="00BA7C2C">
      <w:pPr>
        <w:rPr>
          <w:rFonts w:cs="Arial"/>
        </w:rPr>
      </w:pPr>
      <w:r w:rsidRPr="007223F2">
        <w:rPr>
          <w:rFonts w:cs="Arial"/>
          <w:color w:val="000000"/>
        </w:rPr>
        <w:t>The most sensitive subchronic study for rats is a 90 days study (of the analogue difethialone) which resulted in a NOAEL of 2 µg/kg bw/d. With a conversion factor of 20 for conversion of the NOAEL which is based on bodyweight  to a NOEC which is based on daily food intak,e a NOEC of 40 µg/kg food is calculated.</w:t>
      </w:r>
    </w:p>
    <w:p w:rsidR="00BA7C2C" w:rsidRPr="007223F2" w:rsidRDefault="00BA7C2C" w:rsidP="00BA7C2C">
      <w:pPr>
        <w:rPr>
          <w:rFonts w:cs="Arial"/>
        </w:rPr>
      </w:pPr>
      <w:r w:rsidRPr="007223F2">
        <w:rPr>
          <w:rFonts w:cs="Arial"/>
        </w:rPr>
        <w:t>According to the Risk Assessment TGD the oral assessment factor (AForal) for extrapolation of mammalian toxicity data from a 90 d subchronic study is 90 resulting in a PNECoral (rat) of  0.44 μg/kg food.</w:t>
      </w:r>
    </w:p>
    <w:p w:rsidR="00BA7C2C" w:rsidRPr="007223F2" w:rsidRDefault="00BA7C2C" w:rsidP="00BA7C2C">
      <w:pPr>
        <w:rPr>
          <w:rFonts w:cs="Arial"/>
        </w:rPr>
      </w:pPr>
    </w:p>
    <w:p w:rsidR="00BA7C2C" w:rsidRPr="007223F2" w:rsidRDefault="00BA7C2C" w:rsidP="00BA7C2C">
      <w:pPr>
        <w:rPr>
          <w:rFonts w:cs="Arial"/>
          <w:u w:val="single"/>
        </w:rPr>
      </w:pPr>
      <w:r w:rsidRPr="007223F2">
        <w:rPr>
          <w:rFonts w:cs="Arial"/>
          <w:u w:val="single"/>
        </w:rPr>
        <w:t>Dogs</w:t>
      </w:r>
    </w:p>
    <w:p w:rsidR="00BA7C2C" w:rsidRPr="007223F2" w:rsidRDefault="00BA7C2C" w:rsidP="00BA7C2C">
      <w:pPr>
        <w:rPr>
          <w:rFonts w:cs="Arial"/>
        </w:rPr>
      </w:pPr>
      <w:r w:rsidRPr="007223F2">
        <w:rPr>
          <w:rFonts w:cs="Arial"/>
          <w:color w:val="000000"/>
        </w:rPr>
        <w:t>The most sensitive subchronic study for dogs is a 90 days study which resulted in a NOAEL of 8 µg/kg bw/d. With a conversion factor of 40 for conversion of the NOAEL which is based on bodyweight  to a NOEC which is based on daily food intake, a NOEC of 40 µg/kg food is calculated.</w:t>
      </w:r>
    </w:p>
    <w:p w:rsidR="00BA7C2C" w:rsidRPr="007223F2" w:rsidRDefault="00BA7C2C" w:rsidP="00BA7C2C">
      <w:pPr>
        <w:rPr>
          <w:rFonts w:cs="Arial"/>
          <w:color w:val="000000"/>
        </w:rPr>
      </w:pPr>
      <w:r w:rsidRPr="007223F2">
        <w:rPr>
          <w:rFonts w:cs="Arial"/>
        </w:rPr>
        <w:t>According to the Risk Assessment TGD the oral assessment factor (AForal) for extrapolation of mammalian toxicity data from a 90 d subchronic study is 30 resulting in a PNECoral (dog) of  11 μg/kg food. It must be noted that t</w:t>
      </w:r>
      <w:r w:rsidRPr="007223F2">
        <w:rPr>
          <w:rFonts w:cs="Arial"/>
          <w:color w:val="000000"/>
        </w:rPr>
        <w:t>he assessment factor for long-term effects on dogs is set to 30, which accounts for laboratory to field and subchronic to chronic extrapolation, since the PNEC value for dog is used only for the long-term risk assessment of primary poisoning of this species.</w:t>
      </w:r>
    </w:p>
    <w:p w:rsidR="00BA7C2C" w:rsidRPr="007223F2" w:rsidRDefault="00BA7C2C" w:rsidP="00BA7C2C">
      <w:pPr>
        <w:rPr>
          <w:rFonts w:cs="Arial"/>
        </w:rPr>
      </w:pPr>
    </w:p>
    <w:p w:rsidR="00BA7C2C" w:rsidRPr="007223F2" w:rsidRDefault="00BA7C2C" w:rsidP="00BA7C2C">
      <w:pPr>
        <w:rPr>
          <w:rFonts w:cs="Arial"/>
          <w:b/>
          <w:u w:val="single"/>
        </w:rPr>
      </w:pPr>
      <w:r w:rsidRPr="007223F2">
        <w:rPr>
          <w:rFonts w:cs="Arial"/>
          <w:b/>
          <w:u w:val="single"/>
        </w:rPr>
        <w:t>PNECoral – Related to dose</w:t>
      </w:r>
    </w:p>
    <w:p w:rsidR="00BA7C2C" w:rsidRPr="007223F2" w:rsidRDefault="00BA7C2C" w:rsidP="00BA7C2C">
      <w:pPr>
        <w:rPr>
          <w:rFonts w:cs="Arial"/>
        </w:rPr>
      </w:pPr>
      <w:r w:rsidRPr="007223F2">
        <w:rPr>
          <w:rFonts w:cs="Arial"/>
        </w:rPr>
        <w:t>At Tier 2 of the primary and the secondary poisoning assessment the PECoral is related to the dose [mg/kg bodyweight] and therefore PNECoral has also to be expressed on the basis of the dose. For converting the PNECoral values from a concentration in food [mg/kg food] to a dose related PNECoral [mg/kg body weight], and vice versa, the following equation can be used, if necessary:</w:t>
      </w:r>
    </w:p>
    <w:p w:rsidR="00BA7C2C" w:rsidRPr="007223F2" w:rsidRDefault="00BA7C2C" w:rsidP="00BA7C2C">
      <w:pPr>
        <w:spacing w:after="240" w:line="240" w:lineRule="auto"/>
        <w:ind w:right="78"/>
        <w:rPr>
          <w:rFonts w:cs="Arial"/>
        </w:rPr>
      </w:pPr>
      <w:r w:rsidRPr="007223F2">
        <w:rPr>
          <w:rFonts w:cs="Arial"/>
        </w:rPr>
        <w:t>Daily dose [mg/kg bw day] = conc. in food [mg/kg] * daily food consumption [g/bird day]/body weight [g]</w:t>
      </w:r>
    </w:p>
    <w:p w:rsidR="00BA7C2C" w:rsidRPr="007223F2" w:rsidRDefault="00BA7C2C" w:rsidP="00BA7C2C">
      <w:pPr>
        <w:rPr>
          <w:rFonts w:cs="Arial"/>
          <w:b/>
        </w:rPr>
      </w:pPr>
      <w:r w:rsidRPr="007223F2">
        <w:rPr>
          <w:rFonts w:cs="Arial"/>
          <w:b/>
        </w:rPr>
        <w:t>Birds:</w:t>
      </w:r>
    </w:p>
    <w:p w:rsidR="00BA7C2C" w:rsidRPr="007223F2" w:rsidRDefault="00BA7C2C" w:rsidP="00BA7C2C">
      <w:pPr>
        <w:rPr>
          <w:rFonts w:cs="Arial"/>
        </w:rPr>
      </w:pPr>
      <w:r w:rsidRPr="007223F2">
        <w:rPr>
          <w:rFonts w:cs="Arial"/>
        </w:rPr>
        <w:t>The PNECoral for birds was derived from an avian reproduction study with Japanese quail on the related substance difenacoum. The study was done over 20 weeks and the NOEL was 0.01138 mg/kg bw/d.</w:t>
      </w:r>
    </w:p>
    <w:p w:rsidR="00BA7C2C" w:rsidRPr="007223F2" w:rsidRDefault="00BA7C2C" w:rsidP="00BA7C2C">
      <w:pPr>
        <w:rPr>
          <w:rFonts w:cs="Arial"/>
        </w:rPr>
      </w:pPr>
      <w:r w:rsidRPr="007223F2">
        <w:rPr>
          <w:rFonts w:cs="Arial"/>
        </w:rPr>
        <w:t>According to the Risk Assessment TGD the oral assessment factor (AForal) for extrapolation of bird toxicity data from a chronic study is 30 resulting in a PNECoral (bird) of  0.38 μg/kg bw/d.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Mammals:</w:t>
      </w:r>
    </w:p>
    <w:p w:rsidR="00BA7C2C" w:rsidRPr="007223F2" w:rsidRDefault="00BA7C2C" w:rsidP="00BA7C2C">
      <w:pPr>
        <w:rPr>
          <w:rFonts w:cs="Arial"/>
          <w:u w:val="single"/>
        </w:rPr>
      </w:pPr>
      <w:r w:rsidRPr="007223F2">
        <w:rPr>
          <w:rFonts w:cs="Arial"/>
          <w:u w:val="single"/>
        </w:rPr>
        <w:t>Rats</w:t>
      </w:r>
    </w:p>
    <w:p w:rsidR="00BA7C2C" w:rsidRPr="007223F2" w:rsidRDefault="00BA7C2C" w:rsidP="00BA7C2C">
      <w:pPr>
        <w:rPr>
          <w:rFonts w:cs="Arial"/>
          <w:color w:val="000000"/>
        </w:rPr>
      </w:pPr>
      <w:r w:rsidRPr="007223F2">
        <w:rPr>
          <w:rFonts w:cs="Arial"/>
          <w:color w:val="000000"/>
        </w:rPr>
        <w:t xml:space="preserve">The most sensitive subchronic study for rats is a 90 days study (of the analogue difethialone) which resulted in a NOAEL of 2 µg/kg bw/d. </w:t>
      </w:r>
    </w:p>
    <w:p w:rsidR="00BA7C2C" w:rsidRPr="007223F2" w:rsidRDefault="00BA7C2C" w:rsidP="00BA7C2C">
      <w:pPr>
        <w:rPr>
          <w:rFonts w:cs="Arial"/>
        </w:rPr>
      </w:pPr>
      <w:r w:rsidRPr="007223F2">
        <w:rPr>
          <w:rFonts w:cs="Arial"/>
        </w:rPr>
        <w:t>According to the Risk Assessment TGD the oral assessment factor (AForal) for extrapolation of mammalian toxicity data from a 90 d subchronic study is 90 resulting in a PNECoral (rat) of  0.022 μg/kg bw/d.</w:t>
      </w:r>
    </w:p>
    <w:p w:rsidR="00BA7C2C" w:rsidRPr="007223F2" w:rsidRDefault="00BA7C2C" w:rsidP="00BA7C2C">
      <w:pPr>
        <w:rPr>
          <w:rFonts w:cs="Arial"/>
        </w:rPr>
      </w:pPr>
    </w:p>
    <w:p w:rsidR="00BA7C2C" w:rsidRPr="007223F2" w:rsidRDefault="00BA7C2C" w:rsidP="00BA7C2C">
      <w:pPr>
        <w:rPr>
          <w:rFonts w:cs="Arial"/>
          <w:u w:val="single"/>
        </w:rPr>
      </w:pPr>
      <w:r w:rsidRPr="007223F2">
        <w:rPr>
          <w:rFonts w:cs="Arial"/>
          <w:u w:val="single"/>
        </w:rPr>
        <w:t>Dogs</w:t>
      </w:r>
    </w:p>
    <w:p w:rsidR="00BA7C2C" w:rsidRPr="007223F2" w:rsidRDefault="00BA7C2C" w:rsidP="00BA7C2C">
      <w:pPr>
        <w:rPr>
          <w:rFonts w:cs="Arial"/>
          <w:color w:val="000000"/>
        </w:rPr>
      </w:pPr>
      <w:r w:rsidRPr="007223F2">
        <w:rPr>
          <w:rFonts w:cs="Arial"/>
          <w:color w:val="000000"/>
        </w:rPr>
        <w:lastRenderedPageBreak/>
        <w:t xml:space="preserve">The most sensitive subchronic study for dogs is a 90 days study which resulted in a NOAEL of 8 µg/kg bw/d. </w:t>
      </w:r>
    </w:p>
    <w:p w:rsidR="00BA7C2C" w:rsidRPr="007223F2" w:rsidRDefault="00BA7C2C" w:rsidP="00BA7C2C">
      <w:pPr>
        <w:rPr>
          <w:rFonts w:cs="Arial"/>
        </w:rPr>
      </w:pPr>
      <w:r w:rsidRPr="007223F2">
        <w:rPr>
          <w:rFonts w:cs="Arial"/>
        </w:rPr>
        <w:t>According to the Risk Assessment TGD the oral assessment factor (AForal) for extrapolation of mammalian toxicity data from a 90 d subchronic study is 30 resulting in a PNECoral (dog) of  0.27 μg/kg food. It must be noted that the assessment factor for long-term effects on dogs is set to 30, which accounts for laboratory to field and subchronic to chronic extrapolation, since the PNEC value for dog is used only for the long-term risk assessment of primary poisoning of this species.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Primary poisoning</w:t>
      </w:r>
    </w:p>
    <w:p w:rsidR="00BA7C2C" w:rsidRPr="007223F2" w:rsidRDefault="00BA7C2C" w:rsidP="00BA7C2C">
      <w:pPr>
        <w:rPr>
          <w:rFonts w:cs="Arial"/>
          <w:b/>
        </w:rPr>
      </w:pPr>
    </w:p>
    <w:p w:rsidR="00BA7C2C" w:rsidRPr="007223F2" w:rsidRDefault="00BA7C2C" w:rsidP="00BA7C2C">
      <w:pPr>
        <w:rPr>
          <w:rFonts w:cs="Arial"/>
          <w:b/>
        </w:rPr>
      </w:pPr>
      <w:bookmarkStart w:id="841" w:name="_Toc263859926"/>
      <w:r w:rsidRPr="007223F2">
        <w:rPr>
          <w:rFonts w:cs="Arial"/>
          <w:b/>
        </w:rPr>
        <w:t>In and around buildings</w:t>
      </w:r>
      <w:bookmarkEnd w:id="841"/>
    </w:p>
    <w:p w:rsidR="00BA7C2C" w:rsidRPr="007223F2" w:rsidRDefault="00BA7C2C" w:rsidP="00BA7C2C">
      <w:pPr>
        <w:rPr>
          <w:rFonts w:cs="Arial"/>
        </w:rPr>
      </w:pPr>
      <w:r w:rsidRPr="007223F2">
        <w:rPr>
          <w:rFonts w:cs="Arial"/>
        </w:rPr>
        <w:t xml:space="preserve">Non-target birds and mammals may encounter paste bait containing bromadiolone if they are small enough to be able to reach the bait, or because the bait is inadequately safeguarded or a secured bait point has become damaged, or by finding pieces of paste which have been removed by target rodents. However, good practice requires that control sites are checked regularly during baiting campaigns and that damaged points have to be repaired or replaced and that spilled bait is removed.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A primary poisoning assessment for mammals and birds has been carried out. Regarding birds, the avoidance factor for the paste formulation has been lowered as paste in sachets is unlikely to be consumed by birds. Dyed bait blocks and pellets might not appeal to birds as a source of food as well. However, as indicated in the EUBE</w:t>
      </w:r>
      <w:smartTag w:uri="urn:schemas-microsoft-com:office:smarttags" w:element="PersonName">
        <w:r w:rsidRPr="007223F2">
          <w:rPr>
            <w:rFonts w:cs="Arial"/>
          </w:rPr>
          <w:t>ES</w:t>
        </w:r>
      </w:smartTag>
      <w:r w:rsidRPr="007223F2">
        <w:rPr>
          <w:rFonts w:cs="Arial"/>
        </w:rPr>
        <w:t xml:space="preserve"> 2 colour preferences vary between species and may change depending on the context. Therefore, as a worst case approach, primary poisoning is considered.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Tier 1 risk assessment</w:t>
      </w:r>
    </w:p>
    <w:p w:rsidR="00BA7C2C" w:rsidRPr="007223F2" w:rsidRDefault="00BA7C2C" w:rsidP="00BA7C2C">
      <w:pPr>
        <w:rPr>
          <w:rFonts w:cs="Arial"/>
        </w:rPr>
      </w:pPr>
      <w:r w:rsidRPr="007223F2">
        <w:rPr>
          <w:rFonts w:cs="Arial"/>
        </w:rPr>
        <w:t>Quantities of paste bait (</w:t>
      </w:r>
      <w:smartTag w:uri="urn:schemas-microsoft-com:office:smarttags" w:element="metricconverter">
        <w:smartTagPr>
          <w:attr w:name="ProductID" w:val="40 g"/>
        </w:smartTagPr>
        <w:r w:rsidRPr="007223F2">
          <w:rPr>
            <w:rFonts w:cs="Arial"/>
          </w:rPr>
          <w:t>40 g</w:t>
        </w:r>
      </w:smartTag>
      <w:r w:rsidRPr="007223F2">
        <w:rPr>
          <w:rFonts w:cs="Arial"/>
        </w:rPr>
        <w:t xml:space="preserve"> size) are placed at secured bait points in and around buildings. Based on the maximum number used (6) and the concentration of active substance (50 mg/kg), the following table indicates various amounts of bromadiolone that may be taken from a bait point. These provide bromadiolone ingestion estimates for a first tier, estimate of exposure to non-target mammals.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Quantities of bromadiolone in paste bait potentially accessible to non-target vertebrates following deployment at secured bait points in and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240"/>
        <w:gridCol w:w="2085"/>
        <w:gridCol w:w="2688"/>
      </w:tblGrid>
      <w:tr w:rsidR="00BA7C2C" w:rsidRPr="007223F2" w:rsidTr="00613EE2">
        <w:trPr>
          <w:cantSplit/>
        </w:trPr>
        <w:tc>
          <w:tcPr>
            <w:tcW w:w="2156" w:type="dxa"/>
          </w:tcPr>
          <w:p w:rsidR="00BA7C2C" w:rsidRPr="007223F2" w:rsidRDefault="00BA7C2C" w:rsidP="00613EE2">
            <w:pPr>
              <w:rPr>
                <w:rFonts w:cs="Arial"/>
                <w:b/>
              </w:rPr>
            </w:pPr>
            <w:r w:rsidRPr="007223F2">
              <w:rPr>
                <w:rFonts w:cs="Arial"/>
                <w:b/>
              </w:rPr>
              <w:t>Maximum paste size and maximum number per bait point</w:t>
            </w:r>
          </w:p>
        </w:tc>
        <w:tc>
          <w:tcPr>
            <w:tcW w:w="2240" w:type="dxa"/>
          </w:tcPr>
          <w:p w:rsidR="00BA7C2C" w:rsidRPr="007223F2" w:rsidRDefault="00BA7C2C" w:rsidP="00613EE2">
            <w:pPr>
              <w:rPr>
                <w:rFonts w:cs="Arial"/>
                <w:b/>
              </w:rPr>
            </w:pPr>
            <w:r w:rsidRPr="007223F2">
              <w:rPr>
                <w:rFonts w:cs="Arial"/>
                <w:b/>
              </w:rPr>
              <w:t>Maximum weight of bromadiolone per bait point (mg)</w:t>
            </w:r>
          </w:p>
        </w:tc>
        <w:tc>
          <w:tcPr>
            <w:tcW w:w="2085" w:type="dxa"/>
          </w:tcPr>
          <w:p w:rsidR="00BA7C2C" w:rsidRPr="007223F2" w:rsidRDefault="00BA7C2C" w:rsidP="00613EE2">
            <w:pPr>
              <w:rPr>
                <w:rFonts w:cs="Arial"/>
                <w:b/>
              </w:rPr>
            </w:pPr>
            <w:r w:rsidRPr="007223F2">
              <w:rPr>
                <w:rFonts w:cs="Arial"/>
                <w:b/>
              </w:rPr>
              <w:t>Proportion of bait point contents accessible (%)</w:t>
            </w:r>
          </w:p>
        </w:tc>
        <w:tc>
          <w:tcPr>
            <w:tcW w:w="2688" w:type="dxa"/>
          </w:tcPr>
          <w:p w:rsidR="00BA7C2C" w:rsidRPr="007223F2" w:rsidRDefault="00BA7C2C" w:rsidP="00613EE2">
            <w:pPr>
              <w:keepNext/>
              <w:spacing w:before="40" w:after="40" w:line="240" w:lineRule="auto"/>
              <w:rPr>
                <w:rFonts w:cs="Arial"/>
                <w:b/>
              </w:rPr>
            </w:pPr>
            <w:r w:rsidRPr="007223F2">
              <w:rPr>
                <w:rFonts w:cs="Arial"/>
                <w:b/>
              </w:rPr>
              <w:t xml:space="preserve">Bromadiolone potentially ingested by non-target vertebrates (mg) </w:t>
            </w:r>
            <w:r w:rsidRPr="007223F2">
              <w:rPr>
                <w:rFonts w:cs="Arial"/>
                <w:b/>
              </w:rPr>
              <w:sym w:font="Symbol" w:char="F0BA"/>
            </w:r>
            <w:r w:rsidRPr="007223F2">
              <w:rPr>
                <w:rFonts w:cs="Arial"/>
                <w:b/>
              </w:rPr>
              <w:t xml:space="preserve"> PECoral</w:t>
            </w:r>
          </w:p>
        </w:tc>
      </w:tr>
      <w:tr w:rsidR="00BA7C2C" w:rsidRPr="007223F2" w:rsidTr="00613EE2">
        <w:trPr>
          <w:cantSplit/>
        </w:trPr>
        <w:tc>
          <w:tcPr>
            <w:tcW w:w="2156" w:type="dxa"/>
            <w:vMerge w:val="restart"/>
          </w:tcPr>
          <w:p w:rsidR="00BA7C2C" w:rsidRPr="007223F2" w:rsidRDefault="00BA7C2C" w:rsidP="00613EE2">
            <w:pPr>
              <w:rPr>
                <w:rFonts w:cs="Arial"/>
              </w:rPr>
            </w:pPr>
            <w:smartTag w:uri="urn:schemas-microsoft-com:office:smarttags" w:element="metricconverter">
              <w:smartTagPr>
                <w:attr w:name="ProductID" w:val="40ﾠg"/>
              </w:smartTagPr>
              <w:r w:rsidRPr="007223F2">
                <w:rPr>
                  <w:rFonts w:cs="Arial"/>
                </w:rPr>
                <w:t>40 g</w:t>
              </w:r>
            </w:smartTag>
            <w:r w:rsidRPr="007223F2">
              <w:rPr>
                <w:rFonts w:cs="Arial"/>
              </w:rPr>
              <w:t xml:space="preserve"> × 6 (rat control)</w:t>
            </w:r>
          </w:p>
        </w:tc>
        <w:tc>
          <w:tcPr>
            <w:tcW w:w="2240" w:type="dxa"/>
            <w:vMerge w:val="restart"/>
          </w:tcPr>
          <w:p w:rsidR="00BA7C2C" w:rsidRPr="007223F2" w:rsidRDefault="00BA7C2C" w:rsidP="00613EE2">
            <w:pPr>
              <w:rPr>
                <w:rFonts w:cs="Arial"/>
              </w:rPr>
            </w:pPr>
            <w:r w:rsidRPr="007223F2">
              <w:rPr>
                <w:rFonts w:cs="Arial"/>
              </w:rPr>
              <w:t>12.0</w:t>
            </w:r>
          </w:p>
        </w:tc>
        <w:tc>
          <w:tcPr>
            <w:tcW w:w="2085" w:type="dxa"/>
          </w:tcPr>
          <w:p w:rsidR="00BA7C2C" w:rsidRPr="007223F2" w:rsidRDefault="00BA7C2C" w:rsidP="00613EE2">
            <w:pPr>
              <w:rPr>
                <w:rFonts w:cs="Arial"/>
              </w:rPr>
            </w:pPr>
            <w:r w:rsidRPr="007223F2">
              <w:rPr>
                <w:rFonts w:cs="Arial"/>
              </w:rPr>
              <w:t>100</w:t>
            </w:r>
          </w:p>
        </w:tc>
        <w:tc>
          <w:tcPr>
            <w:tcW w:w="2688" w:type="dxa"/>
          </w:tcPr>
          <w:p w:rsidR="00BA7C2C" w:rsidRPr="007223F2" w:rsidRDefault="00BA7C2C" w:rsidP="00613EE2">
            <w:pPr>
              <w:rPr>
                <w:rFonts w:cs="Arial"/>
              </w:rPr>
            </w:pPr>
            <w:r w:rsidRPr="007223F2">
              <w:rPr>
                <w:rFonts w:cs="Arial"/>
              </w:rPr>
              <w:t>12.0</w:t>
            </w:r>
          </w:p>
        </w:tc>
      </w:tr>
      <w:tr w:rsidR="00BA7C2C" w:rsidRPr="007223F2" w:rsidTr="00613EE2">
        <w:trPr>
          <w:cantSplit/>
        </w:trPr>
        <w:tc>
          <w:tcPr>
            <w:tcW w:w="2156" w:type="dxa"/>
            <w:vMerge/>
          </w:tcPr>
          <w:p w:rsidR="00BA7C2C" w:rsidRPr="007223F2" w:rsidRDefault="00BA7C2C" w:rsidP="00613EE2">
            <w:pPr>
              <w:keepNext/>
              <w:spacing w:before="40" w:after="40" w:line="240" w:lineRule="auto"/>
              <w:rPr>
                <w:rFonts w:cs="Arial"/>
              </w:rPr>
            </w:pPr>
          </w:p>
        </w:tc>
        <w:tc>
          <w:tcPr>
            <w:tcW w:w="2240" w:type="dxa"/>
            <w:vMerge/>
          </w:tcPr>
          <w:p w:rsidR="00BA7C2C" w:rsidRPr="007223F2" w:rsidRDefault="00BA7C2C" w:rsidP="00613EE2">
            <w:pPr>
              <w:keepNext/>
              <w:spacing w:before="40" w:after="40" w:line="240" w:lineRule="auto"/>
              <w:rPr>
                <w:rFonts w:cs="Arial"/>
              </w:rPr>
            </w:pPr>
          </w:p>
        </w:tc>
        <w:tc>
          <w:tcPr>
            <w:tcW w:w="2085" w:type="dxa"/>
          </w:tcPr>
          <w:p w:rsidR="00BA7C2C" w:rsidRPr="007223F2" w:rsidRDefault="00BA7C2C" w:rsidP="00613EE2">
            <w:pPr>
              <w:rPr>
                <w:rFonts w:cs="Arial"/>
              </w:rPr>
            </w:pPr>
            <w:r w:rsidRPr="007223F2">
              <w:rPr>
                <w:rFonts w:cs="Arial"/>
              </w:rPr>
              <w:t>50</w:t>
            </w:r>
          </w:p>
        </w:tc>
        <w:tc>
          <w:tcPr>
            <w:tcW w:w="2688" w:type="dxa"/>
          </w:tcPr>
          <w:p w:rsidR="00BA7C2C" w:rsidRPr="007223F2" w:rsidRDefault="00BA7C2C" w:rsidP="00613EE2">
            <w:pPr>
              <w:rPr>
                <w:rFonts w:cs="Arial"/>
              </w:rPr>
            </w:pPr>
            <w:r w:rsidRPr="007223F2">
              <w:rPr>
                <w:rFonts w:cs="Arial"/>
              </w:rPr>
              <w:t>6.0</w:t>
            </w:r>
          </w:p>
        </w:tc>
      </w:tr>
      <w:tr w:rsidR="00BA7C2C" w:rsidRPr="007223F2" w:rsidTr="00613EE2">
        <w:trPr>
          <w:cantSplit/>
        </w:trPr>
        <w:tc>
          <w:tcPr>
            <w:tcW w:w="2156" w:type="dxa"/>
            <w:vMerge/>
          </w:tcPr>
          <w:p w:rsidR="00BA7C2C" w:rsidRPr="007223F2" w:rsidRDefault="00BA7C2C" w:rsidP="00613EE2">
            <w:pPr>
              <w:keepNext/>
              <w:spacing w:before="40" w:after="40" w:line="240" w:lineRule="auto"/>
              <w:rPr>
                <w:rFonts w:cs="Arial"/>
              </w:rPr>
            </w:pPr>
          </w:p>
        </w:tc>
        <w:tc>
          <w:tcPr>
            <w:tcW w:w="2240" w:type="dxa"/>
            <w:vMerge/>
          </w:tcPr>
          <w:p w:rsidR="00BA7C2C" w:rsidRPr="007223F2" w:rsidRDefault="00BA7C2C" w:rsidP="00613EE2">
            <w:pPr>
              <w:keepNext/>
              <w:spacing w:before="40" w:after="40" w:line="240" w:lineRule="auto"/>
              <w:rPr>
                <w:rFonts w:cs="Arial"/>
              </w:rPr>
            </w:pPr>
          </w:p>
        </w:tc>
        <w:tc>
          <w:tcPr>
            <w:tcW w:w="2085" w:type="dxa"/>
          </w:tcPr>
          <w:p w:rsidR="00BA7C2C" w:rsidRPr="007223F2" w:rsidRDefault="00BA7C2C" w:rsidP="00613EE2">
            <w:pPr>
              <w:rPr>
                <w:rFonts w:cs="Arial"/>
              </w:rPr>
            </w:pPr>
            <w:r w:rsidRPr="007223F2">
              <w:rPr>
                <w:rFonts w:cs="Arial"/>
              </w:rPr>
              <w:t>40</w:t>
            </w:r>
          </w:p>
        </w:tc>
        <w:tc>
          <w:tcPr>
            <w:tcW w:w="2688" w:type="dxa"/>
          </w:tcPr>
          <w:p w:rsidR="00BA7C2C" w:rsidRPr="007223F2" w:rsidRDefault="00BA7C2C" w:rsidP="00613EE2">
            <w:pPr>
              <w:rPr>
                <w:rFonts w:cs="Arial"/>
              </w:rPr>
            </w:pPr>
            <w:r w:rsidRPr="007223F2">
              <w:rPr>
                <w:rFonts w:cs="Arial"/>
              </w:rPr>
              <w:t>4.8</w:t>
            </w:r>
          </w:p>
        </w:tc>
      </w:tr>
      <w:tr w:rsidR="00BA7C2C" w:rsidRPr="007223F2" w:rsidTr="00613EE2">
        <w:trPr>
          <w:cantSplit/>
        </w:trPr>
        <w:tc>
          <w:tcPr>
            <w:tcW w:w="2156" w:type="dxa"/>
            <w:vMerge/>
          </w:tcPr>
          <w:p w:rsidR="00BA7C2C" w:rsidRPr="007223F2" w:rsidRDefault="00BA7C2C" w:rsidP="00613EE2">
            <w:pPr>
              <w:keepNext/>
              <w:spacing w:before="40" w:after="40" w:line="240" w:lineRule="auto"/>
              <w:rPr>
                <w:rFonts w:cs="Arial"/>
              </w:rPr>
            </w:pPr>
          </w:p>
        </w:tc>
        <w:tc>
          <w:tcPr>
            <w:tcW w:w="2240" w:type="dxa"/>
            <w:vMerge/>
          </w:tcPr>
          <w:p w:rsidR="00BA7C2C" w:rsidRPr="007223F2" w:rsidRDefault="00BA7C2C" w:rsidP="00613EE2">
            <w:pPr>
              <w:keepNext/>
              <w:spacing w:before="40" w:after="40" w:line="240" w:lineRule="auto"/>
              <w:rPr>
                <w:rFonts w:cs="Arial"/>
              </w:rPr>
            </w:pPr>
          </w:p>
        </w:tc>
        <w:tc>
          <w:tcPr>
            <w:tcW w:w="2085" w:type="dxa"/>
          </w:tcPr>
          <w:p w:rsidR="00BA7C2C" w:rsidRPr="007223F2" w:rsidRDefault="00BA7C2C" w:rsidP="00613EE2">
            <w:pPr>
              <w:rPr>
                <w:rFonts w:cs="Arial"/>
              </w:rPr>
            </w:pPr>
            <w:r w:rsidRPr="007223F2">
              <w:rPr>
                <w:rFonts w:cs="Arial"/>
              </w:rPr>
              <w:t>30</w:t>
            </w:r>
          </w:p>
        </w:tc>
        <w:tc>
          <w:tcPr>
            <w:tcW w:w="2688" w:type="dxa"/>
          </w:tcPr>
          <w:p w:rsidR="00BA7C2C" w:rsidRPr="007223F2" w:rsidRDefault="00BA7C2C" w:rsidP="00613EE2">
            <w:pPr>
              <w:rPr>
                <w:rFonts w:cs="Arial"/>
              </w:rPr>
            </w:pPr>
            <w:r w:rsidRPr="007223F2">
              <w:rPr>
                <w:rFonts w:cs="Arial"/>
              </w:rPr>
              <w:t>3.6</w:t>
            </w:r>
          </w:p>
        </w:tc>
      </w:tr>
      <w:tr w:rsidR="00BA7C2C" w:rsidRPr="007223F2" w:rsidTr="00613EE2">
        <w:trPr>
          <w:cantSplit/>
        </w:trPr>
        <w:tc>
          <w:tcPr>
            <w:tcW w:w="2156" w:type="dxa"/>
            <w:vMerge/>
          </w:tcPr>
          <w:p w:rsidR="00BA7C2C" w:rsidRPr="007223F2" w:rsidRDefault="00BA7C2C" w:rsidP="00613EE2">
            <w:pPr>
              <w:keepNext/>
              <w:spacing w:before="40" w:after="40" w:line="240" w:lineRule="auto"/>
              <w:rPr>
                <w:rFonts w:cs="Arial"/>
              </w:rPr>
            </w:pPr>
          </w:p>
        </w:tc>
        <w:tc>
          <w:tcPr>
            <w:tcW w:w="2240" w:type="dxa"/>
            <w:vMerge/>
          </w:tcPr>
          <w:p w:rsidR="00BA7C2C" w:rsidRPr="007223F2" w:rsidRDefault="00BA7C2C" w:rsidP="00613EE2">
            <w:pPr>
              <w:keepNext/>
              <w:spacing w:before="40" w:after="40" w:line="240" w:lineRule="auto"/>
              <w:rPr>
                <w:rFonts w:cs="Arial"/>
              </w:rPr>
            </w:pPr>
          </w:p>
        </w:tc>
        <w:tc>
          <w:tcPr>
            <w:tcW w:w="2085" w:type="dxa"/>
          </w:tcPr>
          <w:p w:rsidR="00BA7C2C" w:rsidRPr="007223F2" w:rsidRDefault="00BA7C2C" w:rsidP="00613EE2">
            <w:pPr>
              <w:rPr>
                <w:rFonts w:cs="Arial"/>
              </w:rPr>
            </w:pPr>
            <w:r w:rsidRPr="007223F2">
              <w:rPr>
                <w:rFonts w:cs="Arial"/>
              </w:rPr>
              <w:t>20</w:t>
            </w:r>
          </w:p>
        </w:tc>
        <w:tc>
          <w:tcPr>
            <w:tcW w:w="2688" w:type="dxa"/>
          </w:tcPr>
          <w:p w:rsidR="00BA7C2C" w:rsidRPr="007223F2" w:rsidRDefault="00BA7C2C" w:rsidP="00613EE2">
            <w:pPr>
              <w:rPr>
                <w:rFonts w:cs="Arial"/>
              </w:rPr>
            </w:pPr>
            <w:r w:rsidRPr="007223F2">
              <w:rPr>
                <w:rFonts w:cs="Arial"/>
              </w:rPr>
              <w:t>2.4</w:t>
            </w:r>
          </w:p>
        </w:tc>
      </w:tr>
      <w:tr w:rsidR="00BA7C2C" w:rsidRPr="007223F2" w:rsidTr="00613EE2">
        <w:trPr>
          <w:cantSplit/>
        </w:trPr>
        <w:tc>
          <w:tcPr>
            <w:tcW w:w="2156" w:type="dxa"/>
            <w:vMerge/>
          </w:tcPr>
          <w:p w:rsidR="00BA7C2C" w:rsidRPr="007223F2" w:rsidRDefault="00BA7C2C" w:rsidP="00613EE2">
            <w:pPr>
              <w:keepNext/>
              <w:spacing w:before="40" w:after="40" w:line="240" w:lineRule="auto"/>
              <w:rPr>
                <w:rFonts w:cs="Arial"/>
              </w:rPr>
            </w:pPr>
          </w:p>
        </w:tc>
        <w:tc>
          <w:tcPr>
            <w:tcW w:w="2240" w:type="dxa"/>
            <w:vMerge/>
          </w:tcPr>
          <w:p w:rsidR="00BA7C2C" w:rsidRPr="007223F2" w:rsidRDefault="00BA7C2C" w:rsidP="00613EE2">
            <w:pPr>
              <w:keepNext/>
              <w:spacing w:before="40" w:after="40" w:line="240" w:lineRule="auto"/>
              <w:rPr>
                <w:rFonts w:cs="Arial"/>
              </w:rPr>
            </w:pPr>
          </w:p>
        </w:tc>
        <w:tc>
          <w:tcPr>
            <w:tcW w:w="2085" w:type="dxa"/>
          </w:tcPr>
          <w:p w:rsidR="00BA7C2C" w:rsidRPr="007223F2" w:rsidRDefault="00BA7C2C" w:rsidP="00613EE2">
            <w:pPr>
              <w:rPr>
                <w:rFonts w:cs="Arial"/>
              </w:rPr>
            </w:pPr>
            <w:r w:rsidRPr="007223F2">
              <w:rPr>
                <w:rFonts w:cs="Arial"/>
              </w:rPr>
              <w:t>10</w:t>
            </w:r>
          </w:p>
        </w:tc>
        <w:tc>
          <w:tcPr>
            <w:tcW w:w="2688" w:type="dxa"/>
          </w:tcPr>
          <w:p w:rsidR="00BA7C2C" w:rsidRPr="007223F2" w:rsidRDefault="00BA7C2C" w:rsidP="00613EE2">
            <w:pPr>
              <w:rPr>
                <w:rFonts w:cs="Arial"/>
              </w:rPr>
            </w:pPr>
            <w:r w:rsidRPr="007223F2">
              <w:rPr>
                <w:rFonts w:cs="Arial"/>
              </w:rPr>
              <w:t>1.2</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As an absolute worst case the risk at this tier is quantified as the ratio between the concentration of bromadiolone in food and the PNECoral. It is assumed that non-target animals have direct access to an unlimited amount of formulated product. Bromadiolone concentration in the bait is 50 mg/kg and hence the PECoral is 50 mg/kg food. The PNECoral for birds is 3.3 μg/kg food, the PNECoral for rats is 0.44 μg/kg food and the PNECoral for dog is 11 μg/kg food. The PEC/PNEC values are rounded values. There are many uncertainties related to the calculation of PEC/PNEC values. Moreover, the PEC/PNEC values are very high. Therefore, not the exact numbers have been presented but rounded figures (e.g. 15,000 instead of 15,152).</w:t>
      </w:r>
    </w:p>
    <w:p w:rsidR="00BA7C2C" w:rsidRPr="007223F2" w:rsidRDefault="00BA7C2C" w:rsidP="00BA7C2C">
      <w:pPr>
        <w:rPr>
          <w:rFonts w:cs="Arial"/>
        </w:rPr>
      </w:pPr>
    </w:p>
    <w:p w:rsidR="00BA7C2C" w:rsidRPr="007223F2" w:rsidRDefault="00BA7C2C" w:rsidP="00BA7C2C">
      <w:pPr>
        <w:rPr>
          <w:rFonts w:cs="Arial"/>
          <w:sz w:val="23"/>
          <w:szCs w:val="23"/>
        </w:rPr>
      </w:pPr>
      <w:r w:rsidRPr="007223F2">
        <w:rPr>
          <w:rFonts w:cs="Arial"/>
          <w:sz w:val="23"/>
          <w:szCs w:val="23"/>
        </w:rPr>
        <w:t>Birds: PEC/PNEC ≈ 15,000</w:t>
      </w:r>
    </w:p>
    <w:p w:rsidR="00BA7C2C" w:rsidRPr="007223F2" w:rsidRDefault="00BA7C2C" w:rsidP="00BA7C2C">
      <w:pPr>
        <w:rPr>
          <w:rFonts w:cs="Arial"/>
          <w:sz w:val="23"/>
          <w:szCs w:val="23"/>
        </w:rPr>
      </w:pPr>
      <w:r w:rsidRPr="007223F2">
        <w:rPr>
          <w:rFonts w:cs="Arial"/>
          <w:sz w:val="23"/>
          <w:szCs w:val="23"/>
        </w:rPr>
        <w:t>Rats: PEC/PNEC ≈ 110,000</w:t>
      </w:r>
    </w:p>
    <w:p w:rsidR="00BA7C2C" w:rsidRPr="007223F2" w:rsidRDefault="00BA7C2C" w:rsidP="00BA7C2C">
      <w:pPr>
        <w:rPr>
          <w:rFonts w:cs="Arial"/>
          <w:sz w:val="23"/>
          <w:szCs w:val="23"/>
        </w:rPr>
      </w:pPr>
      <w:r w:rsidRPr="007223F2">
        <w:rPr>
          <w:rFonts w:cs="Arial"/>
          <w:sz w:val="23"/>
          <w:szCs w:val="23"/>
        </w:rPr>
        <w:t>Dogs: PEC/PNEC ≈ 4,500</w:t>
      </w:r>
    </w:p>
    <w:p w:rsidR="00BA7C2C" w:rsidRPr="007223F2" w:rsidRDefault="00BA7C2C" w:rsidP="00BA7C2C">
      <w:pPr>
        <w:rPr>
          <w:rFonts w:cs="Arial"/>
        </w:rPr>
      </w:pPr>
    </w:p>
    <w:p w:rsidR="00BA7C2C" w:rsidRPr="007223F2" w:rsidRDefault="00BA7C2C" w:rsidP="00BA7C2C">
      <w:pPr>
        <w:rPr>
          <w:rFonts w:cs="Arial"/>
        </w:rPr>
      </w:pPr>
      <w:r w:rsidRPr="007223F2">
        <w:rPr>
          <w:rFonts w:cs="Arial"/>
        </w:rPr>
        <w:t>This conservative approach clearly highlights a high risk to birds and non-target mammals if bromadiolone containing products are freely consumed. This risk characterisation has been carried out with the PNECoral values representative for a long-term exposure situation.</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Tier 2 risk assessment: Acute effects</w:t>
      </w:r>
    </w:p>
    <w:p w:rsidR="00BA7C2C" w:rsidRPr="007223F2" w:rsidRDefault="00BA7C2C" w:rsidP="00BA7C2C">
      <w:pPr>
        <w:rPr>
          <w:rFonts w:cs="Arial"/>
        </w:rPr>
      </w:pPr>
      <w:r w:rsidRPr="007223F2">
        <w:rPr>
          <w:rFonts w:cs="Arial"/>
        </w:rPr>
        <w:t xml:space="preserve">At Tier </w:t>
      </w:r>
      <w:smartTag w:uri="urn:schemas-microsoft-com:office:smarttags" w:element="metricconverter">
        <w:smartTagPr>
          <w:attr w:name="ProductID" w:val="2 a"/>
        </w:smartTagPr>
        <w:r w:rsidRPr="007223F2">
          <w:rPr>
            <w:rFonts w:cs="Arial"/>
          </w:rPr>
          <w:t>2 a</w:t>
        </w:r>
      </w:smartTag>
      <w:r w:rsidRPr="007223F2">
        <w:rPr>
          <w:rFonts w:cs="Arial"/>
        </w:rPr>
        <w:t xml:space="preserve"> refinement of the Tier 1 is made by assessing the amount of food ingested by non target animals by the equation:</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ETE = (FIR/BW) * C * AV * PT * PD (mg bromadiolone/kg bw/day),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where ETE is the estimated theoretical exposure to the active substance, FIR is the non-target mammal food intake [g/d] (fresh weight), BW is mammal bodyweight [g], C is the concentration of active substance in the fresh diet 50 mg/kg (paste bait), AV is the avoidance factor (default 1.0 = no avoidance; AV = 0.5 for birds when product is paste), PT is the fraction of diet obtained in the treated area (default 1.0) and PD is the fraction of food type in the diet (default 1.0).</w:t>
      </w:r>
    </w:p>
    <w:p w:rsidR="00BA7C2C" w:rsidRPr="007223F2" w:rsidRDefault="00BA7C2C" w:rsidP="00BA7C2C">
      <w:pPr>
        <w:rPr>
          <w:rFonts w:cs="Arial"/>
        </w:rPr>
      </w:pPr>
    </w:p>
    <w:p w:rsidR="00BA7C2C" w:rsidRPr="007223F2" w:rsidRDefault="00BA7C2C" w:rsidP="00BA7C2C">
      <w:pPr>
        <w:rPr>
          <w:rFonts w:cs="Arial"/>
        </w:rPr>
      </w:pPr>
      <w:r w:rsidRPr="007223F2">
        <w:rPr>
          <w:rFonts w:cs="Arial"/>
        </w:rPr>
        <w:t>This is a worst case scenario as it assumes that the entire food of the non-target animals (except for birds) is the bait (PD = 1) and that AV and PT are both 1. The concentration of bromadiolone in the products is 50 mg/kg. In a second step for mammals AV is 0.9, PT is 0.8 and PD is 1 to represent a more realistic worst case situation. For birds AV is set to 0.5 at both steps as the product is a paste in a sachet as this product is less likely to be consumed by birds than bait blocks. The ETE is estimated for one day without taking excretion into account. Data on bodyweight is taken from EUBE</w:t>
      </w:r>
      <w:smartTag w:uri="urn:schemas-microsoft-com:office:smarttags" w:element="PersonName">
        <w:r w:rsidRPr="007223F2">
          <w:rPr>
            <w:rFonts w:cs="Arial"/>
          </w:rPr>
          <w:t>ES</w:t>
        </w:r>
      </w:smartTag>
      <w:r w:rsidRPr="007223F2">
        <w:rPr>
          <w:rFonts w:cs="Arial"/>
        </w:rPr>
        <w:t xml:space="preserve"> 2, if not otherwise stated.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ETE (1 day) for non-target mammals and birds ingesting paste bait containing bromadiolone without excretion</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316"/>
        <w:gridCol w:w="2125"/>
        <w:gridCol w:w="2113"/>
        <w:gridCol w:w="12"/>
        <w:gridCol w:w="2187"/>
      </w:tblGrid>
      <w:tr w:rsidR="00BA7C2C" w:rsidRPr="007223F2" w:rsidTr="00613EE2">
        <w:tc>
          <w:tcPr>
            <w:tcW w:w="1596" w:type="dxa"/>
          </w:tcPr>
          <w:p w:rsidR="00BA7C2C" w:rsidRPr="007223F2" w:rsidRDefault="00BA7C2C" w:rsidP="00613EE2">
            <w:pPr>
              <w:rPr>
                <w:rFonts w:cs="Arial"/>
                <w:b/>
              </w:rPr>
            </w:pPr>
            <w:r w:rsidRPr="007223F2">
              <w:rPr>
                <w:rFonts w:cs="Arial"/>
                <w:b/>
              </w:rPr>
              <w:t>Non-target mammal</w:t>
            </w:r>
          </w:p>
        </w:tc>
        <w:tc>
          <w:tcPr>
            <w:tcW w:w="1316" w:type="dxa"/>
          </w:tcPr>
          <w:p w:rsidR="00BA7C2C" w:rsidRPr="007223F2" w:rsidRDefault="00BA7C2C" w:rsidP="00613EE2">
            <w:pPr>
              <w:rPr>
                <w:rFonts w:cs="Arial"/>
                <w:b/>
                <w:vertAlign w:val="superscript"/>
              </w:rPr>
            </w:pPr>
            <w:r w:rsidRPr="007223F2">
              <w:rPr>
                <w:rFonts w:cs="Arial"/>
                <w:b/>
              </w:rPr>
              <w:t>Typical bodyweight (g)</w:t>
            </w:r>
          </w:p>
        </w:tc>
        <w:tc>
          <w:tcPr>
            <w:tcW w:w="2125" w:type="dxa"/>
          </w:tcPr>
          <w:p w:rsidR="00BA7C2C" w:rsidRPr="007223F2" w:rsidRDefault="00BA7C2C" w:rsidP="00613EE2">
            <w:pPr>
              <w:rPr>
                <w:rFonts w:cs="Arial"/>
                <w:b/>
              </w:rPr>
            </w:pPr>
            <w:r w:rsidRPr="007223F2">
              <w:rPr>
                <w:rFonts w:cs="Arial"/>
                <w:b/>
              </w:rPr>
              <w:t>Daily mean food intake</w:t>
            </w:r>
            <w:r w:rsidRPr="007223F2">
              <w:rPr>
                <w:rFonts w:cs="Arial"/>
                <w:b/>
              </w:rPr>
              <w:br/>
              <w:t>(g dry weight/day)</w:t>
            </w:r>
            <w:r w:rsidRPr="007223F2">
              <w:rPr>
                <w:rFonts w:cs="Arial"/>
                <w:b/>
                <w:vertAlign w:val="superscript"/>
              </w:rPr>
              <w:t>3</w:t>
            </w:r>
          </w:p>
        </w:tc>
        <w:tc>
          <w:tcPr>
            <w:tcW w:w="2125" w:type="dxa"/>
            <w:gridSpan w:val="2"/>
          </w:tcPr>
          <w:p w:rsidR="00BA7C2C" w:rsidRPr="007223F2" w:rsidRDefault="00BA7C2C" w:rsidP="00613EE2">
            <w:pPr>
              <w:rPr>
                <w:rFonts w:cs="Arial"/>
                <w:b/>
              </w:rPr>
            </w:pPr>
            <w:r w:rsidRPr="007223F2">
              <w:rPr>
                <w:rFonts w:cs="Arial"/>
                <w:b/>
              </w:rPr>
              <w:t>ETE after one meal [mg/kg bw]</w:t>
            </w:r>
          </w:p>
          <w:p w:rsidR="00BA7C2C" w:rsidRPr="007223F2" w:rsidRDefault="00BA7C2C" w:rsidP="00613EE2">
            <w:pPr>
              <w:rPr>
                <w:rFonts w:cs="Arial"/>
                <w:b/>
                <w:bCs/>
              </w:rPr>
            </w:pPr>
            <w:r w:rsidRPr="007223F2">
              <w:rPr>
                <w:rFonts w:cs="Arial"/>
                <w:b/>
                <w:bCs/>
              </w:rPr>
              <w:t>Step 1</w:t>
            </w:r>
            <w:r w:rsidRPr="007223F2">
              <w:rPr>
                <w:rFonts w:cs="Arial"/>
                <w:b/>
                <w:bCs/>
                <w:vertAlign w:val="superscript"/>
              </w:rPr>
              <w:t>1</w:t>
            </w:r>
          </w:p>
        </w:tc>
        <w:tc>
          <w:tcPr>
            <w:tcW w:w="2187" w:type="dxa"/>
          </w:tcPr>
          <w:p w:rsidR="00BA7C2C" w:rsidRPr="007223F2" w:rsidRDefault="00BA7C2C" w:rsidP="00613EE2">
            <w:pPr>
              <w:keepNext/>
              <w:spacing w:before="40" w:after="40" w:line="240" w:lineRule="auto"/>
              <w:jc w:val="center"/>
              <w:rPr>
                <w:rFonts w:cs="Arial"/>
                <w:b/>
                <w:szCs w:val="22"/>
              </w:rPr>
            </w:pPr>
            <w:r w:rsidRPr="007223F2">
              <w:rPr>
                <w:rFonts w:cs="Arial"/>
                <w:b/>
              </w:rPr>
              <w:t>ETE after one meal [mg/kg bw</w:t>
            </w:r>
            <w:r w:rsidRPr="007223F2">
              <w:rPr>
                <w:rFonts w:cs="Arial"/>
                <w:b/>
                <w:szCs w:val="22"/>
              </w:rPr>
              <w:t>]</w:t>
            </w:r>
            <w:r w:rsidRPr="007223F2">
              <w:rPr>
                <w:rFonts w:cs="Arial"/>
                <w:b/>
                <w:szCs w:val="22"/>
              </w:rPr>
              <w:br/>
              <w:t>Step 2</w:t>
            </w:r>
            <w:r w:rsidRPr="007223F2">
              <w:rPr>
                <w:rFonts w:cs="Arial"/>
                <w:b/>
                <w:vertAlign w:val="superscript"/>
              </w:rPr>
              <w:t>1</w:t>
            </w:r>
          </w:p>
        </w:tc>
      </w:tr>
      <w:tr w:rsidR="00BA7C2C" w:rsidRPr="007223F2" w:rsidTr="00613EE2">
        <w:trPr>
          <w:cantSplit/>
        </w:trPr>
        <w:tc>
          <w:tcPr>
            <w:tcW w:w="1596" w:type="dxa"/>
            <w:tcBorders>
              <w:bottom w:val="single" w:sz="4" w:space="0" w:color="auto"/>
            </w:tcBorders>
          </w:tcPr>
          <w:p w:rsidR="00BA7C2C" w:rsidRPr="007223F2" w:rsidRDefault="00BA7C2C" w:rsidP="00613EE2">
            <w:pPr>
              <w:rPr>
                <w:rFonts w:cs="Arial"/>
              </w:rPr>
            </w:pPr>
            <w:r w:rsidRPr="007223F2">
              <w:rPr>
                <w:rFonts w:cs="Arial"/>
              </w:rPr>
              <w:t>Dog</w:t>
            </w:r>
          </w:p>
        </w:tc>
        <w:tc>
          <w:tcPr>
            <w:tcW w:w="1316" w:type="dxa"/>
            <w:tcBorders>
              <w:bottom w:val="single" w:sz="4" w:space="0" w:color="auto"/>
            </w:tcBorders>
          </w:tcPr>
          <w:p w:rsidR="00BA7C2C" w:rsidRPr="007223F2" w:rsidRDefault="00BA7C2C" w:rsidP="00613EE2">
            <w:pPr>
              <w:rPr>
                <w:rFonts w:cs="Arial"/>
                <w:vertAlign w:val="superscript"/>
              </w:rPr>
            </w:pPr>
            <w:r w:rsidRPr="007223F2">
              <w:rPr>
                <w:rFonts w:cs="Arial"/>
              </w:rPr>
              <w:t>10,000</w:t>
            </w:r>
            <w:r w:rsidRPr="007223F2">
              <w:rPr>
                <w:rFonts w:cs="Arial"/>
                <w:vertAlign w:val="superscript"/>
              </w:rPr>
              <w:t>a</w:t>
            </w:r>
          </w:p>
        </w:tc>
        <w:tc>
          <w:tcPr>
            <w:tcW w:w="2125" w:type="dxa"/>
            <w:tcBorders>
              <w:bottom w:val="single" w:sz="4" w:space="0" w:color="auto"/>
            </w:tcBorders>
          </w:tcPr>
          <w:p w:rsidR="00BA7C2C" w:rsidRPr="007223F2" w:rsidRDefault="00BA7C2C" w:rsidP="00613EE2">
            <w:pPr>
              <w:rPr>
                <w:rFonts w:cs="Arial"/>
              </w:rPr>
            </w:pPr>
            <w:r w:rsidRPr="007223F2">
              <w:rPr>
                <w:rFonts w:cs="Arial"/>
              </w:rPr>
              <w:t>456</w:t>
            </w:r>
          </w:p>
        </w:tc>
        <w:tc>
          <w:tcPr>
            <w:tcW w:w="2125" w:type="dxa"/>
            <w:gridSpan w:val="2"/>
            <w:tcBorders>
              <w:bottom w:val="single" w:sz="4" w:space="0" w:color="auto"/>
            </w:tcBorders>
          </w:tcPr>
          <w:p w:rsidR="00BA7C2C" w:rsidRPr="007223F2" w:rsidRDefault="00BA7C2C" w:rsidP="00613EE2">
            <w:pPr>
              <w:rPr>
                <w:rFonts w:cs="Arial"/>
              </w:rPr>
            </w:pPr>
            <w:r w:rsidRPr="007223F2">
              <w:rPr>
                <w:rFonts w:cs="Arial"/>
              </w:rPr>
              <w:t>2.28</w:t>
            </w:r>
          </w:p>
        </w:tc>
        <w:tc>
          <w:tcPr>
            <w:tcW w:w="2187" w:type="dxa"/>
            <w:tcBorders>
              <w:bottom w:val="single" w:sz="4" w:space="0" w:color="auto"/>
            </w:tcBorders>
          </w:tcPr>
          <w:p w:rsidR="00BA7C2C" w:rsidRPr="007223F2" w:rsidRDefault="00BA7C2C" w:rsidP="00613EE2">
            <w:pPr>
              <w:rPr>
                <w:rFonts w:cs="Arial"/>
              </w:rPr>
            </w:pPr>
            <w:r w:rsidRPr="007223F2">
              <w:rPr>
                <w:rFonts w:cs="Arial"/>
              </w:rPr>
              <w:t>1.82</w:t>
            </w:r>
          </w:p>
        </w:tc>
      </w:tr>
      <w:tr w:rsidR="00BA7C2C" w:rsidRPr="007223F2" w:rsidTr="00613EE2">
        <w:tblPrEx>
          <w:tblBorders>
            <w:top w:val="nil"/>
            <w:left w:val="nil"/>
            <w:bottom w:val="nil"/>
            <w:right w:val="nil"/>
            <w:insideH w:val="none" w:sz="0" w:space="0" w:color="auto"/>
            <w:insideV w:val="none" w:sz="0" w:space="0" w:color="auto"/>
          </w:tblBorders>
        </w:tblPrEx>
        <w:trPr>
          <w:trHeight w:val="141"/>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Cat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3,000 </w:t>
            </w:r>
            <w:r w:rsidRPr="007223F2">
              <w:rPr>
                <w:rFonts w:cs="Arial"/>
                <w:vertAlign w:val="superscript"/>
              </w:rPr>
              <w:t>2</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170</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2.83</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2.27</w:t>
            </w:r>
          </w:p>
        </w:tc>
      </w:tr>
      <w:tr w:rsidR="00BA7C2C" w:rsidRPr="007223F2" w:rsidTr="00613EE2">
        <w:tblPrEx>
          <w:tblBorders>
            <w:top w:val="nil"/>
            <w:left w:val="nil"/>
            <w:bottom w:val="nil"/>
            <w:right w:val="nil"/>
            <w:insideH w:val="none" w:sz="0" w:space="0" w:color="auto"/>
            <w:insideV w:val="none" w:sz="0" w:space="0" w:color="auto"/>
          </w:tblBorders>
        </w:tblPrEx>
        <w:trPr>
          <w:trHeight w:val="141"/>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Pig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25,000</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969 (600) </w:t>
            </w:r>
            <w:r w:rsidRPr="007223F2">
              <w:rPr>
                <w:rFonts w:cs="Arial"/>
                <w:vertAlign w:val="superscript"/>
              </w:rPr>
              <w:t>5</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1.20 </w:t>
            </w:r>
            <w:r w:rsidRPr="007223F2">
              <w:rPr>
                <w:rFonts w:cs="Arial"/>
                <w:vertAlign w:val="superscript"/>
              </w:rPr>
              <w:t>6</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0.96</w:t>
            </w:r>
          </w:p>
        </w:tc>
      </w:tr>
      <w:tr w:rsidR="00BA7C2C" w:rsidRPr="007223F2" w:rsidTr="00613EE2">
        <w:tblPrEx>
          <w:tblBorders>
            <w:top w:val="nil"/>
            <w:left w:val="nil"/>
            <w:bottom w:val="nil"/>
            <w:right w:val="nil"/>
            <w:insideH w:val="none" w:sz="0" w:space="0" w:color="auto"/>
            <w:insideV w:val="none" w:sz="0" w:space="0" w:color="auto"/>
          </w:tblBorders>
        </w:tblPrEx>
        <w:trPr>
          <w:trHeight w:val="256"/>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General non target mammal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5,700 </w:t>
            </w:r>
            <w:r w:rsidRPr="007223F2">
              <w:rPr>
                <w:rFonts w:cs="Arial"/>
                <w:vertAlign w:val="superscript"/>
              </w:rPr>
              <w:t>4</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287</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2.52</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2.01</w:t>
            </w:r>
          </w:p>
        </w:tc>
      </w:tr>
      <w:tr w:rsidR="00BA7C2C" w:rsidRPr="007223F2" w:rsidTr="00613EE2">
        <w:tblPrEx>
          <w:tblBorders>
            <w:top w:val="nil"/>
            <w:left w:val="nil"/>
            <w:bottom w:val="nil"/>
            <w:right w:val="nil"/>
            <w:insideH w:val="none" w:sz="0" w:space="0" w:color="auto"/>
            <w:insideV w:val="none" w:sz="0" w:space="0" w:color="auto"/>
          </w:tblBorders>
        </w:tblPrEx>
        <w:trPr>
          <w:trHeight w:val="131"/>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Tree sparrow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22</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7.6</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8.64</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6.91</w:t>
            </w:r>
          </w:p>
        </w:tc>
      </w:tr>
      <w:tr w:rsidR="00BA7C2C" w:rsidRPr="007223F2" w:rsidTr="00613EE2">
        <w:tblPrEx>
          <w:tblBorders>
            <w:top w:val="nil"/>
            <w:left w:val="nil"/>
            <w:bottom w:val="nil"/>
            <w:right w:val="nil"/>
            <w:insideH w:val="none" w:sz="0" w:space="0" w:color="auto"/>
            <w:insideV w:val="none" w:sz="0" w:space="0" w:color="auto"/>
          </w:tblBorders>
        </w:tblPrEx>
        <w:trPr>
          <w:trHeight w:val="131"/>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Chaffinch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21.4</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6.42</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7.50</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6.00</w:t>
            </w:r>
          </w:p>
        </w:tc>
      </w:tr>
      <w:tr w:rsidR="00BA7C2C" w:rsidRPr="007223F2" w:rsidTr="00613EE2">
        <w:tblPrEx>
          <w:tblBorders>
            <w:top w:val="nil"/>
            <w:left w:val="nil"/>
            <w:bottom w:val="nil"/>
            <w:right w:val="nil"/>
            <w:insideH w:val="none" w:sz="0" w:space="0" w:color="auto"/>
            <w:insideV w:val="none" w:sz="0" w:space="0" w:color="auto"/>
          </w:tblBorders>
        </w:tblPrEx>
        <w:trPr>
          <w:trHeight w:val="131"/>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Woodpigeon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490</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53.1</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2.71</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2.17</w:t>
            </w:r>
          </w:p>
        </w:tc>
      </w:tr>
      <w:tr w:rsidR="00BA7C2C" w:rsidRPr="007223F2" w:rsidTr="00613EE2">
        <w:tblPrEx>
          <w:tblBorders>
            <w:top w:val="nil"/>
            <w:left w:val="nil"/>
            <w:bottom w:val="nil"/>
            <w:right w:val="nil"/>
            <w:insideH w:val="none" w:sz="0" w:space="0" w:color="auto"/>
            <w:insideV w:val="none" w:sz="0" w:space="0" w:color="auto"/>
          </w:tblBorders>
        </w:tblPrEx>
        <w:trPr>
          <w:trHeight w:val="141"/>
        </w:trPr>
        <w:tc>
          <w:tcPr>
            <w:tcW w:w="159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keepNext/>
              <w:spacing w:before="40" w:after="40" w:line="240" w:lineRule="auto"/>
              <w:rPr>
                <w:rFonts w:cs="Arial"/>
              </w:rPr>
            </w:pPr>
            <w:r w:rsidRPr="007223F2">
              <w:rPr>
                <w:rFonts w:cs="Arial"/>
              </w:rPr>
              <w:t xml:space="preserve">Pheasant </w:t>
            </w:r>
          </w:p>
        </w:tc>
        <w:tc>
          <w:tcPr>
            <w:tcW w:w="1316"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953</w:t>
            </w:r>
          </w:p>
        </w:tc>
        <w:tc>
          <w:tcPr>
            <w:tcW w:w="2125"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103</w:t>
            </w:r>
          </w:p>
        </w:tc>
        <w:tc>
          <w:tcPr>
            <w:tcW w:w="2113"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2.69</w:t>
            </w:r>
          </w:p>
        </w:tc>
        <w:tc>
          <w:tcPr>
            <w:tcW w:w="2199" w:type="dxa"/>
            <w:gridSpan w:val="2"/>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2.16</w:t>
            </w:r>
          </w:p>
        </w:tc>
      </w:tr>
      <w:tr w:rsidR="00BA7C2C" w:rsidRPr="007223F2" w:rsidTr="00613EE2">
        <w:trPr>
          <w:cantSplit/>
        </w:trPr>
        <w:tc>
          <w:tcPr>
            <w:tcW w:w="9349" w:type="dxa"/>
            <w:gridSpan w:val="6"/>
            <w:tcBorders>
              <w:left w:val="single" w:sz="4" w:space="0" w:color="auto"/>
              <w:bottom w:val="single" w:sz="4" w:space="0" w:color="auto"/>
              <w:right w:val="single" w:sz="4" w:space="0" w:color="auto"/>
            </w:tcBorders>
          </w:tcPr>
          <w:p w:rsidR="00BA7C2C" w:rsidRPr="007223F2" w:rsidRDefault="00BA7C2C" w:rsidP="00613EE2">
            <w:pPr>
              <w:rPr>
                <w:rFonts w:cs="Arial"/>
              </w:rPr>
            </w:pPr>
            <w:r w:rsidRPr="007223F2">
              <w:rPr>
                <w:rFonts w:cs="Arial"/>
                <w:vertAlign w:val="superscript"/>
              </w:rPr>
              <w:t>1</w:t>
            </w:r>
            <w:r w:rsidRPr="007223F2">
              <w:rPr>
                <w:rFonts w:cs="Arial"/>
              </w:rPr>
              <w:t xml:space="preserve"> Step 1: AV, PT and PD = 1; Step 2: AV = 0.9, PT = 0.8 and PD = 1 (both steps for birds AV = 0.5),</w:t>
            </w:r>
          </w:p>
          <w:p w:rsidR="00BA7C2C" w:rsidRPr="007223F2" w:rsidRDefault="00BA7C2C" w:rsidP="00613EE2">
            <w:pPr>
              <w:rPr>
                <w:rFonts w:cs="Arial"/>
              </w:rPr>
            </w:pPr>
            <w:r w:rsidRPr="007223F2">
              <w:rPr>
                <w:rFonts w:cs="Arial"/>
                <w:vertAlign w:val="superscript"/>
              </w:rPr>
              <w:t>2</w:t>
            </w:r>
            <w:r w:rsidRPr="007223F2">
              <w:rPr>
                <w:rFonts w:cs="Arial"/>
              </w:rPr>
              <w:t xml:space="preserve"> Mean bodyweight from difethialone dossier. </w:t>
            </w:r>
          </w:p>
          <w:p w:rsidR="00BA7C2C" w:rsidRPr="007223F2" w:rsidRDefault="00BA7C2C" w:rsidP="00613EE2">
            <w:pPr>
              <w:rPr>
                <w:rFonts w:cs="Arial"/>
              </w:rPr>
            </w:pPr>
            <w:r w:rsidRPr="007223F2">
              <w:rPr>
                <w:rFonts w:cs="Arial"/>
                <w:vertAlign w:val="superscript"/>
              </w:rPr>
              <w:t>3</w:t>
            </w:r>
            <w:r w:rsidRPr="007223F2">
              <w:rPr>
                <w:rFonts w:cs="Arial"/>
              </w:rPr>
              <w:t xml:space="preserve"> From EUBE</w:t>
            </w:r>
            <w:smartTag w:uri="urn:schemas-microsoft-com:office:smarttags" w:element="PersonName">
              <w:r w:rsidRPr="007223F2">
                <w:rPr>
                  <w:rFonts w:cs="Arial"/>
                </w:rPr>
                <w:t>ES</w:t>
              </w:r>
            </w:smartTag>
            <w:r w:rsidRPr="007223F2">
              <w:rPr>
                <w:rFonts w:cs="Arial"/>
              </w:rPr>
              <w:t xml:space="preserve"> 2, Section 3.2.1., logFIR = 0.822 logBW - 0.629. </w:t>
            </w:r>
          </w:p>
          <w:p w:rsidR="00BA7C2C" w:rsidRPr="007223F2" w:rsidRDefault="00BA7C2C" w:rsidP="00613EE2">
            <w:pPr>
              <w:rPr>
                <w:rFonts w:cs="Arial"/>
              </w:rPr>
            </w:pPr>
            <w:r w:rsidRPr="007223F2">
              <w:rPr>
                <w:rFonts w:cs="Arial"/>
                <w:vertAlign w:val="superscript"/>
              </w:rPr>
              <w:t>4</w:t>
            </w:r>
            <w:r w:rsidRPr="007223F2">
              <w:rPr>
                <w:rFonts w:cs="Arial"/>
              </w:rPr>
              <w:t xml:space="preserve"> From EUBE</w:t>
            </w:r>
            <w:smartTag w:uri="urn:schemas-microsoft-com:office:smarttags" w:element="PersonName">
              <w:r w:rsidRPr="007223F2">
                <w:rPr>
                  <w:rFonts w:cs="Arial"/>
                </w:rPr>
                <w:t>ES</w:t>
              </w:r>
            </w:smartTag>
            <w:r w:rsidRPr="007223F2">
              <w:rPr>
                <w:rFonts w:cs="Arial"/>
              </w:rPr>
              <w:t xml:space="preserve"> 2, Table 3.5 (weight of a fox is anticipated) </w:t>
            </w:r>
          </w:p>
          <w:p w:rsidR="00BA7C2C" w:rsidRPr="007223F2" w:rsidRDefault="00BA7C2C" w:rsidP="00613EE2">
            <w:pPr>
              <w:rPr>
                <w:rFonts w:cs="Arial"/>
              </w:rPr>
            </w:pPr>
            <w:r w:rsidRPr="007223F2">
              <w:rPr>
                <w:rFonts w:cs="Arial"/>
                <w:vertAlign w:val="superscript"/>
              </w:rPr>
              <w:t>5</w:t>
            </w:r>
            <w:r w:rsidRPr="007223F2">
              <w:rPr>
                <w:rFonts w:cs="Arial"/>
              </w:rPr>
              <w:t xml:space="preserve"> EUBE</w:t>
            </w:r>
            <w:smartTag w:uri="urn:schemas-microsoft-com:office:smarttags" w:element="PersonName">
              <w:r w:rsidRPr="007223F2">
                <w:rPr>
                  <w:rFonts w:cs="Arial"/>
                </w:rPr>
                <w:t>ES</w:t>
              </w:r>
            </w:smartTag>
            <w:r w:rsidRPr="007223F2">
              <w:rPr>
                <w:rFonts w:cs="Arial"/>
              </w:rPr>
              <w:t xml:space="preserve"> 2 give an upper limit of </w:t>
            </w:r>
            <w:smartTag w:uri="urn:schemas-microsoft-com:office:smarttags" w:element="metricconverter">
              <w:smartTagPr>
                <w:attr w:name="ProductID" w:val="600 g"/>
              </w:smartTagPr>
              <w:r w:rsidRPr="007223F2">
                <w:rPr>
                  <w:rFonts w:cs="Arial"/>
                </w:rPr>
                <w:t>600 g</w:t>
              </w:r>
            </w:smartTag>
            <w:r w:rsidRPr="007223F2">
              <w:rPr>
                <w:rFonts w:cs="Arial"/>
              </w:rPr>
              <w:t xml:space="preserve"> for daily meal. </w:t>
            </w:r>
          </w:p>
          <w:p w:rsidR="00BA7C2C" w:rsidRPr="007223F2" w:rsidRDefault="00BA7C2C" w:rsidP="00613EE2">
            <w:pPr>
              <w:rPr>
                <w:rFonts w:cs="Arial"/>
              </w:rPr>
            </w:pPr>
            <w:r w:rsidRPr="007223F2">
              <w:rPr>
                <w:rFonts w:cs="Arial"/>
                <w:vertAlign w:val="superscript"/>
              </w:rPr>
              <w:t>6</w:t>
            </w:r>
            <w:r w:rsidRPr="007223F2">
              <w:rPr>
                <w:rFonts w:cs="Arial"/>
              </w:rPr>
              <w:t xml:space="preserve"> based on FIR calculated with </w:t>
            </w:r>
            <w:smartTag w:uri="urn:schemas-microsoft-com:office:smarttags" w:element="metricconverter">
              <w:smartTagPr>
                <w:attr w:name="ProductID" w:val="600 g"/>
              </w:smartTagPr>
              <w:r w:rsidRPr="007223F2">
                <w:rPr>
                  <w:rFonts w:cs="Arial"/>
                </w:rPr>
                <w:t>600 g</w:t>
              </w:r>
            </w:smartTag>
            <w:r w:rsidRPr="007223F2">
              <w:rPr>
                <w:rFonts w:cs="Arial"/>
              </w:rPr>
              <w:t xml:space="preserve"> </w:t>
            </w:r>
          </w:p>
        </w:tc>
      </w:tr>
    </w:tbl>
    <w:p w:rsidR="00BA7C2C" w:rsidRPr="007223F2" w:rsidRDefault="00BA7C2C" w:rsidP="00BA7C2C">
      <w:pPr>
        <w:rPr>
          <w:rFonts w:cs="Arial"/>
        </w:rPr>
      </w:pPr>
    </w:p>
    <w:p w:rsidR="00BA7C2C" w:rsidRPr="007223F2" w:rsidRDefault="00BA7C2C" w:rsidP="00BA7C2C">
      <w:pPr>
        <w:rPr>
          <w:rFonts w:cs="Arial"/>
          <w:b/>
        </w:rPr>
      </w:pPr>
      <w:r w:rsidRPr="007223F2">
        <w:rPr>
          <w:rFonts w:cs="Arial"/>
          <w:b/>
        </w:rPr>
        <w:t xml:space="preserve">Comparison of ETE (1 day) for non-target mammals and birds, without excretion, with LD50 values </w:t>
      </w:r>
    </w:p>
    <w:tbl>
      <w:tblPr>
        <w:tblW w:w="8719" w:type="dxa"/>
        <w:tblInd w:w="108" w:type="dxa"/>
        <w:tblBorders>
          <w:top w:val="nil"/>
          <w:left w:val="nil"/>
          <w:bottom w:val="nil"/>
          <w:right w:val="nil"/>
        </w:tblBorders>
        <w:tblLayout w:type="fixed"/>
        <w:tblLook w:val="0000" w:firstRow="0" w:lastRow="0" w:firstColumn="0" w:lastColumn="0" w:noHBand="0" w:noVBand="0"/>
      </w:tblPr>
      <w:tblGrid>
        <w:gridCol w:w="1778"/>
        <w:gridCol w:w="2030"/>
        <w:gridCol w:w="2350"/>
        <w:gridCol w:w="2561"/>
      </w:tblGrid>
      <w:tr w:rsidR="00BA7C2C" w:rsidRPr="007223F2" w:rsidTr="00613EE2">
        <w:trPr>
          <w:trHeight w:val="248"/>
          <w:tblHeader/>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rPr>
            </w:pPr>
            <w:r w:rsidRPr="007223F2">
              <w:rPr>
                <w:rFonts w:cs="Arial"/>
                <w:b/>
              </w:rPr>
              <w:t>Non-target mammal</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pStyle w:val="CharChar21"/>
              <w:jc w:val="center"/>
              <w:rPr>
                <w:rFonts w:ascii="Arial" w:hAnsi="Arial" w:cs="Arial"/>
                <w:b/>
                <w:szCs w:val="22"/>
              </w:rPr>
            </w:pPr>
            <w:r w:rsidRPr="007223F2">
              <w:rPr>
                <w:rFonts w:ascii="Arial" w:hAnsi="Arial" w:cs="Arial"/>
                <w:b/>
              </w:rPr>
              <w:t>ETE [mg</w:t>
            </w:r>
            <w:r w:rsidRPr="007223F2">
              <w:rPr>
                <w:rFonts w:ascii="Arial" w:hAnsi="Arial" w:cs="Arial"/>
                <w:b/>
                <w:szCs w:val="22"/>
              </w:rPr>
              <w:t>/kg bw]</w:t>
            </w:r>
          </w:p>
          <w:p w:rsidR="00BA7C2C" w:rsidRPr="007223F2" w:rsidRDefault="00BA7C2C" w:rsidP="00613EE2">
            <w:pPr>
              <w:rPr>
                <w:rFonts w:cs="Arial"/>
                <w:b/>
              </w:rPr>
            </w:pPr>
            <w:r w:rsidRPr="007223F2">
              <w:rPr>
                <w:rFonts w:cs="Arial"/>
                <w:b/>
              </w:rPr>
              <w:t>Step 1</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rPr>
            </w:pPr>
            <w:r w:rsidRPr="007223F2">
              <w:rPr>
                <w:rFonts w:cs="Arial"/>
                <w:b/>
              </w:rPr>
              <w:t>ETE [mg/kg bw]</w:t>
            </w:r>
          </w:p>
          <w:p w:rsidR="00BA7C2C" w:rsidRPr="007223F2" w:rsidRDefault="00BA7C2C" w:rsidP="00613EE2">
            <w:pPr>
              <w:rPr>
                <w:rFonts w:cs="Arial"/>
                <w:b/>
              </w:rPr>
            </w:pPr>
            <w:r w:rsidRPr="007223F2">
              <w:rPr>
                <w:rFonts w:cs="Arial"/>
                <w:b/>
              </w:rPr>
              <w:t>Step 2</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lang w:val="nl-NL"/>
              </w:rPr>
            </w:pPr>
            <w:r w:rsidRPr="007223F2">
              <w:rPr>
                <w:rFonts w:cs="Arial"/>
                <w:b/>
                <w:lang w:val="nl-NL"/>
              </w:rPr>
              <w:t xml:space="preserve">LD50 mammals/birds </w:t>
            </w:r>
          </w:p>
          <w:p w:rsidR="00BA7C2C" w:rsidRPr="007223F2" w:rsidRDefault="00BA7C2C" w:rsidP="00613EE2">
            <w:pPr>
              <w:rPr>
                <w:rFonts w:cs="Arial"/>
                <w:b/>
                <w:lang w:val="nl-NL"/>
              </w:rPr>
            </w:pPr>
            <w:r w:rsidRPr="007223F2">
              <w:rPr>
                <w:rFonts w:cs="Arial"/>
                <w:b/>
                <w:lang w:val="nl-NL"/>
              </w:rPr>
              <w:t xml:space="preserve">[mg/kg bw] </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 xml:space="preserve">Dog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rPr>
              <w:t>2.28</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rPr>
              <w:t>1.82</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8.1 (dog) </w:t>
            </w:r>
          </w:p>
        </w:tc>
      </w:tr>
      <w:tr w:rsidR="00BA7C2C" w:rsidRPr="007223F2"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Cat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2.83</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2.27</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Min 0.56 (rat)</w:t>
            </w:r>
            <w:r w:rsidRPr="007223F2">
              <w:rPr>
                <w:rFonts w:cs="Arial"/>
                <w:vertAlign w:val="superscript"/>
              </w:rPr>
              <w:t>1</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Pig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1.20</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0.96</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Min 0.56 (rat)</w:t>
            </w:r>
            <w:r w:rsidRPr="007223F2">
              <w:rPr>
                <w:rFonts w:cs="Arial"/>
                <w:vertAlign w:val="superscript"/>
              </w:rPr>
              <w:t>1</w:t>
            </w:r>
          </w:p>
        </w:tc>
      </w:tr>
      <w:tr w:rsidR="00BA7C2C" w:rsidRPr="007223F2" w:rsidTr="00613EE2">
        <w:trPr>
          <w:trHeight w:val="246"/>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General non target mammal</w:t>
            </w:r>
            <w:r w:rsidRPr="007223F2">
              <w:rPr>
                <w:rFonts w:cs="Arial"/>
                <w:vertAlign w:val="superscript"/>
              </w:rPr>
              <w:t>2</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2.52</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2.01</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Min 0.56 (rat)</w:t>
            </w:r>
            <w:r w:rsidRPr="007223F2">
              <w:rPr>
                <w:rFonts w:cs="Arial"/>
                <w:vertAlign w:val="superscript"/>
              </w:rPr>
              <w:t>1</w:t>
            </w:r>
          </w:p>
        </w:tc>
      </w:tr>
      <w:tr w:rsidR="00BA7C2C" w:rsidRPr="007223F2"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Tree sparrow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8.64</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6.91</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138 (quail)</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Chaffinch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7.50</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6.00</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138 (quail)</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Woodpigeon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2.71</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2.17</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138 (quail)</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Pheasant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2.69</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2.16</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rPr>
              <w:t xml:space="preserve">138 </w:t>
            </w:r>
            <w:r w:rsidRPr="007223F2">
              <w:rPr>
                <w:rFonts w:cs="Arial"/>
                <w:lang w:val="nl-NL"/>
              </w:rPr>
              <w:t>(quail)</w:t>
            </w:r>
          </w:p>
        </w:tc>
      </w:tr>
      <w:tr w:rsidR="00BA7C2C" w:rsidRPr="007223F2" w:rsidTr="00613EE2">
        <w:trPr>
          <w:trHeight w:val="131"/>
        </w:trPr>
        <w:tc>
          <w:tcPr>
            <w:tcW w:w="8719" w:type="dxa"/>
            <w:gridSpan w:val="4"/>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vertAlign w:val="superscript"/>
              </w:rPr>
              <w:t>1</w:t>
            </w:r>
            <w:r w:rsidRPr="007223F2">
              <w:rPr>
                <w:rFonts w:cs="Arial"/>
              </w:rPr>
              <w:t xml:space="preserve"> single dosage 21 days post exposure period (no valid LD50 for cat / pig available)</w:t>
            </w:r>
          </w:p>
          <w:p w:rsidR="00BA7C2C" w:rsidRPr="007223F2" w:rsidRDefault="00BA7C2C" w:rsidP="00613EE2">
            <w:pPr>
              <w:rPr>
                <w:rFonts w:cs="Arial"/>
              </w:rPr>
            </w:pPr>
            <w:r w:rsidRPr="007223F2">
              <w:rPr>
                <w:rFonts w:cs="Arial"/>
                <w:vertAlign w:val="superscript"/>
              </w:rPr>
              <w:t xml:space="preserve">2 </w:t>
            </w:r>
            <w:r w:rsidRPr="007223F2">
              <w:rPr>
                <w:rFonts w:cs="Arial"/>
              </w:rPr>
              <w:t xml:space="preserve">Body weight of a fox was chosen </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Taking into account excretion in non-target animals, assuming a default elimination factor of 0.3 according to EUBE</w:t>
      </w:r>
      <w:smartTag w:uri="urn:schemas-microsoft-com:office:smarttags" w:element="PersonName">
        <w:r w:rsidRPr="007223F2">
          <w:rPr>
            <w:rFonts w:cs="Arial"/>
          </w:rPr>
          <w:t>ES</w:t>
        </w:r>
      </w:smartTag>
      <w:r w:rsidRPr="007223F2">
        <w:rPr>
          <w:rFonts w:cs="Arial"/>
        </w:rPr>
        <w:t xml:space="preserve"> 2, the following values for ETE at step 1 and 2 can be calculated.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lastRenderedPageBreak/>
        <w:t xml:space="preserve">Comparison of ETE (1 day) for non-target mammals and birds, consideration excretion, with LD50 values </w:t>
      </w:r>
    </w:p>
    <w:tbl>
      <w:tblPr>
        <w:tblW w:w="8719" w:type="dxa"/>
        <w:tblInd w:w="108" w:type="dxa"/>
        <w:tblBorders>
          <w:top w:val="nil"/>
          <w:left w:val="nil"/>
          <w:bottom w:val="nil"/>
          <w:right w:val="nil"/>
        </w:tblBorders>
        <w:tblLayout w:type="fixed"/>
        <w:tblLook w:val="0000" w:firstRow="0" w:lastRow="0" w:firstColumn="0" w:lastColumn="0" w:noHBand="0" w:noVBand="0"/>
      </w:tblPr>
      <w:tblGrid>
        <w:gridCol w:w="1778"/>
        <w:gridCol w:w="2030"/>
        <w:gridCol w:w="2350"/>
        <w:gridCol w:w="2561"/>
      </w:tblGrid>
      <w:tr w:rsidR="00BA7C2C" w:rsidRPr="007223F2" w:rsidTr="00613EE2">
        <w:trPr>
          <w:trHeight w:val="248"/>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rPr>
            </w:pPr>
            <w:r w:rsidRPr="007223F2">
              <w:rPr>
                <w:rFonts w:cs="Arial"/>
                <w:b/>
              </w:rPr>
              <w:t>Non-target mammal</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rPr>
            </w:pPr>
            <w:r w:rsidRPr="007223F2">
              <w:rPr>
                <w:rFonts w:cs="Arial"/>
                <w:b/>
              </w:rPr>
              <w:t>ETE [mg/kg bw]</w:t>
            </w:r>
          </w:p>
          <w:p w:rsidR="00BA7C2C" w:rsidRPr="007223F2" w:rsidRDefault="00BA7C2C" w:rsidP="00613EE2">
            <w:pPr>
              <w:rPr>
                <w:rFonts w:cs="Arial"/>
                <w:b/>
              </w:rPr>
            </w:pPr>
            <w:r w:rsidRPr="007223F2">
              <w:rPr>
                <w:rFonts w:cs="Arial"/>
                <w:b/>
              </w:rPr>
              <w:t>Step 1</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rPr>
            </w:pPr>
            <w:r w:rsidRPr="007223F2">
              <w:rPr>
                <w:rFonts w:cs="Arial"/>
                <w:b/>
              </w:rPr>
              <w:t>ETE [mg/kg bw]</w:t>
            </w:r>
          </w:p>
          <w:p w:rsidR="00BA7C2C" w:rsidRPr="007223F2" w:rsidRDefault="00BA7C2C" w:rsidP="00613EE2">
            <w:pPr>
              <w:rPr>
                <w:rFonts w:cs="Arial"/>
                <w:b/>
              </w:rPr>
            </w:pPr>
            <w:r w:rsidRPr="007223F2">
              <w:rPr>
                <w:rFonts w:cs="Arial"/>
                <w:b/>
              </w:rPr>
              <w:t>Step 2</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b/>
                <w:lang w:val="nl-NL"/>
              </w:rPr>
            </w:pPr>
            <w:r w:rsidRPr="007223F2">
              <w:rPr>
                <w:rFonts w:cs="Arial"/>
                <w:b/>
                <w:lang w:val="nl-NL"/>
              </w:rPr>
              <w:t xml:space="preserve">LD50 mammals/birds </w:t>
            </w:r>
          </w:p>
          <w:p w:rsidR="00BA7C2C" w:rsidRPr="007223F2" w:rsidRDefault="00BA7C2C" w:rsidP="00613EE2">
            <w:pPr>
              <w:rPr>
                <w:rFonts w:cs="Arial"/>
                <w:b/>
                <w:lang w:val="nl-NL"/>
              </w:rPr>
            </w:pPr>
            <w:r w:rsidRPr="007223F2">
              <w:rPr>
                <w:rFonts w:cs="Arial"/>
                <w:b/>
                <w:lang w:val="nl-NL"/>
              </w:rPr>
              <w:t xml:space="preserve">[mg/kg bw] </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 xml:space="preserve">Dog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rPr>
              <w:t>1.60</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rPr>
              <w:t>1.28</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8.1 (dog) </w:t>
            </w:r>
          </w:p>
        </w:tc>
      </w:tr>
      <w:tr w:rsidR="00BA7C2C" w:rsidRPr="007223F2"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Cat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1.98</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1.59</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Min 0.56 (rat)</w:t>
            </w:r>
            <w:r w:rsidRPr="007223F2">
              <w:rPr>
                <w:rFonts w:cs="Arial"/>
                <w:vertAlign w:val="superscript"/>
              </w:rPr>
              <w:t>1</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Pig </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0.84</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0.67</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Min 0.56 (rat)</w:t>
            </w:r>
            <w:r w:rsidRPr="007223F2">
              <w:rPr>
                <w:rFonts w:cs="Arial"/>
                <w:vertAlign w:val="superscript"/>
              </w:rPr>
              <w:t xml:space="preserve"> 1</w:t>
            </w:r>
          </w:p>
        </w:tc>
      </w:tr>
      <w:tr w:rsidR="00BA7C2C" w:rsidRPr="007223F2" w:rsidTr="00613EE2">
        <w:trPr>
          <w:trHeight w:val="246"/>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General non target mammal</w:t>
            </w:r>
            <w:r w:rsidRPr="007223F2">
              <w:rPr>
                <w:rFonts w:cs="Arial"/>
                <w:vertAlign w:val="superscript"/>
              </w:rPr>
              <w:t>2</w:t>
            </w:r>
          </w:p>
        </w:tc>
        <w:tc>
          <w:tcPr>
            <w:tcW w:w="20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1.76</w:t>
            </w:r>
          </w:p>
        </w:tc>
        <w:tc>
          <w:tcPr>
            <w:tcW w:w="235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1.41</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Min 0.56 (rat) </w:t>
            </w:r>
            <w:r w:rsidRPr="007223F2">
              <w:rPr>
                <w:rFonts w:cs="Arial"/>
                <w:vertAlign w:val="superscript"/>
              </w:rPr>
              <w:t>1</w:t>
            </w:r>
          </w:p>
        </w:tc>
      </w:tr>
      <w:tr w:rsidR="00BA7C2C" w:rsidRPr="007223F2"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Tree sparrow </w:t>
            </w:r>
          </w:p>
        </w:tc>
        <w:tc>
          <w:tcPr>
            <w:tcW w:w="20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6.05</w:t>
            </w:r>
          </w:p>
        </w:tc>
        <w:tc>
          <w:tcPr>
            <w:tcW w:w="235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4.84</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138 (quail)</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Chaffinch </w:t>
            </w:r>
          </w:p>
        </w:tc>
        <w:tc>
          <w:tcPr>
            <w:tcW w:w="20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5.25</w:t>
            </w:r>
          </w:p>
        </w:tc>
        <w:tc>
          <w:tcPr>
            <w:tcW w:w="235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4.20</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138 (quail)</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Woodpigeon </w:t>
            </w:r>
          </w:p>
        </w:tc>
        <w:tc>
          <w:tcPr>
            <w:tcW w:w="20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1.90</w:t>
            </w:r>
          </w:p>
        </w:tc>
        <w:tc>
          <w:tcPr>
            <w:tcW w:w="235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1.52</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138 (quail)</w:t>
            </w:r>
          </w:p>
        </w:tc>
      </w:tr>
      <w:tr w:rsidR="00BA7C2C" w:rsidRPr="007223F2"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Pheasant </w:t>
            </w:r>
          </w:p>
        </w:tc>
        <w:tc>
          <w:tcPr>
            <w:tcW w:w="20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1.89</w:t>
            </w:r>
          </w:p>
        </w:tc>
        <w:tc>
          <w:tcPr>
            <w:tcW w:w="235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rPr>
            </w:pPr>
            <w:r w:rsidRPr="007223F2">
              <w:rPr>
                <w:rFonts w:cs="Arial"/>
                <w:lang w:val="nl-NL" w:eastAsia="nl-NL"/>
              </w:rPr>
              <w:t>1.51</w:t>
            </w:r>
          </w:p>
        </w:tc>
        <w:tc>
          <w:tcPr>
            <w:tcW w:w="2561"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rPr>
              <w:t xml:space="preserve">138 </w:t>
            </w:r>
            <w:r w:rsidRPr="007223F2">
              <w:rPr>
                <w:rFonts w:cs="Arial"/>
                <w:lang w:val="nl-NL"/>
              </w:rPr>
              <w:t>(quail)</w:t>
            </w:r>
          </w:p>
        </w:tc>
      </w:tr>
      <w:tr w:rsidR="00BA7C2C" w:rsidRPr="007223F2" w:rsidTr="00613EE2">
        <w:trPr>
          <w:trHeight w:val="131"/>
        </w:trPr>
        <w:tc>
          <w:tcPr>
            <w:tcW w:w="8719" w:type="dxa"/>
            <w:gridSpan w:val="4"/>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vertAlign w:val="superscript"/>
              </w:rPr>
              <w:t>1</w:t>
            </w:r>
            <w:r w:rsidRPr="007223F2">
              <w:rPr>
                <w:rFonts w:cs="Arial"/>
              </w:rPr>
              <w:t xml:space="preserve"> single dosage 21 days post exposure period. LD50 is estimated between 0.56-0.84 mg/kg bw (no valid LD50 for cat / pig available)</w:t>
            </w:r>
          </w:p>
          <w:p w:rsidR="00BA7C2C" w:rsidRPr="007223F2" w:rsidRDefault="00BA7C2C" w:rsidP="00613EE2">
            <w:pPr>
              <w:rPr>
                <w:rFonts w:cs="Arial"/>
              </w:rPr>
            </w:pPr>
            <w:r w:rsidRPr="007223F2">
              <w:rPr>
                <w:rFonts w:cs="Arial"/>
                <w:vertAlign w:val="superscript"/>
              </w:rPr>
              <w:t xml:space="preserve">2 </w:t>
            </w:r>
            <w:r w:rsidRPr="007223F2">
              <w:rPr>
                <w:rFonts w:cs="Arial"/>
              </w:rPr>
              <w:t xml:space="preserve">Body weight of a fox was chosen </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As no acute PNECoral could be derived the exposure concentrations are only compared in a qualitative way with acute LD50 values. It is clear from the above two tables that for birds values for ETE are after one meal do not exceed the lowest single dosage LD50 for birds of 138 mg/kg bw. For mammals ETE is above the single dose LD50 values. However, this qualitative assessment is a simple comparison of the acute exposure situation with single dose LD50 values and the conclusion should not be that the substance is not acutely toxic or "unproblematic" with regard to the acute primary poisoning situation of birds and mammals. A comparison has been made with a single dose LD50 without applying an assessment factor. This comparison is not intended to be used for risk characterisation as no PNECoral has been derived and hence no PEC/PNEC ratio can be established.</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Tier 2 risk assessment - long-term effects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EUBE</w:t>
      </w:r>
      <w:smartTag w:uri="urn:schemas-microsoft-com:office:smarttags" w:element="PersonName">
        <w:r w:rsidRPr="007223F2">
          <w:rPr>
            <w:rFonts w:cs="Arial"/>
          </w:rPr>
          <w:t>ES</w:t>
        </w:r>
      </w:smartTag>
      <w:r w:rsidRPr="007223F2">
        <w:rPr>
          <w:rFonts w:cs="Arial"/>
        </w:rPr>
        <w:t xml:space="preserve"> 2 suggests a long-term scenario for 5 days of exposure and considering elimination (excretion). The principle in the calculations is for the first 5 days that the animal eats the same daily amount and eliminates 30 % of its content of residues (default value). Therefore, the concentration of residues on day 5 is calculated stepwise:</w:t>
      </w:r>
    </w:p>
    <w:p w:rsidR="00BA7C2C" w:rsidRPr="007223F2" w:rsidRDefault="00BA7C2C" w:rsidP="00BA7C2C">
      <w:pPr>
        <w:rPr>
          <w:rFonts w:cs="Arial"/>
        </w:rPr>
      </w:pPr>
    </w:p>
    <w:p w:rsidR="00BA7C2C" w:rsidRPr="007223F2" w:rsidRDefault="00BA7C2C" w:rsidP="00BA7C2C">
      <w:pPr>
        <w:rPr>
          <w:rFonts w:cs="Arial"/>
        </w:rPr>
      </w:pPr>
      <w:r w:rsidRPr="007223F2">
        <w:rPr>
          <w:rFonts w:cs="Arial"/>
        </w:rPr>
        <w:t>EC=ETE*(1-EL), where EL is the fraction eliminated</w:t>
      </w:r>
    </w:p>
    <w:p w:rsidR="00BA7C2C" w:rsidRPr="007223F2" w:rsidRDefault="00BA7C2C" w:rsidP="00BA7C2C">
      <w:pPr>
        <w:rPr>
          <w:rFonts w:cs="Arial"/>
        </w:rPr>
      </w:pPr>
    </w:p>
    <w:p w:rsidR="00BA7C2C" w:rsidRPr="007223F2" w:rsidRDefault="00BA7C2C" w:rsidP="00BA7C2C">
      <w:pPr>
        <w:rPr>
          <w:rFonts w:cs="Arial"/>
        </w:rPr>
      </w:pPr>
      <w:r w:rsidRPr="007223F2">
        <w:rPr>
          <w:rFonts w:cs="Arial"/>
        </w:rPr>
        <w:t>EC1 = ETE</w:t>
      </w:r>
    </w:p>
    <w:p w:rsidR="00BA7C2C" w:rsidRPr="007223F2" w:rsidRDefault="00BA7C2C" w:rsidP="00BA7C2C">
      <w:pPr>
        <w:rPr>
          <w:rFonts w:cs="Arial"/>
        </w:rPr>
      </w:pPr>
      <w:r w:rsidRPr="007223F2">
        <w:rPr>
          <w:rFonts w:cs="Arial"/>
        </w:rPr>
        <w:t>EC2 = ETE * (1 - 0.3)</w:t>
      </w:r>
    </w:p>
    <w:p w:rsidR="00BA7C2C" w:rsidRPr="007223F2" w:rsidRDefault="00BA7C2C" w:rsidP="00BA7C2C">
      <w:pPr>
        <w:rPr>
          <w:rFonts w:cs="Arial"/>
        </w:rPr>
      </w:pPr>
      <w:r w:rsidRPr="007223F2">
        <w:rPr>
          <w:rFonts w:cs="Arial"/>
        </w:rPr>
        <w:t>EC3 = (EC2 + ETE) * (1 - 0.3)</w:t>
      </w:r>
    </w:p>
    <w:p w:rsidR="00BA7C2C" w:rsidRPr="007223F2" w:rsidRDefault="00BA7C2C" w:rsidP="00BA7C2C">
      <w:pPr>
        <w:rPr>
          <w:rFonts w:cs="Arial"/>
        </w:rPr>
      </w:pPr>
      <w:r w:rsidRPr="007223F2">
        <w:rPr>
          <w:rFonts w:cs="Arial"/>
        </w:rPr>
        <w:t>EC4 = (EC3 + ETE) * (1 - 0.3)</w:t>
      </w:r>
    </w:p>
    <w:p w:rsidR="00BA7C2C" w:rsidRPr="007223F2" w:rsidRDefault="00BA7C2C" w:rsidP="00BA7C2C">
      <w:pPr>
        <w:rPr>
          <w:rFonts w:cs="Arial"/>
        </w:rPr>
      </w:pPr>
      <w:r w:rsidRPr="007223F2">
        <w:rPr>
          <w:rFonts w:cs="Arial"/>
        </w:rPr>
        <w:t>EC5 = (EC4 + ETE) * (1 - 0.3)</w:t>
      </w:r>
    </w:p>
    <w:p w:rsidR="00BA7C2C" w:rsidRPr="007223F2" w:rsidRDefault="00BA7C2C" w:rsidP="00BA7C2C">
      <w:pPr>
        <w:rPr>
          <w:rFonts w:cs="Arial"/>
        </w:rPr>
      </w:pPr>
    </w:p>
    <w:p w:rsidR="00BA7C2C" w:rsidRPr="007223F2" w:rsidRDefault="00BA7C2C" w:rsidP="00BA7C2C">
      <w:pPr>
        <w:rPr>
          <w:rFonts w:cs="Arial"/>
        </w:rPr>
      </w:pPr>
      <w:r w:rsidRPr="007223F2">
        <w:rPr>
          <w:rFonts w:cs="Arial"/>
        </w:rPr>
        <w:t>Elimination factors are only available for rats. They indicate an elimination of approximately 26 % per day during the first 3 days after dosing. For simplification an elimination factor of 0.3 is used for the entire time, in accordance with EUBE</w:t>
      </w:r>
      <w:smartTag w:uri="urn:schemas-microsoft-com:office:smarttags" w:element="PersonName">
        <w:r w:rsidRPr="007223F2">
          <w:rPr>
            <w:rFonts w:cs="Arial"/>
          </w:rPr>
          <w:t>ES</w:t>
        </w:r>
      </w:smartTag>
      <w:r w:rsidRPr="007223F2">
        <w:rPr>
          <w:rFonts w:cs="Arial"/>
        </w:rPr>
        <w:t xml:space="preserve"> 2, and this elimination rate is used for all animals. However, this is only a preliminary approach as the elimination rates in other animals but rats might be different. This approach may under- or overestimate the concentration in the non target animals. In a first step, AV, PT and PD all are 1.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In a second approach AV and PT can be reduced (AV = 0.9 for mammals and 0.5 for birds, PT = 0.8 and PD = 1) to represent a more realistic worst case. Results of the long term PEC/PNECoral ratios for non-target animals exposed to paste containing 50 mg bromadiolone /kg in the scenario “in and around buildings” are presented in the Table below. The ETE was calculated including an elimination factor of 0.3 per day from body residues. The expected concentration of bromadiolone in the animals after 5 days after excretion is calculated. There are many uncertainties related to the calculation of PEC/PNEC values. Moreover, the PEC/PNEC values presented in the table below are very high for mammals (up to 605,000) and for birds (up to 63,000). </w:t>
      </w:r>
    </w:p>
    <w:p w:rsidR="00BA7C2C" w:rsidRPr="007223F2" w:rsidRDefault="00BA7C2C" w:rsidP="00BA7C2C">
      <w:pPr>
        <w:rPr>
          <w:rFonts w:cs="Arial"/>
        </w:rPr>
      </w:pPr>
    </w:p>
    <w:p w:rsidR="00BA7C2C" w:rsidRPr="007223F2" w:rsidRDefault="00BA7C2C" w:rsidP="00BA7C2C">
      <w:pPr>
        <w:rPr>
          <w:rFonts w:cs="Arial"/>
          <w:b/>
          <w:szCs w:val="22"/>
        </w:rPr>
      </w:pPr>
      <w:r w:rsidRPr="007223F2">
        <w:rPr>
          <w:rFonts w:cs="Arial"/>
          <w:b/>
          <w:szCs w:val="22"/>
        </w:rPr>
        <w:t>Long term PEC/PNECoral for non-target mammals and birds</w:t>
      </w:r>
    </w:p>
    <w:tbl>
      <w:tblPr>
        <w:tblW w:w="8698" w:type="dxa"/>
        <w:tblInd w:w="108" w:type="dxa"/>
        <w:tblBorders>
          <w:top w:val="nil"/>
          <w:left w:val="nil"/>
          <w:bottom w:val="nil"/>
          <w:right w:val="nil"/>
        </w:tblBorders>
        <w:tblLayout w:type="fixed"/>
        <w:tblLook w:val="0000" w:firstRow="0" w:lastRow="0" w:firstColumn="0" w:lastColumn="0" w:noHBand="0" w:noVBand="0"/>
      </w:tblPr>
      <w:tblGrid>
        <w:gridCol w:w="1430"/>
        <w:gridCol w:w="1430"/>
        <w:gridCol w:w="1430"/>
        <w:gridCol w:w="1320"/>
        <w:gridCol w:w="1544"/>
        <w:gridCol w:w="1544"/>
      </w:tblGrid>
      <w:tr w:rsidR="00BA7C2C" w:rsidRPr="007223F2" w:rsidTr="00613EE2">
        <w:trPr>
          <w:trHeight w:val="256"/>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 xml:space="preserve">Non-target </w:t>
            </w:r>
          </w:p>
          <w:p w:rsidR="00BA7C2C" w:rsidRPr="007223F2" w:rsidRDefault="00BA7C2C" w:rsidP="00613EE2">
            <w:pPr>
              <w:rPr>
                <w:rFonts w:cs="Arial"/>
                <w:lang w:val="nl-NL"/>
              </w:rPr>
            </w:pPr>
            <w:r w:rsidRPr="007223F2">
              <w:rPr>
                <w:rFonts w:cs="Arial"/>
                <w:lang w:val="nl-NL"/>
              </w:rPr>
              <w:t xml:space="preserve">mammal </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EC</w:t>
            </w:r>
            <w:r w:rsidRPr="007223F2">
              <w:rPr>
                <w:rFonts w:cs="Arial"/>
                <w:vertAlign w:val="subscript"/>
              </w:rPr>
              <w:t>5</w:t>
            </w:r>
            <w:r w:rsidRPr="007223F2">
              <w:rPr>
                <w:rFonts w:cs="Arial"/>
                <w:position w:val="-8"/>
                <w:vertAlign w:val="subscript"/>
              </w:rPr>
              <w:t xml:space="preserve"> </w:t>
            </w:r>
            <w:r w:rsidRPr="007223F2">
              <w:rPr>
                <w:rFonts w:cs="Arial"/>
              </w:rPr>
              <w:t>Step 1</w:t>
            </w:r>
            <w:r w:rsidRPr="007223F2">
              <w:rPr>
                <w:rFonts w:cs="Arial"/>
                <w:vertAlign w:val="superscript"/>
              </w:rPr>
              <w:t>1</w:t>
            </w:r>
            <w:r w:rsidRPr="007223F2">
              <w:rPr>
                <w:rFonts w:cs="Arial"/>
                <w:position w:val="8"/>
              </w:rPr>
              <w:t xml:space="preserve"> </w:t>
            </w:r>
            <w:r w:rsidRPr="007223F2">
              <w:rPr>
                <w:rFonts w:cs="Arial"/>
              </w:rPr>
              <w:t>[mg/kg bw]</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rPr>
              <w:t>EC</w:t>
            </w:r>
            <w:r w:rsidRPr="007223F2">
              <w:rPr>
                <w:rFonts w:cs="Arial"/>
                <w:vertAlign w:val="subscript"/>
              </w:rPr>
              <w:t>5</w:t>
            </w:r>
            <w:r w:rsidRPr="007223F2">
              <w:rPr>
                <w:rFonts w:cs="Arial"/>
              </w:rPr>
              <w:t xml:space="preserve"> Step 2</w:t>
            </w:r>
            <w:r w:rsidRPr="007223F2">
              <w:rPr>
                <w:rFonts w:cs="Arial"/>
                <w:vertAlign w:val="superscript"/>
              </w:rPr>
              <w:t>2</w:t>
            </w:r>
            <w:r w:rsidRPr="007223F2">
              <w:rPr>
                <w:rFonts w:cs="Arial"/>
                <w:position w:val="8"/>
                <w:vertAlign w:val="superscript"/>
              </w:rPr>
              <w:t xml:space="preserve"> </w:t>
            </w:r>
            <w:r w:rsidRPr="007223F2">
              <w:rPr>
                <w:rFonts w:cs="Arial"/>
              </w:rPr>
              <w:t>[mg/kg bw]</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PNECoral</w:t>
            </w:r>
          </w:p>
          <w:p w:rsidR="00BA7C2C" w:rsidRPr="007223F2" w:rsidRDefault="00BA7C2C" w:rsidP="00613EE2">
            <w:pPr>
              <w:rPr>
                <w:rFonts w:cs="Arial"/>
                <w:lang w:val="nl-NL"/>
              </w:rPr>
            </w:pPr>
            <w:r w:rsidRPr="007223F2">
              <w:rPr>
                <w:rFonts w:cs="Arial"/>
                <w:lang w:val="nl-NL"/>
              </w:rPr>
              <w:t>[mg/kg bw]</w:t>
            </w:r>
          </w:p>
        </w:tc>
        <w:tc>
          <w:tcPr>
            <w:tcW w:w="1544"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PEC/PNEC</w:t>
            </w:r>
          </w:p>
          <w:p w:rsidR="00BA7C2C" w:rsidRPr="007223F2" w:rsidRDefault="00BA7C2C" w:rsidP="00613EE2">
            <w:pPr>
              <w:rPr>
                <w:rFonts w:cs="Arial"/>
                <w:lang w:val="nl-NL"/>
              </w:rPr>
            </w:pPr>
            <w:r w:rsidRPr="007223F2">
              <w:rPr>
                <w:rFonts w:cs="Arial"/>
                <w:lang w:val="nl-NL"/>
              </w:rPr>
              <w:t>Step 1</w:t>
            </w:r>
            <w:r w:rsidRPr="007223F2">
              <w:rPr>
                <w:rFonts w:cs="Arial"/>
                <w:vertAlign w:val="superscript"/>
              </w:rPr>
              <w:t>1</w:t>
            </w:r>
          </w:p>
        </w:tc>
        <w:tc>
          <w:tcPr>
            <w:tcW w:w="1544"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PEC/PNEC</w:t>
            </w:r>
          </w:p>
          <w:p w:rsidR="00BA7C2C" w:rsidRPr="007223F2" w:rsidRDefault="00BA7C2C" w:rsidP="00613EE2">
            <w:pPr>
              <w:rPr>
                <w:rFonts w:cs="Arial"/>
                <w:lang w:val="nl-NL"/>
              </w:rPr>
            </w:pPr>
            <w:r w:rsidRPr="007223F2">
              <w:rPr>
                <w:rFonts w:cs="Arial"/>
                <w:lang w:val="nl-NL"/>
              </w:rPr>
              <w:t>Step 2</w:t>
            </w:r>
            <w:r w:rsidRPr="007223F2">
              <w:rPr>
                <w:rFonts w:cs="Arial"/>
                <w:vertAlign w:val="superscript"/>
              </w:rPr>
              <w:t>2</w:t>
            </w:r>
          </w:p>
        </w:tc>
      </w:tr>
      <w:tr w:rsidR="00BA7C2C" w:rsidRPr="007223F2" w:rsidTr="00613EE2">
        <w:trPr>
          <w:trHeight w:val="157"/>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Dog </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6.3</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5.06</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0.00027</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23,000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19,000</w:t>
            </w:r>
          </w:p>
        </w:tc>
      </w:tr>
      <w:tr w:rsidR="00BA7C2C" w:rsidRPr="007223F2" w:rsidTr="00613EE2">
        <w:trPr>
          <w:trHeight w:val="157"/>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Cat </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13.3</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10.7</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0.000022</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605,000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484,000</w:t>
            </w:r>
          </w:p>
        </w:tc>
      </w:tr>
      <w:tr w:rsidR="00BA7C2C" w:rsidRPr="007223F2" w:rsidTr="00613EE2">
        <w:trPr>
          <w:trHeight w:val="157"/>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Pig </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3.33</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2.66</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0.000022</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551,000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121,000</w:t>
            </w:r>
          </w:p>
        </w:tc>
      </w:tr>
      <w:tr w:rsidR="00BA7C2C" w:rsidRPr="007223F2" w:rsidTr="00613EE2">
        <w:trPr>
          <w:trHeight w:val="248"/>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Non target </w:t>
            </w:r>
          </w:p>
          <w:p w:rsidR="00BA7C2C" w:rsidRPr="007223F2" w:rsidRDefault="00BA7C2C" w:rsidP="00613EE2">
            <w:pPr>
              <w:rPr>
                <w:rFonts w:cs="Arial"/>
                <w:lang w:val="en-US"/>
              </w:rPr>
            </w:pPr>
            <w:r w:rsidRPr="007223F2">
              <w:rPr>
                <w:rFonts w:cs="Arial"/>
                <w:lang w:val="en-US"/>
              </w:rPr>
              <w:t>mammal</w:t>
            </w:r>
            <w:r w:rsidRPr="007223F2">
              <w:rPr>
                <w:rFonts w:cs="Arial"/>
                <w:vertAlign w:val="superscript"/>
                <w:lang w:val="en-US"/>
              </w:rPr>
              <w:t>3</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11.8</w:t>
            </w:r>
          </w:p>
        </w:tc>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9.47</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0.000022</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536,000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430,000</w:t>
            </w:r>
          </w:p>
        </w:tc>
      </w:tr>
      <w:tr w:rsidR="00BA7C2C" w:rsidRPr="007223F2" w:rsidTr="00613EE2">
        <w:trPr>
          <w:trHeight w:val="279"/>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Tree sparrow </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23.95</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19.16</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0.00038</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63,000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50,000</w:t>
            </w:r>
          </w:p>
        </w:tc>
      </w:tr>
      <w:tr w:rsidR="00BA7C2C" w:rsidRPr="007223F2" w:rsidTr="00613EE2">
        <w:trPr>
          <w:trHeight w:val="271"/>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Chaffinch </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20.80</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16.64</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0.00038</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55,000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44,000</w:t>
            </w:r>
          </w:p>
        </w:tc>
      </w:tr>
      <w:tr w:rsidR="00BA7C2C" w:rsidRPr="007223F2" w:rsidTr="00613EE2">
        <w:trPr>
          <w:trHeight w:val="271"/>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Woodpigeon </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7.51</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6.01</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0.00038</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20,000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16,000</w:t>
            </w:r>
          </w:p>
        </w:tc>
      </w:tr>
      <w:tr w:rsidR="00BA7C2C" w:rsidRPr="007223F2" w:rsidTr="00613EE2">
        <w:trPr>
          <w:trHeight w:val="271"/>
        </w:trPr>
        <w:tc>
          <w:tcPr>
            <w:tcW w:w="143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en-US"/>
              </w:rPr>
            </w:pPr>
            <w:r w:rsidRPr="007223F2">
              <w:rPr>
                <w:rFonts w:cs="Arial"/>
                <w:lang w:val="en-US"/>
              </w:rPr>
              <w:t xml:space="preserve">Pheasant </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7.47</w:t>
            </w:r>
          </w:p>
        </w:tc>
        <w:tc>
          <w:tcPr>
            <w:tcW w:w="1430"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eastAsia="nl-NL"/>
              </w:rPr>
              <w:t>5.98</w:t>
            </w:r>
          </w:p>
        </w:tc>
        <w:tc>
          <w:tcPr>
            <w:tcW w:w="1320" w:type="dxa"/>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lang w:val="nl-NL"/>
              </w:rPr>
            </w:pPr>
            <w:r w:rsidRPr="007223F2">
              <w:rPr>
                <w:rFonts w:cs="Arial"/>
                <w:lang w:val="nl-NL"/>
              </w:rPr>
              <w:t>0.00038</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20,000</w:t>
            </w:r>
          </w:p>
        </w:tc>
        <w:tc>
          <w:tcPr>
            <w:tcW w:w="1544" w:type="dxa"/>
            <w:tcBorders>
              <w:top w:val="single" w:sz="8" w:space="0" w:color="000000"/>
              <w:left w:val="single" w:sz="8" w:space="0" w:color="000000"/>
              <w:bottom w:val="single" w:sz="8" w:space="0" w:color="000000"/>
              <w:right w:val="single" w:sz="8" w:space="0" w:color="000000"/>
            </w:tcBorders>
            <w:vAlign w:val="center"/>
          </w:tcPr>
          <w:p w:rsidR="00BA7C2C" w:rsidRPr="007223F2" w:rsidRDefault="00BA7C2C" w:rsidP="00613EE2">
            <w:pPr>
              <w:rPr>
                <w:rFonts w:cs="Arial"/>
                <w:lang w:val="nl-NL"/>
              </w:rPr>
            </w:pPr>
            <w:r w:rsidRPr="007223F2">
              <w:rPr>
                <w:rFonts w:cs="Arial"/>
                <w:lang w:val="nl-NL"/>
              </w:rPr>
              <w:t>16,000</w:t>
            </w:r>
          </w:p>
        </w:tc>
      </w:tr>
      <w:tr w:rsidR="00BA7C2C" w:rsidRPr="007223F2" w:rsidTr="00613EE2">
        <w:trPr>
          <w:trHeight w:val="715"/>
        </w:trPr>
        <w:tc>
          <w:tcPr>
            <w:tcW w:w="8698" w:type="dxa"/>
            <w:gridSpan w:val="6"/>
            <w:tcBorders>
              <w:top w:val="single" w:sz="8" w:space="0" w:color="000000"/>
              <w:left w:val="single" w:sz="8" w:space="0" w:color="000000"/>
              <w:bottom w:val="single" w:sz="8" w:space="0" w:color="000000"/>
              <w:right w:val="single" w:sz="8" w:space="0" w:color="000000"/>
            </w:tcBorders>
          </w:tcPr>
          <w:p w:rsidR="00BA7C2C" w:rsidRPr="007223F2" w:rsidRDefault="00BA7C2C" w:rsidP="00613EE2">
            <w:pPr>
              <w:rPr>
                <w:rFonts w:cs="Arial"/>
              </w:rPr>
            </w:pPr>
            <w:r w:rsidRPr="007223F2">
              <w:rPr>
                <w:rFonts w:cs="Arial"/>
                <w:vertAlign w:val="superscript"/>
              </w:rPr>
              <w:t>1</w:t>
            </w:r>
            <w:r w:rsidRPr="007223F2">
              <w:rPr>
                <w:rFonts w:cs="Arial"/>
              </w:rPr>
              <w:t xml:space="preserve"> AV, PT and PD = 1; AV of 0.5 for birds</w:t>
            </w:r>
          </w:p>
          <w:p w:rsidR="00BA7C2C" w:rsidRPr="007223F2" w:rsidRDefault="00BA7C2C" w:rsidP="00613EE2">
            <w:pPr>
              <w:rPr>
                <w:rFonts w:cs="Arial"/>
              </w:rPr>
            </w:pPr>
            <w:r w:rsidRPr="007223F2">
              <w:rPr>
                <w:rFonts w:cs="Arial"/>
                <w:vertAlign w:val="superscript"/>
              </w:rPr>
              <w:t>2</w:t>
            </w:r>
            <w:r w:rsidRPr="007223F2">
              <w:rPr>
                <w:rFonts w:cs="Arial"/>
              </w:rPr>
              <w:t xml:space="preserve"> AV = 0.9, PT = 0.8 and PD = 1; AV of 0.5 for birds</w:t>
            </w:r>
          </w:p>
          <w:p w:rsidR="00BA7C2C" w:rsidRPr="007223F2" w:rsidRDefault="00BA7C2C" w:rsidP="00613EE2">
            <w:pPr>
              <w:rPr>
                <w:rFonts w:cs="Arial"/>
              </w:rPr>
            </w:pPr>
            <w:r w:rsidRPr="007223F2">
              <w:rPr>
                <w:rFonts w:cs="Arial"/>
                <w:vertAlign w:val="superscript"/>
              </w:rPr>
              <w:t>3</w:t>
            </w:r>
            <w:r w:rsidRPr="007223F2">
              <w:rPr>
                <w:rFonts w:cs="Arial"/>
              </w:rPr>
              <w:t xml:space="preserve"> Body weight of a fox was chosen</w:t>
            </w:r>
          </w:p>
        </w:tc>
      </w:tr>
    </w:tbl>
    <w:p w:rsidR="00BA7C2C" w:rsidRPr="007223F2" w:rsidRDefault="00BA7C2C" w:rsidP="00BA7C2C">
      <w:pPr>
        <w:rPr>
          <w:rFonts w:cs="Arial"/>
        </w:rPr>
      </w:pPr>
    </w:p>
    <w:p w:rsidR="00BA7C2C" w:rsidRPr="007223F2" w:rsidRDefault="00BA7C2C" w:rsidP="00BA7C2C">
      <w:pPr>
        <w:rPr>
          <w:rFonts w:cs="Arial"/>
          <w:b/>
        </w:rPr>
      </w:pPr>
      <w:r w:rsidRPr="007223F2">
        <w:rPr>
          <w:rFonts w:cs="Arial"/>
          <w:b/>
        </w:rPr>
        <w:t>Conclusion primary poisoning</w:t>
      </w:r>
    </w:p>
    <w:p w:rsidR="00BA7C2C" w:rsidRPr="007223F2" w:rsidRDefault="00BA7C2C" w:rsidP="00BA7C2C">
      <w:pPr>
        <w:rPr>
          <w:rFonts w:cs="Arial"/>
        </w:rPr>
      </w:pPr>
      <w:r w:rsidRPr="007223F2">
        <w:rPr>
          <w:rFonts w:cs="Arial"/>
        </w:rPr>
        <w:t xml:space="preserve">When comparing the concentration of bromadiolone in food with the PNECoral a high risk can be identified. Regarding the short-term exposure at Tier 2, ETE values after 1 day for birds do not exceed the LD50 value for birds both without and with excretion. Concerns excist to the risk for mammals (except dogs) feeding on bait.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ETE values after 5 days intake of bromadiolone (long-term exposure) are higher than those after a single day of exposure. Even though excretion from the non-target animal is anticipated accumulation of bromadiolone in the non-target animals outweigh loss of bromadiolone in non-target </w:t>
      </w:r>
      <w:r w:rsidRPr="007223F2">
        <w:rPr>
          <w:rFonts w:cs="Arial"/>
        </w:rPr>
        <w:lastRenderedPageBreak/>
        <w:t>animals due to excretion. For the long-term assessment all PEC/PNECoral ratios are far above one. In general small animals have a higher risk than large ones.</w:t>
      </w: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rPr>
        <w:lastRenderedPageBreak/>
        <w:t>The worst-case PEC/PNEC ratio for birds at step 1 is about 63,000 (tree sparrow) and about 605,000 for mammals (cat).</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The worst-case PEC/PNEC ratio for birds at step 2 is about 50,000 (tree sparrow) and about 484,000 for mammals (cat).</w:t>
      </w:r>
    </w:p>
    <w:p w:rsidR="00BA7C2C" w:rsidRPr="007223F2" w:rsidRDefault="00BA7C2C" w:rsidP="00BA7C2C">
      <w:pPr>
        <w:rPr>
          <w:rFonts w:cs="Arial"/>
        </w:rPr>
      </w:pPr>
    </w:p>
    <w:p w:rsidR="00BA7C2C" w:rsidRPr="007223F2" w:rsidRDefault="00BA7C2C" w:rsidP="00BA7C2C">
      <w:pPr>
        <w:rPr>
          <w:rFonts w:cs="Arial"/>
        </w:rPr>
      </w:pPr>
      <w:r w:rsidRPr="007223F2">
        <w:rPr>
          <w:rFonts w:cs="Arial"/>
        </w:rPr>
        <w:t>Worst case assumptions have been made. It was assumed that the non-target animals have fed entirely, respectively mostly, on bromadiolone containing products (PT was 1 and 0.8, respectively) and that no avoidance (AV = 1) respectively little avoidance (AV = 0.9) for mammals. For birds the avoidance factor for paste was set to 0.5. Consumption of these quantities of bromadiolone containing products is clearly a worst case and the risk in reality might probably not be as high as presented in these scenarios.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Based on the maximum recommended baiting regime that entails deployment of </w:t>
      </w:r>
      <w:smartTag w:uri="urn:schemas-microsoft-com:office:smarttags" w:element="metricconverter">
        <w:smartTagPr>
          <w:attr w:name="ProductID" w:val="240 g"/>
        </w:smartTagPr>
        <w:r w:rsidRPr="007223F2">
          <w:rPr>
            <w:rFonts w:cs="Arial"/>
          </w:rPr>
          <w:t>240 g</w:t>
        </w:r>
      </w:smartTag>
      <w:r w:rsidRPr="007223F2">
        <w:rPr>
          <w:rFonts w:cs="Arial"/>
        </w:rPr>
        <w:t xml:space="preserve"> paste per secured bait point, the daily food intakes of 456, 170 and </w:t>
      </w:r>
      <w:smartTag w:uri="urn:schemas-microsoft-com:office:smarttags" w:element="metricconverter">
        <w:smartTagPr>
          <w:attr w:name="ProductID" w:val="600 g"/>
        </w:smartTagPr>
        <w:r w:rsidRPr="007223F2">
          <w:rPr>
            <w:rFonts w:cs="Arial"/>
          </w:rPr>
          <w:t>600 g</w:t>
        </w:r>
      </w:smartTag>
      <w:r w:rsidRPr="007223F2">
        <w:rPr>
          <w:rFonts w:cs="Arial"/>
        </w:rPr>
        <w:t xml:space="preserve"> for dogs, cats and pigs correspond to the contents of 1.9, 0.71 and 2.5 bait points, respectively. However, as the PEC/PNEC ratio for dogs is above 20,000 the PEC/PNECoral value below 1 for dogs would only be achieved for a single meal if the daily intake of paste by dogs was less than 0.005 % of its daily food requirement (&lt;</w:t>
      </w:r>
      <w:smartTag w:uri="urn:schemas-microsoft-com:office:smarttags" w:element="metricconverter">
        <w:smartTagPr>
          <w:attr w:name="ProductID" w:val="0.05 g"/>
        </w:smartTagPr>
        <w:r w:rsidRPr="007223F2">
          <w:rPr>
            <w:rFonts w:cs="Arial"/>
          </w:rPr>
          <w:t>0.05 g</w:t>
        </w:r>
      </w:smartTag>
      <w:r w:rsidRPr="007223F2">
        <w:rPr>
          <w:rFonts w:cs="Arial"/>
        </w:rPr>
        <w:t xml:space="preserve"> bait per day for dogs). This is much less than the weight of one sachet (</w:t>
      </w:r>
      <w:smartTag w:uri="urn:schemas-microsoft-com:office:smarttags" w:element="metricconverter">
        <w:smartTagPr>
          <w:attr w:name="ProductID" w:val="40 g"/>
        </w:smartTagPr>
        <w:r w:rsidRPr="007223F2">
          <w:rPr>
            <w:rFonts w:cs="Arial"/>
          </w:rPr>
          <w:t>40 g</w:t>
        </w:r>
      </w:smartTag>
      <w:r w:rsidRPr="007223F2">
        <w:rPr>
          <w:rFonts w:cs="Arial"/>
        </w:rPr>
        <w:t>) of which 6 are placed in one bait point. As the EC5 is higher than the EC1 (ETE after 1 day) these values would be lower for the long-term assessment.</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The values for birds are slightly less severe. Based on the recommended baiting regime that entails deployment of a maximum of </w:t>
      </w:r>
      <w:smartTag w:uri="urn:schemas-microsoft-com:office:smarttags" w:element="metricconverter">
        <w:smartTagPr>
          <w:attr w:name="ProductID" w:val="240 g"/>
        </w:smartTagPr>
        <w:r w:rsidRPr="007223F2">
          <w:rPr>
            <w:rFonts w:cs="Arial"/>
          </w:rPr>
          <w:t>240 g</w:t>
        </w:r>
      </w:smartTag>
      <w:r w:rsidRPr="007223F2">
        <w:rPr>
          <w:rFonts w:cs="Arial"/>
        </w:rPr>
        <w:t xml:space="preserve"> paste per secured bait point, the daily food intakes of 7.6, 6.42, 53.1 and </w:t>
      </w:r>
      <w:smartTag w:uri="urn:schemas-microsoft-com:office:smarttags" w:element="metricconverter">
        <w:smartTagPr>
          <w:attr w:name="ProductID" w:val="102.7 g"/>
        </w:smartTagPr>
        <w:r w:rsidRPr="007223F2">
          <w:rPr>
            <w:rFonts w:cs="Arial"/>
          </w:rPr>
          <w:t>102.7 g</w:t>
        </w:r>
      </w:smartTag>
      <w:r w:rsidRPr="007223F2">
        <w:rPr>
          <w:rFonts w:cs="Arial"/>
        </w:rPr>
        <w:t xml:space="preserve"> for </w:t>
      </w:r>
      <w:r w:rsidRPr="007223F2">
        <w:rPr>
          <w:rFonts w:cs="Arial"/>
          <w:i/>
        </w:rPr>
        <w:t>P. montanus, F. coelebs</w:t>
      </w:r>
      <w:r w:rsidRPr="007223F2">
        <w:rPr>
          <w:rFonts w:cs="Arial"/>
        </w:rPr>
        <w:t xml:space="preserve">, </w:t>
      </w:r>
      <w:r w:rsidRPr="007223F2">
        <w:rPr>
          <w:rFonts w:cs="Arial"/>
          <w:i/>
        </w:rPr>
        <w:t>C. palumbus</w:t>
      </w:r>
      <w:r w:rsidRPr="007223F2">
        <w:rPr>
          <w:rFonts w:cs="Arial"/>
        </w:rPr>
        <w:t xml:space="preserve"> and </w:t>
      </w:r>
      <w:r w:rsidRPr="007223F2">
        <w:rPr>
          <w:rFonts w:cs="Arial"/>
          <w:i/>
        </w:rPr>
        <w:t>P. colchicus</w:t>
      </w:r>
      <w:r w:rsidRPr="007223F2">
        <w:rPr>
          <w:rFonts w:cs="Arial"/>
        </w:rPr>
        <w:t xml:space="preserve"> (values from table 3.1 EUBE</w:t>
      </w:r>
      <w:smartTag w:uri="urn:schemas-microsoft-com:office:smarttags" w:element="PersonName">
        <w:r w:rsidRPr="007223F2">
          <w:rPr>
            <w:rFonts w:cs="Arial"/>
          </w:rPr>
          <w:t>ES</w:t>
        </w:r>
      </w:smartTag>
      <w:r w:rsidRPr="007223F2">
        <w:rPr>
          <w:rFonts w:cs="Arial"/>
        </w:rPr>
        <w:t xml:space="preserve"> 2) correspond to the contents of at least 0.03, 0.027, 0.22 and 0.43 full bait boxes, respectively. It is unlikely that such amounts of bait would be available to the larger birds whereas smaller species may be able to reach bait inside the bait boxes by entering through the access hole, simply on the basis of their size. However, PEC/PNEC ratios for bigger birds are above 16,000 and for smaller birds above 44,000. Values below 1 for the different bird species would only be achieved if the daily intake of bait blocks/pellets/paste by birds were below 0.1 % of their daily food requirement. That means that for example a chaffinch (</w:t>
      </w:r>
      <w:r w:rsidRPr="007223F2">
        <w:rPr>
          <w:rFonts w:cs="Arial"/>
          <w:i/>
        </w:rPr>
        <w:t>F. coelebs</w:t>
      </w:r>
      <w:r w:rsidRPr="007223F2">
        <w:rPr>
          <w:rFonts w:cs="Arial"/>
        </w:rPr>
        <w:t>) had to eat less than 0.1 mg bait in order not to be at risk.</w:t>
      </w:r>
    </w:p>
    <w:p w:rsidR="00BA7C2C" w:rsidRPr="007223F2" w:rsidRDefault="00BA7C2C" w:rsidP="00BA7C2C">
      <w:pPr>
        <w:rPr>
          <w:rFonts w:cs="Arial"/>
        </w:rPr>
      </w:pPr>
    </w:p>
    <w:p w:rsidR="00BA7C2C" w:rsidRPr="007223F2" w:rsidRDefault="00BA7C2C" w:rsidP="00BA7C2C">
      <w:pPr>
        <w:rPr>
          <w:rFonts w:cs="Arial"/>
        </w:rPr>
      </w:pPr>
      <w:r w:rsidRPr="007223F2">
        <w:rPr>
          <w:rFonts w:cs="Arial"/>
        </w:rPr>
        <w:t>Gemmeke (2000) noted that pigeons, Japanese quails, various crows, jackdaws, magpies and pheasants presented with a choice of natural and dyed seeds of various crop species all preferred the untreated option, and that seeds artificially coloured green, grey, black, pink, blue, violet and brown-violet were either untouched or only eaten in small (ca. 10%) amounts. According to Harrison et al. (1988), wild birds presented with a selection of foods resembling wheat-based rodenticide baits were generally indifferent to whole, non-coloured wax blocks and consumption amounted to less than 5% of the quantity offered. Considering these figures it becomes clear that birds have a very high risk of primary poisoning even if paste is only a very low share of their daily food intake.</w:t>
      </w:r>
    </w:p>
    <w:p w:rsidR="00BA7C2C" w:rsidRPr="007223F2" w:rsidRDefault="00BA7C2C" w:rsidP="00BA7C2C">
      <w:pPr>
        <w:rPr>
          <w:rFonts w:cs="Arial"/>
        </w:rPr>
      </w:pPr>
    </w:p>
    <w:p w:rsidR="00BA7C2C" w:rsidRPr="007223F2" w:rsidRDefault="00BA7C2C" w:rsidP="00BA7C2C">
      <w:pPr>
        <w:rPr>
          <w:rFonts w:cs="Arial"/>
        </w:rPr>
      </w:pPr>
      <w:r w:rsidRPr="007223F2">
        <w:rPr>
          <w:rFonts w:cs="Arial"/>
        </w:rPr>
        <w:lastRenderedPageBreak/>
        <w:t>Comparing the quantities of bromadiolone potentially accessible to non-target vertebrates at one bait point directly with the food based PNECoral of 0.38 μg/kg food birds are at high risk even if they eat only 1 % of the bait at one bait point.</w:t>
      </w:r>
    </w:p>
    <w:p w:rsidR="00BA7C2C" w:rsidRPr="007223F2" w:rsidRDefault="00BA7C2C" w:rsidP="00BA7C2C">
      <w:pPr>
        <w:rPr>
          <w:rFonts w:cs="Arial"/>
        </w:rPr>
      </w:pPr>
      <w:r w:rsidRPr="007223F2">
        <w:rPr>
          <w:rFonts w:cs="Arial"/>
        </w:rPr>
        <w:t>A potential risk of primary poisoning could clearly be identified both for non-target mammals and for birds. Relatively high assessment factors applied to long-term test results for the derivation of PNECoral and the high toxicity of bromadiolone to mammals and birds led to a high risk. It is evident that this risk can occur if these animals have free access to products containing bromadione, which is the case for baiting around buildings but probably not for baiting within buildings.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Possible measures to reduce the risk of primary poisoning to non-target animals</w:t>
      </w:r>
    </w:p>
    <w:p w:rsidR="00BA7C2C" w:rsidRPr="007223F2" w:rsidRDefault="00BA7C2C" w:rsidP="00BA7C2C">
      <w:pPr>
        <w:rPr>
          <w:rFonts w:cs="Arial"/>
        </w:rPr>
      </w:pPr>
      <w:r w:rsidRPr="007223F2">
        <w:rPr>
          <w:rFonts w:cs="Arial"/>
        </w:rPr>
        <w:t>Bromadiolone is both highly and non-selectively toxic to vertebrates and the attempt to refine the primary and secondary assessments to demonstrate acceptable risks to birds and non-target mammals with the tools currently available will prove fruitless.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Information regarding risk reduction measures is presented in chapter 2.8.3 “Possible measures to reduce the risk of primary and secondary poisoning to non-target animals”.</w:t>
      </w:r>
    </w:p>
    <w:p w:rsidR="00BA7C2C" w:rsidRPr="007223F2" w:rsidRDefault="00BA7C2C" w:rsidP="00BA7C2C">
      <w:pPr>
        <w:rPr>
          <w:rFonts w:cs="Arial"/>
          <w:u w:val="single"/>
        </w:rPr>
      </w:pPr>
    </w:p>
    <w:p w:rsidR="00BA7C2C" w:rsidRPr="007223F2" w:rsidRDefault="00BA7C2C" w:rsidP="00BA7C2C">
      <w:pPr>
        <w:rPr>
          <w:rFonts w:cs="Arial"/>
          <w:b/>
        </w:rPr>
      </w:pPr>
      <w:r w:rsidRPr="007223F2">
        <w:rPr>
          <w:rFonts w:cs="Arial"/>
          <w:b/>
        </w:rPr>
        <w:t>Secondary poisoning</w:t>
      </w:r>
    </w:p>
    <w:p w:rsidR="00BA7C2C" w:rsidRPr="007223F2" w:rsidRDefault="00BA7C2C" w:rsidP="00BA7C2C">
      <w:pPr>
        <w:rPr>
          <w:rFonts w:cs="Arial"/>
        </w:rPr>
      </w:pPr>
      <w:r w:rsidRPr="007223F2">
        <w:rPr>
          <w:rFonts w:cs="Arial"/>
        </w:rPr>
        <w:t>In accordance with the EUBE</w:t>
      </w:r>
      <w:smartTag w:uri="urn:schemas-microsoft-com:office:smarttags" w:element="PersonName">
        <w:r w:rsidRPr="007223F2">
          <w:rPr>
            <w:rFonts w:cs="Arial"/>
          </w:rPr>
          <w:t>ES</w:t>
        </w:r>
      </w:smartTag>
      <w:r w:rsidRPr="007223F2">
        <w:rPr>
          <w:rFonts w:cs="Arial"/>
        </w:rPr>
        <w:t xml:space="preserve"> 2, the following assessment of secondary poisoning takes into account the levels of bromadiolone residues in target rodents, based on its concentration in the bait, feeding (bromadiolone intake) and excretion (bromadiolone elimination) rates of target rodents, as well as the period over which the bait is eaten before the effects of poisoning inhibit further feeding. These combined factors form the basis of exposure to predators and scavengers upon which to assess risk.</w:t>
      </w:r>
    </w:p>
    <w:p w:rsidR="00BA7C2C" w:rsidRPr="007223F2" w:rsidRDefault="00BA7C2C" w:rsidP="00BA7C2C">
      <w:pPr>
        <w:rPr>
          <w:rFonts w:cs="Arial"/>
        </w:rPr>
      </w:pPr>
    </w:p>
    <w:p w:rsidR="00BA7C2C" w:rsidRPr="007223F2" w:rsidRDefault="00BA7C2C" w:rsidP="00BA7C2C">
      <w:pPr>
        <w:rPr>
          <w:rFonts w:cs="Arial"/>
        </w:rPr>
      </w:pPr>
      <w:r w:rsidRPr="007223F2">
        <w:rPr>
          <w:rFonts w:cs="Arial"/>
        </w:rPr>
        <w:t>Rodents targeted by indoor and outdoor baiting campaigns are likely to roam outdoors and within the hunting ranges of predatory birds and mammals. Target animals that succumb to the effects of anticoagulant rodenticides and die whilst foraging outdoors may be found and ingested by scavenging vertebrates. A potential for secondary poisoning of birds and mammals therefore exists, even (though to a lesser extent) on occasions when the deployment of paste containing bromadiolone is confined to the interiors of buildings.</w:t>
      </w:r>
    </w:p>
    <w:p w:rsidR="00BA7C2C" w:rsidRPr="007223F2" w:rsidRDefault="00BA7C2C" w:rsidP="00BA7C2C">
      <w:pPr>
        <w:rPr>
          <w:rFonts w:cs="Arial"/>
        </w:rPr>
      </w:pPr>
    </w:p>
    <w:p w:rsidR="00BA7C2C" w:rsidRPr="007223F2" w:rsidRDefault="00BA7C2C" w:rsidP="00BA7C2C">
      <w:pPr>
        <w:spacing w:after="240" w:line="240" w:lineRule="auto"/>
        <w:ind w:right="78"/>
        <w:rPr>
          <w:rFonts w:cs="Arial"/>
        </w:rPr>
      </w:pPr>
      <w:r w:rsidRPr="007223F2">
        <w:rPr>
          <w:rFonts w:cs="Arial"/>
        </w:rPr>
        <w:t xml:space="preserve">However, the extent of possible exposure of predators and scavengers to live prey and carcasses containing rodenticide residues is uncertain. EUBEES 2 cites two published reports of cage and enclosure studies in which the authors observed behavioural changes in poisoned rodents that would appear to increase their susceptibility to predation during daytime and also the likelihood that fatal haemorrhage would occur while the rodents were away from shelter, leaving their carcasses exposed to scavengers. On the other hand, these predictions are contradicted by reports of observations made before, during and after anticoagulant baiting programmes conducted in and around farm buildings, where carcasses found by systematic searches were predominantly either </w:t>
      </w:r>
      <w:r w:rsidRPr="007223F2">
        <w:rPr>
          <w:rFonts w:cs="Arial"/>
        </w:rPr>
        <w:lastRenderedPageBreak/>
        <w:t>indoors or concealed beneath cover (e.g. under haystacks)</w:t>
      </w:r>
      <w:r w:rsidRPr="007223F2">
        <w:rPr>
          <w:rStyle w:val="Voetnootmarkering"/>
          <w:rFonts w:cs="Arial"/>
        </w:rPr>
        <w:footnoteReference w:id="18"/>
      </w:r>
      <w:r w:rsidRPr="007223F2">
        <w:rPr>
          <w:rFonts w:cs="Arial"/>
        </w:rPr>
        <w:t>. Bodies representing only 4% of an estimated initial rat population were found away from cover in one study and (in the absence of evidence of further activity) the majority of the remaining, unrecovered population was assumed to have died underground in a system of burrows.</w:t>
      </w:r>
    </w:p>
    <w:p w:rsidR="00BA7C2C" w:rsidRPr="007223F2" w:rsidRDefault="00BA7C2C" w:rsidP="00BA7C2C">
      <w:pPr>
        <w:spacing w:after="240" w:line="240" w:lineRule="auto"/>
        <w:ind w:right="78"/>
        <w:rPr>
          <w:rFonts w:cs="Arial"/>
        </w:rPr>
      </w:pPr>
      <w:r w:rsidRPr="007223F2">
        <w:rPr>
          <w:rFonts w:cs="Arial"/>
        </w:rPr>
        <w:t>In accordance with EUBEES 2 guidance, the following assessment of secondary poisoning takes into account the levels of bromadiolone residues in target rodents, based on its concentration in paste, feeding (bromadiolone intake) and excretion (bromadiolone elimination) rates of target rodents, as well as the period over which the bait is eaten before the effects of poisoning inhibit further feeding. These combined factors form the basis of exposure to predators and scavengers upon which to assess risk.</w:t>
      </w:r>
    </w:p>
    <w:p w:rsidR="00BA7C2C" w:rsidRPr="007223F2" w:rsidRDefault="00BA7C2C" w:rsidP="00BA7C2C">
      <w:pPr>
        <w:rPr>
          <w:rFonts w:cs="Arial"/>
        </w:rPr>
      </w:pPr>
      <w:r w:rsidRPr="007223F2">
        <w:rPr>
          <w:rFonts w:cs="Arial"/>
        </w:rPr>
        <w:t>The bromadiolone residue concentration in rodents is based on the following equation:</w:t>
      </w:r>
    </w:p>
    <w:p w:rsidR="00BA7C2C" w:rsidRPr="007223F2" w:rsidRDefault="00BA7C2C" w:rsidP="00BA7C2C">
      <w:pPr>
        <w:rPr>
          <w:rFonts w:cs="Arial"/>
        </w:rPr>
      </w:pPr>
      <w:r w:rsidRPr="007223F2">
        <w:rPr>
          <w:rFonts w:cs="Arial"/>
          <w:position w:val="-28"/>
        </w:rPr>
        <w:object w:dxaOrig="2340" w:dyaOrig="680">
          <v:shape id="_x0000_i1027" type="#_x0000_t75" style="width:117.1pt;height:33.8pt" o:ole="" fillcolor="window">
            <v:imagedata r:id="rId28" o:title=""/>
          </v:shape>
          <o:OLEObject Type="Embed" ProgID="Equation.3" ShapeID="_x0000_i1027" DrawAspect="Content" ObjectID="_1582097184" r:id="rId29"/>
        </w:object>
      </w:r>
      <w:r w:rsidRPr="007223F2">
        <w:rPr>
          <w:rFonts w:cs="Arial"/>
          <w:vertAlign w:val="superscript"/>
        </w:rPr>
        <w:t>n</w:t>
      </w:r>
    </w:p>
    <w:p w:rsidR="00BA7C2C" w:rsidRPr="007223F2" w:rsidRDefault="00BA7C2C" w:rsidP="00BA7C2C">
      <w:pPr>
        <w:rPr>
          <w:rFonts w:cs="Arial"/>
        </w:rPr>
      </w:pPr>
      <w:r w:rsidRPr="007223F2">
        <w:rPr>
          <w:rFonts w:cs="Arial"/>
        </w:rPr>
        <w:t>where EC</w:t>
      </w:r>
      <w:r w:rsidRPr="007223F2">
        <w:rPr>
          <w:rFonts w:cs="Arial"/>
          <w:vertAlign w:val="subscript"/>
        </w:rPr>
        <w:t>n</w:t>
      </w:r>
      <w:r w:rsidRPr="007223F2">
        <w:rPr>
          <w:rFonts w:cs="Arial"/>
        </w:rPr>
        <w:t xml:space="preserve"> is the estimated residue concentration in the rodent on day n, ETE is the estimated theoretical exposure as defined above for primary poisoning for mammals and EL is the fraction of residue eliminated from the target rodent per day.</w:t>
      </w:r>
    </w:p>
    <w:p w:rsidR="00BA7C2C" w:rsidRPr="007223F2" w:rsidRDefault="00BA7C2C" w:rsidP="00BA7C2C">
      <w:pPr>
        <w:rPr>
          <w:rFonts w:cs="Arial"/>
        </w:rPr>
      </w:pPr>
    </w:p>
    <w:p w:rsidR="00BA7C2C" w:rsidRPr="007223F2" w:rsidRDefault="00BA7C2C" w:rsidP="00BA7C2C">
      <w:pPr>
        <w:rPr>
          <w:rFonts w:cs="Arial"/>
        </w:rPr>
      </w:pPr>
      <w:r w:rsidRPr="007223F2">
        <w:rPr>
          <w:rFonts w:cs="Arial"/>
        </w:rPr>
        <w:t>The ETE values for rodents (mice and rats) are based on three theoretical levels of ingestion of paste constituting 100%, 50% and 20% of the daily food intake (to allow for various intakes of alternative foods), a FIR/kg bw of 0.1 for rats and mice and a concentration of bromadiolone in paste equal to 50 mg/kg. The ETE values are therefore 5.0, 2.5, 1.00 mg bromadiolone/kg bw for levels of bait consumption equivalent to 100%, 50% and 20% of daily food intake, respectively.</w:t>
      </w:r>
    </w:p>
    <w:p w:rsidR="00BA7C2C" w:rsidRPr="007223F2" w:rsidRDefault="00BA7C2C" w:rsidP="00BA7C2C">
      <w:pPr>
        <w:rPr>
          <w:rFonts w:cs="Arial"/>
        </w:rPr>
      </w:pPr>
    </w:p>
    <w:p w:rsidR="00BA7C2C" w:rsidRPr="007223F2" w:rsidRDefault="00BA7C2C" w:rsidP="00BA7C2C">
      <w:pPr>
        <w:rPr>
          <w:rFonts w:cs="Arial"/>
        </w:rPr>
      </w:pPr>
      <w:r w:rsidRPr="007223F2">
        <w:rPr>
          <w:rFonts w:cs="Arial"/>
        </w:rPr>
        <w:t>According to EUBEES 2, the default rate of elimination of residues from the bodies of target rodents is 30% per day (faecal route only). The elimination of residues has been measured from rats dosed with 5.0 mg bromadiolone/kg bw and sacrificed after 48 hours. A single significant metabolite and several minor breakdown products of bromadiolone were identified, and parent bromadiolone contributed only 22% of the faecal radioactivity. According to WHO (1995)</w:t>
      </w:r>
      <w:r w:rsidRPr="007223F2">
        <w:rPr>
          <w:rStyle w:val="Voetnootmarkering"/>
          <w:rFonts w:cs="Arial"/>
        </w:rPr>
        <w:footnoteReference w:id="19"/>
      </w:r>
      <w:r w:rsidRPr="007223F2">
        <w:rPr>
          <w:rFonts w:cs="Arial"/>
        </w:rPr>
        <w:t>, the effects of anticoagulant rodenticides in rats are mediated by the intact parent molecule rather than their metabolites. The default daily elimination rate of 30% for anticoagulant rodenticides prescribed by EUBEES 2 is in general accordance with the mean values measured for bromadiolone, which averaged 32.7% over the first three days and ranged from 12.0% for day 1 to 53.3% for day 2.</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Elimination of bromadiolone residues from rats dosed with 5 mg/kg bw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2987"/>
        <w:gridCol w:w="2988"/>
      </w:tblGrid>
      <w:tr w:rsidR="00BA7C2C" w:rsidRPr="007223F2" w:rsidTr="00613EE2">
        <w:trPr>
          <w:cantSplit/>
        </w:trPr>
        <w:tc>
          <w:tcPr>
            <w:tcW w:w="3166" w:type="dxa"/>
            <w:vMerge w:val="restart"/>
          </w:tcPr>
          <w:p w:rsidR="00BA7C2C" w:rsidRPr="007223F2" w:rsidRDefault="00BA7C2C" w:rsidP="00613EE2">
            <w:pPr>
              <w:rPr>
                <w:rFonts w:cs="Arial"/>
                <w:b/>
              </w:rPr>
            </w:pPr>
            <w:r w:rsidRPr="007223F2">
              <w:rPr>
                <w:rFonts w:cs="Arial"/>
                <w:b/>
              </w:rPr>
              <w:t>Sampling time (days)</w:t>
            </w:r>
          </w:p>
        </w:tc>
        <w:tc>
          <w:tcPr>
            <w:tcW w:w="5975" w:type="dxa"/>
            <w:gridSpan w:val="2"/>
          </w:tcPr>
          <w:p w:rsidR="00BA7C2C" w:rsidRPr="007223F2" w:rsidRDefault="00BA7C2C" w:rsidP="00613EE2">
            <w:pPr>
              <w:rPr>
                <w:rFonts w:cs="Arial"/>
                <w:b/>
              </w:rPr>
            </w:pPr>
            <w:r w:rsidRPr="007223F2">
              <w:rPr>
                <w:rFonts w:cs="Arial"/>
                <w:b/>
              </w:rPr>
              <w:t xml:space="preserve">Radioactivity excreted </w:t>
            </w:r>
            <w:r w:rsidRPr="007223F2">
              <w:rPr>
                <w:rFonts w:cs="Arial"/>
                <w:b/>
              </w:rPr>
              <w:br/>
              <w:t>(% of applied)</w:t>
            </w:r>
          </w:p>
        </w:tc>
      </w:tr>
      <w:tr w:rsidR="00BA7C2C" w:rsidRPr="007223F2" w:rsidTr="00613EE2">
        <w:trPr>
          <w:cantSplit/>
        </w:trPr>
        <w:tc>
          <w:tcPr>
            <w:tcW w:w="3166" w:type="dxa"/>
            <w:vMerge/>
          </w:tcPr>
          <w:p w:rsidR="00BA7C2C" w:rsidRPr="007223F2" w:rsidRDefault="00BA7C2C" w:rsidP="00613EE2">
            <w:pPr>
              <w:keepNext/>
              <w:spacing w:before="40" w:after="40" w:line="240" w:lineRule="auto"/>
              <w:rPr>
                <w:rFonts w:cs="Arial"/>
                <w:b/>
              </w:rPr>
            </w:pPr>
          </w:p>
        </w:tc>
        <w:tc>
          <w:tcPr>
            <w:tcW w:w="2987" w:type="dxa"/>
          </w:tcPr>
          <w:p w:rsidR="00BA7C2C" w:rsidRPr="007223F2" w:rsidRDefault="00BA7C2C" w:rsidP="00613EE2">
            <w:pPr>
              <w:rPr>
                <w:rFonts w:cs="Arial"/>
                <w:b/>
              </w:rPr>
            </w:pPr>
            <w:r w:rsidRPr="007223F2">
              <w:rPr>
                <w:rFonts w:cs="Arial"/>
                <w:b/>
              </w:rPr>
              <w:t>Urine</w:t>
            </w:r>
          </w:p>
        </w:tc>
        <w:tc>
          <w:tcPr>
            <w:tcW w:w="2988" w:type="dxa"/>
          </w:tcPr>
          <w:p w:rsidR="00BA7C2C" w:rsidRPr="007223F2" w:rsidRDefault="00BA7C2C" w:rsidP="00613EE2">
            <w:pPr>
              <w:rPr>
                <w:rFonts w:cs="Arial"/>
                <w:b/>
              </w:rPr>
            </w:pPr>
            <w:r w:rsidRPr="007223F2">
              <w:rPr>
                <w:rFonts w:cs="Arial"/>
                <w:b/>
              </w:rPr>
              <w:t>Faeces</w:t>
            </w:r>
          </w:p>
        </w:tc>
      </w:tr>
      <w:tr w:rsidR="00BA7C2C" w:rsidRPr="007223F2" w:rsidTr="00613EE2">
        <w:trPr>
          <w:cantSplit/>
        </w:trPr>
        <w:tc>
          <w:tcPr>
            <w:tcW w:w="3166" w:type="dxa"/>
          </w:tcPr>
          <w:p w:rsidR="00BA7C2C" w:rsidRPr="007223F2" w:rsidRDefault="00BA7C2C" w:rsidP="00613EE2">
            <w:pPr>
              <w:rPr>
                <w:rFonts w:cs="Arial"/>
              </w:rPr>
            </w:pPr>
            <w:r w:rsidRPr="007223F2">
              <w:rPr>
                <w:rFonts w:cs="Arial"/>
              </w:rPr>
              <w:t>1</w:t>
            </w:r>
          </w:p>
        </w:tc>
        <w:tc>
          <w:tcPr>
            <w:tcW w:w="2987" w:type="dxa"/>
          </w:tcPr>
          <w:p w:rsidR="00BA7C2C" w:rsidRPr="007223F2" w:rsidRDefault="00BA7C2C" w:rsidP="00613EE2">
            <w:pPr>
              <w:rPr>
                <w:rFonts w:cs="Arial"/>
              </w:rPr>
            </w:pPr>
            <w:r w:rsidRPr="007223F2">
              <w:rPr>
                <w:rFonts w:cs="Arial"/>
              </w:rPr>
              <w:t>0.59</w:t>
            </w:r>
          </w:p>
        </w:tc>
        <w:tc>
          <w:tcPr>
            <w:tcW w:w="2988" w:type="dxa"/>
          </w:tcPr>
          <w:p w:rsidR="00BA7C2C" w:rsidRPr="007223F2" w:rsidRDefault="00BA7C2C" w:rsidP="00613EE2">
            <w:pPr>
              <w:rPr>
                <w:rFonts w:cs="Arial"/>
              </w:rPr>
            </w:pPr>
            <w:r w:rsidRPr="007223F2">
              <w:rPr>
                <w:rFonts w:cs="Arial"/>
              </w:rPr>
              <w:t>12.0</w:t>
            </w:r>
          </w:p>
        </w:tc>
      </w:tr>
      <w:tr w:rsidR="00BA7C2C" w:rsidRPr="007223F2" w:rsidTr="00613EE2">
        <w:trPr>
          <w:cantSplit/>
        </w:trPr>
        <w:tc>
          <w:tcPr>
            <w:tcW w:w="3166" w:type="dxa"/>
          </w:tcPr>
          <w:p w:rsidR="00BA7C2C" w:rsidRPr="007223F2" w:rsidRDefault="00BA7C2C" w:rsidP="00613EE2">
            <w:pPr>
              <w:rPr>
                <w:rFonts w:cs="Arial"/>
              </w:rPr>
            </w:pPr>
            <w:r w:rsidRPr="007223F2">
              <w:rPr>
                <w:rFonts w:cs="Arial"/>
              </w:rPr>
              <w:t>2</w:t>
            </w:r>
          </w:p>
        </w:tc>
        <w:tc>
          <w:tcPr>
            <w:tcW w:w="2987" w:type="dxa"/>
          </w:tcPr>
          <w:p w:rsidR="00BA7C2C" w:rsidRPr="007223F2" w:rsidRDefault="00BA7C2C" w:rsidP="00613EE2">
            <w:pPr>
              <w:rPr>
                <w:rFonts w:cs="Arial"/>
              </w:rPr>
            </w:pPr>
            <w:r w:rsidRPr="007223F2">
              <w:rPr>
                <w:rFonts w:cs="Arial"/>
              </w:rPr>
              <w:t>0.86</w:t>
            </w:r>
          </w:p>
        </w:tc>
        <w:tc>
          <w:tcPr>
            <w:tcW w:w="2988" w:type="dxa"/>
          </w:tcPr>
          <w:p w:rsidR="00BA7C2C" w:rsidRPr="007223F2" w:rsidRDefault="00BA7C2C" w:rsidP="00613EE2">
            <w:pPr>
              <w:rPr>
                <w:rFonts w:cs="Arial"/>
              </w:rPr>
            </w:pPr>
            <w:r w:rsidRPr="007223F2">
              <w:rPr>
                <w:rFonts w:cs="Arial"/>
              </w:rPr>
              <w:t>53.3</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The residue levels are also based on an assumption that ingestion of bromadiolone in paste occurs consistently during the first five days of baiting and that feeding (including bait ingestion) ceases on day 6, followed by death on day 7. However, the time to death under more realistic conditions may differ from that observed in the laboratory if the target rodents have unrestricted access to alternative food(s). EUBEES 2 considers three levels of bait consumption by target rodents, expressed in terms of bait ingestion as a percentage of total daily food intake. A level of 20% is regarded as the minimum for effective bait formulated to appeal to target rodents, whilst 100% represents the realistic worst-case view. In the presence of other, competing food sources (presumed to be present to allow a population of target rodents to become established), an intake of around 50% may be more likely.</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Residues of bromadiolone in target rodents from the ingestion of paste bait at different times during a control campaign, calculated according to EUBEES 2 (Frodent = 1)</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43"/>
        <w:gridCol w:w="2244"/>
        <w:gridCol w:w="2244"/>
      </w:tblGrid>
      <w:tr w:rsidR="00BA7C2C" w:rsidRPr="007223F2" w:rsidTr="00613EE2">
        <w:trPr>
          <w:cantSplit/>
        </w:trPr>
        <w:tc>
          <w:tcPr>
            <w:tcW w:w="2410" w:type="dxa"/>
            <w:vMerge w:val="restart"/>
          </w:tcPr>
          <w:p w:rsidR="00BA7C2C" w:rsidRPr="007223F2" w:rsidRDefault="00BA7C2C" w:rsidP="00613EE2">
            <w:pPr>
              <w:rPr>
                <w:rFonts w:cs="Arial"/>
                <w:b/>
              </w:rPr>
            </w:pPr>
            <w:r w:rsidRPr="007223F2">
              <w:rPr>
                <w:rFonts w:cs="Arial"/>
                <w:b/>
              </w:rPr>
              <w:t>Time</w:t>
            </w:r>
          </w:p>
        </w:tc>
        <w:tc>
          <w:tcPr>
            <w:tcW w:w="6731" w:type="dxa"/>
            <w:gridSpan w:val="3"/>
          </w:tcPr>
          <w:p w:rsidR="00BA7C2C" w:rsidRPr="007223F2" w:rsidRDefault="00BA7C2C" w:rsidP="00613EE2">
            <w:pPr>
              <w:rPr>
                <w:rFonts w:cs="Arial"/>
                <w:b/>
              </w:rPr>
            </w:pPr>
            <w:r w:rsidRPr="007223F2">
              <w:rPr>
                <w:rFonts w:cs="Arial"/>
                <w:b/>
              </w:rPr>
              <w:t>Residues of bromadiolone in target rodent (mg/kg bw)</w:t>
            </w:r>
          </w:p>
        </w:tc>
      </w:tr>
      <w:tr w:rsidR="00BA7C2C" w:rsidRPr="007223F2" w:rsidTr="00613EE2">
        <w:trPr>
          <w:cantSplit/>
        </w:trPr>
        <w:tc>
          <w:tcPr>
            <w:tcW w:w="2410" w:type="dxa"/>
            <w:vMerge/>
          </w:tcPr>
          <w:p w:rsidR="00BA7C2C" w:rsidRPr="007223F2" w:rsidRDefault="00BA7C2C" w:rsidP="00613EE2">
            <w:pPr>
              <w:keepNext/>
              <w:spacing w:before="40" w:after="40" w:line="240" w:lineRule="auto"/>
              <w:rPr>
                <w:rFonts w:cs="Arial"/>
                <w:b/>
              </w:rPr>
            </w:pPr>
          </w:p>
        </w:tc>
        <w:tc>
          <w:tcPr>
            <w:tcW w:w="2243" w:type="dxa"/>
          </w:tcPr>
          <w:p w:rsidR="00BA7C2C" w:rsidRPr="007223F2" w:rsidRDefault="00BA7C2C" w:rsidP="00613EE2">
            <w:pPr>
              <w:rPr>
                <w:rFonts w:cs="Arial"/>
                <w:b/>
              </w:rPr>
            </w:pPr>
            <w:r w:rsidRPr="007223F2">
              <w:rPr>
                <w:rFonts w:cs="Arial"/>
                <w:b/>
              </w:rPr>
              <w:t>20% bait consumption</w:t>
            </w:r>
          </w:p>
        </w:tc>
        <w:tc>
          <w:tcPr>
            <w:tcW w:w="2244" w:type="dxa"/>
          </w:tcPr>
          <w:p w:rsidR="00BA7C2C" w:rsidRPr="007223F2" w:rsidRDefault="00BA7C2C" w:rsidP="00613EE2">
            <w:pPr>
              <w:rPr>
                <w:rFonts w:cs="Arial"/>
                <w:b/>
              </w:rPr>
            </w:pPr>
            <w:r w:rsidRPr="007223F2">
              <w:rPr>
                <w:rFonts w:cs="Arial"/>
                <w:b/>
              </w:rPr>
              <w:t>50% bait consumption</w:t>
            </w:r>
          </w:p>
        </w:tc>
        <w:tc>
          <w:tcPr>
            <w:tcW w:w="2244" w:type="dxa"/>
          </w:tcPr>
          <w:p w:rsidR="00BA7C2C" w:rsidRPr="007223F2" w:rsidRDefault="00BA7C2C" w:rsidP="00613EE2">
            <w:pPr>
              <w:rPr>
                <w:rFonts w:cs="Arial"/>
                <w:b/>
              </w:rPr>
            </w:pPr>
            <w:r w:rsidRPr="007223F2">
              <w:rPr>
                <w:rFonts w:cs="Arial"/>
                <w:b/>
              </w:rPr>
              <w:t>100% bait consumption</w:t>
            </w:r>
          </w:p>
        </w:tc>
      </w:tr>
      <w:tr w:rsidR="00BA7C2C" w:rsidRPr="007223F2" w:rsidTr="00613EE2">
        <w:tc>
          <w:tcPr>
            <w:tcW w:w="2410" w:type="dxa"/>
          </w:tcPr>
          <w:p w:rsidR="00BA7C2C" w:rsidRPr="007223F2" w:rsidRDefault="00BA7C2C" w:rsidP="00613EE2">
            <w:pPr>
              <w:rPr>
                <w:rFonts w:cs="Arial"/>
              </w:rPr>
            </w:pPr>
            <w:r w:rsidRPr="007223F2">
              <w:rPr>
                <w:rFonts w:cs="Arial"/>
              </w:rPr>
              <w:t>Day 1, after first meal</w:t>
            </w:r>
          </w:p>
        </w:tc>
        <w:tc>
          <w:tcPr>
            <w:tcW w:w="2243" w:type="dxa"/>
          </w:tcPr>
          <w:p w:rsidR="00BA7C2C" w:rsidRPr="007223F2" w:rsidRDefault="00BA7C2C" w:rsidP="00613EE2">
            <w:pPr>
              <w:rPr>
                <w:rFonts w:cs="Arial"/>
              </w:rPr>
            </w:pPr>
            <w:r w:rsidRPr="007223F2">
              <w:rPr>
                <w:rFonts w:cs="Arial"/>
              </w:rPr>
              <w:t>1.000</w:t>
            </w:r>
          </w:p>
        </w:tc>
        <w:tc>
          <w:tcPr>
            <w:tcW w:w="2244" w:type="dxa"/>
          </w:tcPr>
          <w:p w:rsidR="00BA7C2C" w:rsidRPr="007223F2" w:rsidRDefault="00BA7C2C" w:rsidP="00613EE2">
            <w:pPr>
              <w:rPr>
                <w:rFonts w:cs="Arial"/>
              </w:rPr>
            </w:pPr>
            <w:r w:rsidRPr="007223F2">
              <w:rPr>
                <w:rFonts w:cs="Arial"/>
              </w:rPr>
              <w:t>2.500</w:t>
            </w:r>
          </w:p>
        </w:tc>
        <w:tc>
          <w:tcPr>
            <w:tcW w:w="2244" w:type="dxa"/>
          </w:tcPr>
          <w:p w:rsidR="00BA7C2C" w:rsidRPr="007223F2" w:rsidRDefault="00BA7C2C" w:rsidP="00613EE2">
            <w:pPr>
              <w:rPr>
                <w:rFonts w:cs="Arial"/>
              </w:rPr>
            </w:pPr>
            <w:r w:rsidRPr="007223F2">
              <w:rPr>
                <w:rFonts w:cs="Arial"/>
              </w:rPr>
              <w:t>5.000</w:t>
            </w:r>
          </w:p>
        </w:tc>
      </w:tr>
      <w:tr w:rsidR="00BA7C2C" w:rsidRPr="007223F2" w:rsidTr="00613EE2">
        <w:tc>
          <w:tcPr>
            <w:tcW w:w="2410" w:type="dxa"/>
          </w:tcPr>
          <w:p w:rsidR="00BA7C2C" w:rsidRPr="007223F2" w:rsidRDefault="00BA7C2C" w:rsidP="00613EE2">
            <w:pPr>
              <w:rPr>
                <w:rFonts w:cs="Arial"/>
              </w:rPr>
            </w:pPr>
            <w:r w:rsidRPr="007223F2">
              <w:rPr>
                <w:rFonts w:cs="Arial"/>
              </w:rPr>
              <w:t>Day 2 before new meal</w:t>
            </w:r>
          </w:p>
        </w:tc>
        <w:tc>
          <w:tcPr>
            <w:tcW w:w="2243" w:type="dxa"/>
          </w:tcPr>
          <w:p w:rsidR="00BA7C2C" w:rsidRPr="007223F2" w:rsidRDefault="00BA7C2C" w:rsidP="00613EE2">
            <w:pPr>
              <w:rPr>
                <w:rFonts w:cs="Arial"/>
              </w:rPr>
            </w:pPr>
            <w:r w:rsidRPr="007223F2">
              <w:rPr>
                <w:rFonts w:cs="Arial"/>
              </w:rPr>
              <w:t>0.700</w:t>
            </w:r>
          </w:p>
        </w:tc>
        <w:tc>
          <w:tcPr>
            <w:tcW w:w="2244" w:type="dxa"/>
          </w:tcPr>
          <w:p w:rsidR="00BA7C2C" w:rsidRPr="007223F2" w:rsidRDefault="00BA7C2C" w:rsidP="00613EE2">
            <w:pPr>
              <w:rPr>
                <w:rFonts w:cs="Arial"/>
              </w:rPr>
            </w:pPr>
            <w:r w:rsidRPr="007223F2">
              <w:rPr>
                <w:rFonts w:cs="Arial"/>
              </w:rPr>
              <w:t>1.750</w:t>
            </w:r>
          </w:p>
        </w:tc>
        <w:tc>
          <w:tcPr>
            <w:tcW w:w="2244" w:type="dxa"/>
          </w:tcPr>
          <w:p w:rsidR="00BA7C2C" w:rsidRPr="007223F2" w:rsidRDefault="00BA7C2C" w:rsidP="00613EE2">
            <w:pPr>
              <w:rPr>
                <w:rFonts w:cs="Arial"/>
              </w:rPr>
            </w:pPr>
            <w:r w:rsidRPr="007223F2">
              <w:rPr>
                <w:rFonts w:cs="Arial"/>
              </w:rPr>
              <w:t>3.500</w:t>
            </w:r>
          </w:p>
        </w:tc>
      </w:tr>
      <w:tr w:rsidR="00BA7C2C" w:rsidRPr="007223F2" w:rsidTr="00613EE2">
        <w:tc>
          <w:tcPr>
            <w:tcW w:w="2410" w:type="dxa"/>
          </w:tcPr>
          <w:p w:rsidR="00BA7C2C" w:rsidRPr="007223F2" w:rsidRDefault="00BA7C2C" w:rsidP="00613EE2">
            <w:pPr>
              <w:rPr>
                <w:rFonts w:cs="Arial"/>
              </w:rPr>
            </w:pPr>
            <w:r w:rsidRPr="007223F2">
              <w:rPr>
                <w:rFonts w:cs="Arial"/>
              </w:rPr>
              <w:t>Day 5 after last meal</w:t>
            </w:r>
            <w:r w:rsidRPr="007223F2">
              <w:rPr>
                <w:rFonts w:cs="Arial"/>
                <w:vertAlign w:val="superscript"/>
              </w:rPr>
              <w:t>1</w:t>
            </w:r>
          </w:p>
        </w:tc>
        <w:tc>
          <w:tcPr>
            <w:tcW w:w="2243" w:type="dxa"/>
          </w:tcPr>
          <w:p w:rsidR="00BA7C2C" w:rsidRPr="007223F2" w:rsidRDefault="00BA7C2C" w:rsidP="00613EE2">
            <w:pPr>
              <w:rPr>
                <w:rFonts w:cs="Arial"/>
              </w:rPr>
            </w:pPr>
            <w:r w:rsidRPr="007223F2">
              <w:rPr>
                <w:rFonts w:cs="Arial"/>
              </w:rPr>
              <w:t>2.773</w:t>
            </w:r>
          </w:p>
        </w:tc>
        <w:tc>
          <w:tcPr>
            <w:tcW w:w="2244" w:type="dxa"/>
          </w:tcPr>
          <w:p w:rsidR="00BA7C2C" w:rsidRPr="007223F2" w:rsidRDefault="00BA7C2C" w:rsidP="00613EE2">
            <w:pPr>
              <w:rPr>
                <w:rFonts w:cs="Arial"/>
              </w:rPr>
            </w:pPr>
            <w:r w:rsidRPr="007223F2">
              <w:rPr>
                <w:rFonts w:cs="Arial"/>
              </w:rPr>
              <w:t>6.933</w:t>
            </w:r>
          </w:p>
        </w:tc>
        <w:tc>
          <w:tcPr>
            <w:tcW w:w="2244" w:type="dxa"/>
          </w:tcPr>
          <w:p w:rsidR="00BA7C2C" w:rsidRPr="007223F2" w:rsidRDefault="00BA7C2C" w:rsidP="00613EE2">
            <w:pPr>
              <w:rPr>
                <w:rFonts w:cs="Arial"/>
              </w:rPr>
            </w:pPr>
            <w:r w:rsidRPr="007223F2">
              <w:rPr>
                <w:rFonts w:cs="Arial"/>
              </w:rPr>
              <w:t>13.866</w:t>
            </w:r>
          </w:p>
        </w:tc>
      </w:tr>
      <w:tr w:rsidR="00BA7C2C" w:rsidRPr="007223F2" w:rsidTr="00613EE2">
        <w:tc>
          <w:tcPr>
            <w:tcW w:w="2410" w:type="dxa"/>
          </w:tcPr>
          <w:p w:rsidR="00BA7C2C" w:rsidRPr="007223F2" w:rsidRDefault="00BA7C2C" w:rsidP="00613EE2">
            <w:pPr>
              <w:rPr>
                <w:rFonts w:cs="Arial"/>
              </w:rPr>
            </w:pPr>
            <w:r w:rsidRPr="007223F2">
              <w:rPr>
                <w:rFonts w:cs="Arial"/>
              </w:rPr>
              <w:t>Day 7 (mean time to death)</w:t>
            </w:r>
            <w:r w:rsidRPr="007223F2">
              <w:rPr>
                <w:rFonts w:cs="Arial"/>
                <w:vertAlign w:val="superscript"/>
              </w:rPr>
              <w:t>2</w:t>
            </w:r>
          </w:p>
        </w:tc>
        <w:tc>
          <w:tcPr>
            <w:tcW w:w="2243" w:type="dxa"/>
          </w:tcPr>
          <w:p w:rsidR="00BA7C2C" w:rsidRPr="007223F2" w:rsidRDefault="00BA7C2C" w:rsidP="00613EE2">
            <w:pPr>
              <w:rPr>
                <w:rFonts w:cs="Arial"/>
              </w:rPr>
            </w:pPr>
            <w:r w:rsidRPr="007223F2">
              <w:rPr>
                <w:rFonts w:cs="Arial"/>
              </w:rPr>
              <w:t>1.359</w:t>
            </w:r>
          </w:p>
        </w:tc>
        <w:tc>
          <w:tcPr>
            <w:tcW w:w="2244" w:type="dxa"/>
          </w:tcPr>
          <w:p w:rsidR="00BA7C2C" w:rsidRPr="007223F2" w:rsidRDefault="00BA7C2C" w:rsidP="00613EE2">
            <w:pPr>
              <w:rPr>
                <w:rFonts w:cs="Arial"/>
              </w:rPr>
            </w:pPr>
            <w:r w:rsidRPr="007223F2">
              <w:rPr>
                <w:rFonts w:cs="Arial"/>
              </w:rPr>
              <w:t>3.397</w:t>
            </w:r>
          </w:p>
        </w:tc>
        <w:tc>
          <w:tcPr>
            <w:tcW w:w="2244" w:type="dxa"/>
          </w:tcPr>
          <w:p w:rsidR="00BA7C2C" w:rsidRPr="007223F2" w:rsidRDefault="00BA7C2C" w:rsidP="00613EE2">
            <w:pPr>
              <w:rPr>
                <w:rFonts w:cs="Arial"/>
              </w:rPr>
            </w:pPr>
            <w:r w:rsidRPr="007223F2">
              <w:rPr>
                <w:rFonts w:cs="Arial"/>
              </w:rPr>
              <w:t>6.794</w:t>
            </w:r>
          </w:p>
        </w:tc>
      </w:tr>
      <w:tr w:rsidR="00BA7C2C" w:rsidRPr="007223F2" w:rsidTr="00613EE2">
        <w:tc>
          <w:tcPr>
            <w:tcW w:w="9141" w:type="dxa"/>
            <w:gridSpan w:val="4"/>
          </w:tcPr>
          <w:p w:rsidR="00BA7C2C" w:rsidRPr="007223F2" w:rsidRDefault="00BA7C2C" w:rsidP="00613EE2">
            <w:pPr>
              <w:rPr>
                <w:rFonts w:cs="Arial"/>
              </w:rPr>
            </w:pPr>
            <w:r w:rsidRPr="007223F2">
              <w:rPr>
                <w:rFonts w:cs="Arial"/>
                <w:vertAlign w:val="superscript"/>
              </w:rPr>
              <w:t>1</w:t>
            </w:r>
            <w:r w:rsidRPr="007223F2">
              <w:rPr>
                <w:rFonts w:cs="Arial"/>
              </w:rPr>
              <w:t xml:space="preserve"> Used for TIER 1 short-term (Frodent = 1)</w:t>
            </w:r>
          </w:p>
          <w:p w:rsidR="00BA7C2C" w:rsidRPr="007223F2" w:rsidRDefault="00BA7C2C" w:rsidP="00613EE2">
            <w:pPr>
              <w:rPr>
                <w:rFonts w:cs="Arial"/>
              </w:rPr>
            </w:pPr>
            <w:r w:rsidRPr="007223F2">
              <w:rPr>
                <w:rFonts w:cs="Arial"/>
                <w:vertAlign w:val="superscript"/>
              </w:rPr>
              <w:t>2</w:t>
            </w:r>
            <w:r w:rsidRPr="007223F2">
              <w:rPr>
                <w:rFonts w:cs="Arial"/>
              </w:rPr>
              <w:t xml:space="preserve"> Used for TIER 1 long-term (Frodent = 0.5)</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Calculated residue patterns suggest that levels increase following each daily intake until day 5, after which the rodents are assumed to eat no more paste bait, but to continue to excrete residues at approximately 30% per day, resulting in a reduction of residues by approximately 50% between the last intake on day 5 and death on day 7.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However, comparison with semi-field data shows these calculated values to be overestimated. In a study of the effects of secondary exposure to bromadiolone on </w:t>
      </w:r>
      <w:r w:rsidRPr="007223F2">
        <w:rPr>
          <w:rFonts w:cs="Arial"/>
          <w:i/>
        </w:rPr>
        <w:t>Bubo virginianus</w:t>
      </w:r>
      <w:r w:rsidRPr="007223F2">
        <w:rPr>
          <w:rFonts w:cs="Arial"/>
        </w:rPr>
        <w:t xml:space="preserve">, a population of 20 male and 20 female rats was first fed on a diet that comprised exclusively bait pellets containing 50 mg bromadiolone/kg. Bait availability was limited to 15 g/rat/day and was withdrawn and substituted by uncontaminated feed after three days. All rats were euthanised on the morning of the fifth day. Five male rat carcasses were randomly selected and individually homogenised, then analysed to determine whole-body residues of bromadiolone, whilst the remaining carcasses were used as the exposure vehicle for the owls. Measured cumulative bait consumption by male rats during the three-day exposure period was equivalent to bromadiolone intakes ranging from 4.9 to </w:t>
      </w:r>
      <w:r w:rsidRPr="007223F2">
        <w:rPr>
          <w:rFonts w:cs="Arial"/>
        </w:rPr>
        <w:lastRenderedPageBreak/>
        <w:t>15.5 mg/kg, with a mean of 11.02 mg/kg bw, or 3.67 mg bromadiolone/kg bw/day. The data tabulated below show the levels of bromadiolone residues predicted according to EUBEES 2, based on the mean daily intake regime described above.</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Residues of bromadiolone in rats, predicted according to EUBEES 2, based on a mean measured bait intake equivalent to 3.67 mg bromadiolone/kg bw/day and 30% daily elimination.</w:t>
      </w: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7"/>
        <w:gridCol w:w="4578"/>
      </w:tblGrid>
      <w:tr w:rsidR="00BA7C2C" w:rsidRPr="007223F2" w:rsidTr="00613EE2">
        <w:tc>
          <w:tcPr>
            <w:tcW w:w="4577" w:type="dxa"/>
          </w:tcPr>
          <w:p w:rsidR="00BA7C2C" w:rsidRPr="007223F2" w:rsidRDefault="00BA7C2C" w:rsidP="00613EE2">
            <w:pPr>
              <w:rPr>
                <w:rFonts w:cs="Arial"/>
                <w:b/>
              </w:rPr>
            </w:pPr>
            <w:r w:rsidRPr="007223F2">
              <w:rPr>
                <w:rFonts w:cs="Arial"/>
                <w:b/>
              </w:rPr>
              <w:t>Time</w:t>
            </w:r>
          </w:p>
        </w:tc>
        <w:tc>
          <w:tcPr>
            <w:tcW w:w="4578" w:type="dxa"/>
          </w:tcPr>
          <w:p w:rsidR="00BA7C2C" w:rsidRPr="007223F2" w:rsidRDefault="00BA7C2C" w:rsidP="00613EE2">
            <w:pPr>
              <w:rPr>
                <w:rFonts w:cs="Arial"/>
                <w:b/>
              </w:rPr>
            </w:pPr>
            <w:r w:rsidRPr="007223F2">
              <w:rPr>
                <w:rFonts w:cs="Arial"/>
                <w:b/>
              </w:rPr>
              <w:t>Residues of bromadiolone in rats (mg/kg bw)</w:t>
            </w:r>
          </w:p>
        </w:tc>
      </w:tr>
      <w:tr w:rsidR="00BA7C2C" w:rsidRPr="007223F2" w:rsidTr="00613EE2">
        <w:tc>
          <w:tcPr>
            <w:tcW w:w="4577" w:type="dxa"/>
          </w:tcPr>
          <w:p w:rsidR="00BA7C2C" w:rsidRPr="007223F2" w:rsidRDefault="00BA7C2C" w:rsidP="00613EE2">
            <w:pPr>
              <w:keepNext/>
              <w:spacing w:before="40" w:after="40" w:line="240" w:lineRule="auto"/>
              <w:rPr>
                <w:rFonts w:cs="Arial"/>
              </w:rPr>
            </w:pPr>
            <w:r w:rsidRPr="007223F2">
              <w:rPr>
                <w:rFonts w:cs="Arial"/>
              </w:rPr>
              <w:t>Day 1, after first meal (bait)</w:t>
            </w:r>
          </w:p>
        </w:tc>
        <w:tc>
          <w:tcPr>
            <w:tcW w:w="4578" w:type="dxa"/>
          </w:tcPr>
          <w:p w:rsidR="00BA7C2C" w:rsidRPr="007223F2" w:rsidRDefault="00BA7C2C" w:rsidP="00613EE2">
            <w:pPr>
              <w:rPr>
                <w:rFonts w:cs="Arial"/>
              </w:rPr>
            </w:pPr>
            <w:r w:rsidRPr="007223F2">
              <w:rPr>
                <w:rFonts w:cs="Arial"/>
              </w:rPr>
              <w:t>3.67</w:t>
            </w:r>
          </w:p>
        </w:tc>
      </w:tr>
      <w:tr w:rsidR="00BA7C2C" w:rsidRPr="007223F2" w:rsidTr="00613EE2">
        <w:tc>
          <w:tcPr>
            <w:tcW w:w="4577" w:type="dxa"/>
          </w:tcPr>
          <w:p w:rsidR="00BA7C2C" w:rsidRPr="007223F2" w:rsidRDefault="00BA7C2C" w:rsidP="00613EE2">
            <w:pPr>
              <w:rPr>
                <w:rFonts w:cs="Arial"/>
              </w:rPr>
            </w:pPr>
            <w:r w:rsidRPr="007223F2">
              <w:rPr>
                <w:rFonts w:cs="Arial"/>
              </w:rPr>
              <w:t>Day 2, before new meal</w:t>
            </w:r>
          </w:p>
        </w:tc>
        <w:tc>
          <w:tcPr>
            <w:tcW w:w="4578" w:type="dxa"/>
          </w:tcPr>
          <w:p w:rsidR="00BA7C2C" w:rsidRPr="007223F2" w:rsidRDefault="00BA7C2C" w:rsidP="00613EE2">
            <w:pPr>
              <w:rPr>
                <w:rFonts w:cs="Arial"/>
              </w:rPr>
            </w:pPr>
            <w:r w:rsidRPr="007223F2">
              <w:rPr>
                <w:rFonts w:cs="Arial"/>
              </w:rPr>
              <w:t>2.57</w:t>
            </w:r>
          </w:p>
        </w:tc>
      </w:tr>
      <w:tr w:rsidR="00BA7C2C" w:rsidRPr="007223F2" w:rsidTr="00613EE2">
        <w:tc>
          <w:tcPr>
            <w:tcW w:w="4577" w:type="dxa"/>
          </w:tcPr>
          <w:p w:rsidR="00BA7C2C" w:rsidRPr="007223F2" w:rsidRDefault="00BA7C2C" w:rsidP="00613EE2">
            <w:pPr>
              <w:rPr>
                <w:rFonts w:cs="Arial"/>
              </w:rPr>
            </w:pPr>
            <w:r w:rsidRPr="007223F2">
              <w:rPr>
                <w:rFonts w:cs="Arial"/>
              </w:rPr>
              <w:t>Day 2, after second meal (bait)</w:t>
            </w:r>
          </w:p>
        </w:tc>
        <w:tc>
          <w:tcPr>
            <w:tcW w:w="4578" w:type="dxa"/>
          </w:tcPr>
          <w:p w:rsidR="00BA7C2C" w:rsidRPr="007223F2" w:rsidRDefault="00BA7C2C" w:rsidP="00613EE2">
            <w:pPr>
              <w:rPr>
                <w:rFonts w:cs="Arial"/>
              </w:rPr>
            </w:pPr>
            <w:r w:rsidRPr="007223F2">
              <w:rPr>
                <w:rFonts w:cs="Arial"/>
              </w:rPr>
              <w:t>6.24</w:t>
            </w:r>
          </w:p>
        </w:tc>
      </w:tr>
      <w:tr w:rsidR="00BA7C2C" w:rsidRPr="007223F2" w:rsidTr="00613EE2">
        <w:tc>
          <w:tcPr>
            <w:tcW w:w="4577" w:type="dxa"/>
          </w:tcPr>
          <w:p w:rsidR="00BA7C2C" w:rsidRPr="007223F2" w:rsidRDefault="00BA7C2C" w:rsidP="00613EE2">
            <w:pPr>
              <w:rPr>
                <w:rFonts w:cs="Arial"/>
              </w:rPr>
            </w:pPr>
            <w:r w:rsidRPr="007223F2">
              <w:rPr>
                <w:rFonts w:cs="Arial"/>
              </w:rPr>
              <w:t>Day 3, before new meal</w:t>
            </w:r>
          </w:p>
        </w:tc>
        <w:tc>
          <w:tcPr>
            <w:tcW w:w="4578" w:type="dxa"/>
          </w:tcPr>
          <w:p w:rsidR="00BA7C2C" w:rsidRPr="007223F2" w:rsidRDefault="00BA7C2C" w:rsidP="00613EE2">
            <w:pPr>
              <w:rPr>
                <w:rFonts w:cs="Arial"/>
              </w:rPr>
            </w:pPr>
            <w:r w:rsidRPr="007223F2">
              <w:rPr>
                <w:rFonts w:cs="Arial"/>
              </w:rPr>
              <w:t>4.37</w:t>
            </w:r>
          </w:p>
        </w:tc>
      </w:tr>
      <w:tr w:rsidR="00BA7C2C" w:rsidRPr="007223F2" w:rsidTr="00613EE2">
        <w:tc>
          <w:tcPr>
            <w:tcW w:w="4577" w:type="dxa"/>
          </w:tcPr>
          <w:p w:rsidR="00BA7C2C" w:rsidRPr="007223F2" w:rsidRDefault="00BA7C2C" w:rsidP="00613EE2">
            <w:pPr>
              <w:rPr>
                <w:rFonts w:cs="Arial"/>
              </w:rPr>
            </w:pPr>
            <w:r w:rsidRPr="007223F2">
              <w:rPr>
                <w:rFonts w:cs="Arial"/>
              </w:rPr>
              <w:t>Day 3, after third meal (bait)</w:t>
            </w:r>
          </w:p>
        </w:tc>
        <w:tc>
          <w:tcPr>
            <w:tcW w:w="4578" w:type="dxa"/>
          </w:tcPr>
          <w:p w:rsidR="00BA7C2C" w:rsidRPr="007223F2" w:rsidRDefault="00BA7C2C" w:rsidP="00613EE2">
            <w:pPr>
              <w:rPr>
                <w:rFonts w:cs="Arial"/>
              </w:rPr>
            </w:pPr>
            <w:r w:rsidRPr="007223F2">
              <w:rPr>
                <w:rFonts w:cs="Arial"/>
              </w:rPr>
              <w:t>8.04</w:t>
            </w:r>
          </w:p>
        </w:tc>
      </w:tr>
      <w:tr w:rsidR="00BA7C2C" w:rsidRPr="007223F2" w:rsidTr="00613EE2">
        <w:tc>
          <w:tcPr>
            <w:tcW w:w="4577" w:type="dxa"/>
          </w:tcPr>
          <w:p w:rsidR="00BA7C2C" w:rsidRPr="007223F2" w:rsidRDefault="00BA7C2C" w:rsidP="00613EE2">
            <w:pPr>
              <w:rPr>
                <w:rFonts w:cs="Arial"/>
              </w:rPr>
            </w:pPr>
            <w:r w:rsidRPr="007223F2">
              <w:rPr>
                <w:rFonts w:cs="Arial"/>
              </w:rPr>
              <w:t>Day 4, before new meal (uncontaminated feed)</w:t>
            </w:r>
          </w:p>
        </w:tc>
        <w:tc>
          <w:tcPr>
            <w:tcW w:w="4578" w:type="dxa"/>
          </w:tcPr>
          <w:p w:rsidR="00BA7C2C" w:rsidRPr="007223F2" w:rsidRDefault="00BA7C2C" w:rsidP="00613EE2">
            <w:pPr>
              <w:rPr>
                <w:rFonts w:cs="Arial"/>
              </w:rPr>
            </w:pPr>
            <w:r w:rsidRPr="007223F2">
              <w:rPr>
                <w:rFonts w:cs="Arial"/>
              </w:rPr>
              <w:t>5.63</w:t>
            </w:r>
          </w:p>
        </w:tc>
      </w:tr>
      <w:tr w:rsidR="00BA7C2C" w:rsidRPr="007223F2" w:rsidTr="00613EE2">
        <w:tc>
          <w:tcPr>
            <w:tcW w:w="4577" w:type="dxa"/>
          </w:tcPr>
          <w:p w:rsidR="00BA7C2C" w:rsidRPr="007223F2" w:rsidRDefault="00BA7C2C" w:rsidP="00613EE2">
            <w:pPr>
              <w:rPr>
                <w:rFonts w:cs="Arial"/>
              </w:rPr>
            </w:pPr>
            <w:r w:rsidRPr="007223F2">
              <w:rPr>
                <w:rFonts w:cs="Arial"/>
              </w:rPr>
              <w:t>Day 5, at termination</w:t>
            </w:r>
          </w:p>
        </w:tc>
        <w:tc>
          <w:tcPr>
            <w:tcW w:w="4578" w:type="dxa"/>
          </w:tcPr>
          <w:p w:rsidR="00BA7C2C" w:rsidRPr="007223F2" w:rsidRDefault="00BA7C2C" w:rsidP="00613EE2">
            <w:pPr>
              <w:rPr>
                <w:rFonts w:cs="Arial"/>
              </w:rPr>
            </w:pPr>
            <w:r w:rsidRPr="007223F2">
              <w:rPr>
                <w:rFonts w:cs="Arial"/>
              </w:rPr>
              <w:t>3.94</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The predicted mean bromadiolone residue in male rat carcases at termination on day 5 is 3.94 mg/kg bw. By contrast, the measured concentrations of bromadiolone in five whole male rats ranged from 0.35 to 1.55 mg/kg bw (mean: 0.9 mg/kg bw). The mean measured residue concentration at termination on day 5 corresponds to just 23% of the value predicted for the same timepoint according to EUBEES 2. In the table below and in the following assessments, the various concentrations of bromadiolone in target rodents on day 5 and day 7 have therefore been lowered </w:t>
      </w:r>
      <w:r w:rsidRPr="007223F2">
        <w:rPr>
          <w:rFonts w:cs="Arial"/>
          <w:i/>
        </w:rPr>
        <w:t>pro rata</w:t>
      </w:r>
      <w:r w:rsidRPr="007223F2">
        <w:rPr>
          <w:rFonts w:cs="Arial"/>
        </w:rPr>
        <w:t xml:space="preserve"> to reflect real, measured residues.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szCs w:val="22"/>
        </w:rPr>
        <w:t>Residues of bromadiolone in target rodents from the ingestion of paste bait at different times during a control campaign, based on the mean residue level measured in rats (Frodent = 1)</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2068"/>
        <w:gridCol w:w="2002"/>
        <w:gridCol w:w="2200"/>
      </w:tblGrid>
      <w:tr w:rsidR="00BA7C2C" w:rsidRPr="007223F2" w:rsidTr="00613EE2">
        <w:trPr>
          <w:cantSplit/>
        </w:trPr>
        <w:tc>
          <w:tcPr>
            <w:tcW w:w="2750" w:type="dxa"/>
            <w:vMerge w:val="restart"/>
          </w:tcPr>
          <w:p w:rsidR="00BA7C2C" w:rsidRPr="007223F2" w:rsidRDefault="00BA7C2C" w:rsidP="00613EE2">
            <w:pPr>
              <w:rPr>
                <w:rFonts w:cs="Arial"/>
                <w:b/>
              </w:rPr>
            </w:pPr>
            <w:r w:rsidRPr="007223F2">
              <w:rPr>
                <w:rFonts w:cs="Arial"/>
                <w:b/>
              </w:rPr>
              <w:t>Time</w:t>
            </w:r>
          </w:p>
        </w:tc>
        <w:tc>
          <w:tcPr>
            <w:tcW w:w="6270" w:type="dxa"/>
            <w:gridSpan w:val="3"/>
          </w:tcPr>
          <w:p w:rsidR="00BA7C2C" w:rsidRPr="007223F2" w:rsidRDefault="00BA7C2C" w:rsidP="00613EE2">
            <w:pPr>
              <w:rPr>
                <w:rFonts w:cs="Arial"/>
                <w:b/>
              </w:rPr>
            </w:pPr>
            <w:r w:rsidRPr="007223F2">
              <w:rPr>
                <w:rFonts w:cs="Arial"/>
                <w:b/>
              </w:rPr>
              <w:t>Residues of bromadiolone in target rodent (mg/kg bw)</w:t>
            </w:r>
          </w:p>
        </w:tc>
      </w:tr>
      <w:tr w:rsidR="00BA7C2C" w:rsidRPr="007223F2" w:rsidTr="00613EE2">
        <w:trPr>
          <w:cantSplit/>
        </w:trPr>
        <w:tc>
          <w:tcPr>
            <w:tcW w:w="2750" w:type="dxa"/>
            <w:vMerge/>
          </w:tcPr>
          <w:p w:rsidR="00BA7C2C" w:rsidRPr="007223F2" w:rsidRDefault="00BA7C2C" w:rsidP="00613EE2">
            <w:pPr>
              <w:keepNext/>
              <w:spacing w:before="40" w:after="40" w:line="240" w:lineRule="auto"/>
              <w:rPr>
                <w:rFonts w:cs="Arial"/>
                <w:b/>
              </w:rPr>
            </w:pPr>
          </w:p>
        </w:tc>
        <w:tc>
          <w:tcPr>
            <w:tcW w:w="2068" w:type="dxa"/>
          </w:tcPr>
          <w:p w:rsidR="00BA7C2C" w:rsidRPr="007223F2" w:rsidRDefault="00BA7C2C" w:rsidP="00613EE2">
            <w:pPr>
              <w:rPr>
                <w:rFonts w:cs="Arial"/>
                <w:b/>
              </w:rPr>
            </w:pPr>
            <w:r w:rsidRPr="007223F2">
              <w:rPr>
                <w:rFonts w:cs="Arial"/>
                <w:b/>
              </w:rPr>
              <w:t>20% bait consumption</w:t>
            </w:r>
          </w:p>
        </w:tc>
        <w:tc>
          <w:tcPr>
            <w:tcW w:w="2002" w:type="dxa"/>
          </w:tcPr>
          <w:p w:rsidR="00BA7C2C" w:rsidRPr="007223F2" w:rsidRDefault="00BA7C2C" w:rsidP="00613EE2">
            <w:pPr>
              <w:rPr>
                <w:rFonts w:cs="Arial"/>
                <w:b/>
              </w:rPr>
            </w:pPr>
            <w:r w:rsidRPr="007223F2">
              <w:rPr>
                <w:rFonts w:cs="Arial"/>
                <w:b/>
              </w:rPr>
              <w:t>50% bait consumption</w:t>
            </w:r>
          </w:p>
        </w:tc>
        <w:tc>
          <w:tcPr>
            <w:tcW w:w="2200" w:type="dxa"/>
          </w:tcPr>
          <w:p w:rsidR="00BA7C2C" w:rsidRPr="007223F2" w:rsidRDefault="00BA7C2C" w:rsidP="00613EE2">
            <w:pPr>
              <w:rPr>
                <w:rFonts w:cs="Arial"/>
                <w:b/>
              </w:rPr>
            </w:pPr>
            <w:r w:rsidRPr="007223F2">
              <w:rPr>
                <w:rFonts w:cs="Arial"/>
                <w:b/>
              </w:rPr>
              <w:t>100% bait consumption</w:t>
            </w:r>
          </w:p>
        </w:tc>
      </w:tr>
      <w:tr w:rsidR="00BA7C2C" w:rsidRPr="007223F2" w:rsidTr="00613EE2">
        <w:tc>
          <w:tcPr>
            <w:tcW w:w="2750" w:type="dxa"/>
          </w:tcPr>
          <w:p w:rsidR="00BA7C2C" w:rsidRPr="007223F2" w:rsidRDefault="00BA7C2C" w:rsidP="00613EE2">
            <w:pPr>
              <w:rPr>
                <w:rFonts w:cs="Arial"/>
              </w:rPr>
            </w:pPr>
            <w:r w:rsidRPr="007223F2">
              <w:rPr>
                <w:rFonts w:cs="Arial"/>
              </w:rPr>
              <w:t>Day 5 after last meal</w:t>
            </w:r>
            <w:r w:rsidRPr="007223F2">
              <w:rPr>
                <w:rFonts w:cs="Arial"/>
                <w:vertAlign w:val="superscript"/>
              </w:rPr>
              <w:t>1</w:t>
            </w:r>
          </w:p>
        </w:tc>
        <w:tc>
          <w:tcPr>
            <w:tcW w:w="2068" w:type="dxa"/>
          </w:tcPr>
          <w:p w:rsidR="00BA7C2C" w:rsidRPr="007223F2" w:rsidRDefault="00BA7C2C" w:rsidP="00613EE2">
            <w:pPr>
              <w:rPr>
                <w:rFonts w:cs="Arial"/>
              </w:rPr>
            </w:pPr>
            <w:r w:rsidRPr="007223F2">
              <w:rPr>
                <w:rFonts w:cs="Arial"/>
              </w:rPr>
              <w:t>0.638</w:t>
            </w:r>
          </w:p>
        </w:tc>
        <w:tc>
          <w:tcPr>
            <w:tcW w:w="2002" w:type="dxa"/>
          </w:tcPr>
          <w:p w:rsidR="00BA7C2C" w:rsidRPr="007223F2" w:rsidRDefault="00BA7C2C" w:rsidP="00613EE2">
            <w:pPr>
              <w:rPr>
                <w:rFonts w:cs="Arial"/>
              </w:rPr>
            </w:pPr>
            <w:r w:rsidRPr="007223F2">
              <w:rPr>
                <w:rFonts w:cs="Arial"/>
              </w:rPr>
              <w:t>1.595</w:t>
            </w:r>
          </w:p>
        </w:tc>
        <w:tc>
          <w:tcPr>
            <w:tcW w:w="2200" w:type="dxa"/>
          </w:tcPr>
          <w:p w:rsidR="00BA7C2C" w:rsidRPr="007223F2" w:rsidRDefault="00BA7C2C" w:rsidP="00613EE2">
            <w:pPr>
              <w:rPr>
                <w:rFonts w:cs="Arial"/>
              </w:rPr>
            </w:pPr>
            <w:r w:rsidRPr="007223F2">
              <w:rPr>
                <w:rFonts w:cs="Arial"/>
              </w:rPr>
              <w:t>3.189</w:t>
            </w:r>
          </w:p>
        </w:tc>
      </w:tr>
      <w:tr w:rsidR="00BA7C2C" w:rsidRPr="007223F2" w:rsidTr="00613EE2">
        <w:tc>
          <w:tcPr>
            <w:tcW w:w="2750" w:type="dxa"/>
            <w:tcBorders>
              <w:bottom w:val="single" w:sz="4" w:space="0" w:color="auto"/>
            </w:tcBorders>
          </w:tcPr>
          <w:p w:rsidR="00BA7C2C" w:rsidRPr="007223F2" w:rsidRDefault="00BA7C2C" w:rsidP="00613EE2">
            <w:pPr>
              <w:rPr>
                <w:rFonts w:cs="Arial"/>
              </w:rPr>
            </w:pPr>
            <w:r w:rsidRPr="007223F2">
              <w:rPr>
                <w:rFonts w:cs="Arial"/>
              </w:rPr>
              <w:t>Day 7 (mean time to death)</w:t>
            </w:r>
            <w:r w:rsidRPr="007223F2">
              <w:rPr>
                <w:rFonts w:cs="Arial"/>
                <w:vertAlign w:val="superscript"/>
              </w:rPr>
              <w:t>2</w:t>
            </w:r>
          </w:p>
        </w:tc>
        <w:tc>
          <w:tcPr>
            <w:tcW w:w="2068" w:type="dxa"/>
            <w:tcBorders>
              <w:bottom w:val="single" w:sz="4" w:space="0" w:color="auto"/>
            </w:tcBorders>
          </w:tcPr>
          <w:p w:rsidR="00BA7C2C" w:rsidRPr="007223F2" w:rsidRDefault="00BA7C2C" w:rsidP="00613EE2">
            <w:pPr>
              <w:rPr>
                <w:rFonts w:cs="Arial"/>
              </w:rPr>
            </w:pPr>
            <w:r w:rsidRPr="007223F2">
              <w:rPr>
                <w:rFonts w:cs="Arial"/>
              </w:rPr>
              <w:t>0.319</w:t>
            </w:r>
          </w:p>
        </w:tc>
        <w:tc>
          <w:tcPr>
            <w:tcW w:w="2002" w:type="dxa"/>
            <w:tcBorders>
              <w:bottom w:val="single" w:sz="4" w:space="0" w:color="auto"/>
            </w:tcBorders>
          </w:tcPr>
          <w:p w:rsidR="00BA7C2C" w:rsidRPr="007223F2" w:rsidRDefault="00BA7C2C" w:rsidP="00613EE2">
            <w:pPr>
              <w:rPr>
                <w:rFonts w:cs="Arial"/>
              </w:rPr>
            </w:pPr>
            <w:r w:rsidRPr="007223F2">
              <w:rPr>
                <w:rFonts w:cs="Arial"/>
              </w:rPr>
              <w:t>0.797</w:t>
            </w:r>
          </w:p>
          <w:p w:rsidR="00BA7C2C" w:rsidRPr="007223F2" w:rsidRDefault="00BA7C2C" w:rsidP="00613EE2">
            <w:pPr>
              <w:rPr>
                <w:rFonts w:cs="Arial"/>
              </w:rPr>
            </w:pPr>
          </w:p>
        </w:tc>
        <w:tc>
          <w:tcPr>
            <w:tcW w:w="2200" w:type="dxa"/>
            <w:tcBorders>
              <w:bottom w:val="single" w:sz="4" w:space="0" w:color="auto"/>
            </w:tcBorders>
          </w:tcPr>
          <w:p w:rsidR="00BA7C2C" w:rsidRPr="007223F2" w:rsidRDefault="00BA7C2C" w:rsidP="00613EE2">
            <w:pPr>
              <w:rPr>
                <w:rFonts w:cs="Arial"/>
              </w:rPr>
            </w:pPr>
            <w:r w:rsidRPr="007223F2">
              <w:rPr>
                <w:rFonts w:cs="Arial"/>
              </w:rPr>
              <w:t>1.595</w:t>
            </w:r>
          </w:p>
        </w:tc>
      </w:tr>
      <w:tr w:rsidR="00BA7C2C" w:rsidRPr="007223F2" w:rsidTr="00613EE2">
        <w:tc>
          <w:tcPr>
            <w:tcW w:w="9020" w:type="dxa"/>
            <w:gridSpan w:val="4"/>
            <w:tcBorders>
              <w:left w:val="single" w:sz="4" w:space="0" w:color="auto"/>
              <w:bottom w:val="single" w:sz="4" w:space="0" w:color="auto"/>
              <w:right w:val="single" w:sz="4" w:space="0" w:color="auto"/>
            </w:tcBorders>
          </w:tcPr>
          <w:p w:rsidR="00BA7C2C" w:rsidRPr="007223F2" w:rsidRDefault="00BA7C2C" w:rsidP="00613EE2">
            <w:pPr>
              <w:keepNext/>
              <w:spacing w:before="40" w:after="240" w:line="240" w:lineRule="auto"/>
              <w:rPr>
                <w:rFonts w:cs="Arial"/>
              </w:rPr>
            </w:pPr>
            <w:r w:rsidRPr="007223F2">
              <w:rPr>
                <w:rFonts w:cs="Arial"/>
                <w:vertAlign w:val="superscript"/>
              </w:rPr>
              <w:t>1</w:t>
            </w:r>
            <w:r w:rsidRPr="007223F2">
              <w:rPr>
                <w:rFonts w:cs="Arial"/>
              </w:rPr>
              <w:t xml:space="preserve"> Based on values calculated according to EUBEES 2 and corrected by × 23%;</w:t>
            </w:r>
            <w:r w:rsidRPr="007223F2">
              <w:rPr>
                <w:rFonts w:cs="Arial"/>
              </w:rPr>
              <w:br/>
            </w:r>
            <w:r w:rsidRPr="007223F2">
              <w:rPr>
                <w:rFonts w:cs="Arial"/>
                <w:vertAlign w:val="superscript"/>
              </w:rPr>
              <w:t>2</w:t>
            </w:r>
            <w:r w:rsidRPr="007223F2">
              <w:rPr>
                <w:rFonts w:cs="Arial"/>
              </w:rPr>
              <w:t xml:space="preserve"> Based on values calculated according to EUBEES 2 and corrected by × 23%and a reduction of approximately 50% between days 5 and 7.</w:t>
            </w:r>
          </w:p>
        </w:tc>
      </w:tr>
    </w:tbl>
    <w:p w:rsidR="00BA7C2C" w:rsidRDefault="00BA7C2C" w:rsidP="00BA7C2C">
      <w:pPr>
        <w:rPr>
          <w:rFonts w:cs="Arial"/>
        </w:rPr>
      </w:pP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rPr>
        <w:lastRenderedPageBreak/>
        <w:t>Tier 1 risk assessment for short-term secondary poisoning</w:t>
      </w:r>
    </w:p>
    <w:p w:rsidR="00BA7C2C" w:rsidRPr="007223F2" w:rsidRDefault="00BA7C2C" w:rsidP="00BA7C2C">
      <w:pPr>
        <w:rPr>
          <w:rFonts w:cs="Arial"/>
        </w:rPr>
      </w:pPr>
      <w:r w:rsidRPr="007223F2">
        <w:rPr>
          <w:rFonts w:cs="Arial"/>
        </w:rPr>
        <w:t>The figures presented in the table above are rather qualitatively compared to the lowest LC50 value for birds. For mammals no such qualitative comparison has been carried out because no short-term LC50 values are available. The LC50 for birds is 62 mg/kg food (Bobwhite quail). This LC50 for birds is higher than the 5 days residue values in target rodents for all bait consumptions (20, 50 and 100 %). Also after one single meal the residue values for 50 and 100 % bait consumption are below the LC50 value for birds. This highlights the low acute toxicity of bromadiolone to birds.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Tier 1 risk assessment for long-term secondary poisoning</w:t>
      </w:r>
    </w:p>
    <w:p w:rsidR="00BA7C2C" w:rsidRPr="007223F2" w:rsidRDefault="00BA7C2C" w:rsidP="00BA7C2C">
      <w:pPr>
        <w:rPr>
          <w:rFonts w:cs="Arial"/>
          <w:lang w:eastAsia="nl-NL"/>
        </w:rPr>
      </w:pPr>
      <w:r w:rsidRPr="007223F2">
        <w:rPr>
          <w:rFonts w:cs="Arial"/>
        </w:rPr>
        <w:t>For a more long-term exposure it is assumed that the rodents have fed entirely on rodenticide (PD = 1) and that the non-target animals consume 50 % of their daily intake on poisoned rats (Frodent = 0.5).</w:t>
      </w:r>
      <w:r w:rsidRPr="007223F2">
        <w:rPr>
          <w:rFonts w:cs="Arial"/>
          <w:lang w:eastAsia="nl-NL"/>
        </w:rPr>
        <w:t xml:space="preserve"> </w:t>
      </w:r>
    </w:p>
    <w:p w:rsidR="00BA7C2C" w:rsidRPr="007223F2" w:rsidRDefault="00BA7C2C" w:rsidP="00BA7C2C">
      <w:pPr>
        <w:rPr>
          <w:rFonts w:cs="Arial"/>
          <w:lang w:eastAsia="nl-NL"/>
        </w:rPr>
      </w:pPr>
    </w:p>
    <w:p w:rsidR="00BA7C2C" w:rsidRPr="007223F2" w:rsidRDefault="00BA7C2C" w:rsidP="00BA7C2C">
      <w:pPr>
        <w:rPr>
          <w:rFonts w:cs="Arial"/>
          <w:b/>
          <w:szCs w:val="22"/>
        </w:rPr>
      </w:pPr>
      <w:r w:rsidRPr="007223F2">
        <w:rPr>
          <w:rFonts w:cs="Arial"/>
          <w:b/>
          <w:szCs w:val="22"/>
        </w:rPr>
        <w:t xml:space="preserve">Residues of bromadiolone in target rodents from the ingestion of paste bait at different times during a control campaign, based on the maximum residue level measured in rats </w:t>
      </w:r>
      <w:r w:rsidRPr="007223F2">
        <w:rPr>
          <w:rFonts w:cs="Arial"/>
          <w:b/>
        </w:rPr>
        <w:t>(Frodent = 0.5)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8"/>
        <w:gridCol w:w="1944"/>
        <w:gridCol w:w="2221"/>
        <w:gridCol w:w="2221"/>
      </w:tblGrid>
      <w:tr w:rsidR="00BA7C2C" w:rsidRPr="007223F2" w:rsidTr="00613EE2">
        <w:trPr>
          <w:cantSplit/>
        </w:trPr>
        <w:tc>
          <w:tcPr>
            <w:tcW w:w="2828" w:type="dxa"/>
            <w:vMerge w:val="restart"/>
          </w:tcPr>
          <w:p w:rsidR="00BA7C2C" w:rsidRPr="007223F2" w:rsidRDefault="00BA7C2C" w:rsidP="00613EE2">
            <w:pPr>
              <w:rPr>
                <w:rFonts w:cs="Arial"/>
                <w:b/>
              </w:rPr>
            </w:pPr>
            <w:r w:rsidRPr="007223F2">
              <w:rPr>
                <w:rFonts w:cs="Arial"/>
                <w:b/>
              </w:rPr>
              <w:t>Time</w:t>
            </w:r>
          </w:p>
        </w:tc>
        <w:tc>
          <w:tcPr>
            <w:tcW w:w="6386" w:type="dxa"/>
            <w:gridSpan w:val="3"/>
          </w:tcPr>
          <w:p w:rsidR="00BA7C2C" w:rsidRPr="007223F2" w:rsidRDefault="00BA7C2C" w:rsidP="00613EE2">
            <w:pPr>
              <w:keepNext/>
              <w:spacing w:before="40" w:after="40" w:line="240" w:lineRule="auto"/>
              <w:rPr>
                <w:rFonts w:cs="Arial"/>
                <w:b/>
              </w:rPr>
            </w:pPr>
            <w:r w:rsidRPr="007223F2">
              <w:rPr>
                <w:rFonts w:cs="Arial"/>
                <w:b/>
              </w:rPr>
              <w:t>Residues of bromadiolone in target rodent (mg/kg bw)</w:t>
            </w:r>
          </w:p>
        </w:tc>
      </w:tr>
      <w:tr w:rsidR="00BA7C2C" w:rsidRPr="007223F2" w:rsidTr="00613EE2">
        <w:trPr>
          <w:cantSplit/>
        </w:trPr>
        <w:tc>
          <w:tcPr>
            <w:tcW w:w="2828" w:type="dxa"/>
            <w:vMerge/>
          </w:tcPr>
          <w:p w:rsidR="00BA7C2C" w:rsidRPr="007223F2" w:rsidRDefault="00BA7C2C" w:rsidP="00613EE2">
            <w:pPr>
              <w:keepNext/>
              <w:spacing w:before="40" w:after="40" w:line="240" w:lineRule="auto"/>
              <w:rPr>
                <w:rFonts w:cs="Arial"/>
                <w:b/>
              </w:rPr>
            </w:pPr>
          </w:p>
        </w:tc>
        <w:tc>
          <w:tcPr>
            <w:tcW w:w="1944" w:type="dxa"/>
          </w:tcPr>
          <w:p w:rsidR="00BA7C2C" w:rsidRPr="007223F2" w:rsidRDefault="00BA7C2C" w:rsidP="00613EE2">
            <w:pPr>
              <w:rPr>
                <w:rFonts w:cs="Arial"/>
                <w:b/>
              </w:rPr>
            </w:pPr>
            <w:r w:rsidRPr="007223F2">
              <w:rPr>
                <w:rFonts w:cs="Arial"/>
                <w:b/>
              </w:rPr>
              <w:t>20% bait consumption</w:t>
            </w:r>
          </w:p>
        </w:tc>
        <w:tc>
          <w:tcPr>
            <w:tcW w:w="2221" w:type="dxa"/>
          </w:tcPr>
          <w:p w:rsidR="00BA7C2C" w:rsidRPr="007223F2" w:rsidRDefault="00BA7C2C" w:rsidP="00613EE2">
            <w:pPr>
              <w:rPr>
                <w:rFonts w:cs="Arial"/>
                <w:b/>
              </w:rPr>
            </w:pPr>
            <w:r w:rsidRPr="007223F2">
              <w:rPr>
                <w:rFonts w:cs="Arial"/>
                <w:b/>
              </w:rPr>
              <w:t>50% bait consumption</w:t>
            </w:r>
          </w:p>
        </w:tc>
        <w:tc>
          <w:tcPr>
            <w:tcW w:w="2221" w:type="dxa"/>
          </w:tcPr>
          <w:p w:rsidR="00BA7C2C" w:rsidRPr="007223F2" w:rsidRDefault="00BA7C2C" w:rsidP="00613EE2">
            <w:pPr>
              <w:rPr>
                <w:rFonts w:cs="Arial"/>
                <w:b/>
              </w:rPr>
            </w:pPr>
            <w:r w:rsidRPr="007223F2">
              <w:rPr>
                <w:rFonts w:cs="Arial"/>
                <w:b/>
              </w:rPr>
              <w:t>100% bait consumption</w:t>
            </w:r>
          </w:p>
        </w:tc>
      </w:tr>
      <w:tr w:rsidR="00BA7C2C" w:rsidRPr="007223F2" w:rsidTr="00613EE2">
        <w:tc>
          <w:tcPr>
            <w:tcW w:w="2828" w:type="dxa"/>
          </w:tcPr>
          <w:p w:rsidR="00BA7C2C" w:rsidRPr="007223F2" w:rsidRDefault="00BA7C2C" w:rsidP="00613EE2">
            <w:pPr>
              <w:rPr>
                <w:rFonts w:cs="Arial"/>
              </w:rPr>
            </w:pPr>
            <w:r w:rsidRPr="007223F2">
              <w:rPr>
                <w:rFonts w:cs="Arial"/>
              </w:rPr>
              <w:t>Day 5 after last meal</w:t>
            </w:r>
            <w:r w:rsidRPr="007223F2">
              <w:rPr>
                <w:rFonts w:cs="Arial"/>
                <w:vertAlign w:val="superscript"/>
              </w:rPr>
              <w:t>1</w:t>
            </w:r>
          </w:p>
        </w:tc>
        <w:tc>
          <w:tcPr>
            <w:tcW w:w="1944" w:type="dxa"/>
            <w:vAlign w:val="center"/>
          </w:tcPr>
          <w:p w:rsidR="00BA7C2C" w:rsidRPr="007223F2" w:rsidRDefault="00BA7C2C" w:rsidP="00613EE2">
            <w:pPr>
              <w:rPr>
                <w:rFonts w:cs="Arial"/>
              </w:rPr>
            </w:pPr>
            <w:r w:rsidRPr="007223F2">
              <w:rPr>
                <w:rFonts w:cs="Arial"/>
                <w:lang w:val="nl-NL" w:eastAsia="nl-NL"/>
              </w:rPr>
              <w:t>0.319</w:t>
            </w:r>
          </w:p>
        </w:tc>
        <w:tc>
          <w:tcPr>
            <w:tcW w:w="2221" w:type="dxa"/>
            <w:vAlign w:val="center"/>
          </w:tcPr>
          <w:p w:rsidR="00BA7C2C" w:rsidRPr="007223F2" w:rsidRDefault="00BA7C2C" w:rsidP="00613EE2">
            <w:pPr>
              <w:rPr>
                <w:rFonts w:cs="Arial"/>
              </w:rPr>
            </w:pPr>
            <w:r w:rsidRPr="007223F2">
              <w:rPr>
                <w:rFonts w:cs="Arial"/>
                <w:lang w:val="nl-NL" w:eastAsia="nl-NL"/>
              </w:rPr>
              <w:t>0.798</w:t>
            </w:r>
          </w:p>
        </w:tc>
        <w:tc>
          <w:tcPr>
            <w:tcW w:w="2221" w:type="dxa"/>
            <w:vAlign w:val="center"/>
          </w:tcPr>
          <w:p w:rsidR="00BA7C2C" w:rsidRPr="007223F2" w:rsidRDefault="00BA7C2C" w:rsidP="00613EE2">
            <w:pPr>
              <w:rPr>
                <w:rFonts w:cs="Arial"/>
              </w:rPr>
            </w:pPr>
            <w:r w:rsidRPr="007223F2">
              <w:rPr>
                <w:rFonts w:cs="Arial"/>
                <w:lang w:val="nl-NL" w:eastAsia="nl-NL"/>
              </w:rPr>
              <w:t>1.595</w:t>
            </w:r>
          </w:p>
        </w:tc>
      </w:tr>
      <w:tr w:rsidR="00BA7C2C" w:rsidRPr="007223F2" w:rsidTr="00613EE2">
        <w:tc>
          <w:tcPr>
            <w:tcW w:w="2828" w:type="dxa"/>
            <w:tcBorders>
              <w:bottom w:val="single" w:sz="4" w:space="0" w:color="auto"/>
            </w:tcBorders>
          </w:tcPr>
          <w:p w:rsidR="00BA7C2C" w:rsidRPr="007223F2" w:rsidRDefault="00BA7C2C" w:rsidP="00613EE2">
            <w:pPr>
              <w:rPr>
                <w:rFonts w:cs="Arial"/>
              </w:rPr>
            </w:pPr>
            <w:r w:rsidRPr="007223F2">
              <w:rPr>
                <w:rFonts w:cs="Arial"/>
              </w:rPr>
              <w:t>Day 7 (mean time to death)</w:t>
            </w:r>
            <w:r w:rsidRPr="007223F2">
              <w:rPr>
                <w:rFonts w:cs="Arial"/>
                <w:vertAlign w:val="superscript"/>
              </w:rPr>
              <w:t>2</w:t>
            </w:r>
          </w:p>
        </w:tc>
        <w:tc>
          <w:tcPr>
            <w:tcW w:w="1944" w:type="dxa"/>
            <w:tcBorders>
              <w:bottom w:val="single" w:sz="4" w:space="0" w:color="auto"/>
            </w:tcBorders>
            <w:vAlign w:val="center"/>
          </w:tcPr>
          <w:p w:rsidR="00BA7C2C" w:rsidRPr="007223F2" w:rsidRDefault="00BA7C2C" w:rsidP="00613EE2">
            <w:pPr>
              <w:rPr>
                <w:rFonts w:cs="Arial"/>
              </w:rPr>
            </w:pPr>
            <w:r w:rsidRPr="007223F2">
              <w:rPr>
                <w:rFonts w:cs="Arial"/>
                <w:lang w:val="nl-NL" w:eastAsia="nl-NL"/>
              </w:rPr>
              <w:t>0.159</w:t>
            </w:r>
          </w:p>
        </w:tc>
        <w:tc>
          <w:tcPr>
            <w:tcW w:w="2221" w:type="dxa"/>
            <w:tcBorders>
              <w:bottom w:val="single" w:sz="4" w:space="0" w:color="auto"/>
            </w:tcBorders>
            <w:vAlign w:val="center"/>
          </w:tcPr>
          <w:p w:rsidR="00BA7C2C" w:rsidRPr="007223F2" w:rsidRDefault="00BA7C2C" w:rsidP="00613EE2">
            <w:pPr>
              <w:rPr>
                <w:rFonts w:cs="Arial"/>
              </w:rPr>
            </w:pPr>
            <w:r w:rsidRPr="007223F2">
              <w:rPr>
                <w:rFonts w:cs="Arial"/>
                <w:lang w:val="nl-NL" w:eastAsia="nl-NL"/>
              </w:rPr>
              <w:t>0.399</w:t>
            </w:r>
          </w:p>
        </w:tc>
        <w:tc>
          <w:tcPr>
            <w:tcW w:w="2221" w:type="dxa"/>
            <w:tcBorders>
              <w:bottom w:val="single" w:sz="4" w:space="0" w:color="auto"/>
            </w:tcBorders>
            <w:vAlign w:val="center"/>
          </w:tcPr>
          <w:p w:rsidR="00BA7C2C" w:rsidRPr="007223F2" w:rsidRDefault="00BA7C2C" w:rsidP="00613EE2">
            <w:pPr>
              <w:rPr>
                <w:rFonts w:cs="Arial"/>
              </w:rPr>
            </w:pPr>
            <w:r w:rsidRPr="007223F2">
              <w:rPr>
                <w:rFonts w:cs="Arial"/>
                <w:lang w:val="nl-NL" w:eastAsia="nl-NL"/>
              </w:rPr>
              <w:t>0.797</w:t>
            </w:r>
          </w:p>
        </w:tc>
      </w:tr>
      <w:tr w:rsidR="00BA7C2C" w:rsidRPr="007223F2" w:rsidTr="00613EE2">
        <w:tc>
          <w:tcPr>
            <w:tcW w:w="9214" w:type="dxa"/>
            <w:gridSpan w:val="4"/>
            <w:tcBorders>
              <w:left w:val="single" w:sz="4" w:space="0" w:color="auto"/>
              <w:bottom w:val="single" w:sz="4" w:space="0" w:color="auto"/>
              <w:right w:val="single" w:sz="4" w:space="0" w:color="auto"/>
            </w:tcBorders>
          </w:tcPr>
          <w:p w:rsidR="00BA7C2C" w:rsidRPr="007223F2" w:rsidRDefault="00BA7C2C" w:rsidP="00613EE2">
            <w:pPr>
              <w:rPr>
                <w:rFonts w:cs="Arial"/>
              </w:rPr>
            </w:pPr>
            <w:r w:rsidRPr="007223F2">
              <w:rPr>
                <w:rFonts w:cs="Arial"/>
                <w:vertAlign w:val="superscript"/>
              </w:rPr>
              <w:t>1</w:t>
            </w:r>
            <w:r w:rsidRPr="007223F2">
              <w:rPr>
                <w:rFonts w:cs="Arial"/>
              </w:rPr>
              <w:t xml:space="preserve"> Based on values calculated according to EUBEES 2 and corrected by × 23%;</w:t>
            </w:r>
            <w:r w:rsidRPr="007223F2">
              <w:rPr>
                <w:rFonts w:cs="Arial"/>
              </w:rPr>
              <w:br/>
            </w:r>
            <w:r w:rsidRPr="007223F2">
              <w:rPr>
                <w:rFonts w:cs="Arial"/>
                <w:vertAlign w:val="superscript"/>
              </w:rPr>
              <w:t>2</w:t>
            </w:r>
            <w:r w:rsidRPr="007223F2">
              <w:rPr>
                <w:rFonts w:cs="Arial"/>
              </w:rPr>
              <w:t xml:space="preserve"> Based on values calculated according to EUBEES 2 and corrected by × 23% and a reduction of approximately 50% between days 5 and 7.</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As discussed previously, there are many uncertainties related to the calculation of PEC/PNEC values. Moreover, the PEC/PNEC values presented in the Tables below are very high. </w:t>
      </w:r>
    </w:p>
    <w:p w:rsidR="00BA7C2C" w:rsidRPr="007223F2" w:rsidRDefault="00BA7C2C" w:rsidP="00BA7C2C">
      <w:pPr>
        <w:rPr>
          <w:rFonts w:cs="Arial"/>
        </w:rPr>
      </w:pPr>
    </w:p>
    <w:p w:rsidR="00BA7C2C" w:rsidRPr="007223F2" w:rsidRDefault="00BA7C2C" w:rsidP="00BA7C2C">
      <w:pPr>
        <w:rPr>
          <w:rFonts w:cs="Arial"/>
          <w:b/>
          <w:szCs w:val="22"/>
        </w:rPr>
      </w:pPr>
      <w:r w:rsidRPr="007223F2">
        <w:rPr>
          <w:rFonts w:cs="Arial"/>
          <w:b/>
          <w:szCs w:val="22"/>
        </w:rPr>
        <w:t>Tier 1 estimate of PECoral/PNECoral for predatory or scavenging birds ingesting target rodents (on day 5 and day 7 of a control campaign) containing bromadiolone obtained from areas in and around buildings, Frodent = 0.5</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4"/>
        <w:gridCol w:w="1512"/>
        <w:gridCol w:w="47"/>
        <w:gridCol w:w="1614"/>
        <w:gridCol w:w="1497"/>
        <w:gridCol w:w="1568"/>
        <w:gridCol w:w="1638"/>
      </w:tblGrid>
      <w:tr w:rsidR="00BA7C2C" w:rsidRPr="007223F2" w:rsidTr="00613EE2">
        <w:trPr>
          <w:cantSplit/>
        </w:trPr>
        <w:tc>
          <w:tcPr>
            <w:tcW w:w="4732" w:type="dxa"/>
            <w:gridSpan w:val="5"/>
          </w:tcPr>
          <w:p w:rsidR="00BA7C2C" w:rsidRPr="007223F2" w:rsidRDefault="00BA7C2C" w:rsidP="00613EE2">
            <w:pPr>
              <w:keepNext/>
              <w:spacing w:before="40" w:after="40" w:line="240" w:lineRule="auto"/>
              <w:rPr>
                <w:rFonts w:cs="Arial"/>
                <w:b/>
              </w:rPr>
            </w:pPr>
            <w:r w:rsidRPr="007223F2">
              <w:rPr>
                <w:rFonts w:cs="Arial"/>
                <w:b/>
              </w:rPr>
              <w:t>Avian predator/scavenger</w:t>
            </w:r>
            <w:r w:rsidRPr="007223F2">
              <w:rPr>
                <w:rFonts w:cs="Arial"/>
                <w:b/>
              </w:rPr>
              <w:br/>
              <w:t xml:space="preserve">PECoral/PNECoral - day 5 </w:t>
            </w:r>
            <w:r w:rsidRPr="007223F2">
              <w:rPr>
                <w:rFonts w:cs="Arial"/>
                <w:b/>
              </w:rPr>
              <w:br/>
              <w:t>(maximum rodent residue levels)</w:t>
            </w:r>
          </w:p>
        </w:tc>
        <w:tc>
          <w:tcPr>
            <w:tcW w:w="4703" w:type="dxa"/>
            <w:gridSpan w:val="3"/>
          </w:tcPr>
          <w:p w:rsidR="00BA7C2C" w:rsidRPr="007223F2" w:rsidRDefault="00BA7C2C" w:rsidP="00613EE2">
            <w:pPr>
              <w:rPr>
                <w:rFonts w:cs="Arial"/>
                <w:b/>
              </w:rPr>
            </w:pPr>
            <w:r w:rsidRPr="007223F2">
              <w:rPr>
                <w:rFonts w:cs="Arial"/>
                <w:b/>
              </w:rPr>
              <w:t>Avian predator/scavenger</w:t>
            </w:r>
            <w:r w:rsidRPr="007223F2">
              <w:rPr>
                <w:rFonts w:cs="Arial"/>
                <w:b/>
              </w:rPr>
              <w:br/>
              <w:t>PECoral/PNECoral - day 7</w:t>
            </w:r>
          </w:p>
        </w:tc>
      </w:tr>
      <w:tr w:rsidR="00BA7C2C" w:rsidRPr="007223F2" w:rsidTr="00613EE2">
        <w:trPr>
          <w:cantSplit/>
        </w:trPr>
        <w:tc>
          <w:tcPr>
            <w:tcW w:w="1535" w:type="dxa"/>
          </w:tcPr>
          <w:p w:rsidR="00BA7C2C" w:rsidRPr="007223F2" w:rsidRDefault="00BA7C2C" w:rsidP="00613EE2">
            <w:pPr>
              <w:rPr>
                <w:rFonts w:cs="Arial"/>
                <w:b/>
              </w:rPr>
            </w:pPr>
            <w:r w:rsidRPr="007223F2">
              <w:rPr>
                <w:rFonts w:cs="Arial"/>
                <w:b/>
              </w:rPr>
              <w:t>bait = 20% of rodents’ food intake/day</w:t>
            </w:r>
          </w:p>
        </w:tc>
        <w:tc>
          <w:tcPr>
            <w:tcW w:w="1536" w:type="dxa"/>
            <w:gridSpan w:val="2"/>
          </w:tcPr>
          <w:p w:rsidR="00BA7C2C" w:rsidRPr="007223F2" w:rsidRDefault="00BA7C2C" w:rsidP="00613EE2">
            <w:pPr>
              <w:rPr>
                <w:rFonts w:cs="Arial"/>
                <w:b/>
              </w:rPr>
            </w:pPr>
            <w:r w:rsidRPr="007223F2">
              <w:rPr>
                <w:rFonts w:cs="Arial"/>
                <w:b/>
              </w:rPr>
              <w:t>bait = 50% of rodents’ food intake/day</w:t>
            </w:r>
          </w:p>
        </w:tc>
        <w:tc>
          <w:tcPr>
            <w:tcW w:w="1661" w:type="dxa"/>
            <w:gridSpan w:val="2"/>
          </w:tcPr>
          <w:p w:rsidR="00BA7C2C" w:rsidRPr="007223F2" w:rsidRDefault="00BA7C2C" w:rsidP="00613EE2">
            <w:pPr>
              <w:rPr>
                <w:rFonts w:cs="Arial"/>
                <w:b/>
              </w:rPr>
            </w:pPr>
            <w:r w:rsidRPr="007223F2">
              <w:rPr>
                <w:rFonts w:cs="Arial"/>
                <w:b/>
              </w:rPr>
              <w:t>bait = 100% of rodents’ food intake/day</w:t>
            </w:r>
          </w:p>
        </w:tc>
        <w:tc>
          <w:tcPr>
            <w:tcW w:w="1497" w:type="dxa"/>
          </w:tcPr>
          <w:p w:rsidR="00BA7C2C" w:rsidRPr="007223F2" w:rsidRDefault="00BA7C2C" w:rsidP="00613EE2">
            <w:pPr>
              <w:rPr>
                <w:rFonts w:cs="Arial"/>
                <w:b/>
              </w:rPr>
            </w:pPr>
            <w:r w:rsidRPr="007223F2">
              <w:rPr>
                <w:rFonts w:cs="Arial"/>
                <w:b/>
              </w:rPr>
              <w:t>bait = 20% of rodents’ food intake/day</w:t>
            </w:r>
          </w:p>
        </w:tc>
        <w:tc>
          <w:tcPr>
            <w:tcW w:w="1568" w:type="dxa"/>
          </w:tcPr>
          <w:p w:rsidR="00BA7C2C" w:rsidRPr="007223F2" w:rsidRDefault="00BA7C2C" w:rsidP="00613EE2">
            <w:pPr>
              <w:rPr>
                <w:rFonts w:cs="Arial"/>
                <w:b/>
              </w:rPr>
            </w:pPr>
            <w:r w:rsidRPr="007223F2">
              <w:rPr>
                <w:rFonts w:cs="Arial"/>
                <w:b/>
              </w:rPr>
              <w:t>bait = 50% of rodents’ food intake/day</w:t>
            </w:r>
          </w:p>
        </w:tc>
        <w:tc>
          <w:tcPr>
            <w:tcW w:w="1638" w:type="dxa"/>
          </w:tcPr>
          <w:p w:rsidR="00BA7C2C" w:rsidRPr="007223F2" w:rsidRDefault="00BA7C2C" w:rsidP="00613EE2">
            <w:pPr>
              <w:rPr>
                <w:rFonts w:cs="Arial"/>
                <w:b/>
              </w:rPr>
            </w:pPr>
            <w:r w:rsidRPr="007223F2">
              <w:rPr>
                <w:rFonts w:cs="Arial"/>
                <w:b/>
              </w:rPr>
              <w:t>bait = 100% of rodents’ food intake/day</w:t>
            </w:r>
          </w:p>
        </w:tc>
      </w:tr>
      <w:tr w:rsidR="00BA7C2C" w:rsidRPr="007223F2" w:rsidTr="00613EE2">
        <w:trPr>
          <w:cantSplit/>
        </w:trPr>
        <w:tc>
          <w:tcPr>
            <w:tcW w:w="1559" w:type="dxa"/>
            <w:gridSpan w:val="2"/>
            <w:tcBorders>
              <w:bottom w:val="single" w:sz="4" w:space="0" w:color="auto"/>
            </w:tcBorders>
            <w:vAlign w:val="bottom"/>
          </w:tcPr>
          <w:p w:rsidR="00BA7C2C" w:rsidRPr="007223F2" w:rsidRDefault="00BA7C2C" w:rsidP="00613EE2">
            <w:pPr>
              <w:rPr>
                <w:rFonts w:cs="Arial"/>
                <w:lang w:val="nl-NL" w:eastAsia="nl-NL"/>
              </w:rPr>
            </w:pPr>
            <w:r w:rsidRPr="007223F2">
              <w:rPr>
                <w:rFonts w:cs="Arial"/>
                <w:lang w:val="nl-NL" w:eastAsia="nl-NL"/>
              </w:rPr>
              <w:t>96.7</w:t>
            </w:r>
          </w:p>
        </w:tc>
        <w:tc>
          <w:tcPr>
            <w:tcW w:w="1559" w:type="dxa"/>
            <w:gridSpan w:val="2"/>
            <w:tcBorders>
              <w:bottom w:val="single" w:sz="4" w:space="0" w:color="auto"/>
            </w:tcBorders>
            <w:vAlign w:val="bottom"/>
          </w:tcPr>
          <w:p w:rsidR="00BA7C2C" w:rsidRPr="007223F2" w:rsidRDefault="00BA7C2C" w:rsidP="00613EE2">
            <w:pPr>
              <w:rPr>
                <w:rFonts w:cs="Arial"/>
                <w:lang w:val="nl-NL" w:eastAsia="nl-NL"/>
              </w:rPr>
            </w:pPr>
            <w:r w:rsidRPr="007223F2">
              <w:rPr>
                <w:rFonts w:cs="Arial"/>
                <w:lang w:val="nl-NL" w:eastAsia="nl-NL"/>
              </w:rPr>
              <w:t>242</w:t>
            </w:r>
          </w:p>
        </w:tc>
        <w:tc>
          <w:tcPr>
            <w:tcW w:w="1614" w:type="dxa"/>
            <w:tcBorders>
              <w:bottom w:val="single" w:sz="4" w:space="0" w:color="auto"/>
            </w:tcBorders>
            <w:vAlign w:val="bottom"/>
          </w:tcPr>
          <w:p w:rsidR="00BA7C2C" w:rsidRPr="007223F2" w:rsidRDefault="00BA7C2C" w:rsidP="00613EE2">
            <w:pPr>
              <w:rPr>
                <w:rFonts w:cs="Arial"/>
                <w:lang w:val="nl-NL" w:eastAsia="nl-NL"/>
              </w:rPr>
            </w:pPr>
            <w:r w:rsidRPr="007223F2">
              <w:rPr>
                <w:rFonts w:cs="Arial"/>
                <w:lang w:val="nl-NL" w:eastAsia="nl-NL"/>
              </w:rPr>
              <w:t>483</w:t>
            </w:r>
          </w:p>
        </w:tc>
        <w:tc>
          <w:tcPr>
            <w:tcW w:w="1497" w:type="dxa"/>
            <w:tcBorders>
              <w:bottom w:val="single" w:sz="4" w:space="0" w:color="auto"/>
            </w:tcBorders>
            <w:vAlign w:val="bottom"/>
          </w:tcPr>
          <w:p w:rsidR="00BA7C2C" w:rsidRPr="007223F2" w:rsidRDefault="00BA7C2C" w:rsidP="00613EE2">
            <w:pPr>
              <w:rPr>
                <w:rFonts w:cs="Arial"/>
                <w:lang w:val="nl-NL" w:eastAsia="nl-NL"/>
              </w:rPr>
            </w:pPr>
            <w:r w:rsidRPr="007223F2">
              <w:rPr>
                <w:rFonts w:cs="Arial"/>
                <w:lang w:val="nl-NL" w:eastAsia="nl-NL"/>
              </w:rPr>
              <w:t>48</w:t>
            </w:r>
          </w:p>
        </w:tc>
        <w:tc>
          <w:tcPr>
            <w:tcW w:w="1568" w:type="dxa"/>
            <w:tcBorders>
              <w:bottom w:val="single" w:sz="4" w:space="0" w:color="auto"/>
            </w:tcBorders>
            <w:vAlign w:val="bottom"/>
          </w:tcPr>
          <w:p w:rsidR="00BA7C2C" w:rsidRPr="007223F2" w:rsidRDefault="00BA7C2C" w:rsidP="00613EE2">
            <w:pPr>
              <w:rPr>
                <w:rFonts w:cs="Arial"/>
                <w:lang w:val="nl-NL" w:eastAsia="nl-NL"/>
              </w:rPr>
            </w:pPr>
            <w:r w:rsidRPr="007223F2">
              <w:rPr>
                <w:rFonts w:cs="Arial"/>
                <w:lang w:val="nl-NL" w:eastAsia="nl-NL"/>
              </w:rPr>
              <w:t>121</w:t>
            </w:r>
          </w:p>
        </w:tc>
        <w:tc>
          <w:tcPr>
            <w:tcW w:w="1638" w:type="dxa"/>
            <w:tcBorders>
              <w:bottom w:val="single" w:sz="4" w:space="0" w:color="auto"/>
            </w:tcBorders>
            <w:vAlign w:val="bottom"/>
          </w:tcPr>
          <w:p w:rsidR="00BA7C2C" w:rsidRPr="007223F2" w:rsidRDefault="00BA7C2C" w:rsidP="00613EE2">
            <w:pPr>
              <w:rPr>
                <w:rFonts w:cs="Arial"/>
                <w:lang w:val="nl-NL" w:eastAsia="nl-NL"/>
              </w:rPr>
            </w:pPr>
            <w:r w:rsidRPr="007223F2">
              <w:rPr>
                <w:rFonts w:cs="Arial"/>
                <w:lang w:val="nl-NL" w:eastAsia="nl-NL"/>
              </w:rPr>
              <w:t>242</w:t>
            </w:r>
          </w:p>
        </w:tc>
      </w:tr>
      <w:tr w:rsidR="00BA7C2C" w:rsidRPr="007223F2" w:rsidTr="00613EE2">
        <w:trPr>
          <w:cantSplit/>
        </w:trPr>
        <w:tc>
          <w:tcPr>
            <w:tcW w:w="9435" w:type="dxa"/>
            <w:gridSpan w:val="8"/>
            <w:tcBorders>
              <w:left w:val="single" w:sz="4" w:space="0" w:color="auto"/>
              <w:bottom w:val="single" w:sz="4" w:space="0" w:color="auto"/>
              <w:right w:val="single" w:sz="4" w:space="0" w:color="auto"/>
            </w:tcBorders>
          </w:tcPr>
          <w:p w:rsidR="00BA7C2C" w:rsidRPr="007223F2" w:rsidRDefault="00BA7C2C" w:rsidP="00613EE2">
            <w:pPr>
              <w:rPr>
                <w:rFonts w:cs="Arial"/>
              </w:rPr>
            </w:pPr>
            <w:r w:rsidRPr="007223F2">
              <w:rPr>
                <w:rFonts w:cs="Arial"/>
              </w:rPr>
              <w:t>PNECoral = 0.0033 mg/kg food</w:t>
            </w:r>
          </w:p>
        </w:tc>
      </w:tr>
    </w:tbl>
    <w:p w:rsidR="00BA7C2C" w:rsidRDefault="00BA7C2C" w:rsidP="00BA7C2C">
      <w:pPr>
        <w:rPr>
          <w:rFonts w:cs="Arial"/>
        </w:rPr>
      </w:pP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szCs w:val="22"/>
        </w:rPr>
        <w:lastRenderedPageBreak/>
        <w:t xml:space="preserve">Tier 1 estimate of PECoral/PNECoral for predatory or scavenging mammals ingesting target rodents (on day 5 and day 7 of a control campaign) containing </w:t>
      </w:r>
      <w:r w:rsidRPr="007223F2">
        <w:rPr>
          <w:rFonts w:cs="Arial"/>
          <w:b/>
        </w:rPr>
        <w:t>bromadiolone obtained from areas in and around buildings, Frodent = 0.5</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536"/>
        <w:gridCol w:w="1661"/>
        <w:gridCol w:w="1497"/>
        <w:gridCol w:w="1568"/>
        <w:gridCol w:w="1638"/>
      </w:tblGrid>
      <w:tr w:rsidR="00BA7C2C" w:rsidRPr="007223F2" w:rsidTr="00613EE2">
        <w:trPr>
          <w:cantSplit/>
        </w:trPr>
        <w:tc>
          <w:tcPr>
            <w:tcW w:w="4732" w:type="dxa"/>
            <w:gridSpan w:val="3"/>
          </w:tcPr>
          <w:p w:rsidR="00BA7C2C" w:rsidRPr="007223F2" w:rsidRDefault="00BA7C2C" w:rsidP="00613EE2">
            <w:pPr>
              <w:rPr>
                <w:rFonts w:cs="Arial"/>
                <w:b/>
              </w:rPr>
            </w:pPr>
            <w:r w:rsidRPr="007223F2">
              <w:rPr>
                <w:rFonts w:cs="Arial"/>
                <w:b/>
              </w:rPr>
              <w:t>Mammalian predator/scavenger</w:t>
            </w:r>
            <w:r w:rsidRPr="007223F2">
              <w:rPr>
                <w:rFonts w:cs="Arial"/>
                <w:b/>
              </w:rPr>
              <w:br/>
              <w:t xml:space="preserve">PECoral/PNECoral - day 5 </w:t>
            </w:r>
            <w:r w:rsidRPr="007223F2">
              <w:rPr>
                <w:rFonts w:cs="Arial"/>
                <w:b/>
              </w:rPr>
              <w:br/>
              <w:t>(maximum rodent residue levels)</w:t>
            </w:r>
          </w:p>
        </w:tc>
        <w:tc>
          <w:tcPr>
            <w:tcW w:w="4703" w:type="dxa"/>
            <w:gridSpan w:val="3"/>
          </w:tcPr>
          <w:p w:rsidR="00BA7C2C" w:rsidRPr="007223F2" w:rsidRDefault="00BA7C2C" w:rsidP="00613EE2">
            <w:pPr>
              <w:keepNext/>
              <w:spacing w:before="40" w:after="40" w:line="240" w:lineRule="auto"/>
              <w:rPr>
                <w:rFonts w:cs="Arial"/>
                <w:b/>
              </w:rPr>
            </w:pPr>
            <w:r w:rsidRPr="007223F2">
              <w:rPr>
                <w:rFonts w:cs="Arial"/>
                <w:b/>
              </w:rPr>
              <w:t>Mamalian predator/scavenger</w:t>
            </w:r>
            <w:r w:rsidRPr="007223F2">
              <w:rPr>
                <w:rFonts w:cs="Arial"/>
                <w:b/>
              </w:rPr>
              <w:br/>
              <w:t>PECoral/PNECoral - day 7</w:t>
            </w:r>
          </w:p>
        </w:tc>
      </w:tr>
      <w:tr w:rsidR="00BA7C2C" w:rsidRPr="007223F2" w:rsidTr="00613EE2">
        <w:trPr>
          <w:cantSplit/>
        </w:trPr>
        <w:tc>
          <w:tcPr>
            <w:tcW w:w="1535" w:type="dxa"/>
          </w:tcPr>
          <w:p w:rsidR="00BA7C2C" w:rsidRPr="007223F2" w:rsidRDefault="00BA7C2C" w:rsidP="00613EE2">
            <w:pPr>
              <w:rPr>
                <w:rFonts w:cs="Arial"/>
                <w:b/>
              </w:rPr>
            </w:pPr>
            <w:r w:rsidRPr="007223F2">
              <w:rPr>
                <w:rFonts w:cs="Arial"/>
                <w:b/>
              </w:rPr>
              <w:t>bait = 20% of rodents’ food intake/day</w:t>
            </w:r>
          </w:p>
        </w:tc>
        <w:tc>
          <w:tcPr>
            <w:tcW w:w="1536" w:type="dxa"/>
          </w:tcPr>
          <w:p w:rsidR="00BA7C2C" w:rsidRPr="007223F2" w:rsidRDefault="00BA7C2C" w:rsidP="00613EE2">
            <w:pPr>
              <w:rPr>
                <w:rFonts w:cs="Arial"/>
                <w:b/>
              </w:rPr>
            </w:pPr>
            <w:r w:rsidRPr="007223F2">
              <w:rPr>
                <w:rFonts w:cs="Arial"/>
                <w:b/>
              </w:rPr>
              <w:t>bait = 50% of rodents’ food intake/day</w:t>
            </w:r>
          </w:p>
        </w:tc>
        <w:tc>
          <w:tcPr>
            <w:tcW w:w="1661" w:type="dxa"/>
          </w:tcPr>
          <w:p w:rsidR="00BA7C2C" w:rsidRPr="007223F2" w:rsidRDefault="00BA7C2C" w:rsidP="00613EE2">
            <w:pPr>
              <w:rPr>
                <w:rFonts w:cs="Arial"/>
                <w:b/>
              </w:rPr>
            </w:pPr>
            <w:r w:rsidRPr="007223F2">
              <w:rPr>
                <w:rFonts w:cs="Arial"/>
                <w:b/>
              </w:rPr>
              <w:t>bait = 100% of rodents’ food intake/day</w:t>
            </w:r>
          </w:p>
        </w:tc>
        <w:tc>
          <w:tcPr>
            <w:tcW w:w="1497" w:type="dxa"/>
          </w:tcPr>
          <w:p w:rsidR="00BA7C2C" w:rsidRPr="007223F2" w:rsidRDefault="00BA7C2C" w:rsidP="00613EE2">
            <w:pPr>
              <w:rPr>
                <w:rFonts w:cs="Arial"/>
                <w:b/>
              </w:rPr>
            </w:pPr>
            <w:r w:rsidRPr="007223F2">
              <w:rPr>
                <w:rFonts w:cs="Arial"/>
                <w:b/>
              </w:rPr>
              <w:t>bait = 20% of rodents’ food intake/day</w:t>
            </w:r>
          </w:p>
        </w:tc>
        <w:tc>
          <w:tcPr>
            <w:tcW w:w="1568" w:type="dxa"/>
          </w:tcPr>
          <w:p w:rsidR="00BA7C2C" w:rsidRPr="007223F2" w:rsidRDefault="00BA7C2C" w:rsidP="00613EE2">
            <w:pPr>
              <w:rPr>
                <w:rFonts w:cs="Arial"/>
                <w:b/>
              </w:rPr>
            </w:pPr>
            <w:r w:rsidRPr="007223F2">
              <w:rPr>
                <w:rFonts w:cs="Arial"/>
                <w:b/>
              </w:rPr>
              <w:t>bait = 50% of rodents’ food intake/day</w:t>
            </w:r>
          </w:p>
        </w:tc>
        <w:tc>
          <w:tcPr>
            <w:tcW w:w="1638" w:type="dxa"/>
          </w:tcPr>
          <w:p w:rsidR="00BA7C2C" w:rsidRPr="007223F2" w:rsidRDefault="00BA7C2C" w:rsidP="00613EE2">
            <w:pPr>
              <w:rPr>
                <w:rFonts w:cs="Arial"/>
                <w:b/>
              </w:rPr>
            </w:pPr>
            <w:r w:rsidRPr="007223F2">
              <w:rPr>
                <w:rFonts w:cs="Arial"/>
                <w:b/>
              </w:rPr>
              <w:t>bait = 100% of rodents’ food intake/day</w:t>
            </w:r>
          </w:p>
        </w:tc>
      </w:tr>
      <w:tr w:rsidR="00BA7C2C" w:rsidRPr="007223F2" w:rsidTr="00613EE2">
        <w:trPr>
          <w:cantSplit/>
        </w:trPr>
        <w:tc>
          <w:tcPr>
            <w:tcW w:w="1535" w:type="dxa"/>
            <w:tcBorders>
              <w:bottom w:val="single" w:sz="4" w:space="0" w:color="auto"/>
            </w:tcBorders>
          </w:tcPr>
          <w:p w:rsidR="00BA7C2C" w:rsidRPr="007223F2" w:rsidRDefault="00BA7C2C" w:rsidP="00613EE2">
            <w:pPr>
              <w:keepNext/>
              <w:spacing w:before="40" w:after="40" w:line="240" w:lineRule="auto"/>
              <w:rPr>
                <w:rFonts w:cs="Arial"/>
              </w:rPr>
            </w:pPr>
            <w:r w:rsidRPr="007223F2">
              <w:rPr>
                <w:rFonts w:cs="Arial"/>
              </w:rPr>
              <w:t>725</w:t>
            </w:r>
          </w:p>
        </w:tc>
        <w:tc>
          <w:tcPr>
            <w:tcW w:w="1536" w:type="dxa"/>
            <w:tcBorders>
              <w:bottom w:val="single" w:sz="4" w:space="0" w:color="auto"/>
            </w:tcBorders>
          </w:tcPr>
          <w:p w:rsidR="00BA7C2C" w:rsidRPr="007223F2" w:rsidRDefault="00BA7C2C" w:rsidP="00613EE2">
            <w:pPr>
              <w:rPr>
                <w:rFonts w:cs="Arial"/>
              </w:rPr>
            </w:pPr>
            <w:r w:rsidRPr="007223F2">
              <w:rPr>
                <w:rFonts w:cs="Arial"/>
              </w:rPr>
              <w:t>1810</w:t>
            </w:r>
          </w:p>
        </w:tc>
        <w:tc>
          <w:tcPr>
            <w:tcW w:w="1661" w:type="dxa"/>
            <w:tcBorders>
              <w:bottom w:val="single" w:sz="4" w:space="0" w:color="auto"/>
            </w:tcBorders>
          </w:tcPr>
          <w:p w:rsidR="00BA7C2C" w:rsidRPr="007223F2" w:rsidRDefault="00BA7C2C" w:rsidP="00613EE2">
            <w:pPr>
              <w:rPr>
                <w:rFonts w:cs="Arial"/>
              </w:rPr>
            </w:pPr>
            <w:r w:rsidRPr="007223F2">
              <w:rPr>
                <w:rFonts w:cs="Arial"/>
              </w:rPr>
              <w:t>3620</w:t>
            </w:r>
          </w:p>
        </w:tc>
        <w:tc>
          <w:tcPr>
            <w:tcW w:w="1497" w:type="dxa"/>
            <w:tcBorders>
              <w:bottom w:val="single" w:sz="4" w:space="0" w:color="auto"/>
            </w:tcBorders>
          </w:tcPr>
          <w:p w:rsidR="00BA7C2C" w:rsidRPr="007223F2" w:rsidRDefault="00BA7C2C" w:rsidP="00613EE2">
            <w:pPr>
              <w:rPr>
                <w:rFonts w:cs="Arial"/>
              </w:rPr>
            </w:pPr>
            <w:r w:rsidRPr="007223F2">
              <w:rPr>
                <w:rFonts w:cs="Arial"/>
              </w:rPr>
              <w:t>362</w:t>
            </w:r>
          </w:p>
        </w:tc>
        <w:tc>
          <w:tcPr>
            <w:tcW w:w="1568" w:type="dxa"/>
            <w:tcBorders>
              <w:bottom w:val="single" w:sz="4" w:space="0" w:color="auto"/>
            </w:tcBorders>
          </w:tcPr>
          <w:p w:rsidR="00BA7C2C" w:rsidRPr="007223F2" w:rsidRDefault="00BA7C2C" w:rsidP="00613EE2">
            <w:pPr>
              <w:rPr>
                <w:rFonts w:cs="Arial"/>
              </w:rPr>
            </w:pPr>
            <w:r w:rsidRPr="007223F2">
              <w:rPr>
                <w:rFonts w:cs="Arial"/>
              </w:rPr>
              <w:t>906</w:t>
            </w:r>
          </w:p>
        </w:tc>
        <w:tc>
          <w:tcPr>
            <w:tcW w:w="1638" w:type="dxa"/>
            <w:tcBorders>
              <w:bottom w:val="single" w:sz="4" w:space="0" w:color="auto"/>
            </w:tcBorders>
          </w:tcPr>
          <w:p w:rsidR="00BA7C2C" w:rsidRPr="007223F2" w:rsidRDefault="00BA7C2C" w:rsidP="00613EE2">
            <w:pPr>
              <w:rPr>
                <w:rFonts w:cs="Arial"/>
              </w:rPr>
            </w:pPr>
            <w:r w:rsidRPr="007223F2">
              <w:rPr>
                <w:rFonts w:cs="Arial"/>
              </w:rPr>
              <w:t>1880</w:t>
            </w:r>
          </w:p>
        </w:tc>
      </w:tr>
      <w:tr w:rsidR="00BA7C2C" w:rsidRPr="007223F2" w:rsidTr="00613EE2">
        <w:trPr>
          <w:cantSplit/>
        </w:trPr>
        <w:tc>
          <w:tcPr>
            <w:tcW w:w="9435" w:type="dxa"/>
            <w:gridSpan w:val="6"/>
            <w:tcBorders>
              <w:left w:val="single" w:sz="4" w:space="0" w:color="auto"/>
              <w:bottom w:val="single" w:sz="4" w:space="0" w:color="auto"/>
              <w:right w:val="single" w:sz="4" w:space="0" w:color="auto"/>
            </w:tcBorders>
          </w:tcPr>
          <w:p w:rsidR="00BA7C2C" w:rsidRPr="007223F2" w:rsidRDefault="00BA7C2C" w:rsidP="00613EE2">
            <w:pPr>
              <w:rPr>
                <w:rFonts w:cs="Arial"/>
              </w:rPr>
            </w:pPr>
            <w:r w:rsidRPr="007223F2">
              <w:rPr>
                <w:rFonts w:cs="Arial"/>
              </w:rPr>
              <w:t>PNECoral = 0.00044 mg/kg food</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The above PECoral/PNECoral quotients ranging from 48 to 483 for birds and from 362 to 3620 for mammals assume that rodents containing bromadiolone residues are wholly ingested by predatory or scavenging birds which feed on target rodents. The Tier 1 PECoral/PNEC oral quotients presented above are all above 1. However, it is not certain that the sensitivity of predatory bird species is adequately represented by the PNECoral of  0.0033 mg/kg food derived from a study conducted with bobwhite quail. In addition, there is also evidence that secondary poisoning by anticoagulant rodenticides has been implicated in the deaths of raptorial birds in the wild, albeit not necessarily arising from the uses of bromadiolone bait considered in this assessment, or from uses compliant with current recommended good practice. In view of these uncertainties a refined Tier 2 assessment is set out below, based on representative avian species.</w:t>
      </w:r>
    </w:p>
    <w:p w:rsidR="00BA7C2C" w:rsidRPr="007223F2" w:rsidRDefault="00BA7C2C" w:rsidP="00BA7C2C">
      <w:pPr>
        <w:rPr>
          <w:rFonts w:cs="Arial"/>
        </w:rPr>
      </w:pPr>
    </w:p>
    <w:p w:rsidR="00BA7C2C" w:rsidRPr="007223F2" w:rsidRDefault="00BA7C2C" w:rsidP="00BA7C2C">
      <w:pPr>
        <w:rPr>
          <w:rFonts w:cs="Arial"/>
          <w:b/>
        </w:rPr>
      </w:pPr>
      <w:r w:rsidRPr="007223F2">
        <w:rPr>
          <w:rFonts w:cs="Arial"/>
          <w:b/>
          <w:u w:val="single"/>
        </w:rPr>
        <w:t>Tier 2 risk assessment for secondary poisoning</w:t>
      </w:r>
    </w:p>
    <w:p w:rsidR="00BA7C2C" w:rsidRPr="007223F2" w:rsidRDefault="00BA7C2C" w:rsidP="00BA7C2C">
      <w:pPr>
        <w:rPr>
          <w:rFonts w:cs="Arial"/>
        </w:rPr>
      </w:pPr>
      <w:r w:rsidRPr="007223F2">
        <w:rPr>
          <w:rFonts w:cs="Arial"/>
        </w:rPr>
        <w:t>In a manner similar to the second tier primary poisoning calculations the concentrations in the relevant predatory mammals and birds can be calculated. In the following table the expected values for uptake of bromadiolone by a mammal predator or a bird of prey are presented after a single day of exposure and the expected concentration in the non-target animals are presented. It is assumed that rodents fed 100 % on rodenticide (PD = 1) and that predators fed 50 % on poisoned rodents (Frodent = 0.5). The residue of bromadiolone at day 5 after the last meal is 3.189 mg/kg food. As Frodent in this scenario is 0.5 instead of 1 the residue of bromadiolone at day 5 after the last meal is 1.595 mg/kg food. The bodyweights and food intake data of raptorial species are drawn from EUBE</w:t>
      </w:r>
      <w:smartTag w:uri="urn:schemas-microsoft-com:office:smarttags" w:element="PersonName">
        <w:r w:rsidRPr="007223F2">
          <w:rPr>
            <w:rFonts w:cs="Arial"/>
          </w:rPr>
          <w:t>ES</w:t>
        </w:r>
      </w:smartTag>
      <w:r w:rsidRPr="007223F2">
        <w:rPr>
          <w:rFonts w:cs="Arial"/>
        </w:rPr>
        <w:t xml:space="preserve"> 2.</w:t>
      </w:r>
    </w:p>
    <w:p w:rsidR="00BA7C2C" w:rsidRPr="007223F2" w:rsidRDefault="00BA7C2C" w:rsidP="00BA7C2C">
      <w:pPr>
        <w:rPr>
          <w:rFonts w:cs="Arial"/>
        </w:rPr>
      </w:pPr>
    </w:p>
    <w:p w:rsidR="00BA7C2C" w:rsidRPr="007223F2" w:rsidRDefault="00BA7C2C" w:rsidP="00BA7C2C">
      <w:pPr>
        <w:rPr>
          <w:rFonts w:cs="Arial"/>
        </w:rPr>
      </w:pPr>
      <w:r w:rsidRPr="007223F2">
        <w:rPr>
          <w:rFonts w:cs="Arial"/>
        </w:rPr>
        <w:t>The refined, tier 2 estimate of risk considers exposure of relevant species of avian and mammalian predators, based on their bodyweights and food intakes (table below). The following three tables assume that 50% of the diet of each bird and mammal species on a single day consists of rodents containing bromadiolone. In each case, bromadiolone bait has contributed either 100%, 50% or 20% of the daily food intake of the rodents eaten by the birds.</w:t>
      </w: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szCs w:val="22"/>
        </w:rPr>
        <w:lastRenderedPageBreak/>
        <w:t xml:space="preserve">Estimated intakes and concentrations of bromadiolone (BDN) in </w:t>
      </w:r>
      <w:r w:rsidRPr="007223F2">
        <w:rPr>
          <w:rFonts w:cs="Arial"/>
          <w:b/>
        </w:rPr>
        <w:t>predatory and scavenging birds and mammals ingesting target rodents, assuming poisoned rodents comprise 50% of a bird‘s diet and that bait contributed 100% of the target rodents’ daily food intake</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850"/>
        <w:gridCol w:w="931"/>
        <w:gridCol w:w="1280"/>
        <w:gridCol w:w="1366"/>
        <w:gridCol w:w="1252"/>
        <w:gridCol w:w="1636"/>
      </w:tblGrid>
      <w:tr w:rsidR="00BA7C2C" w:rsidRPr="007223F2" w:rsidTr="00613EE2">
        <w:trPr>
          <w:cantSplit/>
        </w:trPr>
        <w:tc>
          <w:tcPr>
            <w:tcW w:w="1870" w:type="dxa"/>
            <w:vMerge w:val="restart"/>
          </w:tcPr>
          <w:p w:rsidR="00BA7C2C" w:rsidRPr="007223F2" w:rsidRDefault="00BA7C2C" w:rsidP="00613EE2">
            <w:pPr>
              <w:keepNext/>
              <w:spacing w:before="40" w:after="40" w:line="240" w:lineRule="auto"/>
              <w:rPr>
                <w:rFonts w:cs="Arial"/>
                <w:b/>
              </w:rPr>
            </w:pPr>
            <w:r w:rsidRPr="007223F2">
              <w:rPr>
                <w:rFonts w:cs="Arial"/>
                <w:b/>
              </w:rPr>
              <w:t>Non-target avian or mammalian predator</w:t>
            </w:r>
          </w:p>
        </w:tc>
        <w:tc>
          <w:tcPr>
            <w:tcW w:w="840" w:type="dxa"/>
            <w:vMerge w:val="restart"/>
          </w:tcPr>
          <w:p w:rsidR="00BA7C2C" w:rsidRPr="007223F2" w:rsidRDefault="00BA7C2C" w:rsidP="00613EE2">
            <w:pPr>
              <w:rPr>
                <w:rFonts w:cs="Arial"/>
                <w:b/>
              </w:rPr>
            </w:pPr>
            <w:r w:rsidRPr="007223F2">
              <w:rPr>
                <w:rFonts w:cs="Arial"/>
                <w:b/>
              </w:rPr>
              <w:t>Mean body weight (g)</w:t>
            </w:r>
          </w:p>
        </w:tc>
        <w:tc>
          <w:tcPr>
            <w:tcW w:w="0" w:type="auto"/>
            <w:vMerge w:val="restart"/>
          </w:tcPr>
          <w:p w:rsidR="00BA7C2C" w:rsidRPr="007223F2" w:rsidRDefault="00BA7C2C" w:rsidP="00613EE2">
            <w:pPr>
              <w:rPr>
                <w:rFonts w:cs="Arial"/>
                <w:b/>
              </w:rPr>
            </w:pPr>
            <w:r w:rsidRPr="007223F2">
              <w:rPr>
                <w:rFonts w:cs="Arial"/>
                <w:b/>
              </w:rPr>
              <w:t>Daily food intake (g/day)</w:t>
            </w:r>
          </w:p>
        </w:tc>
        <w:tc>
          <w:tcPr>
            <w:tcW w:w="0" w:type="auto"/>
            <w:gridSpan w:val="2"/>
          </w:tcPr>
          <w:p w:rsidR="00BA7C2C" w:rsidRPr="007223F2" w:rsidRDefault="00BA7C2C" w:rsidP="00613EE2">
            <w:pPr>
              <w:rPr>
                <w:rFonts w:cs="Arial"/>
                <w:b/>
                <w:vertAlign w:val="superscript"/>
              </w:rPr>
            </w:pPr>
            <w:r w:rsidRPr="007223F2">
              <w:rPr>
                <w:rFonts w:cs="Arial"/>
                <w:b/>
              </w:rPr>
              <w:t>Normal susceptible rodents caught on day 5, just after their last meal</w:t>
            </w:r>
            <w:r w:rsidRPr="007223F2">
              <w:rPr>
                <w:rFonts w:cs="Arial"/>
                <w:b/>
                <w:vertAlign w:val="superscript"/>
              </w:rPr>
              <w:t>a</w:t>
            </w:r>
          </w:p>
        </w:tc>
        <w:tc>
          <w:tcPr>
            <w:tcW w:w="2846" w:type="dxa"/>
            <w:gridSpan w:val="2"/>
          </w:tcPr>
          <w:p w:rsidR="00BA7C2C" w:rsidRPr="007223F2" w:rsidRDefault="00BA7C2C" w:rsidP="00613EE2">
            <w:pPr>
              <w:rPr>
                <w:rFonts w:cs="Arial"/>
                <w:b/>
              </w:rPr>
            </w:pPr>
            <w:r w:rsidRPr="007223F2">
              <w:rPr>
                <w:rFonts w:cs="Arial"/>
                <w:b/>
              </w:rPr>
              <w:t>Normal susceptible rodents caught on day 7, two days after their last meal</w:t>
            </w:r>
            <w:r w:rsidRPr="007223F2">
              <w:rPr>
                <w:rFonts w:cs="Arial"/>
                <w:b/>
                <w:vertAlign w:val="superscript"/>
              </w:rPr>
              <w:t>b</w:t>
            </w:r>
          </w:p>
        </w:tc>
      </w:tr>
      <w:tr w:rsidR="00BA7C2C" w:rsidRPr="00A81FB4" w:rsidTr="00613EE2">
        <w:trPr>
          <w:cantSplit/>
        </w:trPr>
        <w:tc>
          <w:tcPr>
            <w:tcW w:w="1870" w:type="dxa"/>
            <w:vMerge/>
          </w:tcPr>
          <w:p w:rsidR="00BA7C2C" w:rsidRPr="007223F2" w:rsidRDefault="00BA7C2C" w:rsidP="00613EE2">
            <w:pPr>
              <w:pStyle w:val="Standard-italics"/>
              <w:spacing w:before="40" w:after="40"/>
              <w:rPr>
                <w:rFonts w:cs="Arial"/>
                <w:b/>
              </w:rPr>
            </w:pPr>
          </w:p>
        </w:tc>
        <w:tc>
          <w:tcPr>
            <w:tcW w:w="840" w:type="dxa"/>
            <w:vMerge/>
          </w:tcPr>
          <w:p w:rsidR="00BA7C2C" w:rsidRPr="007223F2" w:rsidRDefault="00BA7C2C" w:rsidP="00613EE2">
            <w:pPr>
              <w:keepNext/>
              <w:spacing w:before="40" w:after="40" w:line="240" w:lineRule="auto"/>
              <w:rPr>
                <w:rFonts w:cs="Arial"/>
                <w:b/>
              </w:rPr>
            </w:pPr>
          </w:p>
        </w:tc>
        <w:tc>
          <w:tcPr>
            <w:tcW w:w="0" w:type="auto"/>
            <w:vMerge/>
          </w:tcPr>
          <w:p w:rsidR="00BA7C2C" w:rsidRPr="007223F2" w:rsidRDefault="00BA7C2C" w:rsidP="00613EE2">
            <w:pPr>
              <w:keepNext/>
              <w:spacing w:before="40" w:after="40" w:line="240" w:lineRule="auto"/>
              <w:rPr>
                <w:rFonts w:cs="Arial"/>
                <w:b/>
              </w:rPr>
            </w:pPr>
          </w:p>
        </w:tc>
        <w:tc>
          <w:tcPr>
            <w:tcW w:w="0" w:type="auto"/>
          </w:tcPr>
          <w:p w:rsidR="00BA7C2C" w:rsidRPr="007223F2" w:rsidRDefault="00BA7C2C" w:rsidP="00613EE2">
            <w:pPr>
              <w:rPr>
                <w:rFonts w:cs="Arial"/>
                <w:b/>
              </w:rPr>
            </w:pPr>
            <w:r w:rsidRPr="007223F2">
              <w:rPr>
                <w:rFonts w:cs="Arial"/>
                <w:b/>
              </w:rPr>
              <w:t>BDN consumed (mg)</w:t>
            </w:r>
          </w:p>
        </w:tc>
        <w:tc>
          <w:tcPr>
            <w:tcW w:w="0" w:type="auto"/>
          </w:tcPr>
          <w:p w:rsidR="00BA7C2C" w:rsidRPr="00BA7C2C" w:rsidRDefault="00BA7C2C" w:rsidP="00613EE2">
            <w:pPr>
              <w:keepNext/>
              <w:spacing w:before="40" w:after="40" w:line="240" w:lineRule="auto"/>
              <w:rPr>
                <w:rFonts w:cs="Arial"/>
                <w:b/>
                <w:lang w:val="nl-NL"/>
              </w:rPr>
            </w:pPr>
            <w:r w:rsidRPr="00BA7C2C">
              <w:rPr>
                <w:rFonts w:cs="Arial"/>
                <w:b/>
                <w:lang w:val="nl-NL"/>
              </w:rPr>
              <w:t>BDN in predator (mg/kg bw)</w:t>
            </w:r>
          </w:p>
        </w:tc>
        <w:tc>
          <w:tcPr>
            <w:tcW w:w="0" w:type="auto"/>
          </w:tcPr>
          <w:p w:rsidR="00BA7C2C" w:rsidRPr="007223F2" w:rsidRDefault="00BA7C2C" w:rsidP="00613EE2">
            <w:pPr>
              <w:rPr>
                <w:rFonts w:cs="Arial"/>
                <w:b/>
              </w:rPr>
            </w:pPr>
            <w:r w:rsidRPr="007223F2">
              <w:rPr>
                <w:rFonts w:cs="Arial"/>
                <w:b/>
              </w:rPr>
              <w:t>BDN consumed (mg)</w:t>
            </w:r>
          </w:p>
        </w:tc>
        <w:tc>
          <w:tcPr>
            <w:tcW w:w="1636" w:type="dxa"/>
          </w:tcPr>
          <w:p w:rsidR="00BA7C2C" w:rsidRPr="00BA7C2C" w:rsidRDefault="00BA7C2C" w:rsidP="00613EE2">
            <w:pPr>
              <w:rPr>
                <w:rFonts w:cs="Arial"/>
                <w:b/>
                <w:lang w:val="nl-NL"/>
              </w:rPr>
            </w:pPr>
            <w:r w:rsidRPr="00BA7C2C">
              <w:rPr>
                <w:rFonts w:cs="Arial"/>
                <w:b/>
                <w:lang w:val="nl-NL"/>
              </w:rPr>
              <w:t>BDN in predator (mg/kg bw)</w:t>
            </w:r>
          </w:p>
        </w:tc>
      </w:tr>
      <w:tr w:rsidR="00BA7C2C" w:rsidRPr="007223F2" w:rsidTr="00613EE2">
        <w:trPr>
          <w:cantSplit/>
        </w:trPr>
        <w:tc>
          <w:tcPr>
            <w:tcW w:w="9185" w:type="dxa"/>
            <w:gridSpan w:val="7"/>
          </w:tcPr>
          <w:p w:rsidR="00BA7C2C" w:rsidRPr="007223F2" w:rsidRDefault="00BA7C2C" w:rsidP="00613EE2">
            <w:pPr>
              <w:rPr>
                <w:rFonts w:cs="Arial"/>
                <w:b/>
              </w:rPr>
            </w:pPr>
            <w:r w:rsidRPr="007223F2">
              <w:rPr>
                <w:rFonts w:cs="Arial"/>
                <w:b/>
              </w:rPr>
              <w:t>Birds</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Tyto alba</w:t>
            </w:r>
          </w:p>
        </w:tc>
        <w:tc>
          <w:tcPr>
            <w:tcW w:w="840" w:type="dxa"/>
          </w:tcPr>
          <w:p w:rsidR="00BA7C2C" w:rsidRPr="007223F2" w:rsidRDefault="00BA7C2C" w:rsidP="00613EE2">
            <w:pPr>
              <w:rPr>
                <w:rFonts w:cs="Arial"/>
              </w:rPr>
            </w:pPr>
            <w:r w:rsidRPr="007223F2">
              <w:rPr>
                <w:rFonts w:cs="Arial"/>
              </w:rPr>
              <w:t>294</w:t>
            </w:r>
          </w:p>
        </w:tc>
        <w:tc>
          <w:tcPr>
            <w:tcW w:w="0" w:type="auto"/>
          </w:tcPr>
          <w:p w:rsidR="00BA7C2C" w:rsidRPr="007223F2" w:rsidRDefault="00BA7C2C" w:rsidP="00613EE2">
            <w:pPr>
              <w:rPr>
                <w:rFonts w:cs="Arial"/>
              </w:rPr>
            </w:pPr>
            <w:r w:rsidRPr="007223F2">
              <w:rPr>
                <w:rFonts w:cs="Arial"/>
              </w:rPr>
              <w:t>72.9</w:t>
            </w:r>
          </w:p>
        </w:tc>
        <w:tc>
          <w:tcPr>
            <w:tcW w:w="0" w:type="auto"/>
          </w:tcPr>
          <w:p w:rsidR="00BA7C2C" w:rsidRPr="007223F2" w:rsidRDefault="00BA7C2C" w:rsidP="00613EE2">
            <w:pPr>
              <w:rPr>
                <w:rFonts w:cs="Arial"/>
              </w:rPr>
            </w:pPr>
            <w:r w:rsidRPr="007223F2">
              <w:rPr>
                <w:rFonts w:cs="Arial"/>
              </w:rPr>
              <w:t>0.116</w:t>
            </w:r>
          </w:p>
        </w:tc>
        <w:tc>
          <w:tcPr>
            <w:tcW w:w="0" w:type="auto"/>
          </w:tcPr>
          <w:p w:rsidR="00BA7C2C" w:rsidRPr="007223F2" w:rsidRDefault="00BA7C2C" w:rsidP="00613EE2">
            <w:pPr>
              <w:rPr>
                <w:rFonts w:cs="Arial"/>
              </w:rPr>
            </w:pPr>
            <w:r w:rsidRPr="007223F2">
              <w:rPr>
                <w:rFonts w:cs="Arial"/>
              </w:rPr>
              <w:t>0.395</w:t>
            </w:r>
          </w:p>
        </w:tc>
        <w:tc>
          <w:tcPr>
            <w:tcW w:w="0" w:type="auto"/>
          </w:tcPr>
          <w:p w:rsidR="00BA7C2C" w:rsidRPr="007223F2" w:rsidRDefault="00BA7C2C" w:rsidP="00613EE2">
            <w:pPr>
              <w:rPr>
                <w:rFonts w:cs="Arial"/>
              </w:rPr>
            </w:pPr>
            <w:r w:rsidRPr="007223F2">
              <w:rPr>
                <w:rFonts w:cs="Arial"/>
              </w:rPr>
              <w:t>0.057</w:t>
            </w:r>
          </w:p>
        </w:tc>
        <w:tc>
          <w:tcPr>
            <w:tcW w:w="1636" w:type="dxa"/>
          </w:tcPr>
          <w:p w:rsidR="00BA7C2C" w:rsidRPr="007223F2" w:rsidRDefault="00BA7C2C" w:rsidP="00613EE2">
            <w:pPr>
              <w:rPr>
                <w:rFonts w:cs="Arial"/>
              </w:rPr>
            </w:pPr>
            <w:r w:rsidRPr="007223F2">
              <w:rPr>
                <w:rFonts w:cs="Arial"/>
              </w:rPr>
              <w:t>0.194</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Athene noctua</w:t>
            </w:r>
          </w:p>
        </w:tc>
        <w:tc>
          <w:tcPr>
            <w:tcW w:w="840" w:type="dxa"/>
          </w:tcPr>
          <w:p w:rsidR="00BA7C2C" w:rsidRPr="007223F2" w:rsidRDefault="00BA7C2C" w:rsidP="00613EE2">
            <w:pPr>
              <w:rPr>
                <w:rFonts w:cs="Arial"/>
              </w:rPr>
            </w:pPr>
            <w:r w:rsidRPr="007223F2">
              <w:rPr>
                <w:rFonts w:cs="Arial"/>
              </w:rPr>
              <w:t>164</w:t>
            </w:r>
          </w:p>
        </w:tc>
        <w:tc>
          <w:tcPr>
            <w:tcW w:w="0" w:type="auto"/>
          </w:tcPr>
          <w:p w:rsidR="00BA7C2C" w:rsidRPr="007223F2" w:rsidRDefault="00BA7C2C" w:rsidP="00613EE2">
            <w:pPr>
              <w:rPr>
                <w:rFonts w:cs="Arial"/>
              </w:rPr>
            </w:pPr>
            <w:r w:rsidRPr="007223F2">
              <w:rPr>
                <w:rFonts w:cs="Arial"/>
              </w:rPr>
              <w:t>46.4</w:t>
            </w:r>
          </w:p>
        </w:tc>
        <w:tc>
          <w:tcPr>
            <w:tcW w:w="0" w:type="auto"/>
          </w:tcPr>
          <w:p w:rsidR="00BA7C2C" w:rsidRPr="007223F2" w:rsidRDefault="00BA7C2C" w:rsidP="00613EE2">
            <w:pPr>
              <w:rPr>
                <w:rFonts w:cs="Arial"/>
              </w:rPr>
            </w:pPr>
            <w:r w:rsidRPr="007223F2">
              <w:rPr>
                <w:rFonts w:cs="Arial"/>
              </w:rPr>
              <w:t>0.074</w:t>
            </w:r>
          </w:p>
        </w:tc>
        <w:tc>
          <w:tcPr>
            <w:tcW w:w="0" w:type="auto"/>
          </w:tcPr>
          <w:p w:rsidR="00BA7C2C" w:rsidRPr="007223F2" w:rsidRDefault="00BA7C2C" w:rsidP="00613EE2">
            <w:pPr>
              <w:rPr>
                <w:rFonts w:cs="Arial"/>
              </w:rPr>
            </w:pPr>
            <w:r w:rsidRPr="007223F2">
              <w:rPr>
                <w:rFonts w:cs="Arial"/>
              </w:rPr>
              <w:t>0.451</w:t>
            </w:r>
          </w:p>
        </w:tc>
        <w:tc>
          <w:tcPr>
            <w:tcW w:w="0" w:type="auto"/>
          </w:tcPr>
          <w:p w:rsidR="00BA7C2C" w:rsidRPr="007223F2" w:rsidRDefault="00BA7C2C" w:rsidP="00613EE2">
            <w:pPr>
              <w:rPr>
                <w:rFonts w:cs="Arial"/>
              </w:rPr>
            </w:pPr>
            <w:r w:rsidRPr="007223F2">
              <w:rPr>
                <w:rFonts w:cs="Arial"/>
              </w:rPr>
              <w:t>0.036</w:t>
            </w:r>
          </w:p>
        </w:tc>
        <w:tc>
          <w:tcPr>
            <w:tcW w:w="1636" w:type="dxa"/>
          </w:tcPr>
          <w:p w:rsidR="00BA7C2C" w:rsidRPr="007223F2" w:rsidRDefault="00BA7C2C" w:rsidP="00613EE2">
            <w:pPr>
              <w:rPr>
                <w:rFonts w:cs="Arial"/>
              </w:rPr>
            </w:pPr>
            <w:r w:rsidRPr="007223F2">
              <w:rPr>
                <w:rFonts w:cs="Arial"/>
              </w:rPr>
              <w:t>0.220</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Strix aluco</w:t>
            </w:r>
          </w:p>
        </w:tc>
        <w:tc>
          <w:tcPr>
            <w:tcW w:w="840" w:type="dxa"/>
          </w:tcPr>
          <w:p w:rsidR="00BA7C2C" w:rsidRPr="007223F2" w:rsidRDefault="00BA7C2C" w:rsidP="00613EE2">
            <w:pPr>
              <w:rPr>
                <w:rFonts w:cs="Arial"/>
              </w:rPr>
            </w:pPr>
            <w:r w:rsidRPr="007223F2">
              <w:rPr>
                <w:rFonts w:cs="Arial"/>
              </w:rPr>
              <w:t>426</w:t>
            </w:r>
          </w:p>
        </w:tc>
        <w:tc>
          <w:tcPr>
            <w:tcW w:w="0" w:type="auto"/>
          </w:tcPr>
          <w:p w:rsidR="00BA7C2C" w:rsidRPr="007223F2" w:rsidRDefault="00BA7C2C" w:rsidP="00613EE2">
            <w:pPr>
              <w:rPr>
                <w:rFonts w:cs="Arial"/>
              </w:rPr>
            </w:pPr>
            <w:r w:rsidRPr="007223F2">
              <w:rPr>
                <w:rFonts w:cs="Arial"/>
              </w:rPr>
              <w:t>97.1</w:t>
            </w:r>
          </w:p>
        </w:tc>
        <w:tc>
          <w:tcPr>
            <w:tcW w:w="0" w:type="auto"/>
          </w:tcPr>
          <w:p w:rsidR="00BA7C2C" w:rsidRPr="007223F2" w:rsidRDefault="00BA7C2C" w:rsidP="00613EE2">
            <w:pPr>
              <w:rPr>
                <w:rFonts w:cs="Arial"/>
              </w:rPr>
            </w:pPr>
            <w:r w:rsidRPr="007223F2">
              <w:rPr>
                <w:rFonts w:cs="Arial"/>
              </w:rPr>
              <w:t>0.155</w:t>
            </w:r>
          </w:p>
        </w:tc>
        <w:tc>
          <w:tcPr>
            <w:tcW w:w="0" w:type="auto"/>
          </w:tcPr>
          <w:p w:rsidR="00BA7C2C" w:rsidRPr="007223F2" w:rsidRDefault="00BA7C2C" w:rsidP="00613EE2">
            <w:pPr>
              <w:rPr>
                <w:rFonts w:cs="Arial"/>
              </w:rPr>
            </w:pPr>
            <w:r w:rsidRPr="007223F2">
              <w:rPr>
                <w:rFonts w:cs="Arial"/>
              </w:rPr>
              <w:t>0.364</w:t>
            </w:r>
          </w:p>
        </w:tc>
        <w:tc>
          <w:tcPr>
            <w:tcW w:w="0" w:type="auto"/>
          </w:tcPr>
          <w:p w:rsidR="00BA7C2C" w:rsidRPr="007223F2" w:rsidRDefault="00BA7C2C" w:rsidP="00613EE2">
            <w:pPr>
              <w:rPr>
                <w:rFonts w:cs="Arial"/>
              </w:rPr>
            </w:pPr>
            <w:r w:rsidRPr="007223F2">
              <w:rPr>
                <w:rFonts w:cs="Arial"/>
              </w:rPr>
              <w:t>0.076</w:t>
            </w:r>
          </w:p>
        </w:tc>
        <w:tc>
          <w:tcPr>
            <w:tcW w:w="1636" w:type="dxa"/>
          </w:tcPr>
          <w:p w:rsidR="00BA7C2C" w:rsidRPr="007223F2" w:rsidRDefault="00BA7C2C" w:rsidP="00613EE2">
            <w:pPr>
              <w:rPr>
                <w:rFonts w:cs="Arial"/>
              </w:rPr>
            </w:pPr>
            <w:r w:rsidRPr="007223F2">
              <w:rPr>
                <w:rFonts w:cs="Arial"/>
              </w:rPr>
              <w:t>0.178</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Falco tinnunculus</w:t>
            </w:r>
          </w:p>
        </w:tc>
        <w:tc>
          <w:tcPr>
            <w:tcW w:w="840" w:type="dxa"/>
          </w:tcPr>
          <w:p w:rsidR="00BA7C2C" w:rsidRPr="007223F2" w:rsidRDefault="00BA7C2C" w:rsidP="00613EE2">
            <w:pPr>
              <w:rPr>
                <w:rFonts w:cs="Arial"/>
              </w:rPr>
            </w:pPr>
            <w:r w:rsidRPr="007223F2">
              <w:rPr>
                <w:rFonts w:cs="Arial"/>
              </w:rPr>
              <w:t>209</w:t>
            </w:r>
          </w:p>
        </w:tc>
        <w:tc>
          <w:tcPr>
            <w:tcW w:w="0" w:type="auto"/>
          </w:tcPr>
          <w:p w:rsidR="00BA7C2C" w:rsidRPr="007223F2" w:rsidRDefault="00BA7C2C" w:rsidP="00613EE2">
            <w:pPr>
              <w:rPr>
                <w:rFonts w:cs="Arial"/>
              </w:rPr>
            </w:pPr>
            <w:r w:rsidRPr="007223F2">
              <w:rPr>
                <w:rFonts w:cs="Arial"/>
              </w:rPr>
              <w:t>78.7</w:t>
            </w:r>
          </w:p>
        </w:tc>
        <w:tc>
          <w:tcPr>
            <w:tcW w:w="0" w:type="auto"/>
          </w:tcPr>
          <w:p w:rsidR="00BA7C2C" w:rsidRPr="007223F2" w:rsidRDefault="00BA7C2C" w:rsidP="00613EE2">
            <w:pPr>
              <w:rPr>
                <w:rFonts w:cs="Arial"/>
              </w:rPr>
            </w:pPr>
            <w:r w:rsidRPr="007223F2">
              <w:rPr>
                <w:rFonts w:cs="Arial"/>
              </w:rPr>
              <w:t>0.125</w:t>
            </w:r>
          </w:p>
        </w:tc>
        <w:tc>
          <w:tcPr>
            <w:tcW w:w="0" w:type="auto"/>
          </w:tcPr>
          <w:p w:rsidR="00BA7C2C" w:rsidRPr="007223F2" w:rsidRDefault="00BA7C2C" w:rsidP="00613EE2">
            <w:pPr>
              <w:rPr>
                <w:rFonts w:cs="Arial"/>
              </w:rPr>
            </w:pPr>
            <w:r w:rsidRPr="007223F2">
              <w:rPr>
                <w:rFonts w:cs="Arial"/>
              </w:rPr>
              <w:t>0.598</w:t>
            </w:r>
          </w:p>
        </w:tc>
        <w:tc>
          <w:tcPr>
            <w:tcW w:w="0" w:type="auto"/>
          </w:tcPr>
          <w:p w:rsidR="00BA7C2C" w:rsidRPr="007223F2" w:rsidRDefault="00BA7C2C" w:rsidP="00613EE2">
            <w:pPr>
              <w:rPr>
                <w:rFonts w:cs="Arial"/>
              </w:rPr>
            </w:pPr>
            <w:r w:rsidRPr="007223F2">
              <w:rPr>
                <w:rFonts w:cs="Arial"/>
              </w:rPr>
              <w:t>0.062</w:t>
            </w:r>
          </w:p>
        </w:tc>
        <w:tc>
          <w:tcPr>
            <w:tcW w:w="1636" w:type="dxa"/>
          </w:tcPr>
          <w:p w:rsidR="00BA7C2C" w:rsidRPr="007223F2" w:rsidRDefault="00BA7C2C" w:rsidP="00613EE2">
            <w:pPr>
              <w:rPr>
                <w:rFonts w:cs="Arial"/>
              </w:rPr>
            </w:pPr>
            <w:r w:rsidRPr="007223F2">
              <w:rPr>
                <w:rFonts w:cs="Arial"/>
              </w:rPr>
              <w:t>0.297</w:t>
            </w:r>
          </w:p>
        </w:tc>
      </w:tr>
      <w:tr w:rsidR="00BA7C2C" w:rsidRPr="007223F2" w:rsidTr="00613EE2">
        <w:trPr>
          <w:cantSplit/>
        </w:trPr>
        <w:tc>
          <w:tcPr>
            <w:tcW w:w="9185" w:type="dxa"/>
            <w:gridSpan w:val="7"/>
          </w:tcPr>
          <w:p w:rsidR="00BA7C2C" w:rsidRPr="007223F2" w:rsidRDefault="00BA7C2C" w:rsidP="00613EE2">
            <w:pPr>
              <w:rPr>
                <w:rFonts w:cs="Arial"/>
                <w:b/>
              </w:rPr>
            </w:pPr>
            <w:r w:rsidRPr="007223F2">
              <w:rPr>
                <w:rFonts w:cs="Arial"/>
                <w:b/>
              </w:rPr>
              <w:t>Mammals</w:t>
            </w:r>
          </w:p>
        </w:tc>
      </w:tr>
      <w:tr w:rsidR="00BA7C2C" w:rsidRPr="007223F2" w:rsidTr="00613EE2">
        <w:trPr>
          <w:cantSplit/>
        </w:trPr>
        <w:tc>
          <w:tcPr>
            <w:tcW w:w="1870" w:type="dxa"/>
            <w:shd w:val="clear" w:color="auto" w:fill="auto"/>
          </w:tcPr>
          <w:p w:rsidR="00BA7C2C" w:rsidRPr="007223F2" w:rsidRDefault="00BA7C2C" w:rsidP="00613EE2">
            <w:pPr>
              <w:rPr>
                <w:rFonts w:cs="Arial"/>
                <w:i/>
              </w:rPr>
            </w:pPr>
            <w:r w:rsidRPr="007223F2">
              <w:rPr>
                <w:rFonts w:cs="Arial"/>
                <w:i/>
              </w:rPr>
              <w:t>Vulpes vulpes</w:t>
            </w:r>
          </w:p>
        </w:tc>
        <w:tc>
          <w:tcPr>
            <w:tcW w:w="840" w:type="dxa"/>
            <w:shd w:val="clear" w:color="auto" w:fill="auto"/>
          </w:tcPr>
          <w:p w:rsidR="00BA7C2C" w:rsidRPr="007223F2" w:rsidRDefault="00BA7C2C" w:rsidP="00613EE2">
            <w:pPr>
              <w:rPr>
                <w:rFonts w:cs="Arial"/>
              </w:rPr>
            </w:pPr>
            <w:r w:rsidRPr="007223F2">
              <w:rPr>
                <w:rFonts w:cs="Arial"/>
              </w:rPr>
              <w:t>5,700</w:t>
            </w:r>
          </w:p>
        </w:tc>
        <w:tc>
          <w:tcPr>
            <w:tcW w:w="0" w:type="auto"/>
            <w:shd w:val="clear" w:color="auto" w:fill="auto"/>
          </w:tcPr>
          <w:p w:rsidR="00BA7C2C" w:rsidRPr="007223F2" w:rsidRDefault="00BA7C2C" w:rsidP="00613EE2">
            <w:pPr>
              <w:rPr>
                <w:rFonts w:cs="Arial"/>
              </w:rPr>
            </w:pPr>
            <w:r w:rsidRPr="007223F2">
              <w:rPr>
                <w:rFonts w:cs="Arial"/>
              </w:rPr>
              <w:t>520.2</w:t>
            </w:r>
          </w:p>
        </w:tc>
        <w:tc>
          <w:tcPr>
            <w:tcW w:w="0" w:type="auto"/>
            <w:shd w:val="clear" w:color="auto" w:fill="auto"/>
          </w:tcPr>
          <w:p w:rsidR="00BA7C2C" w:rsidRPr="007223F2" w:rsidRDefault="00BA7C2C" w:rsidP="00613EE2">
            <w:pPr>
              <w:rPr>
                <w:rFonts w:cs="Arial"/>
              </w:rPr>
            </w:pPr>
            <w:r w:rsidRPr="007223F2">
              <w:rPr>
                <w:rFonts w:cs="Arial"/>
              </w:rPr>
              <w:t>0.829</w:t>
            </w:r>
          </w:p>
        </w:tc>
        <w:tc>
          <w:tcPr>
            <w:tcW w:w="0" w:type="auto"/>
            <w:shd w:val="clear" w:color="auto" w:fill="auto"/>
          </w:tcPr>
          <w:p w:rsidR="00BA7C2C" w:rsidRPr="007223F2" w:rsidRDefault="00BA7C2C" w:rsidP="00613EE2">
            <w:pPr>
              <w:rPr>
                <w:rFonts w:cs="Arial"/>
              </w:rPr>
            </w:pPr>
            <w:r w:rsidRPr="007223F2">
              <w:rPr>
                <w:rFonts w:cs="Arial"/>
              </w:rPr>
              <w:t>0.145</w:t>
            </w:r>
          </w:p>
        </w:tc>
        <w:tc>
          <w:tcPr>
            <w:tcW w:w="0" w:type="auto"/>
            <w:shd w:val="clear" w:color="auto" w:fill="auto"/>
          </w:tcPr>
          <w:p w:rsidR="00BA7C2C" w:rsidRPr="007223F2" w:rsidRDefault="00BA7C2C" w:rsidP="00613EE2">
            <w:pPr>
              <w:rPr>
                <w:rFonts w:cs="Arial"/>
              </w:rPr>
            </w:pPr>
            <w:r w:rsidRPr="007223F2">
              <w:rPr>
                <w:rFonts w:cs="Arial"/>
              </w:rPr>
              <w:t>0.407</w:t>
            </w:r>
          </w:p>
        </w:tc>
        <w:tc>
          <w:tcPr>
            <w:tcW w:w="1636" w:type="dxa"/>
            <w:shd w:val="clear" w:color="auto" w:fill="auto"/>
          </w:tcPr>
          <w:p w:rsidR="00BA7C2C" w:rsidRPr="007223F2" w:rsidRDefault="00BA7C2C" w:rsidP="00613EE2">
            <w:pPr>
              <w:rPr>
                <w:rFonts w:cs="Arial"/>
              </w:rPr>
            </w:pPr>
            <w:r w:rsidRPr="007223F2">
              <w:rPr>
                <w:rFonts w:cs="Arial"/>
              </w:rPr>
              <w:t>0.071</w:t>
            </w:r>
          </w:p>
        </w:tc>
      </w:tr>
      <w:tr w:rsidR="00BA7C2C" w:rsidRPr="007223F2" w:rsidTr="00613EE2">
        <w:trPr>
          <w:cantSplit/>
        </w:trPr>
        <w:tc>
          <w:tcPr>
            <w:tcW w:w="1870" w:type="dxa"/>
            <w:shd w:val="clear" w:color="auto" w:fill="auto"/>
          </w:tcPr>
          <w:p w:rsidR="00BA7C2C" w:rsidRPr="007223F2" w:rsidRDefault="00BA7C2C" w:rsidP="00613EE2">
            <w:pPr>
              <w:rPr>
                <w:rFonts w:cs="Arial"/>
                <w:i/>
              </w:rPr>
            </w:pPr>
            <w:r w:rsidRPr="007223F2">
              <w:rPr>
                <w:rFonts w:cs="Arial"/>
                <w:i/>
              </w:rPr>
              <w:t>Mustela putorius</w:t>
            </w:r>
          </w:p>
        </w:tc>
        <w:tc>
          <w:tcPr>
            <w:tcW w:w="840" w:type="dxa"/>
            <w:shd w:val="clear" w:color="auto" w:fill="auto"/>
          </w:tcPr>
          <w:p w:rsidR="00BA7C2C" w:rsidRPr="007223F2" w:rsidRDefault="00BA7C2C" w:rsidP="00613EE2">
            <w:pPr>
              <w:rPr>
                <w:rFonts w:cs="Arial"/>
              </w:rPr>
            </w:pPr>
            <w:r w:rsidRPr="007223F2">
              <w:rPr>
                <w:rFonts w:cs="Arial"/>
              </w:rPr>
              <w:t>689</w:t>
            </w:r>
          </w:p>
        </w:tc>
        <w:tc>
          <w:tcPr>
            <w:tcW w:w="0" w:type="auto"/>
            <w:shd w:val="clear" w:color="auto" w:fill="auto"/>
          </w:tcPr>
          <w:p w:rsidR="00BA7C2C" w:rsidRPr="007223F2" w:rsidRDefault="00BA7C2C" w:rsidP="00613EE2">
            <w:pPr>
              <w:rPr>
                <w:rFonts w:cs="Arial"/>
              </w:rPr>
            </w:pPr>
            <w:r w:rsidRPr="007223F2">
              <w:rPr>
                <w:rFonts w:cs="Arial"/>
              </w:rPr>
              <w:t>130.9</w:t>
            </w:r>
          </w:p>
        </w:tc>
        <w:tc>
          <w:tcPr>
            <w:tcW w:w="0" w:type="auto"/>
            <w:shd w:val="clear" w:color="auto" w:fill="auto"/>
          </w:tcPr>
          <w:p w:rsidR="00BA7C2C" w:rsidRPr="007223F2" w:rsidRDefault="00BA7C2C" w:rsidP="00613EE2">
            <w:pPr>
              <w:rPr>
                <w:rFonts w:cs="Arial"/>
              </w:rPr>
            </w:pPr>
            <w:r w:rsidRPr="007223F2">
              <w:rPr>
                <w:rFonts w:cs="Arial"/>
              </w:rPr>
              <w:t>0.209</w:t>
            </w:r>
          </w:p>
        </w:tc>
        <w:tc>
          <w:tcPr>
            <w:tcW w:w="0" w:type="auto"/>
            <w:shd w:val="clear" w:color="auto" w:fill="auto"/>
          </w:tcPr>
          <w:p w:rsidR="00BA7C2C" w:rsidRPr="007223F2" w:rsidRDefault="00BA7C2C" w:rsidP="00613EE2">
            <w:pPr>
              <w:rPr>
                <w:rFonts w:cs="Arial"/>
              </w:rPr>
            </w:pPr>
            <w:r w:rsidRPr="007223F2">
              <w:rPr>
                <w:rFonts w:cs="Arial"/>
              </w:rPr>
              <w:t>0.303</w:t>
            </w:r>
          </w:p>
        </w:tc>
        <w:tc>
          <w:tcPr>
            <w:tcW w:w="0" w:type="auto"/>
            <w:shd w:val="clear" w:color="auto" w:fill="auto"/>
          </w:tcPr>
          <w:p w:rsidR="00BA7C2C" w:rsidRPr="007223F2" w:rsidRDefault="00BA7C2C" w:rsidP="00613EE2">
            <w:pPr>
              <w:rPr>
                <w:rFonts w:cs="Arial"/>
              </w:rPr>
            </w:pPr>
            <w:r w:rsidRPr="007223F2">
              <w:rPr>
                <w:rFonts w:cs="Arial"/>
              </w:rPr>
              <w:t>0.102</w:t>
            </w:r>
          </w:p>
        </w:tc>
        <w:tc>
          <w:tcPr>
            <w:tcW w:w="1636" w:type="dxa"/>
            <w:shd w:val="clear" w:color="auto" w:fill="auto"/>
          </w:tcPr>
          <w:p w:rsidR="00BA7C2C" w:rsidRPr="007223F2" w:rsidRDefault="00BA7C2C" w:rsidP="00613EE2">
            <w:pPr>
              <w:rPr>
                <w:rFonts w:cs="Arial"/>
              </w:rPr>
            </w:pPr>
            <w:r w:rsidRPr="007223F2">
              <w:rPr>
                <w:rFonts w:cs="Arial"/>
              </w:rPr>
              <w:t>0.148</w:t>
            </w:r>
          </w:p>
        </w:tc>
      </w:tr>
      <w:tr w:rsidR="00BA7C2C" w:rsidRPr="007223F2" w:rsidTr="00613EE2">
        <w:trPr>
          <w:cantSplit/>
        </w:trPr>
        <w:tc>
          <w:tcPr>
            <w:tcW w:w="1870" w:type="dxa"/>
            <w:shd w:val="clear" w:color="auto" w:fill="auto"/>
          </w:tcPr>
          <w:p w:rsidR="00BA7C2C" w:rsidRPr="007223F2" w:rsidRDefault="00BA7C2C" w:rsidP="00613EE2">
            <w:pPr>
              <w:rPr>
                <w:rFonts w:cs="Arial"/>
                <w:i/>
              </w:rPr>
            </w:pPr>
            <w:r w:rsidRPr="007223F2">
              <w:rPr>
                <w:rFonts w:cs="Arial"/>
                <w:i/>
              </w:rPr>
              <w:t>Mustela erminea</w:t>
            </w:r>
          </w:p>
        </w:tc>
        <w:tc>
          <w:tcPr>
            <w:tcW w:w="840" w:type="dxa"/>
            <w:shd w:val="clear" w:color="auto" w:fill="auto"/>
          </w:tcPr>
          <w:p w:rsidR="00BA7C2C" w:rsidRPr="007223F2" w:rsidRDefault="00BA7C2C" w:rsidP="00613EE2">
            <w:pPr>
              <w:rPr>
                <w:rFonts w:cs="Arial"/>
              </w:rPr>
            </w:pPr>
            <w:r w:rsidRPr="007223F2">
              <w:rPr>
                <w:rFonts w:cs="Arial"/>
              </w:rPr>
              <w:t>205</w:t>
            </w:r>
          </w:p>
        </w:tc>
        <w:tc>
          <w:tcPr>
            <w:tcW w:w="0" w:type="auto"/>
            <w:shd w:val="clear" w:color="auto" w:fill="auto"/>
          </w:tcPr>
          <w:p w:rsidR="00BA7C2C" w:rsidRPr="007223F2" w:rsidRDefault="00BA7C2C" w:rsidP="00613EE2">
            <w:pPr>
              <w:rPr>
                <w:rFonts w:cs="Arial"/>
              </w:rPr>
            </w:pPr>
            <w:r w:rsidRPr="007223F2">
              <w:rPr>
                <w:rFonts w:cs="Arial"/>
              </w:rPr>
              <w:t>55.7</w:t>
            </w:r>
          </w:p>
        </w:tc>
        <w:tc>
          <w:tcPr>
            <w:tcW w:w="0" w:type="auto"/>
            <w:shd w:val="clear" w:color="auto" w:fill="auto"/>
          </w:tcPr>
          <w:p w:rsidR="00BA7C2C" w:rsidRPr="007223F2" w:rsidRDefault="00BA7C2C" w:rsidP="00613EE2">
            <w:pPr>
              <w:rPr>
                <w:rFonts w:cs="Arial"/>
              </w:rPr>
            </w:pPr>
            <w:r w:rsidRPr="007223F2">
              <w:rPr>
                <w:rFonts w:cs="Arial"/>
              </w:rPr>
              <w:t>0.089</w:t>
            </w:r>
          </w:p>
        </w:tc>
        <w:tc>
          <w:tcPr>
            <w:tcW w:w="0" w:type="auto"/>
            <w:shd w:val="clear" w:color="auto" w:fill="auto"/>
          </w:tcPr>
          <w:p w:rsidR="00BA7C2C" w:rsidRPr="007223F2" w:rsidRDefault="00BA7C2C" w:rsidP="00613EE2">
            <w:pPr>
              <w:rPr>
                <w:rFonts w:cs="Arial"/>
              </w:rPr>
            </w:pPr>
            <w:r w:rsidRPr="007223F2">
              <w:rPr>
                <w:rFonts w:cs="Arial"/>
              </w:rPr>
              <w:t>0.434</w:t>
            </w:r>
          </w:p>
        </w:tc>
        <w:tc>
          <w:tcPr>
            <w:tcW w:w="0" w:type="auto"/>
            <w:shd w:val="clear" w:color="auto" w:fill="auto"/>
          </w:tcPr>
          <w:p w:rsidR="00BA7C2C" w:rsidRPr="007223F2" w:rsidRDefault="00BA7C2C" w:rsidP="00613EE2">
            <w:pPr>
              <w:rPr>
                <w:rFonts w:cs="Arial"/>
              </w:rPr>
            </w:pPr>
            <w:r w:rsidRPr="007223F2">
              <w:rPr>
                <w:rFonts w:cs="Arial"/>
              </w:rPr>
              <w:t>0.044</w:t>
            </w:r>
          </w:p>
        </w:tc>
        <w:tc>
          <w:tcPr>
            <w:tcW w:w="1636" w:type="dxa"/>
            <w:shd w:val="clear" w:color="auto" w:fill="auto"/>
          </w:tcPr>
          <w:p w:rsidR="00BA7C2C" w:rsidRPr="007223F2" w:rsidRDefault="00BA7C2C" w:rsidP="00613EE2">
            <w:pPr>
              <w:rPr>
                <w:rFonts w:cs="Arial"/>
              </w:rPr>
            </w:pPr>
            <w:r w:rsidRPr="007223F2">
              <w:rPr>
                <w:rFonts w:cs="Arial"/>
              </w:rPr>
              <w:t>0.215</w:t>
            </w:r>
          </w:p>
        </w:tc>
      </w:tr>
      <w:tr w:rsidR="00BA7C2C" w:rsidRPr="007223F2" w:rsidTr="00613EE2">
        <w:trPr>
          <w:cantSplit/>
        </w:trPr>
        <w:tc>
          <w:tcPr>
            <w:tcW w:w="1870" w:type="dxa"/>
            <w:shd w:val="clear" w:color="auto" w:fill="auto"/>
          </w:tcPr>
          <w:p w:rsidR="00BA7C2C" w:rsidRPr="007223F2" w:rsidRDefault="00BA7C2C" w:rsidP="00613EE2">
            <w:pPr>
              <w:rPr>
                <w:rFonts w:cs="Arial"/>
                <w:i/>
              </w:rPr>
            </w:pPr>
            <w:r w:rsidRPr="007223F2">
              <w:rPr>
                <w:rFonts w:cs="Arial"/>
                <w:i/>
              </w:rPr>
              <w:t>Mustela nivalis</w:t>
            </w:r>
          </w:p>
        </w:tc>
        <w:tc>
          <w:tcPr>
            <w:tcW w:w="840" w:type="dxa"/>
            <w:shd w:val="clear" w:color="auto" w:fill="auto"/>
          </w:tcPr>
          <w:p w:rsidR="00BA7C2C" w:rsidRPr="007223F2" w:rsidRDefault="00BA7C2C" w:rsidP="00613EE2">
            <w:pPr>
              <w:rPr>
                <w:rFonts w:cs="Arial"/>
              </w:rPr>
            </w:pPr>
            <w:r w:rsidRPr="007223F2">
              <w:rPr>
                <w:rFonts w:cs="Arial"/>
              </w:rPr>
              <w:t>63</w:t>
            </w:r>
          </w:p>
        </w:tc>
        <w:tc>
          <w:tcPr>
            <w:tcW w:w="0" w:type="auto"/>
            <w:shd w:val="clear" w:color="auto" w:fill="auto"/>
          </w:tcPr>
          <w:p w:rsidR="00BA7C2C" w:rsidRPr="007223F2" w:rsidRDefault="00BA7C2C" w:rsidP="00613EE2">
            <w:pPr>
              <w:rPr>
                <w:rFonts w:cs="Arial"/>
              </w:rPr>
            </w:pPr>
            <w:r w:rsidRPr="007223F2">
              <w:rPr>
                <w:rFonts w:cs="Arial"/>
              </w:rPr>
              <w:t>24.7</w:t>
            </w:r>
          </w:p>
        </w:tc>
        <w:tc>
          <w:tcPr>
            <w:tcW w:w="0" w:type="auto"/>
            <w:shd w:val="clear" w:color="auto" w:fill="auto"/>
          </w:tcPr>
          <w:p w:rsidR="00BA7C2C" w:rsidRPr="007223F2" w:rsidRDefault="00BA7C2C" w:rsidP="00613EE2">
            <w:pPr>
              <w:rPr>
                <w:rFonts w:cs="Arial"/>
              </w:rPr>
            </w:pPr>
            <w:r w:rsidRPr="007223F2">
              <w:rPr>
                <w:rFonts w:cs="Arial"/>
              </w:rPr>
              <w:t>0.039</w:t>
            </w:r>
          </w:p>
        </w:tc>
        <w:tc>
          <w:tcPr>
            <w:tcW w:w="0" w:type="auto"/>
            <w:shd w:val="clear" w:color="auto" w:fill="auto"/>
          </w:tcPr>
          <w:p w:rsidR="00BA7C2C" w:rsidRPr="007223F2" w:rsidRDefault="00BA7C2C" w:rsidP="00613EE2">
            <w:pPr>
              <w:rPr>
                <w:rFonts w:cs="Arial"/>
              </w:rPr>
            </w:pPr>
            <w:r w:rsidRPr="007223F2">
              <w:rPr>
                <w:rFonts w:cs="Arial"/>
              </w:rPr>
              <w:t>0.619</w:t>
            </w:r>
          </w:p>
        </w:tc>
        <w:tc>
          <w:tcPr>
            <w:tcW w:w="0" w:type="auto"/>
            <w:shd w:val="clear" w:color="auto" w:fill="auto"/>
          </w:tcPr>
          <w:p w:rsidR="00BA7C2C" w:rsidRPr="007223F2" w:rsidRDefault="00BA7C2C" w:rsidP="00613EE2">
            <w:pPr>
              <w:rPr>
                <w:rFonts w:cs="Arial"/>
              </w:rPr>
            </w:pPr>
            <w:r w:rsidRPr="007223F2">
              <w:rPr>
                <w:rFonts w:cs="Arial"/>
              </w:rPr>
              <w:t>0.019</w:t>
            </w:r>
          </w:p>
        </w:tc>
        <w:tc>
          <w:tcPr>
            <w:tcW w:w="1636" w:type="dxa"/>
            <w:shd w:val="clear" w:color="auto" w:fill="auto"/>
          </w:tcPr>
          <w:p w:rsidR="00BA7C2C" w:rsidRPr="007223F2" w:rsidRDefault="00BA7C2C" w:rsidP="00613EE2">
            <w:pPr>
              <w:rPr>
                <w:rFonts w:cs="Arial"/>
              </w:rPr>
            </w:pPr>
            <w:r w:rsidRPr="007223F2">
              <w:rPr>
                <w:rFonts w:cs="Arial"/>
              </w:rPr>
              <w:t>0.302</w:t>
            </w:r>
          </w:p>
        </w:tc>
      </w:tr>
      <w:tr w:rsidR="00BA7C2C" w:rsidRPr="007223F2" w:rsidTr="00613EE2">
        <w:trPr>
          <w:cantSplit/>
        </w:trPr>
        <w:tc>
          <w:tcPr>
            <w:tcW w:w="1870" w:type="dxa"/>
            <w:shd w:val="clear" w:color="auto" w:fill="auto"/>
          </w:tcPr>
          <w:p w:rsidR="00BA7C2C" w:rsidRPr="007223F2" w:rsidRDefault="00BA7C2C" w:rsidP="00613EE2">
            <w:pPr>
              <w:rPr>
                <w:rFonts w:cs="Arial"/>
              </w:rPr>
            </w:pPr>
            <w:r w:rsidRPr="007223F2">
              <w:rPr>
                <w:rFonts w:cs="Arial"/>
              </w:rPr>
              <w:t>Dogs</w:t>
            </w:r>
          </w:p>
        </w:tc>
        <w:tc>
          <w:tcPr>
            <w:tcW w:w="840" w:type="dxa"/>
            <w:shd w:val="clear" w:color="auto" w:fill="auto"/>
          </w:tcPr>
          <w:p w:rsidR="00BA7C2C" w:rsidRPr="007223F2" w:rsidRDefault="00BA7C2C" w:rsidP="00613EE2">
            <w:pPr>
              <w:rPr>
                <w:rFonts w:cs="Arial"/>
              </w:rPr>
            </w:pPr>
            <w:r w:rsidRPr="007223F2">
              <w:rPr>
                <w:rFonts w:cs="Arial"/>
              </w:rPr>
              <w:t>10,000</w:t>
            </w:r>
          </w:p>
        </w:tc>
        <w:tc>
          <w:tcPr>
            <w:tcW w:w="0" w:type="auto"/>
            <w:shd w:val="clear" w:color="auto" w:fill="auto"/>
          </w:tcPr>
          <w:p w:rsidR="00BA7C2C" w:rsidRPr="007223F2" w:rsidRDefault="00BA7C2C" w:rsidP="00613EE2">
            <w:pPr>
              <w:rPr>
                <w:rFonts w:cs="Arial"/>
              </w:rPr>
            </w:pPr>
            <w:r w:rsidRPr="007223F2">
              <w:rPr>
                <w:rFonts w:cs="Arial"/>
              </w:rPr>
              <w:t>456</w:t>
            </w:r>
          </w:p>
        </w:tc>
        <w:tc>
          <w:tcPr>
            <w:tcW w:w="0" w:type="auto"/>
            <w:shd w:val="clear" w:color="auto" w:fill="auto"/>
          </w:tcPr>
          <w:p w:rsidR="00BA7C2C" w:rsidRPr="007223F2" w:rsidRDefault="00BA7C2C" w:rsidP="00613EE2">
            <w:pPr>
              <w:rPr>
                <w:rFonts w:cs="Arial"/>
              </w:rPr>
            </w:pPr>
            <w:r w:rsidRPr="007223F2">
              <w:rPr>
                <w:rFonts w:cs="Arial"/>
              </w:rPr>
              <w:t>0.727</w:t>
            </w:r>
          </w:p>
        </w:tc>
        <w:tc>
          <w:tcPr>
            <w:tcW w:w="0" w:type="auto"/>
            <w:shd w:val="clear" w:color="auto" w:fill="auto"/>
          </w:tcPr>
          <w:p w:rsidR="00BA7C2C" w:rsidRPr="007223F2" w:rsidRDefault="00BA7C2C" w:rsidP="00613EE2">
            <w:pPr>
              <w:rPr>
                <w:rFonts w:cs="Arial"/>
              </w:rPr>
            </w:pPr>
            <w:r w:rsidRPr="007223F2">
              <w:rPr>
                <w:rFonts w:cs="Arial"/>
              </w:rPr>
              <w:t>0.073</w:t>
            </w:r>
          </w:p>
        </w:tc>
        <w:tc>
          <w:tcPr>
            <w:tcW w:w="0" w:type="auto"/>
            <w:shd w:val="clear" w:color="auto" w:fill="auto"/>
          </w:tcPr>
          <w:p w:rsidR="00BA7C2C" w:rsidRPr="007223F2" w:rsidRDefault="00BA7C2C" w:rsidP="00613EE2">
            <w:pPr>
              <w:rPr>
                <w:rFonts w:cs="Arial"/>
              </w:rPr>
            </w:pPr>
            <w:r w:rsidRPr="007223F2">
              <w:rPr>
                <w:rFonts w:cs="Arial"/>
              </w:rPr>
              <w:t>0.364</w:t>
            </w:r>
          </w:p>
        </w:tc>
        <w:tc>
          <w:tcPr>
            <w:tcW w:w="1636" w:type="dxa"/>
            <w:shd w:val="clear" w:color="auto" w:fill="auto"/>
          </w:tcPr>
          <w:p w:rsidR="00BA7C2C" w:rsidRPr="007223F2" w:rsidRDefault="00BA7C2C" w:rsidP="00613EE2">
            <w:pPr>
              <w:keepNext/>
              <w:spacing w:before="40" w:after="40" w:line="240" w:lineRule="auto"/>
              <w:rPr>
                <w:rFonts w:cs="Arial"/>
                <w:szCs w:val="22"/>
              </w:rPr>
            </w:pPr>
            <w:r w:rsidRPr="007223F2">
              <w:rPr>
                <w:rFonts w:cs="Arial"/>
              </w:rPr>
              <w:t>0.0</w:t>
            </w:r>
            <w:r w:rsidRPr="007223F2">
              <w:rPr>
                <w:rFonts w:cs="Arial"/>
                <w:szCs w:val="22"/>
              </w:rPr>
              <w:t>36</w:t>
            </w:r>
          </w:p>
        </w:tc>
      </w:tr>
      <w:tr w:rsidR="00BA7C2C" w:rsidRPr="007223F2" w:rsidTr="00613EE2">
        <w:trPr>
          <w:cantSplit/>
        </w:trPr>
        <w:tc>
          <w:tcPr>
            <w:tcW w:w="9185" w:type="dxa"/>
            <w:gridSpan w:val="7"/>
            <w:tcBorders>
              <w:left w:val="single" w:sz="4" w:space="0" w:color="auto"/>
              <w:bottom w:val="single" w:sz="4" w:space="0" w:color="auto"/>
              <w:right w:val="single" w:sz="4" w:space="0" w:color="auto"/>
            </w:tcBorders>
          </w:tcPr>
          <w:p w:rsidR="00BA7C2C" w:rsidRPr="007223F2" w:rsidRDefault="00BA7C2C" w:rsidP="00613EE2">
            <w:pPr>
              <w:rPr>
                <w:rFonts w:cs="Arial"/>
              </w:rPr>
            </w:pPr>
            <w:r w:rsidRPr="007223F2">
              <w:rPr>
                <w:rFonts w:cs="Arial"/>
                <w:vertAlign w:val="superscript"/>
              </w:rPr>
              <w:t xml:space="preserve">a </w:t>
            </w:r>
            <w:r w:rsidRPr="007223F2">
              <w:rPr>
                <w:rFonts w:cs="Arial"/>
              </w:rPr>
              <w:t>Based on a rodent containing 3.189 mg bromadiolone/kg (100% of their diet is paste bait).</w:t>
            </w:r>
            <w:r w:rsidRPr="007223F2">
              <w:rPr>
                <w:rFonts w:cs="Arial"/>
              </w:rPr>
              <w:br/>
            </w:r>
            <w:r w:rsidRPr="007223F2">
              <w:rPr>
                <w:rFonts w:cs="Arial"/>
                <w:vertAlign w:val="superscript"/>
              </w:rPr>
              <w:t>b</w:t>
            </w:r>
            <w:r w:rsidRPr="007223F2">
              <w:rPr>
                <w:rFonts w:cs="Arial"/>
              </w:rPr>
              <w:t xml:space="preserve"> Based on a rodent containing 1.563 mg bromadiolone/kg (100% of their diet is paste bait).</w:t>
            </w:r>
          </w:p>
        </w:tc>
      </w:tr>
    </w:tbl>
    <w:p w:rsidR="00BA7C2C" w:rsidRPr="007223F2" w:rsidRDefault="00BA7C2C" w:rsidP="00BA7C2C">
      <w:pPr>
        <w:rPr>
          <w:rFonts w:cs="Arial"/>
        </w:rPr>
      </w:pPr>
    </w:p>
    <w:p w:rsidR="00BA7C2C" w:rsidRPr="007223F2" w:rsidRDefault="00BA7C2C" w:rsidP="00BA7C2C">
      <w:pPr>
        <w:rPr>
          <w:rFonts w:cs="Arial"/>
          <w:b/>
        </w:rPr>
      </w:pPr>
      <w:r w:rsidRPr="007223F2">
        <w:rPr>
          <w:rFonts w:cs="Arial"/>
          <w:b/>
          <w:szCs w:val="22"/>
        </w:rPr>
        <w:t xml:space="preserve">Estimated intakes and concentrations of bromadiolone (BDN) in predatory and scavenging birds </w:t>
      </w:r>
      <w:r w:rsidRPr="007223F2">
        <w:rPr>
          <w:rFonts w:cs="Arial"/>
          <w:b/>
        </w:rPr>
        <w:t>and mammals ingesting target rodents, assuming poisoned rodents comprise 50% of a bird‘s diet and that bait contributed 50% of the target rodents’ daily food intake</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938"/>
        <w:gridCol w:w="975"/>
        <w:gridCol w:w="1327"/>
        <w:gridCol w:w="1435"/>
        <w:gridCol w:w="1341"/>
        <w:gridCol w:w="1453"/>
      </w:tblGrid>
      <w:tr w:rsidR="00BA7C2C" w:rsidRPr="007223F2" w:rsidTr="00613EE2">
        <w:trPr>
          <w:cantSplit/>
        </w:trPr>
        <w:tc>
          <w:tcPr>
            <w:tcW w:w="1870" w:type="dxa"/>
            <w:vMerge w:val="restart"/>
          </w:tcPr>
          <w:p w:rsidR="00BA7C2C" w:rsidRPr="007223F2" w:rsidRDefault="00BA7C2C" w:rsidP="00613EE2">
            <w:pPr>
              <w:rPr>
                <w:rFonts w:cs="Arial"/>
                <w:b/>
              </w:rPr>
            </w:pPr>
            <w:r w:rsidRPr="007223F2">
              <w:rPr>
                <w:rFonts w:cs="Arial"/>
                <w:b/>
              </w:rPr>
              <w:t>Non-target avian or mammalian predator</w:t>
            </w:r>
          </w:p>
        </w:tc>
        <w:tc>
          <w:tcPr>
            <w:tcW w:w="0" w:type="auto"/>
            <w:vMerge w:val="restart"/>
          </w:tcPr>
          <w:p w:rsidR="00BA7C2C" w:rsidRPr="007223F2" w:rsidRDefault="00BA7C2C" w:rsidP="00613EE2">
            <w:pPr>
              <w:rPr>
                <w:rFonts w:cs="Arial"/>
                <w:b/>
              </w:rPr>
            </w:pPr>
            <w:r w:rsidRPr="007223F2">
              <w:rPr>
                <w:rFonts w:cs="Arial"/>
                <w:b/>
              </w:rPr>
              <w:t>Mean body weight (g)</w:t>
            </w:r>
          </w:p>
        </w:tc>
        <w:tc>
          <w:tcPr>
            <w:tcW w:w="0" w:type="auto"/>
            <w:vMerge w:val="restart"/>
          </w:tcPr>
          <w:p w:rsidR="00BA7C2C" w:rsidRPr="007223F2" w:rsidRDefault="00BA7C2C" w:rsidP="00613EE2">
            <w:pPr>
              <w:keepNext/>
              <w:spacing w:before="40" w:after="40" w:line="240" w:lineRule="auto"/>
              <w:rPr>
                <w:rFonts w:cs="Arial"/>
                <w:b/>
              </w:rPr>
            </w:pPr>
            <w:r w:rsidRPr="007223F2">
              <w:rPr>
                <w:rFonts w:cs="Arial"/>
                <w:b/>
              </w:rPr>
              <w:t>Daily food intake (g/day)</w:t>
            </w:r>
          </w:p>
        </w:tc>
        <w:tc>
          <w:tcPr>
            <w:tcW w:w="0" w:type="auto"/>
            <w:gridSpan w:val="2"/>
          </w:tcPr>
          <w:p w:rsidR="00BA7C2C" w:rsidRPr="007223F2" w:rsidRDefault="00BA7C2C" w:rsidP="00613EE2">
            <w:pPr>
              <w:rPr>
                <w:rFonts w:cs="Arial"/>
                <w:b/>
                <w:vertAlign w:val="superscript"/>
              </w:rPr>
            </w:pPr>
            <w:r w:rsidRPr="007223F2">
              <w:rPr>
                <w:rFonts w:cs="Arial"/>
                <w:b/>
              </w:rPr>
              <w:t>Normal susceptible rodents caught on day 5, just after their last meal</w:t>
            </w:r>
            <w:r w:rsidRPr="007223F2">
              <w:rPr>
                <w:rFonts w:cs="Arial"/>
                <w:b/>
                <w:vertAlign w:val="superscript"/>
              </w:rPr>
              <w:t>a</w:t>
            </w:r>
          </w:p>
        </w:tc>
        <w:tc>
          <w:tcPr>
            <w:tcW w:w="0" w:type="auto"/>
            <w:gridSpan w:val="2"/>
          </w:tcPr>
          <w:p w:rsidR="00BA7C2C" w:rsidRPr="007223F2" w:rsidRDefault="00BA7C2C" w:rsidP="00613EE2">
            <w:pPr>
              <w:rPr>
                <w:rFonts w:cs="Arial"/>
                <w:b/>
              </w:rPr>
            </w:pPr>
            <w:r w:rsidRPr="007223F2">
              <w:rPr>
                <w:rFonts w:cs="Arial"/>
                <w:b/>
              </w:rPr>
              <w:t>Normal susceptible rodents caught on day 7, two days after their last meal</w:t>
            </w:r>
            <w:r w:rsidRPr="007223F2">
              <w:rPr>
                <w:rFonts w:cs="Arial"/>
                <w:b/>
                <w:vertAlign w:val="superscript"/>
              </w:rPr>
              <w:t>b</w:t>
            </w:r>
          </w:p>
        </w:tc>
      </w:tr>
      <w:tr w:rsidR="00BA7C2C" w:rsidRPr="00A81FB4" w:rsidTr="00613EE2">
        <w:trPr>
          <w:cantSplit/>
        </w:trPr>
        <w:tc>
          <w:tcPr>
            <w:tcW w:w="1870" w:type="dxa"/>
            <w:vMerge/>
          </w:tcPr>
          <w:p w:rsidR="00BA7C2C" w:rsidRPr="007223F2" w:rsidRDefault="00BA7C2C" w:rsidP="00613EE2">
            <w:pPr>
              <w:pStyle w:val="Standard-italics"/>
              <w:spacing w:before="40" w:after="40"/>
              <w:rPr>
                <w:rFonts w:cs="Arial"/>
                <w:b/>
              </w:rPr>
            </w:pPr>
          </w:p>
        </w:tc>
        <w:tc>
          <w:tcPr>
            <w:tcW w:w="0" w:type="auto"/>
            <w:vMerge/>
          </w:tcPr>
          <w:p w:rsidR="00BA7C2C" w:rsidRPr="007223F2" w:rsidRDefault="00BA7C2C" w:rsidP="00613EE2">
            <w:pPr>
              <w:keepNext/>
              <w:spacing w:before="40" w:after="40" w:line="240" w:lineRule="auto"/>
              <w:rPr>
                <w:rFonts w:cs="Arial"/>
                <w:b/>
              </w:rPr>
            </w:pPr>
          </w:p>
        </w:tc>
        <w:tc>
          <w:tcPr>
            <w:tcW w:w="0" w:type="auto"/>
            <w:vMerge/>
          </w:tcPr>
          <w:p w:rsidR="00BA7C2C" w:rsidRPr="007223F2" w:rsidRDefault="00BA7C2C" w:rsidP="00613EE2">
            <w:pPr>
              <w:keepNext/>
              <w:spacing w:before="40" w:after="40" w:line="240" w:lineRule="auto"/>
              <w:rPr>
                <w:rFonts w:cs="Arial"/>
                <w:b/>
              </w:rPr>
            </w:pPr>
          </w:p>
        </w:tc>
        <w:tc>
          <w:tcPr>
            <w:tcW w:w="0" w:type="auto"/>
          </w:tcPr>
          <w:p w:rsidR="00BA7C2C" w:rsidRPr="007223F2" w:rsidRDefault="00BA7C2C" w:rsidP="00613EE2">
            <w:pPr>
              <w:rPr>
                <w:rFonts w:cs="Arial"/>
                <w:b/>
              </w:rPr>
            </w:pPr>
            <w:r w:rsidRPr="007223F2">
              <w:rPr>
                <w:rFonts w:cs="Arial"/>
                <w:b/>
              </w:rPr>
              <w:t>BDN consumed (mg)</w:t>
            </w:r>
          </w:p>
        </w:tc>
        <w:tc>
          <w:tcPr>
            <w:tcW w:w="0" w:type="auto"/>
          </w:tcPr>
          <w:p w:rsidR="00BA7C2C" w:rsidRPr="00BA7C2C" w:rsidRDefault="00BA7C2C" w:rsidP="00613EE2">
            <w:pPr>
              <w:rPr>
                <w:rFonts w:cs="Arial"/>
                <w:b/>
                <w:lang w:val="nl-NL"/>
              </w:rPr>
            </w:pPr>
            <w:r w:rsidRPr="00BA7C2C">
              <w:rPr>
                <w:rFonts w:cs="Arial"/>
                <w:b/>
                <w:lang w:val="nl-NL"/>
              </w:rPr>
              <w:t>BDN in predator (mg/kg bw)</w:t>
            </w:r>
          </w:p>
        </w:tc>
        <w:tc>
          <w:tcPr>
            <w:tcW w:w="0" w:type="auto"/>
          </w:tcPr>
          <w:p w:rsidR="00BA7C2C" w:rsidRPr="007223F2" w:rsidRDefault="00BA7C2C" w:rsidP="00613EE2">
            <w:pPr>
              <w:rPr>
                <w:rFonts w:cs="Arial"/>
                <w:b/>
              </w:rPr>
            </w:pPr>
            <w:r w:rsidRPr="007223F2">
              <w:rPr>
                <w:rFonts w:cs="Arial"/>
                <w:b/>
              </w:rPr>
              <w:t>BDN consumed (mg)</w:t>
            </w:r>
          </w:p>
        </w:tc>
        <w:tc>
          <w:tcPr>
            <w:tcW w:w="0" w:type="auto"/>
          </w:tcPr>
          <w:p w:rsidR="00BA7C2C" w:rsidRPr="00BA7C2C" w:rsidRDefault="00BA7C2C" w:rsidP="00613EE2">
            <w:pPr>
              <w:keepNext/>
              <w:spacing w:before="40" w:after="40" w:line="240" w:lineRule="auto"/>
              <w:rPr>
                <w:rFonts w:cs="Arial"/>
                <w:b/>
                <w:lang w:val="nl-NL"/>
              </w:rPr>
            </w:pPr>
            <w:r w:rsidRPr="00BA7C2C">
              <w:rPr>
                <w:rFonts w:cs="Arial"/>
                <w:b/>
                <w:lang w:val="nl-NL"/>
              </w:rPr>
              <w:t>BDN in predator (mg/kg bw)</w:t>
            </w:r>
          </w:p>
        </w:tc>
      </w:tr>
      <w:tr w:rsidR="00BA7C2C" w:rsidRPr="007223F2" w:rsidTr="00613EE2">
        <w:trPr>
          <w:cantSplit/>
        </w:trPr>
        <w:tc>
          <w:tcPr>
            <w:tcW w:w="9339" w:type="dxa"/>
            <w:gridSpan w:val="7"/>
          </w:tcPr>
          <w:p w:rsidR="00BA7C2C" w:rsidRPr="007223F2" w:rsidRDefault="00BA7C2C" w:rsidP="00613EE2">
            <w:pPr>
              <w:rPr>
                <w:rFonts w:cs="Arial"/>
                <w:b/>
              </w:rPr>
            </w:pPr>
            <w:r w:rsidRPr="007223F2">
              <w:rPr>
                <w:rFonts w:cs="Arial"/>
                <w:b/>
              </w:rPr>
              <w:t>Birds</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Tyto alba</w:t>
            </w:r>
          </w:p>
        </w:tc>
        <w:tc>
          <w:tcPr>
            <w:tcW w:w="0" w:type="auto"/>
          </w:tcPr>
          <w:p w:rsidR="00BA7C2C" w:rsidRPr="007223F2" w:rsidRDefault="00BA7C2C" w:rsidP="00613EE2">
            <w:pPr>
              <w:rPr>
                <w:rFonts w:cs="Arial"/>
              </w:rPr>
            </w:pPr>
            <w:r w:rsidRPr="007223F2">
              <w:rPr>
                <w:rFonts w:cs="Arial"/>
              </w:rPr>
              <w:t>294</w:t>
            </w:r>
          </w:p>
        </w:tc>
        <w:tc>
          <w:tcPr>
            <w:tcW w:w="0" w:type="auto"/>
          </w:tcPr>
          <w:p w:rsidR="00BA7C2C" w:rsidRPr="007223F2" w:rsidRDefault="00BA7C2C" w:rsidP="00613EE2">
            <w:pPr>
              <w:rPr>
                <w:rFonts w:cs="Arial"/>
              </w:rPr>
            </w:pPr>
            <w:r w:rsidRPr="007223F2">
              <w:rPr>
                <w:rFonts w:cs="Arial"/>
              </w:rPr>
              <w:t>72.9</w:t>
            </w:r>
          </w:p>
        </w:tc>
        <w:tc>
          <w:tcPr>
            <w:tcW w:w="0" w:type="auto"/>
          </w:tcPr>
          <w:p w:rsidR="00BA7C2C" w:rsidRPr="007223F2" w:rsidRDefault="00BA7C2C" w:rsidP="00613EE2">
            <w:pPr>
              <w:rPr>
                <w:rFonts w:cs="Arial"/>
              </w:rPr>
            </w:pPr>
            <w:r w:rsidRPr="007223F2">
              <w:rPr>
                <w:rFonts w:cs="Arial"/>
              </w:rPr>
              <w:t>0.058</w:t>
            </w:r>
          </w:p>
        </w:tc>
        <w:tc>
          <w:tcPr>
            <w:tcW w:w="0" w:type="auto"/>
          </w:tcPr>
          <w:p w:rsidR="00BA7C2C" w:rsidRPr="007223F2" w:rsidRDefault="00BA7C2C" w:rsidP="00613EE2">
            <w:pPr>
              <w:rPr>
                <w:rFonts w:cs="Arial"/>
              </w:rPr>
            </w:pPr>
            <w:r w:rsidRPr="007223F2">
              <w:rPr>
                <w:rFonts w:cs="Arial"/>
              </w:rPr>
              <w:t>0.197</w:t>
            </w:r>
          </w:p>
        </w:tc>
        <w:tc>
          <w:tcPr>
            <w:tcW w:w="0" w:type="auto"/>
          </w:tcPr>
          <w:p w:rsidR="00BA7C2C" w:rsidRPr="007223F2" w:rsidRDefault="00BA7C2C" w:rsidP="00613EE2">
            <w:pPr>
              <w:rPr>
                <w:rFonts w:cs="Arial"/>
              </w:rPr>
            </w:pPr>
            <w:r w:rsidRPr="007223F2">
              <w:rPr>
                <w:rFonts w:cs="Arial"/>
              </w:rPr>
              <w:t>0.028</w:t>
            </w:r>
          </w:p>
        </w:tc>
        <w:tc>
          <w:tcPr>
            <w:tcW w:w="0" w:type="auto"/>
          </w:tcPr>
          <w:p w:rsidR="00BA7C2C" w:rsidRPr="007223F2" w:rsidRDefault="00BA7C2C" w:rsidP="00613EE2">
            <w:pPr>
              <w:rPr>
                <w:rFonts w:cs="Arial"/>
              </w:rPr>
            </w:pPr>
            <w:r w:rsidRPr="007223F2">
              <w:rPr>
                <w:rFonts w:cs="Arial"/>
              </w:rPr>
              <w:t>0.095</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Athene noctua</w:t>
            </w:r>
          </w:p>
        </w:tc>
        <w:tc>
          <w:tcPr>
            <w:tcW w:w="0" w:type="auto"/>
          </w:tcPr>
          <w:p w:rsidR="00BA7C2C" w:rsidRPr="007223F2" w:rsidRDefault="00BA7C2C" w:rsidP="00613EE2">
            <w:pPr>
              <w:rPr>
                <w:rFonts w:cs="Arial"/>
              </w:rPr>
            </w:pPr>
            <w:r w:rsidRPr="007223F2">
              <w:rPr>
                <w:rFonts w:cs="Arial"/>
              </w:rPr>
              <w:t>164</w:t>
            </w:r>
          </w:p>
        </w:tc>
        <w:tc>
          <w:tcPr>
            <w:tcW w:w="0" w:type="auto"/>
          </w:tcPr>
          <w:p w:rsidR="00BA7C2C" w:rsidRPr="007223F2" w:rsidRDefault="00BA7C2C" w:rsidP="00613EE2">
            <w:pPr>
              <w:rPr>
                <w:rFonts w:cs="Arial"/>
              </w:rPr>
            </w:pPr>
            <w:r w:rsidRPr="007223F2">
              <w:rPr>
                <w:rFonts w:cs="Arial"/>
              </w:rPr>
              <w:t>46.4</w:t>
            </w:r>
          </w:p>
        </w:tc>
        <w:tc>
          <w:tcPr>
            <w:tcW w:w="0" w:type="auto"/>
          </w:tcPr>
          <w:p w:rsidR="00BA7C2C" w:rsidRPr="007223F2" w:rsidRDefault="00BA7C2C" w:rsidP="00613EE2">
            <w:pPr>
              <w:rPr>
                <w:rFonts w:cs="Arial"/>
              </w:rPr>
            </w:pPr>
            <w:r w:rsidRPr="007223F2">
              <w:rPr>
                <w:rFonts w:cs="Arial"/>
              </w:rPr>
              <w:t>0.037</w:t>
            </w:r>
          </w:p>
        </w:tc>
        <w:tc>
          <w:tcPr>
            <w:tcW w:w="0" w:type="auto"/>
          </w:tcPr>
          <w:p w:rsidR="00BA7C2C" w:rsidRPr="007223F2" w:rsidRDefault="00BA7C2C" w:rsidP="00613EE2">
            <w:pPr>
              <w:rPr>
                <w:rFonts w:cs="Arial"/>
              </w:rPr>
            </w:pPr>
            <w:r w:rsidRPr="007223F2">
              <w:rPr>
                <w:rFonts w:cs="Arial"/>
              </w:rPr>
              <w:t>0.226</w:t>
            </w:r>
          </w:p>
        </w:tc>
        <w:tc>
          <w:tcPr>
            <w:tcW w:w="0" w:type="auto"/>
          </w:tcPr>
          <w:p w:rsidR="00BA7C2C" w:rsidRPr="007223F2" w:rsidRDefault="00BA7C2C" w:rsidP="00613EE2">
            <w:pPr>
              <w:rPr>
                <w:rFonts w:cs="Arial"/>
              </w:rPr>
            </w:pPr>
            <w:r w:rsidRPr="007223F2">
              <w:rPr>
                <w:rFonts w:cs="Arial"/>
              </w:rPr>
              <w:t>0.018</w:t>
            </w:r>
          </w:p>
        </w:tc>
        <w:tc>
          <w:tcPr>
            <w:tcW w:w="0" w:type="auto"/>
          </w:tcPr>
          <w:p w:rsidR="00BA7C2C" w:rsidRPr="007223F2" w:rsidRDefault="00BA7C2C" w:rsidP="00613EE2">
            <w:pPr>
              <w:rPr>
                <w:rFonts w:cs="Arial"/>
              </w:rPr>
            </w:pPr>
            <w:r w:rsidRPr="007223F2">
              <w:rPr>
                <w:rFonts w:cs="Arial"/>
              </w:rPr>
              <w:t>0.110</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Strix aluco</w:t>
            </w:r>
          </w:p>
        </w:tc>
        <w:tc>
          <w:tcPr>
            <w:tcW w:w="0" w:type="auto"/>
          </w:tcPr>
          <w:p w:rsidR="00BA7C2C" w:rsidRPr="007223F2" w:rsidRDefault="00BA7C2C" w:rsidP="00613EE2">
            <w:pPr>
              <w:rPr>
                <w:rFonts w:cs="Arial"/>
              </w:rPr>
            </w:pPr>
            <w:r w:rsidRPr="007223F2">
              <w:rPr>
                <w:rFonts w:cs="Arial"/>
              </w:rPr>
              <w:t>426</w:t>
            </w:r>
          </w:p>
        </w:tc>
        <w:tc>
          <w:tcPr>
            <w:tcW w:w="0" w:type="auto"/>
          </w:tcPr>
          <w:p w:rsidR="00BA7C2C" w:rsidRPr="007223F2" w:rsidRDefault="00BA7C2C" w:rsidP="00613EE2">
            <w:pPr>
              <w:rPr>
                <w:rFonts w:cs="Arial"/>
              </w:rPr>
            </w:pPr>
            <w:r w:rsidRPr="007223F2">
              <w:rPr>
                <w:rFonts w:cs="Arial"/>
              </w:rPr>
              <w:t>97.1</w:t>
            </w:r>
          </w:p>
        </w:tc>
        <w:tc>
          <w:tcPr>
            <w:tcW w:w="0" w:type="auto"/>
          </w:tcPr>
          <w:p w:rsidR="00BA7C2C" w:rsidRPr="007223F2" w:rsidRDefault="00BA7C2C" w:rsidP="00613EE2">
            <w:pPr>
              <w:rPr>
                <w:rFonts w:cs="Arial"/>
              </w:rPr>
            </w:pPr>
            <w:r w:rsidRPr="007223F2">
              <w:rPr>
                <w:rFonts w:cs="Arial"/>
              </w:rPr>
              <w:t>0.077</w:t>
            </w:r>
          </w:p>
        </w:tc>
        <w:tc>
          <w:tcPr>
            <w:tcW w:w="0" w:type="auto"/>
          </w:tcPr>
          <w:p w:rsidR="00BA7C2C" w:rsidRPr="007223F2" w:rsidRDefault="00BA7C2C" w:rsidP="00613EE2">
            <w:pPr>
              <w:rPr>
                <w:rFonts w:cs="Arial"/>
              </w:rPr>
            </w:pPr>
            <w:r w:rsidRPr="007223F2">
              <w:rPr>
                <w:rFonts w:cs="Arial"/>
              </w:rPr>
              <w:t>0.181</w:t>
            </w:r>
          </w:p>
        </w:tc>
        <w:tc>
          <w:tcPr>
            <w:tcW w:w="0" w:type="auto"/>
          </w:tcPr>
          <w:p w:rsidR="00BA7C2C" w:rsidRPr="007223F2" w:rsidRDefault="00BA7C2C" w:rsidP="00613EE2">
            <w:pPr>
              <w:rPr>
                <w:rFonts w:cs="Arial"/>
              </w:rPr>
            </w:pPr>
            <w:r w:rsidRPr="007223F2">
              <w:rPr>
                <w:rFonts w:cs="Arial"/>
              </w:rPr>
              <w:t>0.038</w:t>
            </w:r>
          </w:p>
        </w:tc>
        <w:tc>
          <w:tcPr>
            <w:tcW w:w="0" w:type="auto"/>
          </w:tcPr>
          <w:p w:rsidR="00BA7C2C" w:rsidRPr="007223F2" w:rsidRDefault="00BA7C2C" w:rsidP="00613EE2">
            <w:pPr>
              <w:rPr>
                <w:rFonts w:cs="Arial"/>
              </w:rPr>
            </w:pPr>
            <w:r w:rsidRPr="007223F2">
              <w:rPr>
                <w:rFonts w:cs="Arial"/>
              </w:rPr>
              <w:t>0.089</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Falco tinnunculus</w:t>
            </w:r>
          </w:p>
        </w:tc>
        <w:tc>
          <w:tcPr>
            <w:tcW w:w="0" w:type="auto"/>
          </w:tcPr>
          <w:p w:rsidR="00BA7C2C" w:rsidRPr="007223F2" w:rsidRDefault="00BA7C2C" w:rsidP="00613EE2">
            <w:pPr>
              <w:rPr>
                <w:rFonts w:cs="Arial"/>
              </w:rPr>
            </w:pPr>
            <w:r w:rsidRPr="007223F2">
              <w:rPr>
                <w:rFonts w:cs="Arial"/>
              </w:rPr>
              <w:t>209</w:t>
            </w:r>
          </w:p>
        </w:tc>
        <w:tc>
          <w:tcPr>
            <w:tcW w:w="0" w:type="auto"/>
          </w:tcPr>
          <w:p w:rsidR="00BA7C2C" w:rsidRPr="007223F2" w:rsidRDefault="00BA7C2C" w:rsidP="00613EE2">
            <w:pPr>
              <w:rPr>
                <w:rFonts w:cs="Arial"/>
              </w:rPr>
            </w:pPr>
            <w:r w:rsidRPr="007223F2">
              <w:rPr>
                <w:rFonts w:cs="Arial"/>
              </w:rPr>
              <w:t>78.7</w:t>
            </w:r>
          </w:p>
        </w:tc>
        <w:tc>
          <w:tcPr>
            <w:tcW w:w="0" w:type="auto"/>
          </w:tcPr>
          <w:p w:rsidR="00BA7C2C" w:rsidRPr="007223F2" w:rsidRDefault="00BA7C2C" w:rsidP="00613EE2">
            <w:pPr>
              <w:rPr>
                <w:rFonts w:cs="Arial"/>
              </w:rPr>
            </w:pPr>
            <w:r w:rsidRPr="007223F2">
              <w:rPr>
                <w:rFonts w:cs="Arial"/>
              </w:rPr>
              <w:t>0.063</w:t>
            </w:r>
          </w:p>
        </w:tc>
        <w:tc>
          <w:tcPr>
            <w:tcW w:w="0" w:type="auto"/>
          </w:tcPr>
          <w:p w:rsidR="00BA7C2C" w:rsidRPr="007223F2" w:rsidRDefault="00BA7C2C" w:rsidP="00613EE2">
            <w:pPr>
              <w:rPr>
                <w:rFonts w:cs="Arial"/>
              </w:rPr>
            </w:pPr>
            <w:r w:rsidRPr="007223F2">
              <w:rPr>
                <w:rFonts w:cs="Arial"/>
              </w:rPr>
              <w:t>0.301</w:t>
            </w:r>
          </w:p>
        </w:tc>
        <w:tc>
          <w:tcPr>
            <w:tcW w:w="0" w:type="auto"/>
          </w:tcPr>
          <w:p w:rsidR="00BA7C2C" w:rsidRPr="007223F2" w:rsidRDefault="00BA7C2C" w:rsidP="00613EE2">
            <w:pPr>
              <w:rPr>
                <w:rFonts w:cs="Arial"/>
              </w:rPr>
            </w:pPr>
            <w:r w:rsidRPr="007223F2">
              <w:rPr>
                <w:rFonts w:cs="Arial"/>
              </w:rPr>
              <w:t>0.031</w:t>
            </w:r>
          </w:p>
        </w:tc>
        <w:tc>
          <w:tcPr>
            <w:tcW w:w="0" w:type="auto"/>
          </w:tcPr>
          <w:p w:rsidR="00BA7C2C" w:rsidRPr="007223F2" w:rsidRDefault="00BA7C2C" w:rsidP="00613EE2">
            <w:pPr>
              <w:rPr>
                <w:rFonts w:cs="Arial"/>
              </w:rPr>
            </w:pPr>
            <w:r w:rsidRPr="007223F2">
              <w:rPr>
                <w:rFonts w:cs="Arial"/>
              </w:rPr>
              <w:t>0.148</w:t>
            </w:r>
          </w:p>
        </w:tc>
      </w:tr>
      <w:tr w:rsidR="00BA7C2C" w:rsidRPr="007223F2" w:rsidTr="00613EE2">
        <w:trPr>
          <w:cantSplit/>
        </w:trPr>
        <w:tc>
          <w:tcPr>
            <w:tcW w:w="9339" w:type="dxa"/>
            <w:gridSpan w:val="7"/>
          </w:tcPr>
          <w:p w:rsidR="00BA7C2C" w:rsidRPr="007223F2" w:rsidRDefault="00BA7C2C" w:rsidP="00613EE2">
            <w:pPr>
              <w:rPr>
                <w:rFonts w:cs="Arial"/>
                <w:b/>
              </w:rPr>
            </w:pPr>
            <w:r w:rsidRPr="007223F2">
              <w:rPr>
                <w:rFonts w:cs="Arial"/>
                <w:b/>
              </w:rPr>
              <w:t>Mammals</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Vulpes vulpes</w:t>
            </w:r>
          </w:p>
        </w:tc>
        <w:tc>
          <w:tcPr>
            <w:tcW w:w="0" w:type="auto"/>
          </w:tcPr>
          <w:p w:rsidR="00BA7C2C" w:rsidRPr="007223F2" w:rsidRDefault="00BA7C2C" w:rsidP="00613EE2">
            <w:pPr>
              <w:rPr>
                <w:rFonts w:cs="Arial"/>
              </w:rPr>
            </w:pPr>
            <w:r w:rsidRPr="007223F2">
              <w:rPr>
                <w:rFonts w:cs="Arial"/>
              </w:rPr>
              <w:t>5,700</w:t>
            </w:r>
          </w:p>
        </w:tc>
        <w:tc>
          <w:tcPr>
            <w:tcW w:w="0" w:type="auto"/>
          </w:tcPr>
          <w:p w:rsidR="00BA7C2C" w:rsidRPr="007223F2" w:rsidRDefault="00BA7C2C" w:rsidP="00613EE2">
            <w:pPr>
              <w:rPr>
                <w:rFonts w:cs="Arial"/>
              </w:rPr>
            </w:pPr>
            <w:r w:rsidRPr="007223F2">
              <w:rPr>
                <w:rFonts w:cs="Arial"/>
              </w:rPr>
              <w:t>520.2</w:t>
            </w:r>
          </w:p>
        </w:tc>
        <w:tc>
          <w:tcPr>
            <w:tcW w:w="0" w:type="auto"/>
          </w:tcPr>
          <w:p w:rsidR="00BA7C2C" w:rsidRPr="007223F2" w:rsidRDefault="00BA7C2C" w:rsidP="00613EE2">
            <w:pPr>
              <w:rPr>
                <w:rFonts w:cs="Arial"/>
              </w:rPr>
            </w:pPr>
            <w:r w:rsidRPr="007223F2">
              <w:rPr>
                <w:rFonts w:cs="Arial"/>
              </w:rPr>
              <w:t>0.415</w:t>
            </w:r>
          </w:p>
        </w:tc>
        <w:tc>
          <w:tcPr>
            <w:tcW w:w="0" w:type="auto"/>
          </w:tcPr>
          <w:p w:rsidR="00BA7C2C" w:rsidRPr="007223F2" w:rsidRDefault="00BA7C2C" w:rsidP="00613EE2">
            <w:pPr>
              <w:rPr>
                <w:rFonts w:cs="Arial"/>
              </w:rPr>
            </w:pPr>
            <w:r w:rsidRPr="007223F2">
              <w:rPr>
                <w:rFonts w:cs="Arial"/>
              </w:rPr>
              <w:t>0.073</w:t>
            </w:r>
          </w:p>
        </w:tc>
        <w:tc>
          <w:tcPr>
            <w:tcW w:w="0" w:type="auto"/>
          </w:tcPr>
          <w:p w:rsidR="00BA7C2C" w:rsidRPr="007223F2" w:rsidRDefault="00BA7C2C" w:rsidP="00613EE2">
            <w:pPr>
              <w:keepNext/>
              <w:spacing w:before="40" w:after="40" w:line="240" w:lineRule="auto"/>
              <w:rPr>
                <w:rFonts w:cs="Arial"/>
              </w:rPr>
            </w:pPr>
            <w:r w:rsidRPr="007223F2">
              <w:rPr>
                <w:rFonts w:cs="Arial"/>
              </w:rPr>
              <w:t>0.203</w:t>
            </w:r>
          </w:p>
        </w:tc>
        <w:tc>
          <w:tcPr>
            <w:tcW w:w="0" w:type="auto"/>
          </w:tcPr>
          <w:p w:rsidR="00BA7C2C" w:rsidRPr="007223F2" w:rsidRDefault="00BA7C2C" w:rsidP="00613EE2">
            <w:pPr>
              <w:rPr>
                <w:rFonts w:cs="Arial"/>
              </w:rPr>
            </w:pPr>
            <w:r w:rsidRPr="007223F2">
              <w:rPr>
                <w:rFonts w:cs="Arial"/>
              </w:rPr>
              <w:t>0.036</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Mustela putorius</w:t>
            </w:r>
          </w:p>
        </w:tc>
        <w:tc>
          <w:tcPr>
            <w:tcW w:w="0" w:type="auto"/>
          </w:tcPr>
          <w:p w:rsidR="00BA7C2C" w:rsidRPr="007223F2" w:rsidRDefault="00BA7C2C" w:rsidP="00613EE2">
            <w:pPr>
              <w:rPr>
                <w:rFonts w:cs="Arial"/>
              </w:rPr>
            </w:pPr>
            <w:r w:rsidRPr="007223F2">
              <w:rPr>
                <w:rFonts w:cs="Arial"/>
              </w:rPr>
              <w:t>689</w:t>
            </w:r>
          </w:p>
        </w:tc>
        <w:tc>
          <w:tcPr>
            <w:tcW w:w="0" w:type="auto"/>
          </w:tcPr>
          <w:p w:rsidR="00BA7C2C" w:rsidRPr="007223F2" w:rsidRDefault="00BA7C2C" w:rsidP="00613EE2">
            <w:pPr>
              <w:rPr>
                <w:rFonts w:cs="Arial"/>
              </w:rPr>
            </w:pPr>
            <w:r w:rsidRPr="007223F2">
              <w:rPr>
                <w:rFonts w:cs="Arial"/>
              </w:rPr>
              <w:t>130.9</w:t>
            </w:r>
          </w:p>
        </w:tc>
        <w:tc>
          <w:tcPr>
            <w:tcW w:w="0" w:type="auto"/>
          </w:tcPr>
          <w:p w:rsidR="00BA7C2C" w:rsidRPr="007223F2" w:rsidRDefault="00BA7C2C" w:rsidP="00613EE2">
            <w:pPr>
              <w:rPr>
                <w:rFonts w:cs="Arial"/>
              </w:rPr>
            </w:pPr>
            <w:r w:rsidRPr="007223F2">
              <w:rPr>
                <w:rFonts w:cs="Arial"/>
              </w:rPr>
              <w:t>0.104</w:t>
            </w:r>
          </w:p>
        </w:tc>
        <w:tc>
          <w:tcPr>
            <w:tcW w:w="0" w:type="auto"/>
          </w:tcPr>
          <w:p w:rsidR="00BA7C2C" w:rsidRPr="007223F2" w:rsidRDefault="00BA7C2C" w:rsidP="00613EE2">
            <w:pPr>
              <w:rPr>
                <w:rFonts w:cs="Arial"/>
              </w:rPr>
            </w:pPr>
            <w:r w:rsidRPr="007223F2">
              <w:rPr>
                <w:rFonts w:cs="Arial"/>
              </w:rPr>
              <w:t>0.151</w:t>
            </w:r>
          </w:p>
        </w:tc>
        <w:tc>
          <w:tcPr>
            <w:tcW w:w="0" w:type="auto"/>
          </w:tcPr>
          <w:p w:rsidR="00BA7C2C" w:rsidRPr="007223F2" w:rsidRDefault="00BA7C2C" w:rsidP="00613EE2">
            <w:pPr>
              <w:rPr>
                <w:rFonts w:cs="Arial"/>
              </w:rPr>
            </w:pPr>
            <w:r w:rsidRPr="007223F2">
              <w:rPr>
                <w:rFonts w:cs="Arial"/>
              </w:rPr>
              <w:t>0.051</w:t>
            </w:r>
          </w:p>
        </w:tc>
        <w:tc>
          <w:tcPr>
            <w:tcW w:w="0" w:type="auto"/>
          </w:tcPr>
          <w:p w:rsidR="00BA7C2C" w:rsidRPr="007223F2" w:rsidRDefault="00BA7C2C" w:rsidP="00613EE2">
            <w:pPr>
              <w:rPr>
                <w:rFonts w:cs="Arial"/>
              </w:rPr>
            </w:pPr>
            <w:r w:rsidRPr="007223F2">
              <w:rPr>
                <w:rFonts w:cs="Arial"/>
              </w:rPr>
              <w:t>0.074</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Mustela erminea</w:t>
            </w:r>
          </w:p>
        </w:tc>
        <w:tc>
          <w:tcPr>
            <w:tcW w:w="0" w:type="auto"/>
          </w:tcPr>
          <w:p w:rsidR="00BA7C2C" w:rsidRPr="007223F2" w:rsidRDefault="00BA7C2C" w:rsidP="00613EE2">
            <w:pPr>
              <w:rPr>
                <w:rFonts w:cs="Arial"/>
              </w:rPr>
            </w:pPr>
            <w:r w:rsidRPr="007223F2">
              <w:rPr>
                <w:rFonts w:cs="Arial"/>
              </w:rPr>
              <w:t>205</w:t>
            </w:r>
          </w:p>
        </w:tc>
        <w:tc>
          <w:tcPr>
            <w:tcW w:w="0" w:type="auto"/>
          </w:tcPr>
          <w:p w:rsidR="00BA7C2C" w:rsidRPr="007223F2" w:rsidRDefault="00BA7C2C" w:rsidP="00613EE2">
            <w:pPr>
              <w:rPr>
                <w:rFonts w:cs="Arial"/>
              </w:rPr>
            </w:pPr>
            <w:r w:rsidRPr="007223F2">
              <w:rPr>
                <w:rFonts w:cs="Arial"/>
              </w:rPr>
              <w:t>55.7</w:t>
            </w:r>
          </w:p>
        </w:tc>
        <w:tc>
          <w:tcPr>
            <w:tcW w:w="0" w:type="auto"/>
          </w:tcPr>
          <w:p w:rsidR="00BA7C2C" w:rsidRPr="007223F2" w:rsidRDefault="00BA7C2C" w:rsidP="00613EE2">
            <w:pPr>
              <w:rPr>
                <w:rFonts w:cs="Arial"/>
              </w:rPr>
            </w:pPr>
            <w:r w:rsidRPr="007223F2">
              <w:rPr>
                <w:rFonts w:cs="Arial"/>
              </w:rPr>
              <w:t>0.044</w:t>
            </w:r>
          </w:p>
        </w:tc>
        <w:tc>
          <w:tcPr>
            <w:tcW w:w="0" w:type="auto"/>
          </w:tcPr>
          <w:p w:rsidR="00BA7C2C" w:rsidRPr="007223F2" w:rsidRDefault="00BA7C2C" w:rsidP="00613EE2">
            <w:pPr>
              <w:rPr>
                <w:rFonts w:cs="Arial"/>
              </w:rPr>
            </w:pPr>
            <w:r w:rsidRPr="007223F2">
              <w:rPr>
                <w:rFonts w:cs="Arial"/>
              </w:rPr>
              <w:t>0.215</w:t>
            </w:r>
          </w:p>
        </w:tc>
        <w:tc>
          <w:tcPr>
            <w:tcW w:w="0" w:type="auto"/>
          </w:tcPr>
          <w:p w:rsidR="00BA7C2C" w:rsidRPr="007223F2" w:rsidRDefault="00BA7C2C" w:rsidP="00613EE2">
            <w:pPr>
              <w:rPr>
                <w:rFonts w:cs="Arial"/>
              </w:rPr>
            </w:pPr>
            <w:r w:rsidRPr="007223F2">
              <w:rPr>
                <w:rFonts w:cs="Arial"/>
              </w:rPr>
              <w:t>0.022</w:t>
            </w:r>
          </w:p>
        </w:tc>
        <w:tc>
          <w:tcPr>
            <w:tcW w:w="0" w:type="auto"/>
          </w:tcPr>
          <w:p w:rsidR="00BA7C2C" w:rsidRPr="007223F2" w:rsidRDefault="00BA7C2C" w:rsidP="00613EE2">
            <w:pPr>
              <w:rPr>
                <w:rFonts w:cs="Arial"/>
              </w:rPr>
            </w:pPr>
            <w:r w:rsidRPr="007223F2">
              <w:rPr>
                <w:rFonts w:cs="Arial"/>
              </w:rPr>
              <w:t>0.107</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lastRenderedPageBreak/>
              <w:t>Mustela nivalis</w:t>
            </w:r>
          </w:p>
        </w:tc>
        <w:tc>
          <w:tcPr>
            <w:tcW w:w="0" w:type="auto"/>
          </w:tcPr>
          <w:p w:rsidR="00BA7C2C" w:rsidRPr="007223F2" w:rsidRDefault="00BA7C2C" w:rsidP="00613EE2">
            <w:pPr>
              <w:rPr>
                <w:rFonts w:cs="Arial"/>
              </w:rPr>
            </w:pPr>
            <w:r w:rsidRPr="007223F2">
              <w:rPr>
                <w:rFonts w:cs="Arial"/>
              </w:rPr>
              <w:t>63</w:t>
            </w:r>
          </w:p>
        </w:tc>
        <w:tc>
          <w:tcPr>
            <w:tcW w:w="0" w:type="auto"/>
          </w:tcPr>
          <w:p w:rsidR="00BA7C2C" w:rsidRPr="007223F2" w:rsidRDefault="00BA7C2C" w:rsidP="00613EE2">
            <w:pPr>
              <w:rPr>
                <w:rFonts w:cs="Arial"/>
              </w:rPr>
            </w:pPr>
            <w:r w:rsidRPr="007223F2">
              <w:rPr>
                <w:rFonts w:cs="Arial"/>
              </w:rPr>
              <w:t>24.7</w:t>
            </w:r>
          </w:p>
        </w:tc>
        <w:tc>
          <w:tcPr>
            <w:tcW w:w="0" w:type="auto"/>
          </w:tcPr>
          <w:p w:rsidR="00BA7C2C" w:rsidRPr="007223F2" w:rsidRDefault="00BA7C2C" w:rsidP="00613EE2">
            <w:pPr>
              <w:rPr>
                <w:rFonts w:cs="Arial"/>
              </w:rPr>
            </w:pPr>
            <w:r w:rsidRPr="007223F2">
              <w:rPr>
                <w:rFonts w:cs="Arial"/>
              </w:rPr>
              <w:t>0.020</w:t>
            </w:r>
          </w:p>
        </w:tc>
        <w:tc>
          <w:tcPr>
            <w:tcW w:w="0" w:type="auto"/>
          </w:tcPr>
          <w:p w:rsidR="00BA7C2C" w:rsidRPr="007223F2" w:rsidRDefault="00BA7C2C" w:rsidP="00613EE2">
            <w:pPr>
              <w:rPr>
                <w:rFonts w:cs="Arial"/>
              </w:rPr>
            </w:pPr>
            <w:r w:rsidRPr="007223F2">
              <w:rPr>
                <w:rFonts w:cs="Arial"/>
              </w:rPr>
              <w:t>0.317</w:t>
            </w:r>
          </w:p>
        </w:tc>
        <w:tc>
          <w:tcPr>
            <w:tcW w:w="0" w:type="auto"/>
          </w:tcPr>
          <w:p w:rsidR="00BA7C2C" w:rsidRPr="007223F2" w:rsidRDefault="00BA7C2C" w:rsidP="00613EE2">
            <w:pPr>
              <w:rPr>
                <w:rFonts w:cs="Arial"/>
              </w:rPr>
            </w:pPr>
            <w:r w:rsidRPr="007223F2">
              <w:rPr>
                <w:rFonts w:cs="Arial"/>
              </w:rPr>
              <w:t>0.010</w:t>
            </w:r>
          </w:p>
        </w:tc>
        <w:tc>
          <w:tcPr>
            <w:tcW w:w="0" w:type="auto"/>
          </w:tcPr>
          <w:p w:rsidR="00BA7C2C" w:rsidRPr="007223F2" w:rsidRDefault="00BA7C2C" w:rsidP="00613EE2">
            <w:pPr>
              <w:rPr>
                <w:rFonts w:cs="Arial"/>
              </w:rPr>
            </w:pPr>
            <w:r w:rsidRPr="007223F2">
              <w:rPr>
                <w:rFonts w:cs="Arial"/>
              </w:rPr>
              <w:t>0.159</w:t>
            </w:r>
          </w:p>
        </w:tc>
      </w:tr>
      <w:tr w:rsidR="00BA7C2C" w:rsidRPr="007223F2" w:rsidTr="00613EE2">
        <w:trPr>
          <w:cantSplit/>
        </w:trPr>
        <w:tc>
          <w:tcPr>
            <w:tcW w:w="1870" w:type="dxa"/>
          </w:tcPr>
          <w:p w:rsidR="00BA7C2C" w:rsidRPr="007223F2" w:rsidRDefault="00BA7C2C" w:rsidP="00613EE2">
            <w:pPr>
              <w:rPr>
                <w:rFonts w:cs="Arial"/>
                <w:i/>
              </w:rPr>
            </w:pPr>
            <w:r w:rsidRPr="007223F2">
              <w:rPr>
                <w:rFonts w:cs="Arial"/>
                <w:i/>
              </w:rPr>
              <w:t>Dog</w:t>
            </w:r>
          </w:p>
        </w:tc>
        <w:tc>
          <w:tcPr>
            <w:tcW w:w="0" w:type="auto"/>
          </w:tcPr>
          <w:p w:rsidR="00BA7C2C" w:rsidRPr="007223F2" w:rsidRDefault="00BA7C2C" w:rsidP="00613EE2">
            <w:pPr>
              <w:rPr>
                <w:rFonts w:cs="Arial"/>
              </w:rPr>
            </w:pPr>
            <w:r w:rsidRPr="007223F2">
              <w:rPr>
                <w:rFonts w:cs="Arial"/>
              </w:rPr>
              <w:t>10,000</w:t>
            </w:r>
          </w:p>
        </w:tc>
        <w:tc>
          <w:tcPr>
            <w:tcW w:w="0" w:type="auto"/>
          </w:tcPr>
          <w:p w:rsidR="00BA7C2C" w:rsidRPr="007223F2" w:rsidRDefault="00BA7C2C" w:rsidP="00613EE2">
            <w:pPr>
              <w:rPr>
                <w:rFonts w:cs="Arial"/>
              </w:rPr>
            </w:pPr>
            <w:r w:rsidRPr="007223F2">
              <w:rPr>
                <w:rFonts w:cs="Arial"/>
              </w:rPr>
              <w:t>456</w:t>
            </w:r>
          </w:p>
        </w:tc>
        <w:tc>
          <w:tcPr>
            <w:tcW w:w="0" w:type="auto"/>
          </w:tcPr>
          <w:p w:rsidR="00BA7C2C" w:rsidRPr="007223F2" w:rsidRDefault="00BA7C2C" w:rsidP="00613EE2">
            <w:pPr>
              <w:rPr>
                <w:rFonts w:cs="Arial"/>
              </w:rPr>
            </w:pPr>
            <w:r w:rsidRPr="007223F2">
              <w:rPr>
                <w:rFonts w:cs="Arial"/>
              </w:rPr>
              <w:t>0.364</w:t>
            </w:r>
          </w:p>
        </w:tc>
        <w:tc>
          <w:tcPr>
            <w:tcW w:w="0" w:type="auto"/>
          </w:tcPr>
          <w:p w:rsidR="00BA7C2C" w:rsidRPr="007223F2" w:rsidRDefault="00BA7C2C" w:rsidP="00613EE2">
            <w:pPr>
              <w:rPr>
                <w:rFonts w:cs="Arial"/>
              </w:rPr>
            </w:pPr>
            <w:r w:rsidRPr="007223F2">
              <w:rPr>
                <w:rFonts w:cs="Arial"/>
              </w:rPr>
              <w:t>0.036</w:t>
            </w:r>
          </w:p>
        </w:tc>
        <w:tc>
          <w:tcPr>
            <w:tcW w:w="0" w:type="auto"/>
          </w:tcPr>
          <w:p w:rsidR="00BA7C2C" w:rsidRPr="007223F2" w:rsidRDefault="00BA7C2C" w:rsidP="00613EE2">
            <w:pPr>
              <w:rPr>
                <w:rFonts w:cs="Arial"/>
              </w:rPr>
            </w:pPr>
            <w:r w:rsidRPr="007223F2">
              <w:rPr>
                <w:rFonts w:cs="Arial"/>
              </w:rPr>
              <w:t>0.182</w:t>
            </w:r>
          </w:p>
        </w:tc>
        <w:tc>
          <w:tcPr>
            <w:tcW w:w="0" w:type="auto"/>
          </w:tcPr>
          <w:p w:rsidR="00BA7C2C" w:rsidRPr="007223F2" w:rsidRDefault="00BA7C2C" w:rsidP="00613EE2">
            <w:pPr>
              <w:rPr>
                <w:rFonts w:cs="Arial"/>
              </w:rPr>
            </w:pPr>
            <w:r w:rsidRPr="007223F2">
              <w:rPr>
                <w:rFonts w:cs="Arial"/>
              </w:rPr>
              <w:t>0.018</w:t>
            </w:r>
          </w:p>
        </w:tc>
      </w:tr>
      <w:tr w:rsidR="00BA7C2C" w:rsidRPr="007223F2" w:rsidTr="00613EE2">
        <w:trPr>
          <w:cantSplit/>
        </w:trPr>
        <w:tc>
          <w:tcPr>
            <w:tcW w:w="9339" w:type="dxa"/>
            <w:gridSpan w:val="7"/>
            <w:tcBorders>
              <w:left w:val="single" w:sz="4" w:space="0" w:color="auto"/>
              <w:bottom w:val="single" w:sz="4" w:space="0" w:color="auto"/>
              <w:right w:val="single" w:sz="4" w:space="0" w:color="auto"/>
            </w:tcBorders>
          </w:tcPr>
          <w:p w:rsidR="00BA7C2C" w:rsidRPr="007223F2" w:rsidRDefault="00BA7C2C" w:rsidP="00613EE2">
            <w:pPr>
              <w:keepNext/>
              <w:tabs>
                <w:tab w:val="left" w:pos="142"/>
              </w:tabs>
              <w:spacing w:before="40" w:after="240" w:line="240" w:lineRule="auto"/>
              <w:rPr>
                <w:rFonts w:cs="Arial"/>
              </w:rPr>
            </w:pPr>
            <w:r w:rsidRPr="007223F2">
              <w:rPr>
                <w:rFonts w:cs="Arial"/>
                <w:vertAlign w:val="superscript"/>
              </w:rPr>
              <w:t>a</w:t>
            </w:r>
            <w:r w:rsidRPr="007223F2">
              <w:rPr>
                <w:rFonts w:cs="Arial"/>
              </w:rPr>
              <w:t xml:space="preserve"> Based on a rodent containing 1.595 mg bromadiolone/kg (50% of their diet is paste bait).</w:t>
            </w:r>
            <w:r w:rsidRPr="007223F2">
              <w:rPr>
                <w:rFonts w:cs="Arial"/>
              </w:rPr>
              <w:br/>
            </w:r>
            <w:r w:rsidRPr="007223F2">
              <w:rPr>
                <w:rFonts w:cs="Arial"/>
                <w:vertAlign w:val="superscript"/>
              </w:rPr>
              <w:t>b</w:t>
            </w:r>
            <w:r w:rsidRPr="007223F2">
              <w:rPr>
                <w:rFonts w:cs="Arial"/>
              </w:rPr>
              <w:t xml:space="preserve"> Based on a rodent containing 0.797 mg bromadiolone/kg (50% of their diet is paste bait).</w:t>
            </w:r>
          </w:p>
        </w:tc>
      </w:tr>
    </w:tbl>
    <w:p w:rsidR="00BA7C2C" w:rsidRPr="007223F2" w:rsidRDefault="00BA7C2C" w:rsidP="00BA7C2C">
      <w:pPr>
        <w:rPr>
          <w:rFonts w:cs="Arial"/>
        </w:rPr>
      </w:pPr>
    </w:p>
    <w:p w:rsidR="00BA7C2C" w:rsidRPr="007223F2" w:rsidRDefault="00BA7C2C" w:rsidP="00BA7C2C">
      <w:pPr>
        <w:rPr>
          <w:rFonts w:cs="Arial"/>
          <w:b/>
          <w:szCs w:val="22"/>
        </w:rPr>
      </w:pPr>
      <w:r w:rsidRPr="007223F2">
        <w:rPr>
          <w:rFonts w:cs="Arial"/>
          <w:b/>
          <w:szCs w:val="22"/>
        </w:rPr>
        <w:t>Estimated intakes and concentrations of bromadiolone (BDN) in predatory and scavenging birds and mammals ingesting target rodents, assuming poisoned rodents comprise 50% of a predator/scavenger‘s diet and that bait contributed 20% of the target rodents’ daily food intake</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879"/>
        <w:gridCol w:w="1058"/>
        <w:gridCol w:w="1295"/>
        <w:gridCol w:w="1413"/>
        <w:gridCol w:w="1295"/>
        <w:gridCol w:w="1643"/>
      </w:tblGrid>
      <w:tr w:rsidR="00BA7C2C" w:rsidRPr="007223F2" w:rsidTr="00613EE2">
        <w:trPr>
          <w:cantSplit/>
        </w:trPr>
        <w:tc>
          <w:tcPr>
            <w:tcW w:w="1871" w:type="dxa"/>
            <w:vMerge w:val="restart"/>
          </w:tcPr>
          <w:p w:rsidR="00BA7C2C" w:rsidRPr="007223F2" w:rsidRDefault="00BA7C2C" w:rsidP="00613EE2">
            <w:pPr>
              <w:rPr>
                <w:rFonts w:cs="Arial"/>
                <w:b/>
              </w:rPr>
            </w:pPr>
            <w:r w:rsidRPr="007223F2">
              <w:rPr>
                <w:rFonts w:cs="Arial"/>
                <w:b/>
              </w:rPr>
              <w:t>Non-target avian or mammalian</w:t>
            </w:r>
            <w:r w:rsidRPr="007223F2">
              <w:rPr>
                <w:rFonts w:cs="Arial"/>
                <w:b/>
              </w:rPr>
              <w:br/>
              <w:t>predator</w:t>
            </w:r>
          </w:p>
        </w:tc>
        <w:tc>
          <w:tcPr>
            <w:tcW w:w="879" w:type="dxa"/>
            <w:vMerge w:val="restart"/>
          </w:tcPr>
          <w:p w:rsidR="00BA7C2C" w:rsidRPr="007223F2" w:rsidRDefault="00BA7C2C" w:rsidP="00613EE2">
            <w:pPr>
              <w:rPr>
                <w:rFonts w:cs="Arial"/>
                <w:b/>
              </w:rPr>
            </w:pPr>
            <w:r w:rsidRPr="007223F2">
              <w:rPr>
                <w:rFonts w:cs="Arial"/>
                <w:b/>
              </w:rPr>
              <w:t>Mean body weight (g)</w:t>
            </w:r>
          </w:p>
        </w:tc>
        <w:tc>
          <w:tcPr>
            <w:tcW w:w="1058" w:type="dxa"/>
            <w:vMerge w:val="restart"/>
          </w:tcPr>
          <w:p w:rsidR="00BA7C2C" w:rsidRPr="007223F2" w:rsidRDefault="00BA7C2C" w:rsidP="00613EE2">
            <w:pPr>
              <w:rPr>
                <w:rFonts w:cs="Arial"/>
                <w:b/>
              </w:rPr>
            </w:pPr>
            <w:r w:rsidRPr="007223F2">
              <w:rPr>
                <w:rFonts w:cs="Arial"/>
                <w:b/>
              </w:rPr>
              <w:t>Daily food intake (g/day)</w:t>
            </w:r>
          </w:p>
        </w:tc>
        <w:tc>
          <w:tcPr>
            <w:tcW w:w="2743" w:type="dxa"/>
            <w:gridSpan w:val="2"/>
          </w:tcPr>
          <w:p w:rsidR="00BA7C2C" w:rsidRPr="007223F2" w:rsidRDefault="00BA7C2C" w:rsidP="00613EE2">
            <w:pPr>
              <w:keepNext/>
              <w:spacing w:line="240" w:lineRule="auto"/>
              <w:rPr>
                <w:rFonts w:cs="Arial"/>
                <w:b/>
                <w:vertAlign w:val="superscript"/>
              </w:rPr>
            </w:pPr>
            <w:r w:rsidRPr="007223F2">
              <w:rPr>
                <w:rFonts w:cs="Arial"/>
                <w:b/>
              </w:rPr>
              <w:t>Normal susceptible rodents caught on day 5 just after their last meal</w:t>
            </w:r>
            <w:r w:rsidRPr="007223F2">
              <w:rPr>
                <w:rFonts w:cs="Arial"/>
                <w:b/>
                <w:vertAlign w:val="superscript"/>
              </w:rPr>
              <w:t>a</w:t>
            </w:r>
          </w:p>
        </w:tc>
        <w:tc>
          <w:tcPr>
            <w:tcW w:w="2903" w:type="dxa"/>
            <w:gridSpan w:val="2"/>
          </w:tcPr>
          <w:p w:rsidR="00BA7C2C" w:rsidRPr="007223F2" w:rsidRDefault="00BA7C2C" w:rsidP="00613EE2">
            <w:pPr>
              <w:rPr>
                <w:rFonts w:cs="Arial"/>
                <w:b/>
              </w:rPr>
            </w:pPr>
            <w:r w:rsidRPr="007223F2">
              <w:rPr>
                <w:rFonts w:cs="Arial"/>
                <w:b/>
              </w:rPr>
              <w:t>Normal susceptible rodents caught on day 7 two days after their last meal</w:t>
            </w:r>
            <w:r w:rsidRPr="007223F2">
              <w:rPr>
                <w:rFonts w:cs="Arial"/>
                <w:b/>
                <w:vertAlign w:val="superscript"/>
              </w:rPr>
              <w:t>b</w:t>
            </w:r>
          </w:p>
        </w:tc>
      </w:tr>
      <w:tr w:rsidR="00BA7C2C" w:rsidRPr="00A81FB4" w:rsidTr="00613EE2">
        <w:trPr>
          <w:cantSplit/>
        </w:trPr>
        <w:tc>
          <w:tcPr>
            <w:tcW w:w="1871" w:type="dxa"/>
            <w:vMerge/>
          </w:tcPr>
          <w:p w:rsidR="00BA7C2C" w:rsidRPr="007223F2" w:rsidRDefault="00BA7C2C" w:rsidP="00613EE2">
            <w:pPr>
              <w:pStyle w:val="Standard-italics"/>
              <w:spacing w:before="0" w:after="0"/>
              <w:rPr>
                <w:rFonts w:cs="Arial"/>
                <w:b/>
              </w:rPr>
            </w:pPr>
          </w:p>
        </w:tc>
        <w:tc>
          <w:tcPr>
            <w:tcW w:w="879" w:type="dxa"/>
            <w:vMerge/>
          </w:tcPr>
          <w:p w:rsidR="00BA7C2C" w:rsidRPr="007223F2" w:rsidRDefault="00BA7C2C" w:rsidP="00613EE2">
            <w:pPr>
              <w:keepNext/>
              <w:spacing w:line="240" w:lineRule="auto"/>
              <w:rPr>
                <w:rFonts w:cs="Arial"/>
                <w:b/>
              </w:rPr>
            </w:pPr>
          </w:p>
        </w:tc>
        <w:tc>
          <w:tcPr>
            <w:tcW w:w="1058" w:type="dxa"/>
            <w:vMerge/>
          </w:tcPr>
          <w:p w:rsidR="00BA7C2C" w:rsidRPr="007223F2" w:rsidRDefault="00BA7C2C" w:rsidP="00613EE2">
            <w:pPr>
              <w:keepNext/>
              <w:spacing w:line="240" w:lineRule="auto"/>
              <w:rPr>
                <w:rFonts w:cs="Arial"/>
                <w:b/>
              </w:rPr>
            </w:pPr>
          </w:p>
        </w:tc>
        <w:tc>
          <w:tcPr>
            <w:tcW w:w="0" w:type="auto"/>
          </w:tcPr>
          <w:p w:rsidR="00BA7C2C" w:rsidRPr="007223F2" w:rsidRDefault="00BA7C2C" w:rsidP="00613EE2">
            <w:pPr>
              <w:rPr>
                <w:rFonts w:cs="Arial"/>
                <w:b/>
              </w:rPr>
            </w:pPr>
            <w:r w:rsidRPr="007223F2">
              <w:rPr>
                <w:rFonts w:cs="Arial"/>
                <w:b/>
              </w:rPr>
              <w:t>BDN consumed (mg)</w:t>
            </w:r>
          </w:p>
        </w:tc>
        <w:tc>
          <w:tcPr>
            <w:tcW w:w="1413" w:type="dxa"/>
          </w:tcPr>
          <w:p w:rsidR="00BA7C2C" w:rsidRPr="00BA7C2C" w:rsidRDefault="00BA7C2C" w:rsidP="00613EE2">
            <w:pPr>
              <w:rPr>
                <w:rFonts w:cs="Arial"/>
                <w:b/>
                <w:lang w:val="nl-NL"/>
              </w:rPr>
            </w:pPr>
            <w:r w:rsidRPr="00BA7C2C">
              <w:rPr>
                <w:rFonts w:cs="Arial"/>
                <w:b/>
                <w:lang w:val="nl-NL"/>
              </w:rPr>
              <w:t>BDN in predator (mg/kg bw)</w:t>
            </w:r>
          </w:p>
        </w:tc>
        <w:tc>
          <w:tcPr>
            <w:tcW w:w="0" w:type="auto"/>
          </w:tcPr>
          <w:p w:rsidR="00BA7C2C" w:rsidRPr="007223F2" w:rsidRDefault="00BA7C2C" w:rsidP="00613EE2">
            <w:pPr>
              <w:rPr>
                <w:rFonts w:cs="Arial"/>
                <w:b/>
              </w:rPr>
            </w:pPr>
            <w:r w:rsidRPr="007223F2">
              <w:rPr>
                <w:rFonts w:cs="Arial"/>
                <w:b/>
              </w:rPr>
              <w:t>BDN consumed (mg)</w:t>
            </w:r>
          </w:p>
        </w:tc>
        <w:tc>
          <w:tcPr>
            <w:tcW w:w="1643" w:type="dxa"/>
          </w:tcPr>
          <w:p w:rsidR="00BA7C2C" w:rsidRPr="00BA7C2C" w:rsidRDefault="00BA7C2C" w:rsidP="00613EE2">
            <w:pPr>
              <w:rPr>
                <w:rFonts w:cs="Arial"/>
                <w:b/>
                <w:lang w:val="nl-NL"/>
              </w:rPr>
            </w:pPr>
            <w:r w:rsidRPr="00BA7C2C">
              <w:rPr>
                <w:rFonts w:cs="Arial"/>
                <w:b/>
                <w:lang w:val="nl-NL"/>
              </w:rPr>
              <w:t>BDN in predator (mg/kg bw)</w:t>
            </w:r>
          </w:p>
        </w:tc>
      </w:tr>
      <w:tr w:rsidR="00BA7C2C" w:rsidRPr="007223F2" w:rsidTr="00613EE2">
        <w:trPr>
          <w:cantSplit/>
        </w:trPr>
        <w:tc>
          <w:tcPr>
            <w:tcW w:w="9454" w:type="dxa"/>
            <w:gridSpan w:val="7"/>
          </w:tcPr>
          <w:p w:rsidR="00BA7C2C" w:rsidRPr="007223F2" w:rsidRDefault="00BA7C2C" w:rsidP="00613EE2">
            <w:pPr>
              <w:rPr>
                <w:rFonts w:cs="Arial"/>
                <w:b/>
              </w:rPr>
            </w:pPr>
            <w:r w:rsidRPr="007223F2">
              <w:rPr>
                <w:rFonts w:cs="Arial"/>
                <w:b/>
              </w:rPr>
              <w:t>Birds</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Tyto alba</w:t>
            </w:r>
          </w:p>
        </w:tc>
        <w:tc>
          <w:tcPr>
            <w:tcW w:w="879" w:type="dxa"/>
          </w:tcPr>
          <w:p w:rsidR="00BA7C2C" w:rsidRPr="007223F2" w:rsidRDefault="00BA7C2C" w:rsidP="00613EE2">
            <w:pPr>
              <w:rPr>
                <w:rFonts w:cs="Arial"/>
              </w:rPr>
            </w:pPr>
            <w:r w:rsidRPr="007223F2">
              <w:rPr>
                <w:rFonts w:cs="Arial"/>
              </w:rPr>
              <w:t>294</w:t>
            </w:r>
          </w:p>
        </w:tc>
        <w:tc>
          <w:tcPr>
            <w:tcW w:w="1058" w:type="dxa"/>
          </w:tcPr>
          <w:p w:rsidR="00BA7C2C" w:rsidRPr="007223F2" w:rsidRDefault="00BA7C2C" w:rsidP="00613EE2">
            <w:pPr>
              <w:rPr>
                <w:rFonts w:cs="Arial"/>
              </w:rPr>
            </w:pPr>
            <w:r w:rsidRPr="007223F2">
              <w:rPr>
                <w:rFonts w:cs="Arial"/>
              </w:rPr>
              <w:t>72.9</w:t>
            </w:r>
          </w:p>
        </w:tc>
        <w:tc>
          <w:tcPr>
            <w:tcW w:w="0" w:type="auto"/>
          </w:tcPr>
          <w:p w:rsidR="00BA7C2C" w:rsidRPr="007223F2" w:rsidRDefault="00BA7C2C" w:rsidP="00613EE2">
            <w:pPr>
              <w:rPr>
                <w:rFonts w:cs="Arial"/>
              </w:rPr>
            </w:pPr>
            <w:r w:rsidRPr="007223F2">
              <w:rPr>
                <w:rFonts w:cs="Arial"/>
              </w:rPr>
              <w:t>0.023</w:t>
            </w:r>
          </w:p>
        </w:tc>
        <w:tc>
          <w:tcPr>
            <w:tcW w:w="1413" w:type="dxa"/>
          </w:tcPr>
          <w:p w:rsidR="00BA7C2C" w:rsidRPr="007223F2" w:rsidRDefault="00BA7C2C" w:rsidP="00613EE2">
            <w:pPr>
              <w:rPr>
                <w:rFonts w:cs="Arial"/>
              </w:rPr>
            </w:pPr>
            <w:r w:rsidRPr="007223F2">
              <w:rPr>
                <w:rFonts w:cs="Arial"/>
              </w:rPr>
              <w:t>0.078</w:t>
            </w:r>
          </w:p>
        </w:tc>
        <w:tc>
          <w:tcPr>
            <w:tcW w:w="0" w:type="auto"/>
          </w:tcPr>
          <w:p w:rsidR="00BA7C2C" w:rsidRPr="007223F2" w:rsidRDefault="00BA7C2C" w:rsidP="00613EE2">
            <w:pPr>
              <w:rPr>
                <w:rFonts w:cs="Arial"/>
              </w:rPr>
            </w:pPr>
            <w:r w:rsidRPr="007223F2">
              <w:rPr>
                <w:rFonts w:cs="Arial"/>
              </w:rPr>
              <w:t>0.012</w:t>
            </w:r>
          </w:p>
        </w:tc>
        <w:tc>
          <w:tcPr>
            <w:tcW w:w="1643" w:type="dxa"/>
          </w:tcPr>
          <w:p w:rsidR="00BA7C2C" w:rsidRPr="007223F2" w:rsidRDefault="00BA7C2C" w:rsidP="00613EE2">
            <w:pPr>
              <w:rPr>
                <w:rFonts w:cs="Arial"/>
              </w:rPr>
            </w:pPr>
            <w:r w:rsidRPr="007223F2">
              <w:rPr>
                <w:rFonts w:cs="Arial"/>
              </w:rPr>
              <w:t>0.041</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Athene noctua</w:t>
            </w:r>
          </w:p>
        </w:tc>
        <w:tc>
          <w:tcPr>
            <w:tcW w:w="879" w:type="dxa"/>
          </w:tcPr>
          <w:p w:rsidR="00BA7C2C" w:rsidRPr="007223F2" w:rsidRDefault="00BA7C2C" w:rsidP="00613EE2">
            <w:pPr>
              <w:rPr>
                <w:rFonts w:cs="Arial"/>
              </w:rPr>
            </w:pPr>
            <w:r w:rsidRPr="007223F2">
              <w:rPr>
                <w:rFonts w:cs="Arial"/>
              </w:rPr>
              <w:t>164</w:t>
            </w:r>
          </w:p>
        </w:tc>
        <w:tc>
          <w:tcPr>
            <w:tcW w:w="1058" w:type="dxa"/>
          </w:tcPr>
          <w:p w:rsidR="00BA7C2C" w:rsidRPr="007223F2" w:rsidRDefault="00BA7C2C" w:rsidP="00613EE2">
            <w:pPr>
              <w:rPr>
                <w:rFonts w:cs="Arial"/>
              </w:rPr>
            </w:pPr>
            <w:r w:rsidRPr="007223F2">
              <w:rPr>
                <w:rFonts w:cs="Arial"/>
              </w:rPr>
              <w:t>46.4</w:t>
            </w:r>
          </w:p>
        </w:tc>
        <w:tc>
          <w:tcPr>
            <w:tcW w:w="0" w:type="auto"/>
          </w:tcPr>
          <w:p w:rsidR="00BA7C2C" w:rsidRPr="007223F2" w:rsidRDefault="00BA7C2C" w:rsidP="00613EE2">
            <w:pPr>
              <w:rPr>
                <w:rFonts w:cs="Arial"/>
              </w:rPr>
            </w:pPr>
            <w:r w:rsidRPr="007223F2">
              <w:rPr>
                <w:rFonts w:cs="Arial"/>
              </w:rPr>
              <w:t>0.015</w:t>
            </w:r>
          </w:p>
        </w:tc>
        <w:tc>
          <w:tcPr>
            <w:tcW w:w="1413" w:type="dxa"/>
          </w:tcPr>
          <w:p w:rsidR="00BA7C2C" w:rsidRPr="007223F2" w:rsidRDefault="00BA7C2C" w:rsidP="00613EE2">
            <w:pPr>
              <w:rPr>
                <w:rFonts w:cs="Arial"/>
              </w:rPr>
            </w:pPr>
            <w:r w:rsidRPr="007223F2">
              <w:rPr>
                <w:rFonts w:cs="Arial"/>
              </w:rPr>
              <w:t>0.091</w:t>
            </w:r>
          </w:p>
        </w:tc>
        <w:tc>
          <w:tcPr>
            <w:tcW w:w="0" w:type="auto"/>
          </w:tcPr>
          <w:p w:rsidR="00BA7C2C" w:rsidRPr="007223F2" w:rsidRDefault="00BA7C2C" w:rsidP="00613EE2">
            <w:pPr>
              <w:rPr>
                <w:rFonts w:cs="Arial"/>
              </w:rPr>
            </w:pPr>
            <w:r w:rsidRPr="007223F2">
              <w:rPr>
                <w:rFonts w:cs="Arial"/>
              </w:rPr>
              <w:t>0.008</w:t>
            </w:r>
          </w:p>
        </w:tc>
        <w:tc>
          <w:tcPr>
            <w:tcW w:w="1643" w:type="dxa"/>
          </w:tcPr>
          <w:p w:rsidR="00BA7C2C" w:rsidRPr="007223F2" w:rsidRDefault="00BA7C2C" w:rsidP="00613EE2">
            <w:pPr>
              <w:rPr>
                <w:rFonts w:cs="Arial"/>
              </w:rPr>
            </w:pPr>
            <w:r w:rsidRPr="007223F2">
              <w:rPr>
                <w:rFonts w:cs="Arial"/>
              </w:rPr>
              <w:t>0.045</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Strix aluco</w:t>
            </w:r>
          </w:p>
        </w:tc>
        <w:tc>
          <w:tcPr>
            <w:tcW w:w="879" w:type="dxa"/>
          </w:tcPr>
          <w:p w:rsidR="00BA7C2C" w:rsidRPr="007223F2" w:rsidRDefault="00BA7C2C" w:rsidP="00613EE2">
            <w:pPr>
              <w:rPr>
                <w:rFonts w:cs="Arial"/>
              </w:rPr>
            </w:pPr>
            <w:r w:rsidRPr="007223F2">
              <w:rPr>
                <w:rFonts w:cs="Arial"/>
              </w:rPr>
              <w:t>426</w:t>
            </w:r>
          </w:p>
        </w:tc>
        <w:tc>
          <w:tcPr>
            <w:tcW w:w="1058" w:type="dxa"/>
          </w:tcPr>
          <w:p w:rsidR="00BA7C2C" w:rsidRPr="007223F2" w:rsidRDefault="00BA7C2C" w:rsidP="00613EE2">
            <w:pPr>
              <w:rPr>
                <w:rFonts w:cs="Arial"/>
              </w:rPr>
            </w:pPr>
            <w:r w:rsidRPr="007223F2">
              <w:rPr>
                <w:rFonts w:cs="Arial"/>
              </w:rPr>
              <w:t>97.1</w:t>
            </w:r>
          </w:p>
        </w:tc>
        <w:tc>
          <w:tcPr>
            <w:tcW w:w="0" w:type="auto"/>
          </w:tcPr>
          <w:p w:rsidR="00BA7C2C" w:rsidRPr="007223F2" w:rsidRDefault="00BA7C2C" w:rsidP="00613EE2">
            <w:pPr>
              <w:rPr>
                <w:rFonts w:cs="Arial"/>
              </w:rPr>
            </w:pPr>
            <w:r w:rsidRPr="007223F2">
              <w:rPr>
                <w:rFonts w:cs="Arial"/>
              </w:rPr>
              <w:t>0.031</w:t>
            </w:r>
          </w:p>
        </w:tc>
        <w:tc>
          <w:tcPr>
            <w:tcW w:w="1413" w:type="dxa"/>
          </w:tcPr>
          <w:p w:rsidR="00BA7C2C" w:rsidRPr="007223F2" w:rsidRDefault="00BA7C2C" w:rsidP="00613EE2">
            <w:pPr>
              <w:rPr>
                <w:rFonts w:cs="Arial"/>
              </w:rPr>
            </w:pPr>
            <w:r w:rsidRPr="007223F2">
              <w:rPr>
                <w:rFonts w:cs="Arial"/>
              </w:rPr>
              <w:t>0.073</w:t>
            </w:r>
          </w:p>
        </w:tc>
        <w:tc>
          <w:tcPr>
            <w:tcW w:w="0" w:type="auto"/>
          </w:tcPr>
          <w:p w:rsidR="00BA7C2C" w:rsidRPr="007223F2" w:rsidRDefault="00BA7C2C" w:rsidP="00613EE2">
            <w:pPr>
              <w:rPr>
                <w:rFonts w:cs="Arial"/>
              </w:rPr>
            </w:pPr>
            <w:r w:rsidRPr="007223F2">
              <w:rPr>
                <w:rFonts w:cs="Arial"/>
              </w:rPr>
              <w:t>0.015</w:t>
            </w:r>
          </w:p>
        </w:tc>
        <w:tc>
          <w:tcPr>
            <w:tcW w:w="1643" w:type="dxa"/>
          </w:tcPr>
          <w:p w:rsidR="00BA7C2C" w:rsidRPr="007223F2" w:rsidRDefault="00BA7C2C" w:rsidP="00613EE2">
            <w:pPr>
              <w:rPr>
                <w:rFonts w:cs="Arial"/>
              </w:rPr>
            </w:pPr>
            <w:r w:rsidRPr="007223F2">
              <w:rPr>
                <w:rFonts w:cs="Arial"/>
              </w:rPr>
              <w:t>0.036</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Falco tinnunculus</w:t>
            </w:r>
          </w:p>
        </w:tc>
        <w:tc>
          <w:tcPr>
            <w:tcW w:w="879" w:type="dxa"/>
          </w:tcPr>
          <w:p w:rsidR="00BA7C2C" w:rsidRPr="007223F2" w:rsidRDefault="00BA7C2C" w:rsidP="00613EE2">
            <w:pPr>
              <w:rPr>
                <w:rFonts w:cs="Arial"/>
              </w:rPr>
            </w:pPr>
            <w:r w:rsidRPr="007223F2">
              <w:rPr>
                <w:rFonts w:cs="Arial"/>
              </w:rPr>
              <w:t>209</w:t>
            </w:r>
          </w:p>
        </w:tc>
        <w:tc>
          <w:tcPr>
            <w:tcW w:w="1058" w:type="dxa"/>
          </w:tcPr>
          <w:p w:rsidR="00BA7C2C" w:rsidRPr="007223F2" w:rsidRDefault="00BA7C2C" w:rsidP="00613EE2">
            <w:pPr>
              <w:rPr>
                <w:rFonts w:cs="Arial"/>
              </w:rPr>
            </w:pPr>
            <w:r w:rsidRPr="007223F2">
              <w:rPr>
                <w:rFonts w:cs="Arial"/>
              </w:rPr>
              <w:t>78.7</w:t>
            </w:r>
          </w:p>
        </w:tc>
        <w:tc>
          <w:tcPr>
            <w:tcW w:w="0" w:type="auto"/>
          </w:tcPr>
          <w:p w:rsidR="00BA7C2C" w:rsidRPr="007223F2" w:rsidRDefault="00BA7C2C" w:rsidP="00613EE2">
            <w:pPr>
              <w:rPr>
                <w:rFonts w:cs="Arial"/>
              </w:rPr>
            </w:pPr>
            <w:r w:rsidRPr="007223F2">
              <w:rPr>
                <w:rFonts w:cs="Arial"/>
              </w:rPr>
              <w:t>0.025</w:t>
            </w:r>
          </w:p>
        </w:tc>
        <w:tc>
          <w:tcPr>
            <w:tcW w:w="1413" w:type="dxa"/>
          </w:tcPr>
          <w:p w:rsidR="00BA7C2C" w:rsidRPr="007223F2" w:rsidRDefault="00BA7C2C" w:rsidP="00613EE2">
            <w:pPr>
              <w:rPr>
                <w:rFonts w:cs="Arial"/>
              </w:rPr>
            </w:pPr>
            <w:r w:rsidRPr="007223F2">
              <w:rPr>
                <w:rFonts w:cs="Arial"/>
              </w:rPr>
              <w:t>0.120</w:t>
            </w:r>
          </w:p>
        </w:tc>
        <w:tc>
          <w:tcPr>
            <w:tcW w:w="0" w:type="auto"/>
          </w:tcPr>
          <w:p w:rsidR="00BA7C2C" w:rsidRPr="007223F2" w:rsidRDefault="00BA7C2C" w:rsidP="00613EE2">
            <w:pPr>
              <w:rPr>
                <w:rFonts w:cs="Arial"/>
              </w:rPr>
            </w:pPr>
            <w:r w:rsidRPr="007223F2">
              <w:rPr>
                <w:rFonts w:cs="Arial"/>
              </w:rPr>
              <w:t>0.013</w:t>
            </w:r>
          </w:p>
        </w:tc>
        <w:tc>
          <w:tcPr>
            <w:tcW w:w="1643" w:type="dxa"/>
          </w:tcPr>
          <w:p w:rsidR="00BA7C2C" w:rsidRPr="007223F2" w:rsidRDefault="00BA7C2C" w:rsidP="00613EE2">
            <w:pPr>
              <w:rPr>
                <w:rFonts w:cs="Arial"/>
              </w:rPr>
            </w:pPr>
            <w:r w:rsidRPr="007223F2">
              <w:rPr>
                <w:rFonts w:cs="Arial"/>
              </w:rPr>
              <w:t>0.062</w:t>
            </w:r>
          </w:p>
        </w:tc>
      </w:tr>
      <w:tr w:rsidR="00BA7C2C" w:rsidRPr="007223F2" w:rsidTr="00613EE2">
        <w:trPr>
          <w:cantSplit/>
        </w:trPr>
        <w:tc>
          <w:tcPr>
            <w:tcW w:w="9454" w:type="dxa"/>
            <w:gridSpan w:val="7"/>
          </w:tcPr>
          <w:p w:rsidR="00BA7C2C" w:rsidRPr="007223F2" w:rsidRDefault="00BA7C2C" w:rsidP="00613EE2">
            <w:pPr>
              <w:rPr>
                <w:rFonts w:cs="Arial"/>
                <w:b/>
              </w:rPr>
            </w:pPr>
            <w:r w:rsidRPr="007223F2">
              <w:rPr>
                <w:rFonts w:cs="Arial"/>
                <w:b/>
              </w:rPr>
              <w:t>Mammals</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Vulpes vulpes</w:t>
            </w:r>
          </w:p>
        </w:tc>
        <w:tc>
          <w:tcPr>
            <w:tcW w:w="879" w:type="dxa"/>
          </w:tcPr>
          <w:p w:rsidR="00BA7C2C" w:rsidRPr="007223F2" w:rsidRDefault="00BA7C2C" w:rsidP="00613EE2">
            <w:pPr>
              <w:rPr>
                <w:rFonts w:cs="Arial"/>
              </w:rPr>
            </w:pPr>
            <w:r w:rsidRPr="007223F2">
              <w:rPr>
                <w:rFonts w:cs="Arial"/>
              </w:rPr>
              <w:t>5,700</w:t>
            </w:r>
          </w:p>
        </w:tc>
        <w:tc>
          <w:tcPr>
            <w:tcW w:w="1058" w:type="dxa"/>
          </w:tcPr>
          <w:p w:rsidR="00BA7C2C" w:rsidRPr="007223F2" w:rsidRDefault="00BA7C2C" w:rsidP="00613EE2">
            <w:pPr>
              <w:rPr>
                <w:rFonts w:cs="Arial"/>
              </w:rPr>
            </w:pPr>
            <w:r w:rsidRPr="007223F2">
              <w:rPr>
                <w:rFonts w:cs="Arial"/>
              </w:rPr>
              <w:t>520.2</w:t>
            </w:r>
          </w:p>
        </w:tc>
        <w:tc>
          <w:tcPr>
            <w:tcW w:w="0" w:type="auto"/>
          </w:tcPr>
          <w:p w:rsidR="00BA7C2C" w:rsidRPr="007223F2" w:rsidRDefault="00BA7C2C" w:rsidP="00613EE2">
            <w:pPr>
              <w:rPr>
                <w:rFonts w:cs="Arial"/>
              </w:rPr>
            </w:pPr>
            <w:r w:rsidRPr="007223F2">
              <w:rPr>
                <w:rFonts w:cs="Arial"/>
              </w:rPr>
              <w:t>0.166</w:t>
            </w:r>
          </w:p>
        </w:tc>
        <w:tc>
          <w:tcPr>
            <w:tcW w:w="1413" w:type="dxa"/>
          </w:tcPr>
          <w:p w:rsidR="00BA7C2C" w:rsidRPr="007223F2" w:rsidRDefault="00BA7C2C" w:rsidP="00613EE2">
            <w:pPr>
              <w:rPr>
                <w:rFonts w:cs="Arial"/>
              </w:rPr>
            </w:pPr>
            <w:r w:rsidRPr="007223F2">
              <w:rPr>
                <w:rFonts w:cs="Arial"/>
              </w:rPr>
              <w:t>0.029</w:t>
            </w:r>
          </w:p>
        </w:tc>
        <w:tc>
          <w:tcPr>
            <w:tcW w:w="0" w:type="auto"/>
          </w:tcPr>
          <w:p w:rsidR="00BA7C2C" w:rsidRPr="007223F2" w:rsidRDefault="00BA7C2C" w:rsidP="00613EE2">
            <w:pPr>
              <w:rPr>
                <w:rFonts w:cs="Arial"/>
              </w:rPr>
            </w:pPr>
            <w:r w:rsidRPr="007223F2">
              <w:rPr>
                <w:rFonts w:cs="Arial"/>
              </w:rPr>
              <w:t>0.085</w:t>
            </w:r>
          </w:p>
        </w:tc>
        <w:tc>
          <w:tcPr>
            <w:tcW w:w="1643" w:type="dxa"/>
          </w:tcPr>
          <w:p w:rsidR="00BA7C2C" w:rsidRPr="007223F2" w:rsidRDefault="00BA7C2C" w:rsidP="00613EE2">
            <w:pPr>
              <w:rPr>
                <w:rFonts w:cs="Arial"/>
              </w:rPr>
            </w:pPr>
            <w:r w:rsidRPr="007223F2">
              <w:rPr>
                <w:rFonts w:cs="Arial"/>
              </w:rPr>
              <w:t>0.015</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Mustela putorius</w:t>
            </w:r>
          </w:p>
        </w:tc>
        <w:tc>
          <w:tcPr>
            <w:tcW w:w="879" w:type="dxa"/>
          </w:tcPr>
          <w:p w:rsidR="00BA7C2C" w:rsidRPr="007223F2" w:rsidRDefault="00BA7C2C" w:rsidP="00613EE2">
            <w:pPr>
              <w:rPr>
                <w:rFonts w:cs="Arial"/>
              </w:rPr>
            </w:pPr>
            <w:r w:rsidRPr="007223F2">
              <w:rPr>
                <w:rFonts w:cs="Arial"/>
              </w:rPr>
              <w:t>689</w:t>
            </w:r>
          </w:p>
        </w:tc>
        <w:tc>
          <w:tcPr>
            <w:tcW w:w="1058" w:type="dxa"/>
          </w:tcPr>
          <w:p w:rsidR="00BA7C2C" w:rsidRPr="007223F2" w:rsidRDefault="00BA7C2C" w:rsidP="00613EE2">
            <w:pPr>
              <w:rPr>
                <w:rFonts w:cs="Arial"/>
              </w:rPr>
            </w:pPr>
            <w:r w:rsidRPr="007223F2">
              <w:rPr>
                <w:rFonts w:cs="Arial"/>
              </w:rPr>
              <w:t>130.9</w:t>
            </w:r>
          </w:p>
        </w:tc>
        <w:tc>
          <w:tcPr>
            <w:tcW w:w="0" w:type="auto"/>
          </w:tcPr>
          <w:p w:rsidR="00BA7C2C" w:rsidRPr="007223F2" w:rsidRDefault="00BA7C2C" w:rsidP="00613EE2">
            <w:pPr>
              <w:rPr>
                <w:rFonts w:cs="Arial"/>
              </w:rPr>
            </w:pPr>
            <w:r w:rsidRPr="007223F2">
              <w:rPr>
                <w:rFonts w:cs="Arial"/>
              </w:rPr>
              <w:t>0.042</w:t>
            </w:r>
          </w:p>
        </w:tc>
        <w:tc>
          <w:tcPr>
            <w:tcW w:w="1413" w:type="dxa"/>
          </w:tcPr>
          <w:p w:rsidR="00BA7C2C" w:rsidRPr="007223F2" w:rsidRDefault="00BA7C2C" w:rsidP="00613EE2">
            <w:pPr>
              <w:rPr>
                <w:rFonts w:cs="Arial"/>
              </w:rPr>
            </w:pPr>
            <w:r w:rsidRPr="007223F2">
              <w:rPr>
                <w:rFonts w:cs="Arial"/>
              </w:rPr>
              <w:t>0.061</w:t>
            </w:r>
          </w:p>
        </w:tc>
        <w:tc>
          <w:tcPr>
            <w:tcW w:w="0" w:type="auto"/>
          </w:tcPr>
          <w:p w:rsidR="00BA7C2C" w:rsidRPr="007223F2" w:rsidRDefault="00BA7C2C" w:rsidP="00613EE2">
            <w:pPr>
              <w:keepNext/>
              <w:spacing w:line="240" w:lineRule="auto"/>
              <w:rPr>
                <w:rFonts w:cs="Arial"/>
              </w:rPr>
            </w:pPr>
            <w:r w:rsidRPr="007223F2">
              <w:rPr>
                <w:rFonts w:cs="Arial"/>
              </w:rPr>
              <w:t>0.021</w:t>
            </w:r>
          </w:p>
        </w:tc>
        <w:tc>
          <w:tcPr>
            <w:tcW w:w="1643" w:type="dxa"/>
          </w:tcPr>
          <w:p w:rsidR="00BA7C2C" w:rsidRPr="007223F2" w:rsidRDefault="00BA7C2C" w:rsidP="00613EE2">
            <w:pPr>
              <w:rPr>
                <w:rFonts w:cs="Arial"/>
              </w:rPr>
            </w:pPr>
            <w:r w:rsidRPr="007223F2">
              <w:rPr>
                <w:rFonts w:cs="Arial"/>
              </w:rPr>
              <w:t>0.030</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Mustela erminea</w:t>
            </w:r>
          </w:p>
        </w:tc>
        <w:tc>
          <w:tcPr>
            <w:tcW w:w="879" w:type="dxa"/>
          </w:tcPr>
          <w:p w:rsidR="00BA7C2C" w:rsidRPr="007223F2" w:rsidRDefault="00BA7C2C" w:rsidP="00613EE2">
            <w:pPr>
              <w:rPr>
                <w:rFonts w:cs="Arial"/>
              </w:rPr>
            </w:pPr>
            <w:r w:rsidRPr="007223F2">
              <w:rPr>
                <w:rFonts w:cs="Arial"/>
              </w:rPr>
              <w:t>205</w:t>
            </w:r>
          </w:p>
        </w:tc>
        <w:tc>
          <w:tcPr>
            <w:tcW w:w="1058" w:type="dxa"/>
          </w:tcPr>
          <w:p w:rsidR="00BA7C2C" w:rsidRPr="007223F2" w:rsidRDefault="00BA7C2C" w:rsidP="00613EE2">
            <w:pPr>
              <w:rPr>
                <w:rFonts w:cs="Arial"/>
              </w:rPr>
            </w:pPr>
            <w:r w:rsidRPr="007223F2">
              <w:rPr>
                <w:rFonts w:cs="Arial"/>
              </w:rPr>
              <w:t>55.7</w:t>
            </w:r>
          </w:p>
        </w:tc>
        <w:tc>
          <w:tcPr>
            <w:tcW w:w="0" w:type="auto"/>
          </w:tcPr>
          <w:p w:rsidR="00BA7C2C" w:rsidRPr="007223F2" w:rsidRDefault="00BA7C2C" w:rsidP="00613EE2">
            <w:pPr>
              <w:rPr>
                <w:rFonts w:cs="Arial"/>
              </w:rPr>
            </w:pPr>
            <w:r w:rsidRPr="007223F2">
              <w:rPr>
                <w:rFonts w:cs="Arial"/>
              </w:rPr>
              <w:t>0.018</w:t>
            </w:r>
          </w:p>
        </w:tc>
        <w:tc>
          <w:tcPr>
            <w:tcW w:w="1413" w:type="dxa"/>
          </w:tcPr>
          <w:p w:rsidR="00BA7C2C" w:rsidRPr="007223F2" w:rsidRDefault="00BA7C2C" w:rsidP="00613EE2">
            <w:pPr>
              <w:rPr>
                <w:rFonts w:cs="Arial"/>
              </w:rPr>
            </w:pPr>
            <w:r w:rsidRPr="007223F2">
              <w:rPr>
                <w:rFonts w:cs="Arial"/>
              </w:rPr>
              <w:t>0.088</w:t>
            </w:r>
          </w:p>
        </w:tc>
        <w:tc>
          <w:tcPr>
            <w:tcW w:w="0" w:type="auto"/>
          </w:tcPr>
          <w:p w:rsidR="00BA7C2C" w:rsidRPr="007223F2" w:rsidRDefault="00BA7C2C" w:rsidP="00613EE2">
            <w:pPr>
              <w:rPr>
                <w:rFonts w:cs="Arial"/>
              </w:rPr>
            </w:pPr>
            <w:r w:rsidRPr="007223F2">
              <w:rPr>
                <w:rFonts w:cs="Arial"/>
              </w:rPr>
              <w:t>0.009</w:t>
            </w:r>
          </w:p>
        </w:tc>
        <w:tc>
          <w:tcPr>
            <w:tcW w:w="1643" w:type="dxa"/>
          </w:tcPr>
          <w:p w:rsidR="00BA7C2C" w:rsidRPr="007223F2" w:rsidRDefault="00BA7C2C" w:rsidP="00613EE2">
            <w:pPr>
              <w:rPr>
                <w:rFonts w:cs="Arial"/>
              </w:rPr>
            </w:pPr>
            <w:r w:rsidRPr="007223F2">
              <w:rPr>
                <w:rFonts w:cs="Arial"/>
              </w:rPr>
              <w:t>0.044</w:t>
            </w:r>
          </w:p>
        </w:tc>
      </w:tr>
      <w:tr w:rsidR="00BA7C2C" w:rsidRPr="007223F2" w:rsidTr="00613EE2">
        <w:trPr>
          <w:cantSplit/>
        </w:trPr>
        <w:tc>
          <w:tcPr>
            <w:tcW w:w="1871" w:type="dxa"/>
          </w:tcPr>
          <w:p w:rsidR="00BA7C2C" w:rsidRPr="007223F2" w:rsidRDefault="00BA7C2C" w:rsidP="00613EE2">
            <w:pPr>
              <w:rPr>
                <w:rFonts w:cs="Arial"/>
                <w:i/>
              </w:rPr>
            </w:pPr>
            <w:r w:rsidRPr="007223F2">
              <w:rPr>
                <w:rFonts w:cs="Arial"/>
                <w:i/>
              </w:rPr>
              <w:t>Mustela nivalis</w:t>
            </w:r>
          </w:p>
        </w:tc>
        <w:tc>
          <w:tcPr>
            <w:tcW w:w="879" w:type="dxa"/>
          </w:tcPr>
          <w:p w:rsidR="00BA7C2C" w:rsidRPr="007223F2" w:rsidRDefault="00BA7C2C" w:rsidP="00613EE2">
            <w:pPr>
              <w:rPr>
                <w:rFonts w:cs="Arial"/>
              </w:rPr>
            </w:pPr>
            <w:r w:rsidRPr="007223F2">
              <w:rPr>
                <w:rFonts w:cs="Arial"/>
              </w:rPr>
              <w:t>63</w:t>
            </w:r>
          </w:p>
        </w:tc>
        <w:tc>
          <w:tcPr>
            <w:tcW w:w="1058" w:type="dxa"/>
          </w:tcPr>
          <w:p w:rsidR="00BA7C2C" w:rsidRPr="007223F2" w:rsidRDefault="00BA7C2C" w:rsidP="00613EE2">
            <w:pPr>
              <w:rPr>
                <w:rFonts w:cs="Arial"/>
              </w:rPr>
            </w:pPr>
            <w:r w:rsidRPr="007223F2">
              <w:rPr>
                <w:rFonts w:cs="Arial"/>
              </w:rPr>
              <w:t>24.7</w:t>
            </w:r>
          </w:p>
        </w:tc>
        <w:tc>
          <w:tcPr>
            <w:tcW w:w="0" w:type="auto"/>
          </w:tcPr>
          <w:p w:rsidR="00BA7C2C" w:rsidRPr="007223F2" w:rsidRDefault="00BA7C2C" w:rsidP="00613EE2">
            <w:pPr>
              <w:rPr>
                <w:rFonts w:cs="Arial"/>
              </w:rPr>
            </w:pPr>
            <w:r w:rsidRPr="007223F2">
              <w:rPr>
                <w:rFonts w:cs="Arial"/>
              </w:rPr>
              <w:t>0.008</w:t>
            </w:r>
          </w:p>
        </w:tc>
        <w:tc>
          <w:tcPr>
            <w:tcW w:w="1413" w:type="dxa"/>
          </w:tcPr>
          <w:p w:rsidR="00BA7C2C" w:rsidRPr="007223F2" w:rsidRDefault="00BA7C2C" w:rsidP="00613EE2">
            <w:pPr>
              <w:rPr>
                <w:rFonts w:cs="Arial"/>
              </w:rPr>
            </w:pPr>
            <w:r w:rsidRPr="007223F2">
              <w:rPr>
                <w:rFonts w:cs="Arial"/>
              </w:rPr>
              <w:t>0.127</w:t>
            </w:r>
          </w:p>
        </w:tc>
        <w:tc>
          <w:tcPr>
            <w:tcW w:w="0" w:type="auto"/>
          </w:tcPr>
          <w:p w:rsidR="00BA7C2C" w:rsidRPr="007223F2" w:rsidRDefault="00BA7C2C" w:rsidP="00613EE2">
            <w:pPr>
              <w:rPr>
                <w:rFonts w:cs="Arial"/>
              </w:rPr>
            </w:pPr>
            <w:r w:rsidRPr="007223F2">
              <w:rPr>
                <w:rFonts w:cs="Arial"/>
              </w:rPr>
              <w:t>0.004</w:t>
            </w:r>
          </w:p>
        </w:tc>
        <w:tc>
          <w:tcPr>
            <w:tcW w:w="1643" w:type="dxa"/>
          </w:tcPr>
          <w:p w:rsidR="00BA7C2C" w:rsidRPr="007223F2" w:rsidRDefault="00BA7C2C" w:rsidP="00613EE2">
            <w:pPr>
              <w:rPr>
                <w:rFonts w:cs="Arial"/>
              </w:rPr>
            </w:pPr>
            <w:r w:rsidRPr="007223F2">
              <w:rPr>
                <w:rFonts w:cs="Arial"/>
              </w:rPr>
              <w:t>0.063</w:t>
            </w:r>
          </w:p>
        </w:tc>
      </w:tr>
      <w:tr w:rsidR="00BA7C2C" w:rsidRPr="007223F2" w:rsidTr="00613EE2">
        <w:trPr>
          <w:cantSplit/>
        </w:trPr>
        <w:tc>
          <w:tcPr>
            <w:tcW w:w="1871" w:type="dxa"/>
            <w:tcBorders>
              <w:bottom w:val="single" w:sz="4" w:space="0" w:color="auto"/>
            </w:tcBorders>
          </w:tcPr>
          <w:p w:rsidR="00BA7C2C" w:rsidRPr="007223F2" w:rsidRDefault="00BA7C2C" w:rsidP="00613EE2">
            <w:pPr>
              <w:rPr>
                <w:rFonts w:cs="Arial"/>
              </w:rPr>
            </w:pPr>
            <w:r w:rsidRPr="007223F2">
              <w:rPr>
                <w:rFonts w:cs="Arial"/>
              </w:rPr>
              <w:t>Dog</w:t>
            </w:r>
          </w:p>
        </w:tc>
        <w:tc>
          <w:tcPr>
            <w:tcW w:w="879" w:type="dxa"/>
            <w:tcBorders>
              <w:bottom w:val="single" w:sz="4" w:space="0" w:color="auto"/>
            </w:tcBorders>
          </w:tcPr>
          <w:p w:rsidR="00BA7C2C" w:rsidRPr="007223F2" w:rsidRDefault="00BA7C2C" w:rsidP="00613EE2">
            <w:pPr>
              <w:rPr>
                <w:rFonts w:cs="Arial"/>
              </w:rPr>
            </w:pPr>
            <w:r w:rsidRPr="007223F2">
              <w:rPr>
                <w:rFonts w:cs="Arial"/>
              </w:rPr>
              <w:t>10,000</w:t>
            </w:r>
          </w:p>
        </w:tc>
        <w:tc>
          <w:tcPr>
            <w:tcW w:w="1058" w:type="dxa"/>
            <w:tcBorders>
              <w:bottom w:val="single" w:sz="4" w:space="0" w:color="auto"/>
            </w:tcBorders>
          </w:tcPr>
          <w:p w:rsidR="00BA7C2C" w:rsidRPr="007223F2" w:rsidRDefault="00BA7C2C" w:rsidP="00613EE2">
            <w:pPr>
              <w:rPr>
                <w:rFonts w:cs="Arial"/>
              </w:rPr>
            </w:pPr>
            <w:r w:rsidRPr="007223F2">
              <w:rPr>
                <w:rFonts w:cs="Arial"/>
              </w:rPr>
              <w:t>456</w:t>
            </w:r>
          </w:p>
        </w:tc>
        <w:tc>
          <w:tcPr>
            <w:tcW w:w="0" w:type="auto"/>
            <w:tcBorders>
              <w:bottom w:val="single" w:sz="4" w:space="0" w:color="auto"/>
            </w:tcBorders>
          </w:tcPr>
          <w:p w:rsidR="00BA7C2C" w:rsidRPr="007223F2" w:rsidRDefault="00BA7C2C" w:rsidP="00613EE2">
            <w:pPr>
              <w:rPr>
                <w:rFonts w:cs="Arial"/>
              </w:rPr>
            </w:pPr>
            <w:r w:rsidRPr="007223F2">
              <w:rPr>
                <w:rFonts w:cs="Arial"/>
              </w:rPr>
              <w:t>0.145</w:t>
            </w:r>
          </w:p>
        </w:tc>
        <w:tc>
          <w:tcPr>
            <w:tcW w:w="1413" w:type="dxa"/>
            <w:tcBorders>
              <w:bottom w:val="single" w:sz="4" w:space="0" w:color="auto"/>
            </w:tcBorders>
          </w:tcPr>
          <w:p w:rsidR="00BA7C2C" w:rsidRPr="007223F2" w:rsidRDefault="00BA7C2C" w:rsidP="00613EE2">
            <w:pPr>
              <w:rPr>
                <w:rFonts w:cs="Arial"/>
              </w:rPr>
            </w:pPr>
            <w:r w:rsidRPr="007223F2">
              <w:rPr>
                <w:rFonts w:cs="Arial"/>
              </w:rPr>
              <w:t>0.015</w:t>
            </w:r>
          </w:p>
        </w:tc>
        <w:tc>
          <w:tcPr>
            <w:tcW w:w="0" w:type="auto"/>
            <w:tcBorders>
              <w:bottom w:val="single" w:sz="4" w:space="0" w:color="auto"/>
            </w:tcBorders>
          </w:tcPr>
          <w:p w:rsidR="00BA7C2C" w:rsidRPr="007223F2" w:rsidRDefault="00BA7C2C" w:rsidP="00613EE2">
            <w:pPr>
              <w:rPr>
                <w:rFonts w:cs="Arial"/>
              </w:rPr>
            </w:pPr>
            <w:r w:rsidRPr="007223F2">
              <w:rPr>
                <w:rFonts w:cs="Arial"/>
              </w:rPr>
              <w:t>0.073</w:t>
            </w:r>
          </w:p>
        </w:tc>
        <w:tc>
          <w:tcPr>
            <w:tcW w:w="1643" w:type="dxa"/>
            <w:tcBorders>
              <w:bottom w:val="single" w:sz="4" w:space="0" w:color="auto"/>
            </w:tcBorders>
          </w:tcPr>
          <w:p w:rsidR="00BA7C2C" w:rsidRPr="007223F2" w:rsidRDefault="00BA7C2C" w:rsidP="00613EE2">
            <w:pPr>
              <w:rPr>
                <w:rFonts w:cs="Arial"/>
              </w:rPr>
            </w:pPr>
            <w:r w:rsidRPr="007223F2">
              <w:rPr>
                <w:rFonts w:cs="Arial"/>
              </w:rPr>
              <w:t>0.007</w:t>
            </w:r>
          </w:p>
        </w:tc>
      </w:tr>
      <w:tr w:rsidR="00BA7C2C" w:rsidRPr="007223F2" w:rsidTr="00613EE2">
        <w:trPr>
          <w:cantSplit/>
        </w:trPr>
        <w:tc>
          <w:tcPr>
            <w:tcW w:w="9454" w:type="dxa"/>
            <w:gridSpan w:val="7"/>
            <w:tcBorders>
              <w:left w:val="single" w:sz="4" w:space="0" w:color="auto"/>
              <w:bottom w:val="single" w:sz="4" w:space="0" w:color="auto"/>
              <w:right w:val="single" w:sz="4" w:space="0" w:color="auto"/>
            </w:tcBorders>
          </w:tcPr>
          <w:p w:rsidR="00BA7C2C" w:rsidRPr="007223F2" w:rsidRDefault="00BA7C2C" w:rsidP="00613EE2">
            <w:pPr>
              <w:keepNext/>
              <w:spacing w:before="40" w:after="240" w:line="240" w:lineRule="auto"/>
              <w:rPr>
                <w:rFonts w:cs="Arial"/>
              </w:rPr>
            </w:pPr>
            <w:r w:rsidRPr="007223F2">
              <w:rPr>
                <w:rFonts w:cs="Arial"/>
              </w:rPr>
              <w:t>a Based on a rodent containing 0.638 mg bromadiolone/kg (20% of their diet is paste bait).</w:t>
            </w:r>
            <w:r w:rsidRPr="007223F2">
              <w:rPr>
                <w:rFonts w:cs="Arial"/>
              </w:rPr>
              <w:br/>
              <w:t>b Based on a rodent containing 0.319 mg bromadiolone/kg (20% of their diet is paste bait).</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It has to be stated that the values in the three tables above represent only a single day of exposure. Poisoned rodents are likely to be available for at least several days during a rodenticide treatment, and a predator could therefore be exposed over several days. In principle, exposure should be estimated over several days because of the chronic mode of action of anticoagulant rodenticides (a low dose over several days may be more toxic than a higher dose on one day). Therefore the values in these tables do not necessarily represent a realistic worst case situation. </w:t>
      </w:r>
    </w:p>
    <w:p w:rsidR="00BA7C2C" w:rsidRPr="007223F2" w:rsidRDefault="00BA7C2C" w:rsidP="00BA7C2C">
      <w:pPr>
        <w:rPr>
          <w:rFonts w:cs="Arial"/>
        </w:rPr>
      </w:pPr>
      <w:r w:rsidRPr="007223F2">
        <w:rPr>
          <w:rFonts w:cs="Arial"/>
        </w:rPr>
        <w:t xml:space="preserve">As discussed previously, there are many uncertainties related to the calculation of PEC/PNEC values. </w:t>
      </w:r>
    </w:p>
    <w:p w:rsidR="00BA7C2C" w:rsidRPr="007223F2" w:rsidRDefault="00BA7C2C" w:rsidP="00BA7C2C">
      <w:pPr>
        <w:rPr>
          <w:rFonts w:cs="Arial"/>
        </w:rPr>
      </w:pPr>
      <w:r>
        <w:rPr>
          <w:rFonts w:cs="Arial"/>
        </w:rPr>
        <w:br w:type="page"/>
      </w:r>
    </w:p>
    <w:p w:rsidR="00BA7C2C" w:rsidRPr="007223F2" w:rsidRDefault="00BA7C2C" w:rsidP="00BA7C2C">
      <w:pPr>
        <w:rPr>
          <w:rFonts w:cs="Arial"/>
          <w:b/>
        </w:rPr>
      </w:pPr>
      <w:r w:rsidRPr="007223F2">
        <w:rPr>
          <w:rFonts w:cs="Arial"/>
          <w:b/>
          <w:szCs w:val="22"/>
        </w:rPr>
        <w:lastRenderedPageBreak/>
        <w:t xml:space="preserve">Tier 2 estimates of PECoral/PNECoral for predatory and scavenging birds and mammals </w:t>
      </w:r>
      <w:r w:rsidRPr="007223F2">
        <w:rPr>
          <w:rFonts w:cs="Arial"/>
          <w:b/>
        </w:rPr>
        <w:t>ingesting target rodents (as 50% of their diet) containing bromadiolone obtained from areas in and around buildings</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974"/>
        <w:gridCol w:w="126"/>
        <w:gridCol w:w="1244"/>
        <w:gridCol w:w="1249"/>
        <w:gridCol w:w="1309"/>
        <w:gridCol w:w="1309"/>
        <w:gridCol w:w="1310"/>
      </w:tblGrid>
      <w:tr w:rsidR="00BA7C2C" w:rsidRPr="007223F2" w:rsidTr="00613EE2">
        <w:trPr>
          <w:cantSplit/>
          <w:tblHeader/>
        </w:trPr>
        <w:tc>
          <w:tcPr>
            <w:tcW w:w="1978" w:type="dxa"/>
            <w:vMerge w:val="restart"/>
          </w:tcPr>
          <w:p w:rsidR="00BA7C2C" w:rsidRPr="007223F2" w:rsidRDefault="00BA7C2C" w:rsidP="00613EE2">
            <w:pPr>
              <w:rPr>
                <w:rFonts w:cs="Arial"/>
                <w:b/>
              </w:rPr>
            </w:pPr>
            <w:r w:rsidRPr="007223F2">
              <w:rPr>
                <w:rFonts w:cs="Arial"/>
                <w:b/>
              </w:rPr>
              <w:t>Non-target avian predator</w:t>
            </w:r>
          </w:p>
        </w:tc>
        <w:tc>
          <w:tcPr>
            <w:tcW w:w="2344" w:type="dxa"/>
            <w:gridSpan w:val="3"/>
          </w:tcPr>
          <w:p w:rsidR="00BA7C2C" w:rsidRPr="007223F2" w:rsidRDefault="00BA7C2C" w:rsidP="00613EE2">
            <w:pPr>
              <w:rPr>
                <w:rFonts w:cs="Arial"/>
                <w:b/>
              </w:rPr>
            </w:pPr>
            <w:r w:rsidRPr="007223F2">
              <w:rPr>
                <w:rFonts w:cs="Arial"/>
                <w:b/>
              </w:rPr>
              <w:t>PECoral/PNECoral</w:t>
            </w:r>
            <w:r w:rsidRPr="007223F2">
              <w:rPr>
                <w:rFonts w:cs="Arial"/>
                <w:b/>
                <w:vertAlign w:val="superscript"/>
              </w:rPr>
              <w:t xml:space="preserve"> </w:t>
            </w:r>
            <w:r w:rsidRPr="007223F2">
              <w:rPr>
                <w:rFonts w:cs="Arial"/>
                <w:b/>
              </w:rPr>
              <w:t>(rodent ingesting bait at 20% of daily requirement)</w:t>
            </w:r>
          </w:p>
        </w:tc>
        <w:tc>
          <w:tcPr>
            <w:tcW w:w="2558" w:type="dxa"/>
            <w:gridSpan w:val="2"/>
          </w:tcPr>
          <w:p w:rsidR="00BA7C2C" w:rsidRPr="007223F2" w:rsidRDefault="00BA7C2C" w:rsidP="00613EE2">
            <w:pPr>
              <w:keepNext/>
              <w:spacing w:before="40" w:after="40" w:line="240" w:lineRule="auto"/>
              <w:rPr>
                <w:rFonts w:cs="Arial"/>
                <w:b/>
                <w:szCs w:val="22"/>
              </w:rPr>
            </w:pPr>
            <w:r w:rsidRPr="007223F2">
              <w:rPr>
                <w:rFonts w:cs="Arial"/>
                <w:b/>
              </w:rPr>
              <w:t>PECoral/PNECoral (rodent ingesting bait a</w:t>
            </w:r>
            <w:r w:rsidRPr="007223F2">
              <w:rPr>
                <w:rFonts w:cs="Arial"/>
                <w:b/>
                <w:szCs w:val="22"/>
              </w:rPr>
              <w:t>t 50% of daily requirement)</w:t>
            </w:r>
          </w:p>
        </w:tc>
        <w:tc>
          <w:tcPr>
            <w:tcW w:w="2619" w:type="dxa"/>
            <w:gridSpan w:val="2"/>
          </w:tcPr>
          <w:p w:rsidR="00BA7C2C" w:rsidRPr="007223F2" w:rsidRDefault="00BA7C2C" w:rsidP="00613EE2">
            <w:pPr>
              <w:rPr>
                <w:rFonts w:cs="Arial"/>
                <w:b/>
              </w:rPr>
            </w:pPr>
            <w:r w:rsidRPr="007223F2">
              <w:rPr>
                <w:rFonts w:cs="Arial"/>
                <w:b/>
              </w:rPr>
              <w:t>PECoral/PNECoral</w:t>
            </w:r>
            <w:r w:rsidRPr="007223F2">
              <w:rPr>
                <w:rFonts w:cs="Arial"/>
                <w:b/>
                <w:vertAlign w:val="superscript"/>
              </w:rPr>
              <w:t xml:space="preserve"> </w:t>
            </w:r>
            <w:r w:rsidRPr="007223F2">
              <w:rPr>
                <w:rFonts w:cs="Arial"/>
                <w:b/>
              </w:rPr>
              <w:t>(rodent ingesting bait at 100% of daily requirement)</w:t>
            </w:r>
          </w:p>
        </w:tc>
      </w:tr>
      <w:tr w:rsidR="00BA7C2C" w:rsidRPr="007223F2" w:rsidTr="00613EE2">
        <w:trPr>
          <w:cantSplit/>
          <w:tblHeader/>
        </w:trPr>
        <w:tc>
          <w:tcPr>
            <w:tcW w:w="1978" w:type="dxa"/>
            <w:vMerge/>
          </w:tcPr>
          <w:p w:rsidR="00BA7C2C" w:rsidRPr="007223F2" w:rsidRDefault="00BA7C2C" w:rsidP="00613EE2">
            <w:pPr>
              <w:keepNext/>
              <w:spacing w:line="240" w:lineRule="auto"/>
              <w:rPr>
                <w:rFonts w:cs="Arial"/>
                <w:b/>
                <w:szCs w:val="22"/>
              </w:rPr>
            </w:pPr>
          </w:p>
        </w:tc>
        <w:tc>
          <w:tcPr>
            <w:tcW w:w="1100" w:type="dxa"/>
            <w:gridSpan w:val="2"/>
          </w:tcPr>
          <w:p w:rsidR="00BA7C2C" w:rsidRPr="007223F2" w:rsidRDefault="00BA7C2C" w:rsidP="00613EE2">
            <w:pPr>
              <w:rPr>
                <w:rFonts w:cs="Arial"/>
                <w:b/>
              </w:rPr>
            </w:pPr>
            <w:r w:rsidRPr="007223F2">
              <w:rPr>
                <w:rFonts w:cs="Arial"/>
                <w:b/>
              </w:rPr>
              <w:t>Rodent caught on day 5</w:t>
            </w:r>
          </w:p>
        </w:tc>
        <w:tc>
          <w:tcPr>
            <w:tcW w:w="1244" w:type="dxa"/>
          </w:tcPr>
          <w:p w:rsidR="00BA7C2C" w:rsidRPr="007223F2" w:rsidRDefault="00BA7C2C" w:rsidP="00613EE2">
            <w:pPr>
              <w:rPr>
                <w:rFonts w:cs="Arial"/>
                <w:b/>
              </w:rPr>
            </w:pPr>
            <w:r w:rsidRPr="007223F2">
              <w:rPr>
                <w:rFonts w:cs="Arial"/>
                <w:b/>
              </w:rPr>
              <w:t>Rodent caught on day 7</w:t>
            </w:r>
          </w:p>
        </w:tc>
        <w:tc>
          <w:tcPr>
            <w:tcW w:w="1249" w:type="dxa"/>
          </w:tcPr>
          <w:p w:rsidR="00BA7C2C" w:rsidRPr="007223F2" w:rsidRDefault="00BA7C2C" w:rsidP="00613EE2">
            <w:pPr>
              <w:rPr>
                <w:rFonts w:cs="Arial"/>
                <w:b/>
              </w:rPr>
            </w:pPr>
            <w:r w:rsidRPr="007223F2">
              <w:rPr>
                <w:rFonts w:cs="Arial"/>
                <w:b/>
              </w:rPr>
              <w:t>Rodent caught on day 5</w:t>
            </w:r>
          </w:p>
        </w:tc>
        <w:tc>
          <w:tcPr>
            <w:tcW w:w="1309" w:type="dxa"/>
          </w:tcPr>
          <w:p w:rsidR="00BA7C2C" w:rsidRPr="007223F2" w:rsidRDefault="00BA7C2C" w:rsidP="00613EE2">
            <w:pPr>
              <w:rPr>
                <w:rFonts w:cs="Arial"/>
                <w:b/>
              </w:rPr>
            </w:pPr>
            <w:r w:rsidRPr="007223F2">
              <w:rPr>
                <w:rFonts w:cs="Arial"/>
                <w:b/>
              </w:rPr>
              <w:t>Rodent caught on day 7</w:t>
            </w:r>
          </w:p>
        </w:tc>
        <w:tc>
          <w:tcPr>
            <w:tcW w:w="1309" w:type="dxa"/>
          </w:tcPr>
          <w:p w:rsidR="00BA7C2C" w:rsidRPr="007223F2" w:rsidRDefault="00BA7C2C" w:rsidP="00613EE2">
            <w:pPr>
              <w:rPr>
                <w:rFonts w:cs="Arial"/>
                <w:b/>
              </w:rPr>
            </w:pPr>
            <w:r w:rsidRPr="007223F2">
              <w:rPr>
                <w:rFonts w:cs="Arial"/>
                <w:b/>
              </w:rPr>
              <w:t>Rodent caught on day 5</w:t>
            </w:r>
          </w:p>
        </w:tc>
        <w:tc>
          <w:tcPr>
            <w:tcW w:w="1310" w:type="dxa"/>
          </w:tcPr>
          <w:p w:rsidR="00BA7C2C" w:rsidRPr="007223F2" w:rsidRDefault="00BA7C2C" w:rsidP="00613EE2">
            <w:pPr>
              <w:rPr>
                <w:rFonts w:cs="Arial"/>
                <w:b/>
              </w:rPr>
            </w:pPr>
            <w:r w:rsidRPr="007223F2">
              <w:rPr>
                <w:rFonts w:cs="Arial"/>
                <w:b/>
              </w:rPr>
              <w:t>Rodent caught on day 7</w:t>
            </w:r>
          </w:p>
        </w:tc>
      </w:tr>
      <w:tr w:rsidR="00BA7C2C" w:rsidRPr="007223F2" w:rsidTr="00613EE2">
        <w:tc>
          <w:tcPr>
            <w:tcW w:w="9499" w:type="dxa"/>
            <w:gridSpan w:val="8"/>
          </w:tcPr>
          <w:p w:rsidR="00BA7C2C" w:rsidRPr="007223F2" w:rsidRDefault="00BA7C2C" w:rsidP="00613EE2">
            <w:pPr>
              <w:rPr>
                <w:rFonts w:cs="Arial"/>
                <w:b/>
              </w:rPr>
            </w:pPr>
            <w:r w:rsidRPr="007223F2">
              <w:rPr>
                <w:rFonts w:cs="Arial"/>
                <w:b/>
              </w:rPr>
              <w:t>Birds</w:t>
            </w:r>
          </w:p>
        </w:tc>
      </w:tr>
      <w:tr w:rsidR="00BA7C2C" w:rsidRPr="007223F2" w:rsidTr="00613EE2">
        <w:tc>
          <w:tcPr>
            <w:tcW w:w="1978" w:type="dxa"/>
          </w:tcPr>
          <w:p w:rsidR="00BA7C2C" w:rsidRPr="007223F2" w:rsidRDefault="00BA7C2C" w:rsidP="00613EE2">
            <w:pPr>
              <w:rPr>
                <w:rFonts w:cs="Arial"/>
                <w:i/>
              </w:rPr>
            </w:pPr>
            <w:r w:rsidRPr="007223F2">
              <w:rPr>
                <w:rFonts w:cs="Arial"/>
                <w:i/>
              </w:rPr>
              <w:t>Tyto alba</w:t>
            </w:r>
          </w:p>
        </w:tc>
        <w:tc>
          <w:tcPr>
            <w:tcW w:w="974" w:type="dxa"/>
          </w:tcPr>
          <w:p w:rsidR="00BA7C2C" w:rsidRPr="007223F2" w:rsidRDefault="00BA7C2C" w:rsidP="00613EE2">
            <w:pPr>
              <w:rPr>
                <w:rFonts w:cs="Arial"/>
              </w:rPr>
            </w:pPr>
            <w:r w:rsidRPr="007223F2">
              <w:rPr>
                <w:rFonts w:cs="Arial"/>
              </w:rPr>
              <w:t>416.3</w:t>
            </w:r>
          </w:p>
        </w:tc>
        <w:tc>
          <w:tcPr>
            <w:tcW w:w="1370" w:type="dxa"/>
            <w:gridSpan w:val="2"/>
          </w:tcPr>
          <w:p w:rsidR="00BA7C2C" w:rsidRPr="007223F2" w:rsidRDefault="00BA7C2C" w:rsidP="00613EE2">
            <w:pPr>
              <w:rPr>
                <w:rFonts w:cs="Arial"/>
              </w:rPr>
            </w:pPr>
            <w:r w:rsidRPr="007223F2">
              <w:rPr>
                <w:rFonts w:cs="Arial"/>
              </w:rPr>
              <w:t>208.2</w:t>
            </w:r>
          </w:p>
        </w:tc>
        <w:tc>
          <w:tcPr>
            <w:tcW w:w="1249" w:type="dxa"/>
          </w:tcPr>
          <w:p w:rsidR="00BA7C2C" w:rsidRPr="007223F2" w:rsidRDefault="00BA7C2C" w:rsidP="00613EE2">
            <w:pPr>
              <w:rPr>
                <w:rFonts w:cs="Arial"/>
              </w:rPr>
            </w:pPr>
            <w:r w:rsidRPr="007223F2">
              <w:rPr>
                <w:rFonts w:cs="Arial"/>
              </w:rPr>
              <w:t>1040.8</w:t>
            </w:r>
          </w:p>
        </w:tc>
        <w:tc>
          <w:tcPr>
            <w:tcW w:w="1309" w:type="dxa"/>
          </w:tcPr>
          <w:p w:rsidR="00BA7C2C" w:rsidRPr="007223F2" w:rsidRDefault="00BA7C2C" w:rsidP="00613EE2">
            <w:pPr>
              <w:rPr>
                <w:rFonts w:cs="Arial"/>
              </w:rPr>
            </w:pPr>
            <w:r w:rsidRPr="007223F2">
              <w:rPr>
                <w:rFonts w:cs="Arial"/>
              </w:rPr>
              <w:t>520.4</w:t>
            </w:r>
          </w:p>
        </w:tc>
        <w:tc>
          <w:tcPr>
            <w:tcW w:w="1309" w:type="dxa"/>
          </w:tcPr>
          <w:p w:rsidR="00BA7C2C" w:rsidRPr="007223F2" w:rsidRDefault="00BA7C2C" w:rsidP="00613EE2">
            <w:pPr>
              <w:rPr>
                <w:rFonts w:cs="Arial"/>
              </w:rPr>
            </w:pPr>
            <w:r w:rsidRPr="007223F2">
              <w:rPr>
                <w:rFonts w:cs="Arial"/>
              </w:rPr>
              <w:t>2080.9</w:t>
            </w:r>
          </w:p>
        </w:tc>
        <w:tc>
          <w:tcPr>
            <w:tcW w:w="1310" w:type="dxa"/>
          </w:tcPr>
          <w:p w:rsidR="00BA7C2C" w:rsidRPr="007223F2" w:rsidRDefault="00BA7C2C" w:rsidP="00613EE2">
            <w:pPr>
              <w:rPr>
                <w:rFonts w:cs="Arial"/>
              </w:rPr>
            </w:pPr>
            <w:r w:rsidRPr="007223F2">
              <w:rPr>
                <w:rFonts w:cs="Arial"/>
              </w:rPr>
              <w:t>1040.8</w:t>
            </w:r>
          </w:p>
        </w:tc>
      </w:tr>
      <w:tr w:rsidR="00BA7C2C" w:rsidRPr="007223F2" w:rsidTr="00613EE2">
        <w:tc>
          <w:tcPr>
            <w:tcW w:w="1978" w:type="dxa"/>
          </w:tcPr>
          <w:p w:rsidR="00BA7C2C" w:rsidRPr="007223F2" w:rsidRDefault="00BA7C2C" w:rsidP="00613EE2">
            <w:pPr>
              <w:rPr>
                <w:rFonts w:cs="Arial"/>
                <w:i/>
              </w:rPr>
            </w:pPr>
            <w:r w:rsidRPr="007223F2">
              <w:rPr>
                <w:rFonts w:cs="Arial"/>
                <w:i/>
              </w:rPr>
              <w:t>Athene noctua</w:t>
            </w:r>
          </w:p>
        </w:tc>
        <w:tc>
          <w:tcPr>
            <w:tcW w:w="974" w:type="dxa"/>
          </w:tcPr>
          <w:p w:rsidR="00BA7C2C" w:rsidRPr="007223F2" w:rsidRDefault="00BA7C2C" w:rsidP="00613EE2">
            <w:pPr>
              <w:rPr>
                <w:rFonts w:cs="Arial"/>
              </w:rPr>
            </w:pPr>
            <w:r w:rsidRPr="007223F2">
              <w:rPr>
                <w:rFonts w:cs="Arial"/>
              </w:rPr>
              <w:t>475.0</w:t>
            </w:r>
          </w:p>
        </w:tc>
        <w:tc>
          <w:tcPr>
            <w:tcW w:w="1370" w:type="dxa"/>
            <w:gridSpan w:val="2"/>
          </w:tcPr>
          <w:p w:rsidR="00BA7C2C" w:rsidRPr="007223F2" w:rsidRDefault="00BA7C2C" w:rsidP="00613EE2">
            <w:pPr>
              <w:rPr>
                <w:rFonts w:cs="Arial"/>
              </w:rPr>
            </w:pPr>
            <w:r w:rsidRPr="007223F2">
              <w:rPr>
                <w:rFonts w:cs="Arial"/>
              </w:rPr>
              <w:t>237.5</w:t>
            </w:r>
          </w:p>
        </w:tc>
        <w:tc>
          <w:tcPr>
            <w:tcW w:w="1249" w:type="dxa"/>
          </w:tcPr>
          <w:p w:rsidR="00BA7C2C" w:rsidRPr="007223F2" w:rsidRDefault="00BA7C2C" w:rsidP="00613EE2">
            <w:pPr>
              <w:rPr>
                <w:rFonts w:cs="Arial"/>
              </w:rPr>
            </w:pPr>
            <w:r w:rsidRPr="007223F2">
              <w:rPr>
                <w:rFonts w:cs="Arial"/>
              </w:rPr>
              <w:t>1187.5</w:t>
            </w:r>
          </w:p>
        </w:tc>
        <w:tc>
          <w:tcPr>
            <w:tcW w:w="1309" w:type="dxa"/>
          </w:tcPr>
          <w:p w:rsidR="00BA7C2C" w:rsidRPr="007223F2" w:rsidRDefault="00BA7C2C" w:rsidP="00613EE2">
            <w:pPr>
              <w:rPr>
                <w:rFonts w:cs="Arial"/>
              </w:rPr>
            </w:pPr>
            <w:r w:rsidRPr="007223F2">
              <w:rPr>
                <w:rFonts w:cs="Arial"/>
              </w:rPr>
              <w:t>593.8</w:t>
            </w:r>
          </w:p>
        </w:tc>
        <w:tc>
          <w:tcPr>
            <w:tcW w:w="1309" w:type="dxa"/>
          </w:tcPr>
          <w:p w:rsidR="00BA7C2C" w:rsidRPr="007223F2" w:rsidRDefault="00BA7C2C" w:rsidP="00613EE2">
            <w:pPr>
              <w:rPr>
                <w:rFonts w:cs="Arial"/>
              </w:rPr>
            </w:pPr>
            <w:r w:rsidRPr="007223F2">
              <w:rPr>
                <w:rFonts w:cs="Arial"/>
              </w:rPr>
              <w:t>2374.4</w:t>
            </w:r>
          </w:p>
        </w:tc>
        <w:tc>
          <w:tcPr>
            <w:tcW w:w="1310" w:type="dxa"/>
          </w:tcPr>
          <w:p w:rsidR="00BA7C2C" w:rsidRPr="007223F2" w:rsidRDefault="00BA7C2C" w:rsidP="00613EE2">
            <w:pPr>
              <w:rPr>
                <w:rFonts w:cs="Arial"/>
              </w:rPr>
            </w:pPr>
            <w:r w:rsidRPr="007223F2">
              <w:rPr>
                <w:rFonts w:cs="Arial"/>
              </w:rPr>
              <w:t>1187.5</w:t>
            </w:r>
          </w:p>
        </w:tc>
      </w:tr>
      <w:tr w:rsidR="00BA7C2C" w:rsidRPr="007223F2" w:rsidTr="00613EE2">
        <w:tc>
          <w:tcPr>
            <w:tcW w:w="1978" w:type="dxa"/>
          </w:tcPr>
          <w:p w:rsidR="00BA7C2C" w:rsidRPr="007223F2" w:rsidRDefault="00BA7C2C" w:rsidP="00613EE2">
            <w:pPr>
              <w:rPr>
                <w:rFonts w:cs="Arial"/>
                <w:i/>
              </w:rPr>
            </w:pPr>
            <w:r w:rsidRPr="007223F2">
              <w:rPr>
                <w:rFonts w:cs="Arial"/>
                <w:i/>
              </w:rPr>
              <w:t>Strix aluco</w:t>
            </w:r>
          </w:p>
        </w:tc>
        <w:tc>
          <w:tcPr>
            <w:tcW w:w="974" w:type="dxa"/>
          </w:tcPr>
          <w:p w:rsidR="00BA7C2C" w:rsidRPr="007223F2" w:rsidRDefault="00BA7C2C" w:rsidP="00613EE2">
            <w:pPr>
              <w:rPr>
                <w:rFonts w:cs="Arial"/>
              </w:rPr>
            </w:pPr>
            <w:r w:rsidRPr="007223F2">
              <w:rPr>
                <w:rFonts w:cs="Arial"/>
              </w:rPr>
              <w:t>382.7</w:t>
            </w:r>
          </w:p>
        </w:tc>
        <w:tc>
          <w:tcPr>
            <w:tcW w:w="1370" w:type="dxa"/>
            <w:gridSpan w:val="2"/>
          </w:tcPr>
          <w:p w:rsidR="00BA7C2C" w:rsidRPr="007223F2" w:rsidRDefault="00BA7C2C" w:rsidP="00613EE2">
            <w:pPr>
              <w:rPr>
                <w:rFonts w:cs="Arial"/>
              </w:rPr>
            </w:pPr>
            <w:r w:rsidRPr="007223F2">
              <w:rPr>
                <w:rFonts w:cs="Arial"/>
              </w:rPr>
              <w:t>191.4</w:t>
            </w:r>
          </w:p>
        </w:tc>
        <w:tc>
          <w:tcPr>
            <w:tcW w:w="1249" w:type="dxa"/>
          </w:tcPr>
          <w:p w:rsidR="00BA7C2C" w:rsidRPr="007223F2" w:rsidRDefault="00BA7C2C" w:rsidP="00613EE2">
            <w:pPr>
              <w:rPr>
                <w:rFonts w:cs="Arial"/>
              </w:rPr>
            </w:pPr>
            <w:r w:rsidRPr="007223F2">
              <w:rPr>
                <w:rFonts w:cs="Arial"/>
              </w:rPr>
              <w:t>956.7</w:t>
            </w:r>
          </w:p>
        </w:tc>
        <w:tc>
          <w:tcPr>
            <w:tcW w:w="1309" w:type="dxa"/>
          </w:tcPr>
          <w:p w:rsidR="00BA7C2C" w:rsidRPr="007223F2" w:rsidRDefault="00BA7C2C" w:rsidP="00613EE2">
            <w:pPr>
              <w:rPr>
                <w:rFonts w:cs="Arial"/>
              </w:rPr>
            </w:pPr>
            <w:r w:rsidRPr="007223F2">
              <w:rPr>
                <w:rFonts w:cs="Arial"/>
              </w:rPr>
              <w:t>478.4</w:t>
            </w:r>
          </w:p>
        </w:tc>
        <w:tc>
          <w:tcPr>
            <w:tcW w:w="1309" w:type="dxa"/>
          </w:tcPr>
          <w:p w:rsidR="00BA7C2C" w:rsidRPr="007223F2" w:rsidRDefault="00BA7C2C" w:rsidP="00613EE2">
            <w:pPr>
              <w:rPr>
                <w:rFonts w:cs="Arial"/>
              </w:rPr>
            </w:pPr>
            <w:r w:rsidRPr="007223F2">
              <w:rPr>
                <w:rFonts w:cs="Arial"/>
              </w:rPr>
              <w:t>1912.9</w:t>
            </w:r>
          </w:p>
        </w:tc>
        <w:tc>
          <w:tcPr>
            <w:tcW w:w="1310" w:type="dxa"/>
          </w:tcPr>
          <w:p w:rsidR="00BA7C2C" w:rsidRPr="007223F2" w:rsidRDefault="00BA7C2C" w:rsidP="00613EE2">
            <w:pPr>
              <w:rPr>
                <w:rFonts w:cs="Arial"/>
              </w:rPr>
            </w:pPr>
            <w:r w:rsidRPr="007223F2">
              <w:rPr>
                <w:rFonts w:cs="Arial"/>
              </w:rPr>
              <w:t>956.7</w:t>
            </w:r>
          </w:p>
        </w:tc>
      </w:tr>
      <w:tr w:rsidR="00BA7C2C" w:rsidRPr="007223F2" w:rsidTr="00613EE2">
        <w:tc>
          <w:tcPr>
            <w:tcW w:w="1978" w:type="dxa"/>
          </w:tcPr>
          <w:p w:rsidR="00BA7C2C" w:rsidRPr="007223F2" w:rsidRDefault="00BA7C2C" w:rsidP="00613EE2">
            <w:pPr>
              <w:rPr>
                <w:rFonts w:cs="Arial"/>
                <w:i/>
              </w:rPr>
            </w:pPr>
            <w:r w:rsidRPr="007223F2">
              <w:rPr>
                <w:rFonts w:cs="Arial"/>
                <w:i/>
              </w:rPr>
              <w:t>Falco tinnunculus</w:t>
            </w:r>
          </w:p>
        </w:tc>
        <w:tc>
          <w:tcPr>
            <w:tcW w:w="974" w:type="dxa"/>
          </w:tcPr>
          <w:p w:rsidR="00BA7C2C" w:rsidRPr="007223F2" w:rsidRDefault="00BA7C2C" w:rsidP="00613EE2">
            <w:pPr>
              <w:rPr>
                <w:rFonts w:cs="Arial"/>
              </w:rPr>
            </w:pPr>
            <w:r w:rsidRPr="007223F2">
              <w:rPr>
                <w:rFonts w:cs="Arial"/>
              </w:rPr>
              <w:t>632.2</w:t>
            </w:r>
          </w:p>
        </w:tc>
        <w:tc>
          <w:tcPr>
            <w:tcW w:w="1370" w:type="dxa"/>
            <w:gridSpan w:val="2"/>
          </w:tcPr>
          <w:p w:rsidR="00BA7C2C" w:rsidRPr="007223F2" w:rsidRDefault="00BA7C2C" w:rsidP="00613EE2">
            <w:pPr>
              <w:rPr>
                <w:rFonts w:cs="Arial"/>
              </w:rPr>
            </w:pPr>
            <w:r w:rsidRPr="007223F2">
              <w:rPr>
                <w:rFonts w:cs="Arial"/>
              </w:rPr>
              <w:t>316.1</w:t>
            </w:r>
          </w:p>
        </w:tc>
        <w:tc>
          <w:tcPr>
            <w:tcW w:w="1249" w:type="dxa"/>
          </w:tcPr>
          <w:p w:rsidR="00BA7C2C" w:rsidRPr="007223F2" w:rsidRDefault="00BA7C2C" w:rsidP="00613EE2">
            <w:pPr>
              <w:rPr>
                <w:rFonts w:cs="Arial"/>
              </w:rPr>
            </w:pPr>
            <w:r w:rsidRPr="007223F2">
              <w:rPr>
                <w:rFonts w:cs="Arial"/>
              </w:rPr>
              <w:t>1580.5</w:t>
            </w:r>
          </w:p>
        </w:tc>
        <w:tc>
          <w:tcPr>
            <w:tcW w:w="1309" w:type="dxa"/>
          </w:tcPr>
          <w:p w:rsidR="00BA7C2C" w:rsidRPr="007223F2" w:rsidRDefault="00BA7C2C" w:rsidP="00613EE2">
            <w:pPr>
              <w:rPr>
                <w:rFonts w:cs="Arial"/>
              </w:rPr>
            </w:pPr>
            <w:r w:rsidRPr="007223F2">
              <w:rPr>
                <w:rFonts w:cs="Arial"/>
              </w:rPr>
              <w:t>790.3</w:t>
            </w:r>
          </w:p>
        </w:tc>
        <w:tc>
          <w:tcPr>
            <w:tcW w:w="1309" w:type="dxa"/>
          </w:tcPr>
          <w:p w:rsidR="00BA7C2C" w:rsidRPr="007223F2" w:rsidRDefault="00BA7C2C" w:rsidP="00613EE2">
            <w:pPr>
              <w:rPr>
                <w:rFonts w:cs="Arial"/>
              </w:rPr>
            </w:pPr>
            <w:r w:rsidRPr="007223F2">
              <w:rPr>
                <w:rFonts w:cs="Arial"/>
              </w:rPr>
              <w:t>3160.1</w:t>
            </w:r>
          </w:p>
        </w:tc>
        <w:tc>
          <w:tcPr>
            <w:tcW w:w="1310" w:type="dxa"/>
          </w:tcPr>
          <w:p w:rsidR="00BA7C2C" w:rsidRPr="007223F2" w:rsidRDefault="00BA7C2C" w:rsidP="00613EE2">
            <w:pPr>
              <w:rPr>
                <w:rFonts w:cs="Arial"/>
              </w:rPr>
            </w:pPr>
            <w:r w:rsidRPr="007223F2">
              <w:rPr>
                <w:rFonts w:cs="Arial"/>
              </w:rPr>
              <w:t>1580.5</w:t>
            </w:r>
          </w:p>
        </w:tc>
      </w:tr>
      <w:tr w:rsidR="00BA7C2C" w:rsidRPr="007223F2" w:rsidTr="00613EE2">
        <w:tc>
          <w:tcPr>
            <w:tcW w:w="9499" w:type="dxa"/>
            <w:gridSpan w:val="8"/>
            <w:tcBorders>
              <w:bottom w:val="nil"/>
            </w:tcBorders>
          </w:tcPr>
          <w:p w:rsidR="00BA7C2C" w:rsidRPr="007223F2" w:rsidRDefault="00BA7C2C" w:rsidP="00613EE2">
            <w:pPr>
              <w:rPr>
                <w:rFonts w:cs="Arial"/>
                <w:b/>
              </w:rPr>
            </w:pPr>
            <w:r w:rsidRPr="007223F2">
              <w:rPr>
                <w:rFonts w:cs="Arial"/>
                <w:b/>
              </w:rPr>
              <w:t>Mammals</w:t>
            </w:r>
          </w:p>
        </w:tc>
      </w:tr>
      <w:tr w:rsidR="00BA7C2C" w:rsidRPr="007223F2" w:rsidTr="00613EE2">
        <w:tc>
          <w:tcPr>
            <w:tcW w:w="1978" w:type="dxa"/>
            <w:tcBorders>
              <w:bottom w:val="nil"/>
            </w:tcBorders>
          </w:tcPr>
          <w:p w:rsidR="00BA7C2C" w:rsidRPr="007223F2" w:rsidRDefault="00BA7C2C" w:rsidP="00613EE2">
            <w:pPr>
              <w:rPr>
                <w:rFonts w:cs="Arial"/>
                <w:i/>
              </w:rPr>
            </w:pPr>
            <w:r w:rsidRPr="007223F2">
              <w:rPr>
                <w:rFonts w:cs="Arial"/>
                <w:i/>
              </w:rPr>
              <w:t>Vulpes vulpes</w:t>
            </w:r>
          </w:p>
        </w:tc>
        <w:tc>
          <w:tcPr>
            <w:tcW w:w="974" w:type="dxa"/>
            <w:tcBorders>
              <w:bottom w:val="nil"/>
            </w:tcBorders>
          </w:tcPr>
          <w:p w:rsidR="00BA7C2C" w:rsidRPr="007223F2" w:rsidRDefault="00BA7C2C" w:rsidP="00613EE2">
            <w:pPr>
              <w:rPr>
                <w:rFonts w:cs="Arial"/>
              </w:rPr>
            </w:pPr>
            <w:r w:rsidRPr="007223F2">
              <w:rPr>
                <w:rFonts w:cs="Arial"/>
              </w:rPr>
              <w:t>1323.3</w:t>
            </w:r>
          </w:p>
        </w:tc>
        <w:tc>
          <w:tcPr>
            <w:tcW w:w="1370" w:type="dxa"/>
            <w:gridSpan w:val="2"/>
            <w:tcBorders>
              <w:bottom w:val="nil"/>
            </w:tcBorders>
          </w:tcPr>
          <w:p w:rsidR="00BA7C2C" w:rsidRPr="007223F2" w:rsidRDefault="00BA7C2C" w:rsidP="00613EE2">
            <w:pPr>
              <w:rPr>
                <w:rFonts w:cs="Arial"/>
              </w:rPr>
            </w:pPr>
            <w:r w:rsidRPr="007223F2">
              <w:rPr>
                <w:rFonts w:cs="Arial"/>
              </w:rPr>
              <w:t>661.7</w:t>
            </w:r>
          </w:p>
        </w:tc>
        <w:tc>
          <w:tcPr>
            <w:tcW w:w="1249" w:type="dxa"/>
            <w:tcBorders>
              <w:bottom w:val="nil"/>
            </w:tcBorders>
          </w:tcPr>
          <w:p w:rsidR="00BA7C2C" w:rsidRPr="007223F2" w:rsidRDefault="00BA7C2C" w:rsidP="00613EE2">
            <w:pPr>
              <w:rPr>
                <w:rFonts w:cs="Arial"/>
              </w:rPr>
            </w:pPr>
            <w:r w:rsidRPr="007223F2">
              <w:rPr>
                <w:rFonts w:cs="Arial"/>
              </w:rPr>
              <w:t>3308.3</w:t>
            </w:r>
          </w:p>
        </w:tc>
        <w:tc>
          <w:tcPr>
            <w:tcW w:w="1309" w:type="dxa"/>
            <w:tcBorders>
              <w:bottom w:val="nil"/>
            </w:tcBorders>
          </w:tcPr>
          <w:p w:rsidR="00BA7C2C" w:rsidRPr="007223F2" w:rsidRDefault="00BA7C2C" w:rsidP="00613EE2">
            <w:pPr>
              <w:rPr>
                <w:rFonts w:cs="Arial"/>
              </w:rPr>
            </w:pPr>
            <w:r w:rsidRPr="007223F2">
              <w:rPr>
                <w:rFonts w:cs="Arial"/>
              </w:rPr>
              <w:t>1654.2</w:t>
            </w:r>
          </w:p>
        </w:tc>
        <w:tc>
          <w:tcPr>
            <w:tcW w:w="1309" w:type="dxa"/>
            <w:tcBorders>
              <w:bottom w:val="nil"/>
            </w:tcBorders>
          </w:tcPr>
          <w:p w:rsidR="00BA7C2C" w:rsidRPr="007223F2" w:rsidRDefault="00BA7C2C" w:rsidP="00613EE2">
            <w:pPr>
              <w:keepNext/>
              <w:spacing w:before="40" w:after="40" w:line="240" w:lineRule="auto"/>
              <w:rPr>
                <w:rFonts w:cs="Arial"/>
              </w:rPr>
            </w:pPr>
            <w:r w:rsidRPr="007223F2">
              <w:rPr>
                <w:rFonts w:cs="Arial"/>
              </w:rPr>
              <w:t>6614.5</w:t>
            </w:r>
          </w:p>
        </w:tc>
        <w:tc>
          <w:tcPr>
            <w:tcW w:w="1310" w:type="dxa"/>
            <w:tcBorders>
              <w:bottom w:val="nil"/>
            </w:tcBorders>
          </w:tcPr>
          <w:p w:rsidR="00BA7C2C" w:rsidRPr="007223F2" w:rsidRDefault="00BA7C2C" w:rsidP="00613EE2">
            <w:pPr>
              <w:rPr>
                <w:rFonts w:cs="Arial"/>
              </w:rPr>
            </w:pPr>
            <w:r w:rsidRPr="007223F2">
              <w:rPr>
                <w:rFonts w:cs="Arial"/>
              </w:rPr>
              <w:t>3308.3</w:t>
            </w:r>
          </w:p>
        </w:tc>
      </w:tr>
      <w:tr w:rsidR="00BA7C2C" w:rsidRPr="007223F2" w:rsidTr="00613EE2">
        <w:tc>
          <w:tcPr>
            <w:tcW w:w="1978" w:type="dxa"/>
            <w:tcBorders>
              <w:bottom w:val="nil"/>
            </w:tcBorders>
          </w:tcPr>
          <w:p w:rsidR="00BA7C2C" w:rsidRPr="007223F2" w:rsidRDefault="00BA7C2C" w:rsidP="00613EE2">
            <w:pPr>
              <w:rPr>
                <w:rFonts w:cs="Arial"/>
                <w:i/>
              </w:rPr>
            </w:pPr>
            <w:r w:rsidRPr="007223F2">
              <w:rPr>
                <w:rFonts w:cs="Arial"/>
                <w:i/>
              </w:rPr>
              <w:t>Mustela putorius</w:t>
            </w:r>
          </w:p>
        </w:tc>
        <w:tc>
          <w:tcPr>
            <w:tcW w:w="974" w:type="dxa"/>
            <w:tcBorders>
              <w:bottom w:val="nil"/>
            </w:tcBorders>
          </w:tcPr>
          <w:p w:rsidR="00BA7C2C" w:rsidRPr="007223F2" w:rsidRDefault="00BA7C2C" w:rsidP="00613EE2">
            <w:pPr>
              <w:rPr>
                <w:rFonts w:cs="Arial"/>
              </w:rPr>
            </w:pPr>
            <w:r w:rsidRPr="007223F2">
              <w:rPr>
                <w:rFonts w:cs="Arial"/>
              </w:rPr>
              <w:t>2754.8</w:t>
            </w:r>
          </w:p>
        </w:tc>
        <w:tc>
          <w:tcPr>
            <w:tcW w:w="1370" w:type="dxa"/>
            <w:gridSpan w:val="2"/>
            <w:tcBorders>
              <w:bottom w:val="nil"/>
            </w:tcBorders>
          </w:tcPr>
          <w:p w:rsidR="00BA7C2C" w:rsidRPr="007223F2" w:rsidRDefault="00BA7C2C" w:rsidP="00613EE2">
            <w:pPr>
              <w:rPr>
                <w:rFonts w:cs="Arial"/>
              </w:rPr>
            </w:pPr>
            <w:r w:rsidRPr="007223F2">
              <w:rPr>
                <w:rFonts w:cs="Arial"/>
              </w:rPr>
              <w:t>1377.4</w:t>
            </w:r>
          </w:p>
        </w:tc>
        <w:tc>
          <w:tcPr>
            <w:tcW w:w="1249" w:type="dxa"/>
            <w:tcBorders>
              <w:bottom w:val="nil"/>
            </w:tcBorders>
          </w:tcPr>
          <w:p w:rsidR="00BA7C2C" w:rsidRPr="007223F2" w:rsidRDefault="00BA7C2C" w:rsidP="00613EE2">
            <w:pPr>
              <w:rPr>
                <w:rFonts w:cs="Arial"/>
              </w:rPr>
            </w:pPr>
            <w:r w:rsidRPr="007223F2">
              <w:rPr>
                <w:rFonts w:cs="Arial"/>
              </w:rPr>
              <w:t>6887.0</w:t>
            </w:r>
          </w:p>
        </w:tc>
        <w:tc>
          <w:tcPr>
            <w:tcW w:w="1309" w:type="dxa"/>
            <w:tcBorders>
              <w:bottom w:val="nil"/>
            </w:tcBorders>
          </w:tcPr>
          <w:p w:rsidR="00BA7C2C" w:rsidRPr="007223F2" w:rsidRDefault="00BA7C2C" w:rsidP="00613EE2">
            <w:pPr>
              <w:rPr>
                <w:rFonts w:cs="Arial"/>
              </w:rPr>
            </w:pPr>
            <w:r w:rsidRPr="007223F2">
              <w:rPr>
                <w:rFonts w:cs="Arial"/>
              </w:rPr>
              <w:t>3443.5</w:t>
            </w:r>
          </w:p>
        </w:tc>
        <w:tc>
          <w:tcPr>
            <w:tcW w:w="1309" w:type="dxa"/>
            <w:tcBorders>
              <w:bottom w:val="nil"/>
            </w:tcBorders>
          </w:tcPr>
          <w:p w:rsidR="00BA7C2C" w:rsidRPr="007223F2" w:rsidRDefault="00BA7C2C" w:rsidP="00613EE2">
            <w:pPr>
              <w:rPr>
                <w:rFonts w:cs="Arial"/>
              </w:rPr>
            </w:pPr>
            <w:r w:rsidRPr="007223F2">
              <w:rPr>
                <w:rFonts w:cs="Arial"/>
              </w:rPr>
              <w:t>13769.6</w:t>
            </w:r>
          </w:p>
        </w:tc>
        <w:tc>
          <w:tcPr>
            <w:tcW w:w="1310" w:type="dxa"/>
            <w:tcBorders>
              <w:bottom w:val="nil"/>
            </w:tcBorders>
          </w:tcPr>
          <w:p w:rsidR="00BA7C2C" w:rsidRPr="007223F2" w:rsidRDefault="00BA7C2C" w:rsidP="00613EE2">
            <w:pPr>
              <w:rPr>
                <w:rFonts w:cs="Arial"/>
              </w:rPr>
            </w:pPr>
            <w:r w:rsidRPr="007223F2">
              <w:rPr>
                <w:rFonts w:cs="Arial"/>
              </w:rPr>
              <w:t>6887.0</w:t>
            </w:r>
          </w:p>
        </w:tc>
      </w:tr>
      <w:tr w:rsidR="00BA7C2C" w:rsidRPr="007223F2" w:rsidTr="00613EE2">
        <w:tc>
          <w:tcPr>
            <w:tcW w:w="1978" w:type="dxa"/>
            <w:tcBorders>
              <w:bottom w:val="nil"/>
            </w:tcBorders>
          </w:tcPr>
          <w:p w:rsidR="00BA7C2C" w:rsidRPr="007223F2" w:rsidRDefault="00BA7C2C" w:rsidP="00613EE2">
            <w:pPr>
              <w:rPr>
                <w:rFonts w:cs="Arial"/>
                <w:i/>
              </w:rPr>
            </w:pPr>
            <w:r w:rsidRPr="007223F2">
              <w:rPr>
                <w:rFonts w:cs="Arial"/>
                <w:i/>
              </w:rPr>
              <w:t>Mustela erminea</w:t>
            </w:r>
          </w:p>
        </w:tc>
        <w:tc>
          <w:tcPr>
            <w:tcW w:w="974" w:type="dxa"/>
            <w:tcBorders>
              <w:bottom w:val="nil"/>
            </w:tcBorders>
          </w:tcPr>
          <w:p w:rsidR="00BA7C2C" w:rsidRPr="007223F2" w:rsidRDefault="00BA7C2C" w:rsidP="00613EE2">
            <w:pPr>
              <w:rPr>
                <w:rFonts w:cs="Arial"/>
              </w:rPr>
            </w:pPr>
            <w:r w:rsidRPr="007223F2">
              <w:rPr>
                <w:rFonts w:cs="Arial"/>
              </w:rPr>
              <w:t>3939.8</w:t>
            </w:r>
          </w:p>
        </w:tc>
        <w:tc>
          <w:tcPr>
            <w:tcW w:w="1370" w:type="dxa"/>
            <w:gridSpan w:val="2"/>
            <w:tcBorders>
              <w:bottom w:val="nil"/>
            </w:tcBorders>
          </w:tcPr>
          <w:p w:rsidR="00BA7C2C" w:rsidRPr="007223F2" w:rsidRDefault="00BA7C2C" w:rsidP="00613EE2">
            <w:pPr>
              <w:rPr>
                <w:rFonts w:cs="Arial"/>
              </w:rPr>
            </w:pPr>
            <w:r w:rsidRPr="007223F2">
              <w:rPr>
                <w:rFonts w:cs="Arial"/>
              </w:rPr>
              <w:t>1969.9</w:t>
            </w:r>
          </w:p>
        </w:tc>
        <w:tc>
          <w:tcPr>
            <w:tcW w:w="1249" w:type="dxa"/>
            <w:tcBorders>
              <w:bottom w:val="nil"/>
            </w:tcBorders>
          </w:tcPr>
          <w:p w:rsidR="00BA7C2C" w:rsidRPr="007223F2" w:rsidRDefault="00BA7C2C" w:rsidP="00613EE2">
            <w:pPr>
              <w:rPr>
                <w:rFonts w:cs="Arial"/>
              </w:rPr>
            </w:pPr>
            <w:r w:rsidRPr="007223F2">
              <w:rPr>
                <w:rFonts w:cs="Arial"/>
              </w:rPr>
              <w:t>9849.4</w:t>
            </w:r>
          </w:p>
        </w:tc>
        <w:tc>
          <w:tcPr>
            <w:tcW w:w="1309" w:type="dxa"/>
            <w:tcBorders>
              <w:bottom w:val="nil"/>
            </w:tcBorders>
          </w:tcPr>
          <w:p w:rsidR="00BA7C2C" w:rsidRPr="007223F2" w:rsidRDefault="00BA7C2C" w:rsidP="00613EE2">
            <w:pPr>
              <w:rPr>
                <w:rFonts w:cs="Arial"/>
              </w:rPr>
            </w:pPr>
            <w:r w:rsidRPr="007223F2">
              <w:rPr>
                <w:rFonts w:cs="Arial"/>
              </w:rPr>
              <w:t>4924.7</w:t>
            </w:r>
          </w:p>
        </w:tc>
        <w:tc>
          <w:tcPr>
            <w:tcW w:w="1309" w:type="dxa"/>
            <w:tcBorders>
              <w:bottom w:val="nil"/>
            </w:tcBorders>
          </w:tcPr>
          <w:p w:rsidR="00BA7C2C" w:rsidRPr="007223F2" w:rsidRDefault="00BA7C2C" w:rsidP="00613EE2">
            <w:pPr>
              <w:rPr>
                <w:rFonts w:cs="Arial"/>
              </w:rPr>
            </w:pPr>
            <w:r w:rsidRPr="007223F2">
              <w:rPr>
                <w:rFonts w:cs="Arial"/>
              </w:rPr>
              <w:t>19692.6</w:t>
            </w:r>
          </w:p>
        </w:tc>
        <w:tc>
          <w:tcPr>
            <w:tcW w:w="1310" w:type="dxa"/>
            <w:tcBorders>
              <w:bottom w:val="nil"/>
            </w:tcBorders>
          </w:tcPr>
          <w:p w:rsidR="00BA7C2C" w:rsidRPr="007223F2" w:rsidRDefault="00BA7C2C" w:rsidP="00613EE2">
            <w:pPr>
              <w:rPr>
                <w:rFonts w:cs="Arial"/>
              </w:rPr>
            </w:pPr>
            <w:r w:rsidRPr="007223F2">
              <w:rPr>
                <w:rFonts w:cs="Arial"/>
              </w:rPr>
              <w:t>9849.4</w:t>
            </w:r>
          </w:p>
        </w:tc>
      </w:tr>
      <w:tr w:rsidR="00BA7C2C" w:rsidRPr="007223F2" w:rsidTr="00613EE2">
        <w:tc>
          <w:tcPr>
            <w:tcW w:w="1978" w:type="dxa"/>
            <w:tcBorders>
              <w:bottom w:val="nil"/>
            </w:tcBorders>
          </w:tcPr>
          <w:p w:rsidR="00BA7C2C" w:rsidRPr="007223F2" w:rsidRDefault="00BA7C2C" w:rsidP="00613EE2">
            <w:pPr>
              <w:rPr>
                <w:rFonts w:cs="Arial"/>
                <w:i/>
              </w:rPr>
            </w:pPr>
            <w:r w:rsidRPr="007223F2">
              <w:rPr>
                <w:rFonts w:cs="Arial"/>
                <w:i/>
              </w:rPr>
              <w:t>Mustela nivalis</w:t>
            </w:r>
          </w:p>
        </w:tc>
        <w:tc>
          <w:tcPr>
            <w:tcW w:w="974" w:type="dxa"/>
            <w:tcBorders>
              <w:bottom w:val="nil"/>
            </w:tcBorders>
          </w:tcPr>
          <w:p w:rsidR="00BA7C2C" w:rsidRPr="007223F2" w:rsidRDefault="00BA7C2C" w:rsidP="00613EE2">
            <w:pPr>
              <w:rPr>
                <w:rFonts w:cs="Arial"/>
              </w:rPr>
            </w:pPr>
            <w:r w:rsidRPr="007223F2">
              <w:rPr>
                <w:rFonts w:cs="Arial"/>
              </w:rPr>
              <w:t>5684.9</w:t>
            </w:r>
          </w:p>
        </w:tc>
        <w:tc>
          <w:tcPr>
            <w:tcW w:w="1370" w:type="dxa"/>
            <w:gridSpan w:val="2"/>
            <w:tcBorders>
              <w:bottom w:val="nil"/>
            </w:tcBorders>
          </w:tcPr>
          <w:p w:rsidR="00BA7C2C" w:rsidRPr="007223F2" w:rsidRDefault="00BA7C2C" w:rsidP="00613EE2">
            <w:pPr>
              <w:rPr>
                <w:rFonts w:cs="Arial"/>
              </w:rPr>
            </w:pPr>
            <w:r w:rsidRPr="007223F2">
              <w:rPr>
                <w:rFonts w:cs="Arial"/>
              </w:rPr>
              <w:t>2842.5</w:t>
            </w:r>
          </w:p>
        </w:tc>
        <w:tc>
          <w:tcPr>
            <w:tcW w:w="1249" w:type="dxa"/>
            <w:tcBorders>
              <w:bottom w:val="nil"/>
            </w:tcBorders>
          </w:tcPr>
          <w:p w:rsidR="00BA7C2C" w:rsidRPr="007223F2" w:rsidRDefault="00BA7C2C" w:rsidP="00613EE2">
            <w:pPr>
              <w:rPr>
                <w:rFonts w:cs="Arial"/>
              </w:rPr>
            </w:pPr>
            <w:r w:rsidRPr="007223F2">
              <w:rPr>
                <w:rFonts w:cs="Arial"/>
              </w:rPr>
              <w:t>14212.3</w:t>
            </w:r>
          </w:p>
        </w:tc>
        <w:tc>
          <w:tcPr>
            <w:tcW w:w="1309" w:type="dxa"/>
            <w:tcBorders>
              <w:bottom w:val="nil"/>
            </w:tcBorders>
          </w:tcPr>
          <w:p w:rsidR="00BA7C2C" w:rsidRPr="007223F2" w:rsidRDefault="00BA7C2C" w:rsidP="00613EE2">
            <w:pPr>
              <w:rPr>
                <w:rFonts w:cs="Arial"/>
              </w:rPr>
            </w:pPr>
            <w:r w:rsidRPr="007223F2">
              <w:rPr>
                <w:rFonts w:cs="Arial"/>
              </w:rPr>
              <w:t>7106.2</w:t>
            </w:r>
          </w:p>
        </w:tc>
        <w:tc>
          <w:tcPr>
            <w:tcW w:w="1309" w:type="dxa"/>
            <w:tcBorders>
              <w:bottom w:val="nil"/>
            </w:tcBorders>
          </w:tcPr>
          <w:p w:rsidR="00BA7C2C" w:rsidRPr="007223F2" w:rsidRDefault="00BA7C2C" w:rsidP="00613EE2">
            <w:pPr>
              <w:rPr>
                <w:rFonts w:cs="Arial"/>
              </w:rPr>
            </w:pPr>
            <w:r w:rsidRPr="007223F2">
              <w:rPr>
                <w:rFonts w:cs="Arial"/>
              </w:rPr>
              <w:t>28415.7</w:t>
            </w:r>
          </w:p>
        </w:tc>
        <w:tc>
          <w:tcPr>
            <w:tcW w:w="1310" w:type="dxa"/>
            <w:tcBorders>
              <w:bottom w:val="nil"/>
            </w:tcBorders>
          </w:tcPr>
          <w:p w:rsidR="00BA7C2C" w:rsidRPr="007223F2" w:rsidRDefault="00BA7C2C" w:rsidP="00613EE2">
            <w:pPr>
              <w:rPr>
                <w:rFonts w:cs="Arial"/>
              </w:rPr>
            </w:pPr>
            <w:r w:rsidRPr="007223F2">
              <w:rPr>
                <w:rFonts w:cs="Arial"/>
              </w:rPr>
              <w:t>14212.3</w:t>
            </w:r>
          </w:p>
        </w:tc>
      </w:tr>
      <w:tr w:rsidR="00BA7C2C" w:rsidRPr="007223F2" w:rsidTr="00613EE2">
        <w:tc>
          <w:tcPr>
            <w:tcW w:w="1978" w:type="dxa"/>
            <w:tcBorders>
              <w:bottom w:val="single" w:sz="4" w:space="0" w:color="auto"/>
            </w:tcBorders>
          </w:tcPr>
          <w:p w:rsidR="00BA7C2C" w:rsidRPr="007223F2" w:rsidRDefault="00BA7C2C" w:rsidP="00613EE2">
            <w:pPr>
              <w:rPr>
                <w:rFonts w:cs="Arial"/>
              </w:rPr>
            </w:pPr>
            <w:r w:rsidRPr="007223F2">
              <w:rPr>
                <w:rFonts w:cs="Arial"/>
              </w:rPr>
              <w:t>Dog</w:t>
            </w:r>
          </w:p>
        </w:tc>
        <w:tc>
          <w:tcPr>
            <w:tcW w:w="974" w:type="dxa"/>
            <w:tcBorders>
              <w:bottom w:val="single" w:sz="4" w:space="0" w:color="auto"/>
            </w:tcBorders>
          </w:tcPr>
          <w:p w:rsidR="00BA7C2C" w:rsidRPr="007223F2" w:rsidRDefault="00BA7C2C" w:rsidP="00613EE2">
            <w:pPr>
              <w:rPr>
                <w:rFonts w:cs="Arial"/>
              </w:rPr>
            </w:pPr>
            <w:r w:rsidRPr="007223F2">
              <w:rPr>
                <w:rFonts w:cs="Arial"/>
              </w:rPr>
              <w:t>661.2</w:t>
            </w:r>
          </w:p>
        </w:tc>
        <w:tc>
          <w:tcPr>
            <w:tcW w:w="1370" w:type="dxa"/>
            <w:gridSpan w:val="2"/>
            <w:tcBorders>
              <w:bottom w:val="single" w:sz="4" w:space="0" w:color="auto"/>
            </w:tcBorders>
          </w:tcPr>
          <w:p w:rsidR="00BA7C2C" w:rsidRPr="007223F2" w:rsidRDefault="00BA7C2C" w:rsidP="00613EE2">
            <w:pPr>
              <w:rPr>
                <w:rFonts w:cs="Arial"/>
              </w:rPr>
            </w:pPr>
            <w:r w:rsidRPr="007223F2">
              <w:rPr>
                <w:rFonts w:cs="Arial"/>
              </w:rPr>
              <w:t>330.6</w:t>
            </w:r>
          </w:p>
        </w:tc>
        <w:tc>
          <w:tcPr>
            <w:tcW w:w="1249" w:type="dxa"/>
            <w:tcBorders>
              <w:bottom w:val="single" w:sz="4" w:space="0" w:color="auto"/>
            </w:tcBorders>
          </w:tcPr>
          <w:p w:rsidR="00BA7C2C" w:rsidRPr="007223F2" w:rsidRDefault="00BA7C2C" w:rsidP="00613EE2">
            <w:pPr>
              <w:rPr>
                <w:rFonts w:cs="Arial"/>
              </w:rPr>
            </w:pPr>
            <w:r w:rsidRPr="007223F2">
              <w:rPr>
                <w:rFonts w:cs="Arial"/>
              </w:rPr>
              <w:t>1653.0</w:t>
            </w:r>
          </w:p>
        </w:tc>
        <w:tc>
          <w:tcPr>
            <w:tcW w:w="1309" w:type="dxa"/>
            <w:tcBorders>
              <w:bottom w:val="single" w:sz="4" w:space="0" w:color="auto"/>
            </w:tcBorders>
          </w:tcPr>
          <w:p w:rsidR="00BA7C2C" w:rsidRPr="007223F2" w:rsidRDefault="00BA7C2C" w:rsidP="00613EE2">
            <w:pPr>
              <w:rPr>
                <w:rFonts w:cs="Arial"/>
              </w:rPr>
            </w:pPr>
            <w:r w:rsidRPr="007223F2">
              <w:rPr>
                <w:rFonts w:cs="Arial"/>
              </w:rPr>
              <w:t>826.5</w:t>
            </w:r>
          </w:p>
        </w:tc>
        <w:tc>
          <w:tcPr>
            <w:tcW w:w="1309" w:type="dxa"/>
            <w:tcBorders>
              <w:bottom w:val="single" w:sz="4" w:space="0" w:color="auto"/>
            </w:tcBorders>
          </w:tcPr>
          <w:p w:rsidR="00BA7C2C" w:rsidRPr="007223F2" w:rsidRDefault="00BA7C2C" w:rsidP="00613EE2">
            <w:pPr>
              <w:rPr>
                <w:rFonts w:cs="Arial"/>
              </w:rPr>
            </w:pPr>
            <w:r w:rsidRPr="007223F2">
              <w:rPr>
                <w:rFonts w:cs="Arial"/>
              </w:rPr>
              <w:t>3305.0</w:t>
            </w:r>
          </w:p>
        </w:tc>
        <w:tc>
          <w:tcPr>
            <w:tcW w:w="1310" w:type="dxa"/>
            <w:tcBorders>
              <w:bottom w:val="single" w:sz="4" w:space="0" w:color="auto"/>
            </w:tcBorders>
          </w:tcPr>
          <w:p w:rsidR="00BA7C2C" w:rsidRPr="007223F2" w:rsidRDefault="00BA7C2C" w:rsidP="00613EE2">
            <w:pPr>
              <w:rPr>
                <w:rFonts w:cs="Arial"/>
              </w:rPr>
            </w:pPr>
            <w:r w:rsidRPr="007223F2">
              <w:rPr>
                <w:rFonts w:cs="Arial"/>
              </w:rPr>
              <w:t>1653.0</w:t>
            </w:r>
          </w:p>
        </w:tc>
      </w:tr>
      <w:tr w:rsidR="00BA7C2C" w:rsidRPr="007223F2" w:rsidTr="00613EE2">
        <w:trPr>
          <w:cantSplit/>
        </w:trPr>
        <w:tc>
          <w:tcPr>
            <w:tcW w:w="9499" w:type="dxa"/>
            <w:gridSpan w:val="8"/>
            <w:tcBorders>
              <w:left w:val="single" w:sz="4" w:space="0" w:color="auto"/>
              <w:bottom w:val="single" w:sz="4" w:space="0" w:color="auto"/>
              <w:right w:val="single" w:sz="4" w:space="0" w:color="auto"/>
            </w:tcBorders>
          </w:tcPr>
          <w:p w:rsidR="00BA7C2C" w:rsidRPr="007223F2" w:rsidRDefault="00BA7C2C" w:rsidP="00613EE2">
            <w:pPr>
              <w:keepNext/>
              <w:spacing w:line="240" w:lineRule="auto"/>
              <w:rPr>
                <w:rFonts w:cs="Arial"/>
              </w:rPr>
            </w:pPr>
            <w:r w:rsidRPr="007223F2">
              <w:rPr>
                <w:rFonts w:cs="Arial"/>
              </w:rPr>
              <w:t>Birds PNECoral = 0.00019 mg/kg bw.</w:t>
            </w:r>
          </w:p>
          <w:p w:rsidR="00BA7C2C" w:rsidRPr="007223F2" w:rsidRDefault="00BA7C2C" w:rsidP="00613EE2">
            <w:pPr>
              <w:rPr>
                <w:rFonts w:cs="Arial"/>
                <w:b/>
              </w:rPr>
            </w:pPr>
            <w:r w:rsidRPr="007223F2">
              <w:rPr>
                <w:rFonts w:cs="Arial"/>
              </w:rPr>
              <w:t>Mammals PNECoral = 0.000022 mg/kg bw.</w:t>
            </w:r>
          </w:p>
        </w:tc>
      </w:tr>
    </w:tbl>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Based on the assumption that 50% of a predatory bird’s diet consists of rodents that contain the maximum estimated quantity of bromadiolone residues, the risk assessment indicates uncertainty: </w:t>
      </w:r>
      <w:r w:rsidRPr="007223F2">
        <w:rPr>
          <w:rFonts w:cs="Arial"/>
          <w:i/>
        </w:rPr>
        <w:t>i.e</w:t>
      </w:r>
      <w:r w:rsidRPr="007223F2">
        <w:rPr>
          <w:rFonts w:cs="Arial"/>
        </w:rPr>
        <w:t xml:space="preserve">. the PECoral/PNECoral exceeds 1.0, in all cases even if a rodent has eaten only 20% for 5 days followed by a non eating period of 2 days. </w:t>
      </w:r>
    </w:p>
    <w:p w:rsidR="00BA7C2C" w:rsidRPr="007223F2" w:rsidRDefault="00BA7C2C" w:rsidP="00BA7C2C">
      <w:pPr>
        <w:rPr>
          <w:rFonts w:cs="Arial"/>
        </w:rPr>
      </w:pPr>
    </w:p>
    <w:p w:rsidR="00BA7C2C" w:rsidRPr="007223F2" w:rsidRDefault="00BA7C2C" w:rsidP="00BA7C2C">
      <w:pPr>
        <w:rPr>
          <w:rFonts w:cs="Arial"/>
          <w:b/>
        </w:rPr>
      </w:pPr>
      <w:r w:rsidRPr="007223F2">
        <w:rPr>
          <w:rFonts w:cs="Arial"/>
          <w:b/>
        </w:rPr>
        <w:t>Summary secondary poisoning</w:t>
      </w:r>
    </w:p>
    <w:p w:rsidR="00BA7C2C" w:rsidRPr="007223F2" w:rsidRDefault="00BA7C2C" w:rsidP="00BA7C2C">
      <w:pPr>
        <w:spacing w:after="240" w:line="240" w:lineRule="auto"/>
        <w:rPr>
          <w:rFonts w:cs="Arial"/>
        </w:rPr>
      </w:pPr>
      <w:r w:rsidRPr="007223F2">
        <w:rPr>
          <w:rFonts w:cs="Arial"/>
        </w:rPr>
        <w:t>There is clearly a high risk of secondary poisoning of non-target mammals and birds. The risk is slightly higher for mammals than for birds and small animals have a higher risk than large animals.</w:t>
      </w:r>
    </w:p>
    <w:p w:rsidR="00BA7C2C" w:rsidRPr="007223F2" w:rsidRDefault="00BA7C2C" w:rsidP="00BA7C2C">
      <w:pPr>
        <w:spacing w:after="240" w:line="240" w:lineRule="auto"/>
        <w:rPr>
          <w:rFonts w:cs="Arial"/>
        </w:rPr>
      </w:pPr>
      <w:r w:rsidRPr="007223F2">
        <w:rPr>
          <w:rFonts w:cs="Arial"/>
        </w:rPr>
        <w:t>Regarding the short-term exposure at Tier 1, the concentrations of bromadiolone in the target rodents, assuming 50 % bait consumption, are lower than the LC50 value for birds.</w:t>
      </w:r>
    </w:p>
    <w:p w:rsidR="00BA7C2C" w:rsidRPr="007223F2" w:rsidRDefault="00BA7C2C" w:rsidP="00BA7C2C">
      <w:pPr>
        <w:spacing w:after="240" w:line="240" w:lineRule="auto"/>
        <w:rPr>
          <w:rFonts w:cs="Arial"/>
        </w:rPr>
      </w:pPr>
      <w:r w:rsidRPr="007223F2">
        <w:rPr>
          <w:rFonts w:cs="Arial"/>
        </w:rPr>
        <w:t>For the long-term situation at Tier 1 and 2 all PEC/PNEC ratios are clearly above 1.</w:t>
      </w:r>
    </w:p>
    <w:p w:rsidR="00BA7C2C" w:rsidRPr="007223F2" w:rsidRDefault="00BA7C2C" w:rsidP="00BA7C2C">
      <w:pPr>
        <w:spacing w:after="240" w:line="240" w:lineRule="auto"/>
        <w:rPr>
          <w:rFonts w:cs="Arial"/>
          <w:b/>
        </w:rPr>
      </w:pPr>
      <w:r w:rsidRPr="007223F2">
        <w:rPr>
          <w:rFonts w:cs="Arial"/>
          <w:b/>
        </w:rPr>
        <w:t>The worst-case PEC/PNEC ratios at Tier 1 are about 483 for birds and 3620 for mammals. The worst-case PEC/PNEC ratio for birds at Tier 2 is about 3160 (kestrel) and 28400 for mammals (weasel).</w:t>
      </w:r>
    </w:p>
    <w:p w:rsidR="00BA7C2C" w:rsidRPr="007223F2" w:rsidRDefault="00BA7C2C" w:rsidP="00BA7C2C">
      <w:pPr>
        <w:spacing w:after="240" w:line="240" w:lineRule="auto"/>
        <w:rPr>
          <w:rFonts w:cs="Arial"/>
        </w:rPr>
      </w:pPr>
      <w:r w:rsidRPr="007223F2">
        <w:rPr>
          <w:rFonts w:cs="Arial"/>
        </w:rPr>
        <w:t>For Tier 1 of the long-term scenario it was assumed that the rodents have fed entirely on rodenticides and that the non-target animals consume 50 % of their daily intake on poisoned rats. These assumptions led to a high risk, but even if the rodents have fed only 20 % of their daily intakes by rodenticides and non-target animals consume 50 % of their daily intake on poisoned rats the risk quotients are still far above 1 for birds (at least 191) and for other non-target mammals (at least 331).</w:t>
      </w:r>
    </w:p>
    <w:p w:rsidR="00BA7C2C" w:rsidRPr="007223F2" w:rsidRDefault="00BA7C2C" w:rsidP="00BA7C2C">
      <w:pPr>
        <w:spacing w:after="240" w:line="240" w:lineRule="auto"/>
        <w:rPr>
          <w:rFonts w:cs="Arial"/>
        </w:rPr>
      </w:pPr>
      <w:r w:rsidRPr="007223F2">
        <w:rPr>
          <w:rFonts w:cs="Arial"/>
        </w:rPr>
        <w:lastRenderedPageBreak/>
        <w:t>At Tier 2 an approach based on the body burden of bromadiolone in the non-target animals was conducted. At this tier values only for a single day of exposure were calculated. PEC/PNEC ratios for all species are clearly above 1 even though these values do not necessarily represent a worst case because ingestion of poisoned rat over a few days was not considered.</w:t>
      </w:r>
    </w:p>
    <w:p w:rsidR="00BA7C2C" w:rsidRPr="007223F2" w:rsidRDefault="00BA7C2C" w:rsidP="00BA7C2C">
      <w:pPr>
        <w:rPr>
          <w:rFonts w:cs="Arial"/>
        </w:rPr>
      </w:pPr>
      <w:r w:rsidRPr="007223F2">
        <w:rPr>
          <w:rFonts w:cs="Arial"/>
        </w:rPr>
        <w:t>The apparent risks indicated above may, on the other hand be overestimated because they take no account of behavioural factors. For example, many birds of prey will not take dead rodents and this may therefore reduce exposure to species such as owls, although some species prey principally on dead animals. Smaller owls such as A. noctua will take only smaller rodents and not large rats, as assumed above in the risk calculations, and so their exposure will be reduced. Many rodents will be caught by predators at times when they do not contain the relatively high levels of bromadiolone. However, as shown above, even if the rodents have fed only 20 % of their daily intakes by rodenticide, non-target animals are still at high risk. The majority of the bromadiolone residues are concentrated in the liver and to a lesser extent in the fat tissues. This may reduce exposure to some, but not all birds, which selectively pick at flesh and discard offal during feeding. For example, Tkladec and Rychnovsky (1990), cited by Luttik et al. (1999), observed that kestrels and weasels do not eat the guts of prey, thus avoiding the tissues containing the highest concentrations of rodenticide residues. On the other hand the PEC/PNEC ratios do not include the possibility of recurrent exposure. Many predatory birds are territorial and may therefore actively hunt in areas where they have experienced good success, even feeding young birds with contaminated prey.</w:t>
      </w:r>
    </w:p>
    <w:p w:rsidR="00BA7C2C" w:rsidRPr="007223F2" w:rsidRDefault="00BA7C2C" w:rsidP="00BA7C2C">
      <w:pPr>
        <w:rPr>
          <w:rFonts w:cs="Arial"/>
        </w:rPr>
      </w:pPr>
    </w:p>
    <w:p w:rsidR="00BA7C2C" w:rsidRPr="007223F2" w:rsidRDefault="00BA7C2C" w:rsidP="00BA7C2C">
      <w:pPr>
        <w:rPr>
          <w:rFonts w:cs="Arial"/>
        </w:rPr>
      </w:pPr>
      <w:r w:rsidRPr="007223F2">
        <w:rPr>
          <w:rFonts w:cs="Arial"/>
        </w:rPr>
        <w:t xml:space="preserve">In the context of a scenario that involves baiting in and around houses, several of the predators considered above would be relatively exotic in many situations. Species more likely to be encountered are mixed-diet scavengers of the crow family and gulls (e.g. </w:t>
      </w:r>
      <w:r w:rsidRPr="007223F2">
        <w:rPr>
          <w:rFonts w:cs="Arial"/>
          <w:i/>
        </w:rPr>
        <w:t>Pica pica</w:t>
      </w:r>
      <w:r w:rsidRPr="007223F2">
        <w:rPr>
          <w:rFonts w:cs="Arial"/>
        </w:rPr>
        <w:t xml:space="preserve">, </w:t>
      </w:r>
      <w:r w:rsidRPr="007223F2">
        <w:rPr>
          <w:rFonts w:cs="Arial"/>
          <w:i/>
        </w:rPr>
        <w:t xml:space="preserve">Corvus corone corone </w:t>
      </w:r>
      <w:r w:rsidRPr="007223F2">
        <w:rPr>
          <w:rFonts w:cs="Arial"/>
        </w:rPr>
        <w:t xml:space="preserve">and </w:t>
      </w:r>
      <w:r w:rsidRPr="007223F2">
        <w:rPr>
          <w:rFonts w:cs="Arial"/>
          <w:i/>
        </w:rPr>
        <w:t>Larus ridibundus</w:t>
      </w:r>
      <w:r w:rsidRPr="007223F2">
        <w:rPr>
          <w:rFonts w:cs="Arial"/>
        </w:rPr>
        <w:t>) that feed opportunistically on carrion</w:t>
      </w:r>
      <w:r w:rsidRPr="007223F2">
        <w:rPr>
          <w:rStyle w:val="Voetnootmarkering"/>
          <w:rFonts w:cs="Arial"/>
        </w:rPr>
        <w:footnoteReference w:id="20"/>
      </w:r>
      <w:r w:rsidRPr="007223F2">
        <w:rPr>
          <w:rFonts w:cs="Arial"/>
        </w:rPr>
        <w:t xml:space="preserve"> and are likely to consume the bodies of target rodents whenever they are accessible. A significant difference between these scavengers and the predators considered previously is that whereas the raptors tend to be solitary in habit, corvids and gulls are generally gregarious and several birds may consequently pick at the same carcass. Hence, the available carrion may contribute to a smaller extend to the food intake of an individual bird.</w:t>
      </w:r>
    </w:p>
    <w:p w:rsidR="00BA7C2C" w:rsidRPr="007223F2" w:rsidRDefault="00BA7C2C" w:rsidP="00BA7C2C">
      <w:pPr>
        <w:rPr>
          <w:rFonts w:cs="Arial"/>
        </w:rPr>
      </w:pPr>
      <w:r w:rsidRPr="007223F2">
        <w:rPr>
          <w:rFonts w:cs="Arial"/>
        </w:rPr>
        <w:t xml:space="preserve">As is the case with birds, the risk to non-target mammals may also be overestimated because they do not take behavioural factors into account. Based on five studies of the abundance of different animals among the gut contents of </w:t>
      </w:r>
      <w:r w:rsidRPr="007223F2">
        <w:rPr>
          <w:rFonts w:cs="Arial"/>
          <w:i/>
        </w:rPr>
        <w:t>E. erminia</w:t>
      </w:r>
      <w:r w:rsidRPr="007223F2">
        <w:rPr>
          <w:rFonts w:cs="Arial"/>
        </w:rPr>
        <w:t xml:space="preserve">, rodent species contributed a mean of 26% of the diet (Gurney et al. 1997) and many of these would not be considered to be target rodents in an indoor baiting scenario. This will effectively reduce the risk; however, only for indoor and not for outdoor baiting. In another study, 32% of the diet of </w:t>
      </w:r>
      <w:r w:rsidRPr="007223F2">
        <w:rPr>
          <w:rFonts w:cs="Arial"/>
          <w:i/>
        </w:rPr>
        <w:t>M. putorius</w:t>
      </w:r>
      <w:r w:rsidRPr="007223F2">
        <w:rPr>
          <w:rFonts w:cs="Arial"/>
        </w:rPr>
        <w:t xml:space="preserve"> consisted of rodents. The abundance of rodents in the diet of </w:t>
      </w:r>
      <w:r w:rsidRPr="007223F2">
        <w:rPr>
          <w:rFonts w:cs="Arial"/>
          <w:i/>
        </w:rPr>
        <w:t>M. nivalis</w:t>
      </w:r>
      <w:r w:rsidRPr="007223F2">
        <w:rPr>
          <w:rFonts w:cs="Arial"/>
        </w:rPr>
        <w:t xml:space="preserve"> is relatively higher than for other mustelid species, but is still less than 100%. Although mustelids are at greatest risk from secondary poisoning, the fact that their diet is not entirely composed of rodents, and that the rodents that are eaten are not exclusively those encountered in and around buildings, reduces the apparent risk. However, as shown above, even if </w:t>
      </w:r>
      <w:r w:rsidRPr="007223F2">
        <w:rPr>
          <w:rFonts w:cs="Arial"/>
        </w:rPr>
        <w:lastRenderedPageBreak/>
        <w:t>the rodents have fed only 20 % of their daily intakes by rodenticide non-target animals are still at high risk.</w:t>
      </w:r>
    </w:p>
    <w:p w:rsidR="00BA7C2C" w:rsidRPr="007223F2" w:rsidRDefault="00BA7C2C" w:rsidP="00BA7C2C">
      <w:pPr>
        <w:rPr>
          <w:rFonts w:cs="Arial"/>
        </w:rPr>
      </w:pPr>
    </w:p>
    <w:p w:rsidR="00BA7C2C" w:rsidRPr="007223F2" w:rsidRDefault="00BA7C2C" w:rsidP="00BA7C2C">
      <w:pPr>
        <w:rPr>
          <w:rFonts w:cs="Arial"/>
          <w:b/>
        </w:rPr>
      </w:pPr>
      <w:bookmarkStart w:id="842" w:name="_Toc263859927"/>
      <w:r w:rsidRPr="007223F2">
        <w:rPr>
          <w:rFonts w:cs="Arial"/>
          <w:b/>
        </w:rPr>
        <w:t>Open areas</w:t>
      </w:r>
      <w:bookmarkEnd w:id="842"/>
    </w:p>
    <w:p w:rsidR="00BA7C2C" w:rsidRPr="007223F2" w:rsidRDefault="00BA7C2C" w:rsidP="00BA7C2C">
      <w:pPr>
        <w:rPr>
          <w:rFonts w:cs="Arial"/>
          <w:u w:val="single"/>
        </w:rPr>
      </w:pPr>
    </w:p>
    <w:p w:rsidR="00BA7C2C" w:rsidRPr="007223F2" w:rsidRDefault="00BA7C2C" w:rsidP="00BA7C2C">
      <w:pPr>
        <w:rPr>
          <w:rFonts w:cs="Arial"/>
          <w:u w:val="single"/>
        </w:rPr>
      </w:pPr>
      <w:r w:rsidRPr="007223F2">
        <w:rPr>
          <w:rFonts w:cs="Arial"/>
          <w:u w:val="single"/>
        </w:rPr>
        <w:t>Primary poisoning</w:t>
      </w:r>
    </w:p>
    <w:p w:rsidR="00BA7C2C" w:rsidRPr="007223F2" w:rsidRDefault="00BA7C2C" w:rsidP="00BA7C2C">
      <w:pPr>
        <w:rPr>
          <w:rFonts w:cs="Arial"/>
        </w:rPr>
      </w:pPr>
      <w:r w:rsidRPr="007223F2">
        <w:rPr>
          <w:rFonts w:cs="Arial"/>
        </w:rPr>
        <w:t>The primary poisoning risks to birds and mammals from ingestion of MAKI PAT’ is assumed to be similar in open areas when compared to the risk for birds and mammals in and around buildings non-target animals may enter treated areas even if openings are covered and may consume bait.</w:t>
      </w:r>
    </w:p>
    <w:p w:rsidR="00BA7C2C" w:rsidRPr="007223F2" w:rsidRDefault="00BA7C2C" w:rsidP="00BA7C2C">
      <w:pPr>
        <w:rPr>
          <w:rFonts w:cs="Arial"/>
        </w:rPr>
      </w:pPr>
    </w:p>
    <w:p w:rsidR="00BA7C2C" w:rsidRPr="007223F2" w:rsidRDefault="00BA7C2C" w:rsidP="00BA7C2C">
      <w:pPr>
        <w:rPr>
          <w:rFonts w:cs="Arial"/>
        </w:rPr>
      </w:pPr>
      <w:r w:rsidRPr="007223F2">
        <w:rPr>
          <w:rFonts w:cs="Arial"/>
        </w:rPr>
        <w:t>It is not possible to quantify the amount of bait that may be exposed for ingestion by non-target birds and mammals. The levels of risk are adequately covered by the assessments made above for various amounts of MAKI PAT’ directly ingested following use in and around buildings.</w:t>
      </w:r>
    </w:p>
    <w:p w:rsidR="00BA7C2C" w:rsidRPr="007223F2" w:rsidRDefault="00BA7C2C" w:rsidP="00BA7C2C">
      <w:pPr>
        <w:rPr>
          <w:rFonts w:cs="Arial"/>
        </w:rPr>
      </w:pPr>
    </w:p>
    <w:p w:rsidR="00BA7C2C" w:rsidRPr="007223F2" w:rsidRDefault="00BA7C2C" w:rsidP="00BA7C2C">
      <w:pPr>
        <w:rPr>
          <w:rFonts w:cs="Arial"/>
          <w:u w:val="single"/>
        </w:rPr>
      </w:pPr>
      <w:r w:rsidRPr="007223F2">
        <w:rPr>
          <w:rFonts w:cs="Arial"/>
          <w:u w:val="single"/>
        </w:rPr>
        <w:t>Secondary poisoning</w:t>
      </w:r>
    </w:p>
    <w:p w:rsidR="00BA7C2C" w:rsidRPr="007223F2" w:rsidRDefault="00BA7C2C" w:rsidP="00BA7C2C">
      <w:pPr>
        <w:rPr>
          <w:rFonts w:cs="Arial"/>
        </w:rPr>
      </w:pPr>
      <w:r w:rsidRPr="007223F2">
        <w:rPr>
          <w:rFonts w:cs="Arial"/>
        </w:rPr>
        <w:t>The secondary poisoning risks to birds and mammals following the use of paste bait containing bromadiolone in open areas are adequately quantified for uses in and around buildings.</w:t>
      </w:r>
    </w:p>
    <w:p w:rsidR="00BA7C2C" w:rsidRPr="007223F2" w:rsidRDefault="00BA7C2C" w:rsidP="00BA7C2C">
      <w:pPr>
        <w:rPr>
          <w:rFonts w:cs="Arial"/>
        </w:rPr>
      </w:pPr>
      <w:bookmarkStart w:id="843" w:name="_Toc263859928"/>
    </w:p>
    <w:p w:rsidR="00BA7C2C" w:rsidRPr="007223F2" w:rsidRDefault="00BA7C2C" w:rsidP="00BA7C2C">
      <w:pPr>
        <w:rPr>
          <w:rFonts w:cs="Arial"/>
          <w:b/>
        </w:rPr>
      </w:pPr>
      <w:r w:rsidRPr="007223F2">
        <w:rPr>
          <w:rFonts w:cs="Arial"/>
          <w:b/>
        </w:rPr>
        <w:t>Waste dumps</w:t>
      </w:r>
      <w:bookmarkEnd w:id="843"/>
    </w:p>
    <w:p w:rsidR="00BA7C2C" w:rsidRPr="007223F2" w:rsidRDefault="00BA7C2C" w:rsidP="00BA7C2C">
      <w:pPr>
        <w:rPr>
          <w:rFonts w:cs="Arial"/>
        </w:rPr>
      </w:pPr>
    </w:p>
    <w:p w:rsidR="00BA7C2C" w:rsidRPr="007223F2" w:rsidRDefault="00BA7C2C" w:rsidP="00BA7C2C">
      <w:pPr>
        <w:rPr>
          <w:rFonts w:cs="Arial"/>
          <w:u w:val="single"/>
        </w:rPr>
      </w:pPr>
      <w:r w:rsidRPr="007223F2">
        <w:rPr>
          <w:rFonts w:cs="Arial"/>
          <w:u w:val="single"/>
        </w:rPr>
        <w:t>Primary poisoning</w:t>
      </w:r>
    </w:p>
    <w:p w:rsidR="00BA7C2C" w:rsidRPr="007223F2" w:rsidRDefault="00BA7C2C" w:rsidP="00BA7C2C">
      <w:pPr>
        <w:rPr>
          <w:rFonts w:cs="Arial"/>
        </w:rPr>
      </w:pPr>
      <w:r w:rsidRPr="007223F2">
        <w:rPr>
          <w:rFonts w:cs="Arial"/>
        </w:rPr>
        <w:t>The primary poisoning risks to birds and mammals from ingestion of paste containing bromadiolone are assumed to be similar to those indicated above for uses in and around buildings. Although the paste bait on waste dumps will initially be deployed in sachets, it is possible that pieces of bait will be dropped following uptake by target rodents, in places where they may become accessible to non-target birds and mammals.</w:t>
      </w:r>
    </w:p>
    <w:p w:rsidR="00BA7C2C" w:rsidRPr="007223F2" w:rsidRDefault="00BA7C2C" w:rsidP="00BA7C2C">
      <w:pPr>
        <w:rPr>
          <w:rFonts w:cs="Arial"/>
        </w:rPr>
      </w:pPr>
    </w:p>
    <w:p w:rsidR="00BA7C2C" w:rsidRPr="007223F2" w:rsidRDefault="00BA7C2C" w:rsidP="00BA7C2C">
      <w:pPr>
        <w:rPr>
          <w:rFonts w:cs="Arial"/>
        </w:rPr>
      </w:pPr>
      <w:r w:rsidRPr="007223F2">
        <w:rPr>
          <w:rFonts w:cs="Arial"/>
        </w:rPr>
        <w:t>The levels of risk are considered to be adequately represented by the assessments made above for various amounts of MAKI PAT’ directly ingested following use in and around buildings.</w:t>
      </w:r>
    </w:p>
    <w:p w:rsidR="00BA7C2C" w:rsidRPr="007223F2" w:rsidRDefault="00BA7C2C" w:rsidP="00BA7C2C">
      <w:pPr>
        <w:rPr>
          <w:rFonts w:cs="Arial"/>
        </w:rPr>
      </w:pPr>
    </w:p>
    <w:p w:rsidR="00BA7C2C" w:rsidRPr="007223F2" w:rsidRDefault="00BA7C2C" w:rsidP="00BA7C2C">
      <w:pPr>
        <w:rPr>
          <w:rFonts w:cs="Arial"/>
          <w:u w:val="single"/>
        </w:rPr>
      </w:pPr>
      <w:r w:rsidRPr="007223F2">
        <w:rPr>
          <w:rFonts w:cs="Arial"/>
          <w:u w:val="single"/>
        </w:rPr>
        <w:t>Secondary poisoning</w:t>
      </w:r>
    </w:p>
    <w:p w:rsidR="00BA7C2C" w:rsidRPr="007223F2" w:rsidRDefault="00BA7C2C" w:rsidP="00BA7C2C">
      <w:pPr>
        <w:rPr>
          <w:rFonts w:cs="Arial"/>
        </w:rPr>
      </w:pPr>
      <w:r w:rsidRPr="007223F2">
        <w:rPr>
          <w:rFonts w:cs="Arial"/>
        </w:rPr>
        <w:t>The secondary poisoning risks to birds and mammals following the use of paste bait containing bromadiolone in waste dumps are adequately quantified for uses in and around buildings.</w:t>
      </w:r>
    </w:p>
    <w:p w:rsidR="00BA7C2C" w:rsidRPr="007223F2" w:rsidRDefault="00BA7C2C" w:rsidP="00BA7C2C">
      <w:pPr>
        <w:rPr>
          <w:rFonts w:cs="Arial"/>
        </w:rPr>
      </w:pPr>
    </w:p>
    <w:p w:rsidR="00BA7C2C" w:rsidRPr="007223F2" w:rsidRDefault="00BA7C2C" w:rsidP="00BA7C2C">
      <w:pPr>
        <w:pStyle w:val="Kop3"/>
        <w:numPr>
          <w:ilvl w:val="2"/>
          <w:numId w:val="12"/>
        </w:numPr>
        <w:tabs>
          <w:tab w:val="num" w:pos="0"/>
          <w:tab w:val="left" w:pos="1304"/>
        </w:tabs>
        <w:spacing w:after="60" w:line="280" w:lineRule="atLeast"/>
        <w:jc w:val="left"/>
      </w:pPr>
      <w:bookmarkStart w:id="844" w:name="_Toc334194991"/>
      <w:bookmarkStart w:id="845" w:name="_Toc362858101"/>
      <w:r w:rsidRPr="007223F2">
        <w:t>Possible measures to reduce the risk of primary and secondary poisoning to non-target animals</w:t>
      </w:r>
      <w:bookmarkEnd w:id="844"/>
      <w:bookmarkEnd w:id="845"/>
    </w:p>
    <w:p w:rsidR="00BA7C2C" w:rsidRPr="007223F2" w:rsidRDefault="00BA7C2C" w:rsidP="00BA7C2C">
      <w:pPr>
        <w:rPr>
          <w:rFonts w:cs="Arial"/>
        </w:rPr>
      </w:pPr>
      <w:r w:rsidRPr="007223F2">
        <w:rPr>
          <w:rFonts w:cs="Arial"/>
        </w:rPr>
        <w:t xml:space="preserve">Bromadiolone is both highly and non-selectively toxic to vertebrates and, as previously stated, attempts to refine the primary and secondary assessments to demonstrate acceptable risks to birds and mammals with the tools currently available are proven fruitless. Whilst the approved procedure for estimating theoretical exposure of chemicals and plant protection products allows account to be taken of such factors as avoidance of contaminated food items, there is no approved mechanism for </w:t>
      </w:r>
      <w:r w:rsidRPr="007223F2">
        <w:rPr>
          <w:rFonts w:cs="Arial"/>
        </w:rPr>
        <w:lastRenderedPageBreak/>
        <w:t xml:space="preserve">adjusting risk assessments quantitatively to take into account practices and intervention specifically intended to minimise the potential for primary and secondary poisoning of non-target vertebrates. </w:t>
      </w:r>
    </w:p>
    <w:p w:rsidR="00BA7C2C" w:rsidRPr="007223F2" w:rsidRDefault="00BA7C2C" w:rsidP="00BA7C2C">
      <w:pPr>
        <w:rPr>
          <w:rFonts w:cs="Arial"/>
        </w:rPr>
      </w:pPr>
    </w:p>
    <w:p w:rsidR="00BA7C2C" w:rsidRPr="007223F2" w:rsidRDefault="00BA7C2C" w:rsidP="00BA7C2C">
      <w:pPr>
        <w:rPr>
          <w:rFonts w:cs="Arial"/>
        </w:rPr>
      </w:pPr>
      <w:r w:rsidRPr="007223F2">
        <w:rPr>
          <w:rFonts w:cs="Arial"/>
        </w:rPr>
        <w:t>Careful management of anticoagulant rodenticides is understood by the manufacturing industry and by pest-control professionals to be essential to eliminate or reduce to a minimum the opportunity for exposure of non-target species whilst maximising necessary impact on the target rodents. These measures are described in good practice guidance documents, in training courses and on the labels of the products themselves. They are listed below, among a number of other important mitigating factors that need to be taken into account in the risk assessment for paste bait containing bromadiolone.</w:t>
      </w:r>
    </w:p>
    <w:p w:rsidR="00BA7C2C" w:rsidRPr="007223F2" w:rsidRDefault="00BA7C2C" w:rsidP="00BA7C2C">
      <w:pPr>
        <w:rPr>
          <w:rFonts w:cs="Arial"/>
        </w:rPr>
      </w:pPr>
    </w:p>
    <w:p w:rsidR="00BA7C2C" w:rsidRPr="007223F2" w:rsidRDefault="00BA7C2C" w:rsidP="00BA7C2C">
      <w:pPr>
        <w:rPr>
          <w:rFonts w:cs="Arial"/>
        </w:rPr>
      </w:pPr>
      <w:r w:rsidRPr="007223F2">
        <w:rPr>
          <w:rFonts w:cs="Arial"/>
        </w:rPr>
        <w:t>The more direct the delivery of paste containing bromadiolone to the target animals and the faster their consumption, the shorter the eradication campaign and ultimately the smaller the opportunity for non-target species to discover and ingest the bait. The secured bait points selected for deployment of bait in and around buildings are therefore placed where they are most likely to be encountered exclusively by the target organisms (e.g. on habitual rat-runs), thus maximising exposure of the target rodents and minimising unintended exposure of other non-target vertebrates.</w:t>
      </w:r>
    </w:p>
    <w:p w:rsidR="00BA7C2C" w:rsidRPr="007223F2" w:rsidRDefault="00BA7C2C" w:rsidP="00BA7C2C">
      <w:pPr>
        <w:rPr>
          <w:rFonts w:cs="Arial"/>
        </w:rPr>
      </w:pPr>
    </w:p>
    <w:p w:rsidR="00BA7C2C" w:rsidRPr="007223F2" w:rsidRDefault="00BA7C2C" w:rsidP="00BA7C2C">
      <w:pPr>
        <w:spacing w:after="240" w:line="240" w:lineRule="auto"/>
        <w:rPr>
          <w:rFonts w:cs="Arial"/>
        </w:rPr>
      </w:pPr>
      <w:r w:rsidRPr="007223F2">
        <w:rPr>
          <w:rFonts w:cs="Arial"/>
        </w:rPr>
        <w:t>According to recommended practice, baiting campaigns with anticoagulant rodenticides continue until uptake monitoring indicates that eradication of the target rodent population has been achieved, at which point all remaining bait is retrieved and destroyed or securely disposed off. Elimination of residual bait in this way has two benefits: Firstly it removes the potential for unintended exposure of non-target animals in the absence of competition from rats and mice, thus reducing the risk of primary poisoning, and secondly it reduces the likelihood of resistance (i.e. immunity to a particular active substance) developing among the target rodents. In order to minimise the likelihood of target rodents developing resistance to second-generation anticoagulant rodenticides long-term deployment of bait as a preventative control measure is not recommended.</w:t>
      </w:r>
    </w:p>
    <w:p w:rsidR="00BA7C2C" w:rsidRPr="007223F2" w:rsidRDefault="00BA7C2C" w:rsidP="00BA7C2C">
      <w:pPr>
        <w:spacing w:after="240" w:line="240" w:lineRule="auto"/>
        <w:rPr>
          <w:rFonts w:cs="Arial"/>
        </w:rPr>
      </w:pPr>
      <w:r w:rsidRPr="007223F2">
        <w:rPr>
          <w:rFonts w:cs="Arial"/>
        </w:rPr>
        <w:t>Resistance has the obvious consequence that rodenticide deployment will fail to elicit the desired response among the target rodent population. If not promptly recognised, it may also lead to extended baiting programmes that result in extended opportunities for accidental primary poisoning of non-target animals. It may also result in a population of rodents that continue to feed on bait and maintain maximal levels of rodenticide in their tissues, thus exposing predators to a heightened risk of secondary poisoning. However, guidance documents warn against this possibility and indicate the need to monitor bait uptake in case it exceeds the expected pattern and to cease ineffectual baiting as soon as resistance is suspected.</w:t>
      </w:r>
    </w:p>
    <w:p w:rsidR="00BA7C2C" w:rsidRPr="007223F2" w:rsidRDefault="00BA7C2C" w:rsidP="00BA7C2C">
      <w:pPr>
        <w:spacing w:after="240" w:line="240" w:lineRule="auto"/>
        <w:rPr>
          <w:rFonts w:cs="Arial"/>
        </w:rPr>
      </w:pPr>
      <w:r w:rsidRPr="007223F2">
        <w:rPr>
          <w:rFonts w:cs="Arial"/>
        </w:rPr>
        <w:t>Knowledge of the site in which the control campaign is to be conducted also entails taking into account the presence of or possible access by non-target animals and selecting appropriate baits and degrees of bait point protection that minimise the potential for unintended exposure to occur. However, only professionals are supposed to retrieve remaining bait and destroy it in a safe way. Non-professionals are not expected to follow this practice.</w:t>
      </w:r>
    </w:p>
    <w:p w:rsidR="00BA7C2C" w:rsidRPr="007223F2" w:rsidRDefault="00BA7C2C" w:rsidP="00BA7C2C">
      <w:pPr>
        <w:spacing w:after="240" w:line="240" w:lineRule="auto"/>
        <w:rPr>
          <w:rFonts w:cs="Arial"/>
        </w:rPr>
      </w:pPr>
      <w:r w:rsidRPr="007223F2">
        <w:rPr>
          <w:rFonts w:cs="Arial"/>
        </w:rPr>
        <w:t>Good practice guidance reinforced by product labelling, demands also that site inspections have to be made regularly during baiting campaigns. One of the objectives of these inspections is to search for carcasses of target rodents that must then be collected and disposed off in a manner (e.g. incineration or burial at sufficient depth) that ensures they remain inaccessible to scavengers. This significantly reduces the levels of exposure and the risk of secondary poisoning. Good practice also requires that residents and/or workers in and around the baited area are alerted to the hazards posed by baits and carcasses containing rodenticide, so that they may also take appropriate measures to prevent non-target animals being exposed to and/or consuming poisoned rodents.</w:t>
      </w:r>
    </w:p>
    <w:p w:rsidR="00BA7C2C" w:rsidRPr="007223F2" w:rsidRDefault="00BA7C2C" w:rsidP="00BA7C2C">
      <w:pPr>
        <w:spacing w:after="240" w:line="240" w:lineRule="auto"/>
        <w:rPr>
          <w:rFonts w:cs="Arial"/>
        </w:rPr>
      </w:pPr>
      <w:r w:rsidRPr="007223F2">
        <w:rPr>
          <w:rFonts w:cs="Arial"/>
        </w:rPr>
        <w:t xml:space="preserve">Products containing bromadiolone are placed at secured bait points. The type of secured bait point suitable for a given situation is determined on a case-by-case basis, taking into account such factors as shielding from sunlight and moisture necessary to maintain bait integrity and the level of security </w:t>
      </w:r>
      <w:r w:rsidRPr="007223F2">
        <w:rPr>
          <w:rFonts w:cs="Arial"/>
        </w:rPr>
        <w:lastRenderedPageBreak/>
        <w:t>required to prevent access to and/or interference by non-target animals, children etc. Where adequate protection is provided by parts of buildings (e.g. cellars, lofts), a secured bait point may simply comprise a tray shielded by an object such as a roofing tile. Bait points that incorporate a degree of physical obstruction to restrict access – termed bait stations - are used in more sensitive environments where there are non-target animals that may otherwise be unintentionally exposed. In particularly sensitive locations the bait is contained in bait boxes; high-security bait stations comprising weather-proof, tamper-proof, rigid casings. Good practice requires as well that these points are regularly checked for damage during inspection visits and repaired or replaced, as appropriate, to prevent access to bait by non-target animals. This might reduce the risk of primary poisoning. The use of dyed bait might further reduce the risk of primary poisoning of birds.</w:t>
      </w:r>
    </w:p>
    <w:p w:rsidR="00BA7C2C" w:rsidRPr="007223F2" w:rsidRDefault="00BA7C2C" w:rsidP="00BA7C2C">
      <w:pPr>
        <w:spacing w:after="240" w:line="240" w:lineRule="auto"/>
        <w:rPr>
          <w:rFonts w:cs="Arial"/>
        </w:rPr>
      </w:pPr>
      <w:r w:rsidRPr="007223F2">
        <w:rPr>
          <w:rFonts w:cs="Arial"/>
        </w:rPr>
        <w:t>Good practice should require that bait boxes, containing bait in a chamber not directly accessible from the access hole, be used in locations where preliminary site assessment has identified a potential for avian exposure. This reduces both the visibility of the bait and the ability of larger birds to access it simply by putting their head and neck through the entrance hole. For these birds the availability of bait is thus effectively reduced to those pieces of paste translocated and dropped by the target rodents, and good practice requires that these be retrieved on regular inspection visits.</w:t>
      </w:r>
    </w:p>
    <w:p w:rsidR="00BA7C2C" w:rsidRDefault="00BA7C2C" w:rsidP="00BA7C2C">
      <w:pPr>
        <w:rPr>
          <w:rFonts w:cs="Arial"/>
        </w:rPr>
      </w:pPr>
      <w:r w:rsidRPr="007223F2">
        <w:rPr>
          <w:rFonts w:cs="Arial"/>
        </w:rPr>
        <w:t>To conclude, the true primary and secondary poisoning risks posed to non-target animals and birds by bromadiolone containing products might be lower than those indicated in the quantitative assessment of risk as a result of the many mitigating factors listed above. The most significant reductions in exposure and risk are achieved by restricting its use to treatment campaigns of limited duration, limiting access of non-target animals to the bait and removing unused bait and dead and moribund rodents during a baiting campaign to minimise the opportunity of primary secondary exposure of non-target animals. However, it has to be stated that only professionals are expected to follow these instructions.</w:t>
      </w:r>
    </w:p>
    <w:p w:rsidR="00BA7C2C" w:rsidRDefault="00BA7C2C" w:rsidP="00BA7C2C">
      <w:pPr>
        <w:pStyle w:val="Normaalweb"/>
        <w:spacing w:after="0"/>
        <w:rPr>
          <w:rFonts w:ascii="Arial" w:hAnsi="Arial" w:cs="Arial"/>
          <w:sz w:val="22"/>
          <w:szCs w:val="22"/>
          <w:highlight w:val="yellow"/>
          <w:lang w:val="en-US"/>
        </w:rPr>
      </w:pPr>
    </w:p>
    <w:p w:rsidR="00BA7C2C" w:rsidRPr="00A6390E" w:rsidRDefault="00BA7C2C" w:rsidP="00BA7C2C">
      <w:pPr>
        <w:pStyle w:val="Normaalweb"/>
        <w:spacing w:after="0"/>
        <w:rPr>
          <w:rFonts w:ascii="Arial" w:hAnsi="Arial" w:cs="Arial"/>
          <w:sz w:val="22"/>
          <w:szCs w:val="22"/>
          <w:lang w:val="en-US"/>
        </w:rPr>
      </w:pPr>
      <w:r w:rsidRPr="001E5C20">
        <w:rPr>
          <w:rFonts w:ascii="Arial" w:hAnsi="Arial" w:cs="Arial"/>
          <w:sz w:val="22"/>
          <w:szCs w:val="22"/>
          <w:lang w:val="en-US"/>
        </w:rPr>
        <w:t xml:space="preserve">Despite the possible risk mitigation measures listed above, the Dutch CA is of the opinion that the </w:t>
      </w:r>
      <w:r w:rsidRPr="001E5C20">
        <w:rPr>
          <w:rFonts w:ascii="Arial" w:hAnsi="Arial" w:cs="Arial"/>
          <w:sz w:val="22"/>
          <w:szCs w:val="22"/>
        </w:rPr>
        <w:t xml:space="preserve">use of Maki Pat’ needs to be restricted to indoor use only for authorization in the </w:t>
      </w:r>
      <w:smartTag w:uri="urn:schemas-microsoft-com:office:smarttags" w:element="place">
        <w:smartTag w:uri="urn:schemas-microsoft-com:office:smarttags" w:element="country-region">
          <w:r w:rsidRPr="001E5C20">
            <w:rPr>
              <w:rFonts w:ascii="Arial" w:hAnsi="Arial" w:cs="Arial"/>
              <w:sz w:val="22"/>
              <w:szCs w:val="22"/>
              <w:lang w:val="en-US"/>
            </w:rPr>
            <w:t>Netherlands</w:t>
          </w:r>
        </w:smartTag>
      </w:smartTag>
      <w:r w:rsidRPr="001E5C20">
        <w:rPr>
          <w:rFonts w:ascii="Arial" w:hAnsi="Arial" w:cs="Arial"/>
          <w:sz w:val="22"/>
          <w:szCs w:val="22"/>
          <w:lang w:val="en-US"/>
        </w:rPr>
        <w:t xml:space="preserve">. The main concern of the environmental experts of Ctgb is that the product is based on an active substance with e.g. PBT and vPvB properties, causing risks for secondary poisoning of the non-target vertebrates. </w:t>
      </w:r>
      <w:r w:rsidRPr="00F755E3">
        <w:rPr>
          <w:rFonts w:ascii="Arial" w:hAnsi="Arial" w:cs="Arial"/>
          <w:sz w:val="22"/>
          <w:szCs w:val="22"/>
          <w:lang w:val="en-US"/>
        </w:rPr>
        <w:t>To the opinion of Ctgb, the evidence for the effectiveness of the risk mitigation measures listed above is weak and therefore, Ctgb does not allow for outdoor use of this product based on bromadiolone, also not with these specific risk mitigation measures.</w:t>
      </w:r>
      <w:r w:rsidRPr="00A6390E">
        <w:rPr>
          <w:rFonts w:ascii="Arial" w:hAnsi="Arial" w:cs="Arial"/>
          <w:sz w:val="22"/>
          <w:szCs w:val="22"/>
          <w:lang w:val="en-US"/>
        </w:rPr>
        <w:t xml:space="preserve"> </w:t>
      </w:r>
    </w:p>
    <w:p w:rsidR="00BA7C2C" w:rsidRPr="00760739" w:rsidRDefault="00BA7C2C" w:rsidP="00BA7C2C">
      <w:pPr>
        <w:rPr>
          <w:lang w:val="en-US"/>
        </w:rPr>
      </w:pPr>
    </w:p>
    <w:p w:rsidR="00BA7C2C" w:rsidRPr="00A0425E" w:rsidRDefault="00BA7C2C" w:rsidP="00BA7C2C">
      <w:pPr>
        <w:pStyle w:val="Kop2"/>
        <w:numPr>
          <w:ilvl w:val="1"/>
          <w:numId w:val="12"/>
        </w:numPr>
        <w:tabs>
          <w:tab w:val="left" w:pos="1304"/>
        </w:tabs>
        <w:spacing w:before="360" w:after="240" w:line="280" w:lineRule="atLeast"/>
      </w:pPr>
      <w:bookmarkStart w:id="846" w:name="_Toc362858102"/>
      <w:r w:rsidRPr="00A0425E">
        <w:t>Measures to protect man, animals and the environment</w:t>
      </w:r>
      <w:bookmarkEnd w:id="780"/>
      <w:bookmarkEnd w:id="846"/>
    </w:p>
    <w:p w:rsidR="00BA7C2C" w:rsidRPr="0032789F" w:rsidRDefault="00BA7C2C" w:rsidP="00BA7C2C">
      <w:pPr>
        <w:spacing w:before="120" w:after="120"/>
        <w:rPr>
          <w:rFonts w:cs="Arial"/>
        </w:rPr>
      </w:pPr>
      <w:bookmarkStart w:id="847" w:name="_Toc187808580"/>
      <w:r w:rsidRPr="0032789F">
        <w:rPr>
          <w:rFonts w:cs="Arial"/>
        </w:rPr>
        <w:t>The information submitted covering the requirements as described in the TNsG on Data Requirements, common core data for the product, section 8, points 8.1 to 8.8 should be assessed and summarised here.</w:t>
      </w:r>
    </w:p>
    <w:p w:rsidR="00BA7C2C" w:rsidRPr="0032789F" w:rsidRDefault="00BA7C2C" w:rsidP="00BA7C2C">
      <w:pPr>
        <w:rPr>
          <w:rFonts w:cs="Arial"/>
        </w:rPr>
      </w:pPr>
      <w:r w:rsidRPr="0032789F">
        <w:rPr>
          <w:rFonts w:cs="Arial"/>
        </w:rPr>
        <w:t>The instructions for use must contain the following indications:</w:t>
      </w:r>
    </w:p>
    <w:p w:rsidR="00BA7C2C" w:rsidRPr="0032789F" w:rsidRDefault="00BA7C2C" w:rsidP="00BA7C2C">
      <w:pPr>
        <w:numPr>
          <w:ilvl w:val="0"/>
          <w:numId w:val="16"/>
        </w:numPr>
        <w:autoSpaceDE w:val="0"/>
        <w:autoSpaceDN w:val="0"/>
        <w:adjustRightInd w:val="0"/>
        <w:spacing w:line="240" w:lineRule="auto"/>
        <w:jc w:val="both"/>
        <w:rPr>
          <w:rFonts w:cs="Arial"/>
          <w:color w:val="000000"/>
          <w:szCs w:val="22"/>
          <w:lang w:eastAsia="nl-NL"/>
        </w:rPr>
      </w:pPr>
      <w:r w:rsidRPr="0032789F">
        <w:rPr>
          <w:rFonts w:cs="Arial"/>
          <w:color w:val="000000"/>
          <w:szCs w:val="22"/>
          <w:lang w:eastAsia="nl-NL"/>
        </w:rPr>
        <w:t xml:space="preserve">Prevent access to bait by children, birds and non-target animals (particularly dogs, cats, pigs and poultry) </w:t>
      </w:r>
    </w:p>
    <w:p w:rsidR="00BA7C2C" w:rsidRPr="0032789F" w:rsidRDefault="00BA7C2C" w:rsidP="00BA7C2C">
      <w:pPr>
        <w:numPr>
          <w:ilvl w:val="0"/>
          <w:numId w:val="16"/>
        </w:numPr>
        <w:autoSpaceDE w:val="0"/>
        <w:autoSpaceDN w:val="0"/>
        <w:adjustRightInd w:val="0"/>
        <w:spacing w:line="240" w:lineRule="auto"/>
        <w:jc w:val="both"/>
        <w:rPr>
          <w:rFonts w:cs="Arial"/>
          <w:color w:val="000000"/>
          <w:szCs w:val="22"/>
          <w:lang w:eastAsia="nl-NL"/>
        </w:rPr>
      </w:pPr>
      <w:r w:rsidRPr="0032789F">
        <w:rPr>
          <w:rFonts w:cs="Arial"/>
          <w:color w:val="000000"/>
          <w:szCs w:val="22"/>
          <w:lang w:eastAsia="nl-NL"/>
        </w:rPr>
        <w:t>Keep out of reach of children</w:t>
      </w:r>
    </w:p>
    <w:p w:rsidR="00BA7C2C" w:rsidRPr="0032789F" w:rsidRDefault="00BA7C2C" w:rsidP="00BA7C2C">
      <w:pPr>
        <w:numPr>
          <w:ilvl w:val="0"/>
          <w:numId w:val="16"/>
        </w:numPr>
        <w:autoSpaceDE w:val="0"/>
        <w:autoSpaceDN w:val="0"/>
        <w:adjustRightInd w:val="0"/>
        <w:spacing w:line="240" w:lineRule="auto"/>
        <w:jc w:val="both"/>
        <w:rPr>
          <w:rFonts w:cs="Arial"/>
          <w:color w:val="000000"/>
          <w:szCs w:val="22"/>
          <w:lang w:eastAsia="nl-NL"/>
        </w:rPr>
      </w:pPr>
      <w:r w:rsidRPr="0032789F">
        <w:rPr>
          <w:rFonts w:cs="Arial"/>
          <w:color w:val="000000"/>
          <w:szCs w:val="22"/>
          <w:lang w:eastAsia="nl-NL"/>
        </w:rPr>
        <w:lastRenderedPageBreak/>
        <w:t>Baits must be securely deposited in a way so as to minimise the risk of consumption by other animals or children. Where possible, secure baits so that they cannot be dragged away</w:t>
      </w:r>
    </w:p>
    <w:p w:rsidR="00BA7C2C" w:rsidRPr="0032789F" w:rsidRDefault="00BA7C2C" w:rsidP="00BA7C2C">
      <w:pPr>
        <w:numPr>
          <w:ilvl w:val="0"/>
          <w:numId w:val="16"/>
        </w:numPr>
        <w:autoSpaceDE w:val="0"/>
        <w:autoSpaceDN w:val="0"/>
        <w:adjustRightInd w:val="0"/>
        <w:spacing w:line="240" w:lineRule="auto"/>
        <w:jc w:val="both"/>
        <w:rPr>
          <w:rFonts w:cs="Arial"/>
          <w:color w:val="000000"/>
          <w:szCs w:val="22"/>
          <w:lang w:eastAsia="nl-NL"/>
        </w:rPr>
      </w:pPr>
      <w:r w:rsidRPr="0032789F">
        <w:rPr>
          <w:rFonts w:cs="Arial"/>
          <w:color w:val="000000"/>
          <w:szCs w:val="22"/>
        </w:rPr>
        <w:t>When tamper resistant bait stations are used, they should be clearly marked to show that they contain rodenticides and that they should not be disturbed.</w:t>
      </w:r>
    </w:p>
    <w:p w:rsidR="00BA7C2C" w:rsidRPr="0032789F" w:rsidRDefault="00BA7C2C" w:rsidP="00BA7C2C">
      <w:pPr>
        <w:numPr>
          <w:ilvl w:val="0"/>
          <w:numId w:val="16"/>
        </w:numPr>
        <w:autoSpaceDE w:val="0"/>
        <w:autoSpaceDN w:val="0"/>
        <w:adjustRightInd w:val="0"/>
        <w:spacing w:line="240" w:lineRule="auto"/>
        <w:jc w:val="both"/>
        <w:rPr>
          <w:rFonts w:cs="Arial"/>
          <w:color w:val="000000"/>
          <w:szCs w:val="22"/>
          <w:lang w:eastAsia="nl-NL"/>
        </w:rPr>
      </w:pPr>
      <w:r w:rsidRPr="0032789F">
        <w:rPr>
          <w:rFonts w:cs="Arial"/>
          <w:color w:val="000000"/>
          <w:szCs w:val="22"/>
        </w:rPr>
        <w:t>Antidote vitamin K1 (under medical supervision).</w:t>
      </w:r>
    </w:p>
    <w:p w:rsidR="00BA7C2C" w:rsidRDefault="00BA7C2C" w:rsidP="00BA7C2C"/>
    <w:p w:rsidR="00BA7C2C" w:rsidRPr="007223F2" w:rsidRDefault="00BA7C2C" w:rsidP="00BA7C2C">
      <w:pPr>
        <w:rPr>
          <w:rFonts w:cs="Arial"/>
        </w:rPr>
      </w:pPr>
      <w:r w:rsidRPr="007223F2">
        <w:rPr>
          <w:rFonts w:cs="Arial"/>
        </w:rPr>
        <w:t xml:space="preserve">For the measures to protect animals and the environment we refer to the “elements to be taken into account by Member States when authorising products” from the Assessment Report and inclusion directive 2009/92/EC for bromadiolone which shall be duly taken into consideration for a clear labelling of MAKI PAT’. </w:t>
      </w:r>
    </w:p>
    <w:p w:rsidR="00BA7C2C" w:rsidRPr="007223F2" w:rsidRDefault="00BA7C2C" w:rsidP="00BA7C2C">
      <w:pPr>
        <w:rPr>
          <w:rFonts w:cs="Arial"/>
        </w:rPr>
      </w:pPr>
      <w:r w:rsidRPr="007223F2">
        <w:rPr>
          <w:rFonts w:cs="Arial"/>
        </w:rPr>
        <w:t>The instructions for use must contain the following indications:</w:t>
      </w:r>
    </w:p>
    <w:p w:rsidR="00BA7C2C" w:rsidRPr="007223F2" w:rsidRDefault="00BA7C2C" w:rsidP="00BA7C2C">
      <w:pPr>
        <w:rPr>
          <w:rFonts w:cs="Arial"/>
        </w:rPr>
      </w:pPr>
    </w:p>
    <w:p w:rsidR="00BA7C2C" w:rsidRPr="007223F2" w:rsidRDefault="00BA7C2C" w:rsidP="00BA7C2C">
      <w:pPr>
        <w:numPr>
          <w:ilvl w:val="0"/>
          <w:numId w:val="22"/>
        </w:numPr>
        <w:spacing w:line="260" w:lineRule="atLeast"/>
        <w:rPr>
          <w:rFonts w:cs="Arial"/>
        </w:rPr>
      </w:pPr>
      <w:r w:rsidRPr="007223F2">
        <w:rPr>
          <w:rFonts w:cs="Arial"/>
        </w:rPr>
        <w:t>The size of the package placed on the market should be proportionate to the duration of the treatment and appropriate to the pattern of use of particular user groups.</w:t>
      </w:r>
    </w:p>
    <w:p w:rsidR="00BA7C2C" w:rsidRPr="007223F2" w:rsidRDefault="00BA7C2C" w:rsidP="00BA7C2C">
      <w:pPr>
        <w:numPr>
          <w:ilvl w:val="0"/>
          <w:numId w:val="22"/>
        </w:numPr>
        <w:spacing w:line="260" w:lineRule="atLeast"/>
        <w:rPr>
          <w:rFonts w:cs="Arial"/>
        </w:rPr>
      </w:pPr>
      <w:r w:rsidRPr="007223F2">
        <w:rPr>
          <w:rFonts w:cs="Arial"/>
        </w:rPr>
        <w:t>Product design and use restrictions should be optimised in order to ensure sufficient and efficient rodent control while at the same time minimizing the risk for primary poisoning. This could include the use of tamper resistant bait boxes and the need to secure the baits so that rodents cannot remove the bait from the bait box. It could also include regular check of the bait points for damage and to repair or replace, as appropriate.</w:t>
      </w:r>
    </w:p>
    <w:p w:rsidR="00BA7C2C" w:rsidRPr="007223F2" w:rsidRDefault="00BA7C2C" w:rsidP="00BA7C2C">
      <w:pPr>
        <w:numPr>
          <w:ilvl w:val="0"/>
          <w:numId w:val="22"/>
        </w:numPr>
        <w:spacing w:line="260" w:lineRule="atLeast"/>
        <w:rPr>
          <w:rFonts w:cs="Arial"/>
        </w:rPr>
      </w:pPr>
      <w:r w:rsidRPr="007223F2">
        <w:rPr>
          <w:rFonts w:cs="Arial"/>
        </w:rPr>
        <w:t>The restriction of products to specific areas and manners of use and also restrictions of products to professionals or trained professionals only, should be considered.</w:t>
      </w:r>
    </w:p>
    <w:p w:rsidR="00BA7C2C" w:rsidRPr="007223F2" w:rsidRDefault="00BA7C2C" w:rsidP="00BA7C2C">
      <w:pPr>
        <w:numPr>
          <w:ilvl w:val="0"/>
          <w:numId w:val="22"/>
        </w:numPr>
        <w:spacing w:line="260" w:lineRule="atLeast"/>
        <w:rPr>
          <w:rFonts w:cs="Arial"/>
        </w:rPr>
      </w:pPr>
      <w:r w:rsidRPr="007223F2">
        <w:rPr>
          <w:rFonts w:cs="Arial"/>
        </w:rPr>
        <w:t>Baits must be securely deposited in a way so as to minimise the risk of consumption by non-target animals or children. Where possible, secure baits so that they cannot be dragged away.</w:t>
      </w:r>
    </w:p>
    <w:p w:rsidR="00BA7C2C" w:rsidRPr="007223F2" w:rsidRDefault="00BA7C2C" w:rsidP="00BA7C2C">
      <w:pPr>
        <w:numPr>
          <w:ilvl w:val="0"/>
          <w:numId w:val="22"/>
        </w:numPr>
        <w:spacing w:line="260" w:lineRule="atLeast"/>
        <w:rPr>
          <w:rFonts w:cs="Arial"/>
        </w:rPr>
      </w:pPr>
      <w:r w:rsidRPr="007223F2">
        <w:rPr>
          <w:rFonts w:cs="Arial"/>
        </w:rPr>
        <w:t>Search for and remove dead rodents at frequent intervals during treatment, at least as often as when baits are checked and/or replenished. Dispose of dead rodents in accordance with local requirements.</w:t>
      </w:r>
    </w:p>
    <w:p w:rsidR="00BA7C2C" w:rsidRPr="007223F2" w:rsidRDefault="00BA7C2C" w:rsidP="00BA7C2C">
      <w:pPr>
        <w:numPr>
          <w:ilvl w:val="0"/>
          <w:numId w:val="22"/>
        </w:numPr>
        <w:spacing w:line="260" w:lineRule="atLeast"/>
        <w:rPr>
          <w:rFonts w:cs="Arial"/>
        </w:rPr>
      </w:pPr>
      <w:r w:rsidRPr="007223F2">
        <w:rPr>
          <w:rFonts w:cs="Arial"/>
        </w:rPr>
        <w:t>Do not use anticoagulant rodenticides as permanent baits. In most cases treatment with this product should have achieved control within 35 days. Should activity of house mice, brown or black rats continue beyond this time, the likely cause should be determined and measures should be taken.</w:t>
      </w:r>
    </w:p>
    <w:p w:rsidR="00BA7C2C" w:rsidRPr="007223F2" w:rsidRDefault="00BA7C2C" w:rsidP="00BA7C2C">
      <w:pPr>
        <w:numPr>
          <w:ilvl w:val="0"/>
          <w:numId w:val="22"/>
        </w:numPr>
        <w:spacing w:line="260" w:lineRule="atLeast"/>
        <w:rPr>
          <w:rFonts w:cs="Arial"/>
        </w:rPr>
      </w:pPr>
      <w:r w:rsidRPr="007223F2">
        <w:rPr>
          <w:rFonts w:cs="Arial"/>
        </w:rPr>
        <w:t>Remove all baits after treatment and dispose of them in accordance with local requirements.</w:t>
      </w:r>
    </w:p>
    <w:p w:rsidR="00BA7C2C" w:rsidRPr="007223F2" w:rsidRDefault="00BA7C2C" w:rsidP="00BA7C2C">
      <w:pPr>
        <w:numPr>
          <w:ilvl w:val="0"/>
          <w:numId w:val="22"/>
        </w:numPr>
        <w:spacing w:line="260" w:lineRule="atLeast"/>
        <w:rPr>
          <w:rFonts w:cs="Arial"/>
        </w:rPr>
      </w:pPr>
      <w:r w:rsidRPr="007223F2">
        <w:rPr>
          <w:rFonts w:cs="Arial"/>
        </w:rPr>
        <w:t>Adequate safety instructions (including use of appropriate personal protective equipment) should be provided in the use instructions.</w:t>
      </w:r>
    </w:p>
    <w:p w:rsidR="00BA7C2C" w:rsidRPr="007223F2" w:rsidRDefault="00BA7C2C" w:rsidP="00BA7C2C">
      <w:pPr>
        <w:numPr>
          <w:ilvl w:val="0"/>
          <w:numId w:val="22"/>
        </w:numPr>
        <w:spacing w:line="260" w:lineRule="atLeast"/>
        <w:rPr>
          <w:rFonts w:cs="Arial"/>
        </w:rPr>
      </w:pPr>
      <w:r w:rsidRPr="007223F2">
        <w:rPr>
          <w:rFonts w:cs="Arial"/>
        </w:rPr>
        <w:t>The population size of the target rodent should be evaluated before a control campaign. The number of baits and the timing of the control campaign should be in proportion to the size of infestation.</w:t>
      </w:r>
    </w:p>
    <w:p w:rsidR="00BA7C2C" w:rsidRPr="007223F2" w:rsidRDefault="00BA7C2C" w:rsidP="00BA7C2C">
      <w:pPr>
        <w:numPr>
          <w:ilvl w:val="0"/>
          <w:numId w:val="22"/>
        </w:numPr>
        <w:spacing w:line="260" w:lineRule="atLeast"/>
        <w:rPr>
          <w:rFonts w:cs="Arial"/>
        </w:rPr>
      </w:pPr>
      <w:r w:rsidRPr="007223F2">
        <w:rPr>
          <w:rFonts w:cs="Arial"/>
        </w:rPr>
        <w:t>A complete elimination of rodents in the infested area should be achieved.</w:t>
      </w:r>
    </w:p>
    <w:p w:rsidR="00BA7C2C" w:rsidRPr="007223F2" w:rsidRDefault="00BA7C2C" w:rsidP="00BA7C2C">
      <w:pPr>
        <w:numPr>
          <w:ilvl w:val="0"/>
          <w:numId w:val="22"/>
        </w:numPr>
        <w:spacing w:line="260" w:lineRule="atLeast"/>
        <w:rPr>
          <w:rFonts w:cs="Arial"/>
        </w:rPr>
      </w:pPr>
      <w:r w:rsidRPr="007223F2">
        <w:rPr>
          <w:rFonts w:cs="Arial"/>
        </w:rPr>
        <w:t>It is recommended to develop and implement an Integrated Pest Management system (IPM). Relevant IPM issues are:</w:t>
      </w:r>
      <w:r w:rsidRPr="007223F2">
        <w:rPr>
          <w:rFonts w:cs="Arial"/>
        </w:rPr>
        <w:br/>
        <w:t xml:space="preserve">- </w:t>
      </w:r>
      <w:r w:rsidRPr="007223F2">
        <w:rPr>
          <w:rFonts w:cs="Arial"/>
          <w:szCs w:val="22"/>
        </w:rPr>
        <w:t>Measures for the prevention and/or suppression of harmful organisms;</w:t>
      </w:r>
      <w:r w:rsidRPr="007223F2">
        <w:rPr>
          <w:rFonts w:cs="Arial"/>
          <w:szCs w:val="22"/>
        </w:rPr>
        <w:br/>
        <w:t>- Adequate methods and tools for monitoring of harmful organisms;</w:t>
      </w:r>
      <w:r w:rsidRPr="007223F2">
        <w:rPr>
          <w:rFonts w:cs="Arial"/>
          <w:szCs w:val="22"/>
        </w:rPr>
        <w:br/>
        <w:t>- Preference of non-chemical methods;</w:t>
      </w:r>
      <w:r w:rsidRPr="007223F2">
        <w:rPr>
          <w:rFonts w:cs="Arial"/>
          <w:szCs w:val="22"/>
        </w:rPr>
        <w:br/>
        <w:t>- Target-specificity and minimisation of impact on non-target organisms, health and the environment;</w:t>
      </w:r>
      <w:r w:rsidRPr="007223F2">
        <w:rPr>
          <w:rFonts w:cs="Arial"/>
          <w:szCs w:val="22"/>
        </w:rPr>
        <w:br/>
        <w:t>- Reduction to use of minimum necessary level;</w:t>
      </w:r>
      <w:r w:rsidRPr="007223F2">
        <w:rPr>
          <w:rFonts w:cs="Arial"/>
          <w:szCs w:val="22"/>
        </w:rPr>
        <w:br/>
        <w:t>- Application of strategies on anti-resistance;</w:t>
      </w:r>
      <w:r w:rsidRPr="007223F2">
        <w:rPr>
          <w:rFonts w:cs="Arial"/>
          <w:szCs w:val="22"/>
        </w:rPr>
        <w:br/>
        <w:t>- Check of success on the basis of records, monitoring</w:t>
      </w:r>
      <w:r w:rsidRPr="007223F2">
        <w:rPr>
          <w:rFonts w:cs="Arial"/>
        </w:rPr>
        <w:t xml:space="preserve"> and documentation.</w:t>
      </w:r>
    </w:p>
    <w:p w:rsidR="00BA7C2C" w:rsidRPr="007223F2" w:rsidRDefault="00BA7C2C" w:rsidP="00BA7C2C">
      <w:pPr>
        <w:numPr>
          <w:ilvl w:val="0"/>
          <w:numId w:val="22"/>
        </w:numPr>
        <w:spacing w:line="260" w:lineRule="atLeast"/>
        <w:rPr>
          <w:rFonts w:cs="Arial"/>
        </w:rPr>
      </w:pPr>
      <w:r w:rsidRPr="007223F2">
        <w:rPr>
          <w:rFonts w:cs="Arial"/>
        </w:rPr>
        <w:t>The use instruction of products should contain guidance on resistance management for rodenticides.</w:t>
      </w:r>
    </w:p>
    <w:p w:rsidR="00BA7C2C" w:rsidRPr="007223F2" w:rsidRDefault="00BA7C2C" w:rsidP="00BA7C2C">
      <w:pPr>
        <w:numPr>
          <w:ilvl w:val="0"/>
          <w:numId w:val="22"/>
        </w:numPr>
        <w:spacing w:line="260" w:lineRule="atLeast"/>
        <w:rPr>
          <w:rFonts w:cs="Arial"/>
        </w:rPr>
      </w:pPr>
      <w:r w:rsidRPr="007223F2">
        <w:rPr>
          <w:rFonts w:cs="Arial"/>
        </w:rPr>
        <w:t>Resistant management strategies should be developed, and bromadiolone should not be used in an area where resistance to this substance is suspected.</w:t>
      </w:r>
    </w:p>
    <w:p w:rsidR="00BA7C2C" w:rsidRPr="007223F2" w:rsidRDefault="00BA7C2C" w:rsidP="00BA7C2C">
      <w:pPr>
        <w:numPr>
          <w:ilvl w:val="0"/>
          <w:numId w:val="22"/>
        </w:numPr>
        <w:spacing w:line="260" w:lineRule="atLeast"/>
        <w:rPr>
          <w:rFonts w:cs="Arial"/>
        </w:rPr>
      </w:pPr>
      <w:r w:rsidRPr="007223F2">
        <w:rPr>
          <w:rFonts w:cs="Arial"/>
        </w:rPr>
        <w:t>The authorisation holder shall report any observed resistance incidents to the Competent Authorities or other appointed bodies involved in resistance management.</w:t>
      </w:r>
    </w:p>
    <w:p w:rsidR="00BA7C2C" w:rsidRPr="007223F2" w:rsidRDefault="00BA7C2C" w:rsidP="00BA7C2C">
      <w:pPr>
        <w:spacing w:before="120" w:after="120"/>
      </w:pPr>
    </w:p>
    <w:p w:rsidR="00BA7C2C" w:rsidRPr="00A0425E" w:rsidRDefault="00BA7C2C" w:rsidP="00BA7C2C">
      <w:pPr>
        <w:pStyle w:val="Kop1"/>
        <w:widowControl w:val="0"/>
        <w:numPr>
          <w:ilvl w:val="0"/>
          <w:numId w:val="12"/>
        </w:numPr>
        <w:tabs>
          <w:tab w:val="left" w:pos="1304"/>
        </w:tabs>
        <w:suppressAutoHyphens/>
        <w:autoSpaceDE w:val="0"/>
        <w:autoSpaceDN w:val="0"/>
        <w:adjustRightInd w:val="0"/>
        <w:spacing w:after="240" w:line="400" w:lineRule="atLeast"/>
      </w:pPr>
      <w:bookmarkStart w:id="848" w:name="_Toc362858103"/>
      <w:bookmarkEnd w:id="847"/>
      <w:r w:rsidRPr="00A0425E">
        <w:t>Proposal for decision</w:t>
      </w:r>
      <w:bookmarkEnd w:id="848"/>
    </w:p>
    <w:p w:rsidR="00BA7C2C" w:rsidRPr="007223F2" w:rsidRDefault="00BA7C2C" w:rsidP="00BA7C2C">
      <w:pPr>
        <w:rPr>
          <w:rFonts w:cs="Arial"/>
          <w:szCs w:val="22"/>
        </w:rPr>
      </w:pPr>
      <w:r w:rsidRPr="007223F2">
        <w:rPr>
          <w:rFonts w:cs="Arial"/>
          <w:szCs w:val="22"/>
        </w:rPr>
        <w:t>The Dutch CA considers that sufficient data have been provided to verify the outcome and conclusions, and permits the authorisation of MAKI PAT’.</w:t>
      </w:r>
    </w:p>
    <w:p w:rsidR="00BA7C2C" w:rsidRDefault="00BA7C2C" w:rsidP="00BA7C2C">
      <w:pPr>
        <w:rPr>
          <w:rFonts w:cs="Arial"/>
        </w:rPr>
      </w:pPr>
    </w:p>
    <w:p w:rsidR="00BA7C2C" w:rsidRPr="001E5C20" w:rsidRDefault="00BA7C2C" w:rsidP="00BA7C2C">
      <w:pPr>
        <w:rPr>
          <w:rFonts w:cs="Arial"/>
        </w:rPr>
      </w:pPr>
      <w:r w:rsidRPr="001E5C20">
        <w:rPr>
          <w:rFonts w:cs="Arial"/>
        </w:rPr>
        <w:t>MAKI PAT’ has been applied for and evaluated as a rodenticide against rats and mice for the following use patterns: in and around buildings (professional and non-professional use), open areas (professional use only) and waste dump perimeters (landfill) (professional use only).</w:t>
      </w:r>
    </w:p>
    <w:p w:rsidR="00BA7C2C" w:rsidRDefault="00BA7C2C" w:rsidP="00BA7C2C">
      <w:pPr>
        <w:rPr>
          <w:rFonts w:cs="Arial"/>
          <w:szCs w:val="22"/>
        </w:rPr>
      </w:pPr>
    </w:p>
    <w:p w:rsidR="00BA7C2C" w:rsidRDefault="00BA7C2C" w:rsidP="00BA7C2C">
      <w:pPr>
        <w:rPr>
          <w:rFonts w:cs="Arial"/>
        </w:rPr>
      </w:pPr>
      <w:r>
        <w:rPr>
          <w:rFonts w:cs="Arial"/>
          <w:szCs w:val="22"/>
        </w:rPr>
        <w:t xml:space="preserve">Based on the assessment, it is concluded by the Dutch CA that Maki Pat’ can be safely used </w:t>
      </w:r>
      <w:r>
        <w:rPr>
          <w:rFonts w:cs="Arial"/>
        </w:rPr>
        <w:t xml:space="preserve">by professional users </w:t>
      </w:r>
      <w:r w:rsidRPr="00CA2443">
        <w:rPr>
          <w:rFonts w:cs="Arial"/>
        </w:rPr>
        <w:t xml:space="preserve">for the control of black and brown rats and house mice in buildings, </w:t>
      </w:r>
      <w:r>
        <w:rPr>
          <w:rFonts w:cs="Arial"/>
        </w:rPr>
        <w:t xml:space="preserve">and by non-professionals for the control of mice in buildings. </w:t>
      </w:r>
    </w:p>
    <w:p w:rsidR="00BA7C2C" w:rsidRDefault="00BA7C2C" w:rsidP="00BA7C2C">
      <w:pPr>
        <w:rPr>
          <w:rFonts w:cs="Arial"/>
        </w:rPr>
      </w:pPr>
    </w:p>
    <w:p w:rsidR="00BA7C2C" w:rsidRPr="00760739" w:rsidRDefault="00BA7C2C" w:rsidP="00BA7C2C">
      <w:pPr>
        <w:rPr>
          <w:rFonts w:cs="Arial"/>
        </w:rPr>
      </w:pPr>
      <w:r>
        <w:rPr>
          <w:rFonts w:cs="Arial"/>
        </w:rPr>
        <w:t xml:space="preserve">The following classification is proposed </w:t>
      </w:r>
      <w:r w:rsidRPr="00760739">
        <w:rPr>
          <w:rFonts w:cs="Arial"/>
          <w:lang w:val="en-US"/>
        </w:rPr>
        <w:t>based on Directive 1999/45/EC</w:t>
      </w:r>
      <w:r>
        <w:rPr>
          <w:rFonts w:cs="Arial"/>
          <w:lang w:val="en-US"/>
        </w:rPr>
        <w:t>:</w:t>
      </w:r>
    </w:p>
    <w:p w:rsidR="00BA7C2C" w:rsidRPr="00760739" w:rsidRDefault="00BA7C2C" w:rsidP="00BA7C2C">
      <w:pPr>
        <w:autoSpaceDE w:val="0"/>
        <w:autoSpaceDN w:val="0"/>
        <w:adjustRightInd w:val="0"/>
        <w:rPr>
          <w:lang w:eastAsia="nl-NL"/>
        </w:rPr>
      </w:pPr>
    </w:p>
    <w:p w:rsidR="00BA7C2C" w:rsidRPr="007432C9" w:rsidRDefault="00BA7C2C" w:rsidP="00BA7C2C">
      <w:pPr>
        <w:rPr>
          <w:rFonts w:cs="Arial"/>
          <w:b/>
          <w:lang w:val="en-US"/>
        </w:rPr>
      </w:pPr>
      <w:r>
        <w:rPr>
          <w:rFonts w:cs="Arial"/>
          <w:b/>
          <w:lang w:val="en-US"/>
        </w:rPr>
        <w:t>Professional user:</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427"/>
        <w:gridCol w:w="6040"/>
      </w:tblGrid>
      <w:tr w:rsidR="00BA7C2C" w:rsidRPr="007432C9" w:rsidTr="00613EE2">
        <w:tc>
          <w:tcPr>
            <w:tcW w:w="2375"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Symbol:</w:t>
            </w:r>
          </w:p>
        </w:tc>
        <w:tc>
          <w:tcPr>
            <w:tcW w:w="7467" w:type="dxa"/>
            <w:gridSpan w:val="2"/>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Xn</w:t>
            </w:r>
          </w:p>
        </w:tc>
      </w:tr>
      <w:tr w:rsidR="00BA7C2C" w:rsidRPr="007432C9" w:rsidTr="00613EE2">
        <w:tc>
          <w:tcPr>
            <w:tcW w:w="2375"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Indication of danger:</w:t>
            </w:r>
          </w:p>
        </w:tc>
        <w:tc>
          <w:tcPr>
            <w:tcW w:w="7467" w:type="dxa"/>
            <w:gridSpan w:val="2"/>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Harmful</w:t>
            </w:r>
          </w:p>
        </w:tc>
      </w:tr>
      <w:tr w:rsidR="00BA7C2C" w:rsidRPr="007432C9" w:rsidTr="00613EE2">
        <w:tc>
          <w:tcPr>
            <w:tcW w:w="2375" w:type="dxa"/>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R-phrases:</w:t>
            </w:r>
          </w:p>
        </w:tc>
        <w:tc>
          <w:tcPr>
            <w:tcW w:w="1427"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R48/20/21/22</w:t>
            </w:r>
          </w:p>
        </w:tc>
        <w:tc>
          <w:tcPr>
            <w:tcW w:w="6040" w:type="dxa"/>
            <w:shd w:val="clear" w:color="auto" w:fill="auto"/>
            <w:vAlign w:val="center"/>
          </w:tcPr>
          <w:p w:rsidR="00BA7C2C" w:rsidRPr="007432C9" w:rsidRDefault="00BA7C2C" w:rsidP="00613EE2">
            <w:pPr>
              <w:autoSpaceDE w:val="0"/>
              <w:autoSpaceDN w:val="0"/>
              <w:adjustRightInd w:val="0"/>
              <w:rPr>
                <w:rFonts w:cs="Arial"/>
              </w:rPr>
            </w:pPr>
            <w:r w:rsidRPr="007432C9">
              <w:rPr>
                <w:rFonts w:cs="Arial"/>
              </w:rPr>
              <w:t>Danger of serious damage to health by prolonged oral, dermal and inhalation exposure</w:t>
            </w:r>
          </w:p>
        </w:tc>
      </w:tr>
      <w:tr w:rsidR="00BA7C2C" w:rsidRPr="007432C9" w:rsidTr="00613EE2">
        <w:tc>
          <w:tcPr>
            <w:tcW w:w="2375" w:type="dxa"/>
            <w:vMerge w:val="restart"/>
            <w:shd w:val="clear" w:color="auto" w:fill="auto"/>
            <w:vAlign w:val="center"/>
          </w:tcPr>
          <w:p w:rsidR="00BA7C2C" w:rsidRPr="007432C9" w:rsidRDefault="00BA7C2C" w:rsidP="00613EE2">
            <w:pPr>
              <w:autoSpaceDE w:val="0"/>
              <w:autoSpaceDN w:val="0"/>
              <w:adjustRightInd w:val="0"/>
              <w:rPr>
                <w:rFonts w:cs="Arial"/>
                <w:b/>
                <w:lang w:eastAsia="nl-NL"/>
              </w:rPr>
            </w:pPr>
            <w:r w:rsidRPr="007432C9">
              <w:rPr>
                <w:rFonts w:cs="Arial"/>
                <w:b/>
                <w:lang w:eastAsia="nl-NL"/>
              </w:rPr>
              <w:t>S-phrases:</w:t>
            </w:r>
          </w:p>
        </w:tc>
        <w:tc>
          <w:tcPr>
            <w:tcW w:w="1427" w:type="dxa"/>
            <w:shd w:val="clear" w:color="auto" w:fill="auto"/>
            <w:vAlign w:val="center"/>
          </w:tcPr>
          <w:p w:rsidR="00BA7C2C" w:rsidRPr="007432C9" w:rsidRDefault="00BA7C2C" w:rsidP="00613EE2">
            <w:pPr>
              <w:autoSpaceDE w:val="0"/>
              <w:autoSpaceDN w:val="0"/>
              <w:adjustRightInd w:val="0"/>
              <w:rPr>
                <w:rFonts w:cs="Arial"/>
                <w:lang w:eastAsia="nl-NL"/>
              </w:rPr>
            </w:pPr>
            <w:r w:rsidRPr="007432C9">
              <w:rPr>
                <w:rFonts w:cs="Arial"/>
                <w:lang w:eastAsia="nl-NL"/>
              </w:rPr>
              <w:t>S2</w:t>
            </w:r>
          </w:p>
        </w:tc>
        <w:tc>
          <w:tcPr>
            <w:tcW w:w="6040" w:type="dxa"/>
            <w:shd w:val="clear" w:color="auto" w:fill="auto"/>
          </w:tcPr>
          <w:p w:rsidR="00BA7C2C" w:rsidRPr="007432C9" w:rsidRDefault="00BA7C2C" w:rsidP="00613EE2">
            <w:pPr>
              <w:rPr>
                <w:rFonts w:cs="Arial"/>
              </w:rPr>
            </w:pPr>
            <w:r w:rsidRPr="007432C9">
              <w:rPr>
                <w:rFonts w:cs="Arial"/>
              </w:rPr>
              <w:t>Keep out of the reach of children</w:t>
            </w:r>
          </w:p>
        </w:tc>
      </w:tr>
      <w:tr w:rsidR="00BA7C2C" w:rsidRPr="007432C9" w:rsidTr="00613EE2">
        <w:tc>
          <w:tcPr>
            <w:tcW w:w="2375"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427" w:type="dxa"/>
            <w:shd w:val="clear" w:color="auto" w:fill="auto"/>
            <w:vAlign w:val="center"/>
          </w:tcPr>
          <w:p w:rsidR="00BA7C2C" w:rsidRPr="0088049C" w:rsidRDefault="00BA7C2C" w:rsidP="00613EE2">
            <w:pPr>
              <w:autoSpaceDE w:val="0"/>
              <w:autoSpaceDN w:val="0"/>
              <w:adjustRightInd w:val="0"/>
              <w:rPr>
                <w:rFonts w:cs="Arial"/>
                <w:highlight w:val="yellow"/>
                <w:lang w:eastAsia="nl-NL"/>
              </w:rPr>
            </w:pPr>
            <w:r w:rsidRPr="0088049C">
              <w:rPr>
                <w:rFonts w:cs="Arial"/>
                <w:highlight w:val="yellow"/>
                <w:lang w:eastAsia="nl-NL"/>
              </w:rPr>
              <w:t>S37</w:t>
            </w:r>
          </w:p>
        </w:tc>
        <w:tc>
          <w:tcPr>
            <w:tcW w:w="6040" w:type="dxa"/>
            <w:shd w:val="clear" w:color="auto" w:fill="auto"/>
          </w:tcPr>
          <w:p w:rsidR="00BA7C2C" w:rsidRPr="0088049C" w:rsidRDefault="00BA7C2C" w:rsidP="00613EE2">
            <w:pPr>
              <w:rPr>
                <w:rFonts w:cs="Arial"/>
                <w:highlight w:val="yellow"/>
              </w:rPr>
            </w:pPr>
            <w:r w:rsidRPr="0088049C">
              <w:rPr>
                <w:rFonts w:cs="Arial"/>
                <w:highlight w:val="yellow"/>
              </w:rPr>
              <w:t>Wear protective gloves</w:t>
            </w:r>
          </w:p>
        </w:tc>
      </w:tr>
      <w:tr w:rsidR="00BA7C2C" w:rsidRPr="007432C9" w:rsidTr="00613EE2">
        <w:tc>
          <w:tcPr>
            <w:tcW w:w="2375" w:type="dxa"/>
            <w:vMerge/>
            <w:shd w:val="clear" w:color="auto" w:fill="auto"/>
            <w:vAlign w:val="center"/>
          </w:tcPr>
          <w:p w:rsidR="00BA7C2C" w:rsidRPr="007432C9" w:rsidRDefault="00BA7C2C" w:rsidP="00613EE2">
            <w:pPr>
              <w:autoSpaceDE w:val="0"/>
              <w:autoSpaceDN w:val="0"/>
              <w:adjustRightInd w:val="0"/>
              <w:rPr>
                <w:rFonts w:cs="Arial"/>
                <w:b/>
                <w:lang w:eastAsia="nl-NL"/>
              </w:rPr>
            </w:pPr>
          </w:p>
        </w:tc>
        <w:tc>
          <w:tcPr>
            <w:tcW w:w="1427" w:type="dxa"/>
            <w:shd w:val="clear" w:color="auto" w:fill="auto"/>
          </w:tcPr>
          <w:p w:rsidR="00BA7C2C" w:rsidRPr="007432C9" w:rsidRDefault="00BA7C2C" w:rsidP="00613EE2">
            <w:pPr>
              <w:rPr>
                <w:rFonts w:cs="Arial"/>
              </w:rPr>
            </w:pPr>
            <w:r w:rsidRPr="007432C9">
              <w:rPr>
                <w:rFonts w:cs="Arial"/>
              </w:rPr>
              <w:t>S46</w:t>
            </w:r>
          </w:p>
        </w:tc>
        <w:tc>
          <w:tcPr>
            <w:tcW w:w="6040" w:type="dxa"/>
            <w:shd w:val="clear" w:color="auto" w:fill="auto"/>
          </w:tcPr>
          <w:p w:rsidR="00BA7C2C" w:rsidRPr="007432C9" w:rsidRDefault="00BA7C2C" w:rsidP="00613EE2">
            <w:pPr>
              <w:rPr>
                <w:rFonts w:cs="Arial"/>
              </w:rPr>
            </w:pPr>
            <w:r w:rsidRPr="007432C9">
              <w:rPr>
                <w:rFonts w:cs="Arial"/>
              </w:rPr>
              <w:t>If swallowed, seek medical advice immediately and show this container or label</w:t>
            </w:r>
          </w:p>
        </w:tc>
      </w:tr>
    </w:tbl>
    <w:p w:rsidR="00BA7C2C" w:rsidRPr="007432C9" w:rsidRDefault="00BA7C2C" w:rsidP="00BA7C2C">
      <w:pPr>
        <w:rPr>
          <w:rFonts w:cs="Arial"/>
        </w:rPr>
      </w:pPr>
    </w:p>
    <w:p w:rsidR="00BA7C2C" w:rsidRPr="007432C9" w:rsidRDefault="00BA7C2C" w:rsidP="00BA7C2C">
      <w:pPr>
        <w:rPr>
          <w:rFonts w:cs="Arial"/>
        </w:rPr>
      </w:pPr>
    </w:p>
    <w:p w:rsidR="00BA7C2C" w:rsidRPr="00F80D22" w:rsidRDefault="00BA7C2C" w:rsidP="00BA7C2C">
      <w:pPr>
        <w:rPr>
          <w:rFonts w:cs="Arial"/>
          <w:b/>
          <w:lang w:val="en-US"/>
        </w:rPr>
      </w:pPr>
      <w:r w:rsidRPr="00F80D22">
        <w:rPr>
          <w:rFonts w:cs="Arial"/>
          <w:b/>
          <w:lang w:val="en-US"/>
        </w:rPr>
        <w:t>Non-professional user:</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427"/>
        <w:gridCol w:w="6040"/>
      </w:tblGrid>
      <w:tr w:rsidR="00BA7C2C" w:rsidRPr="00F80D22" w:rsidTr="00613EE2">
        <w:tc>
          <w:tcPr>
            <w:tcW w:w="2375" w:type="dxa"/>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Symbol:</w:t>
            </w:r>
          </w:p>
        </w:tc>
        <w:tc>
          <w:tcPr>
            <w:tcW w:w="7467" w:type="dxa"/>
            <w:gridSpan w:val="2"/>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Xn</w:t>
            </w:r>
          </w:p>
        </w:tc>
      </w:tr>
      <w:tr w:rsidR="00BA7C2C" w:rsidRPr="00F80D22" w:rsidTr="00613EE2">
        <w:tc>
          <w:tcPr>
            <w:tcW w:w="2375" w:type="dxa"/>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Indication of danger:</w:t>
            </w:r>
          </w:p>
        </w:tc>
        <w:tc>
          <w:tcPr>
            <w:tcW w:w="7467" w:type="dxa"/>
            <w:gridSpan w:val="2"/>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Harmful</w:t>
            </w:r>
          </w:p>
        </w:tc>
      </w:tr>
      <w:tr w:rsidR="00BA7C2C" w:rsidRPr="00F80D22" w:rsidTr="00613EE2">
        <w:tc>
          <w:tcPr>
            <w:tcW w:w="2375" w:type="dxa"/>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R-phrases:</w:t>
            </w:r>
          </w:p>
        </w:tc>
        <w:tc>
          <w:tcPr>
            <w:tcW w:w="1427" w:type="dxa"/>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R48/20/21/22</w:t>
            </w:r>
          </w:p>
        </w:tc>
        <w:tc>
          <w:tcPr>
            <w:tcW w:w="6040" w:type="dxa"/>
            <w:shd w:val="clear" w:color="auto" w:fill="auto"/>
            <w:vAlign w:val="center"/>
          </w:tcPr>
          <w:p w:rsidR="00BA7C2C" w:rsidRPr="00F80D22" w:rsidRDefault="00BA7C2C" w:rsidP="00613EE2">
            <w:pPr>
              <w:autoSpaceDE w:val="0"/>
              <w:autoSpaceDN w:val="0"/>
              <w:adjustRightInd w:val="0"/>
              <w:rPr>
                <w:rFonts w:cs="Arial"/>
              </w:rPr>
            </w:pPr>
            <w:r w:rsidRPr="00F80D22">
              <w:rPr>
                <w:rFonts w:cs="Arial"/>
              </w:rPr>
              <w:t>Danger of serious damage to health by prolonged oral, dermal and inhalation exposure</w:t>
            </w:r>
          </w:p>
        </w:tc>
      </w:tr>
      <w:tr w:rsidR="00BA7C2C" w:rsidRPr="00F80D22" w:rsidTr="00613EE2">
        <w:tc>
          <w:tcPr>
            <w:tcW w:w="2375" w:type="dxa"/>
            <w:vMerge w:val="restart"/>
            <w:shd w:val="clear" w:color="auto" w:fill="auto"/>
            <w:vAlign w:val="center"/>
          </w:tcPr>
          <w:p w:rsidR="00BA7C2C" w:rsidRPr="00F80D22" w:rsidRDefault="00BA7C2C" w:rsidP="00613EE2">
            <w:pPr>
              <w:autoSpaceDE w:val="0"/>
              <w:autoSpaceDN w:val="0"/>
              <w:adjustRightInd w:val="0"/>
              <w:rPr>
                <w:rFonts w:cs="Arial"/>
                <w:b/>
                <w:lang w:eastAsia="nl-NL"/>
              </w:rPr>
            </w:pPr>
            <w:r w:rsidRPr="00F80D22">
              <w:rPr>
                <w:rFonts w:cs="Arial"/>
                <w:b/>
                <w:lang w:eastAsia="nl-NL"/>
              </w:rPr>
              <w:t>S-phrases:</w:t>
            </w:r>
          </w:p>
        </w:tc>
        <w:tc>
          <w:tcPr>
            <w:tcW w:w="1427" w:type="dxa"/>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S2</w:t>
            </w:r>
          </w:p>
        </w:tc>
        <w:tc>
          <w:tcPr>
            <w:tcW w:w="6040" w:type="dxa"/>
            <w:shd w:val="clear" w:color="auto" w:fill="auto"/>
          </w:tcPr>
          <w:p w:rsidR="00BA7C2C" w:rsidRPr="00F80D22" w:rsidRDefault="00BA7C2C" w:rsidP="00613EE2">
            <w:pPr>
              <w:rPr>
                <w:rFonts w:cs="Arial"/>
              </w:rPr>
            </w:pPr>
            <w:r w:rsidRPr="00F80D22">
              <w:rPr>
                <w:rFonts w:cs="Arial"/>
              </w:rPr>
              <w:t>Keep out of the reach of children</w:t>
            </w:r>
          </w:p>
        </w:tc>
      </w:tr>
      <w:tr w:rsidR="00BA7C2C" w:rsidRPr="00F80D22" w:rsidTr="00613EE2">
        <w:tc>
          <w:tcPr>
            <w:tcW w:w="2375" w:type="dxa"/>
            <w:vMerge/>
            <w:shd w:val="clear" w:color="auto" w:fill="auto"/>
            <w:vAlign w:val="center"/>
          </w:tcPr>
          <w:p w:rsidR="00BA7C2C" w:rsidRPr="00F80D22" w:rsidRDefault="00BA7C2C" w:rsidP="00613EE2">
            <w:pPr>
              <w:autoSpaceDE w:val="0"/>
              <w:autoSpaceDN w:val="0"/>
              <w:adjustRightInd w:val="0"/>
              <w:rPr>
                <w:rFonts w:cs="Arial"/>
                <w:b/>
                <w:lang w:eastAsia="nl-NL"/>
              </w:rPr>
            </w:pPr>
          </w:p>
        </w:tc>
        <w:tc>
          <w:tcPr>
            <w:tcW w:w="1427" w:type="dxa"/>
            <w:shd w:val="clear" w:color="auto" w:fill="auto"/>
            <w:vAlign w:val="center"/>
          </w:tcPr>
          <w:p w:rsidR="00BA7C2C" w:rsidRPr="00F80D22" w:rsidRDefault="00BA7C2C" w:rsidP="00613EE2">
            <w:pPr>
              <w:autoSpaceDE w:val="0"/>
              <w:autoSpaceDN w:val="0"/>
              <w:adjustRightInd w:val="0"/>
              <w:rPr>
                <w:rFonts w:cs="Arial"/>
                <w:lang w:eastAsia="nl-NL"/>
              </w:rPr>
            </w:pPr>
            <w:r w:rsidRPr="00F80D22">
              <w:rPr>
                <w:rFonts w:cs="Arial"/>
                <w:lang w:eastAsia="nl-NL"/>
              </w:rPr>
              <w:t>S13</w:t>
            </w:r>
          </w:p>
        </w:tc>
        <w:tc>
          <w:tcPr>
            <w:tcW w:w="6040" w:type="dxa"/>
            <w:shd w:val="clear" w:color="auto" w:fill="auto"/>
          </w:tcPr>
          <w:p w:rsidR="00BA7C2C" w:rsidRPr="00F80D22" w:rsidRDefault="00BA7C2C" w:rsidP="00613EE2">
            <w:pPr>
              <w:rPr>
                <w:rFonts w:cs="Arial"/>
              </w:rPr>
            </w:pPr>
            <w:r w:rsidRPr="00F80D22">
              <w:rPr>
                <w:rFonts w:cs="Arial"/>
              </w:rPr>
              <w:t>Keep away from food, drink and animal feedingstuffs</w:t>
            </w:r>
          </w:p>
        </w:tc>
      </w:tr>
      <w:tr w:rsidR="00BA7C2C" w:rsidRPr="00F80D22" w:rsidTr="00613EE2">
        <w:tc>
          <w:tcPr>
            <w:tcW w:w="2375" w:type="dxa"/>
            <w:vMerge/>
            <w:shd w:val="clear" w:color="auto" w:fill="auto"/>
            <w:vAlign w:val="center"/>
          </w:tcPr>
          <w:p w:rsidR="00BA7C2C" w:rsidRPr="00F80D22" w:rsidRDefault="00BA7C2C" w:rsidP="00613EE2">
            <w:pPr>
              <w:autoSpaceDE w:val="0"/>
              <w:autoSpaceDN w:val="0"/>
              <w:adjustRightInd w:val="0"/>
              <w:rPr>
                <w:rFonts w:cs="Arial"/>
                <w:b/>
                <w:lang w:eastAsia="nl-NL"/>
              </w:rPr>
            </w:pPr>
          </w:p>
        </w:tc>
        <w:tc>
          <w:tcPr>
            <w:tcW w:w="1427" w:type="dxa"/>
            <w:shd w:val="clear" w:color="auto" w:fill="auto"/>
          </w:tcPr>
          <w:p w:rsidR="00BA7C2C" w:rsidRPr="00F80D22" w:rsidRDefault="00BA7C2C" w:rsidP="00613EE2">
            <w:pPr>
              <w:rPr>
                <w:rFonts w:cs="Arial"/>
              </w:rPr>
            </w:pPr>
            <w:r w:rsidRPr="00F80D22">
              <w:rPr>
                <w:rFonts w:cs="Arial"/>
              </w:rPr>
              <w:t>S46</w:t>
            </w:r>
          </w:p>
        </w:tc>
        <w:tc>
          <w:tcPr>
            <w:tcW w:w="6040" w:type="dxa"/>
            <w:shd w:val="clear" w:color="auto" w:fill="auto"/>
          </w:tcPr>
          <w:p w:rsidR="00BA7C2C" w:rsidRPr="00F80D22" w:rsidRDefault="00BA7C2C" w:rsidP="00613EE2">
            <w:pPr>
              <w:rPr>
                <w:rFonts w:cs="Arial"/>
              </w:rPr>
            </w:pPr>
            <w:r w:rsidRPr="00F80D22">
              <w:rPr>
                <w:rFonts w:cs="Arial"/>
              </w:rPr>
              <w:t>If swallowed, seek medical advice immediately and show this container or label</w:t>
            </w:r>
          </w:p>
        </w:tc>
      </w:tr>
    </w:tbl>
    <w:p w:rsidR="00BA7C2C" w:rsidRPr="00F80D22" w:rsidRDefault="00BA7C2C" w:rsidP="00BA7C2C">
      <w:pPr>
        <w:rPr>
          <w:rFonts w:cs="Arial"/>
        </w:rPr>
      </w:pPr>
    </w:p>
    <w:p w:rsidR="00BA7C2C" w:rsidRDefault="00BA7C2C" w:rsidP="00BA7C2C">
      <w:pPr>
        <w:rPr>
          <w:rFonts w:cs="Arial"/>
          <w:b/>
        </w:rPr>
      </w:pPr>
    </w:p>
    <w:p w:rsidR="00BA7C2C" w:rsidRDefault="00BA7C2C" w:rsidP="00BA7C2C">
      <w:pPr>
        <w:rPr>
          <w:rFonts w:cs="Arial"/>
          <w:b/>
        </w:rPr>
      </w:pPr>
    </w:p>
    <w:p w:rsidR="00BA7C2C" w:rsidRPr="007223F2" w:rsidRDefault="00BA7C2C" w:rsidP="00BA7C2C">
      <w:pPr>
        <w:rPr>
          <w:rFonts w:cs="Arial"/>
          <w:b/>
        </w:rPr>
      </w:pPr>
      <w:r w:rsidRPr="007223F2">
        <w:rPr>
          <w:rFonts w:cs="Arial"/>
          <w:b/>
        </w:rPr>
        <w:t>3.1 National paragraph</w:t>
      </w:r>
    </w:p>
    <w:p w:rsidR="00BA7C2C" w:rsidRPr="007223F2" w:rsidRDefault="00BA7C2C" w:rsidP="00BA7C2C">
      <w:pPr>
        <w:rPr>
          <w:rFonts w:cs="Arial"/>
        </w:rPr>
      </w:pPr>
      <w:r w:rsidRPr="007223F2">
        <w:rPr>
          <w:rFonts w:cs="Arial"/>
        </w:rPr>
        <w:t xml:space="preserve">In the Netherlands the use of rodenticides against rats is restricted to licensed professional users. The Dutch CA is of the opinion that the general public might use rodenticides against rats in an </w:t>
      </w:r>
      <w:r w:rsidRPr="007223F2">
        <w:rPr>
          <w:rFonts w:cs="Arial"/>
        </w:rPr>
        <w:lastRenderedPageBreak/>
        <w:t>incorrect way, which can cause resistance in rats. Resistance development will increase problems of controlling rats in the future. For this reason, it is the Dutch CA’s national policy to restrict the authorisation of rodenticides for controlling rats to licensed professional users only.</w:t>
      </w:r>
    </w:p>
    <w:p w:rsidR="00BA7C2C" w:rsidRPr="007223F2" w:rsidRDefault="00BA7C2C" w:rsidP="00BA7C2C">
      <w:pPr>
        <w:rPr>
          <w:rFonts w:cs="Arial"/>
        </w:rPr>
      </w:pPr>
    </w:p>
    <w:p w:rsidR="00BA7C2C" w:rsidRPr="009A4262" w:rsidRDefault="00BA7C2C" w:rsidP="00BA7C2C">
      <w:pPr>
        <w:pStyle w:val="Normaalweb"/>
        <w:spacing w:after="0"/>
        <w:rPr>
          <w:rFonts w:ascii="Times New Roman" w:hAnsi="Times New Roman" w:cs="Times New Roman"/>
          <w:b/>
        </w:rPr>
      </w:pPr>
      <w:r w:rsidRPr="00A0425E">
        <w:br w:type="page"/>
      </w:r>
      <w:r w:rsidRPr="0088049C">
        <w:rPr>
          <w:rFonts w:ascii="Times New Roman" w:hAnsi="Times New Roman" w:cs="Times New Roman"/>
          <w:b/>
          <w:color w:val="000000"/>
          <w:highlight w:val="magenta"/>
        </w:rPr>
        <w:lastRenderedPageBreak/>
        <w:t>ANNEXES CONTAIN CONFIDENTIAL DATA: This information should not be disclosed to third parties</w:t>
      </w:r>
    </w:p>
    <w:p w:rsidR="00BA7C2C" w:rsidRPr="00A0425E" w:rsidRDefault="00BA7C2C" w:rsidP="00BA7C2C">
      <w:pPr>
        <w:spacing w:after="200" w:line="276" w:lineRule="auto"/>
      </w:pPr>
    </w:p>
    <w:p w:rsidR="00BA7C2C" w:rsidRPr="005D7064" w:rsidRDefault="00BA7C2C" w:rsidP="00BA7C2C">
      <w:pPr>
        <w:pStyle w:val="Kop1"/>
        <w:widowControl w:val="0"/>
        <w:numPr>
          <w:ilvl w:val="0"/>
          <w:numId w:val="12"/>
        </w:numPr>
        <w:tabs>
          <w:tab w:val="left" w:pos="1304"/>
        </w:tabs>
        <w:suppressAutoHyphens/>
        <w:autoSpaceDE w:val="0"/>
        <w:autoSpaceDN w:val="0"/>
        <w:adjustRightInd w:val="0"/>
        <w:spacing w:after="240" w:line="400" w:lineRule="atLeast"/>
      </w:pPr>
      <w:bookmarkStart w:id="849" w:name="_Toc362858104"/>
      <w:r w:rsidRPr="005D7064">
        <w:t>Annex</w:t>
      </w:r>
      <w:r>
        <w:t>es</w:t>
      </w:r>
      <w:r w:rsidRPr="005D7064">
        <w:t>:</w:t>
      </w:r>
      <w:bookmarkEnd w:id="849"/>
      <w:r w:rsidRPr="005D7064">
        <w:t xml:space="preserve"> </w:t>
      </w:r>
    </w:p>
    <w:p w:rsidR="00BA7C2C" w:rsidRPr="00A0425E" w:rsidRDefault="00BA7C2C" w:rsidP="00BA7C2C">
      <w:pPr>
        <w:numPr>
          <w:ilvl w:val="0"/>
          <w:numId w:val="13"/>
        </w:numPr>
        <w:spacing w:before="120" w:after="120" w:line="260" w:lineRule="atLeast"/>
        <w:rPr>
          <w:b/>
          <w:sz w:val="24"/>
        </w:rPr>
      </w:pPr>
      <w:r w:rsidRPr="00A0425E">
        <w:rPr>
          <w:b/>
          <w:sz w:val="24"/>
        </w:rPr>
        <w:t>Summary of product characteristics</w:t>
      </w:r>
    </w:p>
    <w:p w:rsidR="00BA7C2C" w:rsidRPr="00A0425E" w:rsidRDefault="00BA7C2C" w:rsidP="00BA7C2C">
      <w:pPr>
        <w:numPr>
          <w:ilvl w:val="0"/>
          <w:numId w:val="13"/>
        </w:numPr>
        <w:spacing w:before="120" w:after="120" w:line="260" w:lineRule="atLeast"/>
        <w:rPr>
          <w:b/>
          <w:sz w:val="24"/>
        </w:rPr>
      </w:pPr>
      <w:r w:rsidRPr="00A0425E">
        <w:rPr>
          <w:b/>
          <w:sz w:val="24"/>
        </w:rPr>
        <w:t>List of studies reviewed</w:t>
      </w:r>
    </w:p>
    <w:p w:rsidR="00BA7C2C" w:rsidRPr="00A0425E" w:rsidRDefault="00BA7C2C" w:rsidP="00BA7C2C">
      <w:pPr>
        <w:numPr>
          <w:ilvl w:val="0"/>
          <w:numId w:val="13"/>
        </w:numPr>
        <w:spacing w:before="120" w:after="120" w:line="260" w:lineRule="atLeast"/>
        <w:rPr>
          <w:b/>
          <w:sz w:val="24"/>
        </w:rPr>
      </w:pPr>
      <w:r w:rsidRPr="00A0425E">
        <w:rPr>
          <w:b/>
          <w:sz w:val="24"/>
        </w:rPr>
        <w:t>Analytical methods residues – active substance</w:t>
      </w:r>
    </w:p>
    <w:p w:rsidR="00BA7C2C" w:rsidRPr="00A0425E" w:rsidRDefault="00BA7C2C" w:rsidP="00BA7C2C">
      <w:pPr>
        <w:numPr>
          <w:ilvl w:val="0"/>
          <w:numId w:val="13"/>
        </w:numPr>
        <w:spacing w:before="120" w:after="120" w:line="260" w:lineRule="atLeast"/>
        <w:rPr>
          <w:b/>
          <w:sz w:val="24"/>
        </w:rPr>
      </w:pPr>
      <w:r w:rsidRPr="00A0425E">
        <w:rPr>
          <w:b/>
          <w:sz w:val="24"/>
        </w:rPr>
        <w:t>Toxicology and metabolism –active substance</w:t>
      </w:r>
    </w:p>
    <w:p w:rsidR="00BA7C2C" w:rsidRPr="00A0425E" w:rsidRDefault="00BA7C2C" w:rsidP="00BA7C2C">
      <w:pPr>
        <w:numPr>
          <w:ilvl w:val="0"/>
          <w:numId w:val="13"/>
        </w:numPr>
        <w:spacing w:before="120" w:after="120" w:line="260" w:lineRule="atLeast"/>
        <w:rPr>
          <w:b/>
          <w:sz w:val="24"/>
        </w:rPr>
      </w:pPr>
      <w:r w:rsidRPr="00A0425E">
        <w:rPr>
          <w:b/>
          <w:sz w:val="24"/>
        </w:rPr>
        <w:t>Toxicology – biocidal product</w:t>
      </w:r>
    </w:p>
    <w:p w:rsidR="00BA7C2C" w:rsidRPr="00A0425E" w:rsidRDefault="00BA7C2C" w:rsidP="00BA7C2C">
      <w:pPr>
        <w:numPr>
          <w:ilvl w:val="0"/>
          <w:numId w:val="13"/>
        </w:numPr>
        <w:spacing w:before="120" w:after="120" w:line="260" w:lineRule="atLeast"/>
        <w:rPr>
          <w:b/>
          <w:sz w:val="24"/>
        </w:rPr>
      </w:pPr>
      <w:r w:rsidRPr="00A0425E">
        <w:rPr>
          <w:b/>
          <w:sz w:val="24"/>
        </w:rPr>
        <w:t>Safety for professional operators</w:t>
      </w:r>
    </w:p>
    <w:p w:rsidR="00BA7C2C" w:rsidRPr="00A0425E" w:rsidRDefault="00BA7C2C" w:rsidP="00BA7C2C">
      <w:pPr>
        <w:numPr>
          <w:ilvl w:val="0"/>
          <w:numId w:val="13"/>
        </w:numPr>
        <w:spacing w:before="120" w:after="120" w:line="260" w:lineRule="atLeast"/>
        <w:rPr>
          <w:b/>
          <w:sz w:val="24"/>
        </w:rPr>
      </w:pPr>
      <w:r w:rsidRPr="00A0425E">
        <w:rPr>
          <w:b/>
          <w:sz w:val="24"/>
        </w:rPr>
        <w:t>Safety for non-professional operators and the general public</w:t>
      </w:r>
    </w:p>
    <w:p w:rsidR="00BA7C2C" w:rsidRDefault="00BA7C2C" w:rsidP="00BA7C2C">
      <w:pPr>
        <w:numPr>
          <w:ilvl w:val="0"/>
          <w:numId w:val="13"/>
        </w:numPr>
        <w:spacing w:before="120" w:after="120" w:line="260" w:lineRule="atLeast"/>
        <w:rPr>
          <w:b/>
          <w:sz w:val="24"/>
        </w:rPr>
        <w:sectPr w:rsidR="00BA7C2C" w:rsidSect="00DE2F92">
          <w:pgSz w:w="11906" w:h="16838"/>
          <w:pgMar w:top="1021" w:right="1701" w:bottom="1021" w:left="1304" w:header="601" w:footer="482" w:gutter="0"/>
          <w:cols w:space="720"/>
          <w:docGrid w:linePitch="326"/>
        </w:sectPr>
      </w:pPr>
      <w:r w:rsidRPr="00A0425E">
        <w:rPr>
          <w:b/>
          <w:sz w:val="24"/>
        </w:rPr>
        <w:t>Residue behaviour</w:t>
      </w:r>
    </w:p>
    <w:p w:rsidR="00BA7C2C" w:rsidRPr="005D7064" w:rsidRDefault="00BA7C2C" w:rsidP="00BA7C2C">
      <w:pPr>
        <w:pStyle w:val="Kop2"/>
        <w:numPr>
          <w:ilvl w:val="0"/>
          <w:numId w:val="0"/>
        </w:numPr>
        <w:spacing w:after="240"/>
        <w:jc w:val="center"/>
      </w:pPr>
      <w:bookmarkStart w:id="850" w:name="_Toc362858105"/>
      <w:r w:rsidRPr="005D7064">
        <w:lastRenderedPageBreak/>
        <w:t>Annex 1: Summary of product characteristics</w:t>
      </w:r>
      <w:bookmarkEnd w:id="850"/>
    </w:p>
    <w:p w:rsidR="00BA7C2C" w:rsidRPr="00DE2F92" w:rsidRDefault="00BA7C2C" w:rsidP="00BA7C2C">
      <w:pPr>
        <w:rPr>
          <w:b/>
        </w:rPr>
      </w:pPr>
      <w:r w:rsidRPr="00DE2F92">
        <w:rPr>
          <w:b/>
        </w:rPr>
        <w:t xml:space="preserve">(a) Product trade name: </w:t>
      </w:r>
      <w:r>
        <w:rPr>
          <w:color w:val="000000"/>
        </w:rPr>
        <w:t xml:space="preserve">Maki Pat’ </w:t>
      </w:r>
    </w:p>
    <w:p w:rsidR="00BA7C2C" w:rsidRPr="00DE2F92" w:rsidRDefault="00BA7C2C" w:rsidP="00BA7C2C">
      <w:pPr>
        <w:pStyle w:val="Plattetekstinspringen2"/>
        <w:spacing w:line="240" w:lineRule="auto"/>
        <w:ind w:left="0"/>
        <w:rPr>
          <w:b/>
          <w:i/>
          <w:color w:val="000000"/>
        </w:rPr>
      </w:pPr>
    </w:p>
    <w:tbl>
      <w:tblPr>
        <w:tblW w:w="15095" w:type="dxa"/>
        <w:tblInd w:w="108" w:type="dxa"/>
        <w:tblLook w:val="0000" w:firstRow="0" w:lastRow="0" w:firstColumn="0" w:lastColumn="0" w:noHBand="0" w:noVBand="0"/>
      </w:tblPr>
      <w:tblGrid>
        <w:gridCol w:w="15095"/>
      </w:tblGrid>
      <w:tr w:rsidR="00BA7C2C" w:rsidRPr="00DE2F92" w:rsidTr="00613EE2">
        <w:trPr>
          <w:trHeight w:val="330"/>
        </w:trPr>
        <w:tc>
          <w:tcPr>
            <w:tcW w:w="15095" w:type="dxa"/>
            <w:tcBorders>
              <w:top w:val="single" w:sz="4" w:space="0" w:color="auto"/>
              <w:left w:val="nil"/>
              <w:bottom w:val="single" w:sz="4" w:space="0" w:color="auto"/>
              <w:right w:val="nil"/>
            </w:tcBorders>
            <w:noWrap/>
            <w:vAlign w:val="bottom"/>
          </w:tcPr>
          <w:p w:rsidR="00BA7C2C" w:rsidRPr="00DE2F92" w:rsidRDefault="00BA7C2C" w:rsidP="00613EE2">
            <w:pPr>
              <w:ind w:hanging="108"/>
              <w:rPr>
                <w:b/>
                <w:bCs/>
                <w:i/>
                <w:iCs/>
              </w:rPr>
            </w:pPr>
            <w:bookmarkStart w:id="851" w:name="OLE_LINK9"/>
            <w:bookmarkStart w:id="852" w:name="OLE_LINK10"/>
            <w:r w:rsidRPr="00DE2F92">
              <w:rPr>
                <w:b/>
              </w:rPr>
              <w:t>(b) (i) Qualitative and quantitative information on the composition of the biocidal product</w:t>
            </w:r>
            <w:bookmarkEnd w:id="851"/>
            <w:bookmarkEnd w:id="852"/>
          </w:p>
        </w:tc>
      </w:tr>
    </w:tbl>
    <w:p w:rsidR="00BA7C2C" w:rsidRPr="00DE2F92" w:rsidRDefault="00BA7C2C" w:rsidP="00BA7C2C">
      <w:pPr>
        <w:rPr>
          <w:b/>
          <w:i/>
          <w:color w:val="000000"/>
        </w:rPr>
      </w:pPr>
    </w:p>
    <w:tbl>
      <w:tblPr>
        <w:tblpPr w:leftFromText="141" w:rightFromText="141" w:vertAnchor="text" w:tblpY="1"/>
        <w:tblOverlap w:val="never"/>
        <w:tblW w:w="14160" w:type="dxa"/>
        <w:tblInd w:w="108" w:type="dxa"/>
        <w:tblLayout w:type="fixed"/>
        <w:tblLook w:val="0000" w:firstRow="0" w:lastRow="0" w:firstColumn="0" w:lastColumn="0" w:noHBand="0" w:noVBand="0"/>
      </w:tblPr>
      <w:tblGrid>
        <w:gridCol w:w="2090"/>
        <w:gridCol w:w="670"/>
        <w:gridCol w:w="1320"/>
        <w:gridCol w:w="1920"/>
        <w:gridCol w:w="1200"/>
        <w:gridCol w:w="360"/>
        <w:gridCol w:w="720"/>
        <w:gridCol w:w="1260"/>
        <w:gridCol w:w="360"/>
        <w:gridCol w:w="900"/>
        <w:gridCol w:w="120"/>
        <w:gridCol w:w="840"/>
        <w:gridCol w:w="1080"/>
        <w:gridCol w:w="120"/>
        <w:gridCol w:w="1200"/>
      </w:tblGrid>
      <w:tr w:rsidR="00BA7C2C" w:rsidRPr="00DE2F92" w:rsidTr="00613EE2">
        <w:trPr>
          <w:trHeight w:val="285"/>
        </w:trPr>
        <w:tc>
          <w:tcPr>
            <w:tcW w:w="8280" w:type="dxa"/>
            <w:gridSpan w:val="7"/>
            <w:tcBorders>
              <w:top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sz w:val="16"/>
                <w:szCs w:val="16"/>
              </w:rPr>
              <w:t>Active substance(s)</w:t>
            </w:r>
          </w:p>
        </w:tc>
        <w:tc>
          <w:tcPr>
            <w:tcW w:w="3480" w:type="dxa"/>
            <w:gridSpan w:val="5"/>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jc w:val="center"/>
              <w:rPr>
                <w:b/>
                <w:bCs/>
                <w:sz w:val="16"/>
                <w:szCs w:val="16"/>
              </w:rPr>
            </w:pPr>
            <w:r w:rsidRPr="00DE2F92">
              <w:rPr>
                <w:b/>
                <w:bCs/>
                <w:sz w:val="16"/>
                <w:szCs w:val="16"/>
              </w:rPr>
              <w:t>Contents</w:t>
            </w:r>
          </w:p>
        </w:tc>
        <w:tc>
          <w:tcPr>
            <w:tcW w:w="2400" w:type="dxa"/>
            <w:gridSpan w:val="3"/>
            <w:tcBorders>
              <w:top w:val="single" w:sz="4" w:space="0" w:color="auto"/>
              <w:left w:val="single" w:sz="4" w:space="0" w:color="auto"/>
              <w:bottom w:val="single" w:sz="4" w:space="0" w:color="auto"/>
            </w:tcBorders>
            <w:shd w:val="clear" w:color="auto" w:fill="FFFF99"/>
            <w:vAlign w:val="center"/>
          </w:tcPr>
          <w:p w:rsidR="00BA7C2C" w:rsidRPr="00DE2F92" w:rsidRDefault="00BA7C2C" w:rsidP="00613EE2">
            <w:pPr>
              <w:rPr>
                <w:b/>
                <w:bCs/>
                <w:sz w:val="16"/>
                <w:szCs w:val="16"/>
              </w:rPr>
            </w:pPr>
          </w:p>
        </w:tc>
      </w:tr>
      <w:tr w:rsidR="00BA7C2C" w:rsidRPr="00DE2F92" w:rsidTr="00613EE2">
        <w:trPr>
          <w:trHeight w:val="285"/>
        </w:trPr>
        <w:tc>
          <w:tcPr>
            <w:tcW w:w="2090" w:type="dxa"/>
            <w:tcBorders>
              <w:top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Common name</w:t>
            </w:r>
          </w:p>
        </w:tc>
        <w:tc>
          <w:tcPr>
            <w:tcW w:w="3910" w:type="dxa"/>
            <w:gridSpan w:val="3"/>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IUPAC name</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CAS number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EC number</w:t>
            </w:r>
          </w:p>
        </w:tc>
        <w:tc>
          <w:tcPr>
            <w:tcW w:w="1260" w:type="dxa"/>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Concentration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Unit</w:t>
            </w:r>
            <w:bookmarkStart w:id="853" w:name="_Ref246220982"/>
            <w:r w:rsidRPr="00DE2F92">
              <w:rPr>
                <w:rStyle w:val="Voetnootmarkering"/>
                <w:b/>
                <w:bCs/>
              </w:rPr>
              <w:footnoteReference w:id="21"/>
            </w:r>
            <w:bookmarkEnd w:id="853"/>
          </w:p>
        </w:tc>
        <w:tc>
          <w:tcPr>
            <w:tcW w:w="960" w:type="dxa"/>
            <w:gridSpan w:val="2"/>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w/w (%)</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BA7C2C" w:rsidRPr="00DE2F92" w:rsidRDefault="00BA7C2C" w:rsidP="00613EE2">
            <w:pPr>
              <w:rPr>
                <w:b/>
                <w:bCs/>
                <w:sz w:val="16"/>
                <w:szCs w:val="16"/>
              </w:rPr>
            </w:pPr>
            <w:r w:rsidRPr="00DE2F92">
              <w:rPr>
                <w:b/>
                <w:bCs/>
                <w:sz w:val="16"/>
                <w:szCs w:val="16"/>
              </w:rPr>
              <w:t>Minimum purity</w:t>
            </w:r>
          </w:p>
          <w:p w:rsidR="00BA7C2C" w:rsidRPr="00DE2F92" w:rsidRDefault="00BA7C2C" w:rsidP="00613EE2">
            <w:pPr>
              <w:rPr>
                <w:b/>
                <w:bCs/>
                <w:sz w:val="16"/>
                <w:szCs w:val="16"/>
              </w:rPr>
            </w:pPr>
            <w:r w:rsidRPr="00DE2F92">
              <w:rPr>
                <w:b/>
                <w:bCs/>
                <w:sz w:val="16"/>
                <w:szCs w:val="16"/>
              </w:rPr>
              <w:t>(% w/w)</w:t>
            </w:r>
          </w:p>
        </w:tc>
        <w:tc>
          <w:tcPr>
            <w:tcW w:w="1320" w:type="dxa"/>
            <w:gridSpan w:val="2"/>
            <w:tcBorders>
              <w:top w:val="single" w:sz="4" w:space="0" w:color="auto"/>
              <w:left w:val="single" w:sz="4" w:space="0" w:color="auto"/>
              <w:bottom w:val="single" w:sz="4" w:space="0" w:color="auto"/>
            </w:tcBorders>
            <w:shd w:val="clear" w:color="auto" w:fill="FFFF99"/>
            <w:vAlign w:val="center"/>
          </w:tcPr>
          <w:p w:rsidR="00BA7C2C" w:rsidRPr="00DE2F92" w:rsidRDefault="00BA7C2C" w:rsidP="00613EE2">
            <w:pPr>
              <w:rPr>
                <w:b/>
                <w:bCs/>
                <w:sz w:val="16"/>
                <w:szCs w:val="16"/>
              </w:rPr>
            </w:pPr>
            <w:r w:rsidRPr="00DE2F92">
              <w:rPr>
                <w:b/>
                <w:bCs/>
                <w:sz w:val="16"/>
                <w:szCs w:val="16"/>
              </w:rPr>
              <w:t>Same source as for Annex I inclusion</w:t>
            </w:r>
          </w:p>
        </w:tc>
      </w:tr>
      <w:tr w:rsidR="00BA7C2C" w:rsidRPr="00DE2F92" w:rsidTr="00613EE2">
        <w:trPr>
          <w:trHeight w:val="209"/>
        </w:trPr>
        <w:tc>
          <w:tcPr>
            <w:tcW w:w="2090" w:type="dxa"/>
            <w:tcBorders>
              <w:top w:val="single" w:sz="4" w:space="0" w:color="auto"/>
              <w:left w:val="nil"/>
              <w:bottom w:val="single" w:sz="4" w:space="0" w:color="auto"/>
            </w:tcBorders>
          </w:tcPr>
          <w:p w:rsidR="00BA7C2C" w:rsidRPr="00DE2F92" w:rsidRDefault="00BA7C2C" w:rsidP="00613EE2">
            <w:pPr>
              <w:rPr>
                <w:b/>
                <w:bCs/>
                <w:sz w:val="16"/>
                <w:szCs w:val="16"/>
              </w:rPr>
            </w:pPr>
          </w:p>
        </w:tc>
        <w:tc>
          <w:tcPr>
            <w:tcW w:w="3910" w:type="dxa"/>
            <w:gridSpan w:val="3"/>
            <w:tcBorders>
              <w:top w:val="single" w:sz="4" w:space="0" w:color="auto"/>
              <w:bottom w:val="single" w:sz="4" w:space="0" w:color="auto"/>
            </w:tcBorders>
          </w:tcPr>
          <w:p w:rsidR="00BA7C2C" w:rsidRPr="00DE2F92" w:rsidRDefault="00BA7C2C" w:rsidP="00613EE2">
            <w:pPr>
              <w:rPr>
                <w:b/>
                <w:bCs/>
                <w:sz w:val="16"/>
                <w:szCs w:val="16"/>
              </w:rPr>
            </w:pPr>
          </w:p>
        </w:tc>
        <w:tc>
          <w:tcPr>
            <w:tcW w:w="1200" w:type="dxa"/>
            <w:tcBorders>
              <w:top w:val="single" w:sz="4" w:space="0" w:color="auto"/>
              <w:bottom w:val="single" w:sz="4" w:space="0" w:color="auto"/>
            </w:tcBorders>
            <w:vAlign w:val="center"/>
          </w:tcPr>
          <w:p w:rsidR="00BA7C2C" w:rsidRPr="00DE2F92" w:rsidRDefault="00BA7C2C" w:rsidP="00613EE2">
            <w:pPr>
              <w:rPr>
                <w:b/>
                <w:bCs/>
                <w:sz w:val="16"/>
                <w:szCs w:val="16"/>
              </w:rPr>
            </w:pPr>
          </w:p>
        </w:tc>
        <w:tc>
          <w:tcPr>
            <w:tcW w:w="108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1260" w:type="dxa"/>
            <w:tcBorders>
              <w:top w:val="single" w:sz="4" w:space="0" w:color="auto"/>
              <w:bottom w:val="single" w:sz="4" w:space="0" w:color="auto"/>
            </w:tcBorders>
          </w:tcPr>
          <w:p w:rsidR="00BA7C2C" w:rsidRPr="00DE2F92" w:rsidRDefault="00BA7C2C" w:rsidP="00613EE2">
            <w:pPr>
              <w:rPr>
                <w:b/>
                <w:bCs/>
                <w:sz w:val="16"/>
                <w:szCs w:val="16"/>
              </w:rPr>
            </w:pPr>
          </w:p>
        </w:tc>
        <w:tc>
          <w:tcPr>
            <w:tcW w:w="126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96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1080" w:type="dxa"/>
            <w:tcBorders>
              <w:top w:val="single" w:sz="4" w:space="0" w:color="auto"/>
              <w:bottom w:val="single" w:sz="4" w:space="0" w:color="auto"/>
            </w:tcBorders>
            <w:vAlign w:val="center"/>
          </w:tcPr>
          <w:p w:rsidR="00BA7C2C" w:rsidRPr="00DE2F92" w:rsidRDefault="00BA7C2C" w:rsidP="00613EE2">
            <w:pPr>
              <w:rPr>
                <w:b/>
                <w:bCs/>
                <w:sz w:val="16"/>
                <w:szCs w:val="16"/>
              </w:rPr>
            </w:pPr>
          </w:p>
        </w:tc>
        <w:tc>
          <w:tcPr>
            <w:tcW w:w="1320" w:type="dxa"/>
            <w:gridSpan w:val="2"/>
            <w:tcBorders>
              <w:top w:val="single" w:sz="4" w:space="0" w:color="auto"/>
              <w:bottom w:val="single" w:sz="4" w:space="0" w:color="auto"/>
              <w:right w:val="nil"/>
            </w:tcBorders>
            <w:vAlign w:val="center"/>
          </w:tcPr>
          <w:p w:rsidR="00BA7C2C" w:rsidRPr="00DE2F92" w:rsidRDefault="00BA7C2C" w:rsidP="00613EE2">
            <w:pPr>
              <w:rPr>
                <w:b/>
                <w:bCs/>
                <w:sz w:val="16"/>
                <w:szCs w:val="16"/>
              </w:rPr>
            </w:pPr>
          </w:p>
        </w:tc>
      </w:tr>
      <w:tr w:rsidR="00BA7C2C" w:rsidRPr="00DE2F92" w:rsidTr="00613EE2">
        <w:trPr>
          <w:trHeight w:val="285"/>
        </w:trPr>
        <w:tc>
          <w:tcPr>
            <w:tcW w:w="2090" w:type="dxa"/>
            <w:tcBorders>
              <w:top w:val="single" w:sz="4" w:space="0" w:color="auto"/>
              <w:bottom w:val="single" w:sz="4" w:space="0" w:color="auto"/>
              <w:right w:val="single" w:sz="4" w:space="0" w:color="auto"/>
            </w:tcBorders>
            <w:shd w:val="clear" w:color="auto" w:fill="FFFF99"/>
          </w:tcPr>
          <w:p w:rsidR="00BA7C2C" w:rsidRPr="00EC4D45" w:rsidRDefault="00BA7C2C" w:rsidP="00613EE2">
            <w:pPr>
              <w:rPr>
                <w:b/>
                <w:bCs/>
              </w:rPr>
            </w:pPr>
            <w:r w:rsidRPr="00EC4D45">
              <w:t>bromadiolone</w:t>
            </w:r>
          </w:p>
        </w:tc>
        <w:tc>
          <w:tcPr>
            <w:tcW w:w="3910" w:type="dxa"/>
            <w:gridSpan w:val="3"/>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pPr>
              <w:autoSpaceDE w:val="0"/>
              <w:autoSpaceDN w:val="0"/>
              <w:adjustRightInd w:val="0"/>
              <w:spacing w:line="240" w:lineRule="auto"/>
              <w:rPr>
                <w:lang w:eastAsia="nl-NL"/>
              </w:rPr>
            </w:pPr>
            <w:r w:rsidRPr="00EC4D45">
              <w:rPr>
                <w:lang w:eastAsia="nl-NL"/>
              </w:rPr>
              <w:t>3-[3-(4'-Bromo[1,1'-biphenyl]-4-yl)-3-hydroxy-1-phenylpropyl]-4-hydroxy-</w:t>
            </w:r>
          </w:p>
          <w:p w:rsidR="00BA7C2C" w:rsidRPr="00EC4D45" w:rsidRDefault="00BA7C2C" w:rsidP="00613EE2">
            <w:pPr>
              <w:rPr>
                <w:b/>
                <w:bCs/>
              </w:rPr>
            </w:pPr>
            <w:r w:rsidRPr="00EC4D45">
              <w:rPr>
                <w:lang w:val="nl-NL" w:eastAsia="nl-NL"/>
              </w:rPr>
              <w:t>2H-1-benzopyran-2-one</w:t>
            </w:r>
          </w:p>
        </w:tc>
        <w:tc>
          <w:tcPr>
            <w:tcW w:w="1200" w:type="dxa"/>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r w:rsidRPr="00EC4D45">
              <w:rPr>
                <w:bCs/>
              </w:rPr>
              <w:t>28772-56-7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pPr>
              <w:rPr>
                <w:b/>
                <w:bCs/>
              </w:rPr>
            </w:pPr>
            <w:r w:rsidRPr="00EC4D45">
              <w:rPr>
                <w:lang w:val="nl-NL" w:eastAsia="nl-NL"/>
              </w:rPr>
              <w:t>249-205-9</w:t>
            </w:r>
          </w:p>
        </w:tc>
        <w:tc>
          <w:tcPr>
            <w:tcW w:w="1260" w:type="dxa"/>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r>
              <w:t>0.0</w:t>
            </w:r>
            <w:r w:rsidRPr="00EC4D45">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pPr>
              <w:rPr>
                <w:bCs/>
              </w:rPr>
            </w:pPr>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pPr>
              <w:rPr>
                <w:b/>
                <w:bCs/>
              </w:rPr>
            </w:pPr>
            <w:r w:rsidRPr="00EC4D45">
              <w:t>0.005</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BA7C2C" w:rsidRPr="00EC4D45" w:rsidRDefault="00BA7C2C" w:rsidP="00613EE2">
            <w:pPr>
              <w:rPr>
                <w:b/>
                <w:bCs/>
              </w:rPr>
            </w:pPr>
            <w:r>
              <w:sym w:font="Symbol" w:char="F0B3"/>
            </w:r>
            <w:r w:rsidRPr="00EC4D45">
              <w:t>96.9</w:t>
            </w:r>
          </w:p>
        </w:tc>
        <w:tc>
          <w:tcPr>
            <w:tcW w:w="1320" w:type="dxa"/>
            <w:gridSpan w:val="2"/>
            <w:tcBorders>
              <w:top w:val="single" w:sz="4" w:space="0" w:color="auto"/>
              <w:left w:val="single" w:sz="4" w:space="0" w:color="auto"/>
              <w:bottom w:val="single" w:sz="4" w:space="0" w:color="auto"/>
            </w:tcBorders>
            <w:shd w:val="clear" w:color="auto" w:fill="FFFF99"/>
          </w:tcPr>
          <w:p w:rsidR="00BA7C2C" w:rsidRPr="00EC4D45" w:rsidRDefault="00BA7C2C" w:rsidP="00613EE2">
            <w:pPr>
              <w:rPr>
                <w:bCs/>
              </w:rPr>
            </w:pPr>
            <w:r w:rsidRPr="00EC4D45">
              <w:rPr>
                <w:color w:val="000000"/>
              </w:rPr>
              <w:t xml:space="preserve">yes </w:t>
            </w:r>
          </w:p>
        </w:tc>
      </w:tr>
      <w:tr w:rsidR="00BA7C2C" w:rsidRPr="00DE2F92" w:rsidTr="00613EE2">
        <w:trPr>
          <w:trHeight w:val="285"/>
        </w:trPr>
        <w:tc>
          <w:tcPr>
            <w:tcW w:w="2090" w:type="dxa"/>
            <w:tcBorders>
              <w:top w:val="single" w:sz="4" w:space="0" w:color="auto"/>
              <w:left w:val="nil"/>
              <w:bottom w:val="single" w:sz="4" w:space="0" w:color="auto"/>
            </w:tcBorders>
          </w:tcPr>
          <w:p w:rsidR="00BA7C2C" w:rsidRPr="00DE2F92" w:rsidRDefault="00BA7C2C" w:rsidP="00613EE2">
            <w:pPr>
              <w:jc w:val="center"/>
              <w:rPr>
                <w:b/>
                <w:bCs/>
                <w:sz w:val="16"/>
                <w:szCs w:val="16"/>
              </w:rPr>
            </w:pPr>
          </w:p>
        </w:tc>
        <w:tc>
          <w:tcPr>
            <w:tcW w:w="199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1920" w:type="dxa"/>
            <w:tcBorders>
              <w:top w:val="single" w:sz="4" w:space="0" w:color="auto"/>
              <w:bottom w:val="single" w:sz="4" w:space="0" w:color="auto"/>
            </w:tcBorders>
          </w:tcPr>
          <w:p w:rsidR="00BA7C2C" w:rsidRPr="00DE2F92" w:rsidRDefault="00BA7C2C" w:rsidP="00613EE2">
            <w:pPr>
              <w:rPr>
                <w:b/>
                <w:bCs/>
                <w:sz w:val="16"/>
                <w:szCs w:val="16"/>
              </w:rPr>
            </w:pPr>
          </w:p>
        </w:tc>
        <w:tc>
          <w:tcPr>
            <w:tcW w:w="1200" w:type="dxa"/>
            <w:tcBorders>
              <w:top w:val="single" w:sz="4" w:space="0" w:color="auto"/>
              <w:bottom w:val="single" w:sz="4" w:space="0" w:color="auto"/>
            </w:tcBorders>
            <w:vAlign w:val="center"/>
          </w:tcPr>
          <w:p w:rsidR="00BA7C2C" w:rsidRPr="00DE2F92" w:rsidRDefault="00BA7C2C" w:rsidP="00613EE2">
            <w:pPr>
              <w:rPr>
                <w:b/>
                <w:bCs/>
                <w:sz w:val="16"/>
                <w:szCs w:val="16"/>
              </w:rPr>
            </w:pPr>
          </w:p>
        </w:tc>
        <w:tc>
          <w:tcPr>
            <w:tcW w:w="108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162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102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840" w:type="dxa"/>
            <w:tcBorders>
              <w:top w:val="single" w:sz="4" w:space="0" w:color="auto"/>
              <w:bottom w:val="single" w:sz="4" w:space="0" w:color="auto"/>
            </w:tcBorders>
          </w:tcPr>
          <w:p w:rsidR="00BA7C2C" w:rsidRPr="00DE2F92" w:rsidRDefault="00BA7C2C" w:rsidP="00613EE2">
            <w:pPr>
              <w:rPr>
                <w:b/>
                <w:bCs/>
                <w:sz w:val="16"/>
                <w:szCs w:val="16"/>
              </w:rPr>
            </w:pPr>
          </w:p>
        </w:tc>
        <w:tc>
          <w:tcPr>
            <w:tcW w:w="2400" w:type="dxa"/>
            <w:gridSpan w:val="3"/>
            <w:tcBorders>
              <w:top w:val="single" w:sz="4" w:space="0" w:color="auto"/>
              <w:bottom w:val="single" w:sz="4" w:space="0" w:color="auto"/>
              <w:right w:val="nil"/>
            </w:tcBorders>
            <w:vAlign w:val="center"/>
          </w:tcPr>
          <w:p w:rsidR="00BA7C2C" w:rsidRPr="00DE2F92" w:rsidRDefault="00BA7C2C" w:rsidP="00613EE2">
            <w:pPr>
              <w:rPr>
                <w:b/>
                <w:bCs/>
                <w:sz w:val="16"/>
                <w:szCs w:val="16"/>
              </w:rPr>
            </w:pPr>
          </w:p>
        </w:tc>
      </w:tr>
      <w:tr w:rsidR="00BA7C2C" w:rsidRPr="00DE2F92" w:rsidTr="00613EE2">
        <w:trPr>
          <w:trHeight w:val="285"/>
        </w:trPr>
        <w:tc>
          <w:tcPr>
            <w:tcW w:w="8280" w:type="dxa"/>
            <w:gridSpan w:val="7"/>
            <w:tcBorders>
              <w:top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sz w:val="16"/>
                <w:szCs w:val="16"/>
              </w:rPr>
              <w:t>Co-formulants</w:t>
            </w:r>
          </w:p>
        </w:tc>
        <w:tc>
          <w:tcPr>
            <w:tcW w:w="3480" w:type="dxa"/>
            <w:gridSpan w:val="5"/>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jc w:val="center"/>
              <w:rPr>
                <w:b/>
                <w:bCs/>
                <w:sz w:val="16"/>
                <w:szCs w:val="16"/>
              </w:rPr>
            </w:pPr>
            <w:r w:rsidRPr="00DE2F92">
              <w:rPr>
                <w:b/>
                <w:bCs/>
                <w:sz w:val="16"/>
                <w:szCs w:val="16"/>
              </w:rPr>
              <w:t>Contents</w:t>
            </w:r>
          </w:p>
        </w:tc>
        <w:tc>
          <w:tcPr>
            <w:tcW w:w="2400" w:type="dxa"/>
            <w:gridSpan w:val="3"/>
            <w:tcBorders>
              <w:top w:val="single" w:sz="4" w:space="0" w:color="auto"/>
              <w:left w:val="single" w:sz="4" w:space="0" w:color="auto"/>
              <w:bottom w:val="single" w:sz="4" w:space="0" w:color="auto"/>
            </w:tcBorders>
            <w:shd w:val="clear" w:color="auto" w:fill="CCFFCC"/>
            <w:vAlign w:val="center"/>
          </w:tcPr>
          <w:p w:rsidR="00BA7C2C" w:rsidRPr="00DE2F92" w:rsidRDefault="00BA7C2C" w:rsidP="00613EE2">
            <w:pPr>
              <w:rPr>
                <w:b/>
                <w:bCs/>
                <w:sz w:val="16"/>
                <w:szCs w:val="16"/>
              </w:rPr>
            </w:pP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Common name</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IUPAC name</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Function</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CAS number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EC number</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Concentration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Unit</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DE2F92" w:rsidRDefault="00BA7C2C" w:rsidP="00613EE2">
            <w:pPr>
              <w:rPr>
                <w:b/>
                <w:bCs/>
                <w:sz w:val="16"/>
                <w:szCs w:val="16"/>
              </w:rPr>
            </w:pPr>
            <w:r w:rsidRPr="00DE2F92">
              <w:rPr>
                <w:b/>
                <w:bCs/>
                <w:sz w:val="16"/>
                <w:szCs w:val="16"/>
              </w:rPr>
              <w:t>w/w (%)</w:t>
            </w:r>
          </w:p>
        </w:tc>
        <w:tc>
          <w:tcPr>
            <w:tcW w:w="1200" w:type="dxa"/>
            <w:gridSpan w:val="2"/>
            <w:tcBorders>
              <w:top w:val="single" w:sz="4" w:space="0" w:color="auto"/>
              <w:left w:val="single" w:sz="4" w:space="0" w:color="auto"/>
              <w:bottom w:val="single" w:sz="4" w:space="0" w:color="auto"/>
            </w:tcBorders>
            <w:shd w:val="clear" w:color="auto" w:fill="CCFFCC"/>
          </w:tcPr>
          <w:p w:rsidR="00BA7C2C" w:rsidRPr="00DE2F92" w:rsidRDefault="00BA7C2C" w:rsidP="00613EE2">
            <w:pPr>
              <w:rPr>
                <w:b/>
                <w:bCs/>
                <w:sz w:val="16"/>
                <w:szCs w:val="16"/>
              </w:rPr>
            </w:pPr>
            <w:r w:rsidRPr="00DE2F92">
              <w:rPr>
                <w:b/>
                <w:bCs/>
                <w:sz w:val="16"/>
                <w:szCs w:val="16"/>
              </w:rPr>
              <w:t>Classification</w:t>
            </w:r>
          </w:p>
        </w:tc>
        <w:tc>
          <w:tcPr>
            <w:tcW w:w="1200" w:type="dxa"/>
            <w:tcBorders>
              <w:top w:val="single" w:sz="4" w:space="0" w:color="auto"/>
              <w:left w:val="single" w:sz="4" w:space="0" w:color="auto"/>
              <w:bottom w:val="single" w:sz="4" w:space="0" w:color="auto"/>
            </w:tcBorders>
            <w:shd w:val="clear" w:color="auto" w:fill="CCFFCC"/>
          </w:tcPr>
          <w:p w:rsidR="00BA7C2C" w:rsidRPr="00DE2F92" w:rsidRDefault="00BA7C2C" w:rsidP="00613EE2">
            <w:pPr>
              <w:rPr>
                <w:b/>
                <w:bCs/>
                <w:sz w:val="16"/>
                <w:szCs w:val="16"/>
              </w:rPr>
            </w:pPr>
            <w:r w:rsidRPr="00DE2F92">
              <w:rPr>
                <w:b/>
                <w:bCs/>
                <w:sz w:val="16"/>
                <w:szCs w:val="16"/>
              </w:rPr>
              <w:t>Substance of concern</w:t>
            </w:r>
          </w:p>
        </w:tc>
      </w:tr>
      <w:tr w:rsidR="00BA7C2C" w:rsidRPr="00DE2F92" w:rsidTr="00613EE2">
        <w:trPr>
          <w:trHeight w:val="285"/>
        </w:trPr>
        <w:tc>
          <w:tcPr>
            <w:tcW w:w="2760" w:type="dxa"/>
            <w:gridSpan w:val="2"/>
            <w:tcBorders>
              <w:top w:val="single" w:sz="4" w:space="0" w:color="auto"/>
              <w:left w:val="nil"/>
              <w:bottom w:val="single" w:sz="4" w:space="0" w:color="auto"/>
            </w:tcBorders>
          </w:tcPr>
          <w:p w:rsidR="00BA7C2C" w:rsidRPr="00DE2F92" w:rsidRDefault="00BA7C2C" w:rsidP="00613EE2">
            <w:pPr>
              <w:jc w:val="center"/>
              <w:rPr>
                <w:b/>
                <w:bCs/>
                <w:sz w:val="16"/>
                <w:szCs w:val="16"/>
              </w:rPr>
            </w:pPr>
          </w:p>
        </w:tc>
        <w:tc>
          <w:tcPr>
            <w:tcW w:w="1320" w:type="dxa"/>
            <w:tcBorders>
              <w:top w:val="single" w:sz="4" w:space="0" w:color="auto"/>
              <w:bottom w:val="single" w:sz="4" w:space="0" w:color="auto"/>
            </w:tcBorders>
          </w:tcPr>
          <w:p w:rsidR="00BA7C2C" w:rsidRPr="00DE2F92" w:rsidRDefault="00BA7C2C" w:rsidP="00613EE2">
            <w:pPr>
              <w:rPr>
                <w:b/>
                <w:bCs/>
                <w:sz w:val="16"/>
                <w:szCs w:val="16"/>
              </w:rPr>
            </w:pPr>
          </w:p>
        </w:tc>
        <w:tc>
          <w:tcPr>
            <w:tcW w:w="1920" w:type="dxa"/>
            <w:tcBorders>
              <w:top w:val="single" w:sz="4" w:space="0" w:color="auto"/>
              <w:bottom w:val="single" w:sz="4" w:space="0" w:color="auto"/>
            </w:tcBorders>
          </w:tcPr>
          <w:p w:rsidR="00BA7C2C" w:rsidRPr="00DE2F92" w:rsidRDefault="00BA7C2C" w:rsidP="00613EE2">
            <w:pPr>
              <w:rPr>
                <w:b/>
                <w:bCs/>
                <w:sz w:val="16"/>
                <w:szCs w:val="16"/>
              </w:rPr>
            </w:pPr>
          </w:p>
        </w:tc>
        <w:tc>
          <w:tcPr>
            <w:tcW w:w="1200" w:type="dxa"/>
            <w:tcBorders>
              <w:top w:val="single" w:sz="4" w:space="0" w:color="auto"/>
              <w:bottom w:val="single" w:sz="4" w:space="0" w:color="auto"/>
            </w:tcBorders>
            <w:vAlign w:val="center"/>
          </w:tcPr>
          <w:p w:rsidR="00BA7C2C" w:rsidRPr="00DE2F92" w:rsidRDefault="00BA7C2C" w:rsidP="00613EE2">
            <w:pPr>
              <w:rPr>
                <w:b/>
                <w:bCs/>
                <w:sz w:val="16"/>
                <w:szCs w:val="16"/>
              </w:rPr>
            </w:pPr>
          </w:p>
        </w:tc>
        <w:tc>
          <w:tcPr>
            <w:tcW w:w="108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1260" w:type="dxa"/>
            <w:tcBorders>
              <w:top w:val="single" w:sz="4" w:space="0" w:color="auto"/>
              <w:bottom w:val="single" w:sz="4" w:space="0" w:color="auto"/>
            </w:tcBorders>
          </w:tcPr>
          <w:p w:rsidR="00BA7C2C" w:rsidRPr="00DE2F92" w:rsidRDefault="00BA7C2C" w:rsidP="00613EE2">
            <w:pPr>
              <w:rPr>
                <w:b/>
                <w:bCs/>
                <w:sz w:val="16"/>
                <w:szCs w:val="16"/>
              </w:rPr>
            </w:pPr>
          </w:p>
        </w:tc>
        <w:tc>
          <w:tcPr>
            <w:tcW w:w="126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96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2400" w:type="dxa"/>
            <w:gridSpan w:val="3"/>
            <w:tcBorders>
              <w:top w:val="single" w:sz="4" w:space="0" w:color="auto"/>
              <w:bottom w:val="single" w:sz="4" w:space="0" w:color="auto"/>
              <w:right w:val="nil"/>
            </w:tcBorders>
            <w:vAlign w:val="center"/>
          </w:tcPr>
          <w:p w:rsidR="00BA7C2C" w:rsidRPr="00DE2F92" w:rsidRDefault="00BA7C2C" w:rsidP="00613EE2">
            <w:pPr>
              <w:rPr>
                <w:b/>
                <w:bCs/>
                <w:sz w:val="16"/>
                <w:szCs w:val="16"/>
              </w:rPr>
            </w:pP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pPr>
              <w:pStyle w:val="Plattetekst2"/>
              <w:rPr>
                <w:color w:val="auto"/>
              </w:rPr>
            </w:pPr>
            <w:r w:rsidRPr="00EC4D45">
              <w:rPr>
                <w:color w:val="auto"/>
              </w:rPr>
              <w:t>Red food dye</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t>Disodium-8-acetamido-1-hydroxy-2-phenylazon</w:t>
            </w:r>
            <w:r w:rsidRPr="00EC4D45">
              <w:lastRenderedPageBreak/>
              <w:t>aphthalenne-3,6-disulphonate</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lastRenderedPageBreak/>
              <w:t>Dye</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rsidRPr="00EC4D45">
              <w:rPr>
                <w:bCs/>
              </w:rPr>
              <w:t>3734-67-6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spacing w:before="40" w:after="40"/>
            </w:pPr>
            <w:r w:rsidRPr="00EC4D45">
              <w:t>223-098-9</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t>0.221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rsidRPr="00EC4D45">
              <w:t>0,0221</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t xml:space="preserve"> 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r w:rsidRPr="00EC4D45">
              <w:rPr>
                <w:bCs/>
              </w:rPr>
              <w:lastRenderedPageBreak/>
              <w:t>Denatonium benzoate</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spacing w:before="40" w:after="40"/>
            </w:pPr>
            <w:r w:rsidRPr="00EC4D45">
              <w:t>N-(2-(2,6-dimethylphenyl)amino)-2-2oxoethyl)-N,N-diethylbenzemethanaminium benzoate</w:t>
            </w:r>
          </w:p>
          <w:p w:rsidR="00BA7C2C" w:rsidRPr="00EC4D45" w:rsidRDefault="00BA7C2C" w:rsidP="00613EE2">
            <w:pPr>
              <w:rPr>
                <w:bCs/>
              </w:rPr>
            </w:pP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Bittering agent</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rsidRPr="00EC4D45">
              <w:rPr>
                <w:bCs/>
              </w:rPr>
              <w:t>3734-33-6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t>223-09-52</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TableTextright"/>
              <w:jc w:val="left"/>
            </w:pPr>
            <w:r>
              <w:t>0.05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TableTextright"/>
              <w:jc w:val="left"/>
            </w:pPr>
            <w:r w:rsidRPr="00EC4D45">
              <w:t>0,0050</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Xn R20/22, R38, R41, R52/53</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r w:rsidRPr="00EC4D45">
              <w:t>Propylene glycol</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DF430A" w:rsidRDefault="00BA7C2C" w:rsidP="00613EE2">
            <w:pPr>
              <w:spacing w:before="40" w:after="40"/>
            </w:pPr>
            <w:r w:rsidRPr="00DF430A">
              <w:t>propane-1,2-diol</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Solvent</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rsidRPr="00EC4D45">
              <w:t>57-55-6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spacing w:before="40" w:after="40"/>
            </w:pPr>
            <w:r w:rsidRPr="00EC4D45">
              <w:t>200-338-0</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t>10.129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rsidRPr="00EC4D45">
              <w:t>1,0129</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r w:rsidRPr="00EC4D45">
              <w:t>Butyl hydroxyl toluene</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t>2,6-bis(1,1-dimethylethyl)-4-methylphenol</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Preservative</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128-37-0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keepNext/>
              <w:spacing w:before="40" w:after="40"/>
            </w:pPr>
            <w:r w:rsidRPr="00EC4D45">
              <w:t>204-881-4</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t>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r w:rsidRPr="00EC4D45">
              <w:t>0,02</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EDTA</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BA7C2C" w:rsidRDefault="00BA7C2C" w:rsidP="00613EE2">
            <w:pPr>
              <w:rPr>
                <w:bCs/>
                <w:lang w:val="en-US"/>
              </w:rPr>
            </w:pPr>
            <w:r w:rsidRPr="009721BC">
              <w:rPr>
                <w:sz w:val="16"/>
                <w:szCs w:val="16"/>
              </w:rPr>
              <w:t>calcium disodium</w:t>
            </w:r>
            <w:r w:rsidRPr="009721BC">
              <w:rPr>
                <w:sz w:val="16"/>
                <w:szCs w:val="16"/>
              </w:rPr>
              <w:br/>
              <w:t>2-[2-</w:t>
            </w:r>
            <w:r w:rsidRPr="009721BC">
              <w:rPr>
                <w:sz w:val="16"/>
                <w:szCs w:val="16"/>
              </w:rPr>
              <w:lastRenderedPageBreak/>
              <w:t>[bis(carboxylatomethyl)amino]ethyl-(carboxylatomethyl)amino]acetate</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lastRenderedPageBreak/>
              <w:t>Preservative</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62-33-9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spacing w:before="40" w:after="40"/>
            </w:pPr>
            <w:r w:rsidRPr="00EC4D45">
              <w:t>200-529-9</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Pr>
                <w:lang w:val="nl"/>
              </w:rPr>
              <w:t>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0,01</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lastRenderedPageBreak/>
              <w:t>Hydrogenated vegetal fat</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rPr>
                <w:bCs/>
              </w:rPr>
              <w:t>-</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Binder</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68919-53-9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rPr>
                <w:bCs/>
              </w:rPr>
              <w:t>-</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Pr>
                <w:lang w:val="nl"/>
              </w:rPr>
              <w:t>220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22</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Wheat flour</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rPr>
                <w:bCs/>
              </w:rPr>
              <w:t>-</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Holder</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130498-22-5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rPr>
                <w:bCs/>
              </w:rPr>
              <w:t>-</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Pr>
                <w:lang w:val="nl"/>
              </w:rPr>
              <w:t>19.7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1,97</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Oat flour</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rPr>
                <w:bCs/>
              </w:rPr>
              <w:t>-</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Holder</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130498-22-5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sidRPr="00EC4D45">
              <w:rPr>
                <w:bCs/>
              </w:rPr>
              <w:t>-</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Pr>
                <w:lang w:val="nl"/>
              </w:rPr>
              <w:t>744.35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74,435</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bCs/>
              </w:rPr>
              <w:t>PEG 300</w:t>
            </w:r>
          </w:p>
        </w:tc>
        <w:tc>
          <w:tcPr>
            <w:tcW w:w="13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italics"/>
              <w:spacing w:before="40" w:after="40"/>
              <w:rPr>
                <w:i w:val="0"/>
                <w:lang w:val="nl"/>
              </w:rPr>
            </w:pPr>
            <w:r w:rsidRPr="00EC4D45">
              <w:rPr>
                <w:i w:val="0"/>
                <w:lang w:val="nl"/>
              </w:rPr>
              <w:t>Poly(oxy-1,2-ethanediyl),</w:t>
            </w:r>
            <w:r w:rsidRPr="00EC4D45">
              <w:rPr>
                <w:i w:val="0"/>
              </w:rPr>
              <w:t>α</w:t>
            </w:r>
            <w:r w:rsidRPr="00EC4D45">
              <w:rPr>
                <w:i w:val="0"/>
                <w:lang w:val="nl"/>
              </w:rPr>
              <w:t>-hydro-</w:t>
            </w:r>
            <w:r w:rsidRPr="00EC4D45">
              <w:rPr>
                <w:i w:val="0"/>
              </w:rPr>
              <w:t>ω</w:t>
            </w:r>
            <w:r w:rsidRPr="00EC4D45">
              <w:rPr>
                <w:i w:val="0"/>
                <w:lang w:val="nl"/>
              </w:rPr>
              <w:t>-hydroxy-ethane-1,2-diol, ethoxylated</w:t>
            </w:r>
          </w:p>
        </w:tc>
        <w:tc>
          <w:tcPr>
            <w:tcW w:w="192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pStyle w:val="Standard-fett"/>
              <w:spacing w:before="40" w:after="40"/>
              <w:rPr>
                <w:b w:val="0"/>
                <w:bCs/>
              </w:rPr>
            </w:pPr>
            <w:r w:rsidRPr="00EC4D45">
              <w:rPr>
                <w:b w:val="0"/>
                <w:bCs/>
              </w:rPr>
              <w:t>Solvent</w:t>
            </w:r>
          </w:p>
        </w:tc>
        <w:tc>
          <w:tcPr>
            <w:tcW w:w="1200" w:type="dxa"/>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25322-68-3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keepNext/>
              <w:spacing w:before="40" w:after="40"/>
            </w:pPr>
            <w:r w:rsidRPr="00EC4D45">
              <w:t>500-038-2</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BA7C2C" w:rsidRDefault="00BA7C2C" w:rsidP="00613EE2">
            <w:pPr>
              <w:rPr>
                <w:lang w:val="nl"/>
              </w:rPr>
            </w:pPr>
            <w:r>
              <w:rPr>
                <w:lang w:val="nl"/>
              </w:rPr>
              <w:t>5.2</w:t>
            </w:r>
          </w:p>
          <w:p w:rsidR="00BA7C2C" w:rsidRPr="00EC4D45" w:rsidRDefault="00BA7C2C" w:rsidP="00613EE2">
            <w:pPr>
              <w:rPr>
                <w:lang w:val="n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bCs/>
              </w:rPr>
            </w:pPr>
            <w:r>
              <w:rPr>
                <w:bCs/>
                <w:lang w:val="nl"/>
              </w:rPr>
              <w:t>g/kg</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CC"/>
          </w:tcPr>
          <w:p w:rsidR="00BA7C2C" w:rsidRPr="00EC4D45" w:rsidRDefault="00BA7C2C" w:rsidP="00613EE2">
            <w:pPr>
              <w:rPr>
                <w:lang w:val="nl"/>
              </w:rPr>
            </w:pPr>
            <w:r w:rsidRPr="00EC4D45">
              <w:rPr>
                <w:lang w:val="nl"/>
              </w:rPr>
              <w:t>0,52</w:t>
            </w:r>
          </w:p>
        </w:tc>
        <w:tc>
          <w:tcPr>
            <w:tcW w:w="1200" w:type="dxa"/>
            <w:gridSpan w:val="2"/>
            <w:tcBorders>
              <w:top w:val="single" w:sz="4" w:space="0" w:color="auto"/>
              <w:left w:val="single" w:sz="4" w:space="0" w:color="auto"/>
              <w:bottom w:val="single" w:sz="4" w:space="0" w:color="auto"/>
            </w:tcBorders>
            <w:shd w:val="clear" w:color="auto" w:fill="CCFFCC"/>
          </w:tcPr>
          <w:p w:rsidR="00BA7C2C" w:rsidRPr="00EC4D45" w:rsidRDefault="00BA7C2C" w:rsidP="00613EE2">
            <w:pPr>
              <w:rPr>
                <w:bCs/>
              </w:rPr>
            </w:pPr>
            <w:r w:rsidRPr="00EC4D45">
              <w:rPr>
                <w:bCs/>
              </w:rPr>
              <w:t>none</w:t>
            </w:r>
          </w:p>
        </w:tc>
        <w:tc>
          <w:tcPr>
            <w:tcW w:w="1200" w:type="dxa"/>
            <w:tcBorders>
              <w:top w:val="single" w:sz="4" w:space="0" w:color="auto"/>
              <w:left w:val="single" w:sz="4" w:space="0" w:color="auto"/>
              <w:bottom w:val="single" w:sz="4" w:space="0" w:color="auto"/>
            </w:tcBorders>
            <w:shd w:val="clear" w:color="auto" w:fill="CCFFCC"/>
          </w:tcPr>
          <w:p w:rsidR="00BA7C2C" w:rsidRPr="00EC4D45" w:rsidRDefault="00BA7C2C" w:rsidP="00613EE2">
            <w:r w:rsidRPr="00EC4D45">
              <w:t>no</w:t>
            </w:r>
          </w:p>
        </w:tc>
      </w:tr>
      <w:tr w:rsidR="00BA7C2C" w:rsidRPr="00DE2F92" w:rsidTr="00613EE2">
        <w:trPr>
          <w:trHeight w:val="285"/>
        </w:trPr>
        <w:tc>
          <w:tcPr>
            <w:tcW w:w="2760" w:type="dxa"/>
            <w:gridSpan w:val="2"/>
            <w:tcBorders>
              <w:top w:val="single" w:sz="4" w:space="0" w:color="auto"/>
              <w:left w:val="nil"/>
            </w:tcBorders>
          </w:tcPr>
          <w:p w:rsidR="00BA7C2C" w:rsidRPr="00DE2F92" w:rsidRDefault="00BA7C2C" w:rsidP="00613EE2">
            <w:pPr>
              <w:jc w:val="center"/>
              <w:rPr>
                <w:b/>
                <w:bCs/>
                <w:sz w:val="16"/>
                <w:szCs w:val="16"/>
              </w:rPr>
            </w:pPr>
          </w:p>
        </w:tc>
        <w:tc>
          <w:tcPr>
            <w:tcW w:w="1320" w:type="dxa"/>
            <w:tcBorders>
              <w:top w:val="single" w:sz="4" w:space="0" w:color="auto"/>
            </w:tcBorders>
          </w:tcPr>
          <w:p w:rsidR="00BA7C2C" w:rsidRPr="00DE2F92" w:rsidRDefault="00BA7C2C" w:rsidP="00613EE2">
            <w:pPr>
              <w:rPr>
                <w:b/>
                <w:bCs/>
                <w:sz w:val="16"/>
                <w:szCs w:val="16"/>
              </w:rPr>
            </w:pPr>
          </w:p>
        </w:tc>
        <w:tc>
          <w:tcPr>
            <w:tcW w:w="1920" w:type="dxa"/>
            <w:tcBorders>
              <w:top w:val="single" w:sz="4" w:space="0" w:color="auto"/>
            </w:tcBorders>
          </w:tcPr>
          <w:p w:rsidR="00BA7C2C" w:rsidRPr="00DE2F92" w:rsidRDefault="00BA7C2C" w:rsidP="00613EE2">
            <w:pPr>
              <w:rPr>
                <w:b/>
                <w:bCs/>
                <w:sz w:val="16"/>
                <w:szCs w:val="16"/>
              </w:rPr>
            </w:pPr>
          </w:p>
        </w:tc>
        <w:tc>
          <w:tcPr>
            <w:tcW w:w="1200" w:type="dxa"/>
            <w:tcBorders>
              <w:top w:val="single" w:sz="4" w:space="0" w:color="auto"/>
            </w:tcBorders>
            <w:vAlign w:val="center"/>
          </w:tcPr>
          <w:p w:rsidR="00BA7C2C" w:rsidRPr="00DE2F92" w:rsidRDefault="00BA7C2C" w:rsidP="00613EE2">
            <w:pPr>
              <w:rPr>
                <w:b/>
                <w:bCs/>
                <w:sz w:val="16"/>
                <w:szCs w:val="16"/>
              </w:rPr>
            </w:pPr>
          </w:p>
        </w:tc>
        <w:tc>
          <w:tcPr>
            <w:tcW w:w="1080" w:type="dxa"/>
            <w:gridSpan w:val="2"/>
            <w:tcBorders>
              <w:top w:val="single" w:sz="4" w:space="0" w:color="auto"/>
            </w:tcBorders>
          </w:tcPr>
          <w:p w:rsidR="00BA7C2C" w:rsidRPr="00DE2F92" w:rsidRDefault="00BA7C2C" w:rsidP="00613EE2">
            <w:pPr>
              <w:rPr>
                <w:b/>
                <w:bCs/>
                <w:sz w:val="16"/>
                <w:szCs w:val="16"/>
              </w:rPr>
            </w:pPr>
          </w:p>
        </w:tc>
        <w:tc>
          <w:tcPr>
            <w:tcW w:w="1260" w:type="dxa"/>
            <w:tcBorders>
              <w:top w:val="single" w:sz="4" w:space="0" w:color="auto"/>
              <w:bottom w:val="single" w:sz="4" w:space="0" w:color="auto"/>
            </w:tcBorders>
          </w:tcPr>
          <w:p w:rsidR="00BA7C2C" w:rsidRPr="00DE2F92" w:rsidRDefault="00BA7C2C" w:rsidP="00613EE2">
            <w:pPr>
              <w:rPr>
                <w:b/>
                <w:bCs/>
                <w:sz w:val="16"/>
                <w:szCs w:val="16"/>
              </w:rPr>
            </w:pPr>
          </w:p>
        </w:tc>
        <w:tc>
          <w:tcPr>
            <w:tcW w:w="126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960" w:type="dxa"/>
            <w:gridSpan w:val="2"/>
            <w:tcBorders>
              <w:top w:val="single" w:sz="4" w:space="0" w:color="auto"/>
              <w:bottom w:val="single" w:sz="4" w:space="0" w:color="auto"/>
            </w:tcBorders>
          </w:tcPr>
          <w:p w:rsidR="00BA7C2C" w:rsidRPr="00DE2F92" w:rsidRDefault="00BA7C2C" w:rsidP="00613EE2">
            <w:pPr>
              <w:rPr>
                <w:b/>
                <w:bCs/>
                <w:sz w:val="16"/>
                <w:szCs w:val="16"/>
              </w:rPr>
            </w:pPr>
          </w:p>
        </w:tc>
        <w:tc>
          <w:tcPr>
            <w:tcW w:w="2400" w:type="dxa"/>
            <w:gridSpan w:val="3"/>
            <w:tcBorders>
              <w:top w:val="single" w:sz="4" w:space="0" w:color="auto"/>
              <w:right w:val="nil"/>
            </w:tcBorders>
            <w:vAlign w:val="center"/>
          </w:tcPr>
          <w:p w:rsidR="00BA7C2C" w:rsidRPr="00DE2F92" w:rsidRDefault="00BA7C2C" w:rsidP="00613EE2">
            <w:pPr>
              <w:rPr>
                <w:b/>
                <w:bCs/>
                <w:sz w:val="16"/>
                <w:szCs w:val="16"/>
              </w:rPr>
            </w:pPr>
          </w:p>
        </w:tc>
      </w:tr>
      <w:tr w:rsidR="00BA7C2C" w:rsidRPr="00DE2F92" w:rsidTr="00613EE2">
        <w:trPr>
          <w:trHeight w:val="285"/>
        </w:trPr>
        <w:tc>
          <w:tcPr>
            <w:tcW w:w="2760" w:type="dxa"/>
            <w:gridSpan w:val="2"/>
            <w:tcBorders>
              <w:left w:val="nil"/>
            </w:tcBorders>
          </w:tcPr>
          <w:p w:rsidR="00BA7C2C" w:rsidRPr="00DE2F92" w:rsidRDefault="00BA7C2C" w:rsidP="00613EE2">
            <w:pPr>
              <w:jc w:val="center"/>
              <w:rPr>
                <w:b/>
                <w:bCs/>
              </w:rPr>
            </w:pPr>
          </w:p>
        </w:tc>
        <w:tc>
          <w:tcPr>
            <w:tcW w:w="1320" w:type="dxa"/>
          </w:tcPr>
          <w:p w:rsidR="00BA7C2C" w:rsidRPr="00DE2F92" w:rsidRDefault="00BA7C2C" w:rsidP="00613EE2">
            <w:pPr>
              <w:rPr>
                <w:b/>
                <w:bCs/>
              </w:rPr>
            </w:pPr>
          </w:p>
        </w:tc>
        <w:tc>
          <w:tcPr>
            <w:tcW w:w="1920" w:type="dxa"/>
          </w:tcPr>
          <w:p w:rsidR="00BA7C2C" w:rsidRPr="00DE2F92" w:rsidRDefault="00BA7C2C" w:rsidP="00613EE2">
            <w:pPr>
              <w:rPr>
                <w:b/>
                <w:bCs/>
              </w:rPr>
            </w:pPr>
          </w:p>
        </w:tc>
        <w:tc>
          <w:tcPr>
            <w:tcW w:w="1200" w:type="dxa"/>
            <w:vAlign w:val="bottom"/>
          </w:tcPr>
          <w:p w:rsidR="00BA7C2C" w:rsidRPr="00DE2F92" w:rsidRDefault="00BA7C2C" w:rsidP="00613EE2">
            <w:pPr>
              <w:jc w:val="right"/>
              <w:rPr>
                <w:b/>
                <w:bCs/>
              </w:rPr>
            </w:pPr>
          </w:p>
        </w:tc>
        <w:tc>
          <w:tcPr>
            <w:tcW w:w="360" w:type="dxa"/>
            <w:tcBorders>
              <w:right w:val="single" w:sz="4" w:space="0" w:color="auto"/>
            </w:tcBorders>
          </w:tcPr>
          <w:p w:rsidR="00BA7C2C" w:rsidRPr="00DE2F92" w:rsidRDefault="00BA7C2C" w:rsidP="00613EE2">
            <w:pPr>
              <w:jc w:val="right"/>
              <w:rPr>
                <w:b/>
                <w:bCs/>
              </w:rPr>
            </w:pPr>
          </w:p>
        </w:tc>
        <w:tc>
          <w:tcPr>
            <w:tcW w:w="720" w:type="dxa"/>
            <w:tcBorders>
              <w:top w:val="single" w:sz="4" w:space="0" w:color="auto"/>
              <w:left w:val="single" w:sz="4" w:space="0" w:color="auto"/>
              <w:bottom w:val="single" w:sz="4" w:space="0" w:color="auto"/>
              <w:right w:val="single" w:sz="4" w:space="0" w:color="auto"/>
            </w:tcBorders>
          </w:tcPr>
          <w:p w:rsidR="00BA7C2C" w:rsidRPr="00DE2F92" w:rsidRDefault="00BA7C2C" w:rsidP="00613EE2">
            <w:pPr>
              <w:jc w:val="right"/>
              <w:rPr>
                <w:b/>
                <w:bCs/>
              </w:rPr>
            </w:pPr>
            <w:r w:rsidRPr="00DE2F92">
              <w:rPr>
                <w:b/>
                <w:bCs/>
              </w:rPr>
              <w:t>Sum</w:t>
            </w:r>
          </w:p>
        </w:tc>
        <w:tc>
          <w:tcPr>
            <w:tcW w:w="1260" w:type="dxa"/>
            <w:tcBorders>
              <w:top w:val="single" w:sz="4" w:space="0" w:color="auto"/>
              <w:left w:val="single" w:sz="4" w:space="0" w:color="auto"/>
              <w:bottom w:val="single" w:sz="4" w:space="0" w:color="auto"/>
              <w:right w:val="single" w:sz="4" w:space="0" w:color="auto"/>
            </w:tcBorders>
            <w:vAlign w:val="bottom"/>
          </w:tcPr>
          <w:p w:rsidR="00BA7C2C" w:rsidRPr="00DE2F92" w:rsidRDefault="00BA7C2C" w:rsidP="00613EE2">
            <w:pPr>
              <w:jc w:val="right"/>
              <w:rPr>
                <w:b/>
                <w:bCs/>
              </w:rPr>
            </w:pPr>
            <w:r>
              <w:rPr>
                <w:b/>
                <w:bCs/>
              </w:rPr>
              <w:t>1000</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A7C2C" w:rsidRPr="00DE2F92" w:rsidRDefault="00BA7C2C" w:rsidP="00613EE2">
            <w:pPr>
              <w:rPr>
                <w:b/>
                <w:bCs/>
              </w:rPr>
            </w:pPr>
            <w:r w:rsidRPr="00DE2F92">
              <w:rPr>
                <w:b/>
                <w:bCs/>
              </w:rPr>
              <w:t> </w:t>
            </w:r>
          </w:p>
        </w:tc>
        <w:tc>
          <w:tcPr>
            <w:tcW w:w="960" w:type="dxa"/>
            <w:gridSpan w:val="2"/>
            <w:tcBorders>
              <w:top w:val="single" w:sz="4" w:space="0" w:color="auto"/>
              <w:left w:val="single" w:sz="4" w:space="0" w:color="auto"/>
              <w:bottom w:val="single" w:sz="4" w:space="0" w:color="auto"/>
              <w:right w:val="single" w:sz="4" w:space="0" w:color="auto"/>
            </w:tcBorders>
            <w:vAlign w:val="bottom"/>
          </w:tcPr>
          <w:p w:rsidR="00BA7C2C" w:rsidRPr="00DE2F92" w:rsidRDefault="00BA7C2C" w:rsidP="00613EE2">
            <w:pPr>
              <w:jc w:val="right"/>
              <w:rPr>
                <w:b/>
                <w:bCs/>
              </w:rPr>
            </w:pPr>
            <w:r>
              <w:rPr>
                <w:b/>
                <w:bCs/>
              </w:rPr>
              <w:t>10</w:t>
            </w:r>
            <w:r w:rsidRPr="00DE2F92">
              <w:rPr>
                <w:b/>
                <w:bCs/>
              </w:rPr>
              <w:t>0.0</w:t>
            </w:r>
          </w:p>
        </w:tc>
        <w:tc>
          <w:tcPr>
            <w:tcW w:w="2400" w:type="dxa"/>
            <w:gridSpan w:val="3"/>
            <w:tcBorders>
              <w:left w:val="single" w:sz="4" w:space="0" w:color="auto"/>
              <w:right w:val="nil"/>
            </w:tcBorders>
            <w:vAlign w:val="center"/>
          </w:tcPr>
          <w:p w:rsidR="00BA7C2C" w:rsidRPr="00DE2F92" w:rsidRDefault="00BA7C2C" w:rsidP="00613EE2">
            <w:pPr>
              <w:rPr>
                <w:b/>
                <w:bCs/>
              </w:rPr>
            </w:pPr>
          </w:p>
        </w:tc>
      </w:tr>
    </w:tbl>
    <w:p w:rsidR="00BA7C2C" w:rsidRPr="00DE2F92" w:rsidRDefault="00BA7C2C" w:rsidP="00BA7C2C">
      <w:pPr>
        <w:rPr>
          <w:b/>
          <w:color w:val="000000"/>
        </w:rPr>
      </w:pPr>
    </w:p>
    <w:p w:rsidR="00BA7C2C" w:rsidRPr="00DE2F92" w:rsidRDefault="00BA7C2C" w:rsidP="00BA7C2C">
      <w:pPr>
        <w:pStyle w:val="Normaalweb"/>
        <w:rPr>
          <w:rFonts w:ascii="Times New Roman" w:hAnsi="Times New Roman" w:cs="Times New Roman"/>
        </w:rPr>
      </w:pPr>
      <w:r w:rsidRPr="00DE2F92">
        <w:rPr>
          <w:rFonts w:ascii="Times New Roman" w:hAnsi="Times New Roman" w:cs="Times New Roman"/>
          <w:sz w:val="20"/>
        </w:rPr>
        <w:br w:type="page"/>
      </w:r>
    </w:p>
    <w:p w:rsidR="00BA7C2C" w:rsidRPr="00DE2F92" w:rsidRDefault="00BA7C2C" w:rsidP="00BA7C2C">
      <w:pPr>
        <w:ind w:right="-287"/>
      </w:pPr>
      <w:r w:rsidRPr="00DE2F92">
        <w:rPr>
          <w:b/>
        </w:rPr>
        <w:lastRenderedPageBreak/>
        <w:t xml:space="preserve">(b) (ii) </w:t>
      </w:r>
      <w:r w:rsidRPr="00DE2F92">
        <w:rPr>
          <w:b/>
          <w:color w:val="000000"/>
        </w:rPr>
        <w:t>Is the product identical to the representative product, assessed for the purpose of the Annex I inclusion?</w:t>
      </w:r>
    </w:p>
    <w:p w:rsidR="00BA7C2C" w:rsidRPr="00DE2F92" w:rsidRDefault="00BA7C2C" w:rsidP="00BA7C2C">
      <w:pPr>
        <w:spacing w:before="120" w:after="120"/>
        <w:rPr>
          <w:b/>
          <w:i/>
          <w:color w:val="000000"/>
        </w:rPr>
      </w:pPr>
      <w:r w:rsidRPr="00DE2F92">
        <w:rPr>
          <w:color w:val="000000"/>
        </w:rPr>
        <w:fldChar w:fldCharType="begin">
          <w:ffData>
            <w:name w:val="CaseACocher55"/>
            <w:enabled/>
            <w:calcOnExit w:val="0"/>
            <w:checkBox>
              <w:sizeAuto/>
              <w:default w:val="0"/>
            </w:checkBox>
          </w:ffData>
        </w:fldChar>
      </w:r>
      <w:r w:rsidRPr="00DE2F92">
        <w:rPr>
          <w:color w:val="000000"/>
        </w:rPr>
        <w:instrText xml:space="preserve"> FORMCHECKBOX </w:instrText>
      </w:r>
      <w:r w:rsidR="00B1753E">
        <w:rPr>
          <w:color w:val="000000"/>
        </w:rPr>
      </w:r>
      <w:r w:rsidR="00B1753E">
        <w:rPr>
          <w:color w:val="000000"/>
        </w:rPr>
        <w:fldChar w:fldCharType="separate"/>
      </w:r>
      <w:r w:rsidRPr="00DE2F92">
        <w:rPr>
          <w:color w:val="000000"/>
        </w:rPr>
        <w:fldChar w:fldCharType="end"/>
      </w:r>
      <w:r w:rsidRPr="00DE2F92">
        <w:rPr>
          <w:b/>
          <w:color w:val="000000"/>
        </w:rPr>
        <w:t xml:space="preserve"> yes</w:t>
      </w:r>
      <w:r w:rsidRPr="00DE2F92">
        <w:rPr>
          <w:b/>
          <w:color w:val="000000"/>
        </w:rPr>
        <w:tab/>
      </w:r>
      <w:r w:rsidRPr="00CC6775">
        <w:rPr>
          <w:rFonts w:ascii="Times New Roman Vet" w:hAnsi="Times New Roman Vet"/>
          <w:b/>
          <w:color w:val="000000"/>
          <w:sz w:val="36"/>
          <w:szCs w:val="36"/>
        </w:rPr>
        <w:t>■</w:t>
      </w:r>
      <w:r w:rsidRPr="00DE2F92">
        <w:rPr>
          <w:b/>
          <w:color w:val="000000"/>
        </w:rPr>
        <w:t xml:space="preserve"> no</w:t>
      </w:r>
      <w:r w:rsidRPr="00DE2F92">
        <w:rPr>
          <w:b/>
          <w:color w:val="000000"/>
        </w:rPr>
        <w:tab/>
      </w:r>
      <w:r w:rsidRPr="00DE2F92">
        <w:rPr>
          <w:color w:val="000000"/>
        </w:rPr>
        <w:fldChar w:fldCharType="begin">
          <w:ffData>
            <w:name w:val="CaseACocher55"/>
            <w:enabled/>
            <w:calcOnExit w:val="0"/>
            <w:checkBox>
              <w:sizeAuto/>
              <w:default w:val="0"/>
            </w:checkBox>
          </w:ffData>
        </w:fldChar>
      </w:r>
      <w:r w:rsidRPr="00DE2F92">
        <w:rPr>
          <w:color w:val="000000"/>
        </w:rPr>
        <w:instrText xml:space="preserve"> FORMCHECKBOX </w:instrText>
      </w:r>
      <w:r w:rsidR="00B1753E">
        <w:rPr>
          <w:color w:val="000000"/>
        </w:rPr>
      </w:r>
      <w:r w:rsidR="00B1753E">
        <w:rPr>
          <w:color w:val="000000"/>
        </w:rPr>
        <w:fldChar w:fldCharType="separate"/>
      </w:r>
      <w:r w:rsidRPr="00DE2F92">
        <w:rPr>
          <w:color w:val="000000"/>
        </w:rPr>
        <w:fldChar w:fldCharType="end"/>
      </w:r>
      <w:r w:rsidRPr="00DE2F92">
        <w:rPr>
          <w:b/>
          <w:color w:val="000000"/>
        </w:rPr>
        <w:t xml:space="preserve"> unknown </w:t>
      </w:r>
    </w:p>
    <w:p w:rsidR="00BA7C2C" w:rsidRPr="00DE2F92" w:rsidRDefault="00BA7C2C" w:rsidP="00BA7C2C">
      <w:pPr>
        <w:autoSpaceDE w:val="0"/>
        <w:autoSpaceDN w:val="0"/>
        <w:adjustRightInd w:val="0"/>
        <w:spacing w:before="120" w:after="120"/>
        <w:rPr>
          <w:b/>
          <w:color w:val="000000"/>
        </w:rPr>
      </w:pPr>
      <w:r w:rsidRPr="00DE2F92">
        <w:rPr>
          <w:b/>
          <w:bCs/>
        </w:rPr>
        <w:t xml:space="preserve">If </w:t>
      </w:r>
      <w:r w:rsidRPr="00DE2F92">
        <w:rPr>
          <w:b/>
          <w:color w:val="000000"/>
        </w:rPr>
        <w:t>not, briefly describe the difference.</w:t>
      </w:r>
    </w:p>
    <w:p w:rsidR="00BA7C2C" w:rsidRPr="00CC6775" w:rsidRDefault="00BA7C2C" w:rsidP="00BA7C2C">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bCs/>
          <w:color w:val="0000FF"/>
        </w:rPr>
      </w:pPr>
      <w:r w:rsidRPr="00CC6775">
        <w:rPr>
          <w:bCs/>
          <w:color w:val="0000FF"/>
        </w:rPr>
        <w:t>Other preservative, other dye, other binding agent</w:t>
      </w:r>
    </w:p>
    <w:p w:rsidR="00BA7C2C" w:rsidRPr="00DE2F92" w:rsidRDefault="00BA7C2C" w:rsidP="00BA7C2C">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b/>
          <w:bCs/>
        </w:rPr>
      </w:pPr>
    </w:p>
    <w:p w:rsidR="00BA7C2C" w:rsidRPr="00DE2F92" w:rsidRDefault="00BA7C2C" w:rsidP="00BA7C2C">
      <w:pPr>
        <w:autoSpaceDE w:val="0"/>
        <w:autoSpaceDN w:val="0"/>
        <w:adjustRightInd w:val="0"/>
        <w:spacing w:before="120" w:after="120"/>
        <w:rPr>
          <w:b/>
          <w:bCs/>
        </w:rPr>
      </w:pPr>
      <w:r w:rsidRPr="00DE2F92">
        <w:rPr>
          <w:b/>
        </w:rPr>
        <w:t xml:space="preserve">(b) (iii) </w:t>
      </w:r>
      <w:r w:rsidRPr="00DE2F92">
        <w:rPr>
          <w:b/>
          <w:bCs/>
        </w:rPr>
        <w:t>Does the biocidal product contain or consist of Genetically Modified Organisms (GMOs) within the meaning of Directive 2001/18/EC?</w:t>
      </w:r>
    </w:p>
    <w:p w:rsidR="00BA7C2C" w:rsidRPr="00DE2F92" w:rsidRDefault="00BA7C2C" w:rsidP="00BA7C2C">
      <w:pPr>
        <w:autoSpaceDE w:val="0"/>
        <w:autoSpaceDN w:val="0"/>
        <w:adjustRightInd w:val="0"/>
        <w:spacing w:before="120" w:after="120"/>
      </w:pPr>
      <w:r w:rsidRPr="00DE2F92">
        <w:rPr>
          <w:color w:val="000000"/>
        </w:rPr>
        <w:fldChar w:fldCharType="begin">
          <w:ffData>
            <w:name w:val="CaseACocher55"/>
            <w:enabled/>
            <w:calcOnExit w:val="0"/>
            <w:checkBox>
              <w:sizeAuto/>
              <w:default w:val="0"/>
            </w:checkBox>
          </w:ffData>
        </w:fldChar>
      </w:r>
      <w:r w:rsidRPr="00DE2F92">
        <w:rPr>
          <w:color w:val="000000"/>
        </w:rPr>
        <w:instrText xml:space="preserve"> FORMCHECKBOX </w:instrText>
      </w:r>
      <w:r w:rsidR="00B1753E">
        <w:rPr>
          <w:color w:val="000000"/>
        </w:rPr>
      </w:r>
      <w:r w:rsidR="00B1753E">
        <w:rPr>
          <w:color w:val="000000"/>
        </w:rPr>
        <w:fldChar w:fldCharType="separate"/>
      </w:r>
      <w:r w:rsidRPr="00DE2F92">
        <w:rPr>
          <w:color w:val="000000"/>
        </w:rPr>
        <w:fldChar w:fldCharType="end"/>
      </w:r>
      <w:r w:rsidRPr="00DE2F92">
        <w:rPr>
          <w:b/>
          <w:color w:val="000000"/>
        </w:rPr>
        <w:t xml:space="preserve"> yes</w:t>
      </w:r>
      <w:r w:rsidRPr="00DE2F92">
        <w:rPr>
          <w:b/>
          <w:color w:val="000000"/>
        </w:rPr>
        <w:tab/>
      </w:r>
      <w:r w:rsidRPr="00CC6775">
        <w:rPr>
          <w:rFonts w:ascii="Times New Roman Vet" w:hAnsi="Times New Roman Vet"/>
          <w:b/>
          <w:color w:val="000000"/>
          <w:sz w:val="36"/>
          <w:szCs w:val="36"/>
        </w:rPr>
        <w:t>■</w:t>
      </w:r>
      <w:r w:rsidRPr="00DE2F92">
        <w:rPr>
          <w:b/>
          <w:color w:val="000000"/>
        </w:rPr>
        <w:t xml:space="preserve"> no</w:t>
      </w:r>
    </w:p>
    <w:p w:rsidR="00BA7C2C" w:rsidRPr="00DE2F92" w:rsidRDefault="00BA7C2C" w:rsidP="00BA7C2C">
      <w:pPr>
        <w:autoSpaceDE w:val="0"/>
        <w:autoSpaceDN w:val="0"/>
        <w:adjustRightInd w:val="0"/>
        <w:spacing w:before="120" w:after="120"/>
      </w:pPr>
      <w:r w:rsidRPr="00DE2F92">
        <w:t>If yes, does the product comply with Directive 2001/18/EC?</w:t>
      </w:r>
    </w:p>
    <w:p w:rsidR="00BA7C2C" w:rsidRPr="00DE2F92" w:rsidRDefault="00BA7C2C" w:rsidP="00BA7C2C">
      <w:pPr>
        <w:autoSpaceDE w:val="0"/>
        <w:autoSpaceDN w:val="0"/>
        <w:adjustRightInd w:val="0"/>
        <w:spacing w:before="120" w:after="120"/>
      </w:pPr>
      <w:r w:rsidRPr="00DE2F92">
        <w:rPr>
          <w:color w:val="000000"/>
        </w:rPr>
        <w:fldChar w:fldCharType="begin">
          <w:ffData>
            <w:name w:val="CaseACocher55"/>
            <w:enabled/>
            <w:calcOnExit w:val="0"/>
            <w:checkBox>
              <w:sizeAuto/>
              <w:default w:val="0"/>
            </w:checkBox>
          </w:ffData>
        </w:fldChar>
      </w:r>
      <w:r w:rsidRPr="00DE2F92">
        <w:rPr>
          <w:color w:val="000000"/>
        </w:rPr>
        <w:instrText xml:space="preserve"> FORMCHECKBOX </w:instrText>
      </w:r>
      <w:r w:rsidR="00B1753E">
        <w:rPr>
          <w:color w:val="000000"/>
        </w:rPr>
      </w:r>
      <w:r w:rsidR="00B1753E">
        <w:rPr>
          <w:color w:val="000000"/>
        </w:rPr>
        <w:fldChar w:fldCharType="separate"/>
      </w:r>
      <w:r w:rsidRPr="00DE2F92">
        <w:rPr>
          <w:color w:val="000000"/>
        </w:rPr>
        <w:fldChar w:fldCharType="end"/>
      </w:r>
      <w:r w:rsidRPr="00DE2F92">
        <w:rPr>
          <w:b/>
          <w:color w:val="000000"/>
        </w:rPr>
        <w:t xml:space="preserve"> yes</w:t>
      </w:r>
      <w:r w:rsidRPr="00DE2F92">
        <w:rPr>
          <w:b/>
          <w:color w:val="000000"/>
        </w:rPr>
        <w:tab/>
      </w:r>
      <w:r w:rsidRPr="00DE2F92">
        <w:rPr>
          <w:color w:val="000000"/>
        </w:rPr>
        <w:fldChar w:fldCharType="begin">
          <w:ffData>
            <w:name w:val="CaseACocher55"/>
            <w:enabled/>
            <w:calcOnExit w:val="0"/>
            <w:checkBox>
              <w:sizeAuto/>
              <w:default w:val="0"/>
            </w:checkBox>
          </w:ffData>
        </w:fldChar>
      </w:r>
      <w:r w:rsidRPr="00DE2F92">
        <w:rPr>
          <w:color w:val="000000"/>
        </w:rPr>
        <w:instrText xml:space="preserve"> FORMCHECKBOX </w:instrText>
      </w:r>
      <w:r w:rsidR="00B1753E">
        <w:rPr>
          <w:color w:val="000000"/>
        </w:rPr>
      </w:r>
      <w:r w:rsidR="00B1753E">
        <w:rPr>
          <w:color w:val="000000"/>
        </w:rPr>
        <w:fldChar w:fldCharType="separate"/>
      </w:r>
      <w:r w:rsidRPr="00DE2F92">
        <w:rPr>
          <w:color w:val="000000"/>
        </w:rPr>
        <w:fldChar w:fldCharType="end"/>
      </w:r>
      <w:r w:rsidRPr="00DE2F92">
        <w:rPr>
          <w:b/>
          <w:color w:val="000000"/>
        </w:rPr>
        <w:t xml:space="preserve"> no</w:t>
      </w:r>
    </w:p>
    <w:p w:rsidR="00BA7C2C" w:rsidRPr="00DE2F92" w:rsidRDefault="00BA7C2C" w:rsidP="00BA7C2C">
      <w:pPr>
        <w:autoSpaceDE w:val="0"/>
        <w:autoSpaceDN w:val="0"/>
        <w:adjustRightInd w:val="0"/>
        <w:spacing w:before="120" w:after="120"/>
        <w:rPr>
          <w:b/>
          <w:i/>
          <w:color w:val="000000"/>
        </w:rPr>
      </w:pPr>
      <w:r w:rsidRPr="00DE2F92">
        <w:t>A copy of any written consent(s) of the competent authorities to the deliberate release into the environment of the GMOs for research and development purposes where provided for by Part B of the above-mentioned Directive was provided.</w:t>
      </w:r>
    </w:p>
    <w:p w:rsidR="00BA7C2C" w:rsidRPr="00DE2F92" w:rsidRDefault="00BA7C2C" w:rsidP="00BA7C2C">
      <w:pPr>
        <w:spacing w:before="120" w:after="120"/>
        <w:rPr>
          <w:b/>
          <w:i/>
          <w:color w:val="000000"/>
        </w:rPr>
        <w:sectPr w:rsidR="00BA7C2C" w:rsidRPr="00DE2F92">
          <w:pgSz w:w="16838" w:h="11906" w:orient="landscape"/>
          <w:pgMar w:top="1302" w:right="1021" w:bottom="1701" w:left="1021" w:header="601" w:footer="484" w:gutter="0"/>
          <w:cols w:space="720"/>
          <w:docGrid w:linePitch="326"/>
        </w:sectPr>
      </w:pPr>
    </w:p>
    <w:p w:rsidR="00BA7C2C" w:rsidRPr="00DE2F92" w:rsidRDefault="00BA7C2C" w:rsidP="00BA7C2C">
      <w:pPr>
        <w:pStyle w:val="Point1"/>
        <w:numPr>
          <w:ilvl w:val="0"/>
          <w:numId w:val="14"/>
        </w:numPr>
        <w:spacing w:line="240" w:lineRule="auto"/>
        <w:rPr>
          <w:sz w:val="20"/>
        </w:rPr>
      </w:pPr>
      <w:r w:rsidRPr="00DE2F92">
        <w:rPr>
          <w:sz w:val="20"/>
        </w:rPr>
        <w:lastRenderedPageBreak/>
        <w:t>Manufacturer(s) of the active substance(s) (name(s) and address(es) including location of plant(s))</w:t>
      </w:r>
      <w:bookmarkStart w:id="854" w:name="_Ref241556756"/>
      <w:r w:rsidRPr="00DE2F92">
        <w:rPr>
          <w:rStyle w:val="Voetnootmarkering"/>
        </w:rPr>
        <w:footnoteReference w:id="22"/>
      </w:r>
      <w:bookmarkEnd w:id="854"/>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r w:rsidRPr="00DE2F92">
        <w:rPr>
          <w:color w:val="000000"/>
        </w:rPr>
        <w:t xml:space="preserve">Name of the active substance: </w:t>
      </w:r>
      <w:r w:rsidRPr="00CC6775">
        <w:rPr>
          <w:color w:val="0000FF"/>
        </w:rPr>
        <w:t>bromadiolone</w:t>
      </w:r>
      <w:r w:rsidRPr="00DE2F92">
        <w:rPr>
          <w:color w:val="000000"/>
        </w:rPr>
        <w:t xml:space="preserve"> </w:t>
      </w:r>
    </w:p>
    <w:p w:rsidR="00BA7C2C" w:rsidRPr="00DE2F92"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p>
    <w:p w:rsidR="00BA7C2C" w:rsidRPr="00DE2F92"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DE2F92">
        <w:rPr>
          <w:color w:val="000000"/>
        </w:rPr>
        <w:t>Manufacturer</w:t>
      </w:r>
    </w:p>
    <w:p w:rsidR="00BA7C2C" w:rsidRPr="00A93767"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p>
    <w:p w:rsidR="00BA7C2C" w:rsidRPr="00A93767"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A93767">
        <w:rPr>
          <w:color w:val="000000"/>
        </w:rPr>
        <w:t xml:space="preserve">Company Name: </w:t>
      </w:r>
      <w:r w:rsidRPr="00CC6775">
        <w:rPr>
          <w:color w:val="0000FF"/>
        </w:rPr>
        <w:tab/>
      </w:r>
      <w:r w:rsidRPr="00CC6775">
        <w:rPr>
          <w:color w:val="0000FF"/>
          <w:lang w:val="de-DE"/>
        </w:rPr>
        <w:t>LiphaTech S.A.S. at AlzChem Trostberg GmbH</w:t>
      </w:r>
      <w:r w:rsidRPr="00A93767">
        <w:rPr>
          <w:color w:val="000000"/>
        </w:rPr>
        <w:tab/>
      </w:r>
      <w:r w:rsidRPr="00A93767">
        <w:rPr>
          <w:color w:val="000000"/>
        </w:rPr>
        <w:tab/>
      </w:r>
    </w:p>
    <w:p w:rsidR="00BA7C2C" w:rsidRPr="00CC6775"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FF"/>
          <w:lang w:val="de-DE"/>
        </w:rPr>
      </w:pPr>
      <w:r w:rsidRPr="00A93767">
        <w:rPr>
          <w:color w:val="000000"/>
        </w:rPr>
        <w:t>Address:</w:t>
      </w:r>
      <w:r w:rsidRPr="00A93767">
        <w:rPr>
          <w:color w:val="000000"/>
        </w:rPr>
        <w:tab/>
      </w:r>
      <w:smartTag w:uri="urn:schemas-microsoft-com:office:smarttags" w:element="place">
        <w:smartTag w:uri="urn:schemas-microsoft-com:office:smarttags" w:element="PlaceName">
          <w:r w:rsidRPr="00CC6775">
            <w:rPr>
              <w:color w:val="0000FF"/>
              <w:lang w:val="de-DE"/>
            </w:rPr>
            <w:t>Chemie</w:t>
          </w:r>
        </w:smartTag>
        <w:r w:rsidRPr="00CC6775">
          <w:rPr>
            <w:color w:val="0000FF"/>
            <w:lang w:val="de-DE"/>
          </w:rPr>
          <w:t xml:space="preserve"> </w:t>
        </w:r>
        <w:smartTag w:uri="urn:schemas-microsoft-com:office:smarttags" w:element="PlaceType">
          <w:r w:rsidRPr="00CC6775">
            <w:rPr>
              <w:color w:val="0000FF"/>
              <w:lang w:val="de-DE"/>
            </w:rPr>
            <w:t>Park</w:t>
          </w:r>
        </w:smartTag>
      </w:smartTag>
      <w:r w:rsidRPr="00CC6775">
        <w:rPr>
          <w:color w:val="0000FF"/>
          <w:lang w:val="de-DE"/>
        </w:rPr>
        <w:t xml:space="preserve"> Trostberg, </w:t>
      </w:r>
    </w:p>
    <w:p w:rsidR="00BA7C2C" w:rsidRPr="00CC6775"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FF"/>
        </w:rPr>
      </w:pPr>
      <w:r w:rsidRPr="00CC6775">
        <w:rPr>
          <w:color w:val="0000FF"/>
          <w:lang w:val="de-DE"/>
        </w:rPr>
        <w:tab/>
      </w:r>
      <w:r w:rsidRPr="00CC6775">
        <w:rPr>
          <w:color w:val="0000FF"/>
          <w:lang w:val="de-DE"/>
        </w:rPr>
        <w:tab/>
        <w:t>Dr Albert Frank strasse 32</w:t>
      </w:r>
    </w:p>
    <w:p w:rsidR="00BA7C2C"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A93767">
        <w:rPr>
          <w:color w:val="000000"/>
        </w:rPr>
        <w:t>City:</w:t>
      </w:r>
      <w:r w:rsidRPr="00A93767">
        <w:rPr>
          <w:color w:val="000000"/>
        </w:rPr>
        <w:tab/>
      </w:r>
      <w:r w:rsidRPr="00A93767">
        <w:rPr>
          <w:color w:val="000000"/>
        </w:rPr>
        <w:tab/>
      </w:r>
      <w:r w:rsidRPr="00CC6775">
        <w:rPr>
          <w:color w:val="0000FF"/>
          <w:lang w:val="de-DE"/>
        </w:rPr>
        <w:t>Trostberg</w:t>
      </w:r>
      <w:r w:rsidRPr="00A93767">
        <w:rPr>
          <w:color w:val="000000"/>
        </w:rPr>
        <w:tab/>
      </w:r>
    </w:p>
    <w:p w:rsidR="00BA7C2C"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A93767">
        <w:rPr>
          <w:color w:val="000000"/>
        </w:rPr>
        <w:t xml:space="preserve">Postal Code: </w:t>
      </w:r>
      <w:r w:rsidRPr="00A93767">
        <w:rPr>
          <w:color w:val="000000"/>
        </w:rPr>
        <w:tab/>
      </w:r>
      <w:r w:rsidRPr="00CC6775">
        <w:rPr>
          <w:color w:val="0000FF"/>
          <w:lang w:val="nb-NO"/>
        </w:rPr>
        <w:t>83308</w:t>
      </w:r>
      <w:r w:rsidRPr="00A93767">
        <w:rPr>
          <w:color w:val="000000"/>
        </w:rPr>
        <w:tab/>
      </w:r>
    </w:p>
    <w:p w:rsidR="00BA7C2C" w:rsidRPr="00A93767"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A93767">
        <w:rPr>
          <w:color w:val="000000"/>
        </w:rPr>
        <w:t xml:space="preserve">Country: </w:t>
      </w:r>
      <w:r w:rsidRPr="00A93767">
        <w:rPr>
          <w:color w:val="000000"/>
        </w:rPr>
        <w:tab/>
      </w:r>
      <w:smartTag w:uri="urn:schemas-microsoft-com:office:smarttags" w:element="place">
        <w:smartTag w:uri="urn:schemas-microsoft-com:office:smarttags" w:element="country-region">
          <w:r w:rsidRPr="00CC6775">
            <w:rPr>
              <w:color w:val="0000FF"/>
              <w:lang w:val="nb-NO"/>
            </w:rPr>
            <w:t>Germany</w:t>
          </w:r>
        </w:smartTag>
      </w:smartTag>
    </w:p>
    <w:p w:rsidR="00BA7C2C"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A93767">
        <w:rPr>
          <w:color w:val="000000"/>
        </w:rPr>
        <w:t>Telephone:</w:t>
      </w:r>
      <w:r w:rsidRPr="00A93767">
        <w:rPr>
          <w:color w:val="000000"/>
        </w:rPr>
        <w:tab/>
      </w:r>
      <w:r>
        <w:rPr>
          <w:color w:val="0000FF"/>
        </w:rPr>
        <w:t>+33 5 53 69 36 83</w:t>
      </w:r>
      <w:r w:rsidRPr="00A93767">
        <w:rPr>
          <w:color w:val="000000"/>
        </w:rPr>
        <w:tab/>
      </w:r>
    </w:p>
    <w:p w:rsidR="00BA7C2C"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A93767">
        <w:rPr>
          <w:color w:val="000000"/>
        </w:rPr>
        <w:t>Fax:</w:t>
      </w:r>
      <w:r w:rsidRPr="00A93767">
        <w:rPr>
          <w:color w:val="000000"/>
        </w:rPr>
        <w:tab/>
      </w:r>
      <w:r>
        <w:rPr>
          <w:color w:val="000000"/>
        </w:rPr>
        <w:tab/>
      </w:r>
      <w:r>
        <w:rPr>
          <w:color w:val="0000FF"/>
        </w:rPr>
        <w:t xml:space="preserve">+33 5 53 47 95 01    </w:t>
      </w:r>
    </w:p>
    <w:p w:rsidR="00BA7C2C" w:rsidRPr="00CC6775"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FF"/>
        </w:rPr>
      </w:pPr>
      <w:r w:rsidRPr="00A93767">
        <w:rPr>
          <w:color w:val="000000"/>
        </w:rPr>
        <w:t>E-Mail:</w:t>
      </w:r>
      <w:r>
        <w:rPr>
          <w:color w:val="000000"/>
        </w:rPr>
        <w:tab/>
      </w:r>
      <w:r>
        <w:rPr>
          <w:color w:val="000000"/>
        </w:rPr>
        <w:tab/>
      </w:r>
      <w:r>
        <w:rPr>
          <w:color w:val="0000FF"/>
        </w:rPr>
        <w:t>rollinf</w:t>
      </w:r>
      <w:r w:rsidRPr="00CC6775">
        <w:rPr>
          <w:color w:val="0000FF"/>
        </w:rPr>
        <w:t>@desangosse.com</w:t>
      </w: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r w:rsidRPr="00DE2F92">
        <w:rPr>
          <w:color w:val="000000"/>
        </w:rPr>
        <w:t xml:space="preserve">Intra-Community VAT number or, for non EU companies, company registration number: </w:t>
      </w:r>
      <w:r w:rsidRPr="00DF6AA5">
        <w:rPr>
          <w:color w:val="0000CC"/>
        </w:rPr>
        <w:t>FR91442688206</w:t>
      </w: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p>
    <w:p w:rsidR="00BA7C2C" w:rsidRPr="00CC6775" w:rsidRDefault="00BA7C2C" w:rsidP="00BA7C2C">
      <w:pPr>
        <w:pBdr>
          <w:top w:val="single" w:sz="12" w:space="1" w:color="auto"/>
          <w:left w:val="single" w:sz="12" w:space="1" w:color="auto"/>
          <w:bottom w:val="single" w:sz="12" w:space="1" w:color="auto"/>
          <w:right w:val="single" w:sz="12" w:space="1" w:color="auto"/>
        </w:pBdr>
        <w:ind w:left="709" w:hanging="709"/>
        <w:rPr>
          <w:color w:val="0000FF"/>
        </w:rPr>
      </w:pPr>
      <w:r w:rsidRPr="00CC6775">
        <w:rPr>
          <w:color w:val="0000FF"/>
        </w:rPr>
        <w:t>Manufacturing site same address.</w:t>
      </w: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p>
    <w:p w:rsidR="00BA7C2C" w:rsidRPr="00DE2F92" w:rsidRDefault="00BA7C2C" w:rsidP="00BA7C2C">
      <w:pPr>
        <w:pStyle w:val="Plattetekstinspringen2"/>
        <w:spacing w:line="240" w:lineRule="auto"/>
        <w:ind w:left="0"/>
        <w:rPr>
          <w:b/>
          <w:i/>
          <w:color w:val="000000"/>
        </w:rPr>
      </w:pPr>
    </w:p>
    <w:p w:rsidR="00BA7C2C" w:rsidRPr="00DE2F92" w:rsidRDefault="00BA7C2C" w:rsidP="00BA7C2C">
      <w:pPr>
        <w:pStyle w:val="Point1"/>
        <w:numPr>
          <w:ilvl w:val="0"/>
          <w:numId w:val="14"/>
        </w:numPr>
        <w:spacing w:line="240" w:lineRule="auto"/>
        <w:rPr>
          <w:sz w:val="20"/>
        </w:rPr>
      </w:pPr>
      <w:r w:rsidRPr="00DE2F92">
        <w:rPr>
          <w:sz w:val="20"/>
        </w:rPr>
        <w:t xml:space="preserve">Formulator(s) of the </w:t>
      </w:r>
      <w:smartTag w:uri="urn:schemas-microsoft-com:office:smarttags" w:element="PersonName">
        <w:r w:rsidRPr="00DE2F92">
          <w:rPr>
            <w:sz w:val="20"/>
          </w:rPr>
          <w:t>biocid</w:t>
        </w:r>
      </w:smartTag>
      <w:r w:rsidRPr="00DE2F92">
        <w:rPr>
          <w:sz w:val="20"/>
        </w:rPr>
        <w:t>al product (name(s) and address(es) including location of plant(s))</w:t>
      </w:r>
      <w:r w:rsidRPr="00DE2F92">
        <w:rPr>
          <w:sz w:val="20"/>
          <w:vertAlign w:val="superscript"/>
        </w:rPr>
        <w:fldChar w:fldCharType="begin"/>
      </w:r>
      <w:r w:rsidRPr="00DE2F92">
        <w:rPr>
          <w:sz w:val="20"/>
          <w:vertAlign w:val="superscript"/>
        </w:rPr>
        <w:instrText xml:space="preserve"> NOTEREF _Ref241556756 \h  \* MERGEFORMAT </w:instrText>
      </w:r>
      <w:r w:rsidRPr="00DE2F92">
        <w:rPr>
          <w:sz w:val="20"/>
          <w:vertAlign w:val="superscript"/>
        </w:rPr>
      </w:r>
      <w:r w:rsidRPr="00DE2F92">
        <w:rPr>
          <w:sz w:val="20"/>
          <w:vertAlign w:val="superscript"/>
        </w:rPr>
        <w:fldChar w:fldCharType="separate"/>
      </w:r>
      <w:r>
        <w:rPr>
          <w:sz w:val="20"/>
          <w:vertAlign w:val="superscript"/>
        </w:rPr>
        <w:t>17</w:t>
      </w:r>
      <w:r w:rsidRPr="00DE2F92">
        <w:rPr>
          <w:sz w:val="20"/>
          <w:vertAlign w:val="superscript"/>
        </w:rPr>
        <w:fldChar w:fldCharType="end"/>
      </w:r>
    </w:p>
    <w:p w:rsidR="00BA7C2C" w:rsidRPr="00DE2F92"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DE2F92">
        <w:rPr>
          <w:color w:val="000000"/>
        </w:rPr>
        <w:t>Formulator</w:t>
      </w:r>
    </w:p>
    <w:p w:rsidR="00BA7C2C" w:rsidRPr="00DE2F92"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p>
    <w:p w:rsidR="00BA7C2C" w:rsidRPr="001039EB"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1039EB">
        <w:rPr>
          <w:color w:val="000000"/>
        </w:rPr>
        <w:t xml:space="preserve">Company Name: </w:t>
      </w:r>
      <w:r w:rsidRPr="00CC6775">
        <w:rPr>
          <w:color w:val="0000FF"/>
        </w:rPr>
        <w:tab/>
      </w:r>
      <w:r w:rsidRPr="00E9475A">
        <w:rPr>
          <w:color w:val="0000FF"/>
        </w:rPr>
        <w:t>LiphaTech S.A.S</w:t>
      </w:r>
      <w:r w:rsidRPr="00E9475A">
        <w:t>.</w:t>
      </w:r>
    </w:p>
    <w:p w:rsidR="00BA7C2C" w:rsidRPr="00E9475A"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FF"/>
          <w:lang w:val="fr-FR"/>
        </w:rPr>
      </w:pPr>
      <w:r w:rsidRPr="00E9475A">
        <w:rPr>
          <w:color w:val="000000"/>
          <w:lang w:val="fr-FR"/>
        </w:rPr>
        <w:t>Address:</w:t>
      </w:r>
      <w:r w:rsidRPr="00E9475A">
        <w:rPr>
          <w:color w:val="000000"/>
          <w:lang w:val="fr-FR"/>
        </w:rPr>
        <w:tab/>
      </w:r>
      <w:r w:rsidRPr="00CC6775">
        <w:rPr>
          <w:color w:val="0000FF"/>
          <w:lang w:val="fr-FR"/>
        </w:rPr>
        <w:t>Production centre,Av Jean Serres, ZA Malère</w:t>
      </w:r>
    </w:p>
    <w:p w:rsidR="00BA7C2C" w:rsidRPr="00E9475A"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lang w:val="fr-FR"/>
        </w:rPr>
      </w:pPr>
      <w:r w:rsidRPr="00E9475A">
        <w:rPr>
          <w:color w:val="000000"/>
          <w:lang w:val="fr-FR"/>
        </w:rPr>
        <w:t>City:</w:t>
      </w:r>
      <w:r w:rsidRPr="00E9475A">
        <w:rPr>
          <w:color w:val="000000"/>
          <w:lang w:val="fr-FR"/>
        </w:rPr>
        <w:tab/>
      </w:r>
      <w:r w:rsidRPr="00E9475A">
        <w:rPr>
          <w:color w:val="000000"/>
          <w:lang w:val="fr-FR"/>
        </w:rPr>
        <w:tab/>
      </w:r>
      <w:r w:rsidRPr="00CC6775">
        <w:rPr>
          <w:color w:val="0000FF"/>
          <w:lang w:val="fr-FR"/>
        </w:rPr>
        <w:t>Pont du Casse</w:t>
      </w:r>
      <w:r w:rsidRPr="00E9475A">
        <w:rPr>
          <w:color w:val="000000"/>
          <w:lang w:val="fr-FR"/>
        </w:rPr>
        <w:tab/>
      </w:r>
    </w:p>
    <w:p w:rsidR="00BA7C2C" w:rsidRPr="00E9475A"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lang w:val="fr-FR"/>
        </w:rPr>
      </w:pPr>
      <w:r w:rsidRPr="00E9475A">
        <w:rPr>
          <w:color w:val="000000"/>
          <w:lang w:val="fr-FR"/>
        </w:rPr>
        <w:t xml:space="preserve">Postal Code: </w:t>
      </w:r>
      <w:r w:rsidRPr="00E9475A">
        <w:rPr>
          <w:color w:val="000000"/>
          <w:lang w:val="fr-FR"/>
        </w:rPr>
        <w:tab/>
      </w:r>
      <w:r w:rsidRPr="00CC6775">
        <w:rPr>
          <w:color w:val="0000FF"/>
          <w:lang w:val="fr-FR"/>
        </w:rPr>
        <w:t>47480</w:t>
      </w:r>
      <w:r w:rsidRPr="001039EB">
        <w:rPr>
          <w:lang w:val="fr-FR"/>
        </w:rPr>
        <w:t> </w:t>
      </w:r>
      <w:r w:rsidRPr="00E9475A">
        <w:rPr>
          <w:color w:val="000000"/>
          <w:lang w:val="fr-FR"/>
        </w:rPr>
        <w:tab/>
      </w:r>
    </w:p>
    <w:p w:rsidR="00BA7C2C" w:rsidRPr="001039EB"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1039EB">
        <w:rPr>
          <w:color w:val="000000"/>
        </w:rPr>
        <w:t xml:space="preserve">Country: </w:t>
      </w:r>
      <w:r w:rsidRPr="001039EB">
        <w:rPr>
          <w:color w:val="000000"/>
        </w:rPr>
        <w:tab/>
      </w:r>
      <w:smartTag w:uri="urn:schemas-microsoft-com:office:smarttags" w:element="country-region">
        <w:smartTag w:uri="urn:schemas-microsoft-com:office:smarttags" w:element="place">
          <w:r w:rsidRPr="00E9475A">
            <w:rPr>
              <w:color w:val="0000FF"/>
            </w:rPr>
            <w:t>France</w:t>
          </w:r>
        </w:smartTag>
      </w:smartTag>
    </w:p>
    <w:p w:rsidR="00BA7C2C"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1039EB">
        <w:rPr>
          <w:color w:val="000000"/>
        </w:rPr>
        <w:t>Telephone:</w:t>
      </w:r>
      <w:r w:rsidRPr="001039EB">
        <w:rPr>
          <w:color w:val="000000"/>
        </w:rPr>
        <w:tab/>
      </w:r>
      <w:r w:rsidRPr="00CC6775">
        <w:rPr>
          <w:color w:val="0000FF"/>
        </w:rPr>
        <w:t xml:space="preserve">+33 5 53 69 </w:t>
      </w:r>
      <w:r>
        <w:rPr>
          <w:color w:val="0000FF"/>
        </w:rPr>
        <w:t>36 83</w:t>
      </w:r>
      <w:r w:rsidRPr="00CC6775">
        <w:rPr>
          <w:color w:val="0000FF"/>
        </w:rPr>
        <w:tab/>
      </w:r>
    </w:p>
    <w:p w:rsidR="00BA7C2C"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00"/>
        </w:rPr>
      </w:pPr>
      <w:r w:rsidRPr="001039EB">
        <w:rPr>
          <w:color w:val="000000"/>
        </w:rPr>
        <w:t>Fax:</w:t>
      </w:r>
      <w:r w:rsidRPr="001039EB">
        <w:rPr>
          <w:color w:val="000000"/>
        </w:rPr>
        <w:tab/>
      </w:r>
      <w:r>
        <w:rPr>
          <w:color w:val="000000"/>
        </w:rPr>
        <w:tab/>
      </w:r>
      <w:r>
        <w:rPr>
          <w:color w:val="0000FF"/>
        </w:rPr>
        <w:t>+33 5 53 47 95 01</w:t>
      </w:r>
      <w:r w:rsidRPr="001039EB">
        <w:rPr>
          <w:color w:val="000000"/>
        </w:rPr>
        <w:tab/>
      </w:r>
    </w:p>
    <w:p w:rsidR="00BA7C2C" w:rsidRPr="00CC6775" w:rsidRDefault="00BA7C2C" w:rsidP="00BA7C2C">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color w:val="0000FF"/>
        </w:rPr>
      </w:pPr>
      <w:r w:rsidRPr="001039EB">
        <w:rPr>
          <w:color w:val="000000"/>
        </w:rPr>
        <w:t>E-Mail:</w:t>
      </w:r>
      <w:r w:rsidRPr="001039EB">
        <w:rPr>
          <w:color w:val="000000"/>
        </w:rPr>
        <w:tab/>
      </w:r>
      <w:r>
        <w:rPr>
          <w:color w:val="000000"/>
        </w:rPr>
        <w:tab/>
      </w:r>
      <w:r>
        <w:t>rollinf</w:t>
      </w:r>
      <w:r w:rsidRPr="0008523C">
        <w:t>@desangosse.com</w:t>
      </w:r>
    </w:p>
    <w:p w:rsidR="00BA7C2C" w:rsidRPr="001039EB"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r w:rsidRPr="001039EB">
        <w:rPr>
          <w:color w:val="000000"/>
        </w:rPr>
        <w:t>Intra-Community VAT number or, for non EU companies</w:t>
      </w:r>
      <w:r w:rsidRPr="00DE2F92">
        <w:rPr>
          <w:color w:val="000000"/>
        </w:rPr>
        <w:t xml:space="preserve">, company registration number: </w:t>
      </w:r>
      <w:r w:rsidRPr="00DF6AA5">
        <w:rPr>
          <w:color w:val="0000CC"/>
        </w:rPr>
        <w:t>FR91442688206</w:t>
      </w: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p>
    <w:p w:rsidR="00BA7C2C" w:rsidRPr="00CC6775" w:rsidRDefault="00BA7C2C" w:rsidP="00BA7C2C">
      <w:pPr>
        <w:pBdr>
          <w:top w:val="single" w:sz="12" w:space="1" w:color="auto"/>
          <w:left w:val="single" w:sz="12" w:space="1" w:color="auto"/>
          <w:bottom w:val="single" w:sz="12" w:space="1" w:color="auto"/>
          <w:right w:val="single" w:sz="12" w:space="1" w:color="auto"/>
        </w:pBdr>
        <w:ind w:left="709" w:hanging="709"/>
        <w:rPr>
          <w:color w:val="0000FF"/>
        </w:rPr>
      </w:pPr>
      <w:r w:rsidRPr="00CC6775">
        <w:rPr>
          <w:color w:val="0000FF"/>
        </w:rPr>
        <w:lastRenderedPageBreak/>
        <w:t>Formulation site same address.</w:t>
      </w:r>
    </w:p>
    <w:p w:rsidR="00BA7C2C" w:rsidRPr="00DE2F92" w:rsidRDefault="00BA7C2C" w:rsidP="00BA7C2C">
      <w:pPr>
        <w:pBdr>
          <w:top w:val="single" w:sz="12" w:space="1" w:color="auto"/>
          <w:left w:val="single" w:sz="12" w:space="1" w:color="auto"/>
          <w:bottom w:val="single" w:sz="12" w:space="1" w:color="auto"/>
          <w:right w:val="single" w:sz="12" w:space="1" w:color="auto"/>
        </w:pBdr>
        <w:ind w:left="709" w:hanging="709"/>
        <w:rPr>
          <w:color w:val="000000"/>
        </w:rPr>
      </w:pPr>
    </w:p>
    <w:p w:rsidR="00BA7C2C" w:rsidRPr="00DE2F92" w:rsidRDefault="00BA7C2C" w:rsidP="00BA7C2C">
      <w:pPr>
        <w:pStyle w:val="Point1"/>
        <w:spacing w:before="0"/>
        <w:ind w:left="0" w:firstLine="0"/>
        <w:rPr>
          <w:sz w:val="20"/>
        </w:rPr>
      </w:pPr>
    </w:p>
    <w:p w:rsidR="00BA7C2C" w:rsidRPr="00DE2F92" w:rsidRDefault="00BA7C2C" w:rsidP="00BA7C2C">
      <w:pPr>
        <w:pStyle w:val="Point1"/>
        <w:ind w:left="0" w:firstLine="0"/>
        <w:rPr>
          <w:b/>
          <w:i/>
          <w:sz w:val="20"/>
        </w:rPr>
      </w:pPr>
      <w:r w:rsidRPr="00DE2F92">
        <w:rPr>
          <w:b/>
          <w:i/>
          <w:sz w:val="20"/>
        </w:rPr>
        <w:br w:type="page"/>
      </w:r>
      <w:r w:rsidRPr="00DE2F92">
        <w:rPr>
          <w:b/>
          <w:i/>
          <w:sz w:val="20"/>
        </w:rPr>
        <w:lastRenderedPageBreak/>
        <w:t>Physical state and nature of the biocidal product:</w:t>
      </w:r>
    </w:p>
    <w:p w:rsidR="00BA7C2C" w:rsidRPr="00CC6775" w:rsidRDefault="00BA7C2C" w:rsidP="00BA7C2C">
      <w:pPr>
        <w:numPr>
          <w:ilvl w:val="0"/>
          <w:numId w:val="14"/>
        </w:numPr>
        <w:spacing w:before="120" w:after="120" w:line="240" w:lineRule="auto"/>
        <w:jc w:val="both"/>
        <w:rPr>
          <w:color w:val="0000FF"/>
        </w:rPr>
      </w:pPr>
      <w:r w:rsidRPr="00DE2F92">
        <w:rPr>
          <w:bCs/>
        </w:rPr>
        <w:t>Type of formulation</w:t>
      </w:r>
      <w:r>
        <w:rPr>
          <w:bCs/>
        </w:rPr>
        <w:t xml:space="preserve">: </w:t>
      </w:r>
      <w:r w:rsidRPr="00CC6775">
        <w:rPr>
          <w:bCs/>
          <w:color w:val="0000FF"/>
        </w:rPr>
        <w:t>RB</w:t>
      </w:r>
    </w:p>
    <w:p w:rsidR="00BA7C2C" w:rsidRPr="00DE2F92" w:rsidRDefault="00BA7C2C" w:rsidP="00BA7C2C">
      <w:pPr>
        <w:pStyle w:val="Point1"/>
        <w:numPr>
          <w:ilvl w:val="0"/>
          <w:numId w:val="14"/>
        </w:numPr>
        <w:tabs>
          <w:tab w:val="left" w:pos="3240"/>
        </w:tabs>
        <w:spacing w:line="240" w:lineRule="auto"/>
        <w:rPr>
          <w:sz w:val="20"/>
        </w:rPr>
      </w:pPr>
      <w:r w:rsidRPr="00DE2F92">
        <w:rPr>
          <w:color w:val="000000"/>
          <w:sz w:val="20"/>
        </w:rPr>
        <w:t xml:space="preserve">Ready-to-use product: </w:t>
      </w:r>
      <w:r w:rsidRPr="00DE2F92">
        <w:rPr>
          <w:sz w:val="20"/>
        </w:rPr>
        <w:fldChar w:fldCharType="begin">
          <w:ffData>
            <w:name w:val="Selectievakje13"/>
            <w:enabled/>
            <w:calcOnExit w:val="0"/>
            <w:checkBox>
              <w:sizeAuto/>
              <w:default w:val="0"/>
            </w:checkBox>
          </w:ffData>
        </w:fldChar>
      </w:r>
      <w:r w:rsidRPr="00DE2F92">
        <w:rPr>
          <w:sz w:val="20"/>
        </w:rPr>
        <w:instrText xml:space="preserve"> FORMCHECKBOX </w:instrText>
      </w:r>
      <w:r w:rsidR="00B1753E">
        <w:rPr>
          <w:sz w:val="20"/>
        </w:rPr>
      </w:r>
      <w:r w:rsidR="00B1753E">
        <w:rPr>
          <w:sz w:val="20"/>
        </w:rPr>
        <w:fldChar w:fldCharType="separate"/>
      </w:r>
      <w:r w:rsidRPr="00DE2F92">
        <w:rPr>
          <w:sz w:val="20"/>
        </w:rPr>
        <w:fldChar w:fldCharType="end"/>
      </w:r>
      <w:r w:rsidRPr="00DE2F92">
        <w:rPr>
          <w:sz w:val="20"/>
        </w:rPr>
        <w:t>no</w:t>
      </w:r>
      <w:r w:rsidRPr="00DE2F92">
        <w:rPr>
          <w:sz w:val="20"/>
        </w:rPr>
        <w:tab/>
      </w:r>
      <w:r w:rsidRPr="00CC6775">
        <w:rPr>
          <w:rFonts w:ascii="Times New Roman Vet" w:hAnsi="Times New Roman Vet"/>
          <w:b/>
          <w:color w:val="000000"/>
          <w:sz w:val="36"/>
          <w:szCs w:val="36"/>
        </w:rPr>
        <w:t>■</w:t>
      </w:r>
      <w:r w:rsidRPr="00DE2F92">
        <w:rPr>
          <w:sz w:val="20"/>
        </w:rPr>
        <w:t xml:space="preserve"> yes</w:t>
      </w:r>
    </w:p>
    <w:p w:rsidR="00BA7C2C" w:rsidRPr="00DE2F92" w:rsidRDefault="00BA7C2C" w:rsidP="00BA7C2C">
      <w:pPr>
        <w:pStyle w:val="Point1"/>
        <w:ind w:left="0" w:firstLine="0"/>
        <w:rPr>
          <w:b/>
          <w:i/>
          <w:sz w:val="20"/>
        </w:rPr>
      </w:pPr>
      <w:r w:rsidRPr="00DE2F92">
        <w:rPr>
          <w:b/>
          <w:i/>
          <w:sz w:val="20"/>
        </w:rPr>
        <w:t>Classification and labelling statements of the biocidal product:</w:t>
      </w:r>
    </w:p>
    <w:p w:rsidR="00BA7C2C" w:rsidRPr="00513C44" w:rsidRDefault="00BA7C2C" w:rsidP="00BA7C2C">
      <w:pPr>
        <w:numPr>
          <w:ilvl w:val="0"/>
          <w:numId w:val="14"/>
        </w:numPr>
        <w:spacing w:before="120" w:after="120" w:line="240" w:lineRule="auto"/>
        <w:jc w:val="both"/>
        <w:rPr>
          <w:color w:val="0000FF"/>
        </w:rPr>
      </w:pPr>
      <w:r w:rsidRPr="00DE2F92">
        <w:rPr>
          <w:bCs/>
          <w:color w:val="000000"/>
        </w:rPr>
        <w:t xml:space="preserve">Product classification: </w:t>
      </w:r>
      <w:r>
        <w:rPr>
          <w:color w:val="000000"/>
        </w:rPr>
        <w:t xml:space="preserve"> </w:t>
      </w:r>
      <w:r w:rsidRPr="00513C44">
        <w:rPr>
          <w:color w:val="0000FF"/>
        </w:rPr>
        <w:t>Xn, harmful</w:t>
      </w:r>
    </w:p>
    <w:p w:rsidR="00BA7C2C" w:rsidRDefault="00BA7C2C" w:rsidP="00BA7C2C">
      <w:pPr>
        <w:numPr>
          <w:ilvl w:val="0"/>
          <w:numId w:val="14"/>
        </w:numPr>
        <w:spacing w:before="120" w:after="120" w:line="240" w:lineRule="auto"/>
        <w:jc w:val="both"/>
        <w:rPr>
          <w:color w:val="000000"/>
        </w:rPr>
      </w:pPr>
      <w:r w:rsidRPr="00DE2F92">
        <w:t>Risk and Safety Phrases</w:t>
      </w:r>
      <w:r w:rsidRPr="00DE2F92">
        <w:rPr>
          <w:bCs/>
          <w:color w:val="000000"/>
        </w:rPr>
        <w:t xml:space="preserve">: </w:t>
      </w:r>
      <w:r w:rsidRPr="00DE2F92">
        <w:rPr>
          <w:color w:val="000000"/>
        </w:rPr>
        <w:t xml:space="preserve"> </w:t>
      </w:r>
    </w:p>
    <w:p w:rsidR="00BA7C2C" w:rsidRPr="00513C44" w:rsidRDefault="00BA7C2C" w:rsidP="00BA7C2C">
      <w:pPr>
        <w:spacing w:line="240" w:lineRule="auto"/>
        <w:jc w:val="both"/>
        <w:rPr>
          <w:color w:val="0000FF"/>
        </w:rPr>
      </w:pPr>
      <w:r w:rsidRPr="00513C44">
        <w:rPr>
          <w:color w:val="0000FF"/>
        </w:rPr>
        <w:t>Professionals:</w:t>
      </w:r>
      <w:r>
        <w:rPr>
          <w:color w:val="0000FF"/>
        </w:rPr>
        <w:tab/>
      </w:r>
      <w:r>
        <w:rPr>
          <w:color w:val="0000FF"/>
        </w:rPr>
        <w:tab/>
      </w:r>
      <w:r w:rsidRPr="00513C44">
        <w:rPr>
          <w:color w:val="0000FF"/>
        </w:rPr>
        <w:t>R48/20/21/22</w:t>
      </w:r>
    </w:p>
    <w:p w:rsidR="00BA7C2C" w:rsidRDefault="00BA7C2C" w:rsidP="00BA7C2C">
      <w:pPr>
        <w:spacing w:line="240" w:lineRule="auto"/>
        <w:ind w:left="1304" w:firstLine="1304"/>
        <w:jc w:val="both"/>
        <w:rPr>
          <w:color w:val="0000FF"/>
        </w:rPr>
      </w:pPr>
      <w:r w:rsidRPr="00513C44">
        <w:rPr>
          <w:color w:val="0000FF"/>
        </w:rPr>
        <w:t>S2</w:t>
      </w:r>
    </w:p>
    <w:p w:rsidR="00BA7C2C" w:rsidRPr="00513C44" w:rsidRDefault="00BA7C2C" w:rsidP="00BA7C2C">
      <w:pPr>
        <w:spacing w:line="240" w:lineRule="auto"/>
        <w:ind w:left="1304" w:firstLine="1304"/>
        <w:jc w:val="both"/>
        <w:rPr>
          <w:color w:val="0000FF"/>
        </w:rPr>
      </w:pPr>
      <w:r>
        <w:rPr>
          <w:color w:val="0000FF"/>
        </w:rPr>
        <w:t>S37</w:t>
      </w:r>
    </w:p>
    <w:p w:rsidR="00BA7C2C" w:rsidRDefault="00BA7C2C" w:rsidP="00BA7C2C">
      <w:pPr>
        <w:spacing w:line="240" w:lineRule="auto"/>
        <w:ind w:left="1304" w:firstLine="1304"/>
        <w:jc w:val="both"/>
        <w:rPr>
          <w:color w:val="0000FF"/>
        </w:rPr>
      </w:pPr>
      <w:r w:rsidRPr="00513C44">
        <w:rPr>
          <w:color w:val="0000FF"/>
        </w:rPr>
        <w:t>S4</w:t>
      </w:r>
      <w:r>
        <w:rPr>
          <w:color w:val="0000FF"/>
        </w:rPr>
        <w:t>6</w:t>
      </w:r>
    </w:p>
    <w:p w:rsidR="00BA7C2C" w:rsidRDefault="00BA7C2C" w:rsidP="00BA7C2C">
      <w:pPr>
        <w:spacing w:line="240" w:lineRule="auto"/>
        <w:jc w:val="both"/>
        <w:rPr>
          <w:color w:val="0000FF"/>
        </w:rPr>
      </w:pPr>
    </w:p>
    <w:p w:rsidR="00BA7C2C" w:rsidRPr="00513C44" w:rsidRDefault="00BA7C2C" w:rsidP="00BA7C2C">
      <w:pPr>
        <w:spacing w:line="240" w:lineRule="auto"/>
        <w:jc w:val="both"/>
        <w:rPr>
          <w:color w:val="0000FF"/>
        </w:rPr>
      </w:pPr>
      <w:r>
        <w:rPr>
          <w:color w:val="0000FF"/>
        </w:rPr>
        <w:t>Non-</w:t>
      </w:r>
      <w:r w:rsidRPr="00513C44">
        <w:rPr>
          <w:color w:val="0000FF"/>
        </w:rPr>
        <w:t>Professionals:</w:t>
      </w:r>
      <w:r>
        <w:rPr>
          <w:color w:val="0000FF"/>
        </w:rPr>
        <w:tab/>
      </w:r>
      <w:r w:rsidRPr="00513C44">
        <w:rPr>
          <w:color w:val="0000FF"/>
        </w:rPr>
        <w:t>R48/20/21/22</w:t>
      </w:r>
    </w:p>
    <w:p w:rsidR="00BA7C2C" w:rsidRPr="00513C44" w:rsidRDefault="00BA7C2C" w:rsidP="00BA7C2C">
      <w:pPr>
        <w:spacing w:line="240" w:lineRule="auto"/>
        <w:ind w:left="1304" w:firstLine="1304"/>
        <w:jc w:val="both"/>
        <w:rPr>
          <w:color w:val="0000FF"/>
        </w:rPr>
      </w:pPr>
      <w:r w:rsidRPr="00513C44">
        <w:rPr>
          <w:color w:val="0000FF"/>
        </w:rPr>
        <w:t>S2</w:t>
      </w:r>
    </w:p>
    <w:p w:rsidR="00BA7C2C" w:rsidRDefault="00BA7C2C" w:rsidP="00BA7C2C">
      <w:pPr>
        <w:spacing w:line="240" w:lineRule="auto"/>
        <w:ind w:left="1304" w:firstLine="1304"/>
        <w:jc w:val="both"/>
        <w:rPr>
          <w:color w:val="0000FF"/>
        </w:rPr>
      </w:pPr>
      <w:r w:rsidRPr="00513C44">
        <w:rPr>
          <w:color w:val="0000FF"/>
        </w:rPr>
        <w:t>S</w:t>
      </w:r>
      <w:r>
        <w:rPr>
          <w:color w:val="0000FF"/>
        </w:rPr>
        <w:t>13</w:t>
      </w:r>
    </w:p>
    <w:p w:rsidR="00BA7C2C" w:rsidRPr="00513C44" w:rsidRDefault="00BA7C2C" w:rsidP="00BA7C2C">
      <w:pPr>
        <w:spacing w:line="240" w:lineRule="auto"/>
        <w:ind w:left="1304" w:firstLine="1304"/>
        <w:jc w:val="both"/>
        <w:rPr>
          <w:color w:val="0000FF"/>
        </w:rPr>
      </w:pPr>
      <w:r>
        <w:rPr>
          <w:color w:val="0000FF"/>
        </w:rPr>
        <w:t>S46</w:t>
      </w:r>
    </w:p>
    <w:p w:rsidR="00BA7C2C" w:rsidRDefault="00BA7C2C" w:rsidP="00BA7C2C">
      <w:pPr>
        <w:numPr>
          <w:ilvl w:val="0"/>
          <w:numId w:val="14"/>
        </w:numPr>
        <w:spacing w:before="120" w:after="120" w:line="240" w:lineRule="auto"/>
        <w:jc w:val="both"/>
        <w:rPr>
          <w:color w:val="000000"/>
        </w:rPr>
      </w:pPr>
      <w:r w:rsidRPr="00DE2F92">
        <w:rPr>
          <w:bCs/>
          <w:color w:val="000000"/>
        </w:rPr>
        <w:t xml:space="preserve">Product classification according to GHS: </w:t>
      </w:r>
      <w:r w:rsidRPr="00DE2F92">
        <w:rPr>
          <w:color w:val="000000"/>
        </w:rPr>
        <w:t xml:space="preserve"> </w:t>
      </w:r>
      <w:r w:rsidRPr="00364BD2">
        <w:rPr>
          <w:color w:val="0000FF"/>
        </w:rPr>
        <w:t>GHS08</w:t>
      </w:r>
    </w:p>
    <w:p w:rsidR="00BA7C2C" w:rsidRPr="00364BD2" w:rsidRDefault="00BA7C2C" w:rsidP="00BA7C2C">
      <w:pPr>
        <w:numPr>
          <w:ilvl w:val="0"/>
          <w:numId w:val="14"/>
        </w:numPr>
        <w:spacing w:before="120" w:after="120" w:line="240" w:lineRule="auto"/>
        <w:jc w:val="both"/>
        <w:rPr>
          <w:color w:val="000000"/>
        </w:rPr>
      </w:pPr>
      <w:r w:rsidRPr="00DE2F92">
        <w:t>Hazard statement according to GHS</w:t>
      </w:r>
      <w:r w:rsidRPr="00DE2F92">
        <w:rPr>
          <w:bCs/>
          <w:color w:val="000000"/>
        </w:rPr>
        <w:t xml:space="preserve">: </w:t>
      </w:r>
      <w:r w:rsidRPr="00DE2F92">
        <w:rPr>
          <w:color w:val="000000"/>
        </w:rPr>
        <w:t xml:space="preserve"> </w:t>
      </w:r>
      <w:r w:rsidRPr="00364BD2">
        <w:rPr>
          <w:color w:val="0000FF"/>
        </w:rPr>
        <w:t>STOT RE Cat. 2</w:t>
      </w:r>
      <w:r>
        <w:rPr>
          <w:color w:val="0000FF"/>
        </w:rPr>
        <w:t>, Code H373.</w:t>
      </w:r>
    </w:p>
    <w:p w:rsidR="00BA7C2C" w:rsidRPr="00DE2F92" w:rsidRDefault="00BA7C2C" w:rsidP="00BA7C2C">
      <w:pPr>
        <w:spacing w:before="120" w:after="120" w:line="240" w:lineRule="auto"/>
        <w:jc w:val="both"/>
        <w:rPr>
          <w:color w:val="000000"/>
        </w:rPr>
      </w:pPr>
    </w:p>
    <w:p w:rsidR="00BA7C2C" w:rsidRPr="00DE2F92" w:rsidRDefault="00BA7C2C" w:rsidP="00BA7C2C">
      <w:pPr>
        <w:rPr>
          <w:b/>
          <w:i/>
          <w:color w:val="000000"/>
        </w:rPr>
      </w:pPr>
      <w:r w:rsidRPr="00DE2F92">
        <w:rPr>
          <w:b/>
          <w:i/>
        </w:rPr>
        <w:t>Intended uses and efficacy:</w:t>
      </w:r>
    </w:p>
    <w:p w:rsidR="00BA7C2C" w:rsidRPr="006319F6" w:rsidRDefault="00BA7C2C" w:rsidP="00BA7C2C">
      <w:pPr>
        <w:pStyle w:val="Point1"/>
        <w:numPr>
          <w:ilvl w:val="0"/>
          <w:numId w:val="14"/>
        </w:numPr>
        <w:pBdr>
          <w:top w:val="single" w:sz="12" w:space="1" w:color="auto"/>
          <w:left w:val="single" w:sz="12" w:space="4" w:color="auto"/>
          <w:bottom w:val="single" w:sz="12" w:space="1" w:color="auto"/>
          <w:right w:val="single" w:sz="12" w:space="4" w:color="auto"/>
        </w:pBdr>
        <w:tabs>
          <w:tab w:val="left" w:pos="3960"/>
        </w:tabs>
        <w:spacing w:line="240" w:lineRule="auto"/>
        <w:rPr>
          <w:color w:val="0000FF"/>
          <w:sz w:val="20"/>
        </w:rPr>
      </w:pPr>
      <w:r w:rsidRPr="00DE2F92">
        <w:rPr>
          <w:sz w:val="20"/>
        </w:rPr>
        <w:t>PT:</w:t>
      </w:r>
      <w:r>
        <w:rPr>
          <w:sz w:val="20"/>
        </w:rPr>
        <w:t xml:space="preserve"> </w:t>
      </w:r>
      <w:r>
        <w:rPr>
          <w:sz w:val="20"/>
        </w:rPr>
        <w:tab/>
      </w:r>
      <w:r w:rsidRPr="006319F6">
        <w:rPr>
          <w:color w:val="0000FF"/>
          <w:sz w:val="20"/>
        </w:rPr>
        <w:t>PT 14 (Rodenticides)</w:t>
      </w:r>
    </w:p>
    <w:p w:rsidR="00BA7C2C" w:rsidRPr="006319F6" w:rsidRDefault="00BA7C2C" w:rsidP="00BA7C2C">
      <w:pPr>
        <w:pStyle w:val="Point1"/>
        <w:numPr>
          <w:ilvl w:val="0"/>
          <w:numId w:val="14"/>
        </w:numPr>
        <w:pBdr>
          <w:top w:val="single" w:sz="12" w:space="1" w:color="auto"/>
          <w:left w:val="single" w:sz="12" w:space="4" w:color="auto"/>
          <w:bottom w:val="single" w:sz="12" w:space="1" w:color="auto"/>
          <w:right w:val="single" w:sz="12" w:space="4" w:color="auto"/>
        </w:pBdr>
        <w:tabs>
          <w:tab w:val="left" w:pos="3960"/>
        </w:tabs>
        <w:spacing w:line="240" w:lineRule="auto"/>
        <w:jc w:val="left"/>
        <w:rPr>
          <w:color w:val="0000FF"/>
          <w:sz w:val="20"/>
        </w:rPr>
      </w:pPr>
      <w:r w:rsidRPr="00DE2F92">
        <w:rPr>
          <w:sz w:val="20"/>
        </w:rPr>
        <w:t>Target harmful organisms:</w:t>
      </w:r>
      <w:r>
        <w:rPr>
          <w:sz w:val="20"/>
        </w:rPr>
        <w:tab/>
      </w:r>
      <w:r w:rsidRPr="006319F6">
        <w:rPr>
          <w:color w:val="0000FF"/>
          <w:sz w:val="20"/>
        </w:rPr>
        <w:t>Ra</w:t>
      </w:r>
      <w:r w:rsidRPr="006319F6">
        <w:rPr>
          <w:i/>
          <w:color w:val="0000FF"/>
          <w:sz w:val="20"/>
        </w:rPr>
        <w:t xml:space="preserve">ttus norvegicus,  </w:t>
      </w:r>
      <w:r w:rsidRPr="006319F6">
        <w:rPr>
          <w:color w:val="0000FF"/>
          <w:sz w:val="20"/>
        </w:rPr>
        <w:t>(Norway rat, Brown rat)</w:t>
      </w:r>
      <w:r w:rsidRPr="006319F6">
        <w:rPr>
          <w:color w:val="0000FF"/>
          <w:sz w:val="20"/>
        </w:rPr>
        <w:tab/>
      </w:r>
      <w:r w:rsidRPr="006319F6">
        <w:rPr>
          <w:color w:val="0000FF"/>
          <w:sz w:val="20"/>
        </w:rPr>
        <w:tab/>
      </w:r>
      <w:r w:rsidRPr="006319F6">
        <w:rPr>
          <w:i/>
          <w:color w:val="0000FF"/>
          <w:sz w:val="20"/>
        </w:rPr>
        <w:t>Rattus rattus</w:t>
      </w:r>
      <w:r w:rsidRPr="006319F6">
        <w:rPr>
          <w:color w:val="0000FF"/>
          <w:sz w:val="20"/>
        </w:rPr>
        <w:t xml:space="preserve"> (Black rat)</w:t>
      </w:r>
      <w:r w:rsidRPr="006319F6">
        <w:rPr>
          <w:color w:val="0000FF"/>
          <w:sz w:val="20"/>
        </w:rPr>
        <w:tab/>
      </w:r>
      <w:r w:rsidRPr="006319F6">
        <w:rPr>
          <w:color w:val="0000FF"/>
          <w:sz w:val="20"/>
        </w:rPr>
        <w:tab/>
      </w:r>
      <w:r w:rsidRPr="006319F6">
        <w:rPr>
          <w:color w:val="0000FF"/>
          <w:sz w:val="20"/>
        </w:rPr>
        <w:tab/>
      </w:r>
      <w:r w:rsidRPr="006319F6">
        <w:rPr>
          <w:i/>
          <w:color w:val="0000FF"/>
          <w:sz w:val="20"/>
        </w:rPr>
        <w:t xml:space="preserve">Mus musculus </w:t>
      </w:r>
      <w:r w:rsidRPr="006319F6">
        <w:rPr>
          <w:color w:val="0000FF"/>
          <w:sz w:val="20"/>
        </w:rPr>
        <w:t>(House mouse)</w:t>
      </w:r>
    </w:p>
    <w:p w:rsidR="00BA7C2C" w:rsidRPr="006319F6" w:rsidRDefault="00BA7C2C" w:rsidP="00BA7C2C">
      <w:pPr>
        <w:pStyle w:val="Point1"/>
        <w:numPr>
          <w:ilvl w:val="0"/>
          <w:numId w:val="14"/>
        </w:numPr>
        <w:pBdr>
          <w:top w:val="single" w:sz="12" w:space="1" w:color="auto"/>
          <w:left w:val="single" w:sz="12" w:space="4" w:color="auto"/>
          <w:bottom w:val="single" w:sz="12" w:space="1" w:color="auto"/>
          <w:right w:val="single" w:sz="12" w:space="4" w:color="auto"/>
        </w:pBdr>
        <w:tabs>
          <w:tab w:val="left" w:pos="3960"/>
        </w:tabs>
        <w:spacing w:line="240" w:lineRule="auto"/>
        <w:rPr>
          <w:color w:val="0000FF"/>
          <w:sz w:val="20"/>
        </w:rPr>
      </w:pPr>
      <w:r w:rsidRPr="00DE2F92">
        <w:rPr>
          <w:sz w:val="20"/>
        </w:rPr>
        <w:t xml:space="preserve"> </w:t>
      </w:r>
      <w:r w:rsidRPr="009C62B1">
        <w:rPr>
          <w:color w:val="000000"/>
          <w:sz w:val="20"/>
        </w:rPr>
        <w:t xml:space="preserve">Development stage of target organisms:  </w:t>
      </w:r>
      <w:r w:rsidRPr="009C62B1">
        <w:rPr>
          <w:color w:val="000000"/>
          <w:sz w:val="20"/>
        </w:rPr>
        <w:tab/>
      </w:r>
      <w:r w:rsidRPr="006319F6">
        <w:rPr>
          <w:color w:val="0000FF"/>
          <w:sz w:val="20"/>
        </w:rPr>
        <w:t>Juveniles and adults</w:t>
      </w:r>
    </w:p>
    <w:p w:rsidR="00BA7C2C" w:rsidRPr="006319F6" w:rsidRDefault="00BA7C2C" w:rsidP="00BA7C2C">
      <w:pPr>
        <w:numPr>
          <w:ilvl w:val="0"/>
          <w:numId w:val="14"/>
        </w:numPr>
        <w:pBdr>
          <w:top w:val="single" w:sz="12" w:space="1" w:color="auto"/>
          <w:left w:val="single" w:sz="12" w:space="4" w:color="auto"/>
          <w:bottom w:val="single" w:sz="12" w:space="1" w:color="auto"/>
          <w:right w:val="single" w:sz="12" w:space="4" w:color="auto"/>
        </w:pBdr>
        <w:tabs>
          <w:tab w:val="left" w:pos="2280"/>
          <w:tab w:val="left" w:pos="3960"/>
        </w:tabs>
        <w:spacing w:before="120" w:after="120" w:line="240" w:lineRule="auto"/>
        <w:jc w:val="both"/>
        <w:rPr>
          <w:iCs/>
          <w:color w:val="0000FF"/>
        </w:rPr>
      </w:pPr>
      <w:r w:rsidRPr="009C62B1">
        <w:rPr>
          <w:iCs/>
        </w:rPr>
        <w:t xml:space="preserve">Function/mode of action: </w:t>
      </w:r>
      <w:r w:rsidRPr="009C62B1">
        <w:rPr>
          <w:iCs/>
        </w:rPr>
        <w:tab/>
      </w:r>
      <w:r w:rsidRPr="006319F6">
        <w:rPr>
          <w:color w:val="0000FF"/>
        </w:rPr>
        <w:t>Anticoagulant, bait product</w:t>
      </w:r>
    </w:p>
    <w:p w:rsidR="00BA7C2C" w:rsidRPr="006319F6" w:rsidRDefault="00BA7C2C" w:rsidP="00BA7C2C">
      <w:pPr>
        <w:numPr>
          <w:ilvl w:val="0"/>
          <w:numId w:val="14"/>
        </w:numPr>
        <w:pBdr>
          <w:top w:val="single" w:sz="12" w:space="1" w:color="auto"/>
          <w:left w:val="single" w:sz="12" w:space="4" w:color="auto"/>
          <w:bottom w:val="single" w:sz="12" w:space="1" w:color="auto"/>
          <w:right w:val="single" w:sz="12" w:space="4" w:color="auto"/>
        </w:pBdr>
        <w:tabs>
          <w:tab w:val="left" w:pos="2280"/>
          <w:tab w:val="left" w:pos="3960"/>
        </w:tabs>
        <w:spacing w:before="120" w:after="120" w:line="240" w:lineRule="auto"/>
        <w:rPr>
          <w:color w:val="0000FF"/>
        </w:rPr>
      </w:pPr>
      <w:r w:rsidRPr="009C62B1">
        <w:t xml:space="preserve">Field of use: </w:t>
      </w:r>
      <w:r w:rsidRPr="009C62B1">
        <w:tab/>
      </w:r>
      <w:r w:rsidRPr="009C62B1">
        <w:tab/>
      </w:r>
      <w:r w:rsidRPr="006319F6">
        <w:rPr>
          <w:color w:val="0000FF"/>
        </w:rPr>
        <w:t xml:space="preserve">In and around buildings, in open areas and waste </w:t>
      </w:r>
      <w:r w:rsidRPr="00632CD7">
        <w:rPr>
          <w:color w:val="0000FF"/>
        </w:rPr>
        <w:t>dumps</w:t>
      </w:r>
      <w:r w:rsidRPr="00632CD7">
        <w:rPr>
          <w:color w:val="0000FF"/>
          <w:vertAlign w:val="superscript"/>
        </w:rPr>
        <w:t>1</w:t>
      </w:r>
    </w:p>
    <w:p w:rsidR="00BA7C2C" w:rsidRPr="006319F6" w:rsidRDefault="00BA7C2C" w:rsidP="00BA7C2C">
      <w:pPr>
        <w:numPr>
          <w:ilvl w:val="0"/>
          <w:numId w:val="14"/>
        </w:numPr>
        <w:pBdr>
          <w:top w:val="single" w:sz="12" w:space="1" w:color="auto"/>
          <w:left w:val="single" w:sz="12" w:space="4" w:color="auto"/>
          <w:bottom w:val="single" w:sz="12" w:space="1" w:color="auto"/>
          <w:right w:val="single" w:sz="12" w:space="4" w:color="auto"/>
        </w:pBdr>
        <w:tabs>
          <w:tab w:val="clear" w:pos="567"/>
          <w:tab w:val="left" w:pos="550"/>
          <w:tab w:val="left" w:pos="3960"/>
        </w:tabs>
        <w:spacing w:before="120" w:after="120" w:line="240" w:lineRule="auto"/>
        <w:jc w:val="both"/>
        <w:rPr>
          <w:i/>
          <w:color w:val="0000FF"/>
        </w:rPr>
      </w:pPr>
      <w:r w:rsidRPr="009C62B1">
        <w:rPr>
          <w:color w:val="000000"/>
        </w:rPr>
        <w:t xml:space="preserve">Application aim: </w:t>
      </w:r>
      <w:r w:rsidRPr="009C62B1">
        <w:rPr>
          <w:color w:val="000000"/>
        </w:rPr>
        <w:tab/>
      </w:r>
      <w:r w:rsidRPr="006319F6">
        <w:rPr>
          <w:color w:val="0000FF"/>
        </w:rPr>
        <w:t xml:space="preserve">It is used to protect human food and animal feedstuffs and </w:t>
      </w:r>
      <w:r w:rsidRPr="006319F6">
        <w:rPr>
          <w:color w:val="0000FF"/>
        </w:rPr>
        <w:tab/>
        <w:t>for general hygiene purposes.</w:t>
      </w:r>
    </w:p>
    <w:p w:rsidR="00BA7C2C" w:rsidRPr="006319F6" w:rsidRDefault="00BA7C2C" w:rsidP="00BA7C2C">
      <w:pPr>
        <w:pStyle w:val="Point1"/>
        <w:numPr>
          <w:ilvl w:val="0"/>
          <w:numId w:val="14"/>
        </w:numPr>
        <w:pBdr>
          <w:top w:val="single" w:sz="12" w:space="1" w:color="auto"/>
          <w:left w:val="single" w:sz="12" w:space="4" w:color="auto"/>
          <w:bottom w:val="single" w:sz="12" w:space="1" w:color="auto"/>
          <w:right w:val="single" w:sz="12" w:space="4" w:color="auto"/>
        </w:pBdr>
        <w:tabs>
          <w:tab w:val="left" w:pos="3960"/>
        </w:tabs>
        <w:spacing w:line="240" w:lineRule="auto"/>
        <w:rPr>
          <w:color w:val="0000FF"/>
          <w:sz w:val="20"/>
        </w:rPr>
      </w:pPr>
      <w:r w:rsidRPr="009C62B1">
        <w:rPr>
          <w:sz w:val="20"/>
        </w:rPr>
        <w:t xml:space="preserve">User category:  </w:t>
      </w:r>
      <w:r w:rsidRPr="009C62B1">
        <w:rPr>
          <w:sz w:val="20"/>
        </w:rPr>
        <w:tab/>
      </w:r>
      <w:r w:rsidRPr="006319F6">
        <w:rPr>
          <w:color w:val="0000FF"/>
          <w:sz w:val="20"/>
        </w:rPr>
        <w:t>Professional and non-professional</w:t>
      </w:r>
    </w:p>
    <w:p w:rsidR="00BA7C2C" w:rsidRPr="00DE2F92" w:rsidRDefault="00BA7C2C" w:rsidP="00BA7C2C">
      <w:pPr>
        <w:pStyle w:val="Point1"/>
        <w:numPr>
          <w:ilvl w:val="0"/>
          <w:numId w:val="14"/>
        </w:numPr>
        <w:pBdr>
          <w:top w:val="single" w:sz="12" w:space="1" w:color="auto"/>
          <w:left w:val="single" w:sz="12" w:space="4" w:color="auto"/>
          <w:bottom w:val="single" w:sz="12" w:space="1" w:color="auto"/>
          <w:right w:val="single" w:sz="12" w:space="4" w:color="auto"/>
        </w:pBdr>
        <w:tabs>
          <w:tab w:val="left" w:pos="2280"/>
          <w:tab w:val="left" w:pos="3960"/>
        </w:tabs>
        <w:spacing w:line="240" w:lineRule="auto"/>
        <w:rPr>
          <w:sz w:val="20"/>
        </w:rPr>
      </w:pPr>
      <w:r w:rsidRPr="009C62B1">
        <w:rPr>
          <w:bCs/>
          <w:iCs/>
          <w:color w:val="000000"/>
          <w:sz w:val="20"/>
        </w:rPr>
        <w:t>Application method</w:t>
      </w:r>
      <w:r w:rsidRPr="009C62B1">
        <w:rPr>
          <w:rStyle w:val="Voetnootmarkering"/>
        </w:rPr>
        <w:footnoteReference w:id="23"/>
      </w:r>
      <w:r w:rsidRPr="009C62B1">
        <w:rPr>
          <w:bCs/>
          <w:iCs/>
          <w:color w:val="000000"/>
          <w:sz w:val="20"/>
        </w:rPr>
        <w:t xml:space="preserve">: </w:t>
      </w:r>
      <w:r w:rsidRPr="009C62B1">
        <w:rPr>
          <w:bCs/>
          <w:iCs/>
          <w:color w:val="000000"/>
          <w:sz w:val="20"/>
        </w:rPr>
        <w:tab/>
      </w:r>
      <w:r w:rsidRPr="006319F6">
        <w:rPr>
          <w:bCs/>
          <w:iCs/>
          <w:color w:val="0000FF"/>
          <w:sz w:val="20"/>
        </w:rPr>
        <w:t>Covered application, preferably in tamper-resistant bait stations</w:t>
      </w:r>
    </w:p>
    <w:p w:rsidR="00BA7C2C" w:rsidRDefault="00BA7C2C" w:rsidP="00BA7C2C">
      <w:pPr>
        <w:pStyle w:val="Point1"/>
        <w:ind w:left="0" w:firstLine="0"/>
        <w:rPr>
          <w:b/>
          <w:i/>
          <w:sz w:val="20"/>
        </w:rPr>
      </w:pPr>
      <w:r w:rsidRPr="00632CD7">
        <w:rPr>
          <w:sz w:val="20"/>
          <w:vertAlign w:val="superscript"/>
        </w:rPr>
        <w:t>1</w:t>
      </w:r>
      <w:r w:rsidRPr="00632CD7">
        <w:rPr>
          <w:sz w:val="20"/>
        </w:rPr>
        <w:t xml:space="preserve">The Dutch CA is of the opinion that the use of Maki Pat’ needs to be restricted to indoor use only for authorization in the </w:t>
      </w:r>
      <w:smartTag w:uri="urn:schemas-microsoft-com:office:smarttags" w:element="place">
        <w:smartTag w:uri="urn:schemas-microsoft-com:office:smarttags" w:element="country-region">
          <w:r w:rsidRPr="00632CD7">
            <w:rPr>
              <w:sz w:val="20"/>
            </w:rPr>
            <w:t>Netherlands</w:t>
          </w:r>
        </w:smartTag>
      </w:smartTag>
      <w:r w:rsidRPr="00632CD7">
        <w:rPr>
          <w:sz w:val="20"/>
        </w:rPr>
        <w:t>, see paragraph 2.8.3.</w:t>
      </w:r>
    </w:p>
    <w:p w:rsidR="00BA7C2C" w:rsidRPr="00DE2F92" w:rsidRDefault="00BA7C2C" w:rsidP="00BA7C2C">
      <w:pPr>
        <w:pStyle w:val="Point1"/>
        <w:ind w:left="0" w:firstLine="0"/>
        <w:rPr>
          <w:b/>
          <w:i/>
          <w:sz w:val="20"/>
        </w:rPr>
      </w:pPr>
      <w:r w:rsidRPr="00DE2F92">
        <w:rPr>
          <w:b/>
          <w:i/>
          <w:sz w:val="20"/>
        </w:rPr>
        <w:t>Directions for use:</w:t>
      </w:r>
    </w:p>
    <w:p w:rsidR="00BA7C2C" w:rsidRDefault="00BA7C2C" w:rsidP="00BA7C2C">
      <w:pPr>
        <w:pStyle w:val="Point1"/>
        <w:numPr>
          <w:ilvl w:val="0"/>
          <w:numId w:val="14"/>
        </w:numPr>
        <w:spacing w:before="0" w:after="0" w:line="240" w:lineRule="auto"/>
        <w:rPr>
          <w:color w:val="0000FF"/>
          <w:sz w:val="20"/>
        </w:rPr>
      </w:pPr>
      <w:r w:rsidRPr="00B7193D">
        <w:rPr>
          <w:sz w:val="20"/>
        </w:rPr>
        <w:t>Manner and area of use:</w:t>
      </w:r>
      <w:r w:rsidRPr="00B7193D">
        <w:rPr>
          <w:sz w:val="20"/>
        </w:rPr>
        <w:tab/>
      </w:r>
      <w:r>
        <w:rPr>
          <w:sz w:val="20"/>
        </w:rPr>
        <w:t xml:space="preserve"> </w:t>
      </w:r>
    </w:p>
    <w:p w:rsidR="00BA7C2C" w:rsidRPr="006319F6" w:rsidRDefault="00BA7C2C" w:rsidP="00BA7C2C">
      <w:pPr>
        <w:pStyle w:val="Point1"/>
        <w:spacing w:before="0" w:after="0"/>
        <w:ind w:left="567" w:firstLine="0"/>
        <w:rPr>
          <w:color w:val="0000FF"/>
          <w:sz w:val="20"/>
        </w:rPr>
      </w:pPr>
      <w:r w:rsidRPr="006319F6">
        <w:rPr>
          <w:rFonts w:cs="Arial"/>
          <w:bCs/>
          <w:color w:val="0000FF"/>
          <w:sz w:val="20"/>
        </w:rPr>
        <w:t>See "intended uses and efficacy" section above for information on target organisms, mode of action, field of use, application aim, user category and application method.</w:t>
      </w:r>
    </w:p>
    <w:p w:rsidR="00BA7C2C" w:rsidRPr="006319F6" w:rsidRDefault="00BA7C2C" w:rsidP="00BA7C2C">
      <w:pPr>
        <w:pStyle w:val="Point1"/>
        <w:numPr>
          <w:ilvl w:val="0"/>
          <w:numId w:val="14"/>
        </w:numPr>
        <w:tabs>
          <w:tab w:val="left" w:pos="2280"/>
        </w:tabs>
        <w:spacing w:line="240" w:lineRule="auto"/>
        <w:jc w:val="left"/>
        <w:rPr>
          <w:color w:val="0000FF"/>
          <w:sz w:val="20"/>
        </w:rPr>
      </w:pPr>
      <w:r w:rsidRPr="00B7193D">
        <w:rPr>
          <w:color w:val="000000"/>
          <w:sz w:val="20"/>
        </w:rPr>
        <w:lastRenderedPageBreak/>
        <w:t>Conditions of use</w:t>
      </w:r>
      <w:r>
        <w:rPr>
          <w:color w:val="000000"/>
          <w:sz w:val="20"/>
        </w:rPr>
        <w:t xml:space="preserve">:  </w:t>
      </w:r>
      <w:r>
        <w:rPr>
          <w:color w:val="000000"/>
          <w:sz w:val="20"/>
        </w:rPr>
        <w:br/>
      </w:r>
      <w:r w:rsidRPr="006319F6">
        <w:rPr>
          <w:color w:val="0000FF"/>
          <w:sz w:val="20"/>
        </w:rPr>
        <w:t xml:space="preserve">Rats: 100 to </w:t>
      </w:r>
      <w:smartTag w:uri="urn:schemas-microsoft-com:office:smarttags" w:element="metricconverter">
        <w:smartTagPr>
          <w:attr w:name="ProductID" w:val="200 g"/>
        </w:smartTagPr>
        <w:r w:rsidRPr="006319F6">
          <w:rPr>
            <w:color w:val="0000FF"/>
            <w:sz w:val="20"/>
          </w:rPr>
          <w:t>200 g</w:t>
        </w:r>
      </w:smartTag>
      <w:r w:rsidRPr="006319F6">
        <w:rPr>
          <w:color w:val="0000FF"/>
          <w:sz w:val="20"/>
        </w:rPr>
        <w:t xml:space="preserve"> bait per bait station. Bait points placed at 4 to </w:t>
      </w:r>
      <w:smartTag w:uri="urn:schemas-microsoft-com:office:smarttags" w:element="metricconverter">
        <w:smartTagPr>
          <w:attr w:name="ProductID" w:val="10 meter"/>
        </w:smartTagPr>
        <w:r w:rsidRPr="006319F6">
          <w:rPr>
            <w:color w:val="0000FF"/>
            <w:sz w:val="20"/>
          </w:rPr>
          <w:t>10 meter</w:t>
        </w:r>
      </w:smartTag>
      <w:r w:rsidRPr="006319F6">
        <w:rPr>
          <w:color w:val="0000FF"/>
          <w:sz w:val="20"/>
        </w:rPr>
        <w:t xml:space="preserve"> distance of each other. </w:t>
      </w:r>
      <w:r w:rsidRPr="006319F6">
        <w:rPr>
          <w:color w:val="0000FF"/>
          <w:sz w:val="20"/>
        </w:rPr>
        <w:br/>
        <w:t xml:space="preserve">Mice: 30 to </w:t>
      </w:r>
      <w:smartTag w:uri="urn:schemas-microsoft-com:office:smarttags" w:element="metricconverter">
        <w:smartTagPr>
          <w:attr w:name="ProductID" w:val="50 g"/>
        </w:smartTagPr>
        <w:r w:rsidRPr="006319F6">
          <w:rPr>
            <w:color w:val="0000FF"/>
            <w:sz w:val="20"/>
          </w:rPr>
          <w:t>50 g</w:t>
        </w:r>
      </w:smartTag>
      <w:r w:rsidRPr="006319F6">
        <w:rPr>
          <w:color w:val="0000FF"/>
          <w:sz w:val="20"/>
        </w:rPr>
        <w:t xml:space="preserve"> bait per bait station. Bait points placed at 1 to </w:t>
      </w:r>
      <w:smartTag w:uri="urn:schemas-microsoft-com:office:smarttags" w:element="metricconverter">
        <w:smartTagPr>
          <w:attr w:name="ProductID" w:val="3 meter"/>
        </w:smartTagPr>
        <w:r w:rsidRPr="006319F6">
          <w:rPr>
            <w:color w:val="0000FF"/>
            <w:sz w:val="20"/>
          </w:rPr>
          <w:t>3 meter</w:t>
        </w:r>
      </w:smartTag>
      <w:r w:rsidRPr="006319F6">
        <w:rPr>
          <w:color w:val="0000FF"/>
          <w:sz w:val="20"/>
        </w:rPr>
        <w:t xml:space="preserve"> distance of each other.</w:t>
      </w:r>
    </w:p>
    <w:p w:rsidR="00BA7C2C" w:rsidRPr="006319F6" w:rsidRDefault="00BA7C2C" w:rsidP="00BA7C2C">
      <w:pPr>
        <w:pStyle w:val="Point1"/>
        <w:numPr>
          <w:ilvl w:val="0"/>
          <w:numId w:val="14"/>
        </w:numPr>
        <w:tabs>
          <w:tab w:val="left" w:pos="2280"/>
        </w:tabs>
        <w:spacing w:before="0" w:after="0" w:line="240" w:lineRule="auto"/>
        <w:rPr>
          <w:color w:val="0000FF"/>
          <w:sz w:val="20"/>
        </w:rPr>
      </w:pPr>
      <w:r w:rsidRPr="00DE2F92">
        <w:rPr>
          <w:sz w:val="20"/>
        </w:rPr>
        <w:t>Instructions for safe use of the product:</w:t>
      </w:r>
      <w:r w:rsidRPr="00DE2F92">
        <w:rPr>
          <w:sz w:val="20"/>
        </w:rPr>
        <w:tab/>
      </w:r>
    </w:p>
    <w:p w:rsidR="00BA7C2C" w:rsidRDefault="00BA7C2C" w:rsidP="00BA7C2C">
      <w:pPr>
        <w:pStyle w:val="Point1"/>
        <w:tabs>
          <w:tab w:val="left" w:pos="550"/>
        </w:tabs>
        <w:spacing w:before="0" w:after="0"/>
        <w:ind w:left="0" w:firstLine="0"/>
        <w:rPr>
          <w:color w:val="0000FF"/>
          <w:sz w:val="20"/>
        </w:rPr>
      </w:pPr>
      <w:r>
        <w:rPr>
          <w:color w:val="0000FF"/>
          <w:sz w:val="20"/>
        </w:rPr>
        <w:tab/>
      </w:r>
      <w:r w:rsidRPr="006319F6">
        <w:rPr>
          <w:color w:val="0000FF"/>
          <w:sz w:val="20"/>
        </w:rPr>
        <w:t>see paragraph 2.9</w:t>
      </w:r>
    </w:p>
    <w:p w:rsidR="00BA7C2C" w:rsidRPr="006319F6" w:rsidRDefault="00BA7C2C" w:rsidP="00BA7C2C">
      <w:pPr>
        <w:pStyle w:val="Point1"/>
        <w:tabs>
          <w:tab w:val="left" w:pos="550"/>
        </w:tabs>
        <w:spacing w:before="0" w:after="0"/>
        <w:ind w:left="0" w:firstLine="0"/>
        <w:rPr>
          <w:color w:val="0000FF"/>
          <w:sz w:val="20"/>
        </w:rPr>
      </w:pPr>
    </w:p>
    <w:p w:rsidR="00BA7C2C" w:rsidRDefault="00BA7C2C" w:rsidP="00BA7C2C">
      <w:pPr>
        <w:pStyle w:val="Point1"/>
        <w:numPr>
          <w:ilvl w:val="0"/>
          <w:numId w:val="14"/>
        </w:numPr>
        <w:spacing w:before="0" w:after="0" w:line="240" w:lineRule="auto"/>
        <w:rPr>
          <w:sz w:val="20"/>
        </w:rPr>
      </w:pPr>
      <w:r w:rsidRPr="00DE2F92">
        <w:rPr>
          <w:sz w:val="20"/>
        </w:rPr>
        <w:t xml:space="preserve">Particulars of likely direct or indirect adverse effects and first aid instructions </w:t>
      </w:r>
    </w:p>
    <w:p w:rsidR="00BA7C2C" w:rsidRPr="0032789F" w:rsidRDefault="00BA7C2C" w:rsidP="00BA7C2C">
      <w:pPr>
        <w:autoSpaceDE w:val="0"/>
        <w:autoSpaceDN w:val="0"/>
        <w:adjustRightInd w:val="0"/>
        <w:spacing w:line="240" w:lineRule="auto"/>
        <w:ind w:left="567"/>
        <w:jc w:val="both"/>
        <w:rPr>
          <w:color w:val="0000FF"/>
          <w:szCs w:val="22"/>
          <w:lang w:eastAsia="nl-NL"/>
        </w:rPr>
      </w:pPr>
      <w:r w:rsidRPr="0032789F">
        <w:rPr>
          <w:color w:val="0000FF"/>
        </w:rPr>
        <w:t xml:space="preserve">MAKI PAT’ is a rodenticide containing bromadiolone (0.005%) as an active substance. Bromadiolone is a second-generation single-dose anticoagulant rodenticide. It disrupts the normal blood clotting mechanisms resulting in increased bleeding tendency and, eventually, profuse haemorrhage and death. </w:t>
      </w:r>
      <w:r w:rsidRPr="0032789F">
        <w:rPr>
          <w:rFonts w:cs="Arial"/>
          <w:color w:val="0000FF"/>
        </w:rPr>
        <w:t>Antidote vitamin K1 (under medical supervision).</w:t>
      </w:r>
    </w:p>
    <w:p w:rsidR="00BA7C2C" w:rsidRPr="0032789F" w:rsidRDefault="00BA7C2C" w:rsidP="00BA7C2C">
      <w:pPr>
        <w:autoSpaceDE w:val="0"/>
        <w:autoSpaceDN w:val="0"/>
        <w:adjustRightInd w:val="0"/>
        <w:spacing w:line="240" w:lineRule="auto"/>
        <w:ind w:left="567"/>
        <w:jc w:val="both"/>
        <w:rPr>
          <w:color w:val="0000FF"/>
          <w:szCs w:val="22"/>
          <w:lang w:eastAsia="nl-NL"/>
        </w:rPr>
      </w:pPr>
      <w:r w:rsidRPr="0032789F">
        <w:rPr>
          <w:color w:val="0000FF"/>
        </w:rPr>
        <w:t xml:space="preserve">Clinical symptoms: nose bleed, bleeding gums, bloody saliva,  extravasation, sudden or unusual internal pain. </w:t>
      </w:r>
    </w:p>
    <w:p w:rsidR="00BA7C2C" w:rsidRPr="0032789F" w:rsidRDefault="00BA7C2C" w:rsidP="00BA7C2C">
      <w:pPr>
        <w:pStyle w:val="Point1"/>
        <w:spacing w:before="0" w:after="0"/>
        <w:ind w:left="0" w:firstLine="567"/>
        <w:rPr>
          <w:color w:val="0000FF"/>
          <w:sz w:val="20"/>
        </w:rPr>
      </w:pPr>
      <w:r w:rsidRPr="0032789F">
        <w:rPr>
          <w:color w:val="0000FF"/>
          <w:sz w:val="20"/>
        </w:rPr>
        <w:t xml:space="preserve">If in contact with eyes: </w:t>
      </w:r>
    </w:p>
    <w:p w:rsidR="00BA7C2C" w:rsidRPr="0032789F" w:rsidRDefault="00BA7C2C" w:rsidP="00BA7C2C">
      <w:pPr>
        <w:pStyle w:val="Point1"/>
        <w:spacing w:before="0" w:after="0"/>
        <w:ind w:left="0" w:firstLine="567"/>
        <w:rPr>
          <w:color w:val="0000FF"/>
          <w:sz w:val="20"/>
        </w:rPr>
      </w:pPr>
      <w:r w:rsidRPr="0032789F">
        <w:rPr>
          <w:color w:val="0000FF"/>
          <w:sz w:val="20"/>
        </w:rPr>
        <w:t>Keep the eye open and wash slowly and carefully with water during 15-20 minutes</w:t>
      </w:r>
    </w:p>
    <w:p w:rsidR="00BA7C2C" w:rsidRPr="0032789F" w:rsidRDefault="00BA7C2C" w:rsidP="00BA7C2C">
      <w:pPr>
        <w:pStyle w:val="Point1"/>
        <w:spacing w:before="0" w:after="0"/>
        <w:ind w:left="0" w:firstLine="567"/>
        <w:rPr>
          <w:color w:val="0000FF"/>
          <w:sz w:val="20"/>
        </w:rPr>
      </w:pPr>
      <w:r w:rsidRPr="0032789F">
        <w:rPr>
          <w:color w:val="0000FF"/>
          <w:sz w:val="20"/>
        </w:rPr>
        <w:t>Remove eventual contact lenses after the first 5 minutes and continue washing</w:t>
      </w:r>
    </w:p>
    <w:p w:rsidR="00BA7C2C" w:rsidRPr="0032789F" w:rsidRDefault="00BA7C2C" w:rsidP="00BA7C2C">
      <w:pPr>
        <w:pStyle w:val="Point1"/>
        <w:spacing w:before="0" w:after="0"/>
        <w:ind w:left="0" w:firstLine="567"/>
        <w:rPr>
          <w:color w:val="0000FF"/>
          <w:sz w:val="20"/>
        </w:rPr>
      </w:pPr>
      <w:r w:rsidRPr="0032789F">
        <w:rPr>
          <w:color w:val="0000FF"/>
          <w:sz w:val="20"/>
        </w:rPr>
        <w:t>Pay attention to possible symptoms mentioned above.</w:t>
      </w:r>
    </w:p>
    <w:p w:rsidR="00BA7C2C" w:rsidRPr="0032789F" w:rsidRDefault="00BA7C2C" w:rsidP="00BA7C2C">
      <w:pPr>
        <w:pStyle w:val="Point1"/>
        <w:spacing w:before="0" w:after="0"/>
        <w:ind w:left="0" w:firstLine="567"/>
        <w:rPr>
          <w:color w:val="0000FF"/>
          <w:sz w:val="20"/>
        </w:rPr>
      </w:pPr>
      <w:r w:rsidRPr="0032789F">
        <w:rPr>
          <w:color w:val="0000FF"/>
          <w:sz w:val="20"/>
        </w:rPr>
        <w:t>If inhaled:</w:t>
      </w:r>
    </w:p>
    <w:p w:rsidR="00BA7C2C" w:rsidRPr="0032789F" w:rsidRDefault="00BA7C2C" w:rsidP="00BA7C2C">
      <w:pPr>
        <w:pStyle w:val="Point1"/>
        <w:spacing w:before="0" w:after="0"/>
        <w:ind w:left="0" w:firstLine="567"/>
        <w:rPr>
          <w:color w:val="0000FF"/>
          <w:sz w:val="20"/>
        </w:rPr>
      </w:pPr>
      <w:r w:rsidRPr="0032789F">
        <w:rPr>
          <w:color w:val="0000FF"/>
          <w:sz w:val="20"/>
        </w:rPr>
        <w:t>The product is a non-dusty bait. Inhaling is not considered a relevant route of exposure</w:t>
      </w:r>
    </w:p>
    <w:p w:rsidR="00BA7C2C" w:rsidRPr="0032789F" w:rsidRDefault="00BA7C2C" w:rsidP="00BA7C2C">
      <w:pPr>
        <w:pStyle w:val="Point1"/>
        <w:spacing w:before="0" w:after="0"/>
        <w:ind w:left="0" w:firstLine="567"/>
        <w:rPr>
          <w:color w:val="0000FF"/>
          <w:sz w:val="20"/>
        </w:rPr>
      </w:pPr>
      <w:r w:rsidRPr="0032789F">
        <w:rPr>
          <w:color w:val="0000FF"/>
          <w:sz w:val="20"/>
        </w:rPr>
        <w:t>If in contact with skin:</w:t>
      </w:r>
    </w:p>
    <w:p w:rsidR="00BA7C2C" w:rsidRPr="0032789F" w:rsidRDefault="00BA7C2C" w:rsidP="00BA7C2C">
      <w:pPr>
        <w:pStyle w:val="Point1"/>
        <w:spacing w:before="0" w:after="0"/>
        <w:ind w:left="0" w:firstLine="567"/>
        <w:rPr>
          <w:color w:val="0000FF"/>
          <w:sz w:val="20"/>
        </w:rPr>
      </w:pPr>
      <w:r w:rsidRPr="0032789F">
        <w:rPr>
          <w:color w:val="0000FF"/>
          <w:sz w:val="20"/>
        </w:rPr>
        <w:t>Remove contaminated cloths. Wash before re-use.</w:t>
      </w:r>
    </w:p>
    <w:p w:rsidR="00BA7C2C" w:rsidRPr="0032789F" w:rsidRDefault="00BA7C2C" w:rsidP="00BA7C2C">
      <w:pPr>
        <w:pStyle w:val="Point1"/>
        <w:spacing w:before="0" w:after="0"/>
        <w:ind w:left="0" w:firstLine="567"/>
        <w:rPr>
          <w:color w:val="0000FF"/>
          <w:sz w:val="20"/>
        </w:rPr>
      </w:pPr>
      <w:r w:rsidRPr="0032789F">
        <w:rPr>
          <w:color w:val="0000FF"/>
          <w:sz w:val="20"/>
        </w:rPr>
        <w:t>Wash the skin immediately with water and soap.</w:t>
      </w:r>
    </w:p>
    <w:p w:rsidR="00BA7C2C" w:rsidRPr="0032789F" w:rsidRDefault="00BA7C2C" w:rsidP="00BA7C2C">
      <w:pPr>
        <w:pStyle w:val="Point1"/>
        <w:spacing w:before="0" w:after="0"/>
        <w:ind w:left="0" w:firstLine="567"/>
        <w:rPr>
          <w:color w:val="0000FF"/>
          <w:sz w:val="20"/>
        </w:rPr>
      </w:pPr>
      <w:r w:rsidRPr="0032789F">
        <w:rPr>
          <w:color w:val="0000FF"/>
          <w:sz w:val="20"/>
        </w:rPr>
        <w:t>Pay attention to possible symptoms mentioned above.</w:t>
      </w:r>
    </w:p>
    <w:p w:rsidR="00BA7C2C" w:rsidRPr="0032789F" w:rsidRDefault="00BA7C2C" w:rsidP="00BA7C2C">
      <w:pPr>
        <w:pStyle w:val="Point1"/>
        <w:spacing w:before="0" w:after="0"/>
        <w:ind w:left="0" w:firstLine="567"/>
        <w:rPr>
          <w:color w:val="0000FF"/>
          <w:sz w:val="20"/>
        </w:rPr>
      </w:pPr>
      <w:r w:rsidRPr="0032789F">
        <w:rPr>
          <w:color w:val="0000FF"/>
          <w:sz w:val="20"/>
        </w:rPr>
        <w:t>If swallowed:</w:t>
      </w:r>
    </w:p>
    <w:p w:rsidR="00BA7C2C" w:rsidRPr="0032789F" w:rsidRDefault="00BA7C2C" w:rsidP="00BA7C2C">
      <w:pPr>
        <w:pStyle w:val="Point1"/>
        <w:spacing w:before="0" w:after="0"/>
        <w:ind w:left="0" w:firstLine="567"/>
        <w:rPr>
          <w:color w:val="0000FF"/>
          <w:sz w:val="20"/>
        </w:rPr>
      </w:pPr>
      <w:r w:rsidRPr="0032789F">
        <w:rPr>
          <w:color w:val="0000FF"/>
          <w:sz w:val="20"/>
        </w:rPr>
        <w:t>Wash your mouth with plenty of water</w:t>
      </w:r>
    </w:p>
    <w:p w:rsidR="00BA7C2C" w:rsidRPr="0032789F" w:rsidRDefault="00BA7C2C" w:rsidP="00BA7C2C">
      <w:pPr>
        <w:pStyle w:val="Point1"/>
        <w:spacing w:before="0" w:after="0"/>
        <w:ind w:left="0" w:firstLine="567"/>
        <w:rPr>
          <w:color w:val="0000FF"/>
          <w:sz w:val="20"/>
        </w:rPr>
      </w:pPr>
      <w:r w:rsidRPr="0032789F">
        <w:rPr>
          <w:color w:val="0000FF"/>
          <w:sz w:val="20"/>
        </w:rPr>
        <w:t>If swallowed, get medical advise immediately. Show the packaging, label or the safety data sheet.</w:t>
      </w:r>
    </w:p>
    <w:p w:rsidR="00BA7C2C" w:rsidRPr="0032789F" w:rsidRDefault="00BA7C2C" w:rsidP="00BA7C2C">
      <w:pPr>
        <w:pStyle w:val="Point1"/>
        <w:spacing w:before="0" w:after="0"/>
        <w:ind w:left="0" w:firstLine="567"/>
        <w:rPr>
          <w:color w:val="0000FF"/>
          <w:sz w:val="20"/>
        </w:rPr>
      </w:pPr>
      <w:r w:rsidRPr="0032789F">
        <w:rPr>
          <w:color w:val="0000FF"/>
          <w:sz w:val="20"/>
        </w:rPr>
        <w:t>Do not induce vomiting, unless advised by a medical specialist.</w:t>
      </w:r>
    </w:p>
    <w:p w:rsidR="00BA7C2C" w:rsidRPr="0032789F" w:rsidRDefault="00BA7C2C" w:rsidP="00BA7C2C">
      <w:pPr>
        <w:pStyle w:val="Point1"/>
        <w:spacing w:before="0" w:after="0"/>
        <w:ind w:left="0" w:firstLine="567"/>
        <w:rPr>
          <w:color w:val="0000FF"/>
          <w:sz w:val="20"/>
        </w:rPr>
      </w:pPr>
      <w:r w:rsidRPr="0032789F">
        <w:rPr>
          <w:color w:val="0000FF"/>
          <w:sz w:val="20"/>
        </w:rPr>
        <w:t>Do not administer anything by mouth, if the person is unconscious.</w:t>
      </w:r>
    </w:p>
    <w:p w:rsidR="00BA7C2C" w:rsidRDefault="00BA7C2C" w:rsidP="00BA7C2C">
      <w:pPr>
        <w:autoSpaceDE w:val="0"/>
        <w:autoSpaceDN w:val="0"/>
        <w:adjustRightInd w:val="0"/>
        <w:spacing w:line="240" w:lineRule="auto"/>
        <w:ind w:firstLine="567"/>
        <w:jc w:val="both"/>
        <w:rPr>
          <w:rFonts w:cs="Arial"/>
          <w:color w:val="0000FF"/>
        </w:rPr>
      </w:pPr>
    </w:p>
    <w:p w:rsidR="00BA7C2C" w:rsidRDefault="00BA7C2C" w:rsidP="00BA7C2C">
      <w:pPr>
        <w:pStyle w:val="Tekstopmerking"/>
        <w:ind w:firstLine="567"/>
      </w:pPr>
      <w:r w:rsidRPr="00764A3E">
        <w:rPr>
          <w:rFonts w:cs="Arial"/>
          <w:color w:val="0000FF"/>
        </w:rPr>
        <w:t>For the directions for use regarding the environmental aspect we refer to sections 2.9 and 3 of the PAR</w:t>
      </w:r>
      <w:r>
        <w:t>.</w:t>
      </w:r>
    </w:p>
    <w:p w:rsidR="00BA7C2C" w:rsidRPr="00764A3E" w:rsidRDefault="00BA7C2C" w:rsidP="00BA7C2C">
      <w:pPr>
        <w:pStyle w:val="Tekstopmerking"/>
        <w:ind w:firstLine="567"/>
      </w:pPr>
    </w:p>
    <w:p w:rsidR="00BA7C2C" w:rsidRDefault="00BA7C2C" w:rsidP="00BA7C2C">
      <w:pPr>
        <w:pStyle w:val="Point1"/>
        <w:numPr>
          <w:ilvl w:val="0"/>
          <w:numId w:val="14"/>
        </w:numPr>
        <w:spacing w:before="0" w:after="0" w:line="240" w:lineRule="auto"/>
        <w:rPr>
          <w:sz w:val="20"/>
        </w:rPr>
      </w:pPr>
      <w:r>
        <w:rPr>
          <w:sz w:val="20"/>
        </w:rPr>
        <w:t xml:space="preserve">Instructions for safe disposal of the product and its packaging </w:t>
      </w:r>
    </w:p>
    <w:p w:rsidR="00BA7C2C" w:rsidRPr="006319F6" w:rsidRDefault="00BA7C2C" w:rsidP="00BA7C2C">
      <w:pPr>
        <w:pStyle w:val="Point1"/>
        <w:spacing w:before="0" w:after="0"/>
        <w:ind w:left="0" w:firstLine="567"/>
        <w:rPr>
          <w:color w:val="0000FF"/>
          <w:sz w:val="20"/>
        </w:rPr>
      </w:pPr>
      <w:r>
        <w:rPr>
          <w:color w:val="0000FF"/>
          <w:sz w:val="20"/>
        </w:rPr>
        <w:t>See MSDS.</w:t>
      </w:r>
    </w:p>
    <w:p w:rsidR="00BA7C2C" w:rsidRDefault="00BA7C2C" w:rsidP="00BA7C2C">
      <w:pPr>
        <w:numPr>
          <w:ilvl w:val="0"/>
          <w:numId w:val="14"/>
        </w:numPr>
        <w:spacing w:line="240" w:lineRule="auto"/>
        <w:jc w:val="both"/>
      </w:pPr>
      <w:r>
        <w:t xml:space="preserve">Conditions of storage and shelf-life of the product under normal conditions of storage  </w:t>
      </w:r>
    </w:p>
    <w:p w:rsidR="00BA7C2C" w:rsidRPr="00CC6775" w:rsidRDefault="00BA7C2C" w:rsidP="00BA7C2C">
      <w:pPr>
        <w:spacing w:line="240" w:lineRule="auto"/>
        <w:ind w:left="567"/>
        <w:jc w:val="both"/>
        <w:rPr>
          <w:color w:val="0000FF"/>
        </w:rPr>
      </w:pPr>
      <w:r w:rsidRPr="00CC6775">
        <w:rPr>
          <w:color w:val="0000FF"/>
        </w:rPr>
        <w:t>The specified shelf life is two year in the original PP packaging, which is supported by ambient temperature storage stability data</w:t>
      </w:r>
    </w:p>
    <w:p w:rsidR="00BA7C2C" w:rsidRDefault="00BA7C2C" w:rsidP="00BA7C2C">
      <w:pPr>
        <w:numPr>
          <w:ilvl w:val="0"/>
          <w:numId w:val="14"/>
        </w:numPr>
        <w:spacing w:line="240" w:lineRule="auto"/>
        <w:jc w:val="both"/>
      </w:pPr>
      <w:r>
        <w:t xml:space="preserve">Additional information:  </w:t>
      </w:r>
    </w:p>
    <w:p w:rsidR="00BA7C2C" w:rsidRPr="00D86112" w:rsidRDefault="00BA7C2C" w:rsidP="00BA7C2C">
      <w:pPr>
        <w:spacing w:line="240" w:lineRule="auto"/>
        <w:ind w:left="567"/>
        <w:rPr>
          <w:color w:val="0000FF"/>
        </w:rPr>
      </w:pPr>
      <w:r w:rsidRPr="006319F6">
        <w:rPr>
          <w:color w:val="0000FF"/>
        </w:rPr>
        <w:t>In the PAR a resistance management strategies is outlined. A short remark on resistance should be added to the Label. In the Dutch label (WG/GA, see 1.5.2) this differs for professional and non-professional use since non-professionals are not expected to have knowledge on resistance.</w:t>
      </w:r>
      <w:r w:rsidRPr="006319F6">
        <w:rPr>
          <w:color w:val="0000FF"/>
        </w:rPr>
        <w:br/>
        <w:t>For professional use:</w:t>
      </w:r>
      <w:r w:rsidRPr="006319F6">
        <w:rPr>
          <w:color w:val="0000FF"/>
        </w:rPr>
        <w:br/>
        <w:t>For the active substance in this product, bromodi</w:t>
      </w:r>
      <w:r>
        <w:rPr>
          <w:color w:val="0000FF"/>
        </w:rPr>
        <w:t>o</w:t>
      </w:r>
      <w:r w:rsidRPr="006319F6">
        <w:rPr>
          <w:color w:val="0000FF"/>
        </w:rPr>
        <w:t xml:space="preserve">lone, there is a risk of development of resistance. </w:t>
      </w:r>
      <w:r w:rsidRPr="00D86112">
        <w:rPr>
          <w:color w:val="0000FF"/>
        </w:rPr>
        <w:t>Therefore, this product should not be used in cases where resistance against bomodi</w:t>
      </w:r>
      <w:r>
        <w:rPr>
          <w:color w:val="0000FF"/>
        </w:rPr>
        <w:t>o</w:t>
      </w:r>
      <w:r w:rsidRPr="00D86112">
        <w:rPr>
          <w:color w:val="0000FF"/>
        </w:rPr>
        <w:t>lone is presumed, for instance in cases where the last treatment with bromodi</w:t>
      </w:r>
      <w:r>
        <w:rPr>
          <w:color w:val="0000FF"/>
        </w:rPr>
        <w:t>o</w:t>
      </w:r>
      <w:r w:rsidRPr="00D86112">
        <w:rPr>
          <w:color w:val="0000FF"/>
        </w:rPr>
        <w:t>lone containing products did not results in a reduction of the population.</w:t>
      </w:r>
      <w:r w:rsidRPr="00D86112">
        <w:rPr>
          <w:color w:val="0000FF"/>
        </w:rPr>
        <w:br/>
      </w:r>
      <w:r w:rsidRPr="006319F6">
        <w:rPr>
          <w:color w:val="0000FF"/>
        </w:rPr>
        <w:lastRenderedPageBreak/>
        <w:t>For non-professional use (mice only in NL):</w:t>
      </w:r>
      <w:r w:rsidRPr="006319F6">
        <w:rPr>
          <w:color w:val="0000FF"/>
        </w:rPr>
        <w:br/>
        <w:t>If 28 days after the start of the treatment the control of mice is not sufficient, a professional in pest co</w:t>
      </w:r>
      <w:r>
        <w:rPr>
          <w:color w:val="0000FF"/>
        </w:rPr>
        <w:t>ntrol should be consulted.</w:t>
      </w:r>
    </w:p>
    <w:p w:rsidR="00BA7C2C" w:rsidRPr="006319F6" w:rsidRDefault="00BA7C2C" w:rsidP="00BA7C2C">
      <w:pPr>
        <w:spacing w:line="240" w:lineRule="auto"/>
        <w:ind w:left="567"/>
        <w:jc w:val="both"/>
        <w:rPr>
          <w:color w:val="0000FF"/>
        </w:rPr>
      </w:pPr>
    </w:p>
    <w:p w:rsidR="00BA7C2C" w:rsidRDefault="00BA7C2C" w:rsidP="00BA7C2C">
      <w:pPr>
        <w:spacing w:before="120" w:after="120"/>
        <w:jc w:val="both"/>
      </w:pPr>
    </w:p>
    <w:p w:rsidR="00BA7C2C" w:rsidRDefault="00BA7C2C" w:rsidP="00BA7C2C">
      <w:pPr>
        <w:spacing w:before="120" w:after="120"/>
        <w:ind w:left="360"/>
        <w:jc w:val="both"/>
        <w:rPr>
          <w:b/>
          <w:sz w:val="24"/>
        </w:rPr>
        <w:sectPr w:rsidR="00BA7C2C" w:rsidSect="00FA1541">
          <w:footerReference w:type="default" r:id="rId30"/>
          <w:pgSz w:w="11906" w:h="16838"/>
          <w:pgMar w:top="1417" w:right="1417" w:bottom="1417" w:left="1417" w:header="708" w:footer="708" w:gutter="0"/>
          <w:cols w:space="708"/>
          <w:docGrid w:linePitch="360"/>
        </w:sectPr>
      </w:pPr>
    </w:p>
    <w:p w:rsidR="00BA7C2C" w:rsidRPr="005D7064" w:rsidRDefault="00BA7C2C" w:rsidP="00BA7C2C">
      <w:pPr>
        <w:pStyle w:val="Kop2"/>
        <w:numPr>
          <w:ilvl w:val="0"/>
          <w:numId w:val="0"/>
        </w:numPr>
        <w:spacing w:after="240"/>
        <w:jc w:val="center"/>
      </w:pPr>
      <w:bookmarkStart w:id="855" w:name="_Toc362858106"/>
      <w:r w:rsidRPr="005D7064">
        <w:lastRenderedPageBreak/>
        <w:t>Annex 2: List of studies reviewed</w:t>
      </w:r>
      <w:bookmarkEnd w:id="855"/>
    </w:p>
    <w:p w:rsidR="00BA7C2C" w:rsidRDefault="00BA7C2C" w:rsidP="00BA7C2C">
      <w:pPr>
        <w:spacing w:before="120" w:after="120"/>
        <w:ind w:left="360"/>
        <w:rPr>
          <w:b/>
          <w:sz w:val="24"/>
        </w:rPr>
      </w:pPr>
    </w:p>
    <w:p w:rsidR="00BA7C2C" w:rsidRDefault="00BA7C2C" w:rsidP="00BA7C2C">
      <w:pPr>
        <w:pStyle w:val="Kop5"/>
        <w:numPr>
          <w:ilvl w:val="0"/>
          <w:numId w:val="0"/>
        </w:numPr>
        <w:spacing w:before="0" w:after="0"/>
        <w:rPr>
          <w:rFonts w:ascii="Times New Roman" w:hAnsi="Times New Roman"/>
        </w:rPr>
      </w:pPr>
      <w:r>
        <w:rPr>
          <w:rFonts w:ascii="Times New Roman" w:hAnsi="Times New Roman"/>
        </w:rPr>
        <w:t xml:space="preserve">List of </w:t>
      </w:r>
      <w:r>
        <w:rPr>
          <w:rFonts w:ascii="Times New Roman" w:hAnsi="Times New Roman"/>
          <w:u w:val="single"/>
        </w:rPr>
        <w:t>new data</w:t>
      </w:r>
      <w:r>
        <w:rPr>
          <w:rFonts w:ascii="Times New Roman" w:hAnsi="Times New Roman"/>
        </w:rPr>
        <w:t xml:space="preserve"> submitted in support of the evaluation of the biocidal product</w:t>
      </w:r>
    </w:p>
    <w:p w:rsidR="00BA7C2C" w:rsidRDefault="00BA7C2C" w:rsidP="00BA7C2C">
      <w:pPr>
        <w:rPr>
          <w:lang w:eastAsia="en-US"/>
        </w:rPr>
      </w:pPr>
    </w:p>
    <w:tbl>
      <w:tblPr>
        <w:tblW w:w="42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
        <w:gridCol w:w="978"/>
        <w:gridCol w:w="19"/>
        <w:gridCol w:w="579"/>
        <w:gridCol w:w="7"/>
        <w:gridCol w:w="1206"/>
        <w:gridCol w:w="729"/>
        <w:gridCol w:w="3967"/>
        <w:gridCol w:w="3017"/>
        <w:gridCol w:w="722"/>
        <w:gridCol w:w="47"/>
        <w:gridCol w:w="572"/>
        <w:gridCol w:w="9"/>
      </w:tblGrid>
      <w:tr w:rsidR="00BA7C2C" w:rsidTr="00613EE2">
        <w:trPr>
          <w:gridBefore w:val="1"/>
          <w:wBefore w:w="7" w:type="pct"/>
          <w:cantSplit/>
          <w:tblHeader/>
          <w:jc w:val="center"/>
        </w:trPr>
        <w:tc>
          <w:tcPr>
            <w:tcW w:w="420" w:type="pct"/>
            <w:gridSpan w:val="2"/>
            <w:tcBorders>
              <w:left w:val="nil"/>
              <w:bottom w:val="nil"/>
              <w:right w:val="single" w:sz="4" w:space="0" w:color="auto"/>
            </w:tcBorders>
          </w:tcPr>
          <w:p w:rsidR="00BA7C2C" w:rsidRDefault="00BA7C2C" w:rsidP="00613EE2">
            <w:pPr>
              <w:rPr>
                <w:rFonts w:cs="Arial"/>
                <w:b/>
                <w:bCs/>
              </w:rPr>
            </w:pPr>
            <w:r>
              <w:rPr>
                <w:rFonts w:cs="Arial"/>
                <w:b/>
                <w:bCs/>
              </w:rPr>
              <w:t>Section No</w:t>
            </w:r>
          </w:p>
          <w:p w:rsidR="00BA7C2C" w:rsidRDefault="00BA7C2C" w:rsidP="00613EE2">
            <w:pPr>
              <w:rPr>
                <w:rFonts w:cs="Arial"/>
                <w:b/>
                <w:bCs/>
              </w:rPr>
            </w:pPr>
          </w:p>
        </w:tc>
        <w:tc>
          <w:tcPr>
            <w:tcW w:w="247" w:type="pct"/>
            <w:gridSpan w:val="2"/>
            <w:tcBorders>
              <w:left w:val="single" w:sz="4" w:space="0" w:color="auto"/>
              <w:right w:val="single" w:sz="4" w:space="0" w:color="auto"/>
            </w:tcBorders>
          </w:tcPr>
          <w:p w:rsidR="00BA7C2C" w:rsidRDefault="00BA7C2C" w:rsidP="00613EE2">
            <w:pPr>
              <w:rPr>
                <w:rFonts w:cs="Arial"/>
                <w:b/>
              </w:rPr>
            </w:pPr>
            <w:r>
              <w:rPr>
                <w:rFonts w:cs="Arial"/>
                <w:b/>
                <w:bCs/>
              </w:rPr>
              <w:t>Reference No</w:t>
            </w:r>
          </w:p>
        </w:tc>
        <w:tc>
          <w:tcPr>
            <w:tcW w:w="508" w:type="pct"/>
            <w:tcBorders>
              <w:left w:val="single" w:sz="4" w:space="0" w:color="auto"/>
              <w:right w:val="single" w:sz="4" w:space="0" w:color="auto"/>
            </w:tcBorders>
          </w:tcPr>
          <w:p w:rsidR="00BA7C2C" w:rsidRDefault="00BA7C2C" w:rsidP="00613EE2">
            <w:pPr>
              <w:rPr>
                <w:rFonts w:cs="Arial"/>
                <w:b/>
              </w:rPr>
            </w:pPr>
            <w:r>
              <w:rPr>
                <w:rFonts w:cs="Arial"/>
                <w:b/>
              </w:rPr>
              <w:t>Author</w:t>
            </w:r>
          </w:p>
        </w:tc>
        <w:tc>
          <w:tcPr>
            <w:tcW w:w="307" w:type="pct"/>
            <w:tcBorders>
              <w:left w:val="single" w:sz="4" w:space="0" w:color="auto"/>
              <w:bottom w:val="nil"/>
              <w:right w:val="single" w:sz="4" w:space="0" w:color="auto"/>
            </w:tcBorders>
          </w:tcPr>
          <w:p w:rsidR="00BA7C2C" w:rsidRDefault="00BA7C2C" w:rsidP="00613EE2">
            <w:pPr>
              <w:rPr>
                <w:rFonts w:cs="Arial"/>
                <w:b/>
              </w:rPr>
            </w:pPr>
            <w:r>
              <w:rPr>
                <w:rFonts w:cs="Arial"/>
                <w:b/>
              </w:rPr>
              <w:t>Year</w:t>
            </w:r>
          </w:p>
        </w:tc>
        <w:tc>
          <w:tcPr>
            <w:tcW w:w="1671" w:type="pct"/>
            <w:tcBorders>
              <w:left w:val="single" w:sz="4" w:space="0" w:color="auto"/>
              <w:bottom w:val="nil"/>
              <w:right w:val="single" w:sz="4" w:space="0" w:color="auto"/>
            </w:tcBorders>
          </w:tcPr>
          <w:p w:rsidR="00BA7C2C" w:rsidRDefault="00BA7C2C" w:rsidP="00613EE2">
            <w:pPr>
              <w:rPr>
                <w:rFonts w:cs="Arial"/>
                <w:b/>
                <w:bCs/>
              </w:rPr>
            </w:pPr>
            <w:r>
              <w:rPr>
                <w:rFonts w:cs="Arial"/>
                <w:b/>
                <w:bCs/>
              </w:rPr>
              <w:t>Title</w:t>
            </w:r>
            <w:r>
              <w:rPr>
                <w:rFonts w:cs="Arial"/>
                <w:b/>
                <w:bCs/>
              </w:rPr>
              <w:br/>
            </w:r>
          </w:p>
        </w:tc>
        <w:tc>
          <w:tcPr>
            <w:tcW w:w="1271" w:type="pct"/>
            <w:tcBorders>
              <w:left w:val="single" w:sz="4" w:space="0" w:color="auto"/>
              <w:bottom w:val="nil"/>
              <w:right w:val="single" w:sz="4" w:space="0" w:color="auto"/>
            </w:tcBorders>
          </w:tcPr>
          <w:p w:rsidR="00BA7C2C" w:rsidRDefault="00BA7C2C" w:rsidP="00613EE2">
            <w:pPr>
              <w:jc w:val="center"/>
              <w:rPr>
                <w:rFonts w:cs="Arial"/>
                <w:b/>
              </w:rPr>
            </w:pPr>
            <w:r>
              <w:rPr>
                <w:rFonts w:cs="Arial"/>
                <w:b/>
              </w:rPr>
              <w:t>Owner of data</w:t>
            </w:r>
          </w:p>
        </w:tc>
        <w:tc>
          <w:tcPr>
            <w:tcW w:w="569" w:type="pct"/>
            <w:gridSpan w:val="4"/>
            <w:tcBorders>
              <w:left w:val="single" w:sz="4" w:space="0" w:color="auto"/>
              <w:bottom w:val="nil"/>
              <w:right w:val="single" w:sz="4" w:space="0" w:color="auto"/>
            </w:tcBorders>
          </w:tcPr>
          <w:p w:rsidR="00BA7C2C" w:rsidRDefault="00BA7C2C" w:rsidP="00613EE2">
            <w:pPr>
              <w:jc w:val="center"/>
              <w:rPr>
                <w:rFonts w:cs="Arial"/>
                <w:b/>
              </w:rPr>
            </w:pPr>
            <w:r>
              <w:rPr>
                <w:rFonts w:cs="Arial"/>
                <w:b/>
              </w:rPr>
              <w:t>Data protection claimed</w:t>
            </w:r>
          </w:p>
        </w:tc>
      </w:tr>
      <w:tr w:rsidR="00BA7C2C" w:rsidTr="00613EE2">
        <w:trPr>
          <w:gridBefore w:val="1"/>
          <w:wBefore w:w="7" w:type="pct"/>
          <w:cantSplit/>
          <w:jc w:val="center"/>
        </w:trPr>
        <w:tc>
          <w:tcPr>
            <w:tcW w:w="420" w:type="pct"/>
            <w:gridSpan w:val="2"/>
            <w:tcBorders>
              <w:top w:val="nil"/>
              <w:left w:val="nil"/>
              <w:bottom w:val="single" w:sz="4" w:space="0" w:color="auto"/>
              <w:right w:val="single" w:sz="4" w:space="0" w:color="auto"/>
            </w:tcBorders>
          </w:tcPr>
          <w:p w:rsidR="00BA7C2C" w:rsidRDefault="00BA7C2C" w:rsidP="00613EE2">
            <w:pPr>
              <w:pStyle w:val="Voettekst"/>
              <w:rPr>
                <w:rFonts w:cs="Arial"/>
                <w:bCs/>
                <w:iCs/>
                <w:lang w:eastAsia="nl-NL"/>
              </w:rPr>
            </w:pPr>
          </w:p>
        </w:tc>
        <w:tc>
          <w:tcPr>
            <w:tcW w:w="247" w:type="pct"/>
            <w:gridSpan w:val="2"/>
            <w:tcBorders>
              <w:left w:val="single" w:sz="4" w:space="0" w:color="auto"/>
              <w:right w:val="single" w:sz="4" w:space="0" w:color="auto"/>
            </w:tcBorders>
          </w:tcPr>
          <w:p w:rsidR="00BA7C2C" w:rsidRDefault="00BA7C2C" w:rsidP="00613EE2">
            <w:pPr>
              <w:rPr>
                <w:rFonts w:cs="Arial"/>
              </w:rPr>
            </w:pPr>
          </w:p>
        </w:tc>
        <w:tc>
          <w:tcPr>
            <w:tcW w:w="508" w:type="pct"/>
            <w:tcBorders>
              <w:left w:val="single" w:sz="4" w:space="0" w:color="auto"/>
              <w:right w:val="single" w:sz="4" w:space="0" w:color="auto"/>
            </w:tcBorders>
          </w:tcPr>
          <w:p w:rsidR="00BA7C2C" w:rsidRDefault="00BA7C2C" w:rsidP="00613EE2">
            <w:pPr>
              <w:rPr>
                <w:rFonts w:cs="Arial"/>
              </w:rPr>
            </w:pPr>
          </w:p>
        </w:tc>
        <w:tc>
          <w:tcPr>
            <w:tcW w:w="307" w:type="pct"/>
            <w:tcBorders>
              <w:top w:val="nil"/>
              <w:left w:val="single" w:sz="4" w:space="0" w:color="auto"/>
              <w:bottom w:val="single" w:sz="4" w:space="0" w:color="auto"/>
              <w:right w:val="single" w:sz="4" w:space="0" w:color="auto"/>
            </w:tcBorders>
          </w:tcPr>
          <w:p w:rsidR="00BA7C2C" w:rsidRDefault="00BA7C2C" w:rsidP="00613EE2">
            <w:pPr>
              <w:rPr>
                <w:rFonts w:cs="Arial"/>
              </w:rPr>
            </w:pPr>
          </w:p>
        </w:tc>
        <w:tc>
          <w:tcPr>
            <w:tcW w:w="1671" w:type="pct"/>
            <w:tcBorders>
              <w:top w:val="nil"/>
              <w:left w:val="single" w:sz="4" w:space="0" w:color="auto"/>
              <w:bottom w:val="single" w:sz="4" w:space="0" w:color="auto"/>
              <w:right w:val="single" w:sz="4" w:space="0" w:color="auto"/>
            </w:tcBorders>
          </w:tcPr>
          <w:p w:rsidR="00BA7C2C" w:rsidRDefault="00BA7C2C" w:rsidP="00613EE2">
            <w:pPr>
              <w:rPr>
                <w:rFonts w:cs="Arial"/>
              </w:rPr>
            </w:pPr>
          </w:p>
        </w:tc>
        <w:tc>
          <w:tcPr>
            <w:tcW w:w="1271" w:type="pct"/>
            <w:tcBorders>
              <w:top w:val="nil"/>
              <w:left w:val="single" w:sz="4" w:space="0" w:color="auto"/>
              <w:bottom w:val="single" w:sz="4" w:space="0" w:color="auto"/>
              <w:right w:val="single" w:sz="4" w:space="0" w:color="auto"/>
            </w:tcBorders>
          </w:tcPr>
          <w:p w:rsidR="00BA7C2C" w:rsidRDefault="00BA7C2C" w:rsidP="00613EE2">
            <w:pPr>
              <w:jc w:val="center"/>
              <w:rPr>
                <w:rFonts w:cs="Arial"/>
              </w:rPr>
            </w:pPr>
          </w:p>
        </w:tc>
        <w:tc>
          <w:tcPr>
            <w:tcW w:w="324" w:type="pct"/>
            <w:gridSpan w:val="2"/>
            <w:tcBorders>
              <w:top w:val="nil"/>
              <w:left w:val="single" w:sz="4" w:space="0" w:color="auto"/>
              <w:bottom w:val="single" w:sz="4" w:space="0" w:color="auto"/>
              <w:right w:val="nil"/>
            </w:tcBorders>
          </w:tcPr>
          <w:p w:rsidR="00BA7C2C" w:rsidRDefault="00BA7C2C" w:rsidP="00613EE2">
            <w:pPr>
              <w:jc w:val="center"/>
              <w:rPr>
                <w:rFonts w:cs="Arial"/>
                <w:b/>
              </w:rPr>
            </w:pPr>
            <w:r>
              <w:rPr>
                <w:rFonts w:cs="Arial"/>
                <w:b/>
              </w:rPr>
              <w:t xml:space="preserve">Yes </w:t>
            </w:r>
          </w:p>
        </w:tc>
        <w:tc>
          <w:tcPr>
            <w:tcW w:w="244" w:type="pct"/>
            <w:gridSpan w:val="2"/>
            <w:tcBorders>
              <w:top w:val="nil"/>
              <w:left w:val="nil"/>
              <w:bottom w:val="single" w:sz="4" w:space="0" w:color="auto"/>
              <w:right w:val="single" w:sz="4" w:space="0" w:color="auto"/>
            </w:tcBorders>
          </w:tcPr>
          <w:p w:rsidR="00BA7C2C" w:rsidRDefault="00BA7C2C" w:rsidP="00613EE2">
            <w:pPr>
              <w:jc w:val="center"/>
              <w:rPr>
                <w:rFonts w:cs="Arial"/>
                <w:b/>
              </w:rPr>
            </w:pPr>
            <w:r>
              <w:rPr>
                <w:rFonts w:cs="Arial"/>
                <w:b/>
              </w:rPr>
              <w:t>No</w:t>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Pr>
                <w:spacing w:val="-2"/>
              </w:rPr>
              <w:t>IIIB</w:t>
            </w:r>
            <w:r>
              <w:rPr>
                <w:spacing w:val="-2"/>
              </w:rPr>
              <w:br/>
              <w:t>3.1.1-01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2006a</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sidRPr="00A647A4">
              <w:rPr>
                <w:spacing w:val="-2"/>
                <w:lang w:val="fr-FR"/>
              </w:rPr>
              <w:t xml:space="preserve">Bromadiolone Red Paste 50 mg/kg BROPA0,0050_05F_LR0265_00 Appearance, Colour, Odour </w:t>
            </w:r>
            <w:r w:rsidRPr="00A647A4">
              <w:rPr>
                <w:spacing w:val="-2"/>
                <w:lang w:val="fr-FR"/>
              </w:rPr>
              <w:br/>
              <w:t>Centre R&amp;D De Sangosse, Pont du Casse, France.</w:t>
            </w:r>
            <w:r w:rsidRPr="00A647A4">
              <w:rPr>
                <w:spacing w:val="-2"/>
                <w:lang w:val="fr-FR"/>
              </w:rPr>
              <w:br/>
            </w:r>
            <w:r>
              <w:rPr>
                <w:spacing w:val="-2"/>
              </w:rPr>
              <w:t>Study code: BRO0609D.</w:t>
            </w:r>
            <w:r>
              <w:rPr>
                <w:spacing w:val="-2"/>
              </w:rPr>
              <w:br/>
              <w:t>Non-GLP, Unpublished.</w:t>
            </w:r>
          </w:p>
        </w:tc>
        <w:tc>
          <w:tcPr>
            <w:tcW w:w="1271" w:type="pct"/>
            <w:tcBorders>
              <w:top w:val="single" w:sz="4" w:space="0" w:color="auto"/>
              <w:bottom w:val="single" w:sz="4" w:space="0" w:color="auto"/>
            </w:tcBorders>
          </w:tcPr>
          <w:p w:rsidR="00BA7C2C" w:rsidRDefault="00BA7C2C" w:rsidP="00613EE2">
            <w:pPr>
              <w:rPr>
                <w:rFonts w:cs="Arial"/>
              </w:rPr>
            </w:pPr>
            <w:r>
              <w:rPr>
                <w:spacing w:val="-2"/>
              </w:rPr>
              <w:t>LiphaTech</w:t>
            </w:r>
          </w:p>
        </w:tc>
        <w:tc>
          <w:tcPr>
            <w:tcW w:w="324" w:type="pct"/>
            <w:gridSpan w:val="2"/>
            <w:tcBorders>
              <w:top w:val="single" w:sz="4" w:space="0" w:color="auto"/>
            </w:tcBorders>
          </w:tcPr>
          <w:p w:rsidR="00BA7C2C" w:rsidRDefault="00BA7C2C" w:rsidP="00613EE2">
            <w:pPr>
              <w:jc w:val="center"/>
              <w:rPr>
                <w:rFonts w:cs="Arial"/>
              </w:rPr>
            </w:pPr>
            <w:r>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rPr>
                <w:spacing w:val="-2"/>
              </w:rPr>
            </w:pPr>
            <w:r>
              <w:rPr>
                <w:spacing w:val="-2"/>
              </w:rPr>
              <w:t>IIIB</w:t>
            </w:r>
            <w:r>
              <w:rPr>
                <w:spacing w:val="-2"/>
              </w:rPr>
              <w:br/>
              <w:t>3.1.2-01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2006a</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sidRPr="00A647A4">
              <w:rPr>
                <w:spacing w:val="-2"/>
                <w:lang w:val="fr-FR"/>
              </w:rPr>
              <w:t xml:space="preserve">Bromadiolone Red Paste 50 mg/kg BROPA0,0050_05F_LR0265_00 Appearance, Colour, Odour </w:t>
            </w:r>
            <w:r w:rsidRPr="00A647A4">
              <w:rPr>
                <w:spacing w:val="-2"/>
                <w:lang w:val="fr-FR"/>
              </w:rPr>
              <w:br/>
              <w:t>Centre R&amp;D De Sangosse, Pont du Casse, France.</w:t>
            </w:r>
            <w:r w:rsidRPr="00A647A4">
              <w:rPr>
                <w:spacing w:val="-2"/>
                <w:lang w:val="fr-FR"/>
              </w:rPr>
              <w:br/>
            </w:r>
            <w:r>
              <w:rPr>
                <w:spacing w:val="-2"/>
              </w:rPr>
              <w:t>Study code: BRO0609D.</w:t>
            </w:r>
            <w:r>
              <w:rPr>
                <w:spacing w:val="-2"/>
              </w:rPr>
              <w:br/>
              <w:t>Non-GLP, Unpublished.</w:t>
            </w:r>
          </w:p>
        </w:tc>
        <w:tc>
          <w:tcPr>
            <w:tcW w:w="1271" w:type="pct"/>
            <w:tcBorders>
              <w:top w:val="single" w:sz="4" w:space="0" w:color="auto"/>
              <w:bottom w:val="single" w:sz="4" w:space="0" w:color="auto"/>
            </w:tcBorders>
          </w:tcPr>
          <w:p w:rsidR="00BA7C2C" w:rsidRDefault="00BA7C2C" w:rsidP="00613EE2">
            <w:pPr>
              <w:rPr>
                <w:rFonts w:cs="Arial"/>
              </w:rPr>
            </w:pPr>
            <w:r>
              <w:rPr>
                <w:spacing w:val="-2"/>
              </w:rPr>
              <w:t>LiphaTech</w:t>
            </w:r>
          </w:p>
        </w:tc>
        <w:tc>
          <w:tcPr>
            <w:tcW w:w="324" w:type="pct"/>
            <w:gridSpan w:val="2"/>
            <w:tcBorders>
              <w:top w:val="single" w:sz="4" w:space="0" w:color="auto"/>
            </w:tcBorders>
          </w:tcPr>
          <w:p w:rsidR="00BA7C2C" w:rsidRDefault="00BA7C2C" w:rsidP="00613EE2">
            <w:pPr>
              <w:jc w:val="center"/>
              <w:rPr>
                <w:rFonts w:cs="Arial"/>
              </w:rPr>
            </w:pPr>
            <w:r>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Pr>
                <w:spacing w:val="-2"/>
              </w:rPr>
              <w:t>IIIB</w:t>
            </w:r>
            <w:r>
              <w:rPr>
                <w:spacing w:val="-2"/>
              </w:rPr>
              <w:br/>
              <w:t>3.1.3-01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2006a</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sidRPr="00A647A4">
              <w:rPr>
                <w:spacing w:val="-2"/>
                <w:lang w:val="fr-FR"/>
              </w:rPr>
              <w:t xml:space="preserve">Bromadiolone Red Paste 50 mg/kg BROPA0,0050_05F_LR0265_00 Appearance, Colour, Odour </w:t>
            </w:r>
            <w:r w:rsidRPr="00A647A4">
              <w:rPr>
                <w:spacing w:val="-2"/>
                <w:lang w:val="fr-FR"/>
              </w:rPr>
              <w:br/>
              <w:t>Centre R&amp;D De Sangosse, Pont du Casse, France.</w:t>
            </w:r>
            <w:r w:rsidRPr="00A647A4">
              <w:rPr>
                <w:spacing w:val="-2"/>
                <w:lang w:val="fr-FR"/>
              </w:rPr>
              <w:br/>
            </w:r>
            <w:r>
              <w:rPr>
                <w:spacing w:val="-2"/>
              </w:rPr>
              <w:t>Study code: BRO0609D.</w:t>
            </w:r>
            <w:r>
              <w:rPr>
                <w:spacing w:val="-2"/>
              </w:rPr>
              <w:br/>
              <w:t>Non-GLP, Unpublished.</w:t>
            </w:r>
          </w:p>
        </w:tc>
        <w:tc>
          <w:tcPr>
            <w:tcW w:w="1271" w:type="pct"/>
            <w:tcBorders>
              <w:top w:val="single" w:sz="4" w:space="0" w:color="auto"/>
              <w:bottom w:val="single" w:sz="4" w:space="0" w:color="auto"/>
            </w:tcBorders>
          </w:tcPr>
          <w:p w:rsidR="00BA7C2C" w:rsidRDefault="00BA7C2C" w:rsidP="00613EE2">
            <w:pPr>
              <w:rPr>
                <w:rFonts w:cs="Arial"/>
              </w:rPr>
            </w:pPr>
            <w:r>
              <w:rPr>
                <w:spacing w:val="-2"/>
              </w:rPr>
              <w:t>LiphaTech</w:t>
            </w:r>
          </w:p>
        </w:tc>
        <w:tc>
          <w:tcPr>
            <w:tcW w:w="324" w:type="pct"/>
            <w:gridSpan w:val="2"/>
            <w:tcBorders>
              <w:top w:val="single" w:sz="4" w:space="0" w:color="auto"/>
            </w:tcBorders>
          </w:tcPr>
          <w:p w:rsidR="00BA7C2C" w:rsidRDefault="00BA7C2C" w:rsidP="00613EE2">
            <w:pPr>
              <w:jc w:val="center"/>
              <w:rPr>
                <w:rFonts w:cs="Arial"/>
              </w:rPr>
            </w:pPr>
            <w:r>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A908A2" w:rsidRDefault="00BA7C2C" w:rsidP="00613EE2">
            <w:pPr>
              <w:pStyle w:val="TableTextLeft"/>
              <w:keepNext w:val="0"/>
              <w:rPr>
                <w:spacing w:val="-2"/>
              </w:rPr>
            </w:pPr>
            <w:r w:rsidRPr="00A908A2">
              <w:rPr>
                <w:spacing w:val="-2"/>
              </w:rPr>
              <w:lastRenderedPageBreak/>
              <w:t>IIIB</w:t>
            </w:r>
            <w:r w:rsidRPr="00A908A2">
              <w:rPr>
                <w:spacing w:val="-2"/>
              </w:rPr>
              <w:br/>
              <w:t>3.2-</w:t>
            </w:r>
            <w:r>
              <w:rPr>
                <w:spacing w:val="-2"/>
              </w:rPr>
              <w:t>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Curl, M and Wright</w:t>
            </w:r>
            <w:r w:rsidRPr="00A908A2">
              <w:t xml:space="preserve">, </w:t>
            </w:r>
            <w:r>
              <w:t>E</w:t>
            </w:r>
            <w:r w:rsidRPr="00A908A2">
              <w:t>.</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sidRPr="00A908A2">
              <w:rPr>
                <w:spacing w:val="-2"/>
              </w:rPr>
              <w:t>200</w:t>
            </w:r>
            <w:r>
              <w:rPr>
                <w:spacing w:val="-2"/>
              </w:rPr>
              <w:t>9a</w:t>
            </w:r>
          </w:p>
        </w:tc>
        <w:tc>
          <w:tcPr>
            <w:tcW w:w="1671" w:type="pct"/>
            <w:tcBorders>
              <w:top w:val="single" w:sz="4" w:space="0" w:color="auto"/>
              <w:bottom w:val="single" w:sz="4" w:space="0" w:color="auto"/>
            </w:tcBorders>
          </w:tcPr>
          <w:p w:rsidR="00BA7C2C" w:rsidRPr="0011219E" w:rsidRDefault="00BA7C2C" w:rsidP="00613EE2">
            <w:pPr>
              <w:pStyle w:val="TableTextLeft"/>
              <w:rPr>
                <w:spacing w:val="-2"/>
              </w:rPr>
            </w:pPr>
            <w:r w:rsidRPr="0011219E">
              <w:rPr>
                <w:spacing w:val="-2"/>
              </w:rPr>
              <w:t xml:space="preserve">Expert Statement on the Explosive Properties </w:t>
            </w:r>
            <w:r w:rsidRPr="00630856">
              <w:rPr>
                <w:spacing w:val="-2"/>
                <w:lang w:val="en-US"/>
              </w:rPr>
              <w:t>of Blue Paste Formulation</w:t>
            </w:r>
            <w:r w:rsidRPr="0011219E">
              <w:rPr>
                <w:spacing w:val="-2"/>
              </w:rPr>
              <w:t xml:space="preserve">. </w:t>
            </w:r>
            <w:r w:rsidRPr="0011219E">
              <w:rPr>
                <w:spacing w:val="-2"/>
              </w:rPr>
              <w:br/>
              <w:t xml:space="preserve">TSGE, </w:t>
            </w:r>
            <w:smartTag w:uri="urn:schemas-microsoft-com:office:smarttags" w:element="place">
              <w:smartTag w:uri="urn:schemas-microsoft-com:office:smarttags" w:element="City">
                <w:r w:rsidRPr="0011219E">
                  <w:rPr>
                    <w:spacing w:val="-2"/>
                  </w:rPr>
                  <w:t>Knaresborough</w:t>
                </w:r>
              </w:smartTag>
              <w:r w:rsidRPr="0011219E">
                <w:rPr>
                  <w:spacing w:val="-2"/>
                </w:rPr>
                <w:t xml:space="preserve">, </w:t>
              </w:r>
              <w:smartTag w:uri="urn:schemas-microsoft-com:office:smarttags" w:element="country-region">
                <w:r w:rsidRPr="0011219E">
                  <w:rPr>
                    <w:spacing w:val="-2"/>
                  </w:rPr>
                  <w:t>UK</w:t>
                </w:r>
              </w:smartTag>
            </w:smartTag>
            <w:r w:rsidRPr="0011219E">
              <w:rPr>
                <w:spacing w:val="-2"/>
              </w:rPr>
              <w:t>.</w:t>
            </w:r>
            <w:r w:rsidRPr="0011219E">
              <w:rPr>
                <w:spacing w:val="-2"/>
              </w:rPr>
              <w:br/>
              <w:t>Study No: DFNF00060-12-1-6-</w:t>
            </w:r>
            <w:r>
              <w:rPr>
                <w:spacing w:val="-2"/>
              </w:rPr>
              <w:t>Exp</w:t>
            </w:r>
            <w:r w:rsidRPr="0011219E">
              <w:rPr>
                <w:spacing w:val="-2"/>
              </w:rPr>
              <w:t>.</w:t>
            </w:r>
            <w:r w:rsidRPr="0011219E">
              <w:rPr>
                <w:spacing w:val="-2"/>
              </w:rPr>
              <w:br/>
              <w:t>Non-GLP,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A908A2" w:rsidRDefault="00BA7C2C" w:rsidP="00613EE2">
            <w:pPr>
              <w:pStyle w:val="TableTextLeft"/>
              <w:keepNext w:val="0"/>
              <w:rPr>
                <w:spacing w:val="-2"/>
              </w:rPr>
            </w:pPr>
            <w:r w:rsidRPr="00A908A2">
              <w:rPr>
                <w:spacing w:val="-2"/>
              </w:rPr>
              <w:t>IIIB</w:t>
            </w:r>
            <w:r w:rsidRPr="00A908A2">
              <w:rPr>
                <w:spacing w:val="-2"/>
              </w:rPr>
              <w:br/>
              <w:t>3.</w:t>
            </w:r>
            <w:r>
              <w:rPr>
                <w:spacing w:val="-2"/>
              </w:rPr>
              <w:t>3</w:t>
            </w:r>
            <w:r w:rsidRPr="00A908A2">
              <w:rPr>
                <w:spacing w:val="-2"/>
              </w:rPr>
              <w:t>-01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Curl, M and Wright</w:t>
            </w:r>
            <w:r w:rsidRPr="00A908A2">
              <w:t xml:space="preserve">, </w:t>
            </w:r>
            <w:r>
              <w:t>E</w:t>
            </w:r>
            <w:r w:rsidRPr="00A908A2">
              <w:t>.</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sidRPr="00A908A2">
              <w:rPr>
                <w:spacing w:val="-2"/>
              </w:rPr>
              <w:t>200</w:t>
            </w:r>
            <w:r>
              <w:rPr>
                <w:spacing w:val="-2"/>
              </w:rPr>
              <w:t>9b</w:t>
            </w:r>
          </w:p>
        </w:tc>
        <w:tc>
          <w:tcPr>
            <w:tcW w:w="1671" w:type="pct"/>
            <w:tcBorders>
              <w:top w:val="single" w:sz="4" w:space="0" w:color="auto"/>
              <w:bottom w:val="single" w:sz="4" w:space="0" w:color="auto"/>
            </w:tcBorders>
          </w:tcPr>
          <w:p w:rsidR="00BA7C2C" w:rsidRPr="0011219E" w:rsidRDefault="00BA7C2C" w:rsidP="00613EE2">
            <w:pPr>
              <w:pStyle w:val="TableTextLeft"/>
              <w:rPr>
                <w:spacing w:val="-2"/>
              </w:rPr>
            </w:pPr>
            <w:r w:rsidRPr="0011219E">
              <w:rPr>
                <w:spacing w:val="-2"/>
              </w:rPr>
              <w:t xml:space="preserve">Expert Statement on the oxidising Properties </w:t>
            </w:r>
            <w:r w:rsidRPr="00630856">
              <w:rPr>
                <w:spacing w:val="-2"/>
                <w:lang w:val="en-US"/>
              </w:rPr>
              <w:t>of Blue Paste Formulation</w:t>
            </w:r>
            <w:r w:rsidRPr="0011219E">
              <w:rPr>
                <w:spacing w:val="-2"/>
              </w:rPr>
              <w:t xml:space="preserve">. </w:t>
            </w:r>
            <w:r w:rsidRPr="0011219E">
              <w:rPr>
                <w:spacing w:val="-2"/>
              </w:rPr>
              <w:br/>
              <w:t xml:space="preserve">TSGE, </w:t>
            </w:r>
            <w:smartTag w:uri="urn:schemas-microsoft-com:office:smarttags" w:element="place">
              <w:smartTag w:uri="urn:schemas-microsoft-com:office:smarttags" w:element="City">
                <w:r w:rsidRPr="0011219E">
                  <w:rPr>
                    <w:spacing w:val="-2"/>
                  </w:rPr>
                  <w:t>Knaresborough</w:t>
                </w:r>
              </w:smartTag>
              <w:r w:rsidRPr="0011219E">
                <w:rPr>
                  <w:spacing w:val="-2"/>
                </w:rPr>
                <w:t xml:space="preserve">, </w:t>
              </w:r>
              <w:smartTag w:uri="urn:schemas-microsoft-com:office:smarttags" w:element="country-region">
                <w:r w:rsidRPr="0011219E">
                  <w:rPr>
                    <w:spacing w:val="-2"/>
                  </w:rPr>
                  <w:t>UK</w:t>
                </w:r>
              </w:smartTag>
            </w:smartTag>
            <w:r w:rsidRPr="0011219E">
              <w:rPr>
                <w:spacing w:val="-2"/>
              </w:rPr>
              <w:t>.</w:t>
            </w:r>
            <w:r w:rsidRPr="0011219E">
              <w:rPr>
                <w:spacing w:val="-2"/>
              </w:rPr>
              <w:br/>
              <w:t>Study No: DFNF00060-12-1-6-</w:t>
            </w:r>
            <w:r>
              <w:rPr>
                <w:spacing w:val="-2"/>
              </w:rPr>
              <w:t>Oxp</w:t>
            </w:r>
            <w:r w:rsidRPr="0011219E">
              <w:rPr>
                <w:spacing w:val="-2"/>
              </w:rPr>
              <w:t>.</w:t>
            </w:r>
            <w:r w:rsidRPr="0011219E">
              <w:rPr>
                <w:spacing w:val="-2"/>
              </w:rPr>
              <w:br/>
              <w:t>Non-GLP,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A908A2" w:rsidRDefault="00BA7C2C" w:rsidP="00613EE2">
            <w:pPr>
              <w:pStyle w:val="TableTextLeft"/>
              <w:keepNext w:val="0"/>
              <w:rPr>
                <w:spacing w:val="-2"/>
              </w:rPr>
            </w:pPr>
            <w:r>
              <w:rPr>
                <w:spacing w:val="-2"/>
              </w:rPr>
              <w:t>IIIB</w:t>
            </w:r>
            <w:r>
              <w:rPr>
                <w:spacing w:val="-2"/>
              </w:rPr>
              <w:br/>
              <w:t>3.4-01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Demangel, B.</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2008</w:t>
            </w:r>
          </w:p>
        </w:tc>
        <w:tc>
          <w:tcPr>
            <w:tcW w:w="1671" w:type="pct"/>
            <w:tcBorders>
              <w:top w:val="single" w:sz="4" w:space="0" w:color="auto"/>
              <w:bottom w:val="single" w:sz="4" w:space="0" w:color="auto"/>
            </w:tcBorders>
          </w:tcPr>
          <w:p w:rsidR="00BA7C2C" w:rsidRPr="00A908A2" w:rsidRDefault="00BA7C2C" w:rsidP="00613EE2">
            <w:pPr>
              <w:pStyle w:val="TableTextLeft"/>
              <w:keepNext w:val="0"/>
              <w:rPr>
                <w:spacing w:val="-2"/>
              </w:rPr>
            </w:pPr>
            <w:r>
              <w:rPr>
                <w:spacing w:val="-2"/>
              </w:rPr>
              <w:t>Flammability of Solids on Difethialone Paste – F00060_01,</w:t>
            </w:r>
            <w:r>
              <w:rPr>
                <w:spacing w:val="-2"/>
              </w:rPr>
              <w:br/>
              <w:t xml:space="preserve">Defitraces, </w:t>
            </w:r>
            <w:smartTag w:uri="urn:schemas-microsoft-com:office:smarttags" w:element="place">
              <w:smartTag w:uri="urn:schemas-microsoft-com:office:smarttags" w:element="City">
                <w:r>
                  <w:rPr>
                    <w:spacing w:val="-2"/>
                  </w:rPr>
                  <w:t>Brindas</w:t>
                </w:r>
              </w:smartTag>
              <w:r>
                <w:rPr>
                  <w:spacing w:val="-2"/>
                </w:rPr>
                <w:t xml:space="preserve">, </w:t>
              </w:r>
              <w:smartTag w:uri="urn:schemas-microsoft-com:office:smarttags" w:element="country-region">
                <w:r>
                  <w:rPr>
                    <w:spacing w:val="-2"/>
                  </w:rPr>
                  <w:t>France</w:t>
                </w:r>
              </w:smartTag>
            </w:smartTag>
            <w:r>
              <w:rPr>
                <w:spacing w:val="-2"/>
              </w:rPr>
              <w:br/>
              <w:t>Study number 08-912021-002</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rPr>
                <w:spacing w:val="-2"/>
              </w:rPr>
            </w:pPr>
            <w:r>
              <w:rPr>
                <w:spacing w:val="-2"/>
              </w:rPr>
              <w:t>IIIB</w:t>
            </w:r>
            <w:r>
              <w:rPr>
                <w:spacing w:val="-2"/>
              </w:rPr>
              <w:br/>
              <w:t>3.5-01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2010</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Pr>
                <w:spacing w:val="-2"/>
              </w:rPr>
              <w:t>Bromadiolone Red Paste 50 mg/kg Storage stability (</w:t>
            </w:r>
            <w:smartTag w:uri="urn:schemas-microsoft-com:office:smarttags" w:element="metricconverter">
              <w:smartTagPr>
                <w:attr w:name="ProductID" w:val="25ﾰC"/>
              </w:smartTagPr>
              <w:r>
                <w:rPr>
                  <w:spacing w:val="-2"/>
                </w:rPr>
                <w:t>25°C</w:t>
              </w:r>
            </w:smartTag>
            <w:r>
              <w:rPr>
                <w:spacing w:val="-2"/>
              </w:rPr>
              <w:t xml:space="preserve"> – 2 years). </w:t>
            </w:r>
            <w:r w:rsidRPr="00A647A4">
              <w:rPr>
                <w:spacing w:val="-2"/>
                <w:lang w:val="fr-FR"/>
              </w:rPr>
              <w:t>BROPA0,0050_05F_F01153_00.</w:t>
            </w:r>
            <w:r w:rsidRPr="00A647A4">
              <w:rPr>
                <w:spacing w:val="-2"/>
                <w:lang w:val="fr-FR"/>
              </w:rPr>
              <w:br/>
              <w:t>Centre R&amp;D De Sangosse, Pont du Casse, France.</w:t>
            </w:r>
            <w:r w:rsidRPr="00A647A4">
              <w:rPr>
                <w:spacing w:val="-2"/>
                <w:lang w:val="fr-FR"/>
              </w:rPr>
              <w:br/>
            </w:r>
            <w:r>
              <w:rPr>
                <w:spacing w:val="-2"/>
              </w:rPr>
              <w:t>Study code: BRO0811D</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rPr>
                <w:spacing w:val="-2"/>
              </w:rPr>
            </w:pPr>
            <w:r>
              <w:rPr>
                <w:spacing w:val="-2"/>
              </w:rPr>
              <w:t>IIIB</w:t>
            </w:r>
            <w:r>
              <w:rPr>
                <w:spacing w:val="-2"/>
              </w:rPr>
              <w:br/>
              <w:t>3.6-01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pStyle w:val="TableTextLeft"/>
              <w:keepNext w:val="0"/>
              <w:rPr>
                <w:spacing w:val="-2"/>
              </w:rPr>
            </w:pPr>
            <w:r>
              <w:t>Zobel, M.L.</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2007</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Pr>
                <w:spacing w:val="-2"/>
              </w:rPr>
              <w:t>Density Determination of DFN Paste 0601</w:t>
            </w:r>
            <w:r>
              <w:rPr>
                <w:spacing w:val="-2"/>
              </w:rPr>
              <w:br/>
              <w:t xml:space="preserve">Liphatech Inc, </w:t>
            </w:r>
            <w:smartTag w:uri="urn:schemas-microsoft-com:office:smarttags" w:element="place">
              <w:smartTag w:uri="urn:schemas-microsoft-com:office:smarttags" w:element="City">
                <w:r>
                  <w:rPr>
                    <w:spacing w:val="-2"/>
                  </w:rPr>
                  <w:t>Milwaukee</w:t>
                </w:r>
              </w:smartTag>
              <w:r>
                <w:rPr>
                  <w:spacing w:val="-2"/>
                </w:rPr>
                <w:t xml:space="preserve">, </w:t>
              </w:r>
              <w:smartTag w:uri="urn:schemas-microsoft-com:office:smarttags" w:element="State">
                <w:r>
                  <w:rPr>
                    <w:spacing w:val="-2"/>
                  </w:rPr>
                  <w:t>WI</w:t>
                </w:r>
              </w:smartTag>
              <w:r>
                <w:rPr>
                  <w:spacing w:val="-2"/>
                </w:rPr>
                <w:t xml:space="preserve">, </w:t>
              </w:r>
              <w:smartTag w:uri="urn:schemas-microsoft-com:office:smarttags" w:element="country-region">
                <w:r>
                  <w:rPr>
                    <w:spacing w:val="-2"/>
                  </w:rPr>
                  <w:t>USA</w:t>
                </w:r>
              </w:smartTag>
            </w:smartTag>
            <w:r>
              <w:rPr>
                <w:spacing w:val="-2"/>
              </w:rPr>
              <w:t>.</w:t>
            </w:r>
            <w:r>
              <w:rPr>
                <w:spacing w:val="-2"/>
              </w:rPr>
              <w:br/>
              <w:t>Study code: 06083.</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pPr>
            <w:r>
              <w:rPr>
                <w:spacing w:val="-2"/>
              </w:rPr>
              <w:lastRenderedPageBreak/>
              <w:t>IIIB</w:t>
            </w:r>
            <w:r>
              <w:rPr>
                <w:spacing w:val="-2"/>
              </w:rPr>
              <w:br/>
              <w:t xml:space="preserve">3.6-02   </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2011</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Pr>
                <w:spacing w:val="-2"/>
              </w:rPr>
              <w:t xml:space="preserve">Bromadiolone Red Paste 50 mg/kg   Mesure of relative density. </w:t>
            </w:r>
            <w:r w:rsidRPr="0025344D">
              <w:rPr>
                <w:spacing w:val="-2"/>
                <w:lang w:val="fr-FR"/>
              </w:rPr>
              <w:t>BROPA0,0050_05F_F01153_00.</w:t>
            </w:r>
            <w:r w:rsidRPr="0025344D">
              <w:rPr>
                <w:spacing w:val="-2"/>
                <w:lang w:val="fr-FR"/>
              </w:rPr>
              <w:br/>
              <w:t>Centre R&amp;D De Sangosse, Pont du Casse, France.</w:t>
            </w:r>
            <w:r w:rsidRPr="0025344D">
              <w:rPr>
                <w:spacing w:val="-2"/>
                <w:lang w:val="fr-FR"/>
              </w:rPr>
              <w:br/>
            </w:r>
            <w:r>
              <w:rPr>
                <w:spacing w:val="-2"/>
              </w:rPr>
              <w:t>Study code: BRO1110F</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rPr>
                <w:spacing w:val="-2"/>
              </w:rPr>
            </w:pPr>
            <w:r>
              <w:rPr>
                <w:spacing w:val="-2"/>
              </w:rPr>
              <w:t>IIIB</w:t>
            </w:r>
            <w:r>
              <w:rPr>
                <w:spacing w:val="-2"/>
              </w:rPr>
              <w:br/>
              <w:t>3.7-01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rPr>
                <w:rFonts w:cs="Arial"/>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rPr>
                <w:rFonts w:cs="Arial"/>
              </w:rPr>
            </w:pPr>
            <w:r>
              <w:rPr>
                <w:spacing w:val="-2"/>
              </w:rPr>
              <w:t>2010</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Pr>
                <w:spacing w:val="-2"/>
              </w:rPr>
              <w:t>Bromadiolone Red Paste 50 mg/kg Storage stability (</w:t>
            </w:r>
            <w:smartTag w:uri="urn:schemas-microsoft-com:office:smarttags" w:element="metricconverter">
              <w:smartTagPr>
                <w:attr w:name="ProductID" w:val="25ﾰC"/>
              </w:smartTagPr>
              <w:r>
                <w:rPr>
                  <w:spacing w:val="-2"/>
                </w:rPr>
                <w:t>25°C</w:t>
              </w:r>
            </w:smartTag>
            <w:r>
              <w:rPr>
                <w:spacing w:val="-2"/>
              </w:rPr>
              <w:t xml:space="preserve"> – 2 years). </w:t>
            </w:r>
            <w:r w:rsidRPr="00A647A4">
              <w:rPr>
                <w:spacing w:val="-2"/>
                <w:lang w:val="fr-FR"/>
              </w:rPr>
              <w:t>BROPA0,0050_05F_F01153_00.</w:t>
            </w:r>
            <w:r w:rsidRPr="00A647A4">
              <w:rPr>
                <w:spacing w:val="-2"/>
                <w:lang w:val="fr-FR"/>
              </w:rPr>
              <w:br/>
              <w:t>Centre R&amp;D De Sangosse, Pont du Casse, France.</w:t>
            </w:r>
            <w:r w:rsidRPr="00A647A4">
              <w:rPr>
                <w:spacing w:val="-2"/>
                <w:lang w:val="fr-FR"/>
              </w:rPr>
              <w:br/>
            </w:r>
            <w:r>
              <w:rPr>
                <w:spacing w:val="-2"/>
              </w:rPr>
              <w:t>Study code: BRO0811D</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7B15BE" w:rsidRDefault="00BA7C2C" w:rsidP="00613EE2">
            <w:pPr>
              <w:pStyle w:val="TableTextLeft"/>
              <w:keepNext w:val="0"/>
              <w:rPr>
                <w:spacing w:val="-2"/>
              </w:rPr>
            </w:pPr>
            <w:r w:rsidRPr="007B15BE">
              <w:rPr>
                <w:spacing w:val="-2"/>
              </w:rPr>
              <w:t>IIIB</w:t>
            </w:r>
            <w:r w:rsidRPr="007B15BE">
              <w:rPr>
                <w:spacing w:val="-2"/>
              </w:rPr>
              <w:br/>
              <w:t>3.7-02</w:t>
            </w:r>
          </w:p>
        </w:tc>
        <w:tc>
          <w:tcPr>
            <w:tcW w:w="247" w:type="pct"/>
            <w:gridSpan w:val="2"/>
            <w:tcBorders>
              <w:left w:val="single" w:sz="4" w:space="0" w:color="auto"/>
              <w:bottom w:val="single" w:sz="4" w:space="0" w:color="auto"/>
              <w:right w:val="single" w:sz="4" w:space="0" w:color="auto"/>
            </w:tcBorders>
          </w:tcPr>
          <w:p w:rsidR="00BA7C2C" w:rsidRPr="007B15BE"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Pr="007B15BE" w:rsidRDefault="00BA7C2C" w:rsidP="00613EE2">
            <w:pPr>
              <w:pStyle w:val="TableTextLeft"/>
              <w:keepNext w:val="0"/>
            </w:pPr>
            <w:r w:rsidRPr="007B15BE">
              <w:t>Caruel, H.</w:t>
            </w:r>
          </w:p>
        </w:tc>
        <w:tc>
          <w:tcPr>
            <w:tcW w:w="307" w:type="pct"/>
            <w:tcBorders>
              <w:top w:val="single" w:sz="4" w:space="0" w:color="auto"/>
              <w:left w:val="single" w:sz="4" w:space="0" w:color="auto"/>
              <w:bottom w:val="single" w:sz="4" w:space="0" w:color="auto"/>
            </w:tcBorders>
          </w:tcPr>
          <w:p w:rsidR="00BA7C2C" w:rsidRPr="007B15BE" w:rsidRDefault="00BA7C2C" w:rsidP="00613EE2">
            <w:pPr>
              <w:pStyle w:val="TableTextLeft"/>
              <w:keepNext w:val="0"/>
              <w:rPr>
                <w:spacing w:val="-2"/>
              </w:rPr>
            </w:pPr>
            <w:r w:rsidRPr="007B15BE">
              <w:rPr>
                <w:spacing w:val="-2"/>
              </w:rPr>
              <w:t>2009</w:t>
            </w:r>
          </w:p>
        </w:tc>
        <w:tc>
          <w:tcPr>
            <w:tcW w:w="1671" w:type="pct"/>
            <w:tcBorders>
              <w:top w:val="single" w:sz="4" w:space="0" w:color="auto"/>
              <w:bottom w:val="single" w:sz="4" w:space="0" w:color="auto"/>
            </w:tcBorders>
          </w:tcPr>
          <w:p w:rsidR="00BA7C2C" w:rsidRPr="007B15BE" w:rsidRDefault="00BA7C2C" w:rsidP="00613EE2">
            <w:pPr>
              <w:pStyle w:val="TableTextLeft"/>
              <w:keepNext w:val="0"/>
              <w:rPr>
                <w:spacing w:val="-2"/>
                <w:lang w:val="fr-FR"/>
              </w:rPr>
            </w:pPr>
            <w:r w:rsidRPr="007B15BE">
              <w:rPr>
                <w:spacing w:val="-2"/>
              </w:rPr>
              <w:t>Bromadiolone Red Paste 50 mg/kg Accelerated Storage stability (</w:t>
            </w:r>
            <w:smartTag w:uri="urn:schemas-microsoft-com:office:smarttags" w:element="metricconverter">
              <w:smartTagPr>
                <w:attr w:name="ProductID" w:val="40ﾰC"/>
              </w:smartTagPr>
              <w:r w:rsidRPr="007B15BE">
                <w:rPr>
                  <w:spacing w:val="-2"/>
                </w:rPr>
                <w:t>40°C</w:t>
              </w:r>
            </w:smartTag>
            <w:r w:rsidRPr="007B15BE">
              <w:rPr>
                <w:spacing w:val="-2"/>
              </w:rPr>
              <w:t xml:space="preserve"> – 8 weeks). </w:t>
            </w:r>
            <w:r w:rsidRPr="007B15BE">
              <w:rPr>
                <w:spacing w:val="-2"/>
                <w:lang w:val="fr-FR"/>
              </w:rPr>
              <w:t>BROPA0,0050_05F_F01153_00.</w:t>
            </w:r>
            <w:r w:rsidRPr="007B15BE">
              <w:rPr>
                <w:spacing w:val="-2"/>
                <w:lang w:val="fr-FR"/>
              </w:rPr>
              <w:br/>
              <w:t>Centre R&amp;D De Sangosse, Pont du Casse, France.</w:t>
            </w:r>
            <w:r w:rsidRPr="007B15BE">
              <w:rPr>
                <w:spacing w:val="-2"/>
                <w:lang w:val="fr-FR"/>
              </w:rPr>
              <w:br/>
            </w:r>
            <w:r w:rsidRPr="007B15BE">
              <w:rPr>
                <w:spacing w:val="-2"/>
              </w:rPr>
              <w:t>Study code: BRO0809D</w:t>
            </w:r>
            <w:r w:rsidRPr="007B15BE">
              <w:rPr>
                <w:spacing w:val="-2"/>
              </w:rPr>
              <w:br/>
              <w:t>GLP, Unpublished.</w:t>
            </w:r>
          </w:p>
        </w:tc>
        <w:tc>
          <w:tcPr>
            <w:tcW w:w="1271" w:type="pct"/>
            <w:tcBorders>
              <w:top w:val="single" w:sz="4" w:space="0" w:color="auto"/>
              <w:bottom w:val="single" w:sz="4" w:space="0" w:color="auto"/>
            </w:tcBorders>
          </w:tcPr>
          <w:p w:rsidR="00BA7C2C" w:rsidRPr="007B15BE" w:rsidRDefault="00BA7C2C" w:rsidP="00613EE2">
            <w:pPr>
              <w:rPr>
                <w:rFonts w:cs="Arial"/>
              </w:rPr>
            </w:pPr>
            <w:r w:rsidRPr="007B15BE">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7B15BE" w:rsidRDefault="00BA7C2C" w:rsidP="00613EE2">
            <w:pPr>
              <w:pStyle w:val="TableTextLeft"/>
              <w:keepNext w:val="0"/>
              <w:rPr>
                <w:spacing w:val="-2"/>
              </w:rPr>
            </w:pPr>
            <w:r w:rsidRPr="007B15BE">
              <w:rPr>
                <w:spacing w:val="-2"/>
              </w:rPr>
              <w:t>IIIB</w:t>
            </w:r>
            <w:r w:rsidRPr="007B15BE">
              <w:rPr>
                <w:spacing w:val="-2"/>
              </w:rPr>
              <w:br/>
              <w:t>3.7-03</w:t>
            </w:r>
          </w:p>
        </w:tc>
        <w:tc>
          <w:tcPr>
            <w:tcW w:w="247" w:type="pct"/>
            <w:gridSpan w:val="2"/>
            <w:tcBorders>
              <w:left w:val="single" w:sz="4" w:space="0" w:color="auto"/>
              <w:bottom w:val="single" w:sz="4" w:space="0" w:color="auto"/>
              <w:right w:val="single" w:sz="4" w:space="0" w:color="auto"/>
            </w:tcBorders>
          </w:tcPr>
          <w:p w:rsidR="00BA7C2C" w:rsidRPr="007B15BE"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Pr="007B15BE" w:rsidRDefault="00BA7C2C" w:rsidP="00613EE2">
            <w:pPr>
              <w:pStyle w:val="TableTextLeft"/>
              <w:keepNext w:val="0"/>
            </w:pPr>
            <w:r w:rsidRPr="007B15BE">
              <w:t>Deslux, R.</w:t>
            </w:r>
          </w:p>
        </w:tc>
        <w:tc>
          <w:tcPr>
            <w:tcW w:w="307" w:type="pct"/>
            <w:tcBorders>
              <w:top w:val="single" w:sz="4" w:space="0" w:color="auto"/>
              <w:left w:val="single" w:sz="4" w:space="0" w:color="auto"/>
              <w:bottom w:val="single" w:sz="4" w:space="0" w:color="auto"/>
            </w:tcBorders>
          </w:tcPr>
          <w:p w:rsidR="00BA7C2C" w:rsidRPr="007B15BE" w:rsidRDefault="00BA7C2C" w:rsidP="00613EE2">
            <w:pPr>
              <w:pStyle w:val="TableTextLeft"/>
              <w:keepNext w:val="0"/>
              <w:rPr>
                <w:spacing w:val="-2"/>
              </w:rPr>
            </w:pPr>
            <w:r w:rsidRPr="007B15BE">
              <w:rPr>
                <w:spacing w:val="-2"/>
              </w:rPr>
              <w:t>2012</w:t>
            </w:r>
          </w:p>
        </w:tc>
        <w:tc>
          <w:tcPr>
            <w:tcW w:w="1671" w:type="pct"/>
            <w:tcBorders>
              <w:top w:val="single" w:sz="4" w:space="0" w:color="auto"/>
              <w:bottom w:val="single" w:sz="4" w:space="0" w:color="auto"/>
            </w:tcBorders>
          </w:tcPr>
          <w:p w:rsidR="00BA7C2C" w:rsidRPr="007B15BE" w:rsidRDefault="00BA7C2C" w:rsidP="00613EE2">
            <w:pPr>
              <w:autoSpaceDE w:val="0"/>
              <w:autoSpaceDN w:val="0"/>
              <w:adjustRightInd w:val="0"/>
              <w:rPr>
                <w:lang w:val="fr-FR" w:eastAsia="fr-FR"/>
              </w:rPr>
            </w:pPr>
            <w:r w:rsidRPr="007B15BE">
              <w:rPr>
                <w:bCs/>
                <w:lang w:val="fr-FR" w:eastAsia="fr-FR"/>
              </w:rPr>
              <w:t>Bromadiolone bait compatibility packaging  study</w:t>
            </w:r>
          </w:p>
          <w:p w:rsidR="00BA7C2C" w:rsidRPr="007B15BE" w:rsidRDefault="00BA7C2C" w:rsidP="00613EE2">
            <w:pPr>
              <w:pStyle w:val="TableTextLeft"/>
              <w:keepNext w:val="0"/>
              <w:rPr>
                <w:spacing w:val="-2"/>
              </w:rPr>
            </w:pPr>
            <w:r w:rsidRPr="007B15BE">
              <w:rPr>
                <w:spacing w:val="-2"/>
                <w:lang w:val="fr-FR"/>
              </w:rPr>
              <w:t>Centre R&amp;D De Sangosse, Pont du Casse, France.Study code: BRO1203B.</w:t>
            </w:r>
            <w:r w:rsidRPr="007B15BE">
              <w:rPr>
                <w:spacing w:val="-2"/>
                <w:lang w:val="fr-FR"/>
              </w:rPr>
              <w:br/>
              <w:t>GLP, Unpublished</w:t>
            </w:r>
          </w:p>
        </w:tc>
        <w:tc>
          <w:tcPr>
            <w:tcW w:w="1271" w:type="pct"/>
            <w:tcBorders>
              <w:top w:val="single" w:sz="4" w:space="0" w:color="auto"/>
              <w:bottom w:val="single" w:sz="4" w:space="0" w:color="auto"/>
            </w:tcBorders>
          </w:tcPr>
          <w:p w:rsidR="00BA7C2C" w:rsidRPr="007B15BE" w:rsidRDefault="00BA7C2C" w:rsidP="00613EE2">
            <w:pPr>
              <w:rPr>
                <w:spacing w:val="-2"/>
              </w:rPr>
            </w:pPr>
            <w:r w:rsidRPr="007B15BE">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rPr>
                <w:spacing w:val="-2"/>
              </w:rPr>
            </w:pPr>
            <w:r>
              <w:rPr>
                <w:spacing w:val="-2"/>
              </w:rPr>
              <w:lastRenderedPageBreak/>
              <w:t>IIIB</w:t>
            </w:r>
            <w:r>
              <w:rPr>
                <w:spacing w:val="-2"/>
              </w:rPr>
              <w:br/>
              <w:t>4.1-01</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pStyle w:val="TableTextLeft"/>
              <w:keepNext w:val="0"/>
              <w:rPr>
                <w:spacing w:val="-2"/>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pStyle w:val="TableTextLeft"/>
              <w:keepNext w:val="0"/>
              <w:rPr>
                <w:spacing w:val="-2"/>
              </w:rPr>
            </w:pPr>
            <w:r>
              <w:rPr>
                <w:spacing w:val="-2"/>
              </w:rPr>
              <w:t>2006b</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sidRPr="00A647A4">
              <w:rPr>
                <w:spacing w:val="-2"/>
                <w:lang w:val="fr-FR"/>
              </w:rPr>
              <w:t xml:space="preserve">Bromadiolone Paste 50 mg/kg Analytical Method Validation </w:t>
            </w:r>
            <w:r w:rsidRPr="00A647A4">
              <w:rPr>
                <w:spacing w:val="-2"/>
                <w:lang w:val="fr-FR"/>
              </w:rPr>
              <w:br/>
              <w:t>Centre R&amp;D De Sangosse, Pont du Casse, France.</w:t>
            </w:r>
            <w:r w:rsidRPr="00A647A4">
              <w:rPr>
                <w:spacing w:val="-2"/>
                <w:lang w:val="fr-FR"/>
              </w:rPr>
              <w:br/>
            </w:r>
            <w:r>
              <w:rPr>
                <w:spacing w:val="-2"/>
              </w:rPr>
              <w:t>Study code: BRO0601J.</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Default="00BA7C2C" w:rsidP="00613EE2">
            <w:pPr>
              <w:pStyle w:val="TableTextLeft"/>
              <w:keepNext w:val="0"/>
              <w:rPr>
                <w:spacing w:val="-2"/>
              </w:rPr>
            </w:pPr>
            <w:r>
              <w:rPr>
                <w:spacing w:val="-2"/>
              </w:rPr>
              <w:t>IIIB</w:t>
            </w:r>
            <w:r>
              <w:rPr>
                <w:spacing w:val="-2"/>
              </w:rPr>
              <w:br/>
              <w:t>4.1-02</w:t>
            </w:r>
          </w:p>
        </w:tc>
        <w:tc>
          <w:tcPr>
            <w:tcW w:w="247" w:type="pct"/>
            <w:gridSpan w:val="2"/>
            <w:tcBorders>
              <w:left w:val="single" w:sz="4" w:space="0" w:color="auto"/>
              <w:bottom w:val="single" w:sz="4" w:space="0" w:color="auto"/>
              <w:right w:val="single" w:sz="4" w:space="0" w:color="auto"/>
            </w:tcBorders>
          </w:tcPr>
          <w:p w:rsidR="00BA7C2C" w:rsidRDefault="00BA7C2C" w:rsidP="00613EE2">
            <w:pPr>
              <w:rPr>
                <w:rFonts w:cs="Arial"/>
              </w:rPr>
            </w:pPr>
          </w:p>
        </w:tc>
        <w:tc>
          <w:tcPr>
            <w:tcW w:w="508" w:type="pct"/>
            <w:tcBorders>
              <w:left w:val="single" w:sz="4" w:space="0" w:color="auto"/>
              <w:bottom w:val="single" w:sz="4" w:space="0" w:color="auto"/>
              <w:right w:val="single" w:sz="4" w:space="0" w:color="auto"/>
            </w:tcBorders>
          </w:tcPr>
          <w:p w:rsidR="00BA7C2C" w:rsidRDefault="00BA7C2C" w:rsidP="00613EE2">
            <w:pPr>
              <w:pStyle w:val="TableTextLeft"/>
              <w:keepNext w:val="0"/>
              <w:rPr>
                <w:spacing w:val="-2"/>
              </w:rPr>
            </w:pPr>
            <w:r>
              <w:t>Caruel, H.</w:t>
            </w:r>
          </w:p>
        </w:tc>
        <w:tc>
          <w:tcPr>
            <w:tcW w:w="307" w:type="pct"/>
            <w:tcBorders>
              <w:top w:val="single" w:sz="4" w:space="0" w:color="auto"/>
              <w:left w:val="single" w:sz="4" w:space="0" w:color="auto"/>
              <w:bottom w:val="single" w:sz="4" w:space="0" w:color="auto"/>
            </w:tcBorders>
          </w:tcPr>
          <w:p w:rsidR="00BA7C2C" w:rsidRDefault="00BA7C2C" w:rsidP="00613EE2">
            <w:pPr>
              <w:pStyle w:val="TableTextLeft"/>
              <w:keepNext w:val="0"/>
              <w:rPr>
                <w:spacing w:val="-2"/>
              </w:rPr>
            </w:pPr>
            <w:r>
              <w:rPr>
                <w:spacing w:val="-2"/>
              </w:rPr>
              <w:t>2006c</w:t>
            </w:r>
          </w:p>
        </w:tc>
        <w:tc>
          <w:tcPr>
            <w:tcW w:w="1671" w:type="pct"/>
            <w:tcBorders>
              <w:top w:val="single" w:sz="4" w:space="0" w:color="auto"/>
              <w:bottom w:val="single" w:sz="4" w:space="0" w:color="auto"/>
            </w:tcBorders>
          </w:tcPr>
          <w:p w:rsidR="00BA7C2C" w:rsidRDefault="00BA7C2C" w:rsidP="00613EE2">
            <w:pPr>
              <w:pStyle w:val="TableTextLeft"/>
              <w:keepNext w:val="0"/>
              <w:rPr>
                <w:spacing w:val="-2"/>
              </w:rPr>
            </w:pPr>
            <w:r>
              <w:rPr>
                <w:spacing w:val="-2"/>
              </w:rPr>
              <w:t>Bromadiolone Red Paste 50 mg/kg Specificity of Analytical Method Validation BROPA0,0050_05F_F00391_00</w:t>
            </w:r>
            <w:r>
              <w:rPr>
                <w:spacing w:val="-2"/>
              </w:rPr>
              <w:br/>
              <w:t xml:space="preserve">Centre R&amp;D De Sangosse, </w:t>
            </w:r>
            <w:smartTag w:uri="urn:schemas-microsoft-com:office:smarttags" w:element="place">
              <w:smartTag w:uri="urn:schemas-microsoft-com:office:smarttags" w:element="City">
                <w:r>
                  <w:rPr>
                    <w:spacing w:val="-2"/>
                  </w:rPr>
                  <w:t>Pont du Casse</w:t>
                </w:r>
              </w:smartTag>
              <w:r>
                <w:rPr>
                  <w:spacing w:val="-2"/>
                </w:rPr>
                <w:t xml:space="preserve">, </w:t>
              </w:r>
              <w:smartTag w:uri="urn:schemas-microsoft-com:office:smarttags" w:element="country-region">
                <w:r>
                  <w:rPr>
                    <w:spacing w:val="-2"/>
                  </w:rPr>
                  <w:t>France</w:t>
                </w:r>
              </w:smartTag>
            </w:smartTag>
            <w:r>
              <w:rPr>
                <w:spacing w:val="-2"/>
              </w:rPr>
              <w:t>.</w:t>
            </w:r>
            <w:r>
              <w:rPr>
                <w:spacing w:val="-2"/>
              </w:rPr>
              <w:br/>
              <w:t>Study code: BRO0610A.</w:t>
            </w:r>
            <w:r>
              <w:rPr>
                <w:spacing w:val="-2"/>
              </w:rPr>
              <w:br/>
              <w:t>GLP, Unpublished.</w:t>
            </w:r>
          </w:p>
        </w:tc>
        <w:tc>
          <w:tcPr>
            <w:tcW w:w="1271" w:type="pct"/>
            <w:tcBorders>
              <w:top w:val="single" w:sz="4" w:space="0" w:color="auto"/>
              <w:bottom w:val="single" w:sz="4" w:space="0" w:color="auto"/>
            </w:tcBorders>
          </w:tcPr>
          <w:p w:rsidR="00BA7C2C" w:rsidRDefault="00BA7C2C" w:rsidP="00613EE2">
            <w:pPr>
              <w:rPr>
                <w:rFonts w:cs="Arial"/>
              </w:rPr>
            </w:pPr>
            <w:r w:rsidRPr="00A908A2">
              <w:rPr>
                <w:spacing w:val="-2"/>
              </w:rPr>
              <w:t>LiphaTech</w:t>
            </w:r>
          </w:p>
        </w:tc>
        <w:tc>
          <w:tcPr>
            <w:tcW w:w="324" w:type="pct"/>
            <w:gridSpan w:val="2"/>
            <w:tcBorders>
              <w:top w:val="single" w:sz="4" w:space="0" w:color="auto"/>
            </w:tcBorders>
          </w:tcPr>
          <w:p w:rsidR="00BA7C2C" w:rsidRDefault="00BA7C2C" w:rsidP="00613EE2">
            <w:pPr>
              <w:jc w:val="center"/>
              <w:rPr>
                <w:rFonts w:cs="Arial"/>
              </w:rPr>
            </w:pPr>
            <w:r w:rsidRPr="00A908A2">
              <w:rPr>
                <w:spacing w:val="-2"/>
              </w:rPr>
              <w:t>Yes</w:t>
            </w:r>
          </w:p>
        </w:tc>
        <w:tc>
          <w:tcPr>
            <w:tcW w:w="244" w:type="pct"/>
            <w:gridSpan w:val="2"/>
            <w:tcBorders>
              <w:top w:val="single" w:sz="4" w:space="0" w:color="auto"/>
            </w:tcBorders>
          </w:tcPr>
          <w:p w:rsidR="00BA7C2C" w:rsidRDefault="00BA7C2C" w:rsidP="00613EE2">
            <w:pPr>
              <w:jc w:val="center"/>
              <w:rPr>
                <w:rFonts w:cs="Arial"/>
              </w:rP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rPr>
                <w:spacing w:val="-2"/>
              </w:rPr>
              <w:t>IIIB</w:t>
            </w:r>
            <w:r w:rsidRPr="003920E2">
              <w:rPr>
                <w:spacing w:val="-2"/>
              </w:rPr>
              <w:br/>
              <w:t>4.1-03</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pPr>
              <w:pStyle w:val="TableTextLeft"/>
              <w:keepNext w:val="0"/>
              <w:rPr>
                <w:spacing w:val="-2"/>
              </w:rPr>
            </w:pPr>
            <w:r w:rsidRPr="003920E2">
              <w:t>Deslux, R.</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rPr>
                <w:spacing w:val="-2"/>
              </w:rPr>
              <w:t>2011</w:t>
            </w:r>
          </w:p>
        </w:tc>
        <w:tc>
          <w:tcPr>
            <w:tcW w:w="1671" w:type="pct"/>
            <w:tcBorders>
              <w:top w:val="single" w:sz="4" w:space="0" w:color="auto"/>
              <w:bottom w:val="single" w:sz="4" w:space="0" w:color="auto"/>
            </w:tcBorders>
          </w:tcPr>
          <w:p w:rsidR="00BA7C2C" w:rsidRPr="003920E2" w:rsidRDefault="00BA7C2C" w:rsidP="00613EE2">
            <w:pPr>
              <w:pStyle w:val="TableTextLeft"/>
              <w:keepNext w:val="0"/>
              <w:rPr>
                <w:spacing w:val="-2"/>
              </w:rPr>
            </w:pPr>
            <w:r w:rsidRPr="003920E2">
              <w:rPr>
                <w:spacing w:val="-2"/>
              </w:rPr>
              <w:t>Specificity of Analytical Method Validation  - BROPA0,0050_05F_F01153_00</w:t>
            </w:r>
          </w:p>
          <w:p w:rsidR="00BA7C2C" w:rsidRPr="003920E2" w:rsidRDefault="00BA7C2C" w:rsidP="00613EE2">
            <w:r w:rsidRPr="003920E2">
              <w:rPr>
                <w:spacing w:val="-2"/>
                <w:lang w:val="fr-FR"/>
              </w:rPr>
              <w:t>Centre R&amp;D De Sangosse, Pont du Casse, France.</w:t>
            </w:r>
            <w:r w:rsidRPr="003920E2">
              <w:rPr>
                <w:spacing w:val="-2"/>
                <w:lang w:val="fr-FR"/>
              </w:rPr>
              <w:br/>
            </w:r>
            <w:r w:rsidRPr="003920E2">
              <w:rPr>
                <w:spacing w:val="-2"/>
              </w:rPr>
              <w:t>Study code: BRO1111A.</w:t>
            </w:r>
            <w:r w:rsidRPr="003920E2">
              <w:rPr>
                <w:spacing w:val="-2"/>
              </w:rPr>
              <w:br/>
              <w:t>GLP, Unpublished.</w:t>
            </w:r>
          </w:p>
        </w:tc>
        <w:tc>
          <w:tcPr>
            <w:tcW w:w="1271" w:type="pct"/>
            <w:tcBorders>
              <w:top w:val="single" w:sz="4" w:space="0" w:color="auto"/>
              <w:bottom w:val="single" w:sz="4" w:space="0" w:color="auto"/>
            </w:tcBorders>
          </w:tcPr>
          <w:p w:rsidR="00BA7C2C" w:rsidRPr="003920E2" w:rsidRDefault="00BA7C2C" w:rsidP="00613EE2">
            <w:r w:rsidRPr="003920E2">
              <w:rPr>
                <w:spacing w:val="-2"/>
              </w:rPr>
              <w:t>LiphaTech</w:t>
            </w:r>
          </w:p>
        </w:tc>
        <w:tc>
          <w:tcPr>
            <w:tcW w:w="324" w:type="pct"/>
            <w:gridSpan w:val="2"/>
            <w:tcBorders>
              <w:top w:val="single" w:sz="4" w:space="0" w:color="auto"/>
            </w:tcBorders>
          </w:tcPr>
          <w:p w:rsidR="00BA7C2C" w:rsidRPr="003920E2" w:rsidRDefault="00BA7C2C" w:rsidP="00613EE2">
            <w:pPr>
              <w:jc w:val="center"/>
            </w:pPr>
            <w:r w:rsidRPr="003920E2">
              <w:rPr>
                <w:spacing w:val="-2"/>
              </w:rPr>
              <w:t>Yes</w:t>
            </w:r>
          </w:p>
        </w:tc>
        <w:tc>
          <w:tcPr>
            <w:tcW w:w="244" w:type="pct"/>
            <w:gridSpan w:val="2"/>
            <w:tcBorders>
              <w:top w:val="single" w:sz="4" w:space="0" w:color="auto"/>
            </w:tcBorders>
          </w:tcPr>
          <w:p w:rsidR="00BA7C2C" w:rsidRPr="003920E2" w:rsidRDefault="00BA7C2C" w:rsidP="00613EE2">
            <w:pPr>
              <w:jc w:val="center"/>
            </w:pP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pPr>
              <w:rPr>
                <w:spacing w:val="-2"/>
              </w:rPr>
            </w:pPr>
            <w:r w:rsidRPr="003920E2">
              <w:rPr>
                <w:spacing w:val="-2"/>
              </w:rPr>
              <w:t>IIIB6.1-1</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pPr>
              <w:rPr>
                <w:spacing w:val="-2"/>
              </w:rPr>
            </w:pPr>
          </w:p>
        </w:tc>
        <w:tc>
          <w:tcPr>
            <w:tcW w:w="508" w:type="pct"/>
            <w:tcBorders>
              <w:left w:val="single" w:sz="4" w:space="0" w:color="auto"/>
              <w:bottom w:val="single" w:sz="4" w:space="0" w:color="auto"/>
              <w:right w:val="single" w:sz="4" w:space="0" w:color="auto"/>
            </w:tcBorders>
          </w:tcPr>
          <w:p w:rsidR="00BA7C2C" w:rsidRPr="003920E2" w:rsidRDefault="00BA7C2C" w:rsidP="00613EE2">
            <w:pPr>
              <w:rPr>
                <w:spacing w:val="-2"/>
              </w:rPr>
            </w:pPr>
            <w:r w:rsidRPr="003920E2">
              <w:rPr>
                <w:spacing w:val="-2"/>
              </w:rPr>
              <w:t xml:space="preserve">Richeaux, F.    </w:t>
            </w:r>
          </w:p>
        </w:tc>
        <w:tc>
          <w:tcPr>
            <w:tcW w:w="307" w:type="pct"/>
            <w:tcBorders>
              <w:top w:val="single" w:sz="4" w:space="0" w:color="auto"/>
              <w:left w:val="single" w:sz="4" w:space="0" w:color="auto"/>
              <w:bottom w:val="single" w:sz="4" w:space="0" w:color="auto"/>
            </w:tcBorders>
          </w:tcPr>
          <w:p w:rsidR="00BA7C2C" w:rsidRPr="003920E2" w:rsidRDefault="00BA7C2C" w:rsidP="00613EE2">
            <w:pPr>
              <w:rPr>
                <w:spacing w:val="-2"/>
              </w:rPr>
            </w:pPr>
            <w:r w:rsidRPr="003920E2">
              <w:rPr>
                <w:spacing w:val="-2"/>
              </w:rPr>
              <w:t>2006</w:t>
            </w:r>
          </w:p>
        </w:tc>
        <w:tc>
          <w:tcPr>
            <w:tcW w:w="1671" w:type="pct"/>
            <w:tcBorders>
              <w:top w:val="single" w:sz="4" w:space="0" w:color="auto"/>
              <w:bottom w:val="single" w:sz="4" w:space="0" w:color="auto"/>
            </w:tcBorders>
          </w:tcPr>
          <w:p w:rsidR="00BA7C2C" w:rsidRPr="003920E2" w:rsidRDefault="00BA7C2C" w:rsidP="00613EE2">
            <w:pPr>
              <w:rPr>
                <w:spacing w:val="-2"/>
              </w:rPr>
            </w:pPr>
            <w:r w:rsidRPr="003920E2">
              <w:rPr>
                <w:spacing w:val="-2"/>
              </w:rPr>
              <w:t>Assessment of acute oral toxicity in rats - Acute Toxic Class Method.   Bromadiolone pate rouge 50 mg/kg.  Phycher Bio-Developpement, Cestas Cedex, France, Laboratory Report No TA0423-PH-06/317. Report date 20 September 2006 (unpublished).</w:t>
            </w:r>
          </w:p>
        </w:tc>
        <w:tc>
          <w:tcPr>
            <w:tcW w:w="1271" w:type="pct"/>
            <w:tcBorders>
              <w:top w:val="single" w:sz="4" w:space="0" w:color="auto"/>
              <w:bottom w:val="single" w:sz="4" w:space="0" w:color="auto"/>
            </w:tcBorders>
          </w:tcPr>
          <w:p w:rsidR="00BA7C2C" w:rsidRPr="003920E2" w:rsidRDefault="00BA7C2C" w:rsidP="00613EE2">
            <w:pPr>
              <w:rPr>
                <w:spacing w:val="-2"/>
              </w:rPr>
            </w:pPr>
            <w:r>
              <w:rPr>
                <w:spacing w:val="-2"/>
              </w:rPr>
              <w:t xml:space="preserve">LiphaTech </w:t>
            </w:r>
          </w:p>
        </w:tc>
        <w:tc>
          <w:tcPr>
            <w:tcW w:w="324" w:type="pct"/>
            <w:gridSpan w:val="2"/>
            <w:tcBorders>
              <w:top w:val="single" w:sz="4" w:space="0" w:color="auto"/>
            </w:tcBorders>
          </w:tcPr>
          <w:p w:rsidR="00BA7C2C" w:rsidRPr="003920E2" w:rsidRDefault="00BA7C2C" w:rsidP="00613EE2">
            <w:pPr>
              <w:jc w:val="center"/>
              <w:rPr>
                <w:spacing w:val="-2"/>
              </w:rPr>
            </w:pPr>
            <w:r w:rsidRPr="003920E2">
              <w:rPr>
                <w:spacing w:val="-2"/>
              </w:rPr>
              <w:fldChar w:fldCharType="begin">
                <w:ffData>
                  <w:name w:val=""/>
                  <w:enabled/>
                  <w:calcOnExit w:val="0"/>
                  <w:checkBox>
                    <w:sizeAuto/>
                    <w:default w:val="1"/>
                  </w:checkBox>
                </w:ffData>
              </w:fldChar>
            </w:r>
            <w:r w:rsidRPr="003920E2">
              <w:rPr>
                <w:spacing w:val="-2"/>
              </w:rPr>
              <w:instrText xml:space="preserve"> FORMCHECKBOX </w:instrText>
            </w:r>
            <w:r w:rsidR="00B1753E">
              <w:rPr>
                <w:spacing w:val="-2"/>
              </w:rPr>
            </w:r>
            <w:r w:rsidR="00B1753E">
              <w:rPr>
                <w:spacing w:val="-2"/>
              </w:rPr>
              <w:fldChar w:fldCharType="separate"/>
            </w:r>
            <w:r w:rsidRPr="003920E2">
              <w:rPr>
                <w:spacing w:val="-2"/>
              </w:rPr>
              <w:fldChar w:fldCharType="end"/>
            </w:r>
          </w:p>
        </w:tc>
        <w:tc>
          <w:tcPr>
            <w:tcW w:w="244" w:type="pct"/>
            <w:gridSpan w:val="2"/>
            <w:tcBorders>
              <w:top w:val="single" w:sz="4" w:space="0" w:color="auto"/>
            </w:tcBorders>
          </w:tcPr>
          <w:p w:rsidR="00BA7C2C" w:rsidRPr="003920E2" w:rsidRDefault="00BA7C2C" w:rsidP="00613EE2">
            <w:pPr>
              <w:jc w:val="center"/>
              <w:rPr>
                <w:spacing w:val="-2"/>
              </w:rPr>
            </w:pPr>
            <w:r w:rsidRPr="003920E2">
              <w:rPr>
                <w:spacing w:val="-2"/>
              </w:rPr>
              <w:fldChar w:fldCharType="begin">
                <w:ffData>
                  <w:name w:val="Kryss4"/>
                  <w:enabled/>
                  <w:calcOnExit w:val="0"/>
                  <w:checkBox>
                    <w:sizeAuto/>
                    <w:default w:val="0"/>
                  </w:checkBox>
                </w:ffData>
              </w:fldChar>
            </w:r>
            <w:r w:rsidRPr="003920E2">
              <w:rPr>
                <w:spacing w:val="-2"/>
              </w:rPr>
              <w:instrText xml:space="preserve"> FORMCHECKBOX </w:instrText>
            </w:r>
            <w:r w:rsidR="00B1753E">
              <w:rPr>
                <w:spacing w:val="-2"/>
              </w:rPr>
            </w:r>
            <w:r w:rsidR="00B1753E">
              <w:rPr>
                <w:spacing w:val="-2"/>
              </w:rPr>
              <w:fldChar w:fldCharType="separate"/>
            </w:r>
            <w:r w:rsidRPr="003920E2">
              <w:rPr>
                <w:spacing w:val="-2"/>
              </w:rPr>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lastRenderedPageBreak/>
              <w:t>IIIB6.1-2</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 xml:space="preserve">Richeaux, F.  </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2006</w:t>
            </w:r>
          </w:p>
        </w:tc>
        <w:tc>
          <w:tcPr>
            <w:tcW w:w="1671" w:type="pct"/>
            <w:tcBorders>
              <w:top w:val="single" w:sz="4" w:space="0" w:color="auto"/>
              <w:bottom w:val="single" w:sz="4" w:space="0" w:color="auto"/>
            </w:tcBorders>
          </w:tcPr>
          <w:p w:rsidR="00BA7C2C" w:rsidRPr="003920E2" w:rsidRDefault="00BA7C2C" w:rsidP="00613EE2">
            <w:r w:rsidRPr="003920E2">
              <w:t>Assessment of dermal toxicity in rats.</w:t>
            </w:r>
            <w:r w:rsidRPr="003920E2">
              <w:rPr>
                <w:color w:val="4F81BD"/>
              </w:rPr>
              <w:t xml:space="preserve">   </w:t>
            </w:r>
            <w:r w:rsidRPr="003920E2">
              <w:t xml:space="preserve">Bromadiolone pate rouge 50 mg/kg.  Phycher Bio-Developpement, Cestas </w:t>
            </w:r>
            <w:smartTag w:uri="urn:schemas-microsoft-com:office:smarttags" w:element="place">
              <w:smartTag w:uri="urn:schemas-microsoft-com:office:smarttags" w:element="City">
                <w:r w:rsidRPr="003920E2">
                  <w:t>Cedex</w:t>
                </w:r>
              </w:smartTag>
              <w:r w:rsidRPr="003920E2">
                <w:t xml:space="preserve">, </w:t>
              </w:r>
              <w:smartTag w:uri="urn:schemas-microsoft-com:office:smarttags" w:element="country-region">
                <w:r w:rsidRPr="003920E2">
                  <w:t>France</w:t>
                </w:r>
              </w:smartTag>
            </w:smartTag>
            <w:r w:rsidRPr="003920E2">
              <w:t>, Laboratory Report No TAD-PH-06/317. Report date 20 September 2006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t>IIIB6.1-3</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 xml:space="preserve">Duchosal, F. and Biedermann, K.  </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1994</w:t>
            </w:r>
          </w:p>
        </w:tc>
        <w:tc>
          <w:tcPr>
            <w:tcW w:w="1671" w:type="pct"/>
            <w:tcBorders>
              <w:top w:val="single" w:sz="4" w:space="0" w:color="auto"/>
              <w:bottom w:val="single" w:sz="4" w:space="0" w:color="auto"/>
            </w:tcBorders>
          </w:tcPr>
          <w:p w:rsidR="00BA7C2C" w:rsidRPr="003920E2" w:rsidRDefault="00BA7C2C" w:rsidP="00613EE2">
            <w:pPr>
              <w:spacing w:before="40" w:after="40"/>
            </w:pPr>
            <w:r w:rsidRPr="003920E2">
              <w:t xml:space="preserve">Technical test and 4-hour acute inhalation toxicity study (Limit test) with Bromadiolone (1% powder) in rats.  RCC, Research and Consulting Company, </w:t>
            </w:r>
            <w:smartTag w:uri="urn:schemas-microsoft-com:office:smarttags" w:element="place">
              <w:smartTag w:uri="urn:schemas-microsoft-com:office:smarttags" w:element="City">
                <w:r w:rsidRPr="003920E2">
                  <w:t>Itingen</w:t>
                </w:r>
              </w:smartTag>
              <w:r w:rsidRPr="003920E2">
                <w:t xml:space="preserve">, </w:t>
              </w:r>
              <w:smartTag w:uri="urn:schemas-microsoft-com:office:smarttags" w:element="country-region">
                <w:r w:rsidRPr="003920E2">
                  <w:t>Switzerland</w:t>
                </w:r>
              </w:smartTag>
            </w:smartTag>
            <w:r w:rsidRPr="003920E2">
              <w:t>.  Laboratory report no. 362518.  Report date 11 April 1994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t>IIIB6.2-1</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Richeaux, F.</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2006</w:t>
            </w:r>
          </w:p>
        </w:tc>
        <w:tc>
          <w:tcPr>
            <w:tcW w:w="1671" w:type="pct"/>
            <w:tcBorders>
              <w:top w:val="single" w:sz="4" w:space="0" w:color="auto"/>
              <w:bottom w:val="single" w:sz="4" w:space="0" w:color="auto"/>
            </w:tcBorders>
          </w:tcPr>
          <w:p w:rsidR="00BA7C2C" w:rsidRPr="003920E2" w:rsidRDefault="00BA7C2C" w:rsidP="00613EE2">
            <w:r w:rsidRPr="003920E2">
              <w:t>Assessment of acute dermal irritation.</w:t>
            </w:r>
            <w:r w:rsidRPr="003920E2">
              <w:rPr>
                <w:color w:val="4F81BD"/>
              </w:rPr>
              <w:t xml:space="preserve">   </w:t>
            </w:r>
            <w:r w:rsidRPr="003920E2">
              <w:t xml:space="preserve">Bromadiolone pate rouge 50 mg/kg.  Phycher Bio-Developpement, Cestas </w:t>
            </w:r>
            <w:smartTag w:uri="urn:schemas-microsoft-com:office:smarttags" w:element="place">
              <w:smartTag w:uri="urn:schemas-microsoft-com:office:smarttags" w:element="City">
                <w:r w:rsidRPr="003920E2">
                  <w:t>Cedex</w:t>
                </w:r>
              </w:smartTag>
              <w:r w:rsidRPr="003920E2">
                <w:t xml:space="preserve">, </w:t>
              </w:r>
              <w:smartTag w:uri="urn:schemas-microsoft-com:office:smarttags" w:element="country-region">
                <w:r w:rsidRPr="003920E2">
                  <w:t>France</w:t>
                </w:r>
              </w:smartTag>
            </w:smartTag>
            <w:r w:rsidRPr="003920E2">
              <w:t>, Laboratory Report No IC-OCDE-PH-06/317. Report date 20 September 2006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lastRenderedPageBreak/>
              <w:t>IIIB6.2-2</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Richeaux, F.</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2006</w:t>
            </w:r>
          </w:p>
        </w:tc>
        <w:tc>
          <w:tcPr>
            <w:tcW w:w="1671" w:type="pct"/>
            <w:tcBorders>
              <w:top w:val="single" w:sz="4" w:space="0" w:color="auto"/>
              <w:bottom w:val="single" w:sz="4" w:space="0" w:color="auto"/>
            </w:tcBorders>
          </w:tcPr>
          <w:p w:rsidR="00BA7C2C" w:rsidRPr="003920E2" w:rsidRDefault="00BA7C2C" w:rsidP="00613EE2">
            <w:r w:rsidRPr="003920E2">
              <w:t>Assessment of acute eye irritation.</w:t>
            </w:r>
            <w:r w:rsidRPr="003920E2">
              <w:rPr>
                <w:color w:val="4F81BD"/>
              </w:rPr>
              <w:t xml:space="preserve">  </w:t>
            </w:r>
            <w:r w:rsidRPr="003920E2">
              <w:t xml:space="preserve">Bromadiolone pate rouge 50 mg/kg.  Phycher Bio-Developpement, Cestas </w:t>
            </w:r>
            <w:smartTag w:uri="urn:schemas-microsoft-com:office:smarttags" w:element="place">
              <w:smartTag w:uri="urn:schemas-microsoft-com:office:smarttags" w:element="City">
                <w:r w:rsidRPr="003920E2">
                  <w:t>Cedex</w:t>
                </w:r>
              </w:smartTag>
              <w:r w:rsidRPr="003920E2">
                <w:t xml:space="preserve">, </w:t>
              </w:r>
              <w:smartTag w:uri="urn:schemas-microsoft-com:office:smarttags" w:element="country-region">
                <w:r w:rsidRPr="003920E2">
                  <w:t>France</w:t>
                </w:r>
              </w:smartTag>
            </w:smartTag>
            <w:r w:rsidRPr="003920E2">
              <w:t>, Laboratory Report No IO-OCDE-PH-06/317. Report date 20 September 2006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t>IIIB6.3-1</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Richeaux, F.</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2006</w:t>
            </w:r>
          </w:p>
        </w:tc>
        <w:tc>
          <w:tcPr>
            <w:tcW w:w="1671" w:type="pct"/>
            <w:tcBorders>
              <w:top w:val="single" w:sz="4" w:space="0" w:color="auto"/>
              <w:bottom w:val="single" w:sz="4" w:space="0" w:color="auto"/>
            </w:tcBorders>
          </w:tcPr>
          <w:p w:rsidR="00BA7C2C" w:rsidRPr="003920E2" w:rsidRDefault="00BA7C2C" w:rsidP="00613EE2">
            <w:r w:rsidRPr="003920E2">
              <w:t>Assessment of sensitising properties on albino guinea pig by repeated applications.  Beuhler test with 9 applications.</w:t>
            </w:r>
            <w:r w:rsidRPr="003920E2">
              <w:rPr>
                <w:color w:val="4F81BD"/>
              </w:rPr>
              <w:t xml:space="preserve">   </w:t>
            </w:r>
            <w:r w:rsidRPr="003920E2">
              <w:t xml:space="preserve">Bromadiolone pate rouge 50 mg/kg.  Phycher Bio-Developpement, Cestas </w:t>
            </w:r>
            <w:smartTag w:uri="urn:schemas-microsoft-com:office:smarttags" w:element="place">
              <w:smartTag w:uri="urn:schemas-microsoft-com:office:smarttags" w:element="City">
                <w:r w:rsidRPr="003920E2">
                  <w:t>Cedex</w:t>
                </w:r>
              </w:smartTag>
              <w:r w:rsidRPr="003920E2">
                <w:t xml:space="preserve">, </w:t>
              </w:r>
              <w:smartTag w:uri="urn:schemas-microsoft-com:office:smarttags" w:element="country-region">
                <w:r w:rsidRPr="003920E2">
                  <w:t>France</w:t>
                </w:r>
              </w:smartTag>
            </w:smartTag>
            <w:r w:rsidRPr="003920E2">
              <w:t>, Laboratory Report No SMB-9-PH-06/317. Report date 20 September 2006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t>IIIB6.4-1</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 xml:space="preserve">Hassler, S. </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2004</w:t>
            </w:r>
          </w:p>
        </w:tc>
        <w:tc>
          <w:tcPr>
            <w:tcW w:w="1671" w:type="pct"/>
            <w:tcBorders>
              <w:top w:val="single" w:sz="4" w:space="0" w:color="auto"/>
              <w:bottom w:val="single" w:sz="4" w:space="0" w:color="auto"/>
            </w:tcBorders>
          </w:tcPr>
          <w:p w:rsidR="00BA7C2C" w:rsidRPr="003920E2" w:rsidRDefault="00BA7C2C" w:rsidP="00613EE2">
            <w:r w:rsidRPr="003920E2">
              <w:t xml:space="preserve">Percutaneous Penetration of </w:t>
            </w:r>
            <w:r w:rsidRPr="003920E2">
              <w:rPr>
                <w:vertAlign w:val="superscript"/>
              </w:rPr>
              <w:t>14</w:t>
            </w:r>
            <w:r w:rsidRPr="003920E2">
              <w:t>C-Bromadialone formulated as Red Impregnated Oat and Green Blocks through human split thickness skin membrane (</w:t>
            </w:r>
            <w:r w:rsidRPr="003920E2">
              <w:rPr>
                <w:i/>
              </w:rPr>
              <w:t>in vitro</w:t>
            </w:r>
            <w:r w:rsidRPr="003920E2">
              <w:t>).  RCC Ltd. Laboratory report number 849290.  Report date March 2004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Before w:val="1"/>
          <w:wBefore w:w="7" w:type="pct"/>
          <w:cantSplit/>
          <w:jc w:val="center"/>
        </w:trPr>
        <w:tc>
          <w:tcPr>
            <w:tcW w:w="420" w:type="pct"/>
            <w:gridSpan w:val="2"/>
            <w:tcBorders>
              <w:top w:val="single" w:sz="4" w:space="0" w:color="auto"/>
              <w:left w:val="nil"/>
              <w:bottom w:val="single" w:sz="4" w:space="0" w:color="auto"/>
              <w:right w:val="single" w:sz="4" w:space="0" w:color="auto"/>
            </w:tcBorders>
          </w:tcPr>
          <w:p w:rsidR="00BA7C2C" w:rsidRPr="003920E2" w:rsidRDefault="00BA7C2C" w:rsidP="00613EE2">
            <w:r w:rsidRPr="003920E2">
              <w:lastRenderedPageBreak/>
              <w:t>IIIB6.4-2</w:t>
            </w:r>
          </w:p>
        </w:tc>
        <w:tc>
          <w:tcPr>
            <w:tcW w:w="247" w:type="pct"/>
            <w:gridSpan w:val="2"/>
            <w:tcBorders>
              <w:left w:val="single" w:sz="4" w:space="0" w:color="auto"/>
              <w:bottom w:val="single" w:sz="4" w:space="0" w:color="auto"/>
              <w:right w:val="single" w:sz="4" w:space="0" w:color="auto"/>
            </w:tcBorders>
          </w:tcPr>
          <w:p w:rsidR="00BA7C2C" w:rsidRPr="003920E2" w:rsidRDefault="00BA7C2C" w:rsidP="00613EE2"/>
        </w:tc>
        <w:tc>
          <w:tcPr>
            <w:tcW w:w="508" w:type="pct"/>
            <w:tcBorders>
              <w:left w:val="single" w:sz="4" w:space="0" w:color="auto"/>
              <w:bottom w:val="single" w:sz="4" w:space="0" w:color="auto"/>
              <w:right w:val="single" w:sz="4" w:space="0" w:color="auto"/>
            </w:tcBorders>
          </w:tcPr>
          <w:p w:rsidR="00BA7C2C" w:rsidRPr="003920E2" w:rsidRDefault="00BA7C2C" w:rsidP="00613EE2">
            <w:r w:rsidRPr="003920E2">
              <w:t xml:space="preserve">Toner, F.  </w:t>
            </w:r>
          </w:p>
        </w:tc>
        <w:tc>
          <w:tcPr>
            <w:tcW w:w="307" w:type="pct"/>
            <w:tcBorders>
              <w:top w:val="single" w:sz="4" w:space="0" w:color="auto"/>
              <w:left w:val="single" w:sz="4" w:space="0" w:color="auto"/>
              <w:bottom w:val="single" w:sz="4" w:space="0" w:color="auto"/>
            </w:tcBorders>
          </w:tcPr>
          <w:p w:rsidR="00BA7C2C" w:rsidRPr="003920E2" w:rsidRDefault="00BA7C2C" w:rsidP="00613EE2">
            <w:r w:rsidRPr="003920E2">
              <w:t>2007</w:t>
            </w:r>
          </w:p>
        </w:tc>
        <w:tc>
          <w:tcPr>
            <w:tcW w:w="1671" w:type="pct"/>
            <w:tcBorders>
              <w:top w:val="single" w:sz="4" w:space="0" w:color="auto"/>
              <w:bottom w:val="single" w:sz="4" w:space="0" w:color="auto"/>
            </w:tcBorders>
          </w:tcPr>
          <w:p w:rsidR="00BA7C2C" w:rsidRPr="003920E2" w:rsidRDefault="00BA7C2C" w:rsidP="00613EE2">
            <w:pPr>
              <w:spacing w:before="40" w:after="40"/>
            </w:pPr>
            <w:r w:rsidRPr="003920E2">
              <w:t xml:space="preserve">The </w:t>
            </w:r>
            <w:r w:rsidRPr="003920E2">
              <w:rPr>
                <w:i/>
              </w:rPr>
              <w:t>in vitro</w:t>
            </w:r>
            <w:r w:rsidRPr="003920E2">
              <w:t xml:space="preserve"> percutaneous absorption of radiolabelled Difethialone through human skin.  Charles River Laboratories, </w:t>
            </w:r>
            <w:smartTag w:uri="urn:schemas-microsoft-com:office:smarttags" w:element="place">
              <w:smartTag w:uri="urn:schemas-microsoft-com:office:smarttags" w:element="City">
                <w:r w:rsidRPr="003920E2">
                  <w:t>Tranent</w:t>
                </w:r>
              </w:smartTag>
              <w:r w:rsidRPr="003920E2">
                <w:t xml:space="preserve">, </w:t>
              </w:r>
              <w:smartTag w:uri="urn:schemas-microsoft-com:office:smarttags" w:element="country-region">
                <w:r w:rsidRPr="003920E2">
                  <w:t>Scotland</w:t>
                </w:r>
              </w:smartTag>
            </w:smartTag>
            <w:r w:rsidRPr="003920E2">
              <w:t>.  Laboratory report number 28076 (Test facility study number 780005).  Report date 7 September 2007 (unpublished).</w:t>
            </w:r>
          </w:p>
        </w:tc>
        <w:tc>
          <w:tcPr>
            <w:tcW w:w="1271" w:type="pct"/>
            <w:tcBorders>
              <w:top w:val="single" w:sz="4" w:space="0" w:color="auto"/>
              <w:bottom w:val="single" w:sz="4" w:space="0" w:color="auto"/>
            </w:tcBorders>
          </w:tcPr>
          <w:p w:rsidR="00BA7C2C" w:rsidRPr="003920E2" w:rsidRDefault="00BA7C2C" w:rsidP="00613EE2">
            <w:r>
              <w:t xml:space="preserve">LiphaTech </w:t>
            </w:r>
          </w:p>
        </w:tc>
        <w:tc>
          <w:tcPr>
            <w:tcW w:w="324" w:type="pct"/>
            <w:gridSpan w:val="2"/>
            <w:tcBorders>
              <w:top w:val="single" w:sz="4" w:space="0" w:color="auto"/>
            </w:tcBorders>
          </w:tcPr>
          <w:p w:rsidR="00BA7C2C" w:rsidRPr="003920E2" w:rsidRDefault="00BA7C2C" w:rsidP="00613EE2">
            <w:pPr>
              <w:jc w:val="center"/>
            </w:pPr>
            <w:r w:rsidRPr="003920E2">
              <w:fldChar w:fldCharType="begin">
                <w:ffData>
                  <w:name w:val=""/>
                  <w:enabled/>
                  <w:calcOnExit w:val="0"/>
                  <w:checkBox>
                    <w:sizeAuto/>
                    <w:default w:val="1"/>
                  </w:checkBox>
                </w:ffData>
              </w:fldChar>
            </w:r>
            <w:r w:rsidRPr="003920E2">
              <w:instrText xml:space="preserve"> FORMCHECKBOX </w:instrText>
            </w:r>
            <w:r w:rsidR="00B1753E">
              <w:fldChar w:fldCharType="separate"/>
            </w:r>
            <w:r w:rsidRPr="003920E2">
              <w:fldChar w:fldCharType="end"/>
            </w:r>
          </w:p>
        </w:tc>
        <w:tc>
          <w:tcPr>
            <w:tcW w:w="244" w:type="pct"/>
            <w:gridSpan w:val="2"/>
            <w:tcBorders>
              <w:top w:val="single" w:sz="4" w:space="0" w:color="auto"/>
            </w:tcBorders>
          </w:tcPr>
          <w:p w:rsidR="00BA7C2C" w:rsidRPr="003920E2" w:rsidRDefault="00BA7C2C" w:rsidP="00613EE2">
            <w:pPr>
              <w:jc w:val="center"/>
            </w:pPr>
            <w:r w:rsidRPr="003920E2">
              <w:fldChar w:fldCharType="begin">
                <w:ffData>
                  <w:name w:val="Kryss4"/>
                  <w:enabled/>
                  <w:calcOnExit w:val="0"/>
                  <w:checkBox>
                    <w:sizeAuto/>
                    <w:default w:val="0"/>
                  </w:checkBox>
                </w:ffData>
              </w:fldChar>
            </w:r>
            <w:r w:rsidRPr="003920E2">
              <w:instrText xml:space="preserve"> FORMCHECKBOX </w:instrText>
            </w:r>
            <w:r w:rsidR="00B1753E">
              <w:fldChar w:fldCharType="separate"/>
            </w:r>
            <w:r w:rsidRPr="003920E2">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5.10.2-01</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keepNext w:val="0"/>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keepNext w:val="0"/>
              <w:jc w:val="center"/>
              <w:rPr>
                <w:spacing w:val="-2"/>
              </w:rPr>
            </w:pPr>
            <w:r w:rsidRPr="00B158AB">
              <w:rPr>
                <w:spacing w:val="-2"/>
              </w:rPr>
              <w:t>2006a</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w:t>
            </w:r>
            <w:r>
              <w:rPr>
                <w:spacing w:val="-2"/>
              </w:rPr>
              <w:t xml:space="preserve"> </w:t>
            </w:r>
            <w:r w:rsidRPr="00B158AB">
              <w:rPr>
                <w:spacing w:val="-2"/>
              </w:rPr>
              <w:t xml:space="preserve">on the Efficacy and Palatability of a Red Paste at 50 mg/kg of Bromadiolone in the Rat, </w:t>
            </w:r>
            <w:r w:rsidRPr="00B158AB">
              <w:rPr>
                <w:i/>
                <w:spacing w:val="-2"/>
              </w:rPr>
              <w:t>Rattus</w:t>
            </w:r>
            <w:r w:rsidRPr="00B158AB">
              <w:rPr>
                <w:spacing w:val="-2"/>
              </w:rPr>
              <w:t xml:space="preserve"> </w:t>
            </w:r>
            <w:r w:rsidRPr="00B158AB">
              <w:rPr>
                <w:i/>
                <w:spacing w:val="-2"/>
              </w:rPr>
              <w:t>Norvegicus</w:t>
            </w:r>
            <w:r w:rsidRPr="00B158AB">
              <w:rPr>
                <w:spacing w:val="-2"/>
              </w:rPr>
              <w:t>, Wild Strain, Sensitive to Warfarin.</w:t>
            </w:r>
            <w:r w:rsidRPr="00B158AB">
              <w:rPr>
                <w:spacing w:val="-2"/>
              </w:rPr>
              <w:br/>
            </w:r>
            <w:r w:rsidRPr="00B158AB">
              <w:rPr>
                <w:spacing w:val="-2"/>
                <w:lang w:val="fr-FR"/>
              </w:rPr>
              <w:t>ENVL, Marcy L’Etoile, France.</w:t>
            </w:r>
            <w:r w:rsidRPr="00B158AB">
              <w:rPr>
                <w:spacing w:val="-2"/>
                <w:lang w:val="fr-FR"/>
              </w:rPr>
              <w:br/>
              <w:t>Study code: RE/0604/BDN/Paste/Rn/S/T0.</w:t>
            </w:r>
            <w:r w:rsidRPr="00B158AB">
              <w:rPr>
                <w:spacing w:val="-2"/>
                <w:lang w:val="fr-FR"/>
              </w:rPr>
              <w:br/>
            </w:r>
            <w:r w:rsidRPr="00B158AB">
              <w:rPr>
                <w:spacing w:val="-2"/>
              </w:rP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B1753E">
              <w:rPr>
                <w:rFonts w:cs="Arial"/>
              </w:rPr>
            </w:r>
            <w:r w:rsidR="00B1753E">
              <w:rPr>
                <w:rFonts w:cs="Arial"/>
              </w:rPr>
              <w:fldChar w:fldCharType="separate"/>
            </w:r>
            <w:r>
              <w:rPr>
                <w:rFonts w:cs="Arial"/>
              </w:rPr>
              <w:fldChar w:fldCharType="end"/>
            </w:r>
          </w:p>
        </w:tc>
        <w:tc>
          <w:tcPr>
            <w:tcW w:w="261" w:type="pct"/>
            <w:gridSpan w:val="2"/>
            <w:tcBorders>
              <w:top w:val="single" w:sz="4" w:space="0" w:color="auto"/>
            </w:tcBorders>
          </w:tcPr>
          <w:p w:rsidR="00BA7C2C" w:rsidRDefault="00BA7C2C" w:rsidP="00613EE2">
            <w:pPr>
              <w:jc w:val="center"/>
              <w:rPr>
                <w:rFonts w:cs="Arial"/>
              </w:rPr>
            </w:pPr>
            <w:r>
              <w:rPr>
                <w:rFonts w:cs="Arial"/>
              </w:rPr>
              <w:fldChar w:fldCharType="begin">
                <w:ffData>
                  <w:name w:val="Kryss4"/>
                  <w:enabled/>
                  <w:calcOnExit w:val="0"/>
                  <w:checkBox>
                    <w:sizeAuto/>
                    <w:default w:val="0"/>
                  </w:checkBox>
                </w:ffData>
              </w:fldChar>
            </w:r>
            <w:r>
              <w:rPr>
                <w:rFonts w:cs="Arial"/>
              </w:rPr>
              <w:instrText xml:space="preserve"> FORMCHECKBOX </w:instrText>
            </w:r>
            <w:r w:rsidR="00B1753E">
              <w:rPr>
                <w:rFonts w:cs="Arial"/>
              </w:rPr>
            </w:r>
            <w:r w:rsidR="00B1753E">
              <w:rPr>
                <w:rFonts w:cs="Arial"/>
              </w:rPr>
              <w:fldChar w:fldCharType="separate"/>
            </w:r>
            <w:r>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5.10.2-02</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2006b</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w:t>
            </w:r>
            <w:r>
              <w:rPr>
                <w:spacing w:val="-2"/>
              </w:rPr>
              <w:t xml:space="preserve"> </w:t>
            </w:r>
            <w:r w:rsidRPr="00B158AB">
              <w:rPr>
                <w:spacing w:val="-2"/>
              </w:rPr>
              <w:t xml:space="preserve">on the Efficacy and Palatability of a Paste at 50 mg/kg of Bromadiolone in the House Mouse, </w:t>
            </w:r>
            <w:r w:rsidRPr="00B158AB">
              <w:rPr>
                <w:i/>
                <w:spacing w:val="-2"/>
              </w:rPr>
              <w:t>Mus</w:t>
            </w:r>
            <w:r w:rsidRPr="00B158AB">
              <w:rPr>
                <w:spacing w:val="-2"/>
              </w:rPr>
              <w:t xml:space="preserve"> </w:t>
            </w:r>
            <w:r w:rsidRPr="00B158AB">
              <w:rPr>
                <w:i/>
                <w:spacing w:val="-2"/>
              </w:rPr>
              <w:t>Musculus</w:t>
            </w:r>
            <w:r w:rsidRPr="00B158AB">
              <w:rPr>
                <w:spacing w:val="-2"/>
              </w:rPr>
              <w:t>, Wild Strain, Sensitive to Warfarin.</w:t>
            </w:r>
            <w:r w:rsidRPr="00B158AB">
              <w:rPr>
                <w:spacing w:val="-2"/>
              </w:rPr>
              <w:br/>
            </w:r>
            <w:r w:rsidRPr="00B158AB">
              <w:rPr>
                <w:spacing w:val="-2"/>
                <w:lang w:val="fr-FR"/>
              </w:rPr>
              <w:t>ENVL, Marcy L’Etoile, France.</w:t>
            </w:r>
            <w:r w:rsidRPr="00B158AB">
              <w:rPr>
                <w:spacing w:val="-2"/>
                <w:lang w:val="fr-FR"/>
              </w:rPr>
              <w:br/>
              <w:t>Study code: RE/0601/BDN/Paste/Mm/S/T0.</w:t>
            </w:r>
            <w:r w:rsidRPr="00B158AB">
              <w:rPr>
                <w:spacing w:val="-2"/>
                <w:lang w:val="fr-FR"/>
              </w:rPr>
              <w:br/>
            </w:r>
            <w:r w:rsidRPr="00B158AB">
              <w:rPr>
                <w:spacing w:val="-2"/>
              </w:rP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396526">
              <w:rPr>
                <w:rFonts w:cs="Arial"/>
              </w:rPr>
              <w:fldChar w:fldCharType="begin">
                <w:ffData>
                  <w:name w:val=""/>
                  <w:enabled/>
                  <w:calcOnExit w:val="0"/>
                  <w:checkBox>
                    <w:sizeAuto/>
                    <w:default w:val="1"/>
                  </w:checkBox>
                </w:ffData>
              </w:fldChar>
            </w:r>
            <w:r w:rsidRPr="00396526">
              <w:rPr>
                <w:rFonts w:cs="Arial"/>
              </w:rPr>
              <w:instrText xml:space="preserve"> FORMCHECKBOX </w:instrText>
            </w:r>
            <w:r w:rsidR="00B1753E">
              <w:rPr>
                <w:rFonts w:cs="Arial"/>
              </w:rPr>
            </w:r>
            <w:r w:rsidR="00B1753E">
              <w:rPr>
                <w:rFonts w:cs="Arial"/>
              </w:rPr>
              <w:fldChar w:fldCharType="separate"/>
            </w:r>
            <w:r w:rsidRPr="0039652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5.10.2-03</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2009a</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w:t>
            </w:r>
            <w:r>
              <w:rPr>
                <w:spacing w:val="-2"/>
              </w:rPr>
              <w:t xml:space="preserve"> </w:t>
            </w:r>
            <w:r w:rsidRPr="00B158AB">
              <w:rPr>
                <w:spacing w:val="-2"/>
              </w:rPr>
              <w:t xml:space="preserve">on the Efficacy and Palatability of a Paste at 50 mg/kg of Bromadiolone in the House Mouse, </w:t>
            </w:r>
            <w:r w:rsidRPr="00B158AB">
              <w:rPr>
                <w:i/>
                <w:spacing w:val="-2"/>
              </w:rPr>
              <w:t>Mus</w:t>
            </w:r>
            <w:r w:rsidRPr="00B158AB">
              <w:rPr>
                <w:spacing w:val="-2"/>
              </w:rPr>
              <w:t xml:space="preserve"> </w:t>
            </w:r>
            <w:r w:rsidRPr="00B158AB">
              <w:rPr>
                <w:i/>
                <w:spacing w:val="-2"/>
              </w:rPr>
              <w:t>Musculus</w:t>
            </w:r>
            <w:r w:rsidRPr="00B158AB">
              <w:rPr>
                <w:spacing w:val="-2"/>
              </w:rPr>
              <w:t>, Wild Strain, Resistant to Warfarin.</w:t>
            </w:r>
            <w:r w:rsidRPr="00B158AB">
              <w:rPr>
                <w:spacing w:val="-2"/>
              </w:rPr>
              <w:br/>
              <w:t>ENVL, Marcy L’Etoile, France.</w:t>
            </w:r>
            <w:r w:rsidRPr="00B158AB">
              <w:rPr>
                <w:spacing w:val="-2"/>
              </w:rPr>
              <w:br/>
              <w:t>Study code: RE/0907/BDN/Paste/Mm/R.</w:t>
            </w:r>
            <w:r w:rsidRPr="00B158AB">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396526">
              <w:rPr>
                <w:rFonts w:cs="Arial"/>
              </w:rPr>
              <w:fldChar w:fldCharType="begin">
                <w:ffData>
                  <w:name w:val=""/>
                  <w:enabled/>
                  <w:calcOnExit w:val="0"/>
                  <w:checkBox>
                    <w:sizeAuto/>
                    <w:default w:val="1"/>
                  </w:checkBox>
                </w:ffData>
              </w:fldChar>
            </w:r>
            <w:r w:rsidRPr="00396526">
              <w:rPr>
                <w:rFonts w:cs="Arial"/>
              </w:rPr>
              <w:instrText xml:space="preserve"> FORMCHECKBOX </w:instrText>
            </w:r>
            <w:r w:rsidR="00B1753E">
              <w:rPr>
                <w:rFonts w:cs="Arial"/>
              </w:rPr>
            </w:r>
            <w:r w:rsidR="00B1753E">
              <w:rPr>
                <w:rFonts w:cs="Arial"/>
              </w:rPr>
              <w:fldChar w:fldCharType="separate"/>
            </w:r>
            <w:r w:rsidRPr="0039652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lastRenderedPageBreak/>
              <w:t>IIIB 5.10.2-04</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2009b</w:t>
            </w:r>
          </w:p>
        </w:tc>
        <w:tc>
          <w:tcPr>
            <w:tcW w:w="1671" w:type="pct"/>
            <w:tcBorders>
              <w:top w:val="single" w:sz="4" w:space="0" w:color="auto"/>
              <w:bottom w:val="single" w:sz="4" w:space="0" w:color="auto"/>
            </w:tcBorders>
          </w:tcPr>
          <w:p w:rsidR="00BA7C2C" w:rsidRPr="00314240" w:rsidRDefault="00BA7C2C" w:rsidP="00613EE2">
            <w:pPr>
              <w:rPr>
                <w:spacing w:val="-2"/>
              </w:rPr>
            </w:pPr>
            <w:r w:rsidRPr="00B158AB">
              <w:rPr>
                <w:spacing w:val="-2"/>
              </w:rPr>
              <w:t>Study</w:t>
            </w:r>
            <w:r>
              <w:rPr>
                <w:spacing w:val="-2"/>
              </w:rPr>
              <w:t xml:space="preserve"> </w:t>
            </w:r>
            <w:r w:rsidRPr="00B158AB">
              <w:rPr>
                <w:spacing w:val="-2"/>
              </w:rPr>
              <w:t xml:space="preserve">on the Efficacy and Palatability of a Red Paste at 50 mg/kg of Bromadiolone in the Rat, </w:t>
            </w:r>
            <w:r w:rsidRPr="00B158AB">
              <w:rPr>
                <w:i/>
                <w:spacing w:val="-2"/>
              </w:rPr>
              <w:t>Rattus</w:t>
            </w:r>
            <w:r w:rsidRPr="00B158AB">
              <w:rPr>
                <w:spacing w:val="-2"/>
              </w:rPr>
              <w:t xml:space="preserve"> </w:t>
            </w:r>
            <w:r w:rsidRPr="00B158AB">
              <w:rPr>
                <w:i/>
                <w:spacing w:val="-2"/>
              </w:rPr>
              <w:t>Norvegicus</w:t>
            </w:r>
            <w:r w:rsidRPr="00B158AB">
              <w:rPr>
                <w:spacing w:val="-2"/>
              </w:rPr>
              <w:t>, Wild Strain, Resistant to Warfarin.</w:t>
            </w:r>
            <w:r w:rsidRPr="00B158AB">
              <w:rPr>
                <w:spacing w:val="-2"/>
              </w:rPr>
              <w:br/>
            </w:r>
            <w:r w:rsidRPr="00314240">
              <w:rPr>
                <w:spacing w:val="-2"/>
              </w:rPr>
              <w:t>ENVL, Marcy L’Etoile, France.</w:t>
            </w:r>
            <w:r w:rsidRPr="00314240">
              <w:rPr>
                <w:spacing w:val="-2"/>
              </w:rPr>
              <w:br/>
              <w:t>Study code: RE/0908/BDN/Paste/Rn/R.</w:t>
            </w:r>
            <w:r w:rsidRPr="00314240">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396526">
              <w:rPr>
                <w:rFonts w:cs="Arial"/>
              </w:rPr>
              <w:fldChar w:fldCharType="begin">
                <w:ffData>
                  <w:name w:val=""/>
                  <w:enabled/>
                  <w:calcOnExit w:val="0"/>
                  <w:checkBox>
                    <w:sizeAuto/>
                    <w:default w:val="1"/>
                  </w:checkBox>
                </w:ffData>
              </w:fldChar>
            </w:r>
            <w:r w:rsidRPr="00396526">
              <w:rPr>
                <w:rFonts w:cs="Arial"/>
              </w:rPr>
              <w:instrText xml:space="preserve"> FORMCHECKBOX </w:instrText>
            </w:r>
            <w:r w:rsidR="00B1753E">
              <w:rPr>
                <w:rFonts w:cs="Arial"/>
              </w:rPr>
            </w:r>
            <w:r w:rsidR="00B1753E">
              <w:rPr>
                <w:rFonts w:cs="Arial"/>
              </w:rPr>
              <w:fldChar w:fldCharType="separate"/>
            </w:r>
            <w:r w:rsidRPr="0039652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5.10.2-05</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jc w:val="center"/>
              <w:rPr>
                <w:spacing w:val="-2"/>
              </w:rPr>
            </w:pPr>
            <w:r w:rsidRPr="00B158AB">
              <w:rPr>
                <w:spacing w:val="-2"/>
              </w:rPr>
              <w:t>2009c</w:t>
            </w:r>
          </w:p>
        </w:tc>
        <w:tc>
          <w:tcPr>
            <w:tcW w:w="1671" w:type="pct"/>
            <w:tcBorders>
              <w:top w:val="single" w:sz="4" w:space="0" w:color="auto"/>
              <w:bottom w:val="single" w:sz="4" w:space="0" w:color="auto"/>
            </w:tcBorders>
          </w:tcPr>
          <w:p w:rsidR="00BA7C2C" w:rsidRPr="00314240" w:rsidRDefault="00BA7C2C" w:rsidP="00613EE2">
            <w:pPr>
              <w:rPr>
                <w:spacing w:val="-2"/>
              </w:rPr>
            </w:pPr>
            <w:r w:rsidRPr="00B158AB">
              <w:rPr>
                <w:spacing w:val="-2"/>
              </w:rPr>
              <w:t>Study</w:t>
            </w:r>
            <w:r>
              <w:rPr>
                <w:spacing w:val="-2"/>
              </w:rPr>
              <w:t xml:space="preserve"> </w:t>
            </w:r>
            <w:r w:rsidRPr="00B158AB">
              <w:rPr>
                <w:spacing w:val="-2"/>
              </w:rPr>
              <w:t xml:space="preserve">on the Efficacy and Palatability of a Red Paste at 50 mg/kg of Bromadiolone in the Rat, </w:t>
            </w:r>
            <w:r w:rsidRPr="00B158AB">
              <w:rPr>
                <w:i/>
                <w:spacing w:val="-2"/>
              </w:rPr>
              <w:t>Rattus</w:t>
            </w:r>
            <w:r w:rsidRPr="00B158AB">
              <w:rPr>
                <w:spacing w:val="-2"/>
              </w:rPr>
              <w:t xml:space="preserve"> </w:t>
            </w:r>
            <w:r w:rsidRPr="00B158AB">
              <w:rPr>
                <w:i/>
                <w:spacing w:val="-2"/>
              </w:rPr>
              <w:t>Rattus</w:t>
            </w:r>
            <w:r w:rsidRPr="00B158AB">
              <w:rPr>
                <w:spacing w:val="-2"/>
              </w:rPr>
              <w:t>, Wild Strain, Sensitive to Warfarin.</w:t>
            </w:r>
            <w:r w:rsidRPr="00B158AB">
              <w:rPr>
                <w:spacing w:val="-2"/>
              </w:rPr>
              <w:br/>
            </w:r>
            <w:r w:rsidRPr="00314240">
              <w:rPr>
                <w:spacing w:val="-2"/>
              </w:rPr>
              <w:t>ENVL, Marcy L’Etoile, France.</w:t>
            </w:r>
            <w:r w:rsidRPr="00314240">
              <w:rPr>
                <w:spacing w:val="-2"/>
              </w:rPr>
              <w:br/>
              <w:t>Study code: RE/0909/BDN/Paste/Rr/S.</w:t>
            </w:r>
            <w:r w:rsidRPr="00314240">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396526">
              <w:rPr>
                <w:rFonts w:cs="Arial"/>
              </w:rPr>
              <w:fldChar w:fldCharType="begin">
                <w:ffData>
                  <w:name w:val=""/>
                  <w:enabled/>
                  <w:calcOnExit w:val="0"/>
                  <w:checkBox>
                    <w:sizeAuto/>
                    <w:default w:val="1"/>
                  </w:checkBox>
                </w:ffData>
              </w:fldChar>
            </w:r>
            <w:r w:rsidRPr="00396526">
              <w:rPr>
                <w:rFonts w:cs="Arial"/>
              </w:rPr>
              <w:instrText xml:space="preserve"> FORMCHECKBOX </w:instrText>
            </w:r>
            <w:r w:rsidR="00B1753E">
              <w:rPr>
                <w:rFonts w:cs="Arial"/>
              </w:rPr>
            </w:r>
            <w:r w:rsidR="00B1753E">
              <w:rPr>
                <w:rFonts w:cs="Arial"/>
              </w:rPr>
              <w:fldChar w:fldCharType="separate"/>
            </w:r>
            <w:r w:rsidRPr="0039652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5.10.2-06</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keepNext w:val="0"/>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keepNext w:val="0"/>
              <w:jc w:val="center"/>
              <w:rPr>
                <w:spacing w:val="-2"/>
              </w:rPr>
            </w:pPr>
            <w:r w:rsidRPr="00B158AB">
              <w:rPr>
                <w:spacing w:val="-2"/>
              </w:rPr>
              <w:t>2010</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Evaluation of the Efficacy of Paste Rodenticide Containing 50 mg/kg Bromadiolone for the Control of Black Rat Infestations in and Around Agricultural Buildings.</w:t>
            </w:r>
            <w:r w:rsidRPr="00B158AB">
              <w:rPr>
                <w:spacing w:val="-2"/>
              </w:rPr>
              <w:br/>
              <w:t>ENVL, Marcy L’Etoile, France.</w:t>
            </w:r>
            <w:r w:rsidRPr="00B158AB">
              <w:rPr>
                <w:spacing w:val="-2"/>
              </w:rPr>
              <w:br/>
              <w:t>Study code: FSR-0907.</w:t>
            </w:r>
            <w:r w:rsidRPr="00B158AB">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396526">
              <w:rPr>
                <w:rFonts w:cs="Arial"/>
              </w:rPr>
              <w:fldChar w:fldCharType="begin">
                <w:ffData>
                  <w:name w:val=""/>
                  <w:enabled/>
                  <w:calcOnExit w:val="0"/>
                  <w:checkBox>
                    <w:sizeAuto/>
                    <w:default w:val="1"/>
                  </w:checkBox>
                </w:ffData>
              </w:fldChar>
            </w:r>
            <w:r w:rsidRPr="00396526">
              <w:rPr>
                <w:rFonts w:cs="Arial"/>
              </w:rPr>
              <w:instrText xml:space="preserve"> FORMCHECKBOX </w:instrText>
            </w:r>
            <w:r w:rsidR="00B1753E">
              <w:rPr>
                <w:rFonts w:cs="Arial"/>
              </w:rPr>
            </w:r>
            <w:r w:rsidR="00B1753E">
              <w:rPr>
                <w:rFonts w:cs="Arial"/>
              </w:rPr>
              <w:fldChar w:fldCharType="separate"/>
            </w:r>
            <w:r w:rsidRPr="0039652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lastRenderedPageBreak/>
              <w:t>IIIB 5.10.2-07</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keepNext w:val="0"/>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2005a</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 on the Impact of Denatonium Benzoate Variation Concentration on the Palatability of a Rodenticide Block Formula in the Rat, Rattus Norvegicus, Wild Strain.</w:t>
            </w:r>
            <w:r w:rsidRPr="00B158AB">
              <w:rPr>
                <w:spacing w:val="-2"/>
              </w:rPr>
              <w:br/>
              <w:t>ENVL, Marcy L’Etoile, France.</w:t>
            </w:r>
            <w:r w:rsidRPr="00B158AB">
              <w:rPr>
                <w:spacing w:val="-2"/>
              </w:rPr>
              <w:br/>
              <w:t>Study code: RE/0404/BDN/Block/Rn.</w:t>
            </w:r>
            <w:r w:rsidRPr="00B158AB">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5.10.2-08</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keepNext w:val="0"/>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2005b</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 on the Impact of Packaging on the Attractivity of a Block in the Rat, Rattus Norvegicus, Wild Strain.</w:t>
            </w:r>
            <w:r w:rsidRPr="00B158AB">
              <w:rPr>
                <w:spacing w:val="-2"/>
              </w:rPr>
              <w:br/>
              <w:t>ENVL, Marcy L’Etoile, France.</w:t>
            </w:r>
            <w:r w:rsidRPr="00B158AB">
              <w:rPr>
                <w:spacing w:val="-2"/>
              </w:rPr>
              <w:br/>
              <w:t>Study code: RE/0314/Pack/R225/Block/Rn.</w:t>
            </w:r>
            <w:r w:rsidRPr="00B158AB">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5.10.2-09</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2003</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lang w:val="fr-FR"/>
              </w:rPr>
            </w:pPr>
            <w:r w:rsidRPr="00B158AB">
              <w:rPr>
                <w:spacing w:val="-2"/>
              </w:rPr>
              <w:t>Selection of House Mouse Strains, Mus Musculus According to Their Degree of Resistance to an Anticoagulant of 1</w:t>
            </w:r>
            <w:r w:rsidRPr="00B158AB">
              <w:rPr>
                <w:spacing w:val="-2"/>
                <w:vertAlign w:val="superscript"/>
              </w:rPr>
              <w:t>st</w:t>
            </w:r>
            <w:r w:rsidRPr="00B158AB">
              <w:rPr>
                <w:spacing w:val="-2"/>
              </w:rPr>
              <w:t xml:space="preserve"> Generation: Warfarin.</w:t>
            </w:r>
            <w:r w:rsidRPr="00B158AB">
              <w:rPr>
                <w:spacing w:val="-2"/>
              </w:rPr>
              <w:br/>
            </w:r>
            <w:r w:rsidRPr="00B158AB">
              <w:rPr>
                <w:spacing w:val="-2"/>
                <w:lang w:val="fr-FR"/>
              </w:rPr>
              <w:t>ENVL, Marcy L’Etoile, France.</w:t>
            </w:r>
            <w:r w:rsidRPr="00B158AB">
              <w:rPr>
                <w:spacing w:val="-2"/>
                <w:lang w:val="fr-FR"/>
              </w:rPr>
              <w:br/>
              <w:t>Study code: RE/SOU/0202.</w:t>
            </w:r>
            <w:r w:rsidRPr="00B158AB">
              <w:rPr>
                <w:spacing w:val="-2"/>
                <w:lang w:val="fr-FR"/>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5.10.2-10</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2002</w:t>
            </w:r>
          </w:p>
        </w:tc>
        <w:tc>
          <w:tcPr>
            <w:tcW w:w="1671" w:type="pct"/>
            <w:tcBorders>
              <w:top w:val="single" w:sz="4" w:space="0" w:color="auto"/>
              <w:bottom w:val="single" w:sz="4" w:space="0" w:color="auto"/>
            </w:tcBorders>
          </w:tcPr>
          <w:p w:rsidR="00BA7C2C" w:rsidRPr="00B158AB" w:rsidRDefault="00BA7C2C" w:rsidP="00613EE2">
            <w:pPr>
              <w:rPr>
                <w:spacing w:val="-2"/>
                <w:lang w:val="fr-FR"/>
              </w:rPr>
            </w:pPr>
            <w:r w:rsidRPr="00B158AB">
              <w:rPr>
                <w:spacing w:val="-2"/>
              </w:rPr>
              <w:t>Selection of Rat Strains, Rattus Norvegicus According to Their Degree of Resistance to an Anticoagulant of 1</w:t>
            </w:r>
            <w:r w:rsidRPr="00B158AB">
              <w:rPr>
                <w:spacing w:val="-2"/>
                <w:vertAlign w:val="superscript"/>
              </w:rPr>
              <w:t>st</w:t>
            </w:r>
            <w:r w:rsidRPr="00B158AB">
              <w:rPr>
                <w:spacing w:val="-2"/>
              </w:rPr>
              <w:t xml:space="preserve"> Generation: Warfarin.</w:t>
            </w:r>
            <w:r w:rsidRPr="00B158AB">
              <w:rPr>
                <w:spacing w:val="-2"/>
              </w:rPr>
              <w:br/>
            </w:r>
            <w:r w:rsidRPr="00B158AB">
              <w:rPr>
                <w:spacing w:val="-2"/>
                <w:lang w:val="fr-FR"/>
              </w:rPr>
              <w:t>ENVL, Marcy L’Etoile, France.</w:t>
            </w:r>
            <w:r w:rsidRPr="00B158AB">
              <w:rPr>
                <w:spacing w:val="-2"/>
                <w:lang w:val="fr-FR"/>
              </w:rPr>
              <w:br/>
              <w:t>Study code: RE/SOU/0201.</w:t>
            </w:r>
            <w:r w:rsidRPr="00B158AB">
              <w:rPr>
                <w:spacing w:val="-2"/>
                <w:lang w:val="fr-FR"/>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lastRenderedPageBreak/>
              <w:t>IIIB 5.10.2-11</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jc w:val="center"/>
              <w:rPr>
                <w:spacing w:val="-2"/>
              </w:rPr>
            </w:pPr>
            <w:r w:rsidRPr="00B158AB">
              <w:rPr>
                <w:spacing w:val="-2"/>
              </w:rPr>
              <w:t>2010b</w:t>
            </w:r>
          </w:p>
        </w:tc>
        <w:tc>
          <w:tcPr>
            <w:tcW w:w="1671" w:type="pct"/>
            <w:tcBorders>
              <w:top w:val="single" w:sz="4" w:space="0" w:color="auto"/>
              <w:bottom w:val="single" w:sz="4" w:space="0" w:color="auto"/>
            </w:tcBorders>
          </w:tcPr>
          <w:p w:rsidR="00BA7C2C" w:rsidRPr="00B158AB" w:rsidRDefault="00BA7C2C" w:rsidP="00613EE2">
            <w:pPr>
              <w:rPr>
                <w:spacing w:val="-2"/>
                <w:lang w:val="fr-FR"/>
              </w:rPr>
            </w:pPr>
            <w:r w:rsidRPr="00B158AB">
              <w:rPr>
                <w:spacing w:val="-2"/>
              </w:rPr>
              <w:t xml:space="preserve">Evaluation of the efficacy of a oat rodenticide containing 50 mg/kg Bromadiolone for the control of brown rat infestations in and around the urban building. </w:t>
            </w:r>
            <w:r w:rsidRPr="00B158AB">
              <w:rPr>
                <w:spacing w:val="-2"/>
                <w:lang w:val="fr-FR"/>
              </w:rPr>
              <w:t>Laboratoire de Toxicologie, ENVL, Marcy L’Etoile, France.</w:t>
            </w:r>
            <w:r w:rsidRPr="00B158AB">
              <w:rPr>
                <w:spacing w:val="-2"/>
                <w:lang w:val="fr-FR"/>
              </w:rPr>
              <w:br/>
              <w:t>Study codeFSR-0906.</w:t>
            </w:r>
            <w:r w:rsidRPr="00B158AB">
              <w:rPr>
                <w:spacing w:val="-2"/>
                <w:lang w:val="fr-FR"/>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5.10.2-12</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pPr>
              <w:rPr>
                <w:rFonts w:cs="Arial"/>
              </w:rPr>
            </w:pPr>
          </w:p>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keepNext w:val="0"/>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keepNext w:val="0"/>
              <w:jc w:val="center"/>
              <w:rPr>
                <w:spacing w:val="-2"/>
              </w:rPr>
            </w:pPr>
            <w:r w:rsidRPr="00B158AB">
              <w:rPr>
                <w:spacing w:val="-2"/>
              </w:rPr>
              <w:t>2010c</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lang w:val="fr-FR"/>
              </w:rPr>
            </w:pPr>
            <w:r w:rsidRPr="00B158AB">
              <w:rPr>
                <w:spacing w:val="-2"/>
              </w:rPr>
              <w:t xml:space="preserve">Evaluation of the efficacy of a wheat rodenticide containing 50 mg/kg Bromadiolone for the control of house mice infestations in and around the urban building. </w:t>
            </w:r>
            <w:r w:rsidRPr="00B158AB">
              <w:rPr>
                <w:spacing w:val="-2"/>
                <w:lang w:val="fr-FR"/>
              </w:rPr>
              <w:t>Laboratoire de Toxicologie, ENVL, Marcy L’Etoile, France.</w:t>
            </w:r>
            <w:r w:rsidRPr="00B158AB">
              <w:rPr>
                <w:spacing w:val="-2"/>
                <w:lang w:val="fr-FR"/>
              </w:rPr>
              <w:br/>
              <w:t>Study codeFSR-0908.</w:t>
            </w:r>
            <w:r w:rsidRPr="00B158AB">
              <w:rPr>
                <w:spacing w:val="-2"/>
                <w:lang w:val="fr-FR"/>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5.10.2-13</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keepNext w:val="0"/>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2011</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w:t>
            </w:r>
            <w:r>
              <w:rPr>
                <w:spacing w:val="-2"/>
              </w:rPr>
              <w:t xml:space="preserve"> </w:t>
            </w:r>
            <w:r w:rsidRPr="00B158AB">
              <w:rPr>
                <w:spacing w:val="-2"/>
              </w:rPr>
              <w:t xml:space="preserve">on the Efficacy and Palatability of Paste at 50 mg/kg of Bromadiolone in the Rat, </w:t>
            </w:r>
            <w:r w:rsidRPr="00B158AB">
              <w:rPr>
                <w:i/>
                <w:spacing w:val="-2"/>
              </w:rPr>
              <w:t>Rattus</w:t>
            </w:r>
            <w:r w:rsidRPr="00B158AB">
              <w:rPr>
                <w:spacing w:val="-2"/>
              </w:rPr>
              <w:t xml:space="preserve"> </w:t>
            </w:r>
            <w:r w:rsidRPr="00B158AB">
              <w:rPr>
                <w:i/>
                <w:spacing w:val="-2"/>
              </w:rPr>
              <w:t>Norvegicus</w:t>
            </w:r>
            <w:r w:rsidRPr="00B158AB">
              <w:rPr>
                <w:spacing w:val="-2"/>
              </w:rPr>
              <w:t>, Wild Strain, resistant to Warfarin.</w:t>
            </w:r>
            <w:r w:rsidRPr="00B158AB">
              <w:rPr>
                <w:spacing w:val="-2"/>
              </w:rPr>
              <w:br/>
            </w:r>
            <w:r w:rsidRPr="00314240">
              <w:rPr>
                <w:spacing w:val="-2"/>
              </w:rPr>
              <w:t>ENVL, Marcy L’Etoile, France.</w:t>
            </w:r>
            <w:r w:rsidRPr="00314240">
              <w:rPr>
                <w:spacing w:val="-2"/>
              </w:rPr>
              <w:br/>
              <w:t>Study code: RE/1115/BDN/Paste/Rn/R</w:t>
            </w:r>
            <w:r w:rsidRPr="00314240">
              <w:rPr>
                <w:spacing w:val="-2"/>
              </w:rPr>
              <w:br/>
            </w:r>
            <w:r w:rsidRPr="00B158AB">
              <w:rPr>
                <w:spacing w:val="-2"/>
              </w:rP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5.10.2-14</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rPr>
                <w:spacing w:val="-2"/>
              </w:rPr>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2011b</w:t>
            </w:r>
          </w:p>
        </w:tc>
        <w:tc>
          <w:tcPr>
            <w:tcW w:w="1671" w:type="pct"/>
            <w:tcBorders>
              <w:top w:val="single" w:sz="4" w:space="0" w:color="auto"/>
              <w:bottom w:val="single" w:sz="4" w:space="0" w:color="auto"/>
            </w:tcBorders>
          </w:tcPr>
          <w:p w:rsidR="00BA7C2C" w:rsidRPr="00B158AB" w:rsidRDefault="00BA7C2C" w:rsidP="00613EE2">
            <w:pPr>
              <w:pStyle w:val="TableTextLeft"/>
              <w:keepNext w:val="0"/>
              <w:rPr>
                <w:spacing w:val="-2"/>
              </w:rPr>
            </w:pPr>
            <w:r w:rsidRPr="00B158AB">
              <w:rPr>
                <w:spacing w:val="-2"/>
              </w:rPr>
              <w:t>Study</w:t>
            </w:r>
            <w:r>
              <w:rPr>
                <w:spacing w:val="-2"/>
              </w:rPr>
              <w:t xml:space="preserve"> </w:t>
            </w:r>
            <w:r w:rsidRPr="00B158AB">
              <w:rPr>
                <w:spacing w:val="-2"/>
              </w:rPr>
              <w:t xml:space="preserve">on the Efficacy and Palatability of a Paste at 50 mg/kg of Bromadiolone in the House Mouse, </w:t>
            </w:r>
            <w:r w:rsidRPr="00B158AB">
              <w:rPr>
                <w:i/>
                <w:spacing w:val="-2"/>
              </w:rPr>
              <w:t>Mus</w:t>
            </w:r>
            <w:r w:rsidRPr="00B158AB">
              <w:rPr>
                <w:spacing w:val="-2"/>
              </w:rPr>
              <w:t xml:space="preserve"> </w:t>
            </w:r>
            <w:r w:rsidRPr="00B158AB">
              <w:rPr>
                <w:i/>
                <w:spacing w:val="-2"/>
              </w:rPr>
              <w:t>Musculus</w:t>
            </w:r>
            <w:r w:rsidRPr="00B158AB">
              <w:rPr>
                <w:spacing w:val="-2"/>
              </w:rPr>
              <w:t>, Wild Strain, resistant to Warfarin.</w:t>
            </w:r>
            <w:r w:rsidRPr="00B158AB">
              <w:rPr>
                <w:spacing w:val="-2"/>
              </w:rPr>
              <w:br/>
            </w:r>
            <w:r w:rsidRPr="00314240">
              <w:rPr>
                <w:spacing w:val="-2"/>
              </w:rPr>
              <w:t>ENVL, Marcy L’Etoile, France.</w:t>
            </w:r>
            <w:r w:rsidRPr="00314240">
              <w:rPr>
                <w:spacing w:val="-2"/>
              </w:rPr>
              <w:br/>
              <w:t>Study code: RE/1117/BDN/Paste/Mm/R.</w:t>
            </w:r>
            <w:r w:rsidRPr="00314240">
              <w:rPr>
                <w:spacing w:val="-2"/>
              </w:rPr>
              <w:br/>
            </w:r>
            <w:r w:rsidRPr="00B158AB">
              <w:rPr>
                <w:spacing w:val="-2"/>
              </w:rP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lastRenderedPageBreak/>
              <w:t>IIIB 5.10.2-15</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pStyle w:val="TableTextLeft"/>
            </w:pPr>
            <w:r w:rsidRPr="00B158AB">
              <w:t>Berny, P.</w:t>
            </w:r>
          </w:p>
        </w:tc>
        <w:tc>
          <w:tcPr>
            <w:tcW w:w="307" w:type="pct"/>
            <w:tcBorders>
              <w:top w:val="single" w:sz="4" w:space="0" w:color="auto"/>
              <w:left w:val="single" w:sz="4" w:space="0" w:color="auto"/>
              <w:bottom w:val="single" w:sz="4" w:space="0" w:color="auto"/>
            </w:tcBorders>
          </w:tcPr>
          <w:p w:rsidR="00BA7C2C" w:rsidRPr="00B158AB" w:rsidRDefault="00BA7C2C" w:rsidP="00613EE2">
            <w:pPr>
              <w:pStyle w:val="TableTextLeft"/>
              <w:jc w:val="center"/>
              <w:rPr>
                <w:spacing w:val="-2"/>
              </w:rPr>
            </w:pPr>
            <w:r w:rsidRPr="00B158AB">
              <w:rPr>
                <w:spacing w:val="-2"/>
              </w:rPr>
              <w:t>2009d</w:t>
            </w:r>
          </w:p>
        </w:tc>
        <w:tc>
          <w:tcPr>
            <w:tcW w:w="1671" w:type="pct"/>
            <w:tcBorders>
              <w:top w:val="single" w:sz="4" w:space="0" w:color="auto"/>
              <w:bottom w:val="single" w:sz="4" w:space="0" w:color="auto"/>
            </w:tcBorders>
          </w:tcPr>
          <w:p w:rsidR="00BA7C2C" w:rsidRPr="00B158AB" w:rsidRDefault="00BA7C2C" w:rsidP="00613EE2">
            <w:pPr>
              <w:rPr>
                <w:lang w:val="fr-FR"/>
              </w:rPr>
            </w:pPr>
            <w:r w:rsidRPr="00B158AB">
              <w:t xml:space="preserve">Evaluation of the Efficacy of a Paste Rodenticide Containing 25 mg/kg Difethialone for the Control of Brown Rat Infestations in and Around Agricultural Buildings. </w:t>
            </w:r>
            <w:r w:rsidRPr="00B158AB">
              <w:rPr>
                <w:lang w:val="fr-FR"/>
              </w:rPr>
              <w:t>Laboratoire de Toxicologie, ENVL Report Number FSR-0902 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rsidRPr="00B158AB">
              <w:t>IIIB 5.10.2-16</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rPr>
                <w:highlight w:val="yellow"/>
              </w:rPr>
            </w:pPr>
            <w:r w:rsidRPr="00B158AB">
              <w:t>Bourret A.</w:t>
            </w:r>
          </w:p>
        </w:tc>
        <w:tc>
          <w:tcPr>
            <w:tcW w:w="307" w:type="pct"/>
            <w:tcBorders>
              <w:top w:val="single" w:sz="4" w:space="0" w:color="auto"/>
              <w:left w:val="single" w:sz="4" w:space="0" w:color="auto"/>
              <w:bottom w:val="single" w:sz="4" w:space="0" w:color="auto"/>
            </w:tcBorders>
          </w:tcPr>
          <w:p w:rsidR="00BA7C2C" w:rsidRPr="00B158AB" w:rsidRDefault="00BA7C2C" w:rsidP="00613EE2">
            <w:pPr>
              <w:jc w:val="center"/>
              <w:rPr>
                <w:spacing w:val="-2"/>
                <w:highlight w:val="yellow"/>
              </w:rPr>
            </w:pPr>
            <w:r w:rsidRPr="00B158AB">
              <w:rPr>
                <w:spacing w:val="-2"/>
              </w:rPr>
              <w:t>2012</w:t>
            </w:r>
          </w:p>
        </w:tc>
        <w:tc>
          <w:tcPr>
            <w:tcW w:w="1671" w:type="pct"/>
            <w:tcBorders>
              <w:top w:val="single" w:sz="4" w:space="0" w:color="auto"/>
              <w:bottom w:val="single" w:sz="4" w:space="0" w:color="auto"/>
            </w:tcBorders>
          </w:tcPr>
          <w:p w:rsidR="00BA7C2C" w:rsidRPr="00B158AB" w:rsidRDefault="00BA7C2C" w:rsidP="00613EE2">
            <w:pPr>
              <w:rPr>
                <w:spacing w:val="-2"/>
                <w:highlight w:val="yellow"/>
                <w:lang w:val="en-US"/>
              </w:rPr>
            </w:pPr>
            <w:r w:rsidRPr="00B158AB">
              <w:t>Treatment of mice infestation with</w:t>
            </w:r>
            <w:r w:rsidRPr="00B158AB">
              <w:rPr>
                <w:color w:val="FF0000"/>
              </w:rPr>
              <w:t xml:space="preserve"> </w:t>
            </w:r>
            <w:r w:rsidRPr="00B158AB">
              <w:t>a paste rodenticide containing 50 mg/kg bromadiolone</w:t>
            </w:r>
            <w:r w:rsidRPr="00B158AB">
              <w:rPr>
                <w:color w:val="FF0000"/>
              </w:rPr>
              <w:t xml:space="preserve"> </w:t>
            </w:r>
            <w:r w:rsidRPr="00B158AB">
              <w:t>in a equestrian center</w:t>
            </w:r>
            <w:r w:rsidRPr="00B158AB">
              <w:rPr>
                <w:spacing w:val="-2"/>
                <w:lang w:val="en-US"/>
              </w:rPr>
              <w:t>.</w:t>
            </w:r>
            <w:r w:rsidRPr="00B158AB">
              <w:rPr>
                <w:spacing w:val="-2"/>
                <w:lang w:val="en-US"/>
              </w:rPr>
              <w:br/>
              <w:t xml:space="preserve">Study code </w:t>
            </w:r>
            <w:r w:rsidRPr="00B158AB">
              <w:t>1201/Equestrian center treatment/BDN/Paste/Mm</w:t>
            </w:r>
            <w:r w:rsidRPr="00B158AB">
              <w:rPr>
                <w:spacing w:val="-2"/>
                <w:lang w:val="en-US"/>
              </w:rPr>
              <w:t>.</w:t>
            </w:r>
            <w:r w:rsidRPr="00B158AB">
              <w:rPr>
                <w:spacing w:val="-2"/>
                <w:lang w:val="en-US"/>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r w:rsidR="00BA7C2C" w:rsidTr="00613EE2">
        <w:trPr>
          <w:gridAfter w:val="1"/>
          <w:wAfter w:w="3" w:type="pct"/>
          <w:cantSplit/>
          <w:jc w:val="center"/>
        </w:trPr>
        <w:tc>
          <w:tcPr>
            <w:tcW w:w="419" w:type="pct"/>
            <w:gridSpan w:val="2"/>
            <w:tcBorders>
              <w:top w:val="single" w:sz="4" w:space="0" w:color="auto"/>
              <w:left w:val="nil"/>
              <w:bottom w:val="single" w:sz="4" w:space="0" w:color="auto"/>
              <w:right w:val="single" w:sz="4" w:space="0" w:color="auto"/>
            </w:tcBorders>
          </w:tcPr>
          <w:p w:rsidR="00BA7C2C" w:rsidRDefault="00BA7C2C" w:rsidP="00613EE2">
            <w:pPr>
              <w:rPr>
                <w:rFonts w:cs="Arial"/>
              </w:rPr>
            </w:pPr>
            <w:r>
              <w:t>IIIB 5.10.2-17</w:t>
            </w:r>
          </w:p>
        </w:tc>
        <w:tc>
          <w:tcPr>
            <w:tcW w:w="252" w:type="pct"/>
            <w:gridSpan w:val="2"/>
            <w:tcBorders>
              <w:left w:val="single" w:sz="4" w:space="0" w:color="auto"/>
              <w:bottom w:val="single" w:sz="4" w:space="0" w:color="auto"/>
              <w:right w:val="single" w:sz="4" w:space="0" w:color="auto"/>
            </w:tcBorders>
          </w:tcPr>
          <w:p w:rsidR="00BA7C2C" w:rsidRPr="00B158AB" w:rsidRDefault="00BA7C2C" w:rsidP="00613EE2"/>
        </w:tc>
        <w:tc>
          <w:tcPr>
            <w:tcW w:w="511" w:type="pct"/>
            <w:gridSpan w:val="2"/>
            <w:tcBorders>
              <w:left w:val="single" w:sz="4" w:space="0" w:color="auto"/>
              <w:bottom w:val="single" w:sz="4" w:space="0" w:color="auto"/>
              <w:right w:val="single" w:sz="4" w:space="0" w:color="auto"/>
            </w:tcBorders>
          </w:tcPr>
          <w:p w:rsidR="00BA7C2C" w:rsidRPr="00B158AB" w:rsidRDefault="00BA7C2C" w:rsidP="00613EE2">
            <w:pPr>
              <w:rPr>
                <w:highlight w:val="yellow"/>
              </w:rPr>
            </w:pPr>
            <w:r w:rsidRPr="00B158AB">
              <w:t>B</w:t>
            </w:r>
            <w:r>
              <w:t>erny</w:t>
            </w:r>
            <w:r w:rsidRPr="00B158AB">
              <w:t xml:space="preserve"> </w:t>
            </w:r>
            <w:r>
              <w:t>P</w:t>
            </w:r>
            <w:r w:rsidRPr="00B158AB">
              <w:t>.</w:t>
            </w:r>
          </w:p>
        </w:tc>
        <w:tc>
          <w:tcPr>
            <w:tcW w:w="307" w:type="pct"/>
            <w:tcBorders>
              <w:top w:val="single" w:sz="4" w:space="0" w:color="auto"/>
              <w:left w:val="single" w:sz="4" w:space="0" w:color="auto"/>
              <w:bottom w:val="single" w:sz="4" w:space="0" w:color="auto"/>
            </w:tcBorders>
          </w:tcPr>
          <w:p w:rsidR="00BA7C2C" w:rsidRPr="00B158AB" w:rsidRDefault="00BA7C2C" w:rsidP="00613EE2">
            <w:pPr>
              <w:jc w:val="center"/>
              <w:rPr>
                <w:spacing w:val="-2"/>
                <w:highlight w:val="yellow"/>
              </w:rPr>
            </w:pPr>
            <w:r w:rsidRPr="00B158AB">
              <w:rPr>
                <w:spacing w:val="-2"/>
              </w:rPr>
              <w:t>20</w:t>
            </w:r>
            <w:r>
              <w:rPr>
                <w:spacing w:val="-2"/>
              </w:rPr>
              <w:t>09a</w:t>
            </w:r>
          </w:p>
        </w:tc>
        <w:tc>
          <w:tcPr>
            <w:tcW w:w="1671" w:type="pct"/>
            <w:tcBorders>
              <w:top w:val="single" w:sz="4" w:space="0" w:color="auto"/>
              <w:bottom w:val="single" w:sz="4" w:space="0" w:color="auto"/>
            </w:tcBorders>
          </w:tcPr>
          <w:p w:rsidR="00BA7C2C" w:rsidRPr="00D14F5D" w:rsidRDefault="00BA7C2C" w:rsidP="00613EE2">
            <w:pPr>
              <w:rPr>
                <w:spacing w:val="-2"/>
                <w:highlight w:val="yellow"/>
              </w:rPr>
            </w:pPr>
            <w:r w:rsidRPr="00D14F5D">
              <w:t>Study on the efficacy and palatability of paste at 25 mg/kg of difethialone in the rat, Rattus norvegicus, wild strain, resistant to warfarin.</w:t>
            </w:r>
            <w:r w:rsidRPr="00D14F5D">
              <w:rPr>
                <w:spacing w:val="-2"/>
                <w:lang w:val="en-US"/>
              </w:rPr>
              <w:br/>
            </w:r>
            <w:r w:rsidRPr="00D14F5D">
              <w:rPr>
                <w:spacing w:val="-2"/>
              </w:rPr>
              <w:t>Study code: RE/</w:t>
            </w:r>
            <w:r>
              <w:rPr>
                <w:spacing w:val="-2"/>
              </w:rPr>
              <w:t>0810</w:t>
            </w:r>
            <w:r w:rsidRPr="00D14F5D">
              <w:rPr>
                <w:spacing w:val="-2"/>
              </w:rPr>
              <w:t>/D</w:t>
            </w:r>
            <w:r>
              <w:rPr>
                <w:spacing w:val="-2"/>
              </w:rPr>
              <w:t>F</w:t>
            </w:r>
            <w:r w:rsidRPr="00D14F5D">
              <w:rPr>
                <w:spacing w:val="-2"/>
              </w:rPr>
              <w:t>N/Paste/Rn/R</w:t>
            </w:r>
            <w:r w:rsidRPr="00D14F5D">
              <w:rPr>
                <w:spacing w:val="-2"/>
              </w:rPr>
              <w:br/>
              <w:t>Non-GLP, Unpublished.</w:t>
            </w:r>
          </w:p>
        </w:tc>
        <w:tc>
          <w:tcPr>
            <w:tcW w:w="1271" w:type="pct"/>
            <w:tcBorders>
              <w:top w:val="single" w:sz="4" w:space="0" w:color="auto"/>
              <w:bottom w:val="single" w:sz="4" w:space="0" w:color="auto"/>
            </w:tcBorders>
          </w:tcPr>
          <w:p w:rsidR="00BA7C2C" w:rsidRPr="00B158AB" w:rsidRDefault="00BA7C2C" w:rsidP="00613EE2">
            <w:r w:rsidRPr="00B158AB">
              <w:rPr>
                <w:spacing w:val="-2"/>
              </w:rPr>
              <w:t>LiphaTech</w:t>
            </w:r>
          </w:p>
        </w:tc>
        <w:tc>
          <w:tcPr>
            <w:tcW w:w="304" w:type="pct"/>
            <w:tcBorders>
              <w:top w:val="single" w:sz="4" w:space="0" w:color="auto"/>
            </w:tcBorders>
          </w:tcPr>
          <w:p w:rsidR="00BA7C2C" w:rsidRDefault="00BA7C2C" w:rsidP="00613EE2">
            <w:pPr>
              <w:jc w:val="center"/>
            </w:pPr>
            <w:r w:rsidRPr="00922876">
              <w:rPr>
                <w:rFonts w:cs="Arial"/>
              </w:rPr>
              <w:fldChar w:fldCharType="begin">
                <w:ffData>
                  <w:name w:val=""/>
                  <w:enabled/>
                  <w:calcOnExit w:val="0"/>
                  <w:checkBox>
                    <w:sizeAuto/>
                    <w:default w:val="1"/>
                  </w:checkBox>
                </w:ffData>
              </w:fldChar>
            </w:r>
            <w:r w:rsidRPr="00922876">
              <w:rPr>
                <w:rFonts w:cs="Arial"/>
              </w:rPr>
              <w:instrText xml:space="preserve"> FORMCHECKBOX </w:instrText>
            </w:r>
            <w:r w:rsidR="00B1753E">
              <w:rPr>
                <w:rFonts w:cs="Arial"/>
              </w:rPr>
            </w:r>
            <w:r w:rsidR="00B1753E">
              <w:rPr>
                <w:rFonts w:cs="Arial"/>
              </w:rPr>
              <w:fldChar w:fldCharType="separate"/>
            </w:r>
            <w:r w:rsidRPr="00922876">
              <w:rPr>
                <w:rFonts w:cs="Arial"/>
              </w:rPr>
              <w:fldChar w:fldCharType="end"/>
            </w:r>
          </w:p>
        </w:tc>
        <w:tc>
          <w:tcPr>
            <w:tcW w:w="261" w:type="pct"/>
            <w:gridSpan w:val="2"/>
            <w:tcBorders>
              <w:top w:val="single" w:sz="4" w:space="0" w:color="auto"/>
            </w:tcBorders>
          </w:tcPr>
          <w:p w:rsidR="00BA7C2C" w:rsidRDefault="00BA7C2C" w:rsidP="00613EE2">
            <w:r w:rsidRPr="00F52B78">
              <w:rPr>
                <w:rFonts w:cs="Arial"/>
              </w:rPr>
              <w:fldChar w:fldCharType="begin">
                <w:ffData>
                  <w:name w:val="Kryss4"/>
                  <w:enabled/>
                  <w:calcOnExit w:val="0"/>
                  <w:checkBox>
                    <w:sizeAuto/>
                    <w:default w:val="0"/>
                  </w:checkBox>
                </w:ffData>
              </w:fldChar>
            </w:r>
            <w:r w:rsidRPr="00F52B78">
              <w:rPr>
                <w:rFonts w:cs="Arial"/>
              </w:rPr>
              <w:instrText xml:space="preserve"> FORMCHECKBOX </w:instrText>
            </w:r>
            <w:r w:rsidR="00B1753E">
              <w:rPr>
                <w:rFonts w:cs="Arial"/>
              </w:rPr>
            </w:r>
            <w:r w:rsidR="00B1753E">
              <w:rPr>
                <w:rFonts w:cs="Arial"/>
              </w:rPr>
              <w:fldChar w:fldCharType="separate"/>
            </w:r>
            <w:r w:rsidRPr="00F52B78">
              <w:rPr>
                <w:rFonts w:cs="Arial"/>
              </w:rPr>
              <w:fldChar w:fldCharType="end"/>
            </w:r>
          </w:p>
        </w:tc>
      </w:tr>
    </w:tbl>
    <w:p w:rsidR="00BA7C2C" w:rsidRDefault="00BA7C2C" w:rsidP="00BA7C2C">
      <w:pPr>
        <w:rPr>
          <w:rFonts w:cs="Arial"/>
          <w:bCs/>
          <w:color w:val="000000"/>
        </w:rPr>
      </w:pPr>
    </w:p>
    <w:p w:rsidR="00BA7C2C" w:rsidRDefault="00BA7C2C" w:rsidP="00BA7C2C">
      <w:pPr>
        <w:rPr>
          <w:rFonts w:cs="Arial"/>
          <w:bCs/>
          <w:color w:val="000000"/>
        </w:rPr>
      </w:pPr>
    </w:p>
    <w:p w:rsidR="00BA7C2C" w:rsidRDefault="00BA7C2C" w:rsidP="00BA7C2C">
      <w:pPr>
        <w:rPr>
          <w:lang w:eastAsia="en-US"/>
        </w:rPr>
      </w:pPr>
    </w:p>
    <w:p w:rsidR="00BA7C2C" w:rsidRDefault="00BA7C2C" w:rsidP="00BA7C2C">
      <w:pPr>
        <w:spacing w:before="120" w:after="120"/>
        <w:rPr>
          <w:b/>
          <w:sz w:val="24"/>
        </w:rPr>
        <w:sectPr w:rsidR="00BA7C2C" w:rsidSect="00DE2F92">
          <w:pgSz w:w="16838" w:h="11906" w:orient="landscape"/>
          <w:pgMar w:top="1418" w:right="1418" w:bottom="1418" w:left="1418" w:header="709" w:footer="709" w:gutter="0"/>
          <w:cols w:space="708"/>
          <w:docGrid w:linePitch="360"/>
        </w:sectPr>
      </w:pPr>
    </w:p>
    <w:p w:rsidR="00BA7C2C" w:rsidRPr="005D7064" w:rsidRDefault="00BA7C2C" w:rsidP="00BA7C2C">
      <w:pPr>
        <w:pStyle w:val="Kop2"/>
        <w:numPr>
          <w:ilvl w:val="0"/>
          <w:numId w:val="0"/>
        </w:numPr>
        <w:spacing w:after="240"/>
        <w:jc w:val="center"/>
      </w:pPr>
      <w:bookmarkStart w:id="856" w:name="_Toc362858107"/>
      <w:r w:rsidRPr="005D7064">
        <w:lastRenderedPageBreak/>
        <w:t>Annex 3: Analytical methods residues – active substance</w:t>
      </w:r>
      <w:bookmarkEnd w:id="856"/>
      <w:r w:rsidRPr="005D7064">
        <w:t xml:space="preserve"> </w:t>
      </w:r>
    </w:p>
    <w:p w:rsidR="00BA7C2C" w:rsidRPr="00A0425E" w:rsidRDefault="00BA7C2C" w:rsidP="00BA7C2C">
      <w:pPr>
        <w:pStyle w:val="BfRBBTitel"/>
        <w:ind w:firstLine="708"/>
        <w:jc w:val="right"/>
        <w:outlineLvl w:val="9"/>
        <w:rPr>
          <w:b w:val="0"/>
          <w:bCs w:val="0"/>
          <w:sz w:val="22"/>
          <w:szCs w:val="22"/>
          <w:lang w:val="en-GB"/>
        </w:rPr>
      </w:pPr>
    </w:p>
    <w:p w:rsidR="00BA7C2C" w:rsidRPr="00E7636A" w:rsidRDefault="00BA7C2C" w:rsidP="00BA7C2C">
      <w:pPr>
        <w:pStyle w:val="BfRBBTabelle"/>
        <w:pBdr>
          <w:top w:val="single" w:sz="4" w:space="1" w:color="auto"/>
          <w:left w:val="single" w:sz="4" w:space="4" w:color="auto"/>
          <w:bottom w:val="single" w:sz="4" w:space="1" w:color="auto"/>
          <w:right w:val="single" w:sz="4" w:space="4" w:color="auto"/>
        </w:pBdr>
        <w:jc w:val="center"/>
        <w:rPr>
          <w:rFonts w:ascii="Times New Roman" w:hAnsi="Times New Roman" w:cs="Times New Roman"/>
          <w:b/>
          <w:snapToGrid w:val="0"/>
          <w:sz w:val="22"/>
          <w:szCs w:val="22"/>
          <w:lang w:val="en-GB"/>
        </w:rPr>
      </w:pPr>
      <w:r w:rsidRPr="00E7636A">
        <w:rPr>
          <w:rFonts w:ascii="Times New Roman" w:hAnsi="Times New Roman" w:cs="Times New Roman"/>
          <w:b/>
          <w:snapToGrid w:val="0"/>
          <w:sz w:val="22"/>
          <w:szCs w:val="22"/>
          <w:lang w:val="en-GB"/>
        </w:rPr>
        <w:t>Bromadiolone</w:t>
      </w:r>
    </w:p>
    <w:p w:rsidR="00BA7C2C" w:rsidRPr="00A0425E" w:rsidRDefault="00BA7C2C" w:rsidP="00BA7C2C">
      <w:pPr>
        <w:pStyle w:val="BfRBBStandard"/>
        <w:rPr>
          <w:noProof w:val="0"/>
          <w:lang w:val="en-GB"/>
        </w:rPr>
      </w:pPr>
    </w:p>
    <w:p w:rsidR="00BA7C2C" w:rsidRDefault="00BA7C2C" w:rsidP="00BA7C2C">
      <w:pPr>
        <w:pStyle w:val="BfRBBStandard"/>
        <w:rPr>
          <w:rFonts w:ascii="Times New Roman" w:hAnsi="Times New Roman" w:cs="Times New Roman"/>
          <w:lang w:val="en-GB"/>
        </w:rPr>
      </w:pPr>
      <w:r w:rsidRPr="009017AF">
        <w:rPr>
          <w:rFonts w:ascii="Times New Roman" w:hAnsi="Times New Roman" w:cs="Times New Roman"/>
          <w:lang w:val="en-GB"/>
        </w:rPr>
        <w:t xml:space="preserve">The analytical methods for residues are taken from the CA report to support the inclusion of </w:t>
      </w:r>
      <w:r>
        <w:rPr>
          <w:rFonts w:ascii="Times New Roman" w:hAnsi="Times New Roman" w:cs="Times New Roman"/>
          <w:lang w:val="en-GB"/>
        </w:rPr>
        <w:t>bromadiolone</w:t>
      </w:r>
      <w:r w:rsidRPr="009017AF">
        <w:rPr>
          <w:rFonts w:ascii="Times New Roman" w:hAnsi="Times New Roman" w:cs="Times New Roman"/>
          <w:lang w:val="en-GB"/>
        </w:rPr>
        <w:t xml:space="preserve"> in annex I of Directive 98/8/EC.</w:t>
      </w:r>
      <w:r>
        <w:rPr>
          <w:rFonts w:ascii="Times New Roman" w:hAnsi="Times New Roman" w:cs="Times New Roman"/>
          <w:lang w:val="en-GB"/>
        </w:rPr>
        <w:t xml:space="preserve"> </w:t>
      </w:r>
    </w:p>
    <w:p w:rsidR="00BA7C2C" w:rsidRPr="00A0425E" w:rsidRDefault="00BA7C2C" w:rsidP="00BA7C2C">
      <w:pPr>
        <w:pStyle w:val="BfRBBStandard"/>
        <w:rPr>
          <w:noProof w:val="0"/>
          <w:lang w:val="en-GB"/>
        </w:rPr>
      </w:pPr>
    </w:p>
    <w:p w:rsidR="00BA7C2C" w:rsidRPr="004B5554" w:rsidRDefault="00BA7C2C" w:rsidP="00BA7C2C">
      <w:pPr>
        <w:pStyle w:val="BfRBBTabelle"/>
        <w:rPr>
          <w:rFonts w:ascii="Times New Roman" w:hAnsi="Times New Roman" w:cs="Times New Roman"/>
          <w:b/>
          <w:snapToGrid w:val="0"/>
          <w:sz w:val="22"/>
          <w:szCs w:val="22"/>
          <w:lang w:val="en-GB"/>
        </w:rPr>
      </w:pPr>
      <w:r w:rsidRPr="004B5554">
        <w:rPr>
          <w:rFonts w:ascii="Times New Roman" w:hAnsi="Times New Roman" w:cs="Times New Roman"/>
          <w:b/>
          <w:snapToGrid w:val="0"/>
          <w:sz w:val="22"/>
          <w:szCs w:val="22"/>
          <w:lang w:val="en-GB"/>
        </w:rPr>
        <w:t>Analytical methods for residues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BA7C2C" w:rsidRPr="00D74E11" w:rsidTr="00613EE2">
        <w:tc>
          <w:tcPr>
            <w:tcW w:w="4395" w:type="dxa"/>
          </w:tcPr>
          <w:p w:rsidR="00BA7C2C" w:rsidRPr="00D74E11" w:rsidRDefault="00BA7C2C" w:rsidP="00613EE2">
            <w:pPr>
              <w:spacing w:before="60" w:after="60"/>
              <w:rPr>
                <w:lang w:val="en-US"/>
              </w:rPr>
            </w:pPr>
            <w:r w:rsidRPr="00D74E11">
              <w:rPr>
                <w:lang w:val="en-US"/>
              </w:rPr>
              <w:t>Soil (principle of method and LOQ) (Annex IIA, point 4.2)</w:t>
            </w:r>
          </w:p>
        </w:tc>
        <w:tc>
          <w:tcPr>
            <w:tcW w:w="4819" w:type="dxa"/>
          </w:tcPr>
          <w:p w:rsidR="00BA7C2C" w:rsidRPr="00D74E11" w:rsidRDefault="00BA7C2C" w:rsidP="00613EE2">
            <w:pPr>
              <w:spacing w:before="60" w:after="60"/>
              <w:rPr>
                <w:lang w:val="en-US"/>
              </w:rPr>
            </w:pPr>
            <w:r w:rsidRPr="00D74E11">
              <w:rPr>
                <w:color w:val="000000"/>
              </w:rPr>
              <w:t xml:space="preserve">Soil is extracted by shaking twice with aqueous acetonitrile.  Clean up is by passage through a C-8 column solid phase extraction cartridge.  Determination is by reverse-phase HPLC/MS-MS (two ion transitions monitored 525.1&gt;250.1 and 527.1&gt;250.1).  An Inertsil ODS-EP column is used with acetonitrile/water/acetic acid (70/30/0.1, v/v/v) mobile phase.  </w:t>
            </w:r>
            <w:r w:rsidRPr="00D74E11">
              <w:t>The LOQ is 0.01 mg/kg (defined as the lowest concentration at which acceptable recovery has been demonstrated).</w:t>
            </w:r>
          </w:p>
        </w:tc>
      </w:tr>
      <w:tr w:rsidR="00BA7C2C" w:rsidRPr="00D74E11" w:rsidTr="00613EE2">
        <w:tc>
          <w:tcPr>
            <w:tcW w:w="4395" w:type="dxa"/>
          </w:tcPr>
          <w:p w:rsidR="00BA7C2C" w:rsidRPr="00D74E11" w:rsidRDefault="00BA7C2C" w:rsidP="00613EE2">
            <w:pPr>
              <w:spacing w:before="60" w:after="60"/>
              <w:rPr>
                <w:lang w:val="en-US"/>
              </w:rPr>
            </w:pPr>
            <w:r w:rsidRPr="00D74E11">
              <w:rPr>
                <w:lang w:val="en-US"/>
              </w:rPr>
              <w:t>Air (principle of method and LOQ) (Annex IIA, point 4.2)</w:t>
            </w:r>
          </w:p>
        </w:tc>
        <w:tc>
          <w:tcPr>
            <w:tcW w:w="4819" w:type="dxa"/>
          </w:tcPr>
          <w:p w:rsidR="00BA7C2C" w:rsidRPr="00D74E11" w:rsidRDefault="00BA7C2C" w:rsidP="00613EE2">
            <w:pPr>
              <w:spacing w:before="60" w:after="60"/>
              <w:rPr>
                <w:lang w:val="en-US"/>
              </w:rPr>
            </w:pPr>
            <w:r w:rsidRPr="00D74E11">
              <w:rPr>
                <w:color w:val="000000"/>
              </w:rPr>
              <w:t xml:space="preserve">Air is bubbled through a tube containing 2-methoxyehanol collecting liquid.  Determination is by reverse-phase HPLC/UV at a wavelength of 280 nm.  A Nucleosil C-18 column is used with acetonitrile/0.0425% phosphoric acid (gradient) mobile phase.  </w:t>
            </w:r>
            <w:r w:rsidRPr="00D74E11">
              <w:t xml:space="preserve">The LOQ is 0.5 </w:t>
            </w:r>
            <w:r w:rsidRPr="00D74E11">
              <w:sym w:font="Symbol" w:char="F06D"/>
            </w:r>
            <w:r w:rsidRPr="00D74E11">
              <w:t>g/m</w:t>
            </w:r>
            <w:r w:rsidRPr="00D74E11">
              <w:rPr>
                <w:vertAlign w:val="superscript"/>
              </w:rPr>
              <w:t>3</w:t>
            </w:r>
            <w:r w:rsidRPr="00D74E11">
              <w:t xml:space="preserve"> (defined as the lowest concentration at which acceptable recovery has been demonstrated).</w:t>
            </w:r>
          </w:p>
        </w:tc>
      </w:tr>
      <w:tr w:rsidR="00BA7C2C" w:rsidRPr="00D74E11" w:rsidTr="00613EE2">
        <w:tc>
          <w:tcPr>
            <w:tcW w:w="4395" w:type="dxa"/>
          </w:tcPr>
          <w:p w:rsidR="00BA7C2C" w:rsidRPr="00D74E11" w:rsidRDefault="00BA7C2C" w:rsidP="00613EE2">
            <w:pPr>
              <w:spacing w:before="60" w:after="60"/>
              <w:rPr>
                <w:lang w:val="en-US"/>
              </w:rPr>
            </w:pPr>
            <w:r w:rsidRPr="00D74E11">
              <w:rPr>
                <w:lang w:val="en-US"/>
              </w:rPr>
              <w:t>Water (principle of method and LOQ) (Annex IIA, point 4.2)</w:t>
            </w:r>
          </w:p>
        </w:tc>
        <w:tc>
          <w:tcPr>
            <w:tcW w:w="4819" w:type="dxa"/>
          </w:tcPr>
          <w:p w:rsidR="00BA7C2C" w:rsidRPr="00D74E11" w:rsidRDefault="00BA7C2C" w:rsidP="00613EE2">
            <w:pPr>
              <w:spacing w:before="60" w:after="60"/>
              <w:rPr>
                <w:lang w:val="en-US"/>
              </w:rPr>
            </w:pPr>
            <w:r w:rsidRPr="00D74E11">
              <w:rPr>
                <w:color w:val="000000"/>
              </w:rPr>
              <w:t xml:space="preserve">Acetonitrile is added to the water and the sample is washed with hexane.  Clean up is by passage through a C-8 column solid phase extraction cartridge.  Determination is by reverse HPLC with fluorescence detection (excitation wavelength 310 nm, emission wavelength 390 nm).  A Prodigy ODS-2 column is used with phosphate buffer/ acetonitrile/methanol (gradient) mobile phase.  </w:t>
            </w:r>
            <w:r w:rsidRPr="00D74E11">
              <w:t xml:space="preserve">The LOQ is 0.05 </w:t>
            </w:r>
            <w:r w:rsidRPr="00D74E11">
              <w:sym w:font="Symbol" w:char="F06D"/>
            </w:r>
            <w:r w:rsidRPr="00D74E11">
              <w:t xml:space="preserve">g/L (defined as the lowest concentration at which acceptable recovery has </w:t>
            </w:r>
            <w:r w:rsidRPr="00D74E11">
              <w:lastRenderedPageBreak/>
              <w:t>been demonstrated)</w:t>
            </w:r>
          </w:p>
        </w:tc>
      </w:tr>
      <w:tr w:rsidR="00BA7C2C" w:rsidRPr="00D74E11" w:rsidTr="00613EE2">
        <w:tc>
          <w:tcPr>
            <w:tcW w:w="4395" w:type="dxa"/>
          </w:tcPr>
          <w:p w:rsidR="00BA7C2C" w:rsidRPr="00D74E11" w:rsidRDefault="00BA7C2C" w:rsidP="00613EE2">
            <w:pPr>
              <w:spacing w:before="60" w:after="60"/>
              <w:rPr>
                <w:lang w:val="en-US"/>
              </w:rPr>
            </w:pPr>
            <w:r w:rsidRPr="00D74E11">
              <w:rPr>
                <w:lang w:val="en-US"/>
              </w:rPr>
              <w:lastRenderedPageBreak/>
              <w:t>Body fluids and tissues (principle of method and LOQ) (Annex IIA, point 4.2)</w:t>
            </w:r>
          </w:p>
        </w:tc>
        <w:tc>
          <w:tcPr>
            <w:tcW w:w="4819" w:type="dxa"/>
          </w:tcPr>
          <w:p w:rsidR="00BA7C2C" w:rsidRPr="00D74E11" w:rsidRDefault="00BA7C2C" w:rsidP="00613EE2">
            <w:pPr>
              <w:spacing w:before="60" w:after="60"/>
            </w:pPr>
            <w:r w:rsidRPr="00D74E11">
              <w:rPr>
                <w:lang w:val="en-US"/>
              </w:rPr>
              <w:t>Blood</w:t>
            </w:r>
            <w:r w:rsidRPr="00D74E11">
              <w:rPr>
                <w:lang w:val="en-US"/>
              </w:rPr>
              <w:br/>
            </w:r>
            <w:r w:rsidRPr="00D74E11">
              <w:rPr>
                <w:color w:val="000000"/>
              </w:rPr>
              <w:t xml:space="preserve">Blood is diluted with methanol.  Phosphate buffer, a mixture of ethanol/ethyl acetate and trichloroacetic acid solution is added.  The sample is shaken and the organic phase removed.  The sample is re-extracted with ethanol/ethyl acetate.  The combined organic extracts are evaporated to dryness and reconstituted in methanol prior to determination.  Determination is by HPLC-MS/MS with a Phenomenex Luna phenyl-hexyl column and ammonium acetate/methanol (gradient) mobile phase (two ion transitions monitored 525&gt;250 and 527&gt;250).  </w:t>
            </w:r>
            <w:r w:rsidRPr="00D74E11">
              <w:t>The LOQ is 0.05 mg/L (defined as the lowest concentration at which acceptable recovery has been demonstrated).</w:t>
            </w:r>
          </w:p>
          <w:p w:rsidR="00BA7C2C" w:rsidRPr="00D74E11" w:rsidRDefault="00BA7C2C" w:rsidP="00613EE2">
            <w:pPr>
              <w:spacing w:before="60" w:after="60"/>
              <w:rPr>
                <w:lang w:val="en-US"/>
              </w:rPr>
            </w:pPr>
            <w:r w:rsidRPr="00D74E11">
              <w:t>Liver</w:t>
            </w:r>
            <w:r w:rsidRPr="00D74E11">
              <w:br/>
            </w:r>
            <w:r w:rsidRPr="00D74E11">
              <w:rPr>
                <w:color w:val="000000"/>
              </w:rPr>
              <w:t>Liver is ground with anhydrous sodium sulphate and extracted by shaking with a mixture of dichlormethane and acetone (1+1, v/v).  Clean-up of the filtered extract is by GPC.  Determination is by HPLC-MS/MS with a Phenomenex Luna phenyl-hexyl column and ammonium acetate/methanol (gradient) mobile phase (two ion transitions monitored 527&gt;250 and 525&gt;250).</w:t>
            </w:r>
            <w:r w:rsidRPr="00D74E11">
              <w:t xml:space="preserve">  The LOQ is 0.05 mg/L (defined as the lowest concentration at which acceptable recovery has been demonstrated).</w:t>
            </w:r>
          </w:p>
        </w:tc>
      </w:tr>
      <w:tr w:rsidR="00BA7C2C" w:rsidRPr="00D74E11" w:rsidTr="00613EE2">
        <w:tc>
          <w:tcPr>
            <w:tcW w:w="4395" w:type="dxa"/>
          </w:tcPr>
          <w:p w:rsidR="00BA7C2C" w:rsidRPr="00D74E11" w:rsidRDefault="00BA7C2C" w:rsidP="00613EE2">
            <w:pPr>
              <w:spacing w:before="60" w:after="60"/>
              <w:rPr>
                <w:lang w:val="en-US"/>
              </w:rPr>
            </w:pPr>
            <w:r w:rsidRPr="00D74E11">
              <w:rPr>
                <w:lang w:val="en-US"/>
              </w:rPr>
              <w:t>Food/feed of plant origin (principle of method and LOQ for methods for monitoring purposes) (Annex IIIA, point IV.1)</w:t>
            </w:r>
          </w:p>
        </w:tc>
        <w:tc>
          <w:tcPr>
            <w:tcW w:w="4819" w:type="dxa"/>
          </w:tcPr>
          <w:p w:rsidR="00BA7C2C" w:rsidRPr="003B78C6" w:rsidRDefault="00BA7C2C" w:rsidP="00613EE2">
            <w:pPr>
              <w:spacing w:before="60" w:after="60"/>
              <w:rPr>
                <w:color w:val="000000"/>
              </w:rPr>
            </w:pPr>
            <w:r w:rsidRPr="003B78C6">
              <w:rPr>
                <w:color w:val="000000"/>
              </w:rPr>
              <w:t>Methods for food and feeding stuffs have been provided to be used in case of suspected contamination and/or for monitoring purposes if needed:</w:t>
            </w:r>
          </w:p>
          <w:p w:rsidR="00BA7C2C" w:rsidRPr="003B78C6" w:rsidRDefault="00BA7C2C" w:rsidP="00613EE2">
            <w:pPr>
              <w:spacing w:before="60" w:after="60"/>
              <w:rPr>
                <w:color w:val="000000"/>
              </w:rPr>
            </w:pPr>
            <w:r w:rsidRPr="003B78C6">
              <w:rPr>
                <w:color w:val="000000"/>
              </w:rPr>
              <w:t>Cucumber</w:t>
            </w:r>
            <w:r w:rsidRPr="003B78C6">
              <w:rPr>
                <w:color w:val="000000"/>
              </w:rPr>
              <w:br/>
              <w:t xml:space="preserve">The sample is homogenised with ethyl acetate and sodium sulphate. The homogenised sample is filtered through sodium sulphate and the filtrate is evaporated to dryness under nitrogen. The residue </w:t>
            </w:r>
            <w:r w:rsidRPr="003B78C6">
              <w:rPr>
                <w:color w:val="000000"/>
              </w:rPr>
              <w:lastRenderedPageBreak/>
              <w:t>is redissolved in acetone and 2-butylamine is added and the dissolved sample is cleaned up on a SPE cartridge using 2% v/v ethanolic formic acid for elution. The eluate is evaporated to dryness under nitrogen, redissolved in methanol containing the internal standard (coumatetralyl) and filtered. The filtrate is analysed using LC-MS/MS (primary transition 525 →250, qualifier 527 →250; only primary used for validation).</w:t>
            </w:r>
          </w:p>
          <w:p w:rsidR="00BA7C2C" w:rsidRPr="003B78C6" w:rsidRDefault="00BA7C2C" w:rsidP="00613EE2">
            <w:pPr>
              <w:spacing w:before="60" w:after="60"/>
              <w:rPr>
                <w:color w:val="000000"/>
              </w:rPr>
            </w:pPr>
            <w:r w:rsidRPr="003B78C6">
              <w:rPr>
                <w:color w:val="000000"/>
              </w:rPr>
              <w:t>Wheat</w:t>
            </w:r>
            <w:r w:rsidRPr="003B78C6">
              <w:rPr>
                <w:color w:val="000000"/>
              </w:rPr>
              <w:br/>
              <w:t xml:space="preserve">The sample is grinded and homogenised with water and ethyl acetate. The supernatant is filtered and the filtrate is concentrated to &lt;1 ml. The residue is cleaned-up using GPC (cyclohexane/ethyl acetate 50:50 v/v) and the eluate is evaporated to dryness under nitrogen. </w:t>
            </w:r>
            <w:r>
              <w:rPr>
                <w:color w:val="000000"/>
              </w:rPr>
              <w:t>It</w:t>
            </w:r>
            <w:r w:rsidRPr="003B78C6">
              <w:rPr>
                <w:color w:val="000000"/>
              </w:rPr>
              <w:t xml:space="preserve"> is</w:t>
            </w:r>
            <w:r>
              <w:rPr>
                <w:color w:val="000000"/>
              </w:rPr>
              <w:t xml:space="preserve"> then</w:t>
            </w:r>
            <w:r w:rsidRPr="003B78C6">
              <w:rPr>
                <w:color w:val="000000"/>
              </w:rPr>
              <w:t xml:space="preserve"> redissolved in methanol containing the internal standard (coumatetralyl) and filtered. The filtrate is analysed using LC-MS/MS (primary transition 527 →250, qualifier 525 →250; only primary used for validation).</w:t>
            </w:r>
          </w:p>
          <w:p w:rsidR="00BA7C2C" w:rsidRPr="003B78C6" w:rsidRDefault="00BA7C2C" w:rsidP="00613EE2">
            <w:pPr>
              <w:spacing w:before="60"/>
              <w:rPr>
                <w:color w:val="000000"/>
              </w:rPr>
            </w:pPr>
            <w:r w:rsidRPr="003B78C6">
              <w:rPr>
                <w:color w:val="000000"/>
              </w:rPr>
              <w:t>Oil seed rape, lemon and meat</w:t>
            </w:r>
          </w:p>
          <w:p w:rsidR="00BA7C2C" w:rsidRPr="003B78C6" w:rsidRDefault="00BA7C2C" w:rsidP="00613EE2">
            <w:pPr>
              <w:spacing w:before="60" w:after="60"/>
              <w:rPr>
                <w:color w:val="000000"/>
              </w:rPr>
            </w:pPr>
            <w:r w:rsidRPr="003B78C6">
              <w:rPr>
                <w:color w:val="000000"/>
              </w:rPr>
              <w:t xml:space="preserve">Samples are extracted by blending then shaking with methanol (meat and lemon) or methanol/water (oil-seed rape).  After centrifugation the samples are diluted with methanol/water.  Determination is by HPLC/MS-MS with Thermo Hypersil-Keystone, Fluophase PFP column with mobile phase: 95:5 v/v water/acetonitrile + </w:t>
            </w:r>
            <w:smartTag w:uri="urn:schemas-microsoft-com:office:smarttags" w:element="metricconverter">
              <w:smartTagPr>
                <w:attr w:name="ProductID" w:val="5 mM"/>
              </w:smartTagPr>
              <w:r w:rsidRPr="003B78C6">
                <w:rPr>
                  <w:color w:val="000000"/>
                </w:rPr>
                <w:t>5 mM</w:t>
              </w:r>
            </w:smartTag>
            <w:r w:rsidRPr="003B78C6">
              <w:rPr>
                <w:color w:val="000000"/>
              </w:rPr>
              <w:t xml:space="preserve"> ammonium formate + 0.1% formic acid  and 95:5 v/v acetonitrile/water + </w:t>
            </w:r>
            <w:smartTag w:uri="urn:schemas-microsoft-com:office:smarttags" w:element="metricconverter">
              <w:smartTagPr>
                <w:attr w:name="ProductID" w:val="5 mM"/>
              </w:smartTagPr>
              <w:r w:rsidRPr="003B78C6">
                <w:rPr>
                  <w:color w:val="000000"/>
                </w:rPr>
                <w:t>5 mM</w:t>
              </w:r>
            </w:smartTag>
            <w:r w:rsidRPr="003B78C6">
              <w:rPr>
                <w:color w:val="000000"/>
              </w:rPr>
              <w:t xml:space="preserve"> ammonium formate + 0.1% formic acid (primary transition: 527.2→250.3 and confirmatory transition: 527.2→81.1).</w:t>
            </w:r>
          </w:p>
        </w:tc>
      </w:tr>
      <w:tr w:rsidR="00BA7C2C" w:rsidRPr="00D74E11" w:rsidTr="00613EE2">
        <w:tc>
          <w:tcPr>
            <w:tcW w:w="4395" w:type="dxa"/>
          </w:tcPr>
          <w:p w:rsidR="00BA7C2C" w:rsidRPr="00D74E11" w:rsidRDefault="00BA7C2C" w:rsidP="00613EE2">
            <w:pPr>
              <w:spacing w:before="60" w:after="60"/>
              <w:rPr>
                <w:lang w:val="en-US"/>
              </w:rPr>
            </w:pPr>
            <w:r w:rsidRPr="00D74E11">
              <w:rPr>
                <w:lang w:val="en-US"/>
              </w:rPr>
              <w:lastRenderedPageBreak/>
              <w:t>Food/feed of animal origin (principle of method and LOQ for methods for monitoring purposes) (Annex IIIA, point IV.1)</w:t>
            </w:r>
          </w:p>
        </w:tc>
        <w:tc>
          <w:tcPr>
            <w:tcW w:w="4819" w:type="dxa"/>
          </w:tcPr>
          <w:p w:rsidR="00BA7C2C" w:rsidRPr="003B78C6" w:rsidRDefault="00BA7C2C" w:rsidP="00613EE2">
            <w:pPr>
              <w:spacing w:before="60" w:after="60"/>
              <w:rPr>
                <w:color w:val="000000"/>
              </w:rPr>
            </w:pPr>
            <w:r w:rsidRPr="003B78C6">
              <w:rPr>
                <w:color w:val="000000"/>
              </w:rPr>
              <w:t>See the entry above.</w:t>
            </w:r>
          </w:p>
        </w:tc>
      </w:tr>
    </w:tbl>
    <w:p w:rsidR="00BA7C2C" w:rsidRDefault="00BA7C2C" w:rsidP="00BA7C2C">
      <w:pPr>
        <w:pStyle w:val="Kop2"/>
        <w:numPr>
          <w:ilvl w:val="0"/>
          <w:numId w:val="0"/>
        </w:numPr>
        <w:spacing w:after="240"/>
        <w:jc w:val="center"/>
        <w:rPr>
          <w:lang w:val="en-US"/>
        </w:rPr>
      </w:pPr>
    </w:p>
    <w:p w:rsidR="00BA7C2C" w:rsidRPr="005D7064" w:rsidRDefault="00BA7C2C" w:rsidP="00BA7C2C">
      <w:pPr>
        <w:pStyle w:val="Kop2"/>
        <w:numPr>
          <w:ilvl w:val="0"/>
          <w:numId w:val="0"/>
        </w:numPr>
        <w:spacing w:after="240"/>
        <w:jc w:val="center"/>
      </w:pPr>
      <w:r>
        <w:rPr>
          <w:lang w:val="en-US"/>
        </w:rPr>
        <w:br w:type="page"/>
      </w:r>
      <w:bookmarkStart w:id="857" w:name="_Toc362858108"/>
      <w:r w:rsidRPr="005D7064">
        <w:lastRenderedPageBreak/>
        <w:t>Annex 4: Toxicology and metabolism –active substance</w:t>
      </w:r>
      <w:bookmarkEnd w:id="857"/>
    </w:p>
    <w:p w:rsidR="00BA7C2C" w:rsidRPr="00A0425E" w:rsidRDefault="00BA7C2C" w:rsidP="00BA7C2C">
      <w:pPr>
        <w:pStyle w:val="BfRBBTitel"/>
        <w:ind w:firstLine="708"/>
        <w:jc w:val="right"/>
        <w:outlineLvl w:val="9"/>
        <w:rPr>
          <w:b w:val="0"/>
          <w:bCs w:val="0"/>
          <w:sz w:val="22"/>
          <w:szCs w:val="22"/>
          <w:lang w:val="en-GB"/>
        </w:rPr>
      </w:pPr>
    </w:p>
    <w:p w:rsidR="00BA7C2C" w:rsidRPr="00E7636A" w:rsidRDefault="00BA7C2C" w:rsidP="00BA7C2C">
      <w:pPr>
        <w:pStyle w:val="BfRBBTabelle"/>
        <w:pBdr>
          <w:top w:val="single" w:sz="4" w:space="1" w:color="auto"/>
          <w:left w:val="single" w:sz="4" w:space="4" w:color="auto"/>
          <w:bottom w:val="single" w:sz="4" w:space="1" w:color="auto"/>
          <w:right w:val="single" w:sz="4" w:space="4" w:color="auto"/>
        </w:pBdr>
        <w:jc w:val="center"/>
        <w:rPr>
          <w:rFonts w:ascii="Times New Roman" w:hAnsi="Times New Roman" w:cs="Times New Roman"/>
          <w:b/>
          <w:snapToGrid w:val="0"/>
          <w:sz w:val="22"/>
          <w:szCs w:val="22"/>
          <w:lang w:val="en-GB"/>
        </w:rPr>
      </w:pPr>
      <w:r w:rsidRPr="00E7636A">
        <w:rPr>
          <w:rFonts w:ascii="Times New Roman" w:hAnsi="Times New Roman" w:cs="Times New Roman"/>
          <w:b/>
          <w:snapToGrid w:val="0"/>
          <w:sz w:val="22"/>
          <w:szCs w:val="22"/>
          <w:lang w:val="en-GB"/>
        </w:rPr>
        <w:t>Bromadiolone</w:t>
      </w:r>
    </w:p>
    <w:p w:rsidR="00BA7C2C" w:rsidRPr="00A0425E" w:rsidRDefault="00BA7C2C" w:rsidP="00BA7C2C">
      <w:pPr>
        <w:pStyle w:val="BfRBBTitel"/>
        <w:rPr>
          <w:rFonts w:ascii="Times New Roman" w:hAnsi="Times New Roman" w:cs="Times New Roman"/>
          <w:b w:val="0"/>
          <w:bCs w:val="0"/>
          <w:noProof w:val="0"/>
          <w:sz w:val="22"/>
          <w:szCs w:val="22"/>
          <w:lang w:val="en-GB"/>
        </w:rPr>
      </w:pPr>
    </w:p>
    <w:p w:rsidR="00BA7C2C" w:rsidRPr="00E9475A" w:rsidRDefault="00BA7C2C" w:rsidP="00BA7C2C">
      <w:pPr>
        <w:pStyle w:val="BfRBBStandard"/>
        <w:jc w:val="center"/>
        <w:rPr>
          <w:rFonts w:ascii="Times New Roman" w:hAnsi="Times New Roman" w:cs="Times New Roman"/>
          <w:lang w:val="en-GB"/>
        </w:rPr>
      </w:pPr>
      <w:r w:rsidRPr="00E9475A">
        <w:rPr>
          <w:rFonts w:ascii="Times New Roman" w:hAnsi="Times New Roman" w:cs="Times New Roman"/>
          <w:lang w:val="en-GB"/>
        </w:rPr>
        <w:t>Threshold Limits and other Values for Human Health Risk Assessment</w:t>
      </w:r>
    </w:p>
    <w:p w:rsidR="00BA7C2C" w:rsidRPr="00E9475A" w:rsidRDefault="00BA7C2C" w:rsidP="00BA7C2C">
      <w:pPr>
        <w:pStyle w:val="BfRBBTitel"/>
        <w:rPr>
          <w:rFonts w:ascii="Times New Roman" w:hAnsi="Times New Roman" w:cs="Times New Roman"/>
          <w:b w:val="0"/>
          <w:bCs w:val="0"/>
          <w:noProof w:val="0"/>
          <w:sz w:val="22"/>
          <w:szCs w:val="22"/>
          <w:lang w:val="en-GB"/>
        </w:rPr>
      </w:pPr>
    </w:p>
    <w:p w:rsidR="00BA7C2C" w:rsidRPr="00A0425E" w:rsidRDefault="00BA7C2C" w:rsidP="00BA7C2C">
      <w:pPr>
        <w:pStyle w:val="BfRBBStandard"/>
        <w:jc w:val="right"/>
        <w:rPr>
          <w:rFonts w:ascii="Times New Roman" w:hAnsi="Times New Roman" w:cs="Times New Roman"/>
          <w:lang w:val="en-GB"/>
        </w:rPr>
      </w:pPr>
      <w:r w:rsidRPr="00A0425E">
        <w:rPr>
          <w:rFonts w:ascii="Times New Roman" w:hAnsi="Times New Roman" w:cs="Times New Roman"/>
          <w:lang w:val="en-GB"/>
        </w:rPr>
        <w:t>Date: xx.xx.xxxx</w:t>
      </w:r>
    </w:p>
    <w:p w:rsidR="00BA7C2C" w:rsidRPr="00A0425E" w:rsidRDefault="00BA7C2C" w:rsidP="00BA7C2C">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A7C2C" w:rsidRPr="0088049C" w:rsidTr="00613EE2">
        <w:trPr>
          <w:cantSplit/>
          <w:tblHeader/>
        </w:trPr>
        <w:tc>
          <w:tcPr>
            <w:tcW w:w="9214" w:type="dxa"/>
            <w:gridSpan w:val="4"/>
            <w:tcBorders>
              <w:top w:val="single" w:sz="12" w:space="0" w:color="000000"/>
              <w:left w:val="nil"/>
              <w:bottom w:val="single" w:sz="6" w:space="0" w:color="000000"/>
              <w:right w:val="nil"/>
            </w:tcBorders>
          </w:tcPr>
          <w:p w:rsidR="00BA7C2C" w:rsidRPr="0088049C" w:rsidRDefault="00BA7C2C" w:rsidP="00613EE2">
            <w:pPr>
              <w:pStyle w:val="BfRBBTabelle"/>
              <w:rPr>
                <w:b/>
                <w:bCs/>
                <w:noProof w:val="0"/>
                <w:highlight w:val="yellow"/>
                <w:lang w:val="en-GB"/>
              </w:rPr>
            </w:pPr>
            <w:r w:rsidRPr="0088049C">
              <w:rPr>
                <w:rFonts w:ascii="Times New Roman" w:hAnsi="Times New Roman" w:cs="Times New Roman"/>
                <w:b/>
                <w:snapToGrid w:val="0"/>
                <w:sz w:val="22"/>
                <w:szCs w:val="22"/>
                <w:highlight w:val="yellow"/>
                <w:lang w:val="en-GB"/>
              </w:rPr>
              <w:t>Summary</w:t>
            </w:r>
            <w:r w:rsidRPr="0088049C">
              <w:rPr>
                <w:b/>
                <w:bCs/>
                <w:noProof w:val="0"/>
                <w:highlight w:val="yellow"/>
                <w:lang w:val="en-GB"/>
              </w:rPr>
              <w:t xml:space="preserve"> </w:t>
            </w:r>
          </w:p>
        </w:tc>
      </w:tr>
      <w:tr w:rsidR="00BA7C2C" w:rsidRPr="0088049C" w:rsidTr="00613EE2">
        <w:trPr>
          <w:tblHeader/>
        </w:trPr>
        <w:tc>
          <w:tcPr>
            <w:tcW w:w="2410" w:type="dxa"/>
            <w:tcBorders>
              <w:top w:val="single" w:sz="6" w:space="0" w:color="000000"/>
              <w:left w:val="nil"/>
              <w:bottom w:val="nil"/>
              <w:right w:val="nil"/>
            </w:tcBorders>
          </w:tcPr>
          <w:p w:rsidR="00BA7C2C" w:rsidRPr="0088049C" w:rsidRDefault="00BA7C2C" w:rsidP="00613EE2">
            <w:pPr>
              <w:pStyle w:val="BfRBBTabelle"/>
              <w:rPr>
                <w:rFonts w:ascii="Times New Roman" w:hAnsi="Times New Roman" w:cs="Times New Roman"/>
                <w:noProof w:val="0"/>
                <w:sz w:val="22"/>
                <w:szCs w:val="22"/>
                <w:highlight w:val="yellow"/>
                <w:lang w:val="en-GB"/>
              </w:rPr>
            </w:pPr>
          </w:p>
        </w:tc>
        <w:tc>
          <w:tcPr>
            <w:tcW w:w="2126" w:type="dxa"/>
            <w:tcBorders>
              <w:top w:val="single" w:sz="6" w:space="0" w:color="000000"/>
              <w:left w:val="nil"/>
              <w:bottom w:val="nil"/>
              <w:right w:val="nil"/>
            </w:tcBorders>
            <w:vAlign w:val="bottom"/>
          </w:tcPr>
          <w:p w:rsidR="00BA7C2C" w:rsidRPr="0088049C" w:rsidRDefault="00BA7C2C" w:rsidP="00613EE2">
            <w:pPr>
              <w:pStyle w:val="BfRBBTabelle"/>
              <w:rPr>
                <w:rFonts w:ascii="Times New Roman" w:hAnsi="Times New Roman" w:cs="Times New Roman"/>
                <w:noProof w:val="0"/>
                <w:sz w:val="22"/>
                <w:szCs w:val="22"/>
                <w:highlight w:val="yellow"/>
                <w:lang w:val="en-GB"/>
              </w:rPr>
            </w:pPr>
            <w:r w:rsidRPr="0088049C">
              <w:rPr>
                <w:rFonts w:ascii="Times New Roman" w:hAnsi="Times New Roman" w:cs="Times New Roman"/>
                <w:noProof w:val="0"/>
                <w:sz w:val="22"/>
                <w:szCs w:val="22"/>
                <w:highlight w:val="yellow"/>
                <w:lang w:val="en-GB"/>
              </w:rPr>
              <w:t>Value</w:t>
            </w:r>
          </w:p>
        </w:tc>
        <w:tc>
          <w:tcPr>
            <w:tcW w:w="3261" w:type="dxa"/>
            <w:tcBorders>
              <w:top w:val="single" w:sz="6" w:space="0" w:color="000000"/>
              <w:left w:val="nil"/>
              <w:bottom w:val="nil"/>
              <w:right w:val="nil"/>
            </w:tcBorders>
            <w:vAlign w:val="bottom"/>
          </w:tcPr>
          <w:p w:rsidR="00BA7C2C" w:rsidRPr="0088049C" w:rsidRDefault="00BA7C2C" w:rsidP="00613EE2">
            <w:pPr>
              <w:pStyle w:val="BfRBBTabelle"/>
              <w:rPr>
                <w:rFonts w:ascii="Times New Roman" w:hAnsi="Times New Roman" w:cs="Times New Roman"/>
                <w:noProof w:val="0"/>
                <w:sz w:val="22"/>
                <w:szCs w:val="22"/>
                <w:highlight w:val="yellow"/>
                <w:lang w:val="en-GB"/>
              </w:rPr>
            </w:pPr>
            <w:r w:rsidRPr="0088049C">
              <w:rPr>
                <w:rFonts w:ascii="Times New Roman" w:hAnsi="Times New Roman" w:cs="Times New Roman"/>
                <w:noProof w:val="0"/>
                <w:sz w:val="22"/>
                <w:szCs w:val="22"/>
                <w:highlight w:val="yellow"/>
                <w:lang w:val="en-GB"/>
              </w:rPr>
              <w:t>Study</w:t>
            </w:r>
          </w:p>
        </w:tc>
        <w:tc>
          <w:tcPr>
            <w:tcW w:w="1417" w:type="dxa"/>
            <w:tcBorders>
              <w:top w:val="single" w:sz="6" w:space="0" w:color="000000"/>
              <w:left w:val="nil"/>
              <w:bottom w:val="nil"/>
              <w:right w:val="nil"/>
            </w:tcBorders>
            <w:vAlign w:val="bottom"/>
          </w:tcPr>
          <w:p w:rsidR="00BA7C2C" w:rsidRPr="0088049C" w:rsidRDefault="00BA7C2C" w:rsidP="00613EE2">
            <w:pPr>
              <w:pStyle w:val="BfRBBTabelle"/>
              <w:rPr>
                <w:rFonts w:ascii="Times New Roman" w:hAnsi="Times New Roman" w:cs="Times New Roman"/>
                <w:noProof w:val="0"/>
                <w:sz w:val="22"/>
                <w:szCs w:val="22"/>
                <w:highlight w:val="yellow"/>
                <w:lang w:val="en-GB"/>
              </w:rPr>
            </w:pPr>
            <w:r w:rsidRPr="0088049C">
              <w:rPr>
                <w:rFonts w:ascii="Times New Roman" w:hAnsi="Times New Roman" w:cs="Times New Roman"/>
                <w:noProof w:val="0"/>
                <w:sz w:val="22"/>
                <w:szCs w:val="22"/>
                <w:highlight w:val="yellow"/>
                <w:lang w:val="en-GB"/>
              </w:rPr>
              <w:t>SF</w:t>
            </w:r>
          </w:p>
        </w:tc>
      </w:tr>
      <w:tr w:rsidR="00BA7C2C" w:rsidRPr="0088049C" w:rsidTr="00613EE2">
        <w:tc>
          <w:tcPr>
            <w:tcW w:w="2410"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AEL long-term</w:t>
            </w:r>
          </w:p>
        </w:tc>
        <w:tc>
          <w:tcPr>
            <w:tcW w:w="2126"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0.0012 µg/</w:t>
            </w:r>
            <w:r w:rsidRPr="0088049C">
              <w:rPr>
                <w:rFonts w:ascii="Times New Roman" w:hAnsi="Times New Roman" w:cs="Times New Roman"/>
                <w:highlight w:val="yellow"/>
                <w:lang w:val="en-GB"/>
              </w:rPr>
              <w:br/>
              <w:t>kg bw/day</w:t>
            </w:r>
          </w:p>
        </w:tc>
        <w:tc>
          <w:tcPr>
            <w:tcW w:w="3261"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Rabbit, 90-day study</w:t>
            </w:r>
          </w:p>
        </w:tc>
        <w:tc>
          <w:tcPr>
            <w:tcW w:w="1417"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300 (and correction for 70% oral absorption)</w:t>
            </w:r>
          </w:p>
        </w:tc>
      </w:tr>
      <w:tr w:rsidR="00BA7C2C" w:rsidRPr="0088049C" w:rsidTr="00613EE2">
        <w:tc>
          <w:tcPr>
            <w:tcW w:w="2410"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AEL medium-term</w:t>
            </w:r>
          </w:p>
        </w:tc>
        <w:tc>
          <w:tcPr>
            <w:tcW w:w="2126"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0.0012 µg/</w:t>
            </w:r>
            <w:r w:rsidRPr="0088049C">
              <w:rPr>
                <w:rFonts w:ascii="Times New Roman" w:hAnsi="Times New Roman" w:cs="Times New Roman"/>
                <w:highlight w:val="yellow"/>
                <w:lang w:val="en-GB"/>
              </w:rPr>
              <w:br/>
              <w:t>kg bw/day</w:t>
            </w:r>
          </w:p>
        </w:tc>
        <w:tc>
          <w:tcPr>
            <w:tcW w:w="3261"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Rabbit, 90-day study</w:t>
            </w:r>
          </w:p>
        </w:tc>
        <w:tc>
          <w:tcPr>
            <w:tcW w:w="1417"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300 (and correction for 70% oral absorption)</w:t>
            </w:r>
          </w:p>
        </w:tc>
      </w:tr>
      <w:tr w:rsidR="00BA7C2C" w:rsidRPr="00A0425E" w:rsidTr="00613EE2">
        <w:trPr>
          <w:cantSplit/>
        </w:trPr>
        <w:tc>
          <w:tcPr>
            <w:tcW w:w="2410"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 xml:space="preserve">AEL acute </w:t>
            </w:r>
          </w:p>
        </w:tc>
        <w:tc>
          <w:tcPr>
            <w:tcW w:w="2126"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0.0023 µg/</w:t>
            </w:r>
            <w:r w:rsidRPr="0088049C">
              <w:rPr>
                <w:rFonts w:ascii="Times New Roman" w:hAnsi="Times New Roman" w:cs="Times New Roman"/>
                <w:highlight w:val="yellow"/>
                <w:lang w:val="en-GB"/>
              </w:rPr>
              <w:br/>
              <w:t>kg bw/day</w:t>
            </w:r>
          </w:p>
        </w:tc>
        <w:tc>
          <w:tcPr>
            <w:tcW w:w="3261" w:type="dxa"/>
            <w:tcBorders>
              <w:top w:val="nil"/>
              <w:left w:val="nil"/>
              <w:bottom w:val="nil"/>
              <w:right w:val="nil"/>
            </w:tcBorders>
          </w:tcPr>
          <w:p w:rsidR="00BA7C2C" w:rsidRPr="0088049C" w:rsidRDefault="00BA7C2C" w:rsidP="00613EE2">
            <w:pPr>
              <w:pStyle w:val="BfRBBStandard"/>
              <w:jc w:val="left"/>
              <w:rPr>
                <w:rFonts w:ascii="Times New Roman" w:hAnsi="Times New Roman" w:cs="Times New Roman"/>
                <w:highlight w:val="yellow"/>
                <w:lang w:val="en-GB"/>
              </w:rPr>
            </w:pPr>
            <w:r w:rsidRPr="0088049C">
              <w:rPr>
                <w:rFonts w:ascii="Times New Roman" w:hAnsi="Times New Roman" w:cs="Times New Roman"/>
                <w:highlight w:val="yellow"/>
                <w:lang w:val="en-GB"/>
              </w:rPr>
              <w:t>Rabbit, teratogenicity study</w:t>
            </w:r>
          </w:p>
        </w:tc>
        <w:tc>
          <w:tcPr>
            <w:tcW w:w="1417" w:type="dxa"/>
            <w:tcBorders>
              <w:top w:val="nil"/>
              <w:left w:val="nil"/>
              <w:bottom w:val="nil"/>
              <w:right w:val="nil"/>
            </w:tcBorders>
          </w:tcPr>
          <w:p w:rsidR="00BA7C2C" w:rsidRPr="00E9475A" w:rsidRDefault="00BA7C2C" w:rsidP="00613EE2">
            <w:pPr>
              <w:pStyle w:val="BfRBBStandard"/>
              <w:jc w:val="left"/>
              <w:rPr>
                <w:rFonts w:ascii="Times New Roman" w:hAnsi="Times New Roman" w:cs="Times New Roman"/>
                <w:lang w:val="en-GB"/>
              </w:rPr>
            </w:pPr>
            <w:r w:rsidRPr="0088049C">
              <w:rPr>
                <w:rFonts w:ascii="Times New Roman" w:hAnsi="Times New Roman" w:cs="Times New Roman"/>
                <w:highlight w:val="yellow"/>
                <w:lang w:val="en-GB"/>
              </w:rPr>
              <w:t>600 (and correction for 70% oral absorption)</w:t>
            </w:r>
          </w:p>
        </w:tc>
      </w:tr>
      <w:tr w:rsidR="00BA7C2C" w:rsidRPr="00A0425E" w:rsidTr="00613EE2">
        <w:tc>
          <w:tcPr>
            <w:tcW w:w="9214" w:type="dxa"/>
            <w:gridSpan w:val="4"/>
            <w:tcBorders>
              <w:top w:val="nil"/>
              <w:left w:val="nil"/>
              <w:bottom w:val="single" w:sz="12" w:space="0" w:color="000000"/>
              <w:right w:val="nil"/>
            </w:tcBorders>
          </w:tcPr>
          <w:p w:rsidR="00BA7C2C" w:rsidRPr="00A0425E" w:rsidRDefault="00BA7C2C" w:rsidP="00613EE2">
            <w:pPr>
              <w:pStyle w:val="BfRBBTabelleklein"/>
              <w:rPr>
                <w:lang w:val="en-GB"/>
              </w:rPr>
            </w:pPr>
          </w:p>
        </w:tc>
      </w:tr>
    </w:tbl>
    <w:p w:rsidR="00BA7C2C" w:rsidRPr="00A0425E" w:rsidRDefault="00BA7C2C" w:rsidP="00BA7C2C">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A7C2C" w:rsidRPr="00A0425E" w:rsidTr="00613EE2">
        <w:tc>
          <w:tcPr>
            <w:tcW w:w="4395"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Inhalative absorption</w:t>
            </w:r>
          </w:p>
        </w:tc>
        <w:tc>
          <w:tcPr>
            <w:tcW w:w="4819"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No data</w:t>
            </w:r>
          </w:p>
        </w:tc>
      </w:tr>
      <w:tr w:rsidR="00BA7C2C" w:rsidRPr="00A0425E" w:rsidTr="00613EE2">
        <w:tc>
          <w:tcPr>
            <w:tcW w:w="4395"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Oral absorption</w:t>
            </w:r>
          </w:p>
        </w:tc>
        <w:tc>
          <w:tcPr>
            <w:tcW w:w="4819"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70%</w:t>
            </w:r>
          </w:p>
        </w:tc>
      </w:tr>
      <w:tr w:rsidR="00BA7C2C" w:rsidRPr="00A0425E" w:rsidTr="00613EE2">
        <w:tc>
          <w:tcPr>
            <w:tcW w:w="4395"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Dermal absorption</w:t>
            </w:r>
          </w:p>
        </w:tc>
        <w:tc>
          <w:tcPr>
            <w:tcW w:w="4819"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1.6%</w:t>
            </w:r>
          </w:p>
        </w:tc>
      </w:tr>
    </w:tbl>
    <w:p w:rsidR="00BA7C2C" w:rsidRPr="00A0425E" w:rsidRDefault="00BA7C2C" w:rsidP="00BA7C2C">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A7C2C" w:rsidRPr="00A0425E" w:rsidTr="00613EE2">
        <w:trPr>
          <w:cantSplit/>
          <w:tblHeader/>
        </w:trPr>
        <w:tc>
          <w:tcPr>
            <w:tcW w:w="9214" w:type="dxa"/>
            <w:gridSpan w:val="2"/>
            <w:tcBorders>
              <w:top w:val="single" w:sz="12" w:space="0" w:color="000000"/>
              <w:left w:val="nil"/>
              <w:bottom w:val="single" w:sz="6" w:space="0" w:color="000000"/>
              <w:right w:val="nil"/>
            </w:tcBorders>
          </w:tcPr>
          <w:p w:rsidR="00BA7C2C" w:rsidRPr="00A0425E" w:rsidRDefault="00BA7C2C" w:rsidP="00613EE2">
            <w:pPr>
              <w:pStyle w:val="BfRBBTabelle"/>
              <w:rPr>
                <w:b/>
                <w:bCs/>
                <w:noProof w:val="0"/>
                <w:lang w:val="en-GB"/>
              </w:rPr>
            </w:pPr>
            <w:r w:rsidRPr="00A0425E">
              <w:rPr>
                <w:rFonts w:ascii="Times New Roman" w:hAnsi="Times New Roman" w:cs="Times New Roman"/>
                <w:b/>
                <w:snapToGrid w:val="0"/>
                <w:sz w:val="22"/>
                <w:szCs w:val="22"/>
                <w:lang w:val="en-GB"/>
              </w:rPr>
              <w:t>Classification</w:t>
            </w:r>
            <w:r w:rsidRPr="00A0425E">
              <w:rPr>
                <w:b/>
                <w:bCs/>
                <w:noProof w:val="0"/>
                <w:lang w:val="en-GB"/>
              </w:rPr>
              <w:t xml:space="preserve"> </w:t>
            </w:r>
          </w:p>
        </w:tc>
      </w:tr>
      <w:tr w:rsidR="00BA7C2C" w:rsidRPr="005E7543" w:rsidTr="00613EE2">
        <w:tc>
          <w:tcPr>
            <w:tcW w:w="4395" w:type="dxa"/>
            <w:tcBorders>
              <w:top w:val="single" w:sz="6" w:space="0" w:color="000000"/>
              <w:left w:val="nil"/>
              <w:bottom w:val="nil"/>
              <w:right w:val="nil"/>
            </w:tcBorders>
          </w:tcPr>
          <w:p w:rsidR="00BA7C2C" w:rsidRPr="00A0425E" w:rsidRDefault="00BA7C2C" w:rsidP="00613EE2">
            <w:pPr>
              <w:pStyle w:val="BfRBBTabelle"/>
              <w:rPr>
                <w:rFonts w:ascii="Times New Roman" w:hAnsi="Times New Roman" w:cs="Times New Roman"/>
                <w:noProof w:val="0"/>
                <w:sz w:val="22"/>
                <w:szCs w:val="22"/>
                <w:lang w:val="en-GB"/>
              </w:rPr>
            </w:pPr>
            <w:r w:rsidRPr="00A0425E">
              <w:rPr>
                <w:rFonts w:ascii="Times New Roman" w:hAnsi="Times New Roman" w:cs="Times New Roman"/>
                <w:noProof w:val="0"/>
                <w:sz w:val="22"/>
                <w:szCs w:val="22"/>
                <w:lang w:val="en-GB"/>
              </w:rPr>
              <w:t>with regard to toxicological data</w:t>
            </w:r>
            <w:r w:rsidRPr="00A0425E">
              <w:rPr>
                <w:rFonts w:ascii="Times New Roman" w:hAnsi="Times New Roman" w:cs="Times New Roman"/>
                <w:noProof w:val="0"/>
                <w:sz w:val="22"/>
                <w:szCs w:val="22"/>
                <w:lang w:val="en-GB"/>
              </w:rPr>
              <w:br/>
              <w:t>(according to the criteria in Dir. 67/548/EEC)</w:t>
            </w:r>
            <w:r>
              <w:rPr>
                <w:rFonts w:ascii="Times New Roman" w:hAnsi="Times New Roman" w:cs="Times New Roman"/>
                <w:noProof w:val="0"/>
                <w:sz w:val="22"/>
                <w:szCs w:val="22"/>
                <w:lang w:val="en-GB"/>
              </w:rPr>
              <w:t>*</w:t>
            </w:r>
          </w:p>
        </w:tc>
        <w:tc>
          <w:tcPr>
            <w:tcW w:w="4819" w:type="dxa"/>
            <w:tcBorders>
              <w:top w:val="single" w:sz="6" w:space="0" w:color="000000"/>
              <w:left w:val="nil"/>
              <w:bottom w:val="nil"/>
              <w:right w:val="nil"/>
            </w:tcBorders>
          </w:tcPr>
          <w:p w:rsidR="00BA7C2C" w:rsidRPr="00DB4595" w:rsidRDefault="00BA7C2C" w:rsidP="00613EE2">
            <w:pPr>
              <w:spacing w:before="60" w:after="60"/>
              <w:rPr>
                <w:lang w:val="fr-FR"/>
              </w:rPr>
            </w:pPr>
            <w:r w:rsidRPr="00DB4595">
              <w:rPr>
                <w:lang w:val="fr-FR"/>
              </w:rPr>
              <w:t>T+; R26/27/28, T; R48/23/24/25, Repr.Cat. 1; R61</w:t>
            </w:r>
          </w:p>
          <w:p w:rsidR="00BA7C2C" w:rsidRPr="00D74E11" w:rsidRDefault="00BA7C2C" w:rsidP="00613EE2">
            <w:pPr>
              <w:spacing w:before="60" w:after="60"/>
              <w:rPr>
                <w:lang w:val="en-US"/>
              </w:rPr>
            </w:pPr>
            <w:r>
              <w:rPr>
                <w:lang w:val="en-US"/>
              </w:rPr>
              <w:t>S45, S53</w:t>
            </w:r>
          </w:p>
        </w:tc>
      </w:tr>
      <w:tr w:rsidR="00BA7C2C" w:rsidRPr="005E7543" w:rsidTr="00613EE2">
        <w:tc>
          <w:tcPr>
            <w:tcW w:w="4395" w:type="dxa"/>
            <w:tcBorders>
              <w:top w:val="nil"/>
              <w:left w:val="nil"/>
              <w:bottom w:val="single" w:sz="12" w:space="0" w:color="auto"/>
              <w:right w:val="nil"/>
            </w:tcBorders>
          </w:tcPr>
          <w:p w:rsidR="00BA7C2C" w:rsidRPr="00A0425E" w:rsidRDefault="00BA7C2C" w:rsidP="00613EE2">
            <w:pPr>
              <w:pStyle w:val="BfRBBTabelle"/>
              <w:rPr>
                <w:rFonts w:ascii="Times New Roman" w:hAnsi="Times New Roman" w:cs="Times New Roman"/>
                <w:noProof w:val="0"/>
                <w:sz w:val="22"/>
                <w:szCs w:val="22"/>
                <w:lang w:val="en-GB"/>
              </w:rPr>
            </w:pPr>
            <w:r w:rsidRPr="00A0425E">
              <w:rPr>
                <w:rFonts w:ascii="Times New Roman" w:hAnsi="Times New Roman" w:cs="Times New Roman"/>
                <w:noProof w:val="0"/>
                <w:sz w:val="22"/>
                <w:szCs w:val="22"/>
                <w:lang w:val="en-GB"/>
              </w:rPr>
              <w:t>with regard to toxicological data</w:t>
            </w:r>
            <w:r w:rsidRPr="00A0425E">
              <w:rPr>
                <w:rFonts w:ascii="Times New Roman" w:hAnsi="Times New Roman" w:cs="Times New Roman"/>
                <w:noProof w:val="0"/>
                <w:sz w:val="22"/>
                <w:szCs w:val="22"/>
                <w:lang w:val="en-GB"/>
              </w:rPr>
              <w:br/>
              <w:t>(according to the criteria in Reg. 1272/2008)</w:t>
            </w:r>
            <w:r>
              <w:rPr>
                <w:rFonts w:ascii="Times New Roman" w:hAnsi="Times New Roman" w:cs="Times New Roman"/>
                <w:noProof w:val="0"/>
                <w:sz w:val="22"/>
                <w:szCs w:val="22"/>
                <w:lang w:val="en-GB"/>
              </w:rPr>
              <w:t>**</w:t>
            </w:r>
          </w:p>
        </w:tc>
        <w:tc>
          <w:tcPr>
            <w:tcW w:w="4819" w:type="dxa"/>
            <w:tcBorders>
              <w:top w:val="nil"/>
              <w:left w:val="nil"/>
              <w:bottom w:val="single" w:sz="12" w:space="0" w:color="auto"/>
              <w:right w:val="nil"/>
            </w:tcBorders>
          </w:tcPr>
          <w:p w:rsidR="00BA7C2C" w:rsidRDefault="00BA7C2C" w:rsidP="00613EE2">
            <w:pPr>
              <w:pStyle w:val="BfRBBTabelle"/>
              <w:tabs>
                <w:tab w:val="left" w:pos="742"/>
              </w:tabs>
              <w:ind w:left="0"/>
              <w:rPr>
                <w:rFonts w:ascii="Times New Roman" w:hAnsi="Times New Roman" w:cs="Times New Roman"/>
                <w:noProof w:val="0"/>
                <w:sz w:val="22"/>
                <w:szCs w:val="22"/>
                <w:lang w:val="en-GB"/>
              </w:rPr>
            </w:pPr>
            <w:r>
              <w:rPr>
                <w:rFonts w:ascii="Times New Roman" w:hAnsi="Times New Roman" w:cs="Times New Roman"/>
                <w:noProof w:val="0"/>
                <w:sz w:val="22"/>
                <w:szCs w:val="22"/>
                <w:lang w:val="en-GB"/>
              </w:rPr>
              <w:t>Pictograms: GHS06, GHS08</w:t>
            </w:r>
          </w:p>
          <w:p w:rsidR="00BA7C2C" w:rsidRDefault="00BA7C2C" w:rsidP="00613EE2">
            <w:pPr>
              <w:pStyle w:val="BfRBBTabelle"/>
              <w:tabs>
                <w:tab w:val="left" w:pos="742"/>
              </w:tabs>
              <w:ind w:left="0"/>
              <w:rPr>
                <w:rFonts w:ascii="Times New Roman" w:hAnsi="Times New Roman" w:cs="Times New Roman"/>
                <w:noProof w:val="0"/>
                <w:sz w:val="22"/>
                <w:szCs w:val="22"/>
                <w:lang w:val="en-GB"/>
              </w:rPr>
            </w:pPr>
            <w:r>
              <w:rPr>
                <w:rFonts w:ascii="Times New Roman" w:hAnsi="Times New Roman" w:cs="Times New Roman"/>
                <w:noProof w:val="0"/>
                <w:sz w:val="22"/>
                <w:szCs w:val="22"/>
                <w:lang w:val="en-GB"/>
              </w:rPr>
              <w:t>Signal word: Danger</w:t>
            </w:r>
          </w:p>
          <w:p w:rsidR="00BA7C2C" w:rsidRPr="00A0425E" w:rsidRDefault="00BA7C2C" w:rsidP="00613EE2">
            <w:pPr>
              <w:pStyle w:val="BfRBBTabelle"/>
              <w:tabs>
                <w:tab w:val="left" w:pos="742"/>
              </w:tabs>
              <w:ind w:left="0"/>
              <w:rPr>
                <w:rFonts w:ascii="Times New Roman" w:hAnsi="Times New Roman" w:cs="Times New Roman"/>
                <w:noProof w:val="0"/>
                <w:sz w:val="22"/>
                <w:szCs w:val="22"/>
                <w:lang w:val="en-GB"/>
              </w:rPr>
            </w:pPr>
            <w:r>
              <w:rPr>
                <w:rFonts w:ascii="Times New Roman" w:hAnsi="Times New Roman" w:cs="Times New Roman"/>
                <w:noProof w:val="0"/>
                <w:sz w:val="22"/>
                <w:szCs w:val="22"/>
                <w:lang w:val="en-GB"/>
              </w:rPr>
              <w:t>Acute Toxic Cat. 1, H300; H310; H330; STOT RE Cat. 1, H370; Repr. Cat. 1B, H360</w:t>
            </w:r>
          </w:p>
        </w:tc>
      </w:tr>
    </w:tbl>
    <w:p w:rsidR="00BA7C2C" w:rsidRPr="00A0425E" w:rsidRDefault="00BA7C2C" w:rsidP="00BA7C2C">
      <w:pPr>
        <w:pStyle w:val="BfRBBStandard"/>
        <w:rPr>
          <w:lang w:val="en-GB"/>
        </w:rPr>
      </w:pPr>
      <w:r w:rsidRPr="00A0425E" w:rsidDel="001471BF">
        <w:rPr>
          <w:snapToGrid w:val="0"/>
          <w:lang w:val="en-GB"/>
        </w:rPr>
        <w:t xml:space="preserve"> </w:t>
      </w:r>
    </w:p>
    <w:p w:rsidR="00BA7C2C" w:rsidRDefault="00BA7C2C" w:rsidP="00BA7C2C">
      <w:pPr>
        <w:pStyle w:val="BfRBBTitel"/>
        <w:ind w:left="3912"/>
        <w:jc w:val="right"/>
        <w:outlineLvl w:val="9"/>
        <w:rPr>
          <w:lang w:val="en-GB"/>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750"/>
        <w:gridCol w:w="3740"/>
      </w:tblGrid>
      <w:tr w:rsidR="00BA7C2C" w:rsidRPr="00DB4595" w:rsidTr="00613EE2">
        <w:tc>
          <w:tcPr>
            <w:tcW w:w="2750" w:type="dxa"/>
            <w:tcBorders>
              <w:top w:val="nil"/>
              <w:left w:val="nil"/>
              <w:bottom w:val="nil"/>
            </w:tcBorders>
          </w:tcPr>
          <w:p w:rsidR="00BA7C2C" w:rsidRPr="00D74E11" w:rsidRDefault="00BA7C2C" w:rsidP="00613EE2">
            <w:pPr>
              <w:spacing w:before="60" w:after="60"/>
              <w:rPr>
                <w:lang w:val="en-US"/>
              </w:rPr>
            </w:pPr>
            <w:r>
              <w:rPr>
                <w:lang w:val="en-US"/>
              </w:rPr>
              <w:t>Specific concentration limits for human health***</w:t>
            </w:r>
          </w:p>
        </w:tc>
        <w:tc>
          <w:tcPr>
            <w:tcW w:w="2750" w:type="dxa"/>
          </w:tcPr>
          <w:p w:rsidR="00BA7C2C" w:rsidRPr="00D74E11" w:rsidRDefault="00BA7C2C" w:rsidP="00613EE2">
            <w:pPr>
              <w:spacing w:before="60" w:after="60"/>
              <w:rPr>
                <w:lang w:val="en-US"/>
              </w:rPr>
            </w:pPr>
            <w:r>
              <w:rPr>
                <w:lang w:val="en-US"/>
              </w:rPr>
              <w:t>C ≥ 0.5%</w:t>
            </w:r>
            <w:r>
              <w:rPr>
                <w:lang w:val="en-US"/>
              </w:rPr>
              <w:br/>
              <w:t>0.25% ≤ C &lt; 0.5%</w:t>
            </w:r>
            <w:r>
              <w:rPr>
                <w:lang w:val="en-US"/>
              </w:rPr>
              <w:br/>
              <w:t>0.025% ≤ C &lt; 0.25%</w:t>
            </w:r>
            <w:r>
              <w:rPr>
                <w:lang w:val="en-US"/>
              </w:rPr>
              <w:br/>
              <w:t>0.0025% ≤ C &lt; 0.025%</w:t>
            </w:r>
          </w:p>
        </w:tc>
        <w:tc>
          <w:tcPr>
            <w:tcW w:w="3740" w:type="dxa"/>
          </w:tcPr>
          <w:p w:rsidR="00BA7C2C" w:rsidRPr="00DB4595" w:rsidRDefault="00BA7C2C" w:rsidP="00613EE2">
            <w:pPr>
              <w:spacing w:before="60" w:after="60"/>
              <w:rPr>
                <w:lang w:val="fr-FR"/>
              </w:rPr>
            </w:pPr>
            <w:r w:rsidRPr="00DB4595">
              <w:rPr>
                <w:lang w:val="fr-FR"/>
              </w:rPr>
              <w:t>T+; R61-26/27/28 –T;R48/23/24/25</w:t>
            </w:r>
            <w:r w:rsidRPr="00DB4595">
              <w:rPr>
                <w:lang w:val="fr-FR"/>
              </w:rPr>
              <w:br/>
              <w:t>T+; R26/27/28 – T; R48/23/24/25</w:t>
            </w:r>
            <w:r w:rsidRPr="00DB4595">
              <w:rPr>
                <w:lang w:val="fr-FR"/>
              </w:rPr>
              <w:br/>
              <w:t>T; R23/24/25 – T; R48/23/24/25</w:t>
            </w:r>
            <w:r w:rsidRPr="00DB4595">
              <w:rPr>
                <w:lang w:val="fr-FR"/>
              </w:rPr>
              <w:br/>
              <w:t>Xn; R20/21/22 – R48/20/21/22</w:t>
            </w:r>
          </w:p>
        </w:tc>
      </w:tr>
    </w:tbl>
    <w:p w:rsidR="00BA7C2C" w:rsidRPr="00DB4595" w:rsidRDefault="00BA7C2C" w:rsidP="00BA7C2C">
      <w:pPr>
        <w:pStyle w:val="BfRBBTitel"/>
        <w:ind w:left="3912"/>
        <w:jc w:val="right"/>
        <w:outlineLvl w:val="9"/>
        <w:rPr>
          <w:lang w:val="fr-FR"/>
        </w:rPr>
      </w:pPr>
    </w:p>
    <w:p w:rsidR="00BA7C2C" w:rsidRPr="0067203F" w:rsidRDefault="00BA7C2C" w:rsidP="00BA7C2C">
      <w:pPr>
        <w:pStyle w:val="Plattetekst"/>
        <w:spacing w:line="240" w:lineRule="auto"/>
        <w:rPr>
          <w:rFonts w:cs="Arial"/>
          <w:sz w:val="18"/>
          <w:szCs w:val="18"/>
        </w:rPr>
      </w:pPr>
      <w:r w:rsidRPr="0067203F">
        <w:rPr>
          <w:rFonts w:cs="Arial"/>
          <w:sz w:val="18"/>
          <w:szCs w:val="18"/>
        </w:rPr>
        <w:t xml:space="preserve">* The following information with regard to classification and labelling of bromadiolone is entered in the CAR: </w:t>
      </w:r>
    </w:p>
    <w:p w:rsidR="00BA7C2C" w:rsidRPr="0067203F" w:rsidRDefault="00BA7C2C" w:rsidP="00BA7C2C">
      <w:pPr>
        <w:pStyle w:val="Plattetekst"/>
        <w:spacing w:line="240" w:lineRule="auto"/>
        <w:rPr>
          <w:rFonts w:cs="Arial"/>
          <w:sz w:val="18"/>
          <w:szCs w:val="18"/>
        </w:rPr>
      </w:pPr>
      <w:r w:rsidRPr="0067203F">
        <w:rPr>
          <w:rFonts w:cs="Arial"/>
          <w:sz w:val="18"/>
          <w:szCs w:val="18"/>
        </w:rPr>
        <w:lastRenderedPageBreak/>
        <w:t xml:space="preserve">“Regarding human health effects a provisional classification with R61 was decided in November 2006 by the </w:t>
      </w:r>
      <w:r w:rsidRPr="0067203F">
        <w:rPr>
          <w:rFonts w:cs="Arial"/>
          <w:color w:val="000000"/>
          <w:sz w:val="18"/>
          <w:szCs w:val="18"/>
        </w:rPr>
        <w:t>TC C&amp;L</w:t>
      </w:r>
      <w:r w:rsidRPr="0067203F">
        <w:rPr>
          <w:rFonts w:cs="Arial"/>
          <w:sz w:val="18"/>
          <w:szCs w:val="18"/>
        </w:rPr>
        <w:t>, but without a final decision on the category to be used (Repr.Cat 1 or Repr.Cat 2). The proposed classification for bromadiolone for acute and repeated dose toxicity was agreed upon. However, the classification for human health effects is still under discussion.”.</w:t>
      </w:r>
    </w:p>
    <w:p w:rsidR="00BA7C2C" w:rsidRDefault="00BA7C2C" w:rsidP="00BA7C2C">
      <w:pPr>
        <w:pStyle w:val="Plattetekst"/>
        <w:spacing w:line="240" w:lineRule="auto"/>
        <w:rPr>
          <w:rFonts w:cs="Arial"/>
          <w:sz w:val="18"/>
          <w:szCs w:val="18"/>
          <w:lang w:eastAsia="nl-NL"/>
        </w:rPr>
      </w:pPr>
      <w:r w:rsidRPr="0067203F">
        <w:rPr>
          <w:rFonts w:cs="Arial"/>
          <w:sz w:val="18"/>
          <w:szCs w:val="18"/>
        </w:rPr>
        <w:t xml:space="preserve">** Bromadiolone </w:t>
      </w:r>
      <w:r w:rsidRPr="0067203F">
        <w:rPr>
          <w:rFonts w:cs="Arial"/>
          <w:sz w:val="18"/>
          <w:szCs w:val="18"/>
          <w:lang w:eastAsia="nl-NL"/>
        </w:rPr>
        <w:t>is included in the Registry of submitted Harmonised Classification and Labelling intentions (see www.echa.eu); however, no final conclusion on the classification has been reached yet. The current classification is the self-classification of the RMS (The Netherlands) based on the human toxicological data provided in the CAR of bromadiolone, and proposed classification according to Directive 67/548/EEC.</w:t>
      </w:r>
    </w:p>
    <w:p w:rsidR="00BA7C2C" w:rsidRPr="00087781" w:rsidRDefault="00BA7C2C" w:rsidP="00BA7C2C">
      <w:pPr>
        <w:pStyle w:val="Plattetekst"/>
        <w:spacing w:line="240" w:lineRule="auto"/>
        <w:rPr>
          <w:rFonts w:cs="Arial"/>
          <w:sz w:val="18"/>
          <w:szCs w:val="18"/>
        </w:rPr>
      </w:pPr>
      <w:r w:rsidRPr="00087781">
        <w:rPr>
          <w:bCs/>
          <w:iCs/>
          <w:sz w:val="18"/>
          <w:szCs w:val="18"/>
          <w:lang w:val="en-US"/>
        </w:rPr>
        <w:t>*** The specific concentration limits for bromadiolone have been agreed at the Technical Meeting of Technical Committee on Classification and Labelling in Arona, 15-16 May 2007</w:t>
      </w:r>
    </w:p>
    <w:p w:rsidR="00BA7C2C" w:rsidRDefault="00BA7C2C" w:rsidP="00BA7C2C">
      <w:pPr>
        <w:pStyle w:val="Plattetekst"/>
        <w:spacing w:line="240" w:lineRule="auto"/>
        <w:rPr>
          <w:rFonts w:cs="Arial"/>
          <w:sz w:val="18"/>
          <w:szCs w:val="18"/>
          <w:lang w:eastAsia="nl-NL"/>
        </w:rPr>
      </w:pPr>
    </w:p>
    <w:p w:rsidR="00BA7C2C" w:rsidRDefault="00BA7C2C" w:rsidP="00BA7C2C">
      <w:pPr>
        <w:pStyle w:val="Plattetekst"/>
        <w:spacing w:line="240" w:lineRule="auto"/>
        <w:rPr>
          <w:rFonts w:cs="Arial"/>
          <w:sz w:val="18"/>
          <w:szCs w:val="18"/>
          <w:lang w:eastAsia="nl-NL"/>
        </w:rPr>
      </w:pPr>
    </w:p>
    <w:p w:rsidR="00BA7C2C" w:rsidRDefault="00BA7C2C" w:rsidP="00BA7C2C">
      <w:pPr>
        <w:pStyle w:val="Plattetekst"/>
        <w:spacing w:line="240" w:lineRule="auto"/>
        <w:rPr>
          <w:rFonts w:cs="Arial"/>
          <w:sz w:val="18"/>
          <w:szCs w:val="18"/>
          <w:lang w:eastAsia="nl-NL"/>
        </w:rPr>
      </w:pPr>
    </w:p>
    <w:p w:rsidR="00BA7C2C" w:rsidRDefault="00BA7C2C" w:rsidP="00BA7C2C">
      <w:pPr>
        <w:pStyle w:val="Plattetekst"/>
        <w:spacing w:line="240" w:lineRule="auto"/>
        <w:rPr>
          <w:rFonts w:cs="Arial"/>
          <w:sz w:val="18"/>
          <w:szCs w:val="18"/>
          <w:lang w:eastAsia="nl-NL"/>
        </w:rPr>
      </w:pPr>
    </w:p>
    <w:p w:rsidR="00BA7C2C" w:rsidRDefault="00BA7C2C" w:rsidP="00BA7C2C">
      <w:pPr>
        <w:pStyle w:val="Plattetekst"/>
        <w:spacing w:line="240" w:lineRule="auto"/>
        <w:rPr>
          <w:rFonts w:cs="Arial"/>
          <w:sz w:val="18"/>
          <w:szCs w:val="18"/>
          <w:lang w:eastAsia="nl-NL"/>
        </w:rPr>
      </w:pPr>
    </w:p>
    <w:p w:rsidR="00BA7C2C" w:rsidRPr="0067203F" w:rsidRDefault="00BA7C2C" w:rsidP="00BA7C2C">
      <w:pPr>
        <w:pStyle w:val="Plattetekst"/>
        <w:spacing w:line="240" w:lineRule="auto"/>
        <w:rPr>
          <w:rFonts w:cs="Arial"/>
          <w:sz w:val="18"/>
          <w:szCs w:val="18"/>
          <w:lang w:eastAsia="nl-NL"/>
        </w:rPr>
      </w:pPr>
      <w:r>
        <w:rPr>
          <w:rFonts w:cs="Arial"/>
          <w:sz w:val="18"/>
          <w:szCs w:val="18"/>
          <w:lang w:eastAsia="nl-NL"/>
        </w:rPr>
        <w:br w:type="page"/>
      </w:r>
    </w:p>
    <w:p w:rsidR="00BA7C2C" w:rsidRPr="005D7064" w:rsidRDefault="00BA7C2C" w:rsidP="00BA7C2C">
      <w:pPr>
        <w:pStyle w:val="Kop2"/>
        <w:numPr>
          <w:ilvl w:val="0"/>
          <w:numId w:val="0"/>
        </w:numPr>
        <w:spacing w:after="240"/>
        <w:jc w:val="center"/>
      </w:pPr>
      <w:bookmarkStart w:id="858" w:name="_Toc362858109"/>
      <w:r w:rsidRPr="005D7064">
        <w:lastRenderedPageBreak/>
        <w:t>Annex 5: Toxicology – biocidal product</w:t>
      </w:r>
      <w:bookmarkEnd w:id="858"/>
    </w:p>
    <w:p w:rsidR="00BA7C2C" w:rsidRPr="00A0425E" w:rsidRDefault="00BA7C2C" w:rsidP="00BA7C2C">
      <w:pPr>
        <w:pStyle w:val="BfRBBTitel"/>
        <w:ind w:firstLine="708"/>
        <w:jc w:val="right"/>
        <w:outlineLvl w:val="9"/>
        <w:rPr>
          <w:b w:val="0"/>
          <w:bCs w:val="0"/>
          <w:sz w:val="22"/>
          <w:szCs w:val="22"/>
          <w:lang w:val="en-GB"/>
        </w:rPr>
      </w:pPr>
    </w:p>
    <w:p w:rsidR="00BA7C2C" w:rsidRPr="00E7636A" w:rsidRDefault="00BA7C2C" w:rsidP="00BA7C2C">
      <w:pPr>
        <w:pStyle w:val="BfRBBTabelle"/>
        <w:pBdr>
          <w:top w:val="single" w:sz="4" w:space="1" w:color="auto"/>
          <w:left w:val="single" w:sz="4" w:space="4" w:color="auto"/>
          <w:bottom w:val="single" w:sz="4" w:space="1" w:color="auto"/>
          <w:right w:val="single" w:sz="4" w:space="4" w:color="auto"/>
        </w:pBdr>
        <w:jc w:val="center"/>
        <w:rPr>
          <w:rFonts w:ascii="Times New Roman" w:hAnsi="Times New Roman" w:cs="Times New Roman"/>
          <w:b/>
          <w:snapToGrid w:val="0"/>
          <w:sz w:val="22"/>
          <w:szCs w:val="22"/>
          <w:lang w:val="en-GB"/>
        </w:rPr>
      </w:pPr>
      <w:r>
        <w:rPr>
          <w:rFonts w:ascii="Times New Roman" w:hAnsi="Times New Roman" w:cs="Times New Roman"/>
          <w:b/>
          <w:snapToGrid w:val="0"/>
          <w:sz w:val="22"/>
          <w:szCs w:val="22"/>
          <w:lang w:val="en-GB"/>
        </w:rPr>
        <w:t>Maki Pat’</w:t>
      </w:r>
    </w:p>
    <w:p w:rsidR="00BA7C2C" w:rsidRPr="00A0425E" w:rsidRDefault="00BA7C2C" w:rsidP="00BA7C2C">
      <w:pPr>
        <w:pStyle w:val="BfRBBTitel"/>
        <w:rPr>
          <w:rFonts w:ascii="Times New Roman" w:hAnsi="Times New Roman" w:cs="Times New Roman"/>
          <w:b w:val="0"/>
          <w:bCs w:val="0"/>
          <w:noProof w:val="0"/>
          <w:sz w:val="22"/>
          <w:szCs w:val="22"/>
          <w:lang w:val="en-GB"/>
        </w:rPr>
      </w:pPr>
    </w:p>
    <w:p w:rsidR="00BA7C2C" w:rsidRPr="00A0425E" w:rsidRDefault="00BA7C2C" w:rsidP="00BA7C2C">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BA7C2C" w:rsidRPr="00A0425E" w:rsidTr="00613EE2">
        <w:tc>
          <w:tcPr>
            <w:tcW w:w="9214" w:type="dxa"/>
            <w:gridSpan w:val="2"/>
          </w:tcPr>
          <w:p w:rsidR="00BA7C2C" w:rsidRPr="00A0425E" w:rsidRDefault="00BA7C2C" w:rsidP="00613EE2">
            <w:pPr>
              <w:pStyle w:val="BfRBBTitel"/>
              <w:ind w:left="3912" w:hanging="3912"/>
              <w:jc w:val="both"/>
              <w:outlineLvl w:val="9"/>
              <w:rPr>
                <w:b w:val="0"/>
                <w:bCs w:val="0"/>
                <w:noProof w:val="0"/>
                <w:lang w:val="en-GB"/>
              </w:rPr>
            </w:pPr>
            <w:r w:rsidRPr="00A0425E">
              <w:rPr>
                <w:rFonts w:ascii="Times New Roman" w:hAnsi="Times New Roman" w:cs="Times New Roman"/>
                <w:bCs w:val="0"/>
                <w:snapToGrid w:val="0"/>
                <w:sz w:val="22"/>
                <w:szCs w:val="22"/>
                <w:lang w:val="en-GB"/>
              </w:rPr>
              <w:t>General information</w:t>
            </w:r>
          </w:p>
        </w:tc>
      </w:tr>
      <w:tr w:rsidR="00BA7C2C" w:rsidRPr="00A0425E" w:rsidTr="00613EE2">
        <w:tc>
          <w:tcPr>
            <w:tcW w:w="4395" w:type="dxa"/>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Formulation Type</w:t>
            </w:r>
          </w:p>
        </w:tc>
        <w:tc>
          <w:tcPr>
            <w:tcW w:w="4819" w:type="dxa"/>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Paste bait</w:t>
            </w:r>
          </w:p>
        </w:tc>
      </w:tr>
      <w:tr w:rsidR="00BA7C2C" w:rsidRPr="005E7543" w:rsidTr="00613EE2">
        <w:tc>
          <w:tcPr>
            <w:tcW w:w="4395" w:type="dxa"/>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Active substance(s) (incl. content)</w:t>
            </w:r>
          </w:p>
        </w:tc>
        <w:tc>
          <w:tcPr>
            <w:tcW w:w="4819" w:type="dxa"/>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0.005%</w:t>
            </w:r>
          </w:p>
        </w:tc>
      </w:tr>
      <w:tr w:rsidR="00BA7C2C" w:rsidRPr="00A0425E" w:rsidTr="00613EE2">
        <w:tc>
          <w:tcPr>
            <w:tcW w:w="4395" w:type="dxa"/>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Category</w:t>
            </w:r>
          </w:p>
        </w:tc>
        <w:tc>
          <w:tcPr>
            <w:tcW w:w="4819" w:type="dxa"/>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PT14</w:t>
            </w:r>
          </w:p>
        </w:tc>
      </w:tr>
    </w:tbl>
    <w:p w:rsidR="00BA7C2C" w:rsidRPr="00A0425E" w:rsidRDefault="00BA7C2C" w:rsidP="00BA7C2C">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BA7C2C" w:rsidRPr="005E7543" w:rsidTr="00613EE2">
        <w:trPr>
          <w:tblHeader/>
        </w:trPr>
        <w:tc>
          <w:tcPr>
            <w:tcW w:w="9214" w:type="dxa"/>
            <w:gridSpan w:val="5"/>
            <w:tcBorders>
              <w:top w:val="single" w:sz="12" w:space="0" w:color="000000"/>
              <w:left w:val="nil"/>
              <w:bottom w:val="single" w:sz="6" w:space="0" w:color="000000"/>
              <w:right w:val="nil"/>
            </w:tcBorders>
          </w:tcPr>
          <w:p w:rsidR="00BA7C2C" w:rsidRPr="00A0425E" w:rsidRDefault="00BA7C2C" w:rsidP="00613EE2">
            <w:pPr>
              <w:pStyle w:val="BfRBBTitel"/>
              <w:ind w:left="2" w:hanging="2"/>
              <w:jc w:val="left"/>
              <w:outlineLvl w:val="9"/>
              <w:rPr>
                <w:rFonts w:ascii="Times New Roman" w:hAnsi="Times New Roman" w:cs="Times New Roman"/>
                <w:bCs w:val="0"/>
                <w:snapToGrid w:val="0"/>
                <w:sz w:val="22"/>
                <w:szCs w:val="22"/>
                <w:lang w:val="en-GB"/>
              </w:rPr>
            </w:pPr>
            <w:r w:rsidRPr="00A0425E">
              <w:rPr>
                <w:rFonts w:ascii="Times New Roman" w:hAnsi="Times New Roman" w:cs="Times New Roman"/>
                <w:bCs w:val="0"/>
                <w:snapToGrid w:val="0"/>
                <w:sz w:val="22"/>
                <w:szCs w:val="22"/>
                <w:lang w:val="en-GB"/>
              </w:rPr>
              <w:t>Acute toxicity, irritancy and skin sensitisation of the preparation (Annex IIIB, point 6.1, 6.2, 6.3)</w:t>
            </w:r>
          </w:p>
        </w:tc>
      </w:tr>
      <w:tr w:rsidR="00BA7C2C" w:rsidRPr="00A0425E" w:rsidTr="00613EE2">
        <w:tc>
          <w:tcPr>
            <w:tcW w:w="439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Rat LD50 oral (OECD 420)</w:t>
            </w:r>
          </w:p>
        </w:tc>
        <w:tc>
          <w:tcPr>
            <w:tcW w:w="3402"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&gt; 2000 mg/kg bw</w:t>
            </w:r>
          </w:p>
        </w:tc>
        <w:tc>
          <w:tcPr>
            <w:tcW w:w="426"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28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708"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r>
      <w:tr w:rsidR="00BA7C2C" w:rsidRPr="00A0425E" w:rsidTr="00613EE2">
        <w:tc>
          <w:tcPr>
            <w:tcW w:w="439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Rat LD50 dermal (OECD 402)</w:t>
            </w:r>
          </w:p>
        </w:tc>
        <w:tc>
          <w:tcPr>
            <w:tcW w:w="3402"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&gt; 2000 mg/kg bw</w:t>
            </w:r>
          </w:p>
        </w:tc>
        <w:tc>
          <w:tcPr>
            <w:tcW w:w="426"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28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708"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r>
      <w:tr w:rsidR="00BA7C2C" w:rsidRPr="00A0425E" w:rsidTr="00613EE2">
        <w:tc>
          <w:tcPr>
            <w:tcW w:w="439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Rat LC50 inhalation (OECD 403)</w:t>
            </w:r>
          </w:p>
        </w:tc>
        <w:tc>
          <w:tcPr>
            <w:tcW w:w="3402"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No classification*</w:t>
            </w:r>
          </w:p>
        </w:tc>
        <w:tc>
          <w:tcPr>
            <w:tcW w:w="426"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28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708"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r>
      <w:tr w:rsidR="00BA7C2C" w:rsidRPr="00A0425E" w:rsidTr="00613EE2">
        <w:tc>
          <w:tcPr>
            <w:tcW w:w="439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Skin irritation (OECD 404)</w:t>
            </w:r>
          </w:p>
        </w:tc>
        <w:tc>
          <w:tcPr>
            <w:tcW w:w="3402"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Not irritating</w:t>
            </w:r>
          </w:p>
        </w:tc>
        <w:tc>
          <w:tcPr>
            <w:tcW w:w="426"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28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708"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r>
      <w:tr w:rsidR="00BA7C2C" w:rsidRPr="00A0425E" w:rsidTr="00613EE2">
        <w:tc>
          <w:tcPr>
            <w:tcW w:w="439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Eye irritation (OECD 405)</w:t>
            </w:r>
          </w:p>
        </w:tc>
        <w:tc>
          <w:tcPr>
            <w:tcW w:w="3402"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Not irritating</w:t>
            </w:r>
          </w:p>
        </w:tc>
        <w:tc>
          <w:tcPr>
            <w:tcW w:w="426"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284"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c>
          <w:tcPr>
            <w:tcW w:w="708"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p>
        </w:tc>
      </w:tr>
      <w:tr w:rsidR="00BA7C2C" w:rsidRPr="00A0425E" w:rsidTr="00613EE2">
        <w:tc>
          <w:tcPr>
            <w:tcW w:w="4394"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Skin sensitisation (OECD 429; LLNA)</w:t>
            </w:r>
          </w:p>
        </w:tc>
        <w:tc>
          <w:tcPr>
            <w:tcW w:w="3402"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Not sensitizing (Buehler test)</w:t>
            </w:r>
          </w:p>
        </w:tc>
        <w:tc>
          <w:tcPr>
            <w:tcW w:w="426"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p>
        </w:tc>
        <w:tc>
          <w:tcPr>
            <w:tcW w:w="284"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p>
        </w:tc>
        <w:tc>
          <w:tcPr>
            <w:tcW w:w="708"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p>
        </w:tc>
      </w:tr>
    </w:tbl>
    <w:p w:rsidR="00BA7C2C" w:rsidRPr="00E93C73" w:rsidRDefault="00BA7C2C" w:rsidP="00BA7C2C">
      <w:pPr>
        <w:pStyle w:val="Plattetekst"/>
        <w:spacing w:line="240" w:lineRule="auto"/>
        <w:rPr>
          <w:sz w:val="18"/>
          <w:szCs w:val="18"/>
        </w:rPr>
      </w:pPr>
      <w:r w:rsidRPr="00E93C73">
        <w:rPr>
          <w:sz w:val="18"/>
          <w:szCs w:val="18"/>
        </w:rPr>
        <w:t>* With regards to acute toxicity following inhalation exposure, a study has been provided by the registrant with  bromadiolone (1% powder) (1% bromadiolone and 99% wheat starch). The calculated LC50 was &lt; 0.523 mg/L air. However, the product is in the form of a ready for use paste bait, and the content of active substance is 0.005%. Inhalation is not a route of exposure for bromadiolone when using the product, and therefore the product is not classified for inhlation toxicity.</w:t>
      </w:r>
    </w:p>
    <w:p w:rsidR="00BA7C2C" w:rsidRPr="00A0425E" w:rsidRDefault="00BA7C2C" w:rsidP="00BA7C2C">
      <w:pPr>
        <w:pStyle w:val="BfRBBTitel"/>
        <w:jc w:val="left"/>
        <w:outlineLvl w:val="9"/>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BA7C2C" w:rsidRPr="005E7543" w:rsidTr="00613EE2">
        <w:tc>
          <w:tcPr>
            <w:tcW w:w="9284" w:type="dxa"/>
            <w:gridSpan w:val="2"/>
            <w:tcBorders>
              <w:top w:val="single" w:sz="12" w:space="0" w:color="auto"/>
            </w:tcBorders>
          </w:tcPr>
          <w:p w:rsidR="00BA7C2C" w:rsidRPr="00AE035D" w:rsidRDefault="00BA7C2C" w:rsidP="00613EE2">
            <w:pPr>
              <w:pStyle w:val="BfRBBTitel"/>
              <w:ind w:left="2" w:hanging="2"/>
              <w:jc w:val="left"/>
              <w:outlineLvl w:val="9"/>
              <w:rPr>
                <w:b w:val="0"/>
                <w:bCs w:val="0"/>
                <w:noProof w:val="0"/>
                <w:lang w:val="en-GB"/>
              </w:rPr>
            </w:pPr>
            <w:r w:rsidRPr="00AE035D">
              <w:rPr>
                <w:rFonts w:ascii="Times New Roman" w:hAnsi="Times New Roman" w:cs="Times New Roman"/>
                <w:bCs w:val="0"/>
                <w:snapToGrid w:val="0"/>
                <w:sz w:val="22"/>
                <w:szCs w:val="22"/>
                <w:lang w:val="en-GB"/>
              </w:rPr>
              <w:t>Classification and labelling proposed for the preparation with regard to toxicological properties (Annex IIIB, point 9)</w:t>
            </w:r>
          </w:p>
        </w:tc>
      </w:tr>
      <w:tr w:rsidR="00BA7C2C" w:rsidRPr="00A0425E" w:rsidTr="00613EE2">
        <w:tc>
          <w:tcPr>
            <w:tcW w:w="4395" w:type="dxa"/>
          </w:tcPr>
          <w:p w:rsidR="00BA7C2C" w:rsidRPr="00AE035D" w:rsidRDefault="00BA7C2C" w:rsidP="00613EE2">
            <w:pPr>
              <w:pStyle w:val="BfRBBStandard"/>
              <w:jc w:val="left"/>
              <w:rPr>
                <w:rFonts w:ascii="Times New Roman" w:hAnsi="Times New Roman" w:cs="Times New Roman"/>
                <w:sz w:val="20"/>
                <w:szCs w:val="20"/>
                <w:lang w:val="en-GB"/>
              </w:rPr>
            </w:pPr>
            <w:r w:rsidRPr="00AE035D">
              <w:rPr>
                <w:rFonts w:ascii="Times New Roman" w:hAnsi="Times New Roman" w:cs="Times New Roman"/>
                <w:sz w:val="20"/>
                <w:szCs w:val="20"/>
                <w:lang w:val="en-GB"/>
              </w:rPr>
              <w:t>Directive 1999/45/EC</w:t>
            </w:r>
          </w:p>
          <w:p w:rsidR="00BA7C2C" w:rsidRPr="00AE035D" w:rsidRDefault="00BA7C2C" w:rsidP="00613EE2">
            <w:pPr>
              <w:pStyle w:val="BfRBBStandard"/>
              <w:jc w:val="left"/>
              <w:rPr>
                <w:rFonts w:ascii="Times New Roman" w:hAnsi="Times New Roman" w:cs="Times New Roman"/>
                <w:sz w:val="20"/>
                <w:szCs w:val="20"/>
                <w:lang w:val="en-GB"/>
              </w:rPr>
            </w:pPr>
          </w:p>
        </w:tc>
        <w:tc>
          <w:tcPr>
            <w:tcW w:w="4889" w:type="dxa"/>
          </w:tcPr>
          <w:p w:rsidR="00BA7C2C" w:rsidRDefault="00BA7C2C" w:rsidP="00613EE2">
            <w:pPr>
              <w:pStyle w:val="BfRBBStandard"/>
              <w:jc w:val="left"/>
              <w:rPr>
                <w:rFonts w:ascii="Times New Roman" w:hAnsi="Times New Roman" w:cs="Times New Roman"/>
                <w:sz w:val="20"/>
                <w:szCs w:val="20"/>
                <w:lang w:val="en-GB"/>
              </w:rPr>
            </w:pPr>
            <w:r>
              <w:rPr>
                <w:rFonts w:ascii="Times New Roman" w:hAnsi="Times New Roman" w:cs="Times New Roman"/>
                <w:sz w:val="20"/>
                <w:szCs w:val="20"/>
                <w:lang w:val="en-GB"/>
              </w:rPr>
              <w:t>For professional users:</w:t>
            </w:r>
          </w:p>
          <w:p w:rsidR="00BA7C2C" w:rsidRDefault="00BA7C2C" w:rsidP="00613EE2">
            <w:pPr>
              <w:pStyle w:val="BfRBBStandard"/>
              <w:jc w:val="left"/>
              <w:rPr>
                <w:rFonts w:ascii="Times New Roman" w:hAnsi="Times New Roman" w:cs="Times New Roman"/>
                <w:sz w:val="20"/>
                <w:szCs w:val="20"/>
                <w:lang w:val="en-GB"/>
              </w:rPr>
            </w:pPr>
            <w:r>
              <w:rPr>
                <w:rFonts w:ascii="Times New Roman" w:hAnsi="Times New Roman" w:cs="Times New Roman"/>
                <w:sz w:val="20"/>
                <w:szCs w:val="20"/>
                <w:lang w:val="en-GB"/>
              </w:rPr>
              <w:t>Xn, R48/20/21/22</w:t>
            </w:r>
          </w:p>
          <w:p w:rsidR="00BA7C2C" w:rsidRDefault="00BA7C2C" w:rsidP="00613EE2">
            <w:pPr>
              <w:pStyle w:val="BfRBBStandard"/>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S2, </w:t>
            </w:r>
            <w:r w:rsidRPr="0088049C">
              <w:rPr>
                <w:rFonts w:ascii="Times New Roman" w:hAnsi="Times New Roman" w:cs="Times New Roman"/>
                <w:sz w:val="20"/>
                <w:szCs w:val="20"/>
                <w:highlight w:val="yellow"/>
                <w:lang w:val="en-GB"/>
              </w:rPr>
              <w:t>S37</w:t>
            </w:r>
            <w:r>
              <w:rPr>
                <w:rFonts w:ascii="Times New Roman" w:hAnsi="Times New Roman" w:cs="Times New Roman"/>
                <w:sz w:val="20"/>
                <w:szCs w:val="20"/>
                <w:lang w:val="en-GB"/>
              </w:rPr>
              <w:t>, S46</w:t>
            </w:r>
          </w:p>
          <w:p w:rsidR="00BA7C2C" w:rsidRDefault="00BA7C2C" w:rsidP="00613EE2">
            <w:pPr>
              <w:pStyle w:val="BfRBBStandard"/>
              <w:jc w:val="left"/>
              <w:rPr>
                <w:rFonts w:ascii="Times New Roman" w:hAnsi="Times New Roman" w:cs="Times New Roman"/>
                <w:sz w:val="20"/>
                <w:szCs w:val="20"/>
                <w:lang w:val="en-GB"/>
              </w:rPr>
            </w:pPr>
            <w:r>
              <w:rPr>
                <w:rFonts w:ascii="Times New Roman" w:hAnsi="Times New Roman" w:cs="Times New Roman"/>
                <w:sz w:val="20"/>
                <w:szCs w:val="20"/>
                <w:lang w:val="en-GB"/>
              </w:rPr>
              <w:t>For non-professional users:</w:t>
            </w:r>
          </w:p>
          <w:p w:rsidR="00BA7C2C" w:rsidRDefault="00BA7C2C" w:rsidP="00613EE2">
            <w:pPr>
              <w:pStyle w:val="BfRBBStandard"/>
              <w:jc w:val="left"/>
              <w:rPr>
                <w:rFonts w:ascii="Times New Roman" w:hAnsi="Times New Roman" w:cs="Times New Roman"/>
                <w:sz w:val="20"/>
                <w:szCs w:val="20"/>
                <w:lang w:val="en-GB"/>
              </w:rPr>
            </w:pPr>
            <w:r>
              <w:rPr>
                <w:rFonts w:ascii="Times New Roman" w:hAnsi="Times New Roman" w:cs="Times New Roman"/>
                <w:sz w:val="20"/>
                <w:szCs w:val="20"/>
                <w:lang w:val="en-GB"/>
              </w:rPr>
              <w:t>Xn, R48/20/21/22</w:t>
            </w:r>
          </w:p>
          <w:p w:rsidR="00BA7C2C" w:rsidRPr="00AE035D" w:rsidRDefault="00BA7C2C" w:rsidP="00613EE2">
            <w:pPr>
              <w:pStyle w:val="BfRBBStandard"/>
              <w:jc w:val="left"/>
              <w:rPr>
                <w:rFonts w:ascii="Times New Roman" w:hAnsi="Times New Roman" w:cs="Times New Roman"/>
                <w:sz w:val="20"/>
                <w:szCs w:val="20"/>
                <w:lang w:val="en-GB"/>
              </w:rPr>
            </w:pPr>
            <w:r>
              <w:rPr>
                <w:rFonts w:ascii="Times New Roman" w:hAnsi="Times New Roman" w:cs="Times New Roman"/>
                <w:sz w:val="20"/>
                <w:szCs w:val="20"/>
                <w:lang w:val="en-GB"/>
              </w:rPr>
              <w:t>S2, 13, 46</w:t>
            </w:r>
          </w:p>
        </w:tc>
      </w:tr>
      <w:tr w:rsidR="00BA7C2C" w:rsidRPr="00A0425E" w:rsidTr="00613EE2">
        <w:tc>
          <w:tcPr>
            <w:tcW w:w="4395" w:type="dxa"/>
            <w:tcBorders>
              <w:bottom w:val="single" w:sz="12" w:space="0" w:color="auto"/>
            </w:tcBorders>
          </w:tcPr>
          <w:p w:rsidR="00BA7C2C" w:rsidRPr="00AE035D" w:rsidRDefault="00BA7C2C" w:rsidP="00613EE2">
            <w:pPr>
              <w:pStyle w:val="BfRBBStandard"/>
              <w:jc w:val="left"/>
              <w:rPr>
                <w:rFonts w:ascii="Times New Roman" w:hAnsi="Times New Roman" w:cs="Times New Roman"/>
                <w:sz w:val="20"/>
                <w:szCs w:val="20"/>
                <w:lang w:val="en-GB"/>
              </w:rPr>
            </w:pPr>
            <w:r w:rsidRPr="00AE035D">
              <w:rPr>
                <w:rFonts w:ascii="Times New Roman" w:hAnsi="Times New Roman" w:cs="Times New Roman"/>
                <w:sz w:val="20"/>
                <w:szCs w:val="20"/>
                <w:lang w:val="en-GB"/>
              </w:rPr>
              <w:t>Regulation 1272/2008/EC</w:t>
            </w:r>
          </w:p>
          <w:p w:rsidR="00BA7C2C" w:rsidRPr="00AE035D" w:rsidRDefault="00BA7C2C" w:rsidP="00613EE2">
            <w:pPr>
              <w:pStyle w:val="BfRBBStandard"/>
              <w:jc w:val="left"/>
              <w:rPr>
                <w:rFonts w:ascii="Times New Roman" w:hAnsi="Times New Roman" w:cs="Times New Roman"/>
                <w:sz w:val="20"/>
                <w:szCs w:val="20"/>
                <w:lang w:val="en-GB"/>
              </w:rPr>
            </w:pPr>
          </w:p>
        </w:tc>
        <w:tc>
          <w:tcPr>
            <w:tcW w:w="4889" w:type="dxa"/>
            <w:tcBorders>
              <w:bottom w:val="single" w:sz="12" w:space="0" w:color="auto"/>
            </w:tcBorders>
          </w:tcPr>
          <w:p w:rsidR="00BA7C2C" w:rsidRPr="00DB4595" w:rsidRDefault="00BA7C2C" w:rsidP="00613EE2">
            <w:pPr>
              <w:pStyle w:val="BfRBBTabelle"/>
              <w:tabs>
                <w:tab w:val="left" w:pos="742"/>
              </w:tabs>
              <w:ind w:left="0"/>
              <w:rPr>
                <w:rFonts w:ascii="Times New Roman" w:hAnsi="Times New Roman" w:cs="Times New Roman"/>
                <w:b/>
                <w:noProof w:val="0"/>
                <w:lang w:val="en-GB"/>
              </w:rPr>
            </w:pPr>
            <w:r w:rsidRPr="00DB4595">
              <w:rPr>
                <w:rFonts w:ascii="Times New Roman" w:hAnsi="Times New Roman" w:cs="Times New Roman"/>
                <w:b/>
                <w:noProof w:val="0"/>
                <w:lang w:val="en-GB"/>
              </w:rPr>
              <w:t>For professional users:</w:t>
            </w:r>
          </w:p>
          <w:p w:rsidR="00BA7C2C" w:rsidRPr="0014369A" w:rsidRDefault="00BA7C2C" w:rsidP="00613EE2">
            <w:pPr>
              <w:pStyle w:val="BfRBBTabelle"/>
              <w:tabs>
                <w:tab w:val="left" w:pos="742"/>
              </w:tabs>
              <w:ind w:left="0"/>
              <w:rPr>
                <w:rFonts w:ascii="Times New Roman" w:hAnsi="Times New Roman" w:cs="Times New Roman"/>
                <w:noProof w:val="0"/>
                <w:lang w:val="en-GB"/>
              </w:rPr>
            </w:pPr>
            <w:r w:rsidRPr="0014369A">
              <w:rPr>
                <w:rFonts w:ascii="Times New Roman" w:hAnsi="Times New Roman" w:cs="Times New Roman"/>
                <w:noProof w:val="0"/>
                <w:lang w:val="en-GB"/>
              </w:rPr>
              <w:t>Pictograms: GHS08</w:t>
            </w:r>
          </w:p>
          <w:p w:rsidR="00BA7C2C" w:rsidRPr="0014369A" w:rsidRDefault="00BA7C2C" w:rsidP="00613EE2">
            <w:pPr>
              <w:pStyle w:val="BfRBBTabelle"/>
              <w:tabs>
                <w:tab w:val="left" w:pos="742"/>
              </w:tabs>
              <w:ind w:left="0"/>
              <w:rPr>
                <w:rFonts w:ascii="Times New Roman" w:hAnsi="Times New Roman" w:cs="Times New Roman"/>
                <w:noProof w:val="0"/>
                <w:lang w:val="en-GB"/>
              </w:rPr>
            </w:pPr>
            <w:r w:rsidRPr="0014369A">
              <w:rPr>
                <w:rFonts w:ascii="Times New Roman" w:hAnsi="Times New Roman" w:cs="Times New Roman"/>
                <w:noProof w:val="0"/>
                <w:lang w:val="en-GB"/>
              </w:rPr>
              <w:t>Signal word: Warning</w:t>
            </w:r>
          </w:p>
          <w:p w:rsidR="00BA7C2C" w:rsidRPr="0014369A" w:rsidRDefault="00BA7C2C" w:rsidP="00613EE2">
            <w:pPr>
              <w:pStyle w:val="BfRBBStandard"/>
              <w:jc w:val="left"/>
              <w:rPr>
                <w:rFonts w:ascii="Times New Roman" w:hAnsi="Times New Roman" w:cs="Times New Roman"/>
                <w:noProof w:val="0"/>
                <w:sz w:val="20"/>
                <w:szCs w:val="20"/>
                <w:lang w:val="en-GB"/>
              </w:rPr>
            </w:pPr>
            <w:r w:rsidRPr="0014369A">
              <w:rPr>
                <w:rFonts w:ascii="Times New Roman" w:hAnsi="Times New Roman" w:cs="Times New Roman"/>
                <w:noProof w:val="0"/>
                <w:sz w:val="20"/>
                <w:szCs w:val="20"/>
                <w:lang w:val="en-GB"/>
              </w:rPr>
              <w:t>STOT RE Cat. 2, H373</w:t>
            </w:r>
          </w:p>
          <w:p w:rsidR="00BA7C2C" w:rsidRPr="0014369A" w:rsidRDefault="00BA7C2C" w:rsidP="00613EE2">
            <w:pPr>
              <w:pStyle w:val="BfRBBStandard"/>
              <w:jc w:val="left"/>
              <w:rPr>
                <w:rFonts w:ascii="Times New Roman" w:hAnsi="Times New Roman" w:cs="Times New Roman"/>
                <w:noProof w:val="0"/>
                <w:sz w:val="20"/>
                <w:szCs w:val="20"/>
                <w:lang w:val="en-GB"/>
              </w:rPr>
            </w:pPr>
            <w:r w:rsidRPr="0014369A">
              <w:rPr>
                <w:rFonts w:ascii="Times New Roman" w:hAnsi="Times New Roman" w:cs="Times New Roman"/>
                <w:noProof w:val="0"/>
                <w:sz w:val="20"/>
                <w:szCs w:val="20"/>
                <w:lang w:val="en-GB"/>
              </w:rPr>
              <w:t xml:space="preserve">P102, P260, </w:t>
            </w:r>
            <w:r w:rsidRPr="002D62ED">
              <w:rPr>
                <w:rFonts w:ascii="Times New Roman" w:hAnsi="Times New Roman" w:cs="Times New Roman"/>
                <w:noProof w:val="0"/>
                <w:sz w:val="20"/>
                <w:szCs w:val="20"/>
                <w:highlight w:val="yellow"/>
                <w:lang w:val="en-GB"/>
              </w:rPr>
              <w:t>P280a</w:t>
            </w:r>
            <w:r w:rsidRPr="0014369A">
              <w:rPr>
                <w:rFonts w:ascii="Times New Roman" w:hAnsi="Times New Roman" w:cs="Times New Roman"/>
                <w:noProof w:val="0"/>
                <w:sz w:val="20"/>
                <w:szCs w:val="20"/>
                <w:lang w:val="en-GB"/>
              </w:rPr>
              <w:t>, P314, P501</w:t>
            </w:r>
          </w:p>
          <w:p w:rsidR="00BA7C2C" w:rsidRPr="0014369A" w:rsidRDefault="00BA7C2C" w:rsidP="00613EE2">
            <w:pPr>
              <w:pStyle w:val="BfRBBStandard"/>
              <w:jc w:val="left"/>
              <w:rPr>
                <w:rFonts w:ascii="Times New Roman" w:hAnsi="Times New Roman" w:cs="Times New Roman"/>
                <w:noProof w:val="0"/>
                <w:sz w:val="20"/>
                <w:szCs w:val="20"/>
                <w:lang w:val="en-GB"/>
              </w:rPr>
            </w:pPr>
          </w:p>
          <w:p w:rsidR="00BA7C2C" w:rsidRPr="00DB4595" w:rsidRDefault="00BA7C2C" w:rsidP="00613EE2">
            <w:pPr>
              <w:pStyle w:val="BfRBBStandard"/>
              <w:jc w:val="left"/>
              <w:rPr>
                <w:rFonts w:ascii="Times New Roman" w:hAnsi="Times New Roman" w:cs="Times New Roman"/>
                <w:b/>
                <w:noProof w:val="0"/>
                <w:sz w:val="20"/>
                <w:szCs w:val="20"/>
                <w:lang w:val="en-GB"/>
              </w:rPr>
            </w:pPr>
            <w:r w:rsidRPr="00DB4595">
              <w:rPr>
                <w:rFonts w:ascii="Times New Roman" w:hAnsi="Times New Roman" w:cs="Times New Roman"/>
                <w:b/>
                <w:noProof w:val="0"/>
                <w:sz w:val="20"/>
                <w:szCs w:val="20"/>
                <w:lang w:val="en-GB"/>
              </w:rPr>
              <w:t xml:space="preserve">For non-professional users: </w:t>
            </w:r>
          </w:p>
          <w:p w:rsidR="00BA7C2C" w:rsidRPr="0014369A" w:rsidRDefault="00BA7C2C" w:rsidP="00613EE2">
            <w:pPr>
              <w:pStyle w:val="BfRBBTabelle"/>
              <w:tabs>
                <w:tab w:val="left" w:pos="742"/>
              </w:tabs>
              <w:ind w:left="0"/>
              <w:rPr>
                <w:rFonts w:ascii="Times New Roman" w:hAnsi="Times New Roman" w:cs="Times New Roman"/>
                <w:noProof w:val="0"/>
                <w:lang w:val="en-GB"/>
              </w:rPr>
            </w:pPr>
            <w:r w:rsidRPr="0014369A">
              <w:rPr>
                <w:rFonts w:ascii="Times New Roman" w:hAnsi="Times New Roman" w:cs="Times New Roman"/>
                <w:noProof w:val="0"/>
                <w:lang w:val="en-GB"/>
              </w:rPr>
              <w:t>Pictograms: GHS08</w:t>
            </w:r>
          </w:p>
          <w:p w:rsidR="00BA7C2C" w:rsidRPr="0014369A" w:rsidRDefault="00BA7C2C" w:rsidP="00613EE2">
            <w:pPr>
              <w:pStyle w:val="BfRBBTabelle"/>
              <w:tabs>
                <w:tab w:val="left" w:pos="742"/>
              </w:tabs>
              <w:ind w:left="0"/>
              <w:rPr>
                <w:rFonts w:ascii="Times New Roman" w:hAnsi="Times New Roman" w:cs="Times New Roman"/>
                <w:noProof w:val="0"/>
                <w:lang w:val="en-GB"/>
              </w:rPr>
            </w:pPr>
            <w:r w:rsidRPr="0014369A">
              <w:rPr>
                <w:rFonts w:ascii="Times New Roman" w:hAnsi="Times New Roman" w:cs="Times New Roman"/>
                <w:noProof w:val="0"/>
                <w:lang w:val="en-GB"/>
              </w:rPr>
              <w:t>Signal word: Warning</w:t>
            </w:r>
          </w:p>
          <w:p w:rsidR="00BA7C2C" w:rsidRPr="0014369A" w:rsidRDefault="00BA7C2C" w:rsidP="00613EE2">
            <w:pPr>
              <w:pStyle w:val="BfRBBStandard"/>
              <w:jc w:val="left"/>
              <w:rPr>
                <w:rFonts w:ascii="Times New Roman" w:hAnsi="Times New Roman" w:cs="Times New Roman"/>
                <w:noProof w:val="0"/>
                <w:sz w:val="20"/>
                <w:szCs w:val="20"/>
                <w:lang w:val="en-GB"/>
              </w:rPr>
            </w:pPr>
            <w:r w:rsidRPr="0014369A">
              <w:rPr>
                <w:rFonts w:ascii="Times New Roman" w:hAnsi="Times New Roman" w:cs="Times New Roman"/>
                <w:noProof w:val="0"/>
                <w:sz w:val="20"/>
                <w:szCs w:val="20"/>
                <w:lang w:val="en-GB"/>
              </w:rPr>
              <w:t>STOT RE Cat. 2, H373</w:t>
            </w:r>
          </w:p>
          <w:p w:rsidR="00BA7C2C" w:rsidRPr="0014369A" w:rsidRDefault="00BA7C2C" w:rsidP="00613EE2">
            <w:pPr>
              <w:pStyle w:val="BfRBBStandard"/>
              <w:jc w:val="left"/>
              <w:rPr>
                <w:rFonts w:ascii="Times New Roman" w:hAnsi="Times New Roman" w:cs="Times New Roman"/>
                <w:noProof w:val="0"/>
                <w:sz w:val="20"/>
                <w:szCs w:val="20"/>
                <w:lang w:val="en-GB"/>
              </w:rPr>
            </w:pPr>
            <w:r w:rsidRPr="0014369A">
              <w:rPr>
                <w:rFonts w:ascii="Times New Roman" w:hAnsi="Times New Roman" w:cs="Times New Roman"/>
                <w:noProof w:val="0"/>
                <w:sz w:val="20"/>
                <w:szCs w:val="20"/>
                <w:lang w:val="en-GB"/>
              </w:rPr>
              <w:t>P102, P260, P314, P501</w:t>
            </w:r>
          </w:p>
          <w:p w:rsidR="00BA7C2C" w:rsidRPr="00AE035D" w:rsidRDefault="00BA7C2C" w:rsidP="00613EE2">
            <w:pPr>
              <w:pStyle w:val="BfRBBStandard"/>
              <w:jc w:val="left"/>
              <w:rPr>
                <w:rFonts w:ascii="Times New Roman" w:hAnsi="Times New Roman" w:cs="Times New Roman"/>
                <w:sz w:val="20"/>
                <w:szCs w:val="20"/>
                <w:lang w:val="en-GB"/>
              </w:rPr>
            </w:pPr>
          </w:p>
        </w:tc>
      </w:tr>
    </w:tbl>
    <w:p w:rsidR="00BA7C2C" w:rsidRPr="00A0425E" w:rsidRDefault="00BA7C2C" w:rsidP="00BA7C2C">
      <w:pPr>
        <w:pStyle w:val="BfRBBTitel"/>
        <w:ind w:firstLine="708"/>
        <w:jc w:val="left"/>
        <w:outlineLvl w:val="9"/>
        <w:rPr>
          <w:lang w:val="en-GB"/>
        </w:rPr>
      </w:pPr>
    </w:p>
    <w:p w:rsidR="00BA7C2C" w:rsidRPr="00A0425E" w:rsidRDefault="00BA7C2C" w:rsidP="00BA7C2C">
      <w:pPr>
        <w:pStyle w:val="Kop2"/>
        <w:numPr>
          <w:ilvl w:val="0"/>
          <w:numId w:val="0"/>
        </w:numPr>
        <w:spacing w:after="240"/>
        <w:jc w:val="center"/>
        <w:rPr>
          <w:rFonts w:ascii="Times New Roman" w:hAnsi="Times New Roman" w:cs="Times New Roman"/>
          <w:snapToGrid w:val="0"/>
          <w:sz w:val="22"/>
          <w:szCs w:val="22"/>
        </w:rPr>
      </w:pPr>
      <w:r w:rsidRPr="00A0425E">
        <w:br w:type="column"/>
      </w:r>
      <w:bookmarkStart w:id="859" w:name="_Toc362858110"/>
      <w:r w:rsidRPr="005D7064">
        <w:lastRenderedPageBreak/>
        <w:t>Annex 6: Safety for professional operators</w:t>
      </w:r>
      <w:bookmarkEnd w:id="859"/>
    </w:p>
    <w:p w:rsidR="00BA7C2C" w:rsidRPr="00A0425E" w:rsidRDefault="00BA7C2C" w:rsidP="00BA7C2C">
      <w:pPr>
        <w:pStyle w:val="BfRBBTitel"/>
        <w:ind w:firstLine="708"/>
        <w:jc w:val="right"/>
        <w:outlineLvl w:val="9"/>
        <w:rPr>
          <w:b w:val="0"/>
          <w:bCs w:val="0"/>
          <w:sz w:val="22"/>
          <w:szCs w:val="22"/>
          <w:lang w:val="en-GB"/>
        </w:rPr>
      </w:pPr>
    </w:p>
    <w:p w:rsidR="00BA7C2C" w:rsidRPr="00E7636A" w:rsidRDefault="00BA7C2C" w:rsidP="00BA7C2C">
      <w:pPr>
        <w:pStyle w:val="BfRBBTabelle"/>
        <w:pBdr>
          <w:top w:val="single" w:sz="4" w:space="1" w:color="auto"/>
          <w:left w:val="single" w:sz="4" w:space="4" w:color="auto"/>
          <w:bottom w:val="single" w:sz="4" w:space="1" w:color="auto"/>
          <w:right w:val="single" w:sz="4" w:space="4" w:color="auto"/>
        </w:pBdr>
        <w:jc w:val="center"/>
        <w:rPr>
          <w:rFonts w:ascii="Times New Roman" w:hAnsi="Times New Roman" w:cs="Times New Roman"/>
          <w:b/>
          <w:snapToGrid w:val="0"/>
          <w:sz w:val="22"/>
          <w:szCs w:val="22"/>
          <w:lang w:val="en-GB"/>
        </w:rPr>
      </w:pPr>
      <w:r>
        <w:rPr>
          <w:rFonts w:ascii="Times New Roman" w:hAnsi="Times New Roman" w:cs="Times New Roman"/>
          <w:b/>
          <w:snapToGrid w:val="0"/>
          <w:sz w:val="22"/>
          <w:szCs w:val="22"/>
          <w:lang w:val="en-GB"/>
        </w:rPr>
        <w:t>Maki Pat’</w:t>
      </w:r>
    </w:p>
    <w:p w:rsidR="00BA7C2C" w:rsidRPr="00A0425E" w:rsidRDefault="00BA7C2C" w:rsidP="00BA7C2C">
      <w:pPr>
        <w:pStyle w:val="BfRBBTitel"/>
        <w:rPr>
          <w:rFonts w:ascii="Times New Roman" w:hAnsi="Times New Roman" w:cs="Times New Roman"/>
          <w:b w:val="0"/>
          <w:bCs w:val="0"/>
          <w:noProof w:val="0"/>
          <w:sz w:val="22"/>
          <w:szCs w:val="22"/>
          <w:lang w:val="en-GB"/>
        </w:rPr>
      </w:pPr>
    </w:p>
    <w:p w:rsidR="00BA7C2C" w:rsidRPr="00A0425E" w:rsidRDefault="00BA7C2C" w:rsidP="00BA7C2C">
      <w:pPr>
        <w:pStyle w:val="BfRBBTitel"/>
        <w:rPr>
          <w:lang w:val="en-GB"/>
        </w:rPr>
      </w:pPr>
    </w:p>
    <w:p w:rsidR="00BA7C2C" w:rsidRPr="006B2B30" w:rsidRDefault="00BA7C2C" w:rsidP="00BA7C2C">
      <w:pPr>
        <w:pStyle w:val="Kop5"/>
        <w:numPr>
          <w:ilvl w:val="0"/>
          <w:numId w:val="0"/>
        </w:numPr>
        <w:spacing w:before="0" w:after="0"/>
        <w:rPr>
          <w:rFonts w:ascii="Times New Roman" w:hAnsi="Times New Roman"/>
          <w:i/>
          <w:sz w:val="24"/>
          <w:szCs w:val="24"/>
        </w:rPr>
      </w:pPr>
      <w:r w:rsidRPr="006B2B30">
        <w:rPr>
          <w:rFonts w:ascii="Times New Roman" w:hAnsi="Times New Roman"/>
          <w:i/>
          <w:sz w:val="24"/>
          <w:szCs w:val="24"/>
        </w:rPr>
        <w:t>Exposure assessment</w:t>
      </w: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A7C2C" w:rsidRPr="006B2B30" w:rsidTr="00613EE2">
        <w:trPr>
          <w:tblHeader/>
        </w:trPr>
        <w:tc>
          <w:tcPr>
            <w:tcW w:w="9214" w:type="dxa"/>
            <w:tcBorders>
              <w:top w:val="single" w:sz="12" w:space="0" w:color="000000"/>
              <w:left w:val="nil"/>
              <w:bottom w:val="single" w:sz="6" w:space="0" w:color="000000"/>
              <w:right w:val="nil"/>
            </w:tcBorders>
          </w:tcPr>
          <w:p w:rsidR="00BA7C2C" w:rsidRPr="006B2B30" w:rsidRDefault="00BA7C2C" w:rsidP="00613EE2">
            <w:pPr>
              <w:pStyle w:val="BfRBBTabelle"/>
              <w:jc w:val="center"/>
              <w:rPr>
                <w:rFonts w:ascii="Times New Roman" w:hAnsi="Times New Roman" w:cs="Times New Roman"/>
                <w:b/>
                <w:snapToGrid w:val="0"/>
                <w:sz w:val="22"/>
                <w:szCs w:val="22"/>
                <w:lang w:val="en-GB"/>
              </w:rPr>
            </w:pPr>
            <w:r w:rsidRPr="006B2B30">
              <w:rPr>
                <w:rFonts w:ascii="Times New Roman" w:hAnsi="Times New Roman" w:cs="Times New Roman"/>
                <w:b/>
                <w:snapToGrid w:val="0"/>
                <w:sz w:val="22"/>
                <w:szCs w:val="22"/>
                <w:lang w:val="en-GB"/>
              </w:rPr>
              <w:t>Exposure scenarios for intended uses (Annex IIIB, point 6.6</w:t>
            </w:r>
            <w:r w:rsidRPr="006B2B30" w:rsidDel="00790CBF">
              <w:rPr>
                <w:rFonts w:ascii="Times New Roman" w:hAnsi="Times New Roman" w:cs="Times New Roman"/>
                <w:b/>
                <w:snapToGrid w:val="0"/>
                <w:sz w:val="22"/>
                <w:szCs w:val="22"/>
                <w:lang w:val="en-GB"/>
              </w:rPr>
              <w:t xml:space="preserve"> </w:t>
            </w:r>
            <w:r w:rsidRPr="006B2B30">
              <w:rPr>
                <w:rFonts w:ascii="Times New Roman" w:hAnsi="Times New Roman" w:cs="Times New Roman"/>
                <w:b/>
                <w:snapToGrid w:val="0"/>
                <w:sz w:val="22"/>
                <w:szCs w:val="22"/>
                <w:lang w:val="en-GB"/>
              </w:rPr>
              <w:t>)</w:t>
            </w:r>
            <w:r w:rsidRPr="006B2B30" w:rsidDel="00523DA7">
              <w:rPr>
                <w:rFonts w:ascii="Times New Roman" w:hAnsi="Times New Roman" w:cs="Times New Roman"/>
                <w:b/>
                <w:snapToGrid w:val="0"/>
                <w:sz w:val="22"/>
                <w:szCs w:val="22"/>
                <w:lang w:val="en-GB"/>
              </w:rPr>
              <w:t xml:space="preserve"> </w:t>
            </w:r>
          </w:p>
        </w:tc>
      </w:tr>
    </w:tbl>
    <w:p w:rsidR="00BA7C2C" w:rsidRDefault="00BA7C2C" w:rsidP="00BA7C2C">
      <w:pPr>
        <w:spacing w:after="120"/>
        <w:rPr>
          <w:noProof/>
          <w:szCs w:val="22"/>
        </w:rPr>
      </w:pPr>
    </w:p>
    <w:p w:rsidR="00BA7C2C" w:rsidRDefault="00BA7C2C" w:rsidP="00BA7C2C">
      <w:pPr>
        <w:spacing w:after="120"/>
        <w:rPr>
          <w:noProof/>
          <w:szCs w:val="22"/>
        </w:rPr>
      </w:pPr>
      <w:r w:rsidRPr="00A0425E">
        <w:rPr>
          <w:noProof/>
          <w:szCs w:val="22"/>
        </w:rPr>
        <w:t>Primary exposure of professionals</w:t>
      </w:r>
    </w:p>
    <w:p w:rsidR="00BA7C2C" w:rsidRDefault="00BA7C2C" w:rsidP="00BA7C2C">
      <w:pPr>
        <w:spacing w:after="120"/>
        <w:rPr>
          <w:noProof/>
          <w:szCs w:val="22"/>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7"/>
        <w:gridCol w:w="1933"/>
        <w:gridCol w:w="784"/>
        <w:gridCol w:w="951"/>
        <w:gridCol w:w="1484"/>
        <w:gridCol w:w="2845"/>
      </w:tblGrid>
      <w:tr w:rsidR="00BA7C2C" w:rsidRPr="003329D5" w:rsidTr="00613EE2">
        <w:trPr>
          <w:cantSplit/>
        </w:trPr>
        <w:tc>
          <w:tcPr>
            <w:tcW w:w="1217" w:type="dxa"/>
          </w:tcPr>
          <w:p w:rsidR="00BA7C2C" w:rsidRPr="003329D5" w:rsidRDefault="00BA7C2C" w:rsidP="00613EE2">
            <w:pPr>
              <w:keepNext/>
              <w:keepLines/>
              <w:spacing w:before="40" w:after="40"/>
              <w:rPr>
                <w:b/>
              </w:rPr>
            </w:pPr>
            <w:r w:rsidRPr="003329D5">
              <w:rPr>
                <w:b/>
              </w:rPr>
              <w:t>Product and intended use</w:t>
            </w:r>
          </w:p>
        </w:tc>
        <w:tc>
          <w:tcPr>
            <w:tcW w:w="1933" w:type="dxa"/>
          </w:tcPr>
          <w:p w:rsidR="00BA7C2C" w:rsidRPr="003329D5" w:rsidRDefault="00BA7C2C" w:rsidP="00613EE2">
            <w:pPr>
              <w:keepNext/>
              <w:keepLines/>
              <w:spacing w:before="40" w:after="40"/>
              <w:rPr>
                <w:b/>
              </w:rPr>
            </w:pPr>
            <w:r w:rsidRPr="003329D5">
              <w:rPr>
                <w:b/>
              </w:rPr>
              <w:t>Exposure scenario</w:t>
            </w:r>
          </w:p>
        </w:tc>
        <w:tc>
          <w:tcPr>
            <w:tcW w:w="784" w:type="dxa"/>
          </w:tcPr>
          <w:p w:rsidR="00BA7C2C" w:rsidRPr="003329D5" w:rsidRDefault="00BA7C2C" w:rsidP="00613EE2">
            <w:pPr>
              <w:keepNext/>
              <w:keepLines/>
              <w:spacing w:before="40" w:after="40"/>
              <w:rPr>
                <w:b/>
              </w:rPr>
            </w:pPr>
            <w:r w:rsidRPr="003329D5">
              <w:rPr>
                <w:b/>
              </w:rPr>
              <w:t>PPE</w:t>
            </w:r>
          </w:p>
        </w:tc>
        <w:tc>
          <w:tcPr>
            <w:tcW w:w="2435" w:type="dxa"/>
            <w:gridSpan w:val="2"/>
          </w:tcPr>
          <w:p w:rsidR="00BA7C2C" w:rsidRPr="003329D5" w:rsidRDefault="00BA7C2C" w:rsidP="00613EE2">
            <w:pPr>
              <w:keepNext/>
              <w:keepLines/>
              <w:spacing w:before="40" w:after="40"/>
              <w:rPr>
                <w:b/>
              </w:rPr>
            </w:pPr>
            <w:r w:rsidRPr="003329D5">
              <w:rPr>
                <w:b/>
              </w:rPr>
              <w:t>Inhalational uptake</w:t>
            </w:r>
            <w:r>
              <w:rPr>
                <w:b/>
              </w:rPr>
              <w:br/>
            </w:r>
            <w:r w:rsidRPr="003329D5">
              <w:rPr>
                <w:b/>
              </w:rPr>
              <w:t>Exposure (mg/m</w:t>
            </w:r>
            <w:r w:rsidRPr="003329D5">
              <w:rPr>
                <w:b/>
                <w:vertAlign w:val="superscript"/>
              </w:rPr>
              <w:t>3</w:t>
            </w:r>
            <w:r w:rsidRPr="003329D5">
              <w:rPr>
                <w:b/>
              </w:rPr>
              <w:t>)</w:t>
            </w:r>
          </w:p>
        </w:tc>
        <w:tc>
          <w:tcPr>
            <w:tcW w:w="2845" w:type="dxa"/>
          </w:tcPr>
          <w:p w:rsidR="00BA7C2C" w:rsidRPr="003329D5" w:rsidRDefault="00BA7C2C" w:rsidP="00613EE2">
            <w:pPr>
              <w:keepNext/>
              <w:keepLines/>
              <w:spacing w:before="40" w:after="40"/>
              <w:rPr>
                <w:b/>
              </w:rPr>
            </w:pPr>
            <w:r w:rsidRPr="003329D5">
              <w:rPr>
                <w:b/>
              </w:rPr>
              <w:t>Dermal uptake</w:t>
            </w:r>
            <w:r>
              <w:rPr>
                <w:b/>
              </w:rPr>
              <w:br/>
            </w:r>
            <w:r w:rsidRPr="003329D5">
              <w:rPr>
                <w:b/>
              </w:rPr>
              <w:t>Exposure (mg/m</w:t>
            </w:r>
            <w:r w:rsidRPr="003329D5">
              <w:rPr>
                <w:b/>
                <w:vertAlign w:val="superscript"/>
              </w:rPr>
              <w:t>2</w:t>
            </w:r>
            <w:r w:rsidRPr="003329D5">
              <w:rPr>
                <w:b/>
              </w:rPr>
              <w:t>)</w:t>
            </w:r>
          </w:p>
        </w:tc>
      </w:tr>
      <w:tr w:rsidR="00BA7C2C" w:rsidRPr="003329D5" w:rsidTr="00613EE2">
        <w:trPr>
          <w:cantSplit/>
        </w:trPr>
        <w:tc>
          <w:tcPr>
            <w:tcW w:w="1217" w:type="dxa"/>
            <w:tcBorders>
              <w:top w:val="single" w:sz="6" w:space="0" w:color="auto"/>
              <w:bottom w:val="double" w:sz="4" w:space="0" w:color="auto"/>
            </w:tcBorders>
          </w:tcPr>
          <w:p w:rsidR="00BA7C2C" w:rsidRPr="00F4497F" w:rsidRDefault="00BA7C2C" w:rsidP="00613EE2">
            <w:pPr>
              <w:keepNext/>
              <w:keepLines/>
              <w:spacing w:before="40" w:after="40"/>
            </w:pPr>
            <w:r>
              <w:t xml:space="preserve">MAKI PAT’ </w:t>
            </w:r>
          </w:p>
          <w:p w:rsidR="00BA7C2C" w:rsidRPr="00F4497F" w:rsidRDefault="00BA7C2C" w:rsidP="00613EE2">
            <w:pPr>
              <w:keepNext/>
              <w:keepLines/>
              <w:spacing w:before="40" w:after="40"/>
            </w:pPr>
            <w:r w:rsidRPr="00F4497F">
              <w:t>In and around buildings for the control of rodents</w:t>
            </w:r>
          </w:p>
        </w:tc>
        <w:tc>
          <w:tcPr>
            <w:tcW w:w="1933" w:type="dxa"/>
            <w:tcBorders>
              <w:top w:val="single" w:sz="6" w:space="0" w:color="auto"/>
              <w:bottom w:val="double" w:sz="4" w:space="0" w:color="auto"/>
            </w:tcBorders>
          </w:tcPr>
          <w:p w:rsidR="00BA7C2C" w:rsidRPr="003329D5" w:rsidRDefault="00BA7C2C" w:rsidP="00613EE2">
            <w:pPr>
              <w:keepNext/>
              <w:keepLines/>
              <w:spacing w:before="40" w:after="40"/>
            </w:pPr>
            <w:r>
              <w:t>C</w:t>
            </w:r>
            <w:r w:rsidRPr="003329D5">
              <w:t xml:space="preserve">leaning the remains of </w:t>
            </w:r>
            <w:r>
              <w:t>15</w:t>
            </w:r>
            <w:r w:rsidRPr="003329D5">
              <w:t xml:space="preserve"> bait points</w:t>
            </w:r>
            <w:r>
              <w:t>/</w:t>
            </w:r>
            <w:r w:rsidRPr="003329D5">
              <w:t>day</w:t>
            </w:r>
          </w:p>
          <w:p w:rsidR="00BA7C2C" w:rsidRDefault="00BA7C2C" w:rsidP="00613EE2">
            <w:pPr>
              <w:keepNext/>
              <w:keepLines/>
              <w:spacing w:before="40" w:after="40"/>
            </w:pPr>
            <w:r>
              <w:t>6 sachets per bait point.</w:t>
            </w:r>
          </w:p>
          <w:p w:rsidR="00BA7C2C" w:rsidRPr="003329D5" w:rsidRDefault="00BA7C2C" w:rsidP="00613EE2">
            <w:pPr>
              <w:keepNext/>
              <w:keepLines/>
              <w:spacing w:before="40" w:after="40"/>
            </w:pPr>
            <w:r>
              <w:t>Loading product is not relevant due to protective packaging</w:t>
            </w:r>
          </w:p>
        </w:tc>
        <w:tc>
          <w:tcPr>
            <w:tcW w:w="784" w:type="dxa"/>
            <w:tcBorders>
              <w:top w:val="single" w:sz="6" w:space="0" w:color="auto"/>
              <w:bottom w:val="double" w:sz="4" w:space="0" w:color="auto"/>
            </w:tcBorders>
          </w:tcPr>
          <w:p w:rsidR="00BA7C2C" w:rsidRPr="003329D5" w:rsidRDefault="00BA7C2C" w:rsidP="00613EE2">
            <w:pPr>
              <w:keepNext/>
              <w:keepLines/>
              <w:spacing w:before="40" w:after="40"/>
            </w:pPr>
            <w:r w:rsidRPr="003329D5">
              <w:t>Gloves</w:t>
            </w:r>
          </w:p>
        </w:tc>
        <w:tc>
          <w:tcPr>
            <w:tcW w:w="2435" w:type="dxa"/>
            <w:gridSpan w:val="2"/>
            <w:tcBorders>
              <w:top w:val="single" w:sz="6" w:space="0" w:color="auto"/>
              <w:bottom w:val="double" w:sz="4" w:space="0" w:color="auto"/>
            </w:tcBorders>
          </w:tcPr>
          <w:p w:rsidR="00BA7C2C" w:rsidRPr="003329D5" w:rsidRDefault="00BA7C2C" w:rsidP="00613EE2">
            <w:pPr>
              <w:keepNext/>
              <w:keepLines/>
              <w:spacing w:before="40" w:after="40"/>
            </w:pPr>
            <w:r>
              <w:t xml:space="preserve">Not considered for cleaning since negligible measured residues present during </w:t>
            </w:r>
            <w:r w:rsidRPr="003329D5">
              <w:t xml:space="preserve">cleaning </w:t>
            </w:r>
            <w:r>
              <w:t xml:space="preserve">of </w:t>
            </w:r>
            <w:r w:rsidRPr="003329D5">
              <w:t>bait boxes in pilot exposure study.</w:t>
            </w:r>
          </w:p>
        </w:tc>
        <w:tc>
          <w:tcPr>
            <w:tcW w:w="2845" w:type="dxa"/>
            <w:tcBorders>
              <w:top w:val="single" w:sz="6" w:space="0" w:color="auto"/>
              <w:bottom w:val="double" w:sz="4" w:space="0" w:color="auto"/>
            </w:tcBorders>
          </w:tcPr>
          <w:p w:rsidR="00BA7C2C" w:rsidRDefault="00BA7C2C" w:rsidP="00613EE2">
            <w:pPr>
              <w:keepNext/>
              <w:keepLines/>
              <w:spacing w:before="40" w:after="40"/>
            </w:pPr>
            <w:r w:rsidRPr="003329D5">
              <w:t xml:space="preserve">Measured as </w:t>
            </w:r>
            <w:r>
              <w:t>4.09</w:t>
            </w:r>
            <w:r w:rsidRPr="003329D5">
              <w:t xml:space="preserve"> mg product/gloves (geometric mean value) when cleaning up </w:t>
            </w:r>
            <w:r>
              <w:t xml:space="preserve">a </w:t>
            </w:r>
            <w:r w:rsidRPr="003329D5">
              <w:t xml:space="preserve">bait box </w:t>
            </w:r>
            <w:r>
              <w:t>containing 6 sachets an</w:t>
            </w:r>
            <w:r w:rsidRPr="003329D5">
              <w:t xml:space="preserve">d disposing of </w:t>
            </w:r>
            <w:r>
              <w:t xml:space="preserve">the </w:t>
            </w:r>
            <w:r w:rsidRPr="003329D5">
              <w:t>unwanted bait</w:t>
            </w:r>
            <w:r>
              <w:t>.</w:t>
            </w:r>
          </w:p>
          <w:p w:rsidR="00BA7C2C" w:rsidRPr="003329D5" w:rsidRDefault="00BA7C2C" w:rsidP="00613EE2">
            <w:pPr>
              <w:keepNext/>
              <w:keepLines/>
              <w:spacing w:before="40" w:after="40"/>
            </w:pPr>
            <w:r>
              <w:t>Assume negligible amount of bait is consumed.</w:t>
            </w:r>
          </w:p>
        </w:tc>
      </w:tr>
      <w:tr w:rsidR="00BA7C2C" w:rsidRPr="000F2B17" w:rsidTr="00613EE2">
        <w:trPr>
          <w:cantSplit/>
        </w:trPr>
        <w:tc>
          <w:tcPr>
            <w:tcW w:w="9214" w:type="dxa"/>
            <w:gridSpan w:val="6"/>
            <w:tcBorders>
              <w:top w:val="double" w:sz="4" w:space="0" w:color="auto"/>
              <w:bottom w:val="double" w:sz="4" w:space="0" w:color="auto"/>
            </w:tcBorders>
          </w:tcPr>
          <w:p w:rsidR="00BA7C2C" w:rsidRPr="000F2B17" w:rsidRDefault="00BA7C2C" w:rsidP="00613EE2">
            <w:pPr>
              <w:keepNext/>
              <w:spacing w:before="40" w:after="40"/>
            </w:pPr>
            <w:r w:rsidRPr="000F2B17">
              <w:rPr>
                <w:b/>
              </w:rPr>
              <w:t>Dermal Exposure</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keepNext/>
              <w:spacing w:before="40" w:after="40"/>
            </w:pPr>
            <w:r w:rsidRPr="000F2B17">
              <w:t>Measured value for amount of product on gloves:</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keepNext/>
              <w:spacing w:before="40" w:after="40"/>
            </w:pPr>
            <w:r>
              <w:t>4.09</w:t>
            </w:r>
            <w:r w:rsidRPr="000F2B17">
              <w:t xml:space="preserve"> mg</w:t>
            </w:r>
            <w:r>
              <w:t xml:space="preserve"> product</w:t>
            </w:r>
            <w:r w:rsidRPr="000F2B17">
              <w:t>/</w:t>
            </w:r>
            <w:r>
              <w:t>bait point</w:t>
            </w:r>
            <w:r w:rsidRPr="000F2B17">
              <w:t xml:space="preserve"> during disposal</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keepNext/>
              <w:spacing w:before="40" w:after="40"/>
            </w:pPr>
            <w:r w:rsidRPr="000F2B17">
              <w:t xml:space="preserve">Amount of </w:t>
            </w:r>
            <w:r>
              <w:t>red paste</w:t>
            </w:r>
            <w:r w:rsidRPr="000F2B17">
              <w:t xml:space="preserve"> on gloves during disposal:</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keepNext/>
              <w:spacing w:before="40" w:after="40"/>
            </w:pPr>
            <w:r>
              <w:t>4.09</w:t>
            </w:r>
            <w:r w:rsidRPr="000F2B17">
              <w:t xml:space="preserve"> </w:t>
            </w:r>
            <w:r>
              <w:t xml:space="preserve">mg </w:t>
            </w:r>
            <w:r w:rsidRPr="000F2B17">
              <w:t xml:space="preserve">x </w:t>
            </w:r>
            <w:r>
              <w:t>15</w:t>
            </w:r>
            <w:r w:rsidRPr="000F2B17">
              <w:t xml:space="preserve"> = </w:t>
            </w:r>
            <w:r>
              <w:t>61.35</w:t>
            </w:r>
            <w:r w:rsidRPr="000F2B17">
              <w:t xml:space="preserve"> mg</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keepNext/>
              <w:spacing w:before="40" w:after="40"/>
            </w:pPr>
            <w:r w:rsidRPr="000F2B17">
              <w:t xml:space="preserve">Total amount of </w:t>
            </w:r>
            <w:r>
              <w:t>red paste</w:t>
            </w:r>
            <w:r w:rsidRPr="000F2B17">
              <w:t xml:space="preserve"> on gloves:</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keepNext/>
              <w:spacing w:before="40" w:after="40"/>
            </w:pPr>
            <w:r>
              <w:t>61.35</w:t>
            </w:r>
            <w:r w:rsidRPr="000F2B17">
              <w:t xml:space="preserve"> mg</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keepNext/>
              <w:spacing w:before="40" w:after="40"/>
            </w:pPr>
            <w:r w:rsidRPr="000F2B17">
              <w:t xml:space="preserve">Concentration of </w:t>
            </w:r>
            <w:r>
              <w:t>bromadiolone</w:t>
            </w:r>
            <w:r w:rsidRPr="000F2B17">
              <w:t>:</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keepNext/>
              <w:spacing w:before="40" w:after="40"/>
            </w:pPr>
            <w:r>
              <w:t>50</w:t>
            </w:r>
            <w:r w:rsidRPr="000F2B17">
              <w:t xml:space="preserve"> mg/kg</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gloves:</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x </w:t>
            </w:r>
            <w:r>
              <w:t>61.35</w:t>
            </w:r>
            <w:r w:rsidRPr="000F2B17">
              <w:t xml:space="preserve"> ÷10</w:t>
            </w:r>
            <w:r w:rsidRPr="000F2B17">
              <w:rPr>
                <w:vertAlign w:val="superscript"/>
              </w:rPr>
              <w:t>6</w:t>
            </w:r>
            <w:r w:rsidRPr="000F2B17">
              <w:t xml:space="preserve"> mg = </w:t>
            </w:r>
            <w:r>
              <w:t>3.07 x 10</w:t>
            </w:r>
            <w:r w:rsidRPr="00137056">
              <w:rPr>
                <w:vertAlign w:val="superscript"/>
              </w:rPr>
              <w:t>-3</w:t>
            </w:r>
            <w:r w:rsidRPr="000F2B17">
              <w:t xml:space="preserve"> mg/day</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Reduction in exposure from gloves:</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rsidRPr="000F2B17">
              <w:t>90%</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skin:</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3.07 x 10</w:t>
            </w:r>
            <w:r w:rsidRPr="00137056">
              <w:rPr>
                <w:vertAlign w:val="superscript"/>
              </w:rPr>
              <w:t>-3</w:t>
            </w:r>
            <w:r w:rsidRPr="000F2B17">
              <w:t xml:space="preserve"> x (10  ÷ 100) mg = </w:t>
            </w:r>
            <w:r>
              <w:t>3.07 x 10</w:t>
            </w:r>
            <w:r w:rsidRPr="00CA6C72">
              <w:rPr>
                <w:vertAlign w:val="superscript"/>
              </w:rPr>
              <w:t>-</w:t>
            </w:r>
            <w:r>
              <w:rPr>
                <w:vertAlign w:val="superscript"/>
              </w:rPr>
              <w:t>4</w:t>
            </w:r>
            <w:r w:rsidRPr="000F2B17">
              <w:t xml:space="preserve"> mg/day</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lastRenderedPageBreak/>
              <w:t xml:space="preserve">Dermal absorption of </w:t>
            </w:r>
            <w:r>
              <w:t>bromadiolone</w:t>
            </w:r>
            <w:r w:rsidRPr="000F2B17">
              <w:t>:</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1.6</w:t>
            </w:r>
            <w:r w:rsidRPr="000F2B17">
              <w:t>%</w:t>
            </w:r>
          </w:p>
        </w:tc>
      </w:tr>
      <w:tr w:rsidR="00BA7C2C" w:rsidRPr="000F2B17" w:rsidTr="00613EE2">
        <w:trPr>
          <w:cantSplit/>
        </w:trPr>
        <w:tc>
          <w:tcPr>
            <w:tcW w:w="4885"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Systemic exposure of </w:t>
            </w:r>
            <w:r>
              <w:t>bromadiolone</w:t>
            </w:r>
            <w:r w:rsidRPr="000F2B17">
              <w:t>:</w:t>
            </w:r>
          </w:p>
        </w:tc>
        <w:tc>
          <w:tcPr>
            <w:tcW w:w="4329"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4.91 x 10</w:t>
            </w:r>
            <w:r w:rsidRPr="00CA6C72">
              <w:rPr>
                <w:vertAlign w:val="superscript"/>
              </w:rPr>
              <w:t>-</w:t>
            </w:r>
            <w:r>
              <w:rPr>
                <w:vertAlign w:val="superscript"/>
              </w:rPr>
              <w:t>6</w:t>
            </w:r>
            <w:r w:rsidRPr="000F2B17">
              <w:t xml:space="preserve"> mg/day</w:t>
            </w:r>
          </w:p>
        </w:tc>
      </w:tr>
      <w:tr w:rsidR="00BA7C2C" w:rsidRPr="000F2B17" w:rsidTr="00613EE2">
        <w:trPr>
          <w:cantSplit/>
        </w:trPr>
        <w:tc>
          <w:tcPr>
            <w:tcW w:w="4885" w:type="dxa"/>
            <w:gridSpan w:val="4"/>
            <w:tcBorders>
              <w:top w:val="single" w:sz="6" w:space="0" w:color="auto"/>
              <w:bottom w:val="double" w:sz="4" w:space="0" w:color="auto"/>
              <w:right w:val="single" w:sz="6" w:space="0" w:color="auto"/>
            </w:tcBorders>
          </w:tcPr>
          <w:p w:rsidR="00BA7C2C" w:rsidRPr="000F2B17" w:rsidRDefault="00BA7C2C" w:rsidP="00613EE2">
            <w:pPr>
              <w:spacing w:before="40" w:after="40"/>
            </w:pPr>
            <w:r w:rsidRPr="000F2B17">
              <w:t>Operator body weight:</w:t>
            </w:r>
          </w:p>
        </w:tc>
        <w:tc>
          <w:tcPr>
            <w:tcW w:w="4329" w:type="dxa"/>
            <w:gridSpan w:val="2"/>
            <w:tcBorders>
              <w:top w:val="single" w:sz="6" w:space="0" w:color="auto"/>
              <w:left w:val="single" w:sz="6" w:space="0" w:color="auto"/>
              <w:bottom w:val="double" w:sz="4" w:space="0" w:color="auto"/>
            </w:tcBorders>
          </w:tcPr>
          <w:p w:rsidR="00BA7C2C" w:rsidRPr="000F2B17" w:rsidRDefault="00BA7C2C" w:rsidP="00613EE2">
            <w:pPr>
              <w:spacing w:before="40" w:after="40"/>
            </w:pPr>
            <w:smartTag w:uri="urn:schemas-microsoft-com:office:smarttags" w:element="metricconverter">
              <w:smartTagPr>
                <w:attr w:name="ProductID" w:val="60 kg"/>
              </w:smartTagPr>
              <w:r w:rsidRPr="000F2B17">
                <w:t>60 kg</w:t>
              </w:r>
            </w:smartTag>
          </w:p>
        </w:tc>
      </w:tr>
      <w:tr w:rsidR="00BA7C2C" w:rsidRPr="001A6878" w:rsidTr="00613EE2">
        <w:trPr>
          <w:cantSplit/>
        </w:trPr>
        <w:tc>
          <w:tcPr>
            <w:tcW w:w="4885" w:type="dxa"/>
            <w:gridSpan w:val="4"/>
            <w:tcBorders>
              <w:top w:val="double" w:sz="4" w:space="0" w:color="auto"/>
              <w:bottom w:val="double" w:sz="4" w:space="0" w:color="auto"/>
              <w:right w:val="single" w:sz="6" w:space="0" w:color="auto"/>
            </w:tcBorders>
          </w:tcPr>
          <w:p w:rsidR="00BA7C2C" w:rsidRPr="001A6878" w:rsidRDefault="00BA7C2C" w:rsidP="00613EE2">
            <w:pPr>
              <w:spacing w:before="40" w:after="40"/>
              <w:rPr>
                <w:b/>
              </w:rPr>
            </w:pPr>
            <w:r w:rsidRPr="001A6878">
              <w:rPr>
                <w:b/>
              </w:rPr>
              <w:t xml:space="preserve">Dermal exposure of </w:t>
            </w:r>
            <w:r w:rsidRPr="0069558F">
              <w:rPr>
                <w:b/>
              </w:rPr>
              <w:t xml:space="preserve">bromadiolone </w:t>
            </w:r>
            <w:r w:rsidRPr="001A6878">
              <w:rPr>
                <w:b/>
              </w:rPr>
              <w:t>during disposal:</w:t>
            </w:r>
          </w:p>
        </w:tc>
        <w:tc>
          <w:tcPr>
            <w:tcW w:w="4329" w:type="dxa"/>
            <w:gridSpan w:val="2"/>
            <w:tcBorders>
              <w:top w:val="double" w:sz="4" w:space="0" w:color="auto"/>
              <w:left w:val="single" w:sz="6" w:space="0" w:color="auto"/>
              <w:bottom w:val="double" w:sz="4" w:space="0" w:color="auto"/>
            </w:tcBorders>
          </w:tcPr>
          <w:p w:rsidR="00BA7C2C" w:rsidRPr="001A6878" w:rsidRDefault="00BA7C2C" w:rsidP="00613EE2">
            <w:pPr>
              <w:spacing w:before="40" w:after="40"/>
              <w:rPr>
                <w:b/>
              </w:rPr>
            </w:pPr>
            <w:r>
              <w:rPr>
                <w:b/>
              </w:rPr>
              <w:t>8.18</w:t>
            </w:r>
            <w:r w:rsidRPr="001A6878">
              <w:rPr>
                <w:b/>
              </w:rPr>
              <w:t xml:space="preserve"> x 10</w:t>
            </w:r>
            <w:r w:rsidRPr="001A6878">
              <w:rPr>
                <w:b/>
                <w:vertAlign w:val="superscript"/>
              </w:rPr>
              <w:t>-</w:t>
            </w:r>
            <w:r>
              <w:rPr>
                <w:b/>
                <w:vertAlign w:val="superscript"/>
              </w:rPr>
              <w:t>8</w:t>
            </w:r>
            <w:r w:rsidRPr="001A6878">
              <w:rPr>
                <w:b/>
              </w:rPr>
              <w:t xml:space="preserve"> mg/kg bw/day</w:t>
            </w:r>
          </w:p>
        </w:tc>
      </w:tr>
    </w:tbl>
    <w:p w:rsidR="00BA7C2C" w:rsidRDefault="00BA7C2C" w:rsidP="00BA7C2C">
      <w:pPr>
        <w:spacing w:after="120"/>
        <w:rPr>
          <w:noProof/>
          <w:szCs w:val="22"/>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8"/>
        <w:gridCol w:w="1932"/>
        <w:gridCol w:w="784"/>
        <w:gridCol w:w="952"/>
        <w:gridCol w:w="1493"/>
        <w:gridCol w:w="2835"/>
      </w:tblGrid>
      <w:tr w:rsidR="00BA7C2C" w:rsidTr="00613EE2">
        <w:trPr>
          <w:cantSplit/>
        </w:trPr>
        <w:tc>
          <w:tcPr>
            <w:tcW w:w="1218" w:type="dxa"/>
          </w:tcPr>
          <w:p w:rsidR="00BA7C2C" w:rsidRDefault="00BA7C2C" w:rsidP="00613EE2">
            <w:pPr>
              <w:pageBreakBefore/>
              <w:spacing w:before="40" w:after="40"/>
              <w:rPr>
                <w:b/>
              </w:rPr>
            </w:pPr>
            <w:r>
              <w:rPr>
                <w:b/>
              </w:rPr>
              <w:lastRenderedPageBreak/>
              <w:t>Product and intended use</w:t>
            </w:r>
          </w:p>
        </w:tc>
        <w:tc>
          <w:tcPr>
            <w:tcW w:w="1932" w:type="dxa"/>
          </w:tcPr>
          <w:p w:rsidR="00BA7C2C" w:rsidRDefault="00BA7C2C" w:rsidP="00613EE2">
            <w:pPr>
              <w:pageBreakBefore/>
              <w:spacing w:before="40" w:after="40"/>
              <w:rPr>
                <w:b/>
              </w:rPr>
            </w:pPr>
            <w:r>
              <w:rPr>
                <w:b/>
              </w:rPr>
              <w:t>Exposure scenario</w:t>
            </w:r>
          </w:p>
        </w:tc>
        <w:tc>
          <w:tcPr>
            <w:tcW w:w="784" w:type="dxa"/>
          </w:tcPr>
          <w:p w:rsidR="00BA7C2C" w:rsidRDefault="00BA7C2C" w:rsidP="00613EE2">
            <w:pPr>
              <w:pageBreakBefore/>
              <w:spacing w:before="40" w:after="40"/>
              <w:rPr>
                <w:b/>
              </w:rPr>
            </w:pPr>
            <w:r>
              <w:rPr>
                <w:b/>
              </w:rPr>
              <w:t>PPE</w:t>
            </w:r>
          </w:p>
        </w:tc>
        <w:tc>
          <w:tcPr>
            <w:tcW w:w="2445" w:type="dxa"/>
            <w:gridSpan w:val="2"/>
          </w:tcPr>
          <w:p w:rsidR="00BA7C2C" w:rsidRDefault="00BA7C2C" w:rsidP="00613EE2">
            <w:pPr>
              <w:pageBreakBefore/>
              <w:spacing w:before="40" w:after="40"/>
              <w:rPr>
                <w:b/>
              </w:rPr>
            </w:pPr>
            <w:r>
              <w:rPr>
                <w:b/>
              </w:rPr>
              <w:t>Inhalational uptake</w:t>
            </w:r>
            <w:r>
              <w:rPr>
                <w:b/>
              </w:rPr>
              <w:br/>
              <w:t>Exposure (mg/m</w:t>
            </w:r>
            <w:r>
              <w:rPr>
                <w:b/>
                <w:vertAlign w:val="superscript"/>
              </w:rPr>
              <w:t>3</w:t>
            </w:r>
            <w:r>
              <w:rPr>
                <w:b/>
              </w:rPr>
              <w:t>)</w:t>
            </w:r>
          </w:p>
        </w:tc>
        <w:tc>
          <w:tcPr>
            <w:tcW w:w="2835" w:type="dxa"/>
          </w:tcPr>
          <w:p w:rsidR="00BA7C2C" w:rsidRDefault="00BA7C2C" w:rsidP="00613EE2">
            <w:pPr>
              <w:pageBreakBefore/>
              <w:spacing w:before="40" w:after="40"/>
              <w:rPr>
                <w:b/>
              </w:rPr>
            </w:pPr>
            <w:r>
              <w:rPr>
                <w:b/>
              </w:rPr>
              <w:t>Dermal uptake</w:t>
            </w:r>
            <w:r>
              <w:rPr>
                <w:b/>
              </w:rPr>
              <w:br/>
              <w:t>Exposure (mg/m</w:t>
            </w:r>
            <w:r>
              <w:rPr>
                <w:b/>
                <w:vertAlign w:val="superscript"/>
              </w:rPr>
              <w:t>2</w:t>
            </w:r>
            <w:r>
              <w:rPr>
                <w:b/>
              </w:rPr>
              <w:t>)</w:t>
            </w:r>
          </w:p>
        </w:tc>
      </w:tr>
      <w:tr w:rsidR="00BA7C2C" w:rsidTr="00613EE2">
        <w:trPr>
          <w:cantSplit/>
        </w:trPr>
        <w:tc>
          <w:tcPr>
            <w:tcW w:w="1218" w:type="dxa"/>
            <w:tcBorders>
              <w:top w:val="single" w:sz="6" w:space="0" w:color="auto"/>
              <w:bottom w:val="single" w:sz="6" w:space="0" w:color="auto"/>
            </w:tcBorders>
          </w:tcPr>
          <w:p w:rsidR="00BA7C2C" w:rsidRPr="00F4497F" w:rsidRDefault="00BA7C2C" w:rsidP="00613EE2">
            <w:pPr>
              <w:spacing w:before="40" w:after="40"/>
            </w:pPr>
            <w:r>
              <w:t xml:space="preserve">MAKI PAT’ </w:t>
            </w:r>
          </w:p>
          <w:p w:rsidR="00BA7C2C" w:rsidRDefault="00BA7C2C" w:rsidP="00613EE2">
            <w:pPr>
              <w:spacing w:before="40" w:after="40"/>
            </w:pPr>
            <w:r>
              <w:t>Around waste sites for the control of rodents</w:t>
            </w:r>
          </w:p>
        </w:tc>
        <w:tc>
          <w:tcPr>
            <w:tcW w:w="1932" w:type="dxa"/>
            <w:tcBorders>
              <w:top w:val="single" w:sz="6" w:space="0" w:color="auto"/>
            </w:tcBorders>
          </w:tcPr>
          <w:p w:rsidR="00BA7C2C" w:rsidRDefault="00BA7C2C" w:rsidP="00613EE2">
            <w:pPr>
              <w:spacing w:before="40" w:after="40"/>
            </w:pPr>
            <w:r>
              <w:t>Cleaning up 50 bait points/ day.</w:t>
            </w:r>
          </w:p>
          <w:p w:rsidR="00BA7C2C" w:rsidRDefault="00BA7C2C" w:rsidP="00613EE2">
            <w:pPr>
              <w:spacing w:before="40" w:after="40"/>
            </w:pPr>
            <w:r>
              <w:t>6 sachets per bait point.</w:t>
            </w:r>
          </w:p>
          <w:p w:rsidR="00BA7C2C" w:rsidRDefault="00BA7C2C" w:rsidP="00613EE2">
            <w:pPr>
              <w:spacing w:before="40" w:after="40"/>
            </w:pPr>
            <w:r>
              <w:t>Loading product is not relevant due to protective packaging</w:t>
            </w:r>
          </w:p>
        </w:tc>
        <w:tc>
          <w:tcPr>
            <w:tcW w:w="784" w:type="dxa"/>
            <w:tcBorders>
              <w:top w:val="single" w:sz="6" w:space="0" w:color="auto"/>
            </w:tcBorders>
          </w:tcPr>
          <w:p w:rsidR="00BA7C2C" w:rsidRDefault="00BA7C2C" w:rsidP="00613EE2">
            <w:pPr>
              <w:spacing w:before="40" w:after="40"/>
            </w:pPr>
            <w:r>
              <w:t>Gloves</w:t>
            </w:r>
          </w:p>
        </w:tc>
        <w:tc>
          <w:tcPr>
            <w:tcW w:w="2445" w:type="dxa"/>
            <w:gridSpan w:val="2"/>
            <w:tcBorders>
              <w:top w:val="single" w:sz="6" w:space="0" w:color="auto"/>
            </w:tcBorders>
          </w:tcPr>
          <w:p w:rsidR="00BA7C2C" w:rsidRDefault="00BA7C2C" w:rsidP="00613EE2">
            <w:pPr>
              <w:spacing w:before="40" w:after="40"/>
            </w:pPr>
            <w:r>
              <w:t xml:space="preserve">Not considered for cleaning since negligible measured residues present during </w:t>
            </w:r>
            <w:r w:rsidRPr="003329D5">
              <w:t xml:space="preserve">cleaning </w:t>
            </w:r>
            <w:r>
              <w:t xml:space="preserve">of </w:t>
            </w:r>
            <w:r w:rsidRPr="003329D5">
              <w:t>bait boxes in pilot exposure study.</w:t>
            </w:r>
          </w:p>
        </w:tc>
        <w:tc>
          <w:tcPr>
            <w:tcW w:w="2835" w:type="dxa"/>
            <w:tcBorders>
              <w:top w:val="single" w:sz="6" w:space="0" w:color="auto"/>
            </w:tcBorders>
          </w:tcPr>
          <w:p w:rsidR="00BA7C2C" w:rsidRDefault="00BA7C2C" w:rsidP="00613EE2">
            <w:pPr>
              <w:spacing w:before="40" w:after="40"/>
            </w:pPr>
            <w:r w:rsidRPr="003329D5">
              <w:t xml:space="preserve">Measured as </w:t>
            </w:r>
            <w:r>
              <w:t>4.09</w:t>
            </w:r>
            <w:r w:rsidRPr="003329D5">
              <w:t xml:space="preserve"> mg product/gloves (geometric mean value) when cleaning up </w:t>
            </w:r>
            <w:r>
              <w:t xml:space="preserve">a </w:t>
            </w:r>
            <w:r w:rsidRPr="003329D5">
              <w:t xml:space="preserve">bait box </w:t>
            </w:r>
            <w:r>
              <w:t>containing 6 sachets an</w:t>
            </w:r>
            <w:r w:rsidRPr="003329D5">
              <w:t xml:space="preserve">d disposing of </w:t>
            </w:r>
            <w:r>
              <w:t xml:space="preserve">the </w:t>
            </w:r>
            <w:r w:rsidRPr="003329D5">
              <w:t>unwanted bait</w:t>
            </w:r>
            <w:r>
              <w:t>.</w:t>
            </w:r>
          </w:p>
          <w:p w:rsidR="00BA7C2C" w:rsidRDefault="00BA7C2C" w:rsidP="00613EE2">
            <w:pPr>
              <w:spacing w:before="40" w:after="40"/>
            </w:pPr>
            <w:r>
              <w:t>Assume negligible amount of bait is consumed.</w:t>
            </w:r>
          </w:p>
        </w:tc>
      </w:tr>
      <w:tr w:rsidR="00BA7C2C" w:rsidRPr="000F2B17" w:rsidTr="00613EE2">
        <w:trPr>
          <w:cantSplit/>
        </w:trPr>
        <w:tc>
          <w:tcPr>
            <w:tcW w:w="9214" w:type="dxa"/>
            <w:gridSpan w:val="6"/>
            <w:tcBorders>
              <w:top w:val="double" w:sz="4" w:space="0" w:color="auto"/>
              <w:bottom w:val="double" w:sz="4" w:space="0" w:color="auto"/>
            </w:tcBorders>
          </w:tcPr>
          <w:p w:rsidR="00BA7C2C" w:rsidRPr="000F2B17" w:rsidRDefault="00BA7C2C" w:rsidP="00613EE2">
            <w:pPr>
              <w:spacing w:before="40" w:after="40"/>
            </w:pPr>
            <w:r w:rsidRPr="000F2B17">
              <w:rPr>
                <w:b/>
              </w:rPr>
              <w:t>Dermal Exposure</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Measured value for amount of product on gloves:</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4.09</w:t>
            </w:r>
            <w:r w:rsidRPr="000F2B17">
              <w:t xml:space="preserve"> mg</w:t>
            </w:r>
            <w:r>
              <w:t xml:space="preserve"> product</w:t>
            </w:r>
            <w:r w:rsidRPr="000F2B17">
              <w:t>/</w:t>
            </w:r>
            <w:r>
              <w:t>bait point</w:t>
            </w:r>
            <w:r w:rsidRPr="000F2B17">
              <w:t xml:space="preserve"> during disposal</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red paste</w:t>
            </w:r>
            <w:r w:rsidRPr="000F2B17">
              <w:t xml:space="preserve"> on gloves during disposal:</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4.09</w:t>
            </w:r>
            <w:r w:rsidRPr="000F2B17">
              <w:t xml:space="preserve"> </w:t>
            </w:r>
            <w:r>
              <w:t xml:space="preserve">mg </w:t>
            </w:r>
            <w:r w:rsidRPr="000F2B17">
              <w:t xml:space="preserve">x </w:t>
            </w:r>
            <w:r>
              <w:t>50</w:t>
            </w:r>
            <w:r w:rsidRPr="000F2B17">
              <w:t xml:space="preserve"> = </w:t>
            </w:r>
            <w:r>
              <w:t>204.5</w:t>
            </w:r>
            <w:r w:rsidRPr="000F2B17">
              <w:t xml:space="preserve"> mg</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Concentration of </w:t>
            </w:r>
            <w:r>
              <w:t>bromadiolone</w:t>
            </w:r>
            <w:r w:rsidRPr="000F2B17">
              <w: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mg/kg</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gloves:</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x </w:t>
            </w:r>
            <w:r>
              <w:t xml:space="preserve">204.5 </w:t>
            </w:r>
            <w:r w:rsidRPr="000F2B17">
              <w:t>÷10</w:t>
            </w:r>
            <w:r w:rsidRPr="000F2B17">
              <w:rPr>
                <w:vertAlign w:val="superscript"/>
              </w:rPr>
              <w:t>6</w:t>
            </w:r>
            <w:r w:rsidRPr="000F2B17">
              <w:t xml:space="preserve"> mg = </w:t>
            </w:r>
            <w:r>
              <w:t>0.0102</w:t>
            </w:r>
            <w:r w:rsidRPr="000F2B17">
              <w:t xml:space="preserve"> mg/day</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Reduction in exposure from gloves:</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rsidRPr="000F2B17">
              <w:t>90%</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skin:</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0.010</w:t>
            </w:r>
            <w:r w:rsidRPr="000F2B17">
              <w:t xml:space="preserve"> x (10  ÷ 100) mg = </w:t>
            </w:r>
            <w:r>
              <w:t>1.02 x 10</w:t>
            </w:r>
            <w:r w:rsidRPr="00F4497F">
              <w:rPr>
                <w:vertAlign w:val="superscript"/>
              </w:rPr>
              <w:t>-3</w:t>
            </w:r>
            <w:r w:rsidRPr="000F2B17">
              <w:t xml:space="preserve"> mg/day</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Dermal absorption of </w:t>
            </w:r>
            <w:r>
              <w:t>bromadiolone</w:t>
            </w:r>
            <w:r w:rsidRPr="000F2B17">
              <w: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1.6</w:t>
            </w:r>
            <w:r w:rsidRPr="000F2B17">
              <w:t>%</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Systemic exposure of </w:t>
            </w:r>
            <w:r>
              <w:t>bromadiolone</w:t>
            </w:r>
            <w:r w:rsidRPr="000F2B17">
              <w: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1.64 x 10</w:t>
            </w:r>
            <w:r w:rsidRPr="00CA6C72">
              <w:rPr>
                <w:vertAlign w:val="superscript"/>
              </w:rPr>
              <w:t>-</w:t>
            </w:r>
            <w:r>
              <w:rPr>
                <w:vertAlign w:val="superscript"/>
              </w:rPr>
              <w:t>5</w:t>
            </w:r>
            <w:r w:rsidRPr="000F2B17">
              <w:t xml:space="preserve"> mg/day</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Operator body weight: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smartTag w:uri="urn:schemas-microsoft-com:office:smarttags" w:element="metricconverter">
              <w:smartTagPr>
                <w:attr w:name="ProductID" w:val="60 kg"/>
              </w:smartTagPr>
              <w:r w:rsidRPr="000F2B17">
                <w:t>60 kg</w:t>
              </w:r>
            </w:smartTag>
          </w:p>
        </w:tc>
      </w:tr>
      <w:tr w:rsidR="00BA7C2C" w:rsidRPr="001A6878" w:rsidTr="00613EE2">
        <w:trPr>
          <w:cantSplit/>
        </w:trPr>
        <w:tc>
          <w:tcPr>
            <w:tcW w:w="4886" w:type="dxa"/>
            <w:gridSpan w:val="4"/>
            <w:tcBorders>
              <w:top w:val="single" w:sz="6" w:space="0" w:color="auto"/>
              <w:bottom w:val="double" w:sz="4" w:space="0" w:color="auto"/>
              <w:right w:val="single" w:sz="6" w:space="0" w:color="auto"/>
            </w:tcBorders>
          </w:tcPr>
          <w:p w:rsidR="00BA7C2C" w:rsidRPr="001A6878" w:rsidRDefault="00BA7C2C" w:rsidP="00613EE2">
            <w:pPr>
              <w:spacing w:before="40" w:after="40"/>
              <w:rPr>
                <w:b/>
              </w:rPr>
            </w:pPr>
            <w:r w:rsidRPr="001A6878">
              <w:rPr>
                <w:b/>
              </w:rPr>
              <w:t xml:space="preserve">Dermal exposure of </w:t>
            </w:r>
            <w:r>
              <w:rPr>
                <w:b/>
              </w:rPr>
              <w:t>bromadiolone</w:t>
            </w:r>
            <w:r w:rsidRPr="001A6878">
              <w:rPr>
                <w:b/>
              </w:rPr>
              <w:t xml:space="preserve"> during disposal:</w:t>
            </w:r>
          </w:p>
        </w:tc>
        <w:tc>
          <w:tcPr>
            <w:tcW w:w="4328" w:type="dxa"/>
            <w:gridSpan w:val="2"/>
            <w:tcBorders>
              <w:top w:val="single" w:sz="6" w:space="0" w:color="auto"/>
              <w:left w:val="single" w:sz="6" w:space="0" w:color="auto"/>
              <w:bottom w:val="double" w:sz="4" w:space="0" w:color="auto"/>
            </w:tcBorders>
          </w:tcPr>
          <w:p w:rsidR="00BA7C2C" w:rsidRPr="001A6878" w:rsidRDefault="00BA7C2C" w:rsidP="00613EE2">
            <w:pPr>
              <w:spacing w:before="40" w:after="40"/>
              <w:rPr>
                <w:b/>
              </w:rPr>
            </w:pPr>
            <w:r>
              <w:rPr>
                <w:b/>
              </w:rPr>
              <w:t>2.73</w:t>
            </w:r>
            <w:r w:rsidRPr="001A6878">
              <w:rPr>
                <w:b/>
              </w:rPr>
              <w:t xml:space="preserve"> x 10</w:t>
            </w:r>
            <w:r w:rsidRPr="001A6878">
              <w:rPr>
                <w:b/>
                <w:vertAlign w:val="superscript"/>
              </w:rPr>
              <w:t>-</w:t>
            </w:r>
            <w:r>
              <w:rPr>
                <w:b/>
                <w:vertAlign w:val="superscript"/>
              </w:rPr>
              <w:t>7</w:t>
            </w:r>
            <w:r w:rsidRPr="001A6878">
              <w:rPr>
                <w:b/>
              </w:rPr>
              <w:t xml:space="preserve"> mg/kg bw/day</w:t>
            </w:r>
          </w:p>
        </w:tc>
      </w:tr>
    </w:tbl>
    <w:p w:rsidR="00BA7C2C" w:rsidRDefault="00BA7C2C" w:rsidP="00BA7C2C">
      <w:pPr>
        <w:spacing w:after="120"/>
        <w:rPr>
          <w:noProof/>
          <w:szCs w:val="22"/>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8"/>
        <w:gridCol w:w="1932"/>
        <w:gridCol w:w="784"/>
        <w:gridCol w:w="952"/>
        <w:gridCol w:w="1493"/>
        <w:gridCol w:w="2835"/>
      </w:tblGrid>
      <w:tr w:rsidR="00BA7C2C" w:rsidTr="00613EE2">
        <w:trPr>
          <w:cantSplit/>
        </w:trPr>
        <w:tc>
          <w:tcPr>
            <w:tcW w:w="1218" w:type="dxa"/>
          </w:tcPr>
          <w:p w:rsidR="00BA7C2C" w:rsidRDefault="00BA7C2C" w:rsidP="00613EE2">
            <w:pPr>
              <w:spacing w:before="40" w:after="40"/>
              <w:rPr>
                <w:b/>
              </w:rPr>
            </w:pPr>
            <w:r>
              <w:rPr>
                <w:b/>
              </w:rPr>
              <w:t>Product and intended use</w:t>
            </w:r>
          </w:p>
        </w:tc>
        <w:tc>
          <w:tcPr>
            <w:tcW w:w="1932" w:type="dxa"/>
          </w:tcPr>
          <w:p w:rsidR="00BA7C2C" w:rsidRDefault="00BA7C2C" w:rsidP="00613EE2">
            <w:pPr>
              <w:spacing w:before="40" w:after="40"/>
              <w:rPr>
                <w:b/>
              </w:rPr>
            </w:pPr>
            <w:r>
              <w:rPr>
                <w:b/>
              </w:rPr>
              <w:t>Exposure scenario</w:t>
            </w:r>
          </w:p>
        </w:tc>
        <w:tc>
          <w:tcPr>
            <w:tcW w:w="784" w:type="dxa"/>
          </w:tcPr>
          <w:p w:rsidR="00BA7C2C" w:rsidRDefault="00BA7C2C" w:rsidP="00613EE2">
            <w:pPr>
              <w:spacing w:before="40" w:after="40"/>
              <w:rPr>
                <w:b/>
              </w:rPr>
            </w:pPr>
            <w:r>
              <w:rPr>
                <w:b/>
              </w:rPr>
              <w:t>PPE</w:t>
            </w:r>
          </w:p>
        </w:tc>
        <w:tc>
          <w:tcPr>
            <w:tcW w:w="2445" w:type="dxa"/>
            <w:gridSpan w:val="2"/>
          </w:tcPr>
          <w:p w:rsidR="00BA7C2C" w:rsidRDefault="00BA7C2C" w:rsidP="00613EE2">
            <w:pPr>
              <w:spacing w:before="40" w:after="40"/>
              <w:rPr>
                <w:b/>
              </w:rPr>
            </w:pPr>
            <w:r>
              <w:rPr>
                <w:b/>
              </w:rPr>
              <w:t>Inhalational uptake</w:t>
            </w:r>
            <w:r>
              <w:rPr>
                <w:b/>
              </w:rPr>
              <w:br/>
              <w:t>Exposure (mg/m</w:t>
            </w:r>
            <w:r>
              <w:rPr>
                <w:b/>
                <w:vertAlign w:val="superscript"/>
              </w:rPr>
              <w:t>3</w:t>
            </w:r>
            <w:r>
              <w:rPr>
                <w:b/>
              </w:rPr>
              <w:t>)</w:t>
            </w:r>
          </w:p>
        </w:tc>
        <w:tc>
          <w:tcPr>
            <w:tcW w:w="2835" w:type="dxa"/>
          </w:tcPr>
          <w:p w:rsidR="00BA7C2C" w:rsidRDefault="00BA7C2C" w:rsidP="00613EE2">
            <w:pPr>
              <w:spacing w:before="40" w:after="40"/>
              <w:rPr>
                <w:b/>
              </w:rPr>
            </w:pPr>
            <w:r>
              <w:rPr>
                <w:b/>
              </w:rPr>
              <w:t>Dermal uptake</w:t>
            </w:r>
            <w:r>
              <w:rPr>
                <w:b/>
              </w:rPr>
              <w:br/>
              <w:t>Exposure (mg/m</w:t>
            </w:r>
            <w:r>
              <w:rPr>
                <w:b/>
                <w:vertAlign w:val="superscript"/>
              </w:rPr>
              <w:t>2</w:t>
            </w:r>
            <w:r>
              <w:rPr>
                <w:b/>
              </w:rPr>
              <w:t>)</w:t>
            </w:r>
          </w:p>
        </w:tc>
      </w:tr>
      <w:tr w:rsidR="00BA7C2C" w:rsidTr="00613EE2">
        <w:trPr>
          <w:cantSplit/>
        </w:trPr>
        <w:tc>
          <w:tcPr>
            <w:tcW w:w="1218" w:type="dxa"/>
            <w:tcBorders>
              <w:top w:val="single" w:sz="6" w:space="0" w:color="auto"/>
              <w:bottom w:val="single" w:sz="6" w:space="0" w:color="auto"/>
            </w:tcBorders>
          </w:tcPr>
          <w:p w:rsidR="00BA7C2C" w:rsidRPr="00F4497F" w:rsidRDefault="00BA7C2C" w:rsidP="00613EE2">
            <w:pPr>
              <w:spacing w:before="40" w:after="40"/>
            </w:pPr>
            <w:r>
              <w:lastRenderedPageBreak/>
              <w:t xml:space="preserve">MAKI PAT’ </w:t>
            </w:r>
          </w:p>
          <w:p w:rsidR="00BA7C2C" w:rsidRDefault="00BA7C2C" w:rsidP="00613EE2">
            <w:pPr>
              <w:spacing w:before="40" w:after="40"/>
            </w:pPr>
            <w:r>
              <w:t>Open areas for control of rodents.</w:t>
            </w:r>
          </w:p>
        </w:tc>
        <w:tc>
          <w:tcPr>
            <w:tcW w:w="1932" w:type="dxa"/>
            <w:tcBorders>
              <w:top w:val="single" w:sz="6" w:space="0" w:color="auto"/>
            </w:tcBorders>
          </w:tcPr>
          <w:p w:rsidR="00BA7C2C" w:rsidRDefault="00BA7C2C" w:rsidP="00613EE2">
            <w:pPr>
              <w:spacing w:before="40" w:after="40"/>
            </w:pPr>
            <w:r>
              <w:t>Cleaning up 30 bait points/ day.</w:t>
            </w:r>
          </w:p>
          <w:p w:rsidR="00BA7C2C" w:rsidRDefault="00BA7C2C" w:rsidP="00613EE2">
            <w:pPr>
              <w:spacing w:before="40" w:after="40"/>
            </w:pPr>
            <w:r>
              <w:t>6 sachets per bait point.</w:t>
            </w:r>
          </w:p>
          <w:p w:rsidR="00BA7C2C" w:rsidRDefault="00BA7C2C" w:rsidP="00613EE2">
            <w:pPr>
              <w:spacing w:before="40" w:after="40"/>
            </w:pPr>
            <w:r>
              <w:t>Loading product is not relevant due to protective packaging</w:t>
            </w:r>
          </w:p>
        </w:tc>
        <w:tc>
          <w:tcPr>
            <w:tcW w:w="784" w:type="dxa"/>
            <w:tcBorders>
              <w:top w:val="single" w:sz="6" w:space="0" w:color="auto"/>
            </w:tcBorders>
          </w:tcPr>
          <w:p w:rsidR="00BA7C2C" w:rsidRDefault="00BA7C2C" w:rsidP="00613EE2">
            <w:pPr>
              <w:spacing w:before="40" w:after="40"/>
            </w:pPr>
            <w:r>
              <w:t>Gloves</w:t>
            </w:r>
          </w:p>
        </w:tc>
        <w:tc>
          <w:tcPr>
            <w:tcW w:w="2445" w:type="dxa"/>
            <w:gridSpan w:val="2"/>
            <w:tcBorders>
              <w:top w:val="single" w:sz="6" w:space="0" w:color="auto"/>
            </w:tcBorders>
          </w:tcPr>
          <w:p w:rsidR="00BA7C2C" w:rsidRDefault="00BA7C2C" w:rsidP="00613EE2">
            <w:pPr>
              <w:spacing w:before="40" w:after="40"/>
            </w:pPr>
            <w:r>
              <w:t xml:space="preserve">Not considered for cleaning since negligible measured residues present during </w:t>
            </w:r>
            <w:r w:rsidRPr="003329D5">
              <w:t xml:space="preserve">cleaning </w:t>
            </w:r>
            <w:r>
              <w:t xml:space="preserve">of </w:t>
            </w:r>
            <w:r w:rsidRPr="003329D5">
              <w:t>bait boxes in pilot exposure study.</w:t>
            </w:r>
          </w:p>
        </w:tc>
        <w:tc>
          <w:tcPr>
            <w:tcW w:w="2835" w:type="dxa"/>
            <w:tcBorders>
              <w:top w:val="single" w:sz="6" w:space="0" w:color="auto"/>
            </w:tcBorders>
          </w:tcPr>
          <w:p w:rsidR="00BA7C2C" w:rsidRDefault="00BA7C2C" w:rsidP="00613EE2">
            <w:pPr>
              <w:spacing w:before="40" w:after="40"/>
            </w:pPr>
            <w:r w:rsidRPr="003329D5">
              <w:t xml:space="preserve">Measured as </w:t>
            </w:r>
            <w:r>
              <w:t>4.09</w:t>
            </w:r>
            <w:r w:rsidRPr="003329D5">
              <w:t xml:space="preserve"> mg product/gloves (geometric mean value) when cleaning up </w:t>
            </w:r>
            <w:r>
              <w:t xml:space="preserve">a </w:t>
            </w:r>
            <w:r w:rsidRPr="003329D5">
              <w:t xml:space="preserve">bait box </w:t>
            </w:r>
            <w:r>
              <w:t>containing 6 sachets an</w:t>
            </w:r>
            <w:r w:rsidRPr="003329D5">
              <w:t xml:space="preserve">d disposing of </w:t>
            </w:r>
            <w:r>
              <w:t xml:space="preserve">the </w:t>
            </w:r>
            <w:r w:rsidRPr="003329D5">
              <w:t>unwanted bait</w:t>
            </w:r>
            <w:r>
              <w:t>.</w:t>
            </w:r>
          </w:p>
          <w:p w:rsidR="00BA7C2C" w:rsidRDefault="00BA7C2C" w:rsidP="00613EE2">
            <w:pPr>
              <w:spacing w:before="40" w:after="40"/>
            </w:pPr>
            <w:r>
              <w:t>Assume negligible amount of bait is consumed.</w:t>
            </w:r>
          </w:p>
        </w:tc>
      </w:tr>
      <w:tr w:rsidR="00BA7C2C" w:rsidRPr="000F2B17" w:rsidTr="00613EE2">
        <w:trPr>
          <w:cantSplit/>
        </w:trPr>
        <w:tc>
          <w:tcPr>
            <w:tcW w:w="9214" w:type="dxa"/>
            <w:gridSpan w:val="6"/>
            <w:tcBorders>
              <w:top w:val="double" w:sz="4" w:space="0" w:color="auto"/>
              <w:bottom w:val="double" w:sz="4" w:space="0" w:color="auto"/>
            </w:tcBorders>
          </w:tcPr>
          <w:p w:rsidR="00BA7C2C" w:rsidRPr="000F2B17" w:rsidRDefault="00BA7C2C" w:rsidP="00613EE2">
            <w:pPr>
              <w:spacing w:before="40" w:after="40"/>
            </w:pPr>
            <w:r w:rsidRPr="000F2B17">
              <w:rPr>
                <w:b/>
              </w:rPr>
              <w:t>Dermal Exposure</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Measured value for amount of product on gloves:</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4.09</w:t>
            </w:r>
            <w:r w:rsidRPr="000F2B17">
              <w:t xml:space="preserve"> mg</w:t>
            </w:r>
            <w:r>
              <w:t xml:space="preserve"> product</w:t>
            </w:r>
            <w:r w:rsidRPr="000F2B17">
              <w:t>/</w:t>
            </w:r>
            <w:r>
              <w:t>bait point</w:t>
            </w:r>
            <w:r w:rsidRPr="000F2B17">
              <w:t xml:space="preserve"> during disposal</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red paste</w:t>
            </w:r>
            <w:r w:rsidRPr="000F2B17">
              <w:t xml:space="preserve"> on gloves during disposal:</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4.09</w:t>
            </w:r>
            <w:r w:rsidRPr="000F2B17">
              <w:t xml:space="preserve"> </w:t>
            </w:r>
            <w:r>
              <w:t xml:space="preserve">mg </w:t>
            </w:r>
            <w:r w:rsidRPr="000F2B17">
              <w:t xml:space="preserve">x </w:t>
            </w:r>
            <w:r>
              <w:t>30</w:t>
            </w:r>
            <w:r w:rsidRPr="000F2B17">
              <w:t xml:space="preserve"> = </w:t>
            </w:r>
            <w:r>
              <w:t>122.7</w:t>
            </w:r>
            <w:r w:rsidRPr="000F2B17">
              <w:t xml:space="preserve"> mg</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Concentration of </w:t>
            </w:r>
            <w:r>
              <w:t>bromadiolone</w:t>
            </w:r>
            <w:r w:rsidRPr="000F2B17">
              <w: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mg/kg</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gloves:</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x </w:t>
            </w:r>
            <w:r>
              <w:t>122.7</w:t>
            </w:r>
            <w:r w:rsidRPr="000F2B17">
              <w:t xml:space="preserve"> ÷10</w:t>
            </w:r>
            <w:r w:rsidRPr="000F2B17">
              <w:rPr>
                <w:vertAlign w:val="superscript"/>
              </w:rPr>
              <w:t>6</w:t>
            </w:r>
            <w:r w:rsidRPr="000F2B17">
              <w:t xml:space="preserve"> mg = </w:t>
            </w:r>
            <w:r>
              <w:t>6.135 x 10</w:t>
            </w:r>
            <w:r w:rsidRPr="002B62D0">
              <w:rPr>
                <w:vertAlign w:val="superscript"/>
              </w:rPr>
              <w:t>-3</w:t>
            </w:r>
            <w:r w:rsidRPr="000F2B17">
              <w:t xml:space="preserve"> mg/day</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Reduction in exposure from gloves:</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rsidRPr="000F2B17">
              <w:t>90%</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skin:</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6.135 x 10</w:t>
            </w:r>
            <w:r w:rsidRPr="002B62D0">
              <w:rPr>
                <w:vertAlign w:val="superscript"/>
              </w:rPr>
              <w:t>-3</w:t>
            </w:r>
            <w:r w:rsidRPr="000F2B17">
              <w:t xml:space="preserve"> x (10  ÷ 100) mg = </w:t>
            </w:r>
            <w:r>
              <w:t>6.135 x 10</w:t>
            </w:r>
            <w:r w:rsidRPr="002B62D0">
              <w:rPr>
                <w:vertAlign w:val="superscript"/>
              </w:rPr>
              <w:t>-</w:t>
            </w:r>
            <w:r>
              <w:rPr>
                <w:vertAlign w:val="superscript"/>
              </w:rPr>
              <w:t>4</w:t>
            </w:r>
            <w:r w:rsidRPr="000F2B17">
              <w:t xml:space="preserve"> mg/day</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Dermal absorption of </w:t>
            </w:r>
            <w:r>
              <w:t>bromadiolone</w:t>
            </w:r>
            <w:r w:rsidRPr="000F2B17">
              <w: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1.6</w:t>
            </w:r>
            <w:r w:rsidRPr="000F2B17">
              <w:t>%</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Systemic exposure of </w:t>
            </w:r>
            <w:r>
              <w:t>bromadiolone</w:t>
            </w:r>
            <w:r w:rsidRPr="000F2B17">
              <w: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9.82 x 10</w:t>
            </w:r>
            <w:r w:rsidRPr="00CA6C72">
              <w:rPr>
                <w:vertAlign w:val="superscript"/>
              </w:rPr>
              <w:t>-</w:t>
            </w:r>
            <w:r>
              <w:rPr>
                <w:vertAlign w:val="superscript"/>
              </w:rPr>
              <w:t>6</w:t>
            </w:r>
            <w:r w:rsidRPr="000F2B17">
              <w:t xml:space="preserve"> mg/day</w:t>
            </w:r>
          </w:p>
        </w:tc>
      </w:tr>
      <w:tr w:rsidR="00BA7C2C" w:rsidRPr="000F2B17" w:rsidTr="00613EE2">
        <w:trPr>
          <w:cantSplit/>
        </w:trPr>
        <w:tc>
          <w:tcPr>
            <w:tcW w:w="4886"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Operator body weight:</w:t>
            </w:r>
          </w:p>
        </w:tc>
        <w:tc>
          <w:tcPr>
            <w:tcW w:w="4328"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smartTag w:uri="urn:schemas-microsoft-com:office:smarttags" w:element="metricconverter">
              <w:smartTagPr>
                <w:attr w:name="ProductID" w:val="60 kg"/>
              </w:smartTagPr>
              <w:r w:rsidRPr="000F2B17">
                <w:t>60 kg</w:t>
              </w:r>
            </w:smartTag>
          </w:p>
        </w:tc>
      </w:tr>
      <w:tr w:rsidR="00BA7C2C" w:rsidRPr="001A6878" w:rsidTr="00613EE2">
        <w:trPr>
          <w:cantSplit/>
        </w:trPr>
        <w:tc>
          <w:tcPr>
            <w:tcW w:w="4886" w:type="dxa"/>
            <w:gridSpan w:val="4"/>
            <w:tcBorders>
              <w:top w:val="single" w:sz="6" w:space="0" w:color="auto"/>
              <w:bottom w:val="double" w:sz="4" w:space="0" w:color="auto"/>
              <w:right w:val="single" w:sz="6" w:space="0" w:color="auto"/>
            </w:tcBorders>
          </w:tcPr>
          <w:p w:rsidR="00BA7C2C" w:rsidRPr="001A6878" w:rsidRDefault="00BA7C2C" w:rsidP="00613EE2">
            <w:pPr>
              <w:spacing w:before="40" w:after="40"/>
              <w:rPr>
                <w:b/>
              </w:rPr>
            </w:pPr>
            <w:r w:rsidRPr="001A6878">
              <w:rPr>
                <w:b/>
              </w:rPr>
              <w:t xml:space="preserve">Dermal exposure of </w:t>
            </w:r>
            <w:r>
              <w:rPr>
                <w:b/>
              </w:rPr>
              <w:t>bromadiolone</w:t>
            </w:r>
            <w:r w:rsidRPr="001A6878">
              <w:rPr>
                <w:b/>
              </w:rPr>
              <w:t xml:space="preserve"> during disposal:</w:t>
            </w:r>
          </w:p>
        </w:tc>
        <w:tc>
          <w:tcPr>
            <w:tcW w:w="4328" w:type="dxa"/>
            <w:gridSpan w:val="2"/>
            <w:tcBorders>
              <w:top w:val="single" w:sz="6" w:space="0" w:color="auto"/>
              <w:left w:val="single" w:sz="6" w:space="0" w:color="auto"/>
              <w:bottom w:val="double" w:sz="4" w:space="0" w:color="auto"/>
            </w:tcBorders>
          </w:tcPr>
          <w:p w:rsidR="00BA7C2C" w:rsidRPr="001A6878" w:rsidRDefault="00BA7C2C" w:rsidP="00613EE2">
            <w:pPr>
              <w:spacing w:before="40" w:after="40"/>
              <w:rPr>
                <w:b/>
              </w:rPr>
            </w:pPr>
            <w:r>
              <w:rPr>
                <w:b/>
              </w:rPr>
              <w:t>1.64</w:t>
            </w:r>
            <w:r w:rsidRPr="001A6878">
              <w:rPr>
                <w:b/>
              </w:rPr>
              <w:t xml:space="preserve"> x 10</w:t>
            </w:r>
            <w:r w:rsidRPr="001A6878">
              <w:rPr>
                <w:b/>
                <w:vertAlign w:val="superscript"/>
              </w:rPr>
              <w:t>-</w:t>
            </w:r>
            <w:r>
              <w:rPr>
                <w:b/>
                <w:vertAlign w:val="superscript"/>
              </w:rPr>
              <w:t>7</w:t>
            </w:r>
            <w:r w:rsidRPr="001A6878">
              <w:rPr>
                <w:b/>
              </w:rPr>
              <w:t xml:space="preserve"> mg/kg bw/day</w:t>
            </w:r>
          </w:p>
        </w:tc>
      </w:tr>
    </w:tbl>
    <w:p w:rsidR="00BA7C2C" w:rsidRPr="00470CB4" w:rsidRDefault="00BA7C2C" w:rsidP="00BA7C2C">
      <w:pPr>
        <w:spacing w:after="120"/>
        <w:rPr>
          <w:noProof/>
          <w:szCs w:val="22"/>
        </w:rPr>
      </w:pPr>
    </w:p>
    <w:tbl>
      <w:tblPr>
        <w:tblW w:w="96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399"/>
        <w:gridCol w:w="1213"/>
        <w:gridCol w:w="1122"/>
        <w:gridCol w:w="1175"/>
        <w:gridCol w:w="1118"/>
        <w:gridCol w:w="1134"/>
        <w:gridCol w:w="1119"/>
      </w:tblGrid>
      <w:tr w:rsidR="00BA7C2C" w:rsidRPr="00A0425E" w:rsidTr="00613EE2">
        <w:trPr>
          <w:trHeight w:val="803"/>
        </w:trPr>
        <w:tc>
          <w:tcPr>
            <w:tcW w:w="1363" w:type="dxa"/>
            <w:noWrap/>
          </w:tcPr>
          <w:p w:rsidR="00BA7C2C" w:rsidRPr="005B352A" w:rsidRDefault="00BA7C2C" w:rsidP="00613EE2">
            <w:pPr>
              <w:spacing w:before="40" w:after="40"/>
              <w:rPr>
                <w:b/>
              </w:rPr>
            </w:pPr>
            <w:r w:rsidRPr="005B352A">
              <w:rPr>
                <w:b/>
              </w:rPr>
              <w:t xml:space="preserve">Exposure scenario </w:t>
            </w:r>
          </w:p>
        </w:tc>
        <w:tc>
          <w:tcPr>
            <w:tcW w:w="1399" w:type="dxa"/>
            <w:noWrap/>
          </w:tcPr>
          <w:p w:rsidR="00BA7C2C" w:rsidRPr="005B352A" w:rsidRDefault="00BA7C2C" w:rsidP="00613EE2">
            <w:pPr>
              <w:spacing w:before="40" w:after="40"/>
              <w:rPr>
                <w:b/>
              </w:rPr>
            </w:pPr>
            <w:r w:rsidRPr="005B352A">
              <w:rPr>
                <w:b/>
              </w:rPr>
              <w:t>Component</w:t>
            </w:r>
          </w:p>
          <w:p w:rsidR="00BA7C2C" w:rsidRPr="005B352A" w:rsidRDefault="00BA7C2C" w:rsidP="00613EE2">
            <w:pPr>
              <w:spacing w:before="40" w:after="40"/>
              <w:rPr>
                <w:b/>
              </w:rPr>
            </w:pPr>
          </w:p>
          <w:p w:rsidR="00BA7C2C" w:rsidRPr="005B352A" w:rsidRDefault="00BA7C2C" w:rsidP="00613EE2">
            <w:pPr>
              <w:spacing w:before="40" w:after="40"/>
              <w:rPr>
                <w:b/>
              </w:rPr>
            </w:pPr>
          </w:p>
          <w:p w:rsidR="00BA7C2C" w:rsidRPr="005B352A" w:rsidRDefault="00BA7C2C" w:rsidP="00613EE2">
            <w:pPr>
              <w:spacing w:before="40" w:after="40"/>
              <w:rPr>
                <w:b/>
              </w:rPr>
            </w:pPr>
          </w:p>
        </w:tc>
        <w:tc>
          <w:tcPr>
            <w:tcW w:w="1213" w:type="dxa"/>
          </w:tcPr>
          <w:p w:rsidR="00BA7C2C" w:rsidRPr="005B352A" w:rsidRDefault="00BA7C2C" w:rsidP="00613EE2">
            <w:pPr>
              <w:spacing w:before="40" w:after="40"/>
              <w:rPr>
                <w:b/>
              </w:rPr>
            </w:pPr>
            <w:r w:rsidRPr="005B352A">
              <w:rPr>
                <w:b/>
              </w:rPr>
              <w:t>CAS</w:t>
            </w:r>
          </w:p>
          <w:p w:rsidR="00BA7C2C" w:rsidRPr="005B352A" w:rsidRDefault="00BA7C2C" w:rsidP="00613EE2">
            <w:pPr>
              <w:spacing w:before="40" w:after="40"/>
              <w:rPr>
                <w:b/>
              </w:rPr>
            </w:pPr>
          </w:p>
          <w:p w:rsidR="00BA7C2C" w:rsidRPr="005B352A" w:rsidRDefault="00BA7C2C" w:rsidP="00613EE2">
            <w:pPr>
              <w:spacing w:before="40" w:after="40"/>
              <w:rPr>
                <w:b/>
              </w:rPr>
            </w:pPr>
          </w:p>
          <w:p w:rsidR="00BA7C2C" w:rsidRPr="005B352A" w:rsidRDefault="00BA7C2C" w:rsidP="00613EE2">
            <w:pPr>
              <w:spacing w:before="40" w:after="40"/>
              <w:rPr>
                <w:b/>
              </w:rPr>
            </w:pPr>
          </w:p>
        </w:tc>
        <w:tc>
          <w:tcPr>
            <w:tcW w:w="1122" w:type="dxa"/>
          </w:tcPr>
          <w:p w:rsidR="00BA7C2C" w:rsidRPr="005B352A" w:rsidRDefault="00BA7C2C" w:rsidP="00613EE2">
            <w:pPr>
              <w:spacing w:before="40" w:after="40"/>
              <w:rPr>
                <w:b/>
              </w:rPr>
            </w:pPr>
            <w:r w:rsidRPr="005B352A">
              <w:rPr>
                <w:b/>
              </w:rPr>
              <w:t xml:space="preserve">Dermal </w:t>
            </w:r>
            <w:r w:rsidRPr="005B352A">
              <w:rPr>
                <w:b/>
              </w:rPr>
              <w:br/>
              <w:t>Total [mg/day] (no PPE)</w:t>
            </w:r>
          </w:p>
        </w:tc>
        <w:tc>
          <w:tcPr>
            <w:tcW w:w="1175" w:type="dxa"/>
          </w:tcPr>
          <w:p w:rsidR="00BA7C2C" w:rsidRPr="005B352A" w:rsidRDefault="00BA7C2C" w:rsidP="00613EE2">
            <w:pPr>
              <w:spacing w:before="40" w:after="40"/>
              <w:rPr>
                <w:b/>
              </w:rPr>
            </w:pPr>
            <w:r w:rsidRPr="005B352A">
              <w:rPr>
                <w:b/>
              </w:rPr>
              <w:t>Dermal Total [mg/kg/d] (no PPE)</w:t>
            </w:r>
          </w:p>
        </w:tc>
        <w:tc>
          <w:tcPr>
            <w:tcW w:w="1118" w:type="dxa"/>
          </w:tcPr>
          <w:p w:rsidR="00BA7C2C" w:rsidRPr="005B352A" w:rsidRDefault="00BA7C2C" w:rsidP="00613EE2">
            <w:pPr>
              <w:spacing w:before="40" w:after="40"/>
              <w:rPr>
                <w:b/>
              </w:rPr>
            </w:pPr>
            <w:r w:rsidRPr="005B352A">
              <w:rPr>
                <w:b/>
              </w:rPr>
              <w:t xml:space="preserve">Dermal </w:t>
            </w:r>
            <w:r w:rsidRPr="005B352A">
              <w:rPr>
                <w:b/>
              </w:rPr>
              <w:br/>
              <w:t>Total [mg/day] (gloves, 90% reduction)</w:t>
            </w:r>
          </w:p>
        </w:tc>
        <w:tc>
          <w:tcPr>
            <w:tcW w:w="1134" w:type="dxa"/>
          </w:tcPr>
          <w:p w:rsidR="00BA7C2C" w:rsidRPr="005B352A" w:rsidRDefault="00BA7C2C" w:rsidP="00613EE2">
            <w:pPr>
              <w:spacing w:before="40" w:after="40"/>
              <w:rPr>
                <w:b/>
              </w:rPr>
            </w:pPr>
            <w:r w:rsidRPr="005B352A">
              <w:rPr>
                <w:b/>
              </w:rPr>
              <w:t>Dermal</w:t>
            </w:r>
            <w:r w:rsidRPr="005B352A">
              <w:rPr>
                <w:b/>
              </w:rPr>
              <w:br/>
              <w:t>Total [mg/kg/d] (gloves, 90% reduction)</w:t>
            </w:r>
          </w:p>
        </w:tc>
        <w:tc>
          <w:tcPr>
            <w:tcW w:w="1119" w:type="dxa"/>
          </w:tcPr>
          <w:p w:rsidR="00BA7C2C" w:rsidRPr="005B352A" w:rsidRDefault="00BA7C2C" w:rsidP="00613EE2">
            <w:pPr>
              <w:spacing w:before="40" w:after="40"/>
              <w:rPr>
                <w:b/>
              </w:rPr>
            </w:pPr>
            <w:r w:rsidRPr="005B352A">
              <w:rPr>
                <w:b/>
              </w:rPr>
              <w:t>Inhalation</w:t>
            </w:r>
            <w:r w:rsidRPr="005B352A">
              <w:rPr>
                <w:b/>
              </w:rPr>
              <w:br/>
              <w:t>Exposure [mg/m³]</w:t>
            </w:r>
          </w:p>
        </w:tc>
      </w:tr>
      <w:tr w:rsidR="00BA7C2C" w:rsidRPr="00A0425E" w:rsidTr="00613EE2">
        <w:trPr>
          <w:trHeight w:val="255"/>
        </w:trPr>
        <w:tc>
          <w:tcPr>
            <w:tcW w:w="1363" w:type="dxa"/>
            <w:noWrap/>
          </w:tcPr>
          <w:p w:rsidR="00BA7C2C" w:rsidRPr="00A0425E" w:rsidRDefault="00BA7C2C" w:rsidP="00613EE2">
            <w:pPr>
              <w:spacing w:after="120"/>
              <w:rPr>
                <w:noProof/>
              </w:rPr>
            </w:pPr>
            <w:r>
              <w:t>Application in and around b</w:t>
            </w:r>
            <w:r w:rsidRPr="00F4497F">
              <w:t xml:space="preserve">uildings </w:t>
            </w:r>
          </w:p>
        </w:tc>
        <w:tc>
          <w:tcPr>
            <w:tcW w:w="1399" w:type="dxa"/>
            <w:noWrap/>
          </w:tcPr>
          <w:p w:rsidR="00BA7C2C" w:rsidRPr="00A0425E" w:rsidRDefault="00BA7C2C" w:rsidP="00613EE2">
            <w:pPr>
              <w:spacing w:after="120"/>
              <w:rPr>
                <w:noProof/>
              </w:rPr>
            </w:pPr>
            <w:r>
              <w:rPr>
                <w:noProof/>
              </w:rPr>
              <w:t>Bromadiolone</w:t>
            </w:r>
          </w:p>
        </w:tc>
        <w:tc>
          <w:tcPr>
            <w:tcW w:w="1213" w:type="dxa"/>
            <w:noWrap/>
          </w:tcPr>
          <w:p w:rsidR="00BA7C2C" w:rsidRPr="00A0425E" w:rsidRDefault="00BA7C2C" w:rsidP="00613EE2">
            <w:pPr>
              <w:spacing w:after="120"/>
              <w:rPr>
                <w:noProof/>
              </w:rPr>
            </w:pPr>
            <w:r w:rsidRPr="00D74E11">
              <w:t>28772-56-7</w:t>
            </w:r>
          </w:p>
        </w:tc>
        <w:tc>
          <w:tcPr>
            <w:tcW w:w="1122" w:type="dxa"/>
            <w:noWrap/>
          </w:tcPr>
          <w:p w:rsidR="00BA7C2C" w:rsidRPr="00A0425E" w:rsidRDefault="00BA7C2C" w:rsidP="00613EE2">
            <w:pPr>
              <w:spacing w:after="120"/>
              <w:rPr>
                <w:noProof/>
              </w:rPr>
            </w:pPr>
            <w:r>
              <w:t>4.91 x 10</w:t>
            </w:r>
            <w:r w:rsidRPr="00CA6C72">
              <w:rPr>
                <w:vertAlign w:val="superscript"/>
              </w:rPr>
              <w:t>-</w:t>
            </w:r>
            <w:r>
              <w:rPr>
                <w:vertAlign w:val="superscript"/>
              </w:rPr>
              <w:t>5</w:t>
            </w:r>
          </w:p>
        </w:tc>
        <w:tc>
          <w:tcPr>
            <w:tcW w:w="1175" w:type="dxa"/>
            <w:noWrap/>
          </w:tcPr>
          <w:p w:rsidR="00BA7C2C" w:rsidRPr="00470CB4" w:rsidRDefault="00BA7C2C" w:rsidP="00613EE2">
            <w:pPr>
              <w:spacing w:after="120"/>
              <w:rPr>
                <w:noProof/>
              </w:rPr>
            </w:pPr>
            <w:r w:rsidRPr="00470CB4">
              <w:t>8.18 x 10</w:t>
            </w:r>
            <w:r w:rsidRPr="00470CB4">
              <w:rPr>
                <w:vertAlign w:val="superscript"/>
              </w:rPr>
              <w:t>-</w:t>
            </w:r>
            <w:r>
              <w:rPr>
                <w:vertAlign w:val="superscript"/>
              </w:rPr>
              <w:t>7</w:t>
            </w:r>
          </w:p>
        </w:tc>
        <w:tc>
          <w:tcPr>
            <w:tcW w:w="1118" w:type="dxa"/>
            <w:noWrap/>
          </w:tcPr>
          <w:p w:rsidR="00BA7C2C" w:rsidRPr="00A0425E" w:rsidRDefault="00BA7C2C" w:rsidP="00613EE2">
            <w:pPr>
              <w:spacing w:after="120"/>
              <w:rPr>
                <w:noProof/>
              </w:rPr>
            </w:pPr>
            <w:r>
              <w:t>4.91 x 10</w:t>
            </w:r>
            <w:r w:rsidRPr="00CA6C72">
              <w:rPr>
                <w:vertAlign w:val="superscript"/>
              </w:rPr>
              <w:t>-</w:t>
            </w:r>
            <w:r>
              <w:rPr>
                <w:vertAlign w:val="superscript"/>
              </w:rPr>
              <w:t>6</w:t>
            </w:r>
          </w:p>
        </w:tc>
        <w:tc>
          <w:tcPr>
            <w:tcW w:w="1134" w:type="dxa"/>
            <w:noWrap/>
          </w:tcPr>
          <w:p w:rsidR="00BA7C2C" w:rsidRPr="00470CB4" w:rsidRDefault="00BA7C2C" w:rsidP="00613EE2">
            <w:pPr>
              <w:spacing w:after="120"/>
              <w:rPr>
                <w:noProof/>
              </w:rPr>
            </w:pPr>
            <w:r w:rsidRPr="00470CB4">
              <w:t>8.18 x 10</w:t>
            </w:r>
            <w:r w:rsidRPr="00470CB4">
              <w:rPr>
                <w:vertAlign w:val="superscript"/>
              </w:rPr>
              <w:t>-8</w:t>
            </w:r>
          </w:p>
        </w:tc>
        <w:tc>
          <w:tcPr>
            <w:tcW w:w="1119" w:type="dxa"/>
          </w:tcPr>
          <w:p w:rsidR="00BA7C2C" w:rsidRPr="00A0425E" w:rsidRDefault="00BA7C2C" w:rsidP="00613EE2">
            <w:pPr>
              <w:spacing w:after="120"/>
              <w:rPr>
                <w:noProof/>
              </w:rPr>
            </w:pPr>
            <w:r>
              <w:rPr>
                <w:noProof/>
              </w:rPr>
              <w:t xml:space="preserve">- </w:t>
            </w:r>
          </w:p>
        </w:tc>
      </w:tr>
      <w:tr w:rsidR="00BA7C2C" w:rsidRPr="00A0425E" w:rsidTr="00613EE2">
        <w:trPr>
          <w:trHeight w:val="255"/>
        </w:trPr>
        <w:tc>
          <w:tcPr>
            <w:tcW w:w="1363" w:type="dxa"/>
            <w:noWrap/>
          </w:tcPr>
          <w:p w:rsidR="00BA7C2C" w:rsidRPr="00A0425E" w:rsidRDefault="00BA7C2C" w:rsidP="00613EE2">
            <w:pPr>
              <w:spacing w:after="120"/>
              <w:rPr>
                <w:noProof/>
              </w:rPr>
            </w:pPr>
            <w:r>
              <w:t xml:space="preserve">Application around waste </w:t>
            </w:r>
            <w:r>
              <w:lastRenderedPageBreak/>
              <w:t>sites for the control of rodents</w:t>
            </w:r>
          </w:p>
        </w:tc>
        <w:tc>
          <w:tcPr>
            <w:tcW w:w="1399" w:type="dxa"/>
            <w:noWrap/>
          </w:tcPr>
          <w:p w:rsidR="00BA7C2C" w:rsidRPr="00A0425E" w:rsidRDefault="00BA7C2C" w:rsidP="00613EE2">
            <w:pPr>
              <w:spacing w:after="120"/>
              <w:rPr>
                <w:noProof/>
              </w:rPr>
            </w:pPr>
            <w:r>
              <w:rPr>
                <w:noProof/>
              </w:rPr>
              <w:lastRenderedPageBreak/>
              <w:t>Bromadiolone</w:t>
            </w:r>
          </w:p>
        </w:tc>
        <w:tc>
          <w:tcPr>
            <w:tcW w:w="1213" w:type="dxa"/>
            <w:noWrap/>
          </w:tcPr>
          <w:p w:rsidR="00BA7C2C" w:rsidRPr="00A0425E" w:rsidRDefault="00BA7C2C" w:rsidP="00613EE2">
            <w:pPr>
              <w:spacing w:after="120"/>
              <w:rPr>
                <w:noProof/>
              </w:rPr>
            </w:pPr>
            <w:r w:rsidRPr="00D74E11">
              <w:t>28772-56-7</w:t>
            </w:r>
          </w:p>
        </w:tc>
        <w:tc>
          <w:tcPr>
            <w:tcW w:w="1122" w:type="dxa"/>
            <w:noWrap/>
          </w:tcPr>
          <w:p w:rsidR="00BA7C2C" w:rsidRPr="00BD0B2C" w:rsidRDefault="00BA7C2C" w:rsidP="00613EE2">
            <w:pPr>
              <w:spacing w:after="120"/>
              <w:rPr>
                <w:noProof/>
              </w:rPr>
            </w:pPr>
            <w:r>
              <w:rPr>
                <w:noProof/>
              </w:rPr>
              <w:t>1.64 x 10</w:t>
            </w:r>
            <w:r>
              <w:rPr>
                <w:noProof/>
                <w:vertAlign w:val="superscript"/>
              </w:rPr>
              <w:t>-4</w:t>
            </w:r>
          </w:p>
        </w:tc>
        <w:tc>
          <w:tcPr>
            <w:tcW w:w="1175" w:type="dxa"/>
            <w:noWrap/>
          </w:tcPr>
          <w:p w:rsidR="00BA7C2C" w:rsidRPr="00BD0B2C" w:rsidRDefault="00BA7C2C" w:rsidP="00613EE2">
            <w:pPr>
              <w:spacing w:after="120"/>
              <w:rPr>
                <w:noProof/>
              </w:rPr>
            </w:pPr>
            <w:r w:rsidRPr="00BD0B2C">
              <w:t>2.73 x 10</w:t>
            </w:r>
            <w:r w:rsidRPr="00BD0B2C">
              <w:rPr>
                <w:vertAlign w:val="superscript"/>
              </w:rPr>
              <w:t>-</w:t>
            </w:r>
            <w:r>
              <w:rPr>
                <w:vertAlign w:val="superscript"/>
              </w:rPr>
              <w:t>6</w:t>
            </w:r>
            <w:r w:rsidRPr="00BD0B2C">
              <w:t xml:space="preserve"> </w:t>
            </w:r>
          </w:p>
        </w:tc>
        <w:tc>
          <w:tcPr>
            <w:tcW w:w="1118" w:type="dxa"/>
            <w:noWrap/>
          </w:tcPr>
          <w:p w:rsidR="00BA7C2C" w:rsidRPr="00BD0B2C" w:rsidRDefault="00BA7C2C" w:rsidP="00613EE2">
            <w:pPr>
              <w:spacing w:after="120"/>
              <w:rPr>
                <w:noProof/>
              </w:rPr>
            </w:pPr>
            <w:r>
              <w:rPr>
                <w:noProof/>
              </w:rPr>
              <w:t>1.64 x 10</w:t>
            </w:r>
            <w:r>
              <w:rPr>
                <w:noProof/>
                <w:vertAlign w:val="superscript"/>
              </w:rPr>
              <w:t>-5</w:t>
            </w:r>
          </w:p>
        </w:tc>
        <w:tc>
          <w:tcPr>
            <w:tcW w:w="1134" w:type="dxa"/>
            <w:noWrap/>
          </w:tcPr>
          <w:p w:rsidR="00BA7C2C" w:rsidRPr="00BD0B2C" w:rsidRDefault="00BA7C2C" w:rsidP="00613EE2">
            <w:pPr>
              <w:spacing w:after="120"/>
              <w:rPr>
                <w:noProof/>
              </w:rPr>
            </w:pPr>
            <w:r w:rsidRPr="00BD0B2C">
              <w:t>2.73 x 10</w:t>
            </w:r>
            <w:r w:rsidRPr="00BD0B2C">
              <w:rPr>
                <w:vertAlign w:val="superscript"/>
              </w:rPr>
              <w:t>-7</w:t>
            </w:r>
            <w:r w:rsidRPr="00BD0B2C">
              <w:t xml:space="preserve"> </w:t>
            </w:r>
          </w:p>
        </w:tc>
        <w:tc>
          <w:tcPr>
            <w:tcW w:w="1119" w:type="dxa"/>
          </w:tcPr>
          <w:p w:rsidR="00BA7C2C" w:rsidRPr="00BD0B2C" w:rsidRDefault="00BA7C2C" w:rsidP="00613EE2">
            <w:pPr>
              <w:spacing w:after="120"/>
              <w:rPr>
                <w:noProof/>
              </w:rPr>
            </w:pPr>
            <w:r>
              <w:rPr>
                <w:noProof/>
              </w:rPr>
              <w:t>-</w:t>
            </w:r>
          </w:p>
        </w:tc>
      </w:tr>
      <w:tr w:rsidR="00BA7C2C" w:rsidRPr="00A0425E" w:rsidTr="00613EE2">
        <w:trPr>
          <w:trHeight w:val="255"/>
        </w:trPr>
        <w:tc>
          <w:tcPr>
            <w:tcW w:w="1363" w:type="dxa"/>
            <w:noWrap/>
          </w:tcPr>
          <w:p w:rsidR="00BA7C2C" w:rsidRDefault="00BA7C2C" w:rsidP="00613EE2">
            <w:pPr>
              <w:spacing w:after="120"/>
            </w:pPr>
            <w:r>
              <w:lastRenderedPageBreak/>
              <w:t>Application in open areas</w:t>
            </w:r>
          </w:p>
        </w:tc>
        <w:tc>
          <w:tcPr>
            <w:tcW w:w="1399" w:type="dxa"/>
            <w:noWrap/>
          </w:tcPr>
          <w:p w:rsidR="00BA7C2C" w:rsidRPr="00A0425E" w:rsidRDefault="00BA7C2C" w:rsidP="00613EE2">
            <w:pPr>
              <w:spacing w:after="120"/>
              <w:rPr>
                <w:noProof/>
              </w:rPr>
            </w:pPr>
            <w:r>
              <w:rPr>
                <w:noProof/>
              </w:rPr>
              <w:t>Bromadiolone</w:t>
            </w:r>
          </w:p>
        </w:tc>
        <w:tc>
          <w:tcPr>
            <w:tcW w:w="1213" w:type="dxa"/>
            <w:noWrap/>
          </w:tcPr>
          <w:p w:rsidR="00BA7C2C" w:rsidRPr="00A0425E" w:rsidRDefault="00BA7C2C" w:rsidP="00613EE2">
            <w:pPr>
              <w:spacing w:after="120"/>
              <w:rPr>
                <w:noProof/>
              </w:rPr>
            </w:pPr>
            <w:r w:rsidRPr="00D74E11">
              <w:t>28772-56-7</w:t>
            </w:r>
          </w:p>
        </w:tc>
        <w:tc>
          <w:tcPr>
            <w:tcW w:w="1122" w:type="dxa"/>
            <w:noWrap/>
          </w:tcPr>
          <w:p w:rsidR="00BA7C2C" w:rsidRDefault="00BA7C2C" w:rsidP="00613EE2">
            <w:pPr>
              <w:spacing w:after="120"/>
              <w:rPr>
                <w:noProof/>
              </w:rPr>
            </w:pPr>
            <w:r>
              <w:t>9.82 x 10</w:t>
            </w:r>
            <w:r w:rsidRPr="00CA6C72">
              <w:rPr>
                <w:vertAlign w:val="superscript"/>
              </w:rPr>
              <w:t>-</w:t>
            </w:r>
            <w:r>
              <w:rPr>
                <w:vertAlign w:val="superscript"/>
              </w:rPr>
              <w:t>5</w:t>
            </w:r>
          </w:p>
        </w:tc>
        <w:tc>
          <w:tcPr>
            <w:tcW w:w="1175" w:type="dxa"/>
            <w:noWrap/>
          </w:tcPr>
          <w:p w:rsidR="00BA7C2C" w:rsidRPr="00BD0B2C" w:rsidRDefault="00BA7C2C" w:rsidP="00613EE2">
            <w:pPr>
              <w:spacing w:after="120"/>
            </w:pPr>
            <w:r w:rsidRPr="00BD0B2C">
              <w:t>1.64 x 10</w:t>
            </w:r>
            <w:r w:rsidRPr="00BD0B2C">
              <w:rPr>
                <w:vertAlign w:val="superscript"/>
              </w:rPr>
              <w:t>-</w:t>
            </w:r>
            <w:r>
              <w:rPr>
                <w:vertAlign w:val="superscript"/>
              </w:rPr>
              <w:t>6</w:t>
            </w:r>
          </w:p>
        </w:tc>
        <w:tc>
          <w:tcPr>
            <w:tcW w:w="1118" w:type="dxa"/>
            <w:noWrap/>
          </w:tcPr>
          <w:p w:rsidR="00BA7C2C" w:rsidRDefault="00BA7C2C" w:rsidP="00613EE2">
            <w:pPr>
              <w:spacing w:after="120"/>
              <w:rPr>
                <w:noProof/>
              </w:rPr>
            </w:pPr>
            <w:r>
              <w:t>9.82 x 10</w:t>
            </w:r>
            <w:r w:rsidRPr="00CA6C72">
              <w:rPr>
                <w:vertAlign w:val="superscript"/>
              </w:rPr>
              <w:t>-</w:t>
            </w:r>
            <w:r>
              <w:rPr>
                <w:vertAlign w:val="superscript"/>
              </w:rPr>
              <w:t>6</w:t>
            </w:r>
          </w:p>
        </w:tc>
        <w:tc>
          <w:tcPr>
            <w:tcW w:w="1134" w:type="dxa"/>
            <w:noWrap/>
          </w:tcPr>
          <w:p w:rsidR="00BA7C2C" w:rsidRPr="00BD0B2C" w:rsidRDefault="00BA7C2C" w:rsidP="00613EE2">
            <w:pPr>
              <w:spacing w:after="120"/>
            </w:pPr>
            <w:r w:rsidRPr="00BD0B2C">
              <w:t>1.64 x 10</w:t>
            </w:r>
            <w:r w:rsidRPr="00BD0B2C">
              <w:rPr>
                <w:vertAlign w:val="superscript"/>
              </w:rPr>
              <w:t>-7</w:t>
            </w:r>
          </w:p>
        </w:tc>
        <w:tc>
          <w:tcPr>
            <w:tcW w:w="1119" w:type="dxa"/>
          </w:tcPr>
          <w:p w:rsidR="00BA7C2C" w:rsidRDefault="00BA7C2C" w:rsidP="00613EE2">
            <w:pPr>
              <w:spacing w:after="120"/>
              <w:rPr>
                <w:noProof/>
              </w:rPr>
            </w:pPr>
            <w:r>
              <w:rPr>
                <w:noProof/>
              </w:rPr>
              <w:t>-</w:t>
            </w:r>
          </w:p>
        </w:tc>
      </w:tr>
    </w:tbl>
    <w:p w:rsidR="00BA7C2C" w:rsidRPr="00A0425E" w:rsidRDefault="00BA7C2C" w:rsidP="00BA7C2C">
      <w:pPr>
        <w:pStyle w:val="BfRBBTitel"/>
        <w:jc w:val="left"/>
        <w:rPr>
          <w:b w:val="0"/>
          <w:sz w:val="20"/>
          <w:szCs w:val="20"/>
          <w:lang w:val="en-GB"/>
        </w:rPr>
      </w:pPr>
    </w:p>
    <w:p w:rsidR="00BA7C2C" w:rsidRPr="00A0425E" w:rsidRDefault="00BA7C2C" w:rsidP="00BA7C2C">
      <w:pPr>
        <w:pStyle w:val="BfRBBTitel"/>
        <w:jc w:val="left"/>
        <w:rPr>
          <w:b w:val="0"/>
          <w:sz w:val="20"/>
          <w:szCs w:val="20"/>
          <w:lang w:val="en-GB"/>
        </w:rPr>
      </w:pPr>
    </w:p>
    <w:p w:rsidR="00BA7C2C" w:rsidRPr="005B352A" w:rsidRDefault="00BA7C2C" w:rsidP="00BA7C2C">
      <w:pPr>
        <w:spacing w:after="120"/>
        <w:rPr>
          <w:noProof/>
          <w:szCs w:val="22"/>
        </w:rPr>
      </w:pPr>
      <w:r w:rsidRPr="005B352A">
        <w:rPr>
          <w:noProof/>
          <w:szCs w:val="22"/>
        </w:rPr>
        <w:t>Risk assessment</w:t>
      </w:r>
    </w:p>
    <w:p w:rsidR="00BA7C2C" w:rsidRPr="005B352A" w:rsidRDefault="00BA7C2C" w:rsidP="00BA7C2C">
      <w:pPr>
        <w:pStyle w:val="BfRBBTitel"/>
        <w:jc w:val="left"/>
        <w:rPr>
          <w:rFonts w:ascii="Times New Roman" w:hAnsi="Times New Roman" w:cs="Times New Roman"/>
          <w:b w:val="0"/>
          <w:bCs w:val="0"/>
          <w:noProof w:val="0"/>
          <w:sz w:val="22"/>
          <w:lang w:val="sv-SE" w:eastAsia="sv-SE"/>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878"/>
        <w:gridCol w:w="849"/>
        <w:gridCol w:w="1134"/>
        <w:gridCol w:w="851"/>
        <w:gridCol w:w="708"/>
        <w:gridCol w:w="815"/>
        <w:gridCol w:w="770"/>
        <w:gridCol w:w="770"/>
        <w:gridCol w:w="770"/>
        <w:gridCol w:w="880"/>
      </w:tblGrid>
      <w:tr w:rsidR="00BA7C2C" w:rsidRPr="0088049C" w:rsidTr="00613EE2">
        <w:tc>
          <w:tcPr>
            <w:tcW w:w="1320" w:type="dxa"/>
            <w:vMerge w:val="restart"/>
          </w:tcPr>
          <w:p w:rsidR="00BA7C2C" w:rsidRPr="0088049C" w:rsidRDefault="00BA7C2C" w:rsidP="00613EE2">
            <w:pPr>
              <w:spacing w:before="40" w:after="40"/>
              <w:rPr>
                <w:b/>
                <w:highlight w:val="yellow"/>
              </w:rPr>
            </w:pPr>
            <w:r w:rsidRPr="0088049C">
              <w:rPr>
                <w:b/>
                <w:highlight w:val="yellow"/>
              </w:rPr>
              <w:t>Exposure scenario</w:t>
            </w:r>
          </w:p>
        </w:tc>
        <w:tc>
          <w:tcPr>
            <w:tcW w:w="878" w:type="dxa"/>
            <w:vMerge w:val="restart"/>
          </w:tcPr>
          <w:p w:rsidR="00BA7C2C" w:rsidRPr="0088049C" w:rsidRDefault="00BA7C2C" w:rsidP="00613EE2">
            <w:pPr>
              <w:spacing w:before="40" w:after="40"/>
              <w:rPr>
                <w:b/>
                <w:highlight w:val="yellow"/>
              </w:rPr>
            </w:pPr>
            <w:r w:rsidRPr="0088049C">
              <w:rPr>
                <w:b/>
                <w:highlight w:val="yellow"/>
              </w:rPr>
              <w:t>Component</w:t>
            </w:r>
          </w:p>
          <w:p w:rsidR="00BA7C2C" w:rsidRPr="0088049C" w:rsidRDefault="00BA7C2C" w:rsidP="00613EE2">
            <w:pPr>
              <w:spacing w:before="40" w:after="40"/>
              <w:rPr>
                <w:b/>
                <w:highlight w:val="yellow"/>
              </w:rPr>
            </w:pPr>
          </w:p>
        </w:tc>
        <w:tc>
          <w:tcPr>
            <w:tcW w:w="849" w:type="dxa"/>
            <w:vMerge w:val="restart"/>
          </w:tcPr>
          <w:p w:rsidR="00BA7C2C" w:rsidRPr="0088049C" w:rsidRDefault="00BA7C2C" w:rsidP="00613EE2">
            <w:pPr>
              <w:spacing w:before="40" w:after="40"/>
              <w:rPr>
                <w:b/>
                <w:highlight w:val="yellow"/>
              </w:rPr>
            </w:pPr>
            <w:r w:rsidRPr="0088049C">
              <w:rPr>
                <w:b/>
                <w:highlight w:val="yellow"/>
              </w:rPr>
              <w:t>CAS</w:t>
            </w:r>
          </w:p>
        </w:tc>
        <w:tc>
          <w:tcPr>
            <w:tcW w:w="1134" w:type="dxa"/>
            <w:vMerge w:val="restart"/>
          </w:tcPr>
          <w:p w:rsidR="00BA7C2C" w:rsidRPr="0088049C" w:rsidRDefault="00BA7C2C" w:rsidP="00613EE2">
            <w:pPr>
              <w:spacing w:before="40" w:after="40"/>
              <w:rPr>
                <w:b/>
                <w:highlight w:val="yellow"/>
              </w:rPr>
            </w:pPr>
            <w:r w:rsidRPr="0088049C">
              <w:rPr>
                <w:b/>
                <w:highlight w:val="yellow"/>
              </w:rPr>
              <w:t>AEL [mg/kg/d]</w:t>
            </w:r>
          </w:p>
        </w:tc>
        <w:tc>
          <w:tcPr>
            <w:tcW w:w="1559" w:type="dxa"/>
            <w:gridSpan w:val="2"/>
          </w:tcPr>
          <w:p w:rsidR="00BA7C2C" w:rsidRPr="0088049C" w:rsidRDefault="00BA7C2C" w:rsidP="00613EE2">
            <w:pPr>
              <w:spacing w:before="40" w:after="40"/>
              <w:rPr>
                <w:b/>
                <w:highlight w:val="yellow"/>
              </w:rPr>
            </w:pPr>
            <w:r w:rsidRPr="0088049C">
              <w:rPr>
                <w:b/>
                <w:highlight w:val="yellow"/>
              </w:rPr>
              <w:t>Absorption</w:t>
            </w:r>
          </w:p>
        </w:tc>
        <w:tc>
          <w:tcPr>
            <w:tcW w:w="1585" w:type="dxa"/>
            <w:gridSpan w:val="2"/>
          </w:tcPr>
          <w:p w:rsidR="00BA7C2C" w:rsidRPr="0088049C" w:rsidRDefault="00BA7C2C" w:rsidP="00613EE2">
            <w:pPr>
              <w:spacing w:before="40" w:after="40"/>
              <w:rPr>
                <w:b/>
                <w:highlight w:val="yellow"/>
              </w:rPr>
            </w:pPr>
            <w:r w:rsidRPr="0088049C">
              <w:rPr>
                <w:b/>
                <w:highlight w:val="yellow"/>
              </w:rPr>
              <w:t>Inhal ext</w:t>
            </w:r>
          </w:p>
          <w:p w:rsidR="00BA7C2C" w:rsidRPr="0088049C" w:rsidRDefault="00BA7C2C" w:rsidP="00613EE2">
            <w:pPr>
              <w:spacing w:before="40" w:after="40"/>
              <w:rPr>
                <w:b/>
                <w:highlight w:val="yellow"/>
              </w:rPr>
            </w:pPr>
            <w:r w:rsidRPr="0088049C">
              <w:rPr>
                <w:b/>
                <w:highlight w:val="yellow"/>
              </w:rPr>
              <w:t>[mg/m3]</w:t>
            </w:r>
          </w:p>
        </w:tc>
        <w:tc>
          <w:tcPr>
            <w:tcW w:w="1540" w:type="dxa"/>
            <w:gridSpan w:val="2"/>
          </w:tcPr>
          <w:p w:rsidR="00BA7C2C" w:rsidRPr="0088049C" w:rsidRDefault="00BA7C2C" w:rsidP="00613EE2">
            <w:pPr>
              <w:spacing w:before="40" w:after="40"/>
              <w:rPr>
                <w:b/>
                <w:highlight w:val="yellow"/>
              </w:rPr>
            </w:pPr>
            <w:r w:rsidRPr="0088049C">
              <w:rPr>
                <w:b/>
                <w:highlight w:val="yellow"/>
              </w:rPr>
              <w:t>Derm ext</w:t>
            </w:r>
          </w:p>
          <w:p w:rsidR="00BA7C2C" w:rsidRPr="0088049C" w:rsidRDefault="00BA7C2C" w:rsidP="00613EE2">
            <w:pPr>
              <w:spacing w:before="40" w:after="40"/>
              <w:rPr>
                <w:b/>
                <w:highlight w:val="yellow"/>
              </w:rPr>
            </w:pPr>
            <w:r w:rsidRPr="0088049C">
              <w:rPr>
                <w:b/>
                <w:highlight w:val="yellow"/>
              </w:rPr>
              <w:t>[mg/kg/d]</w:t>
            </w:r>
          </w:p>
        </w:tc>
        <w:tc>
          <w:tcPr>
            <w:tcW w:w="880" w:type="dxa"/>
            <w:vMerge w:val="restart"/>
          </w:tcPr>
          <w:p w:rsidR="00BA7C2C" w:rsidRPr="0088049C" w:rsidRDefault="00BA7C2C" w:rsidP="00613EE2">
            <w:pPr>
              <w:spacing w:before="40" w:after="40"/>
              <w:rPr>
                <w:b/>
                <w:highlight w:val="yellow"/>
              </w:rPr>
            </w:pPr>
            <w:r w:rsidRPr="0088049C">
              <w:rPr>
                <w:b/>
                <w:highlight w:val="yellow"/>
              </w:rPr>
              <w:t>RCR total</w:t>
            </w:r>
          </w:p>
        </w:tc>
      </w:tr>
      <w:tr w:rsidR="00BA7C2C" w:rsidRPr="0088049C" w:rsidTr="00613EE2">
        <w:tc>
          <w:tcPr>
            <w:tcW w:w="1320" w:type="dxa"/>
            <w:vMerge/>
          </w:tcPr>
          <w:p w:rsidR="00BA7C2C" w:rsidRPr="0088049C" w:rsidRDefault="00BA7C2C" w:rsidP="00613EE2">
            <w:pPr>
              <w:spacing w:before="40" w:after="40"/>
              <w:rPr>
                <w:b/>
                <w:highlight w:val="yellow"/>
              </w:rPr>
            </w:pPr>
          </w:p>
        </w:tc>
        <w:tc>
          <w:tcPr>
            <w:tcW w:w="878" w:type="dxa"/>
            <w:vMerge/>
          </w:tcPr>
          <w:p w:rsidR="00BA7C2C" w:rsidRPr="0088049C" w:rsidRDefault="00BA7C2C" w:rsidP="00613EE2">
            <w:pPr>
              <w:spacing w:before="40" w:after="40"/>
              <w:rPr>
                <w:b/>
                <w:highlight w:val="yellow"/>
              </w:rPr>
            </w:pPr>
          </w:p>
        </w:tc>
        <w:tc>
          <w:tcPr>
            <w:tcW w:w="849" w:type="dxa"/>
            <w:vMerge/>
          </w:tcPr>
          <w:p w:rsidR="00BA7C2C" w:rsidRPr="0088049C" w:rsidRDefault="00BA7C2C" w:rsidP="00613EE2">
            <w:pPr>
              <w:spacing w:before="40" w:after="40"/>
              <w:rPr>
                <w:b/>
                <w:highlight w:val="yellow"/>
              </w:rPr>
            </w:pPr>
          </w:p>
        </w:tc>
        <w:tc>
          <w:tcPr>
            <w:tcW w:w="1134" w:type="dxa"/>
            <w:vMerge/>
          </w:tcPr>
          <w:p w:rsidR="00BA7C2C" w:rsidRPr="0088049C" w:rsidRDefault="00BA7C2C" w:rsidP="00613EE2">
            <w:pPr>
              <w:spacing w:before="40" w:after="40"/>
              <w:rPr>
                <w:b/>
                <w:highlight w:val="yellow"/>
              </w:rPr>
            </w:pPr>
          </w:p>
        </w:tc>
        <w:tc>
          <w:tcPr>
            <w:tcW w:w="851" w:type="dxa"/>
          </w:tcPr>
          <w:p w:rsidR="00BA7C2C" w:rsidRPr="0088049C" w:rsidRDefault="00BA7C2C" w:rsidP="00613EE2">
            <w:pPr>
              <w:spacing w:before="40" w:after="40"/>
              <w:rPr>
                <w:b/>
                <w:highlight w:val="yellow"/>
              </w:rPr>
            </w:pPr>
            <w:r w:rsidRPr="0088049C">
              <w:rPr>
                <w:b/>
                <w:highlight w:val="yellow"/>
              </w:rPr>
              <w:t>inh</w:t>
            </w:r>
          </w:p>
        </w:tc>
        <w:tc>
          <w:tcPr>
            <w:tcW w:w="708" w:type="dxa"/>
          </w:tcPr>
          <w:p w:rsidR="00BA7C2C" w:rsidRPr="0088049C" w:rsidRDefault="00BA7C2C" w:rsidP="00613EE2">
            <w:pPr>
              <w:spacing w:before="40" w:after="40"/>
              <w:rPr>
                <w:b/>
                <w:highlight w:val="yellow"/>
              </w:rPr>
            </w:pPr>
            <w:r w:rsidRPr="0088049C">
              <w:rPr>
                <w:b/>
                <w:highlight w:val="yellow"/>
              </w:rPr>
              <w:t>derm</w:t>
            </w:r>
          </w:p>
        </w:tc>
        <w:tc>
          <w:tcPr>
            <w:tcW w:w="815" w:type="dxa"/>
          </w:tcPr>
          <w:p w:rsidR="00BA7C2C" w:rsidRPr="0088049C" w:rsidRDefault="00BA7C2C" w:rsidP="00613EE2">
            <w:pPr>
              <w:spacing w:before="40" w:after="40"/>
              <w:rPr>
                <w:b/>
                <w:highlight w:val="yellow"/>
              </w:rPr>
            </w:pPr>
            <w:r w:rsidRPr="0088049C">
              <w:rPr>
                <w:b/>
                <w:highlight w:val="yellow"/>
              </w:rPr>
              <w:t>Act. Expo</w:t>
            </w:r>
          </w:p>
        </w:tc>
        <w:tc>
          <w:tcPr>
            <w:tcW w:w="770" w:type="dxa"/>
          </w:tcPr>
          <w:p w:rsidR="00BA7C2C" w:rsidRPr="0088049C" w:rsidRDefault="00BA7C2C" w:rsidP="00613EE2">
            <w:pPr>
              <w:spacing w:before="40" w:after="40"/>
              <w:rPr>
                <w:b/>
                <w:highlight w:val="yellow"/>
              </w:rPr>
            </w:pPr>
            <w:r w:rsidRPr="0088049C">
              <w:rPr>
                <w:b/>
                <w:highlight w:val="yellow"/>
              </w:rPr>
              <w:t>RCR</w:t>
            </w:r>
          </w:p>
        </w:tc>
        <w:tc>
          <w:tcPr>
            <w:tcW w:w="770" w:type="dxa"/>
          </w:tcPr>
          <w:p w:rsidR="00BA7C2C" w:rsidRPr="0088049C" w:rsidRDefault="00BA7C2C" w:rsidP="00613EE2">
            <w:pPr>
              <w:spacing w:before="40" w:after="40"/>
              <w:rPr>
                <w:b/>
                <w:highlight w:val="yellow"/>
              </w:rPr>
            </w:pPr>
            <w:r w:rsidRPr="0088049C">
              <w:rPr>
                <w:b/>
                <w:highlight w:val="yellow"/>
              </w:rPr>
              <w:t>Act. Expo</w:t>
            </w:r>
          </w:p>
        </w:tc>
        <w:tc>
          <w:tcPr>
            <w:tcW w:w="770" w:type="dxa"/>
          </w:tcPr>
          <w:p w:rsidR="00BA7C2C" w:rsidRPr="0088049C" w:rsidRDefault="00BA7C2C" w:rsidP="00613EE2">
            <w:pPr>
              <w:spacing w:before="40" w:after="40"/>
              <w:rPr>
                <w:b/>
                <w:highlight w:val="yellow"/>
              </w:rPr>
            </w:pPr>
            <w:r w:rsidRPr="0088049C">
              <w:rPr>
                <w:b/>
                <w:highlight w:val="yellow"/>
              </w:rPr>
              <w:t>RCR</w:t>
            </w:r>
          </w:p>
        </w:tc>
        <w:tc>
          <w:tcPr>
            <w:tcW w:w="880" w:type="dxa"/>
            <w:vMerge/>
          </w:tcPr>
          <w:p w:rsidR="00BA7C2C" w:rsidRPr="0088049C" w:rsidRDefault="00BA7C2C" w:rsidP="00613EE2">
            <w:pPr>
              <w:spacing w:before="40" w:after="40"/>
              <w:rPr>
                <w:b/>
                <w:highlight w:val="yellow"/>
              </w:rPr>
            </w:pPr>
          </w:p>
        </w:tc>
      </w:tr>
      <w:tr w:rsidR="00BA7C2C" w:rsidRPr="0088049C" w:rsidTr="00613EE2">
        <w:tc>
          <w:tcPr>
            <w:tcW w:w="1320" w:type="dxa"/>
          </w:tcPr>
          <w:p w:rsidR="00BA7C2C" w:rsidRPr="0088049C" w:rsidRDefault="00BA7C2C" w:rsidP="00613EE2">
            <w:pPr>
              <w:spacing w:before="40" w:after="40"/>
              <w:rPr>
                <w:highlight w:val="yellow"/>
              </w:rPr>
            </w:pPr>
            <w:r w:rsidRPr="0088049C">
              <w:rPr>
                <w:highlight w:val="yellow"/>
              </w:rPr>
              <w:t>Application in and around buildings</w:t>
            </w:r>
          </w:p>
        </w:tc>
        <w:tc>
          <w:tcPr>
            <w:tcW w:w="878" w:type="dxa"/>
          </w:tcPr>
          <w:p w:rsidR="00BA7C2C" w:rsidRPr="0088049C" w:rsidRDefault="00BA7C2C" w:rsidP="00613EE2">
            <w:pPr>
              <w:spacing w:before="40" w:after="40"/>
              <w:rPr>
                <w:highlight w:val="yellow"/>
              </w:rPr>
            </w:pPr>
            <w:r w:rsidRPr="0088049C">
              <w:rPr>
                <w:highlight w:val="yellow"/>
              </w:rPr>
              <w:t>Bromadiolone</w:t>
            </w:r>
          </w:p>
        </w:tc>
        <w:tc>
          <w:tcPr>
            <w:tcW w:w="849" w:type="dxa"/>
          </w:tcPr>
          <w:p w:rsidR="00BA7C2C" w:rsidRPr="0088049C" w:rsidRDefault="00BA7C2C" w:rsidP="00613EE2">
            <w:pPr>
              <w:spacing w:before="40" w:after="40"/>
              <w:rPr>
                <w:highlight w:val="yellow"/>
              </w:rPr>
            </w:pPr>
            <w:r w:rsidRPr="0088049C">
              <w:rPr>
                <w:highlight w:val="yellow"/>
              </w:rPr>
              <w:t>28772-56-7</w:t>
            </w:r>
          </w:p>
        </w:tc>
        <w:tc>
          <w:tcPr>
            <w:tcW w:w="1134" w:type="dxa"/>
          </w:tcPr>
          <w:p w:rsidR="00BA7C2C" w:rsidRPr="0088049C" w:rsidRDefault="00BA7C2C" w:rsidP="00613EE2">
            <w:pPr>
              <w:spacing w:before="40" w:after="40"/>
              <w:rPr>
                <w:highlight w:val="yellow"/>
              </w:rPr>
            </w:pPr>
            <w:r w:rsidRPr="0088049C">
              <w:rPr>
                <w:highlight w:val="yellow"/>
              </w:rPr>
              <w:t xml:space="preserve">1.2 x 10-6 </w:t>
            </w:r>
          </w:p>
        </w:tc>
        <w:tc>
          <w:tcPr>
            <w:tcW w:w="851" w:type="dxa"/>
          </w:tcPr>
          <w:p w:rsidR="00BA7C2C" w:rsidRPr="0088049C" w:rsidRDefault="00BA7C2C" w:rsidP="00613EE2">
            <w:pPr>
              <w:spacing w:before="40" w:after="40"/>
              <w:rPr>
                <w:highlight w:val="yellow"/>
              </w:rPr>
            </w:pPr>
            <w:r w:rsidRPr="0088049C">
              <w:rPr>
                <w:highlight w:val="yellow"/>
              </w:rPr>
              <w:t>No data</w:t>
            </w:r>
          </w:p>
        </w:tc>
        <w:tc>
          <w:tcPr>
            <w:tcW w:w="708" w:type="dxa"/>
          </w:tcPr>
          <w:p w:rsidR="00BA7C2C" w:rsidRPr="0088049C" w:rsidRDefault="00BA7C2C" w:rsidP="00613EE2">
            <w:pPr>
              <w:spacing w:before="40" w:after="40"/>
              <w:rPr>
                <w:highlight w:val="yellow"/>
              </w:rPr>
            </w:pPr>
            <w:r w:rsidRPr="0088049C">
              <w:rPr>
                <w:highlight w:val="yellow"/>
              </w:rPr>
              <w:t>1.6%</w:t>
            </w:r>
          </w:p>
        </w:tc>
        <w:tc>
          <w:tcPr>
            <w:tcW w:w="815"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8.18 x 10-7</w:t>
            </w:r>
          </w:p>
        </w:tc>
        <w:tc>
          <w:tcPr>
            <w:tcW w:w="770" w:type="dxa"/>
          </w:tcPr>
          <w:p w:rsidR="00BA7C2C" w:rsidRPr="0088049C" w:rsidRDefault="00BA7C2C" w:rsidP="00613EE2">
            <w:pPr>
              <w:spacing w:before="40" w:after="40"/>
              <w:rPr>
                <w:highlight w:val="yellow"/>
              </w:rPr>
            </w:pPr>
            <w:r w:rsidRPr="0088049C">
              <w:rPr>
                <w:highlight w:val="yellow"/>
              </w:rPr>
              <w:t>68.2%</w:t>
            </w:r>
          </w:p>
        </w:tc>
        <w:tc>
          <w:tcPr>
            <w:tcW w:w="880" w:type="dxa"/>
          </w:tcPr>
          <w:p w:rsidR="00BA7C2C" w:rsidRPr="0088049C" w:rsidRDefault="00BA7C2C" w:rsidP="00613EE2">
            <w:pPr>
              <w:spacing w:before="40" w:after="40"/>
              <w:rPr>
                <w:highlight w:val="yellow"/>
              </w:rPr>
            </w:pPr>
            <w:r w:rsidRPr="0088049C">
              <w:rPr>
                <w:highlight w:val="yellow"/>
              </w:rPr>
              <w:t>68.2%</w:t>
            </w:r>
          </w:p>
        </w:tc>
      </w:tr>
      <w:tr w:rsidR="00BA7C2C" w:rsidRPr="0088049C" w:rsidTr="00613EE2">
        <w:tc>
          <w:tcPr>
            <w:tcW w:w="1320" w:type="dxa"/>
          </w:tcPr>
          <w:p w:rsidR="00BA7C2C" w:rsidRPr="0088049C" w:rsidRDefault="00BA7C2C" w:rsidP="00613EE2">
            <w:pPr>
              <w:spacing w:before="40" w:after="40"/>
              <w:rPr>
                <w:highlight w:val="yellow"/>
              </w:rPr>
            </w:pPr>
            <w:r w:rsidRPr="0088049C">
              <w:rPr>
                <w:highlight w:val="yellow"/>
              </w:rPr>
              <w:t>Application around waste sites for the control of rodents</w:t>
            </w:r>
          </w:p>
        </w:tc>
        <w:tc>
          <w:tcPr>
            <w:tcW w:w="878" w:type="dxa"/>
          </w:tcPr>
          <w:p w:rsidR="00BA7C2C" w:rsidRPr="0088049C" w:rsidRDefault="00BA7C2C" w:rsidP="00613EE2">
            <w:pPr>
              <w:spacing w:before="40" w:after="40"/>
              <w:rPr>
                <w:highlight w:val="yellow"/>
              </w:rPr>
            </w:pPr>
            <w:r w:rsidRPr="0088049C">
              <w:rPr>
                <w:highlight w:val="yellow"/>
              </w:rPr>
              <w:t>Bromadiolone</w:t>
            </w:r>
          </w:p>
        </w:tc>
        <w:tc>
          <w:tcPr>
            <w:tcW w:w="849" w:type="dxa"/>
          </w:tcPr>
          <w:p w:rsidR="00BA7C2C" w:rsidRPr="0088049C" w:rsidRDefault="00BA7C2C" w:rsidP="00613EE2">
            <w:pPr>
              <w:spacing w:before="40" w:after="40"/>
              <w:rPr>
                <w:highlight w:val="yellow"/>
              </w:rPr>
            </w:pPr>
            <w:r w:rsidRPr="0088049C">
              <w:rPr>
                <w:highlight w:val="yellow"/>
              </w:rPr>
              <w:t>28772-56-7</w:t>
            </w:r>
          </w:p>
        </w:tc>
        <w:tc>
          <w:tcPr>
            <w:tcW w:w="1134" w:type="dxa"/>
          </w:tcPr>
          <w:p w:rsidR="00BA7C2C" w:rsidRPr="0088049C" w:rsidRDefault="00BA7C2C" w:rsidP="00613EE2">
            <w:pPr>
              <w:spacing w:before="40" w:after="40"/>
              <w:rPr>
                <w:highlight w:val="yellow"/>
              </w:rPr>
            </w:pPr>
            <w:r w:rsidRPr="0088049C">
              <w:rPr>
                <w:highlight w:val="yellow"/>
              </w:rPr>
              <w:t xml:space="preserve">1.2 x 10-6 </w:t>
            </w:r>
          </w:p>
        </w:tc>
        <w:tc>
          <w:tcPr>
            <w:tcW w:w="851" w:type="dxa"/>
          </w:tcPr>
          <w:p w:rsidR="00BA7C2C" w:rsidRPr="0088049C" w:rsidRDefault="00BA7C2C" w:rsidP="00613EE2">
            <w:pPr>
              <w:spacing w:before="40" w:after="40"/>
              <w:rPr>
                <w:highlight w:val="yellow"/>
              </w:rPr>
            </w:pPr>
            <w:r w:rsidRPr="0088049C">
              <w:rPr>
                <w:highlight w:val="yellow"/>
              </w:rPr>
              <w:t>No data</w:t>
            </w:r>
          </w:p>
        </w:tc>
        <w:tc>
          <w:tcPr>
            <w:tcW w:w="708" w:type="dxa"/>
          </w:tcPr>
          <w:p w:rsidR="00BA7C2C" w:rsidRPr="0088049C" w:rsidRDefault="00BA7C2C" w:rsidP="00613EE2">
            <w:pPr>
              <w:spacing w:before="40" w:after="40"/>
              <w:rPr>
                <w:highlight w:val="yellow"/>
              </w:rPr>
            </w:pPr>
            <w:r w:rsidRPr="0088049C">
              <w:rPr>
                <w:highlight w:val="yellow"/>
              </w:rPr>
              <w:t>1.6%</w:t>
            </w:r>
          </w:p>
        </w:tc>
        <w:tc>
          <w:tcPr>
            <w:tcW w:w="815"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2.73 x 10-6</w:t>
            </w:r>
          </w:p>
        </w:tc>
        <w:tc>
          <w:tcPr>
            <w:tcW w:w="770" w:type="dxa"/>
          </w:tcPr>
          <w:p w:rsidR="00BA7C2C" w:rsidRPr="0088049C" w:rsidRDefault="00BA7C2C" w:rsidP="00613EE2">
            <w:pPr>
              <w:spacing w:before="40" w:after="40"/>
              <w:rPr>
                <w:highlight w:val="yellow"/>
              </w:rPr>
            </w:pPr>
            <w:r w:rsidRPr="0088049C">
              <w:rPr>
                <w:highlight w:val="yellow"/>
              </w:rPr>
              <w:t>227.5%</w:t>
            </w:r>
          </w:p>
        </w:tc>
        <w:tc>
          <w:tcPr>
            <w:tcW w:w="880" w:type="dxa"/>
          </w:tcPr>
          <w:p w:rsidR="00BA7C2C" w:rsidRPr="0088049C" w:rsidRDefault="00BA7C2C" w:rsidP="00613EE2">
            <w:pPr>
              <w:spacing w:before="40" w:after="40"/>
              <w:rPr>
                <w:highlight w:val="yellow"/>
              </w:rPr>
            </w:pPr>
            <w:r w:rsidRPr="0088049C">
              <w:rPr>
                <w:highlight w:val="yellow"/>
              </w:rPr>
              <w:t>227.5%</w:t>
            </w:r>
          </w:p>
        </w:tc>
      </w:tr>
      <w:tr w:rsidR="00BA7C2C" w:rsidRPr="00E9475A" w:rsidTr="00613EE2">
        <w:tc>
          <w:tcPr>
            <w:tcW w:w="1320" w:type="dxa"/>
          </w:tcPr>
          <w:p w:rsidR="00BA7C2C" w:rsidRPr="0088049C" w:rsidRDefault="00BA7C2C" w:rsidP="00613EE2">
            <w:pPr>
              <w:spacing w:before="40" w:after="40"/>
              <w:rPr>
                <w:highlight w:val="yellow"/>
              </w:rPr>
            </w:pPr>
            <w:r w:rsidRPr="0088049C">
              <w:rPr>
                <w:highlight w:val="yellow"/>
              </w:rPr>
              <w:t>Application in open areas</w:t>
            </w:r>
          </w:p>
        </w:tc>
        <w:tc>
          <w:tcPr>
            <w:tcW w:w="878" w:type="dxa"/>
          </w:tcPr>
          <w:p w:rsidR="00BA7C2C" w:rsidRPr="0088049C" w:rsidRDefault="00BA7C2C" w:rsidP="00613EE2">
            <w:pPr>
              <w:spacing w:before="40" w:after="40"/>
              <w:rPr>
                <w:highlight w:val="yellow"/>
              </w:rPr>
            </w:pPr>
            <w:r w:rsidRPr="0088049C">
              <w:rPr>
                <w:highlight w:val="yellow"/>
              </w:rPr>
              <w:t>Bromadiolone</w:t>
            </w:r>
          </w:p>
        </w:tc>
        <w:tc>
          <w:tcPr>
            <w:tcW w:w="849" w:type="dxa"/>
          </w:tcPr>
          <w:p w:rsidR="00BA7C2C" w:rsidRPr="0088049C" w:rsidRDefault="00BA7C2C" w:rsidP="00613EE2">
            <w:pPr>
              <w:spacing w:before="40" w:after="40"/>
              <w:rPr>
                <w:highlight w:val="yellow"/>
              </w:rPr>
            </w:pPr>
            <w:r w:rsidRPr="0088049C">
              <w:rPr>
                <w:highlight w:val="yellow"/>
              </w:rPr>
              <w:t>28772-56-7</w:t>
            </w:r>
          </w:p>
        </w:tc>
        <w:tc>
          <w:tcPr>
            <w:tcW w:w="1134" w:type="dxa"/>
          </w:tcPr>
          <w:p w:rsidR="00BA7C2C" w:rsidRPr="0088049C" w:rsidRDefault="00BA7C2C" w:rsidP="00613EE2">
            <w:pPr>
              <w:spacing w:before="40" w:after="40"/>
              <w:rPr>
                <w:highlight w:val="yellow"/>
              </w:rPr>
            </w:pPr>
            <w:r w:rsidRPr="0088049C">
              <w:rPr>
                <w:highlight w:val="yellow"/>
              </w:rPr>
              <w:t xml:space="preserve">1.2 x 10-6 </w:t>
            </w:r>
          </w:p>
        </w:tc>
        <w:tc>
          <w:tcPr>
            <w:tcW w:w="851" w:type="dxa"/>
          </w:tcPr>
          <w:p w:rsidR="00BA7C2C" w:rsidRPr="0088049C" w:rsidRDefault="00BA7C2C" w:rsidP="00613EE2">
            <w:pPr>
              <w:spacing w:before="40" w:after="40"/>
              <w:rPr>
                <w:highlight w:val="yellow"/>
              </w:rPr>
            </w:pPr>
            <w:r w:rsidRPr="0088049C">
              <w:rPr>
                <w:highlight w:val="yellow"/>
              </w:rPr>
              <w:t>No data</w:t>
            </w:r>
          </w:p>
        </w:tc>
        <w:tc>
          <w:tcPr>
            <w:tcW w:w="708" w:type="dxa"/>
          </w:tcPr>
          <w:p w:rsidR="00BA7C2C" w:rsidRPr="0088049C" w:rsidRDefault="00BA7C2C" w:rsidP="00613EE2">
            <w:pPr>
              <w:spacing w:before="40" w:after="40"/>
              <w:rPr>
                <w:highlight w:val="yellow"/>
              </w:rPr>
            </w:pPr>
            <w:r w:rsidRPr="0088049C">
              <w:rPr>
                <w:highlight w:val="yellow"/>
              </w:rPr>
              <w:t>1.6%</w:t>
            </w:r>
          </w:p>
        </w:tc>
        <w:tc>
          <w:tcPr>
            <w:tcW w:w="815"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1.64 x 10-6</w:t>
            </w:r>
          </w:p>
        </w:tc>
        <w:tc>
          <w:tcPr>
            <w:tcW w:w="770" w:type="dxa"/>
          </w:tcPr>
          <w:p w:rsidR="00BA7C2C" w:rsidRPr="0088049C" w:rsidRDefault="00BA7C2C" w:rsidP="00613EE2">
            <w:pPr>
              <w:spacing w:before="40" w:after="40"/>
              <w:rPr>
                <w:highlight w:val="yellow"/>
              </w:rPr>
            </w:pPr>
            <w:r w:rsidRPr="0088049C">
              <w:rPr>
                <w:highlight w:val="yellow"/>
              </w:rPr>
              <w:t>136.7%</w:t>
            </w:r>
          </w:p>
        </w:tc>
        <w:tc>
          <w:tcPr>
            <w:tcW w:w="880" w:type="dxa"/>
          </w:tcPr>
          <w:p w:rsidR="00BA7C2C" w:rsidRPr="00E9475A" w:rsidRDefault="00BA7C2C" w:rsidP="00613EE2">
            <w:pPr>
              <w:spacing w:before="40" w:after="40"/>
            </w:pPr>
            <w:r w:rsidRPr="0088049C">
              <w:rPr>
                <w:highlight w:val="yellow"/>
              </w:rPr>
              <w:t>136.7%</w:t>
            </w:r>
          </w:p>
        </w:tc>
      </w:tr>
    </w:tbl>
    <w:p w:rsidR="00BA7C2C" w:rsidRPr="00E9475A" w:rsidRDefault="00BA7C2C" w:rsidP="00BA7C2C">
      <w:pPr>
        <w:spacing w:before="40" w:after="40"/>
        <w:rPr>
          <w:b/>
        </w:rPr>
      </w:pPr>
    </w:p>
    <w:p w:rsidR="00BA7C2C" w:rsidRPr="00764A29" w:rsidRDefault="00BA7C2C" w:rsidP="00BA7C2C">
      <w:pPr>
        <w:spacing w:after="120"/>
        <w:rPr>
          <w:b/>
          <w:szCs w:val="22"/>
        </w:rPr>
      </w:pPr>
      <w:r w:rsidRPr="0088049C">
        <w:rPr>
          <w:noProof/>
          <w:szCs w:val="22"/>
          <w:highlight w:val="yellow"/>
        </w:rPr>
        <w:t>With PPE (gloves, 90% exposure reduction):</w:t>
      </w:r>
    </w:p>
    <w:p w:rsidR="00BA7C2C" w:rsidRPr="00450534" w:rsidRDefault="00BA7C2C" w:rsidP="00BA7C2C">
      <w:pPr>
        <w:spacing w:before="40" w:after="40"/>
      </w:pPr>
    </w:p>
    <w:tbl>
      <w:tblPr>
        <w:tblW w:w="9806" w:type="dxa"/>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880"/>
        <w:gridCol w:w="880"/>
        <w:gridCol w:w="1100"/>
        <w:gridCol w:w="770"/>
        <w:gridCol w:w="770"/>
        <w:gridCol w:w="880"/>
        <w:gridCol w:w="770"/>
        <w:gridCol w:w="770"/>
        <w:gridCol w:w="770"/>
        <w:gridCol w:w="896"/>
      </w:tblGrid>
      <w:tr w:rsidR="00BA7C2C" w:rsidRPr="0088049C" w:rsidTr="00613EE2">
        <w:trPr>
          <w:jc w:val="center"/>
        </w:trPr>
        <w:tc>
          <w:tcPr>
            <w:tcW w:w="1320" w:type="dxa"/>
            <w:vMerge w:val="restart"/>
          </w:tcPr>
          <w:p w:rsidR="00BA7C2C" w:rsidRPr="0088049C" w:rsidRDefault="00BA7C2C" w:rsidP="00613EE2">
            <w:pPr>
              <w:spacing w:before="40" w:after="40"/>
              <w:rPr>
                <w:b/>
                <w:highlight w:val="yellow"/>
              </w:rPr>
            </w:pPr>
            <w:r w:rsidRPr="0088049C">
              <w:rPr>
                <w:b/>
                <w:highlight w:val="yellow"/>
              </w:rPr>
              <w:t>Exposure scenario</w:t>
            </w:r>
          </w:p>
        </w:tc>
        <w:tc>
          <w:tcPr>
            <w:tcW w:w="880" w:type="dxa"/>
            <w:vMerge w:val="restart"/>
          </w:tcPr>
          <w:p w:rsidR="00BA7C2C" w:rsidRPr="0088049C" w:rsidRDefault="00BA7C2C" w:rsidP="00613EE2">
            <w:pPr>
              <w:spacing w:before="40" w:after="40"/>
              <w:rPr>
                <w:b/>
                <w:highlight w:val="yellow"/>
              </w:rPr>
            </w:pPr>
            <w:r w:rsidRPr="0088049C">
              <w:rPr>
                <w:b/>
                <w:highlight w:val="yellow"/>
              </w:rPr>
              <w:t>Component</w:t>
            </w:r>
          </w:p>
          <w:p w:rsidR="00BA7C2C" w:rsidRPr="0088049C" w:rsidRDefault="00BA7C2C" w:rsidP="00613EE2">
            <w:pPr>
              <w:spacing w:before="40" w:after="40"/>
              <w:rPr>
                <w:highlight w:val="yellow"/>
              </w:rPr>
            </w:pPr>
          </w:p>
        </w:tc>
        <w:tc>
          <w:tcPr>
            <w:tcW w:w="880" w:type="dxa"/>
            <w:vMerge w:val="restart"/>
          </w:tcPr>
          <w:p w:rsidR="00BA7C2C" w:rsidRPr="0088049C" w:rsidRDefault="00BA7C2C" w:rsidP="00613EE2">
            <w:pPr>
              <w:spacing w:before="40" w:after="40"/>
              <w:rPr>
                <w:b/>
                <w:highlight w:val="yellow"/>
              </w:rPr>
            </w:pPr>
            <w:r w:rsidRPr="0088049C">
              <w:rPr>
                <w:b/>
                <w:highlight w:val="yellow"/>
              </w:rPr>
              <w:t>CAS</w:t>
            </w:r>
          </w:p>
        </w:tc>
        <w:tc>
          <w:tcPr>
            <w:tcW w:w="1100" w:type="dxa"/>
            <w:vMerge w:val="restart"/>
          </w:tcPr>
          <w:p w:rsidR="00BA7C2C" w:rsidRPr="0088049C" w:rsidRDefault="00BA7C2C" w:rsidP="00613EE2">
            <w:pPr>
              <w:spacing w:before="40" w:after="40"/>
              <w:rPr>
                <w:b/>
                <w:highlight w:val="yellow"/>
              </w:rPr>
            </w:pPr>
            <w:r w:rsidRPr="0088049C">
              <w:rPr>
                <w:b/>
                <w:highlight w:val="yellow"/>
              </w:rPr>
              <w:t>AEL [mg/kg/d]</w:t>
            </w:r>
          </w:p>
        </w:tc>
        <w:tc>
          <w:tcPr>
            <w:tcW w:w="1540" w:type="dxa"/>
            <w:gridSpan w:val="2"/>
          </w:tcPr>
          <w:p w:rsidR="00BA7C2C" w:rsidRPr="0088049C" w:rsidRDefault="00BA7C2C" w:rsidP="00613EE2">
            <w:pPr>
              <w:spacing w:before="40" w:after="40"/>
              <w:rPr>
                <w:b/>
                <w:highlight w:val="yellow"/>
              </w:rPr>
            </w:pPr>
            <w:r w:rsidRPr="0088049C">
              <w:rPr>
                <w:b/>
                <w:highlight w:val="yellow"/>
              </w:rPr>
              <w:t>Absorption</w:t>
            </w:r>
          </w:p>
        </w:tc>
        <w:tc>
          <w:tcPr>
            <w:tcW w:w="1650" w:type="dxa"/>
            <w:gridSpan w:val="2"/>
          </w:tcPr>
          <w:p w:rsidR="00BA7C2C" w:rsidRPr="0088049C" w:rsidRDefault="00BA7C2C" w:rsidP="00613EE2">
            <w:pPr>
              <w:spacing w:before="40" w:after="40"/>
              <w:rPr>
                <w:b/>
                <w:highlight w:val="yellow"/>
              </w:rPr>
            </w:pPr>
            <w:r w:rsidRPr="0088049C">
              <w:rPr>
                <w:b/>
                <w:highlight w:val="yellow"/>
              </w:rPr>
              <w:t>Inhal ext</w:t>
            </w:r>
          </w:p>
          <w:p w:rsidR="00BA7C2C" w:rsidRPr="0088049C" w:rsidRDefault="00BA7C2C" w:rsidP="00613EE2">
            <w:pPr>
              <w:spacing w:before="40" w:after="40"/>
              <w:rPr>
                <w:highlight w:val="yellow"/>
              </w:rPr>
            </w:pPr>
            <w:r w:rsidRPr="0088049C">
              <w:rPr>
                <w:b/>
                <w:highlight w:val="yellow"/>
              </w:rPr>
              <w:t>[mg/m3]</w:t>
            </w:r>
          </w:p>
        </w:tc>
        <w:tc>
          <w:tcPr>
            <w:tcW w:w="1540" w:type="dxa"/>
            <w:gridSpan w:val="2"/>
          </w:tcPr>
          <w:p w:rsidR="00BA7C2C" w:rsidRPr="0088049C" w:rsidRDefault="00BA7C2C" w:rsidP="00613EE2">
            <w:pPr>
              <w:spacing w:before="40" w:after="40"/>
              <w:rPr>
                <w:b/>
                <w:highlight w:val="yellow"/>
              </w:rPr>
            </w:pPr>
            <w:r w:rsidRPr="0088049C">
              <w:rPr>
                <w:b/>
                <w:highlight w:val="yellow"/>
              </w:rPr>
              <w:t>Derm ext</w:t>
            </w:r>
          </w:p>
          <w:p w:rsidR="00BA7C2C" w:rsidRPr="0088049C" w:rsidRDefault="00BA7C2C" w:rsidP="00613EE2">
            <w:pPr>
              <w:spacing w:before="40" w:after="40"/>
              <w:rPr>
                <w:highlight w:val="yellow"/>
              </w:rPr>
            </w:pPr>
            <w:r w:rsidRPr="0088049C">
              <w:rPr>
                <w:b/>
                <w:highlight w:val="yellow"/>
              </w:rPr>
              <w:t>[mg/kg/d]</w:t>
            </w:r>
          </w:p>
        </w:tc>
        <w:tc>
          <w:tcPr>
            <w:tcW w:w="896" w:type="dxa"/>
            <w:vMerge w:val="restart"/>
          </w:tcPr>
          <w:p w:rsidR="00BA7C2C" w:rsidRPr="0088049C" w:rsidRDefault="00BA7C2C" w:rsidP="00613EE2">
            <w:pPr>
              <w:spacing w:before="40" w:after="40"/>
              <w:rPr>
                <w:b/>
                <w:highlight w:val="yellow"/>
              </w:rPr>
            </w:pPr>
            <w:r w:rsidRPr="0088049C">
              <w:rPr>
                <w:b/>
                <w:highlight w:val="yellow"/>
              </w:rPr>
              <w:t>RCR total</w:t>
            </w:r>
          </w:p>
        </w:tc>
      </w:tr>
      <w:tr w:rsidR="00BA7C2C" w:rsidRPr="0088049C" w:rsidTr="00613EE2">
        <w:trPr>
          <w:jc w:val="center"/>
        </w:trPr>
        <w:tc>
          <w:tcPr>
            <w:tcW w:w="1320" w:type="dxa"/>
            <w:vMerge/>
          </w:tcPr>
          <w:p w:rsidR="00BA7C2C" w:rsidRPr="0088049C" w:rsidRDefault="00BA7C2C" w:rsidP="00613EE2">
            <w:pPr>
              <w:spacing w:before="40" w:after="40"/>
              <w:rPr>
                <w:highlight w:val="yellow"/>
              </w:rPr>
            </w:pPr>
          </w:p>
        </w:tc>
        <w:tc>
          <w:tcPr>
            <w:tcW w:w="880" w:type="dxa"/>
            <w:vMerge/>
          </w:tcPr>
          <w:p w:rsidR="00BA7C2C" w:rsidRPr="0088049C" w:rsidRDefault="00BA7C2C" w:rsidP="00613EE2">
            <w:pPr>
              <w:spacing w:before="40" w:after="40"/>
              <w:rPr>
                <w:highlight w:val="yellow"/>
              </w:rPr>
            </w:pPr>
          </w:p>
        </w:tc>
        <w:tc>
          <w:tcPr>
            <w:tcW w:w="880" w:type="dxa"/>
            <w:vMerge/>
          </w:tcPr>
          <w:p w:rsidR="00BA7C2C" w:rsidRPr="0088049C" w:rsidRDefault="00BA7C2C" w:rsidP="00613EE2">
            <w:pPr>
              <w:spacing w:before="40" w:after="40"/>
              <w:rPr>
                <w:highlight w:val="yellow"/>
              </w:rPr>
            </w:pPr>
          </w:p>
        </w:tc>
        <w:tc>
          <w:tcPr>
            <w:tcW w:w="1100" w:type="dxa"/>
            <w:vMerge/>
          </w:tcPr>
          <w:p w:rsidR="00BA7C2C" w:rsidRPr="0088049C" w:rsidRDefault="00BA7C2C" w:rsidP="00613EE2">
            <w:pPr>
              <w:spacing w:before="40" w:after="40"/>
              <w:rPr>
                <w:highlight w:val="yellow"/>
              </w:rPr>
            </w:pPr>
          </w:p>
        </w:tc>
        <w:tc>
          <w:tcPr>
            <w:tcW w:w="770" w:type="dxa"/>
          </w:tcPr>
          <w:p w:rsidR="00BA7C2C" w:rsidRPr="0088049C" w:rsidRDefault="00BA7C2C" w:rsidP="00613EE2">
            <w:pPr>
              <w:spacing w:before="40" w:after="40"/>
              <w:rPr>
                <w:b/>
                <w:highlight w:val="yellow"/>
              </w:rPr>
            </w:pPr>
            <w:r w:rsidRPr="0088049C">
              <w:rPr>
                <w:b/>
                <w:highlight w:val="yellow"/>
              </w:rPr>
              <w:t>inh</w:t>
            </w:r>
          </w:p>
        </w:tc>
        <w:tc>
          <w:tcPr>
            <w:tcW w:w="770" w:type="dxa"/>
          </w:tcPr>
          <w:p w:rsidR="00BA7C2C" w:rsidRPr="0088049C" w:rsidRDefault="00BA7C2C" w:rsidP="00613EE2">
            <w:pPr>
              <w:spacing w:before="40" w:after="40"/>
              <w:rPr>
                <w:b/>
                <w:highlight w:val="yellow"/>
              </w:rPr>
            </w:pPr>
            <w:r w:rsidRPr="0088049C">
              <w:rPr>
                <w:b/>
                <w:highlight w:val="yellow"/>
              </w:rPr>
              <w:t>derm</w:t>
            </w:r>
          </w:p>
        </w:tc>
        <w:tc>
          <w:tcPr>
            <w:tcW w:w="880" w:type="dxa"/>
          </w:tcPr>
          <w:p w:rsidR="00BA7C2C" w:rsidRPr="0088049C" w:rsidRDefault="00BA7C2C" w:rsidP="00613EE2">
            <w:pPr>
              <w:spacing w:before="40" w:after="40"/>
              <w:rPr>
                <w:b/>
                <w:highlight w:val="yellow"/>
              </w:rPr>
            </w:pPr>
            <w:r w:rsidRPr="0088049C">
              <w:rPr>
                <w:b/>
                <w:highlight w:val="yellow"/>
              </w:rPr>
              <w:t>Act. Expo</w:t>
            </w:r>
          </w:p>
        </w:tc>
        <w:tc>
          <w:tcPr>
            <w:tcW w:w="770" w:type="dxa"/>
          </w:tcPr>
          <w:p w:rsidR="00BA7C2C" w:rsidRPr="0088049C" w:rsidRDefault="00BA7C2C" w:rsidP="00613EE2">
            <w:pPr>
              <w:spacing w:before="40" w:after="40"/>
              <w:rPr>
                <w:b/>
                <w:highlight w:val="yellow"/>
              </w:rPr>
            </w:pPr>
            <w:r w:rsidRPr="0088049C">
              <w:rPr>
                <w:b/>
                <w:highlight w:val="yellow"/>
              </w:rPr>
              <w:t>RCR</w:t>
            </w:r>
          </w:p>
        </w:tc>
        <w:tc>
          <w:tcPr>
            <w:tcW w:w="770" w:type="dxa"/>
          </w:tcPr>
          <w:p w:rsidR="00BA7C2C" w:rsidRPr="0088049C" w:rsidRDefault="00BA7C2C" w:rsidP="00613EE2">
            <w:pPr>
              <w:spacing w:before="40" w:after="40"/>
              <w:rPr>
                <w:b/>
                <w:highlight w:val="yellow"/>
              </w:rPr>
            </w:pPr>
            <w:r w:rsidRPr="0088049C">
              <w:rPr>
                <w:b/>
                <w:highlight w:val="yellow"/>
              </w:rPr>
              <w:t>Act. Expo</w:t>
            </w:r>
          </w:p>
        </w:tc>
        <w:tc>
          <w:tcPr>
            <w:tcW w:w="770" w:type="dxa"/>
          </w:tcPr>
          <w:p w:rsidR="00BA7C2C" w:rsidRPr="0088049C" w:rsidRDefault="00BA7C2C" w:rsidP="00613EE2">
            <w:pPr>
              <w:spacing w:before="40" w:after="40"/>
              <w:rPr>
                <w:b/>
                <w:highlight w:val="yellow"/>
              </w:rPr>
            </w:pPr>
            <w:r w:rsidRPr="0088049C">
              <w:rPr>
                <w:b/>
                <w:highlight w:val="yellow"/>
              </w:rPr>
              <w:t>RCR</w:t>
            </w:r>
          </w:p>
        </w:tc>
        <w:tc>
          <w:tcPr>
            <w:tcW w:w="896" w:type="dxa"/>
            <w:vMerge/>
          </w:tcPr>
          <w:p w:rsidR="00BA7C2C" w:rsidRPr="0088049C" w:rsidRDefault="00BA7C2C" w:rsidP="00613EE2">
            <w:pPr>
              <w:spacing w:before="40" w:after="40"/>
              <w:rPr>
                <w:highlight w:val="yellow"/>
              </w:rPr>
            </w:pPr>
          </w:p>
        </w:tc>
      </w:tr>
      <w:tr w:rsidR="00BA7C2C" w:rsidRPr="0088049C" w:rsidTr="00613EE2">
        <w:trPr>
          <w:jc w:val="center"/>
        </w:trPr>
        <w:tc>
          <w:tcPr>
            <w:tcW w:w="1320" w:type="dxa"/>
          </w:tcPr>
          <w:p w:rsidR="00BA7C2C" w:rsidRPr="0088049C" w:rsidRDefault="00BA7C2C" w:rsidP="00613EE2">
            <w:pPr>
              <w:spacing w:before="40" w:after="40"/>
              <w:rPr>
                <w:highlight w:val="yellow"/>
              </w:rPr>
            </w:pPr>
            <w:r w:rsidRPr="0088049C">
              <w:rPr>
                <w:highlight w:val="yellow"/>
              </w:rPr>
              <w:t xml:space="preserve">Application in and </w:t>
            </w:r>
            <w:r w:rsidRPr="0088049C">
              <w:rPr>
                <w:highlight w:val="yellow"/>
              </w:rPr>
              <w:lastRenderedPageBreak/>
              <w:t>around buildings</w:t>
            </w:r>
          </w:p>
        </w:tc>
        <w:tc>
          <w:tcPr>
            <w:tcW w:w="880" w:type="dxa"/>
          </w:tcPr>
          <w:p w:rsidR="00BA7C2C" w:rsidRPr="0088049C" w:rsidRDefault="00BA7C2C" w:rsidP="00613EE2">
            <w:pPr>
              <w:spacing w:before="40" w:after="40"/>
              <w:rPr>
                <w:highlight w:val="yellow"/>
              </w:rPr>
            </w:pPr>
            <w:r w:rsidRPr="0088049C">
              <w:rPr>
                <w:highlight w:val="yellow"/>
              </w:rPr>
              <w:lastRenderedPageBreak/>
              <w:t>Bromadiolone</w:t>
            </w:r>
          </w:p>
        </w:tc>
        <w:tc>
          <w:tcPr>
            <w:tcW w:w="880" w:type="dxa"/>
          </w:tcPr>
          <w:p w:rsidR="00BA7C2C" w:rsidRPr="0088049C" w:rsidRDefault="00BA7C2C" w:rsidP="00613EE2">
            <w:pPr>
              <w:spacing w:before="40" w:after="40"/>
              <w:rPr>
                <w:highlight w:val="yellow"/>
              </w:rPr>
            </w:pPr>
            <w:r w:rsidRPr="0088049C">
              <w:rPr>
                <w:highlight w:val="yellow"/>
              </w:rPr>
              <w:t>28772-56-7</w:t>
            </w:r>
          </w:p>
        </w:tc>
        <w:tc>
          <w:tcPr>
            <w:tcW w:w="1100" w:type="dxa"/>
          </w:tcPr>
          <w:p w:rsidR="00BA7C2C" w:rsidRPr="0088049C" w:rsidRDefault="00BA7C2C" w:rsidP="00613EE2">
            <w:pPr>
              <w:spacing w:before="40" w:after="40"/>
              <w:rPr>
                <w:highlight w:val="yellow"/>
              </w:rPr>
            </w:pPr>
            <w:r w:rsidRPr="0088049C">
              <w:rPr>
                <w:highlight w:val="yellow"/>
              </w:rPr>
              <w:t xml:space="preserve">1.2 x 10-6 </w:t>
            </w:r>
          </w:p>
        </w:tc>
        <w:tc>
          <w:tcPr>
            <w:tcW w:w="770" w:type="dxa"/>
          </w:tcPr>
          <w:p w:rsidR="00BA7C2C" w:rsidRPr="0088049C" w:rsidRDefault="00BA7C2C" w:rsidP="00613EE2">
            <w:pPr>
              <w:spacing w:before="40" w:after="40"/>
              <w:rPr>
                <w:highlight w:val="yellow"/>
              </w:rPr>
            </w:pPr>
            <w:r w:rsidRPr="0088049C">
              <w:rPr>
                <w:highlight w:val="yellow"/>
              </w:rPr>
              <w:t>No data</w:t>
            </w:r>
          </w:p>
        </w:tc>
        <w:tc>
          <w:tcPr>
            <w:tcW w:w="770" w:type="dxa"/>
          </w:tcPr>
          <w:p w:rsidR="00BA7C2C" w:rsidRPr="0088049C" w:rsidRDefault="00BA7C2C" w:rsidP="00613EE2">
            <w:pPr>
              <w:spacing w:before="40" w:after="40"/>
              <w:rPr>
                <w:highlight w:val="yellow"/>
              </w:rPr>
            </w:pPr>
            <w:r w:rsidRPr="0088049C">
              <w:rPr>
                <w:highlight w:val="yellow"/>
              </w:rPr>
              <w:t>1.6%</w:t>
            </w:r>
          </w:p>
        </w:tc>
        <w:tc>
          <w:tcPr>
            <w:tcW w:w="88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8.18 x 10-8</w:t>
            </w:r>
          </w:p>
        </w:tc>
        <w:tc>
          <w:tcPr>
            <w:tcW w:w="770" w:type="dxa"/>
          </w:tcPr>
          <w:p w:rsidR="00BA7C2C" w:rsidRPr="0088049C" w:rsidRDefault="00BA7C2C" w:rsidP="00613EE2">
            <w:pPr>
              <w:spacing w:before="40" w:after="40"/>
              <w:rPr>
                <w:highlight w:val="yellow"/>
              </w:rPr>
            </w:pPr>
            <w:r w:rsidRPr="0088049C">
              <w:rPr>
                <w:highlight w:val="yellow"/>
              </w:rPr>
              <w:t>6.8%</w:t>
            </w:r>
          </w:p>
        </w:tc>
        <w:tc>
          <w:tcPr>
            <w:tcW w:w="896" w:type="dxa"/>
          </w:tcPr>
          <w:p w:rsidR="00BA7C2C" w:rsidRPr="0088049C" w:rsidRDefault="00BA7C2C" w:rsidP="00613EE2">
            <w:pPr>
              <w:spacing w:before="40" w:after="40"/>
              <w:rPr>
                <w:highlight w:val="yellow"/>
              </w:rPr>
            </w:pPr>
            <w:r w:rsidRPr="0088049C">
              <w:rPr>
                <w:highlight w:val="yellow"/>
              </w:rPr>
              <w:t>6.8%</w:t>
            </w:r>
          </w:p>
        </w:tc>
      </w:tr>
      <w:tr w:rsidR="00BA7C2C" w:rsidRPr="0088049C" w:rsidTr="00613EE2">
        <w:trPr>
          <w:jc w:val="center"/>
        </w:trPr>
        <w:tc>
          <w:tcPr>
            <w:tcW w:w="1320" w:type="dxa"/>
          </w:tcPr>
          <w:p w:rsidR="00BA7C2C" w:rsidRPr="0088049C" w:rsidRDefault="00BA7C2C" w:rsidP="00613EE2">
            <w:pPr>
              <w:spacing w:before="40" w:after="40"/>
              <w:rPr>
                <w:highlight w:val="yellow"/>
              </w:rPr>
            </w:pPr>
            <w:r w:rsidRPr="0088049C">
              <w:rPr>
                <w:highlight w:val="yellow"/>
              </w:rPr>
              <w:lastRenderedPageBreak/>
              <w:t>Application around waste sites for the control of rodents</w:t>
            </w:r>
          </w:p>
        </w:tc>
        <w:tc>
          <w:tcPr>
            <w:tcW w:w="880" w:type="dxa"/>
          </w:tcPr>
          <w:p w:rsidR="00BA7C2C" w:rsidRPr="0088049C" w:rsidRDefault="00BA7C2C" w:rsidP="00613EE2">
            <w:pPr>
              <w:spacing w:before="40" w:after="40"/>
              <w:rPr>
                <w:highlight w:val="yellow"/>
              </w:rPr>
            </w:pPr>
            <w:r w:rsidRPr="0088049C">
              <w:rPr>
                <w:highlight w:val="yellow"/>
              </w:rPr>
              <w:t>Bromadiolone</w:t>
            </w:r>
          </w:p>
        </w:tc>
        <w:tc>
          <w:tcPr>
            <w:tcW w:w="880" w:type="dxa"/>
          </w:tcPr>
          <w:p w:rsidR="00BA7C2C" w:rsidRPr="0088049C" w:rsidRDefault="00BA7C2C" w:rsidP="00613EE2">
            <w:pPr>
              <w:spacing w:before="40" w:after="40"/>
              <w:rPr>
                <w:highlight w:val="yellow"/>
              </w:rPr>
            </w:pPr>
            <w:r w:rsidRPr="0088049C">
              <w:rPr>
                <w:highlight w:val="yellow"/>
              </w:rPr>
              <w:t>28772-56-7</w:t>
            </w:r>
          </w:p>
        </w:tc>
        <w:tc>
          <w:tcPr>
            <w:tcW w:w="1100" w:type="dxa"/>
          </w:tcPr>
          <w:p w:rsidR="00BA7C2C" w:rsidRPr="0088049C" w:rsidRDefault="00BA7C2C" w:rsidP="00613EE2">
            <w:pPr>
              <w:spacing w:before="40" w:after="40"/>
              <w:rPr>
                <w:highlight w:val="yellow"/>
              </w:rPr>
            </w:pPr>
            <w:r w:rsidRPr="0088049C">
              <w:rPr>
                <w:highlight w:val="yellow"/>
              </w:rPr>
              <w:t>1.2 x 10-6</w:t>
            </w:r>
          </w:p>
        </w:tc>
        <w:tc>
          <w:tcPr>
            <w:tcW w:w="770" w:type="dxa"/>
          </w:tcPr>
          <w:p w:rsidR="00BA7C2C" w:rsidRPr="0088049C" w:rsidRDefault="00BA7C2C" w:rsidP="00613EE2">
            <w:pPr>
              <w:spacing w:before="40" w:after="40"/>
              <w:rPr>
                <w:highlight w:val="yellow"/>
              </w:rPr>
            </w:pPr>
            <w:r w:rsidRPr="0088049C">
              <w:rPr>
                <w:highlight w:val="yellow"/>
              </w:rPr>
              <w:t>No data</w:t>
            </w:r>
          </w:p>
        </w:tc>
        <w:tc>
          <w:tcPr>
            <w:tcW w:w="770" w:type="dxa"/>
          </w:tcPr>
          <w:p w:rsidR="00BA7C2C" w:rsidRPr="0088049C" w:rsidRDefault="00BA7C2C" w:rsidP="00613EE2">
            <w:pPr>
              <w:spacing w:before="40" w:after="40"/>
              <w:rPr>
                <w:highlight w:val="yellow"/>
              </w:rPr>
            </w:pPr>
            <w:r w:rsidRPr="0088049C">
              <w:rPr>
                <w:highlight w:val="yellow"/>
              </w:rPr>
              <w:t>1.6%</w:t>
            </w:r>
          </w:p>
        </w:tc>
        <w:tc>
          <w:tcPr>
            <w:tcW w:w="88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2.73 x 10-7</w:t>
            </w:r>
          </w:p>
        </w:tc>
        <w:tc>
          <w:tcPr>
            <w:tcW w:w="770" w:type="dxa"/>
          </w:tcPr>
          <w:p w:rsidR="00BA7C2C" w:rsidRPr="0088049C" w:rsidRDefault="00BA7C2C" w:rsidP="00613EE2">
            <w:pPr>
              <w:spacing w:before="40" w:after="40"/>
              <w:rPr>
                <w:highlight w:val="yellow"/>
              </w:rPr>
            </w:pPr>
            <w:r w:rsidRPr="0088049C">
              <w:rPr>
                <w:highlight w:val="yellow"/>
              </w:rPr>
              <w:t>22.8%</w:t>
            </w:r>
          </w:p>
        </w:tc>
        <w:tc>
          <w:tcPr>
            <w:tcW w:w="896" w:type="dxa"/>
          </w:tcPr>
          <w:p w:rsidR="00BA7C2C" w:rsidRPr="0088049C" w:rsidRDefault="00BA7C2C" w:rsidP="00613EE2">
            <w:pPr>
              <w:spacing w:before="40" w:after="40"/>
              <w:rPr>
                <w:highlight w:val="yellow"/>
              </w:rPr>
            </w:pPr>
            <w:r w:rsidRPr="0088049C">
              <w:rPr>
                <w:highlight w:val="yellow"/>
              </w:rPr>
              <w:t>22.8%</w:t>
            </w:r>
          </w:p>
        </w:tc>
      </w:tr>
      <w:tr w:rsidR="00BA7C2C" w:rsidRPr="00450534" w:rsidTr="00613EE2">
        <w:trPr>
          <w:jc w:val="center"/>
        </w:trPr>
        <w:tc>
          <w:tcPr>
            <w:tcW w:w="1320" w:type="dxa"/>
          </w:tcPr>
          <w:p w:rsidR="00BA7C2C" w:rsidRPr="0088049C" w:rsidRDefault="00BA7C2C" w:rsidP="00613EE2">
            <w:pPr>
              <w:spacing w:before="40" w:after="40"/>
              <w:rPr>
                <w:highlight w:val="yellow"/>
              </w:rPr>
            </w:pPr>
            <w:r w:rsidRPr="0088049C">
              <w:rPr>
                <w:highlight w:val="yellow"/>
              </w:rPr>
              <w:t>Application in open areas</w:t>
            </w:r>
          </w:p>
        </w:tc>
        <w:tc>
          <w:tcPr>
            <w:tcW w:w="880" w:type="dxa"/>
          </w:tcPr>
          <w:p w:rsidR="00BA7C2C" w:rsidRPr="0088049C" w:rsidRDefault="00BA7C2C" w:rsidP="00613EE2">
            <w:pPr>
              <w:spacing w:before="40" w:after="40"/>
              <w:rPr>
                <w:highlight w:val="yellow"/>
              </w:rPr>
            </w:pPr>
            <w:r w:rsidRPr="0088049C">
              <w:rPr>
                <w:highlight w:val="yellow"/>
              </w:rPr>
              <w:t>Bromadiolone</w:t>
            </w:r>
          </w:p>
        </w:tc>
        <w:tc>
          <w:tcPr>
            <w:tcW w:w="880" w:type="dxa"/>
          </w:tcPr>
          <w:p w:rsidR="00BA7C2C" w:rsidRPr="0088049C" w:rsidRDefault="00BA7C2C" w:rsidP="00613EE2">
            <w:pPr>
              <w:spacing w:before="40" w:after="40"/>
              <w:rPr>
                <w:highlight w:val="yellow"/>
              </w:rPr>
            </w:pPr>
            <w:r w:rsidRPr="0088049C">
              <w:rPr>
                <w:highlight w:val="yellow"/>
              </w:rPr>
              <w:t>28772-56-7</w:t>
            </w:r>
          </w:p>
        </w:tc>
        <w:tc>
          <w:tcPr>
            <w:tcW w:w="1100" w:type="dxa"/>
          </w:tcPr>
          <w:p w:rsidR="00BA7C2C" w:rsidRPr="0088049C" w:rsidRDefault="00BA7C2C" w:rsidP="00613EE2">
            <w:pPr>
              <w:spacing w:before="40" w:after="40"/>
              <w:rPr>
                <w:highlight w:val="yellow"/>
              </w:rPr>
            </w:pPr>
            <w:r w:rsidRPr="0088049C">
              <w:rPr>
                <w:highlight w:val="yellow"/>
              </w:rPr>
              <w:t>1.2 x 10-6</w:t>
            </w:r>
          </w:p>
        </w:tc>
        <w:tc>
          <w:tcPr>
            <w:tcW w:w="770" w:type="dxa"/>
          </w:tcPr>
          <w:p w:rsidR="00BA7C2C" w:rsidRPr="0088049C" w:rsidRDefault="00BA7C2C" w:rsidP="00613EE2">
            <w:pPr>
              <w:spacing w:before="40" w:after="40"/>
              <w:rPr>
                <w:highlight w:val="yellow"/>
              </w:rPr>
            </w:pPr>
            <w:r w:rsidRPr="0088049C">
              <w:rPr>
                <w:highlight w:val="yellow"/>
              </w:rPr>
              <w:t>No data</w:t>
            </w:r>
          </w:p>
        </w:tc>
        <w:tc>
          <w:tcPr>
            <w:tcW w:w="770" w:type="dxa"/>
          </w:tcPr>
          <w:p w:rsidR="00BA7C2C" w:rsidRPr="0088049C" w:rsidRDefault="00BA7C2C" w:rsidP="00613EE2">
            <w:pPr>
              <w:spacing w:before="40" w:after="40"/>
              <w:rPr>
                <w:highlight w:val="yellow"/>
              </w:rPr>
            </w:pPr>
            <w:r w:rsidRPr="0088049C">
              <w:rPr>
                <w:highlight w:val="yellow"/>
              </w:rPr>
              <w:t>1.6%</w:t>
            </w:r>
          </w:p>
        </w:tc>
        <w:tc>
          <w:tcPr>
            <w:tcW w:w="88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w:t>
            </w:r>
          </w:p>
        </w:tc>
        <w:tc>
          <w:tcPr>
            <w:tcW w:w="770" w:type="dxa"/>
          </w:tcPr>
          <w:p w:rsidR="00BA7C2C" w:rsidRPr="0088049C" w:rsidRDefault="00BA7C2C" w:rsidP="00613EE2">
            <w:pPr>
              <w:spacing w:before="40" w:after="40"/>
              <w:rPr>
                <w:highlight w:val="yellow"/>
              </w:rPr>
            </w:pPr>
            <w:r w:rsidRPr="0088049C">
              <w:rPr>
                <w:highlight w:val="yellow"/>
              </w:rPr>
              <w:t>1.64 x 10-7</w:t>
            </w:r>
          </w:p>
        </w:tc>
        <w:tc>
          <w:tcPr>
            <w:tcW w:w="770" w:type="dxa"/>
          </w:tcPr>
          <w:p w:rsidR="00BA7C2C" w:rsidRPr="0088049C" w:rsidRDefault="00BA7C2C" w:rsidP="00613EE2">
            <w:pPr>
              <w:spacing w:before="40" w:after="40"/>
              <w:rPr>
                <w:highlight w:val="yellow"/>
              </w:rPr>
            </w:pPr>
            <w:r w:rsidRPr="0088049C">
              <w:rPr>
                <w:highlight w:val="yellow"/>
              </w:rPr>
              <w:t>13. 7%</w:t>
            </w:r>
          </w:p>
        </w:tc>
        <w:tc>
          <w:tcPr>
            <w:tcW w:w="896" w:type="dxa"/>
          </w:tcPr>
          <w:p w:rsidR="00BA7C2C" w:rsidRPr="00450534" w:rsidRDefault="00BA7C2C" w:rsidP="00613EE2">
            <w:pPr>
              <w:spacing w:before="40" w:after="40"/>
            </w:pPr>
            <w:r w:rsidRPr="0088049C">
              <w:rPr>
                <w:highlight w:val="yellow"/>
              </w:rPr>
              <w:t>13. 7%</w:t>
            </w:r>
          </w:p>
        </w:tc>
      </w:tr>
    </w:tbl>
    <w:p w:rsidR="00BA7C2C" w:rsidRPr="00A0425E" w:rsidRDefault="00BA7C2C" w:rsidP="00BA7C2C">
      <w:pPr>
        <w:pStyle w:val="BfRBBTitel"/>
        <w:jc w:val="left"/>
        <w:rPr>
          <w:b w:val="0"/>
          <w:sz w:val="20"/>
          <w:szCs w:val="20"/>
          <w:lang w:val="en-GB"/>
        </w:rPr>
      </w:pPr>
    </w:p>
    <w:p w:rsidR="00BA7C2C" w:rsidRPr="00A0425E" w:rsidRDefault="00BA7C2C" w:rsidP="00BA7C2C">
      <w:pPr>
        <w:pStyle w:val="BfRBBTitel"/>
        <w:jc w:val="left"/>
        <w:rPr>
          <w:rFonts w:ascii="Times New Roman" w:hAnsi="Times New Roman" w:cs="Times New Roman"/>
          <w:b w:val="0"/>
          <w:bCs w:val="0"/>
          <w:sz w:val="22"/>
          <w:szCs w:val="22"/>
          <w:lang w:val="en-GB"/>
        </w:rPr>
      </w:pPr>
    </w:p>
    <w:p w:rsidR="00BA7C2C" w:rsidRPr="0088049C" w:rsidRDefault="00BA7C2C" w:rsidP="00BA7C2C">
      <w:pPr>
        <w:spacing w:after="120"/>
        <w:rPr>
          <w:noProof/>
          <w:szCs w:val="22"/>
          <w:highlight w:val="yellow"/>
        </w:rPr>
      </w:pPr>
      <w:r w:rsidRPr="0088049C">
        <w:rPr>
          <w:noProof/>
          <w:szCs w:val="22"/>
          <w:highlight w:val="yellow"/>
        </w:rPr>
        <w:t xml:space="preserve">Conclusion: </w:t>
      </w:r>
    </w:p>
    <w:p w:rsidR="00BA7C2C" w:rsidRPr="00111997" w:rsidRDefault="00BA7C2C" w:rsidP="00BA7C2C">
      <w:pPr>
        <w:spacing w:after="120"/>
        <w:rPr>
          <w:b/>
          <w:szCs w:val="22"/>
        </w:rPr>
      </w:pPr>
      <w:r w:rsidRPr="0088049C">
        <w:rPr>
          <w:noProof/>
          <w:szCs w:val="22"/>
          <w:highlight w:val="yellow"/>
        </w:rPr>
        <w:t>Based on the risk assessment, no adverse effects from exposure to bromadiolone due to the use of MAKI PAT’ are expected for protected (gloves) professional users.</w:t>
      </w:r>
      <w:r>
        <w:rPr>
          <w:b/>
          <w:szCs w:val="22"/>
        </w:rPr>
        <w:t xml:space="preserve"> </w:t>
      </w:r>
    </w:p>
    <w:p w:rsidR="00BA7C2C" w:rsidRDefault="00BA7C2C" w:rsidP="00BA7C2C">
      <w:pPr>
        <w:pStyle w:val="Kop2"/>
        <w:numPr>
          <w:ilvl w:val="0"/>
          <w:numId w:val="0"/>
        </w:numPr>
        <w:spacing w:after="240"/>
      </w:pPr>
    </w:p>
    <w:p w:rsidR="00BA7C2C" w:rsidRPr="005D7064" w:rsidRDefault="00BA7C2C" w:rsidP="00BA7C2C">
      <w:pPr>
        <w:pStyle w:val="Kop2"/>
        <w:numPr>
          <w:ilvl w:val="0"/>
          <w:numId w:val="0"/>
        </w:numPr>
        <w:spacing w:after="240"/>
        <w:jc w:val="center"/>
      </w:pPr>
      <w:r>
        <w:br w:type="page"/>
      </w:r>
      <w:bookmarkStart w:id="860" w:name="_Toc362858111"/>
      <w:r w:rsidRPr="005D7064">
        <w:lastRenderedPageBreak/>
        <w:t>Annex 7: Safety for non-professional operators and the general public</w:t>
      </w:r>
      <w:bookmarkEnd w:id="860"/>
    </w:p>
    <w:p w:rsidR="00BA7C2C" w:rsidRPr="00A0425E" w:rsidRDefault="00BA7C2C" w:rsidP="00BA7C2C">
      <w:pPr>
        <w:pStyle w:val="BfRBBTitel"/>
        <w:ind w:firstLine="708"/>
        <w:jc w:val="right"/>
        <w:outlineLvl w:val="9"/>
        <w:rPr>
          <w:b w:val="0"/>
          <w:bCs w:val="0"/>
          <w:sz w:val="22"/>
          <w:szCs w:val="22"/>
          <w:lang w:val="en-GB"/>
        </w:rPr>
      </w:pPr>
    </w:p>
    <w:p w:rsidR="00BA7C2C" w:rsidRPr="00E7636A" w:rsidRDefault="00BA7C2C" w:rsidP="00BA7C2C">
      <w:pPr>
        <w:pStyle w:val="BfRBBTabelle"/>
        <w:pBdr>
          <w:top w:val="single" w:sz="4" w:space="1" w:color="auto"/>
          <w:left w:val="single" w:sz="4" w:space="4" w:color="auto"/>
          <w:bottom w:val="single" w:sz="4" w:space="1" w:color="auto"/>
          <w:right w:val="single" w:sz="4" w:space="4" w:color="auto"/>
        </w:pBdr>
        <w:jc w:val="center"/>
        <w:rPr>
          <w:rFonts w:ascii="Times New Roman" w:hAnsi="Times New Roman" w:cs="Times New Roman"/>
          <w:b/>
          <w:snapToGrid w:val="0"/>
          <w:sz w:val="22"/>
          <w:szCs w:val="22"/>
          <w:lang w:val="en-GB"/>
        </w:rPr>
      </w:pPr>
      <w:r>
        <w:rPr>
          <w:rFonts w:ascii="Times New Roman" w:hAnsi="Times New Roman" w:cs="Times New Roman"/>
          <w:b/>
          <w:snapToGrid w:val="0"/>
          <w:sz w:val="22"/>
          <w:szCs w:val="22"/>
          <w:lang w:val="en-GB"/>
        </w:rPr>
        <w:t xml:space="preserve">Maki Pat’ </w:t>
      </w:r>
    </w:p>
    <w:p w:rsidR="00BA7C2C" w:rsidRPr="00A0425E" w:rsidRDefault="00BA7C2C" w:rsidP="00BA7C2C">
      <w:pPr>
        <w:pStyle w:val="BfRBBTitel"/>
        <w:rPr>
          <w:rFonts w:ascii="Times New Roman" w:hAnsi="Times New Roman" w:cs="Times New Roman"/>
          <w:b w:val="0"/>
          <w:bCs w:val="0"/>
          <w:noProof w:val="0"/>
          <w:sz w:val="22"/>
          <w:szCs w:val="22"/>
          <w:lang w:val="en-GB"/>
        </w:rPr>
      </w:pPr>
    </w:p>
    <w:p w:rsidR="00BA7C2C" w:rsidRPr="00A0425E" w:rsidRDefault="00BA7C2C" w:rsidP="00BA7C2C">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A7C2C" w:rsidRPr="00A0425E" w:rsidTr="00613EE2">
        <w:trPr>
          <w:tblHeader/>
        </w:trPr>
        <w:tc>
          <w:tcPr>
            <w:tcW w:w="9214" w:type="dxa"/>
            <w:gridSpan w:val="2"/>
            <w:tcBorders>
              <w:top w:val="single" w:sz="12" w:space="0" w:color="000000"/>
              <w:left w:val="nil"/>
              <w:bottom w:val="single" w:sz="6" w:space="0" w:color="000000"/>
              <w:right w:val="nil"/>
            </w:tcBorders>
          </w:tcPr>
          <w:p w:rsidR="00BA7C2C" w:rsidRPr="00A0425E" w:rsidRDefault="00BA7C2C" w:rsidP="00613EE2">
            <w:pPr>
              <w:pStyle w:val="BfRBBTitel"/>
              <w:ind w:firstLine="112"/>
              <w:jc w:val="left"/>
              <w:outlineLvl w:val="9"/>
              <w:rPr>
                <w:b w:val="0"/>
                <w:bCs w:val="0"/>
                <w:noProof w:val="0"/>
                <w:lang w:val="en-GB"/>
              </w:rPr>
            </w:pPr>
            <w:r w:rsidRPr="00A0425E">
              <w:rPr>
                <w:rFonts w:ascii="Times New Roman" w:hAnsi="Times New Roman" w:cs="Times New Roman"/>
                <w:snapToGrid w:val="0"/>
                <w:sz w:val="22"/>
                <w:szCs w:val="22"/>
                <w:lang w:val="en-GB"/>
              </w:rPr>
              <w:t>General information</w:t>
            </w:r>
          </w:p>
        </w:tc>
      </w:tr>
      <w:tr w:rsidR="00BA7C2C" w:rsidRPr="00A0425E" w:rsidTr="00613EE2">
        <w:tc>
          <w:tcPr>
            <w:tcW w:w="4395"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Formulation Type</w:t>
            </w:r>
          </w:p>
        </w:tc>
        <w:tc>
          <w:tcPr>
            <w:tcW w:w="4819" w:type="dxa"/>
            <w:tcBorders>
              <w:top w:val="nil"/>
              <w:left w:val="nil"/>
              <w:bottom w:val="nil"/>
              <w:right w:val="nil"/>
            </w:tcBorders>
          </w:tcPr>
          <w:p w:rsidR="00BA7C2C" w:rsidRPr="005B511E" w:rsidRDefault="00BA7C2C" w:rsidP="00613EE2">
            <w:pPr>
              <w:pStyle w:val="BfRBBTabelle"/>
              <w:rPr>
                <w:rFonts w:ascii="Times" w:hAnsi="Times"/>
                <w:noProof w:val="0"/>
                <w:sz w:val="22"/>
                <w:szCs w:val="22"/>
                <w:lang w:val="en-GB"/>
              </w:rPr>
            </w:pPr>
            <w:r w:rsidRPr="005B511E">
              <w:rPr>
                <w:rFonts w:ascii="Times" w:hAnsi="Times"/>
                <w:noProof w:val="0"/>
                <w:sz w:val="22"/>
                <w:szCs w:val="22"/>
                <w:lang w:val="en-GB"/>
              </w:rPr>
              <w:t>Paste bait</w:t>
            </w:r>
          </w:p>
        </w:tc>
      </w:tr>
      <w:tr w:rsidR="00BA7C2C" w:rsidRPr="005E7543" w:rsidTr="00613EE2">
        <w:tc>
          <w:tcPr>
            <w:tcW w:w="4395"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Active substance(s) (incl. content)</w:t>
            </w:r>
          </w:p>
        </w:tc>
        <w:tc>
          <w:tcPr>
            <w:tcW w:w="4819" w:type="dxa"/>
            <w:tcBorders>
              <w:top w:val="nil"/>
              <w:left w:val="nil"/>
              <w:bottom w:val="nil"/>
              <w:right w:val="nil"/>
            </w:tcBorders>
          </w:tcPr>
          <w:p w:rsidR="00BA7C2C" w:rsidRPr="005B511E" w:rsidRDefault="00BA7C2C" w:rsidP="00613EE2">
            <w:pPr>
              <w:pStyle w:val="BfRBBTabelle"/>
              <w:rPr>
                <w:rFonts w:ascii="Times" w:hAnsi="Times"/>
                <w:noProof w:val="0"/>
                <w:sz w:val="22"/>
                <w:szCs w:val="22"/>
                <w:lang w:val="en-GB"/>
              </w:rPr>
            </w:pPr>
            <w:r w:rsidRPr="005B511E">
              <w:rPr>
                <w:rFonts w:ascii="Times" w:hAnsi="Times"/>
                <w:noProof w:val="0"/>
                <w:sz w:val="22"/>
                <w:szCs w:val="22"/>
                <w:lang w:val="en-GB"/>
              </w:rPr>
              <w:t>Bromadiolone, 0.005%</w:t>
            </w:r>
          </w:p>
        </w:tc>
      </w:tr>
      <w:tr w:rsidR="00BA7C2C" w:rsidRPr="00A0425E" w:rsidTr="00613EE2">
        <w:tc>
          <w:tcPr>
            <w:tcW w:w="4395" w:type="dxa"/>
            <w:tcBorders>
              <w:top w:val="nil"/>
              <w:left w:val="nil"/>
              <w:bottom w:val="nil"/>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Category</w:t>
            </w:r>
          </w:p>
        </w:tc>
        <w:tc>
          <w:tcPr>
            <w:tcW w:w="4819" w:type="dxa"/>
            <w:tcBorders>
              <w:top w:val="nil"/>
              <w:left w:val="nil"/>
              <w:bottom w:val="nil"/>
              <w:right w:val="nil"/>
            </w:tcBorders>
          </w:tcPr>
          <w:p w:rsidR="00BA7C2C" w:rsidRPr="005B511E" w:rsidRDefault="00BA7C2C" w:rsidP="00613EE2">
            <w:pPr>
              <w:pStyle w:val="BfRBBTabelle"/>
              <w:rPr>
                <w:rFonts w:ascii="Times" w:hAnsi="Times"/>
                <w:noProof w:val="0"/>
                <w:sz w:val="22"/>
                <w:szCs w:val="22"/>
                <w:lang w:val="en-GB"/>
              </w:rPr>
            </w:pPr>
            <w:r w:rsidRPr="005B511E">
              <w:rPr>
                <w:rFonts w:ascii="Times" w:hAnsi="Times"/>
                <w:noProof w:val="0"/>
                <w:sz w:val="22"/>
                <w:szCs w:val="22"/>
                <w:lang w:val="en-GB"/>
              </w:rPr>
              <w:t>PT14</w:t>
            </w:r>
          </w:p>
        </w:tc>
      </w:tr>
      <w:tr w:rsidR="00BA7C2C" w:rsidRPr="00A0425E" w:rsidTr="00613EE2">
        <w:tc>
          <w:tcPr>
            <w:tcW w:w="4395"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Authorisation number</w:t>
            </w:r>
          </w:p>
        </w:tc>
        <w:tc>
          <w:tcPr>
            <w:tcW w:w="4819" w:type="dxa"/>
            <w:tcBorders>
              <w:top w:val="nil"/>
              <w:left w:val="nil"/>
              <w:bottom w:val="single" w:sz="12" w:space="0" w:color="000000"/>
              <w:right w:val="nil"/>
            </w:tcBorders>
          </w:tcPr>
          <w:p w:rsidR="00BA7C2C" w:rsidRPr="00A0425E" w:rsidRDefault="00BA7C2C" w:rsidP="00613EE2">
            <w:pPr>
              <w:pStyle w:val="BfRBBTabelle"/>
              <w:rPr>
                <w:noProof w:val="0"/>
                <w:lang w:val="en-GB"/>
              </w:rPr>
            </w:pPr>
            <w:r>
              <w:rPr>
                <w:noProof w:val="0"/>
                <w:lang w:val="en-GB"/>
              </w:rPr>
              <w:t xml:space="preserve">- </w:t>
            </w:r>
          </w:p>
        </w:tc>
      </w:tr>
    </w:tbl>
    <w:p w:rsidR="00BA7C2C" w:rsidRPr="00A0425E" w:rsidRDefault="00BA7C2C" w:rsidP="00BA7C2C">
      <w:pPr>
        <w:pStyle w:val="BfRBBStandard"/>
        <w:rPr>
          <w:noProof w:val="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BA7C2C" w:rsidRPr="00A0425E" w:rsidTr="00613EE2">
        <w:trPr>
          <w:tblHeader/>
        </w:trPr>
        <w:tc>
          <w:tcPr>
            <w:tcW w:w="9214" w:type="dxa"/>
            <w:tcBorders>
              <w:top w:val="single" w:sz="12" w:space="0" w:color="000000"/>
              <w:left w:val="nil"/>
              <w:bottom w:val="single" w:sz="12" w:space="0" w:color="auto"/>
              <w:right w:val="nil"/>
            </w:tcBorders>
          </w:tcPr>
          <w:p w:rsidR="00BA7C2C" w:rsidRPr="00A0425E" w:rsidRDefault="00BA7C2C" w:rsidP="00613EE2">
            <w:pPr>
              <w:pStyle w:val="BfRBBTabelle"/>
              <w:rPr>
                <w:rFonts w:ascii="Times New Roman" w:hAnsi="Times New Roman" w:cs="Times New Roman"/>
                <w:b/>
                <w:bCs/>
                <w:noProof w:val="0"/>
                <w:sz w:val="22"/>
                <w:szCs w:val="22"/>
                <w:lang w:val="en-GB"/>
              </w:rPr>
            </w:pPr>
            <w:r>
              <w:rPr>
                <w:rFonts w:ascii="Times New Roman" w:hAnsi="Times New Roman" w:cs="Times New Roman"/>
                <w:b/>
                <w:sz w:val="22"/>
                <w:szCs w:val="22"/>
                <w:lang w:val="en-GB"/>
              </w:rPr>
              <w:t>Bromadiolone</w:t>
            </w:r>
          </w:p>
        </w:tc>
      </w:tr>
    </w:tbl>
    <w:p w:rsidR="00BA7C2C" w:rsidRPr="00A0425E" w:rsidRDefault="00BA7C2C" w:rsidP="00BA7C2C">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BA7C2C" w:rsidRPr="005E7543" w:rsidTr="00613EE2">
        <w:trPr>
          <w:tblHeader/>
        </w:trPr>
        <w:tc>
          <w:tcPr>
            <w:tcW w:w="9214" w:type="dxa"/>
            <w:gridSpan w:val="2"/>
            <w:tcBorders>
              <w:top w:val="single" w:sz="12" w:space="0" w:color="000000"/>
              <w:left w:val="nil"/>
              <w:bottom w:val="single" w:sz="6" w:space="0" w:color="000000"/>
              <w:right w:val="nil"/>
            </w:tcBorders>
          </w:tcPr>
          <w:p w:rsidR="00BA7C2C" w:rsidRPr="00A0425E" w:rsidRDefault="00BA7C2C" w:rsidP="00613EE2">
            <w:pPr>
              <w:pStyle w:val="BfRBBTitel"/>
              <w:ind w:firstLine="112"/>
              <w:jc w:val="left"/>
              <w:outlineLvl w:val="9"/>
              <w:rPr>
                <w:b w:val="0"/>
                <w:bCs w:val="0"/>
                <w:noProof w:val="0"/>
                <w:lang w:val="en-GB"/>
              </w:rPr>
            </w:pPr>
            <w:r w:rsidRPr="00A0425E">
              <w:rPr>
                <w:rFonts w:ascii="Times New Roman" w:hAnsi="Times New Roman" w:cs="Times New Roman"/>
                <w:snapToGrid w:val="0"/>
                <w:sz w:val="22"/>
                <w:szCs w:val="22"/>
                <w:lang w:val="en-GB"/>
              </w:rPr>
              <w:t>Data base for exposure estimation</w:t>
            </w:r>
          </w:p>
        </w:tc>
      </w:tr>
      <w:tr w:rsidR="00BA7C2C" w:rsidRPr="005E7543" w:rsidTr="00613EE2">
        <w:tc>
          <w:tcPr>
            <w:tcW w:w="2127"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according to</w:t>
            </w:r>
          </w:p>
        </w:tc>
        <w:tc>
          <w:tcPr>
            <w:tcW w:w="7087" w:type="dxa"/>
            <w:tcBorders>
              <w:top w:val="nil"/>
              <w:left w:val="nil"/>
              <w:bottom w:val="single" w:sz="12" w:space="0" w:color="000000"/>
              <w:right w:val="nil"/>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Appendix: Toxicology and metabolism – active substance/CAR</w:t>
            </w:r>
          </w:p>
        </w:tc>
      </w:tr>
    </w:tbl>
    <w:p w:rsidR="00BA7C2C" w:rsidRPr="00A0425E" w:rsidRDefault="00BA7C2C" w:rsidP="00BA7C2C">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BA7C2C" w:rsidRPr="005E7543" w:rsidTr="00613EE2">
        <w:trPr>
          <w:tblHeader/>
        </w:trPr>
        <w:tc>
          <w:tcPr>
            <w:tcW w:w="9214" w:type="dxa"/>
            <w:gridSpan w:val="2"/>
            <w:tcBorders>
              <w:top w:val="single" w:sz="12" w:space="0" w:color="000000"/>
              <w:left w:val="nil"/>
              <w:bottom w:val="single" w:sz="6" w:space="0" w:color="000000"/>
              <w:right w:val="nil"/>
            </w:tcBorders>
          </w:tcPr>
          <w:p w:rsidR="00BA7C2C" w:rsidRPr="00A0425E" w:rsidRDefault="00BA7C2C" w:rsidP="00613EE2">
            <w:pPr>
              <w:pStyle w:val="BfRBBTitel"/>
              <w:ind w:firstLine="112"/>
              <w:jc w:val="left"/>
              <w:outlineLvl w:val="9"/>
              <w:rPr>
                <w:b w:val="0"/>
                <w:bCs w:val="0"/>
                <w:noProof w:val="0"/>
                <w:lang w:val="en-GB"/>
              </w:rPr>
            </w:pPr>
            <w:r w:rsidRPr="00A0425E">
              <w:rPr>
                <w:rFonts w:ascii="Times New Roman" w:hAnsi="Times New Roman" w:cs="Times New Roman"/>
                <w:snapToGrid w:val="0"/>
                <w:sz w:val="22"/>
                <w:szCs w:val="22"/>
                <w:lang w:val="en-GB"/>
              </w:rPr>
              <w:t>Exposure scenarios for intended uses (Annex IIIB, point 6.6</w:t>
            </w:r>
            <w:r w:rsidRPr="00A0425E" w:rsidDel="00790CBF">
              <w:rPr>
                <w:rFonts w:ascii="Times New Roman" w:hAnsi="Times New Roman" w:cs="Times New Roman"/>
                <w:snapToGrid w:val="0"/>
                <w:sz w:val="22"/>
                <w:szCs w:val="22"/>
                <w:lang w:val="en-GB"/>
              </w:rPr>
              <w:t xml:space="preserve"> </w:t>
            </w:r>
            <w:r w:rsidRPr="00A0425E">
              <w:rPr>
                <w:rFonts w:ascii="Times New Roman" w:hAnsi="Times New Roman" w:cs="Times New Roman"/>
                <w:snapToGrid w:val="0"/>
                <w:sz w:val="22"/>
                <w:szCs w:val="22"/>
                <w:lang w:val="en-GB"/>
              </w:rPr>
              <w:t>)</w:t>
            </w:r>
            <w:r w:rsidRPr="00A0425E" w:rsidDel="00523DA7">
              <w:rPr>
                <w:b w:val="0"/>
                <w:bCs w:val="0"/>
                <w:noProof w:val="0"/>
                <w:lang w:val="en-GB"/>
              </w:rPr>
              <w:t xml:space="preserve"> </w:t>
            </w:r>
          </w:p>
        </w:tc>
      </w:tr>
      <w:tr w:rsidR="00BA7C2C" w:rsidRPr="00A0425E" w:rsidTr="00613EE2">
        <w:tblPrEx>
          <w:tblBorders>
            <w:top w:val="none" w:sz="0" w:space="0" w:color="auto"/>
            <w:bottom w:val="none" w:sz="0" w:space="0" w:color="auto"/>
          </w:tblBorders>
        </w:tblPrEx>
        <w:tc>
          <w:tcPr>
            <w:tcW w:w="2835" w:type="dxa"/>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Primary exposure</w:t>
            </w:r>
          </w:p>
        </w:tc>
        <w:tc>
          <w:tcPr>
            <w:tcW w:w="6379" w:type="dxa"/>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 xml:space="preserve">Non-professional users, application </w:t>
            </w:r>
            <w:r w:rsidRPr="005B511E">
              <w:rPr>
                <w:rFonts w:ascii="Times" w:hAnsi="Times" w:cs="Times New Roman"/>
                <w:lang w:val="en-GB"/>
              </w:rPr>
              <w:t>i</w:t>
            </w:r>
            <w:r w:rsidRPr="005B511E">
              <w:rPr>
                <w:rFonts w:ascii="Times" w:hAnsi="Times"/>
              </w:rPr>
              <w:t>n and around buildings</w:t>
            </w:r>
            <w:r>
              <w:rPr>
                <w:rFonts w:ascii="Times" w:hAnsi="Times"/>
              </w:rPr>
              <w:t xml:space="preserve"> for the control of rodents</w:t>
            </w:r>
          </w:p>
        </w:tc>
      </w:tr>
      <w:tr w:rsidR="00BA7C2C" w:rsidRPr="00A0425E" w:rsidTr="00613EE2">
        <w:tblPrEx>
          <w:tblBorders>
            <w:top w:val="none" w:sz="0" w:space="0" w:color="auto"/>
            <w:bottom w:val="none" w:sz="0" w:space="0" w:color="auto"/>
          </w:tblBorders>
        </w:tblPrEx>
        <w:tc>
          <w:tcPr>
            <w:tcW w:w="2835" w:type="dxa"/>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Secondary exposure, acute</w:t>
            </w:r>
          </w:p>
        </w:tc>
        <w:tc>
          <w:tcPr>
            <w:tcW w:w="6379" w:type="dxa"/>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Infant, ingesting a bait</w:t>
            </w:r>
          </w:p>
        </w:tc>
      </w:tr>
      <w:tr w:rsidR="00BA7C2C" w:rsidRPr="00A0425E" w:rsidTr="00613EE2">
        <w:tblPrEx>
          <w:tblBorders>
            <w:top w:val="none" w:sz="0" w:space="0" w:color="auto"/>
            <w:bottom w:val="none" w:sz="0" w:space="0" w:color="auto"/>
          </w:tblBorders>
        </w:tblPrEx>
        <w:tc>
          <w:tcPr>
            <w:tcW w:w="2835" w:type="dxa"/>
            <w:tcBorders>
              <w:bottom w:val="single" w:sz="12" w:space="0" w:color="000000"/>
            </w:tcBorders>
          </w:tcPr>
          <w:p w:rsidR="00BA7C2C" w:rsidRPr="00A0425E" w:rsidRDefault="00BA7C2C" w:rsidP="00613EE2">
            <w:pPr>
              <w:pStyle w:val="BfRBBStandard"/>
              <w:jc w:val="left"/>
              <w:rPr>
                <w:rFonts w:ascii="Times New Roman" w:hAnsi="Times New Roman" w:cs="Times New Roman"/>
                <w:lang w:val="en-GB"/>
              </w:rPr>
            </w:pPr>
            <w:r w:rsidRPr="00A0425E">
              <w:rPr>
                <w:rFonts w:ascii="Times New Roman" w:hAnsi="Times New Roman" w:cs="Times New Roman"/>
                <w:lang w:val="en-GB"/>
              </w:rPr>
              <w:t>Secondary exposure, chronic</w:t>
            </w:r>
          </w:p>
        </w:tc>
        <w:tc>
          <w:tcPr>
            <w:tcW w:w="6379" w:type="dxa"/>
            <w:tcBorders>
              <w:bottom w:val="single" w:sz="12" w:space="0" w:color="000000"/>
            </w:tcBorders>
          </w:tcPr>
          <w:p w:rsidR="00BA7C2C" w:rsidRPr="00A0425E" w:rsidRDefault="00BA7C2C" w:rsidP="00613EE2">
            <w:pPr>
              <w:pStyle w:val="BfRBBStandard"/>
              <w:jc w:val="left"/>
              <w:rPr>
                <w:rFonts w:ascii="Times New Roman" w:hAnsi="Times New Roman" w:cs="Times New Roman"/>
                <w:lang w:val="en-GB"/>
              </w:rPr>
            </w:pPr>
            <w:r>
              <w:rPr>
                <w:rFonts w:ascii="Times New Roman" w:hAnsi="Times New Roman" w:cs="Times New Roman"/>
                <w:lang w:val="en-GB"/>
              </w:rPr>
              <w:t xml:space="preserve">- </w:t>
            </w:r>
          </w:p>
        </w:tc>
      </w:tr>
    </w:tbl>
    <w:p w:rsidR="00BA7C2C" w:rsidRDefault="00BA7C2C" w:rsidP="00BA7C2C">
      <w:pPr>
        <w:pStyle w:val="BfRBBStandard"/>
        <w:rPr>
          <w:noProof w:val="0"/>
          <w:lang w:val="en-GB"/>
        </w:rPr>
      </w:pPr>
    </w:p>
    <w:p w:rsidR="00BA7C2C" w:rsidRPr="00A0425E" w:rsidRDefault="00BA7C2C" w:rsidP="00BA7C2C">
      <w:pPr>
        <w:pStyle w:val="BfRBBStandard"/>
        <w:rPr>
          <w:rFonts w:ascii="Times New Roman" w:hAnsi="Times New Roman" w:cs="Times New Roman"/>
          <w:lang w:val="en-GB"/>
        </w:rPr>
      </w:pPr>
      <w:r>
        <w:rPr>
          <w:rFonts w:ascii="Times New Roman" w:hAnsi="Times New Roman" w:cs="Times New Roman"/>
          <w:lang w:val="en-GB"/>
        </w:rPr>
        <w:t>Non-professional users:</w:t>
      </w:r>
    </w:p>
    <w:p w:rsidR="00BA7C2C" w:rsidRPr="00A0425E" w:rsidRDefault="00BA7C2C" w:rsidP="00BA7C2C">
      <w:pPr>
        <w:pStyle w:val="BfRBBStandard"/>
        <w:rPr>
          <w:noProof w:val="0"/>
          <w:lang w:val="en-GB"/>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2"/>
        <w:gridCol w:w="2044"/>
        <w:gridCol w:w="714"/>
        <w:gridCol w:w="1092"/>
        <w:gridCol w:w="1329"/>
        <w:gridCol w:w="2733"/>
      </w:tblGrid>
      <w:tr w:rsidR="00BA7C2C" w:rsidRPr="003329D5" w:rsidTr="00613EE2">
        <w:trPr>
          <w:cantSplit/>
        </w:trPr>
        <w:tc>
          <w:tcPr>
            <w:tcW w:w="1302" w:type="dxa"/>
          </w:tcPr>
          <w:p w:rsidR="00BA7C2C" w:rsidRPr="003329D5" w:rsidRDefault="00BA7C2C" w:rsidP="00613EE2">
            <w:pPr>
              <w:keepNext/>
              <w:keepLines/>
              <w:spacing w:before="40" w:after="40"/>
              <w:rPr>
                <w:b/>
              </w:rPr>
            </w:pPr>
            <w:r w:rsidRPr="003329D5">
              <w:rPr>
                <w:b/>
              </w:rPr>
              <w:t>Product and intended use</w:t>
            </w:r>
          </w:p>
        </w:tc>
        <w:tc>
          <w:tcPr>
            <w:tcW w:w="2044" w:type="dxa"/>
          </w:tcPr>
          <w:p w:rsidR="00BA7C2C" w:rsidRPr="003329D5" w:rsidRDefault="00BA7C2C" w:rsidP="00613EE2">
            <w:pPr>
              <w:keepNext/>
              <w:keepLines/>
              <w:spacing w:before="40" w:after="40"/>
              <w:rPr>
                <w:b/>
              </w:rPr>
            </w:pPr>
            <w:r w:rsidRPr="003329D5">
              <w:rPr>
                <w:b/>
              </w:rPr>
              <w:t>Exposure scenario</w:t>
            </w:r>
          </w:p>
        </w:tc>
        <w:tc>
          <w:tcPr>
            <w:tcW w:w="714" w:type="dxa"/>
          </w:tcPr>
          <w:p w:rsidR="00BA7C2C" w:rsidRPr="003329D5" w:rsidRDefault="00BA7C2C" w:rsidP="00613EE2">
            <w:pPr>
              <w:keepNext/>
              <w:keepLines/>
              <w:spacing w:before="40" w:after="40"/>
              <w:rPr>
                <w:b/>
              </w:rPr>
            </w:pPr>
            <w:r w:rsidRPr="003329D5">
              <w:rPr>
                <w:b/>
              </w:rPr>
              <w:t>PPE</w:t>
            </w:r>
          </w:p>
        </w:tc>
        <w:tc>
          <w:tcPr>
            <w:tcW w:w="2421" w:type="dxa"/>
            <w:gridSpan w:val="2"/>
          </w:tcPr>
          <w:p w:rsidR="00BA7C2C" w:rsidRPr="003329D5" w:rsidRDefault="00BA7C2C" w:rsidP="00613EE2">
            <w:pPr>
              <w:keepNext/>
              <w:keepLines/>
              <w:spacing w:before="40" w:after="40"/>
              <w:rPr>
                <w:b/>
              </w:rPr>
            </w:pPr>
            <w:r w:rsidRPr="003329D5">
              <w:rPr>
                <w:b/>
              </w:rPr>
              <w:t>Inhalational uptake</w:t>
            </w:r>
            <w:r>
              <w:rPr>
                <w:b/>
              </w:rPr>
              <w:br/>
            </w:r>
            <w:r w:rsidRPr="003329D5">
              <w:rPr>
                <w:b/>
              </w:rPr>
              <w:t>Exposure (mg/m</w:t>
            </w:r>
            <w:r w:rsidRPr="003329D5">
              <w:rPr>
                <w:b/>
                <w:vertAlign w:val="superscript"/>
              </w:rPr>
              <w:t>3</w:t>
            </w:r>
            <w:r w:rsidRPr="003329D5">
              <w:rPr>
                <w:b/>
              </w:rPr>
              <w:t>)</w:t>
            </w:r>
          </w:p>
        </w:tc>
        <w:tc>
          <w:tcPr>
            <w:tcW w:w="2733" w:type="dxa"/>
          </w:tcPr>
          <w:p w:rsidR="00BA7C2C" w:rsidRPr="003329D5" w:rsidRDefault="00BA7C2C" w:rsidP="00613EE2">
            <w:pPr>
              <w:keepNext/>
              <w:keepLines/>
              <w:spacing w:before="40" w:after="40"/>
              <w:rPr>
                <w:b/>
              </w:rPr>
            </w:pPr>
            <w:r w:rsidRPr="003329D5">
              <w:rPr>
                <w:b/>
              </w:rPr>
              <w:t>Dermal uptake</w:t>
            </w:r>
            <w:r>
              <w:rPr>
                <w:b/>
              </w:rPr>
              <w:br/>
            </w:r>
            <w:r w:rsidRPr="003329D5">
              <w:rPr>
                <w:b/>
              </w:rPr>
              <w:t>Exposure (mg/m</w:t>
            </w:r>
            <w:r w:rsidRPr="003329D5">
              <w:rPr>
                <w:b/>
                <w:vertAlign w:val="superscript"/>
              </w:rPr>
              <w:t>2</w:t>
            </w:r>
            <w:r w:rsidRPr="003329D5">
              <w:rPr>
                <w:b/>
              </w:rPr>
              <w:t>)</w:t>
            </w:r>
          </w:p>
        </w:tc>
      </w:tr>
      <w:tr w:rsidR="00BA7C2C" w:rsidRPr="003329D5" w:rsidTr="00613EE2">
        <w:trPr>
          <w:cantSplit/>
        </w:trPr>
        <w:tc>
          <w:tcPr>
            <w:tcW w:w="1302" w:type="dxa"/>
            <w:tcBorders>
              <w:top w:val="single" w:sz="6" w:space="0" w:color="auto"/>
              <w:bottom w:val="single" w:sz="6" w:space="0" w:color="auto"/>
            </w:tcBorders>
          </w:tcPr>
          <w:p w:rsidR="00BA7C2C" w:rsidRDefault="00BA7C2C" w:rsidP="00613EE2">
            <w:pPr>
              <w:keepNext/>
              <w:keepLines/>
              <w:spacing w:before="40" w:after="40"/>
            </w:pPr>
            <w:r>
              <w:t xml:space="preserve">MAKI PAT’ </w:t>
            </w:r>
          </w:p>
          <w:p w:rsidR="00BA7C2C" w:rsidRPr="003329D5" w:rsidRDefault="00BA7C2C" w:rsidP="00613EE2">
            <w:pPr>
              <w:keepNext/>
              <w:keepLines/>
              <w:spacing w:before="40" w:after="40"/>
            </w:pPr>
            <w:r w:rsidRPr="003329D5">
              <w:t xml:space="preserve">In and around buildings for the control </w:t>
            </w:r>
            <w:r>
              <w:t>rodents</w:t>
            </w:r>
          </w:p>
        </w:tc>
        <w:tc>
          <w:tcPr>
            <w:tcW w:w="2044" w:type="dxa"/>
            <w:tcBorders>
              <w:top w:val="single" w:sz="6" w:space="0" w:color="auto"/>
            </w:tcBorders>
          </w:tcPr>
          <w:p w:rsidR="00BA7C2C" w:rsidRDefault="00BA7C2C" w:rsidP="00613EE2">
            <w:pPr>
              <w:keepNext/>
              <w:keepLines/>
              <w:spacing w:before="40" w:after="40"/>
            </w:pPr>
            <w:r>
              <w:t>C</w:t>
            </w:r>
            <w:r w:rsidRPr="003329D5">
              <w:t xml:space="preserve">leaning the remains of </w:t>
            </w:r>
            <w:r>
              <w:t>5</w:t>
            </w:r>
            <w:r w:rsidRPr="003329D5">
              <w:t xml:space="preserve"> bait points per day</w:t>
            </w:r>
            <w:r>
              <w:t>.  6 sachets per bait point.</w:t>
            </w:r>
          </w:p>
          <w:p w:rsidR="00BA7C2C" w:rsidRPr="003329D5" w:rsidRDefault="00BA7C2C" w:rsidP="00613EE2">
            <w:pPr>
              <w:keepNext/>
              <w:keepLines/>
              <w:spacing w:before="40" w:after="40"/>
            </w:pPr>
            <w:r>
              <w:t>Loading is not relevant due to protective packaging</w:t>
            </w:r>
          </w:p>
        </w:tc>
        <w:tc>
          <w:tcPr>
            <w:tcW w:w="714" w:type="dxa"/>
            <w:tcBorders>
              <w:top w:val="single" w:sz="6" w:space="0" w:color="auto"/>
            </w:tcBorders>
          </w:tcPr>
          <w:p w:rsidR="00BA7C2C" w:rsidRPr="003329D5" w:rsidRDefault="00BA7C2C" w:rsidP="00613EE2">
            <w:pPr>
              <w:spacing w:before="40" w:after="40"/>
            </w:pPr>
            <w:r>
              <w:t>None</w:t>
            </w:r>
          </w:p>
        </w:tc>
        <w:tc>
          <w:tcPr>
            <w:tcW w:w="2421" w:type="dxa"/>
            <w:gridSpan w:val="2"/>
            <w:tcBorders>
              <w:top w:val="single" w:sz="6" w:space="0" w:color="auto"/>
            </w:tcBorders>
          </w:tcPr>
          <w:p w:rsidR="00BA7C2C" w:rsidRPr="003329D5" w:rsidRDefault="00BA7C2C" w:rsidP="00613EE2">
            <w:pPr>
              <w:spacing w:before="40" w:after="40"/>
            </w:pPr>
            <w:r>
              <w:t xml:space="preserve">Not considered for cleaning since negligible measured residues present during </w:t>
            </w:r>
            <w:r w:rsidRPr="003329D5">
              <w:t xml:space="preserve">cleaning </w:t>
            </w:r>
            <w:r>
              <w:t xml:space="preserve">of </w:t>
            </w:r>
            <w:r w:rsidRPr="003329D5">
              <w:t>bait boxes in pilot exposure study.</w:t>
            </w:r>
          </w:p>
        </w:tc>
        <w:tc>
          <w:tcPr>
            <w:tcW w:w="2733" w:type="dxa"/>
            <w:tcBorders>
              <w:top w:val="single" w:sz="6" w:space="0" w:color="auto"/>
            </w:tcBorders>
          </w:tcPr>
          <w:p w:rsidR="00BA7C2C" w:rsidRPr="003329D5" w:rsidRDefault="00BA7C2C" w:rsidP="00613EE2">
            <w:pPr>
              <w:spacing w:before="40" w:after="40"/>
            </w:pPr>
            <w:r w:rsidRPr="003329D5">
              <w:t xml:space="preserve">Measured as </w:t>
            </w:r>
            <w:r>
              <w:t>4.09</w:t>
            </w:r>
            <w:r w:rsidRPr="003329D5">
              <w:t xml:space="preserve"> mg product/gloves (geometric mean value) when cleaning up </w:t>
            </w:r>
            <w:r>
              <w:t xml:space="preserve">a </w:t>
            </w:r>
            <w:r w:rsidRPr="003329D5">
              <w:t xml:space="preserve">bait box </w:t>
            </w:r>
            <w:r>
              <w:t>containing 6 sachets an</w:t>
            </w:r>
            <w:r w:rsidRPr="003329D5">
              <w:t xml:space="preserve">d disposing of </w:t>
            </w:r>
            <w:r>
              <w:t xml:space="preserve">the </w:t>
            </w:r>
            <w:r w:rsidRPr="003329D5">
              <w:t>unwanted bait</w:t>
            </w:r>
            <w:r>
              <w:t>.</w:t>
            </w:r>
          </w:p>
        </w:tc>
      </w:tr>
      <w:tr w:rsidR="00BA7C2C" w:rsidRPr="000F2B17" w:rsidTr="00613EE2">
        <w:trPr>
          <w:cantSplit/>
        </w:trPr>
        <w:tc>
          <w:tcPr>
            <w:tcW w:w="9214" w:type="dxa"/>
            <w:gridSpan w:val="6"/>
            <w:tcBorders>
              <w:top w:val="double" w:sz="4" w:space="0" w:color="auto"/>
              <w:bottom w:val="double" w:sz="4" w:space="0" w:color="auto"/>
            </w:tcBorders>
          </w:tcPr>
          <w:p w:rsidR="00BA7C2C" w:rsidRPr="000F2B17" w:rsidRDefault="00BA7C2C" w:rsidP="00613EE2">
            <w:pPr>
              <w:spacing w:before="40" w:after="40"/>
            </w:pPr>
            <w:r w:rsidRPr="000F2B17">
              <w:rPr>
                <w:b/>
              </w:rPr>
              <w:t>Dermal Exposure</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Measured value for amount of product on </w:t>
            </w:r>
            <w:r>
              <w:t>hands</w:t>
            </w:r>
            <w:r w:rsidRPr="000F2B17">
              <w:t>:</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4.09</w:t>
            </w:r>
            <w:r w:rsidRPr="000F2B17">
              <w:t xml:space="preserve"> mg</w:t>
            </w:r>
            <w:r>
              <w:t xml:space="preserve"> product</w:t>
            </w:r>
            <w:r w:rsidRPr="000F2B17">
              <w:t>/</w:t>
            </w:r>
            <w:r>
              <w:t>bait point</w:t>
            </w:r>
            <w:r w:rsidRPr="000F2B17">
              <w:t xml:space="preserve"> during disposal</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lastRenderedPageBreak/>
              <w:t xml:space="preserve">Amount of </w:t>
            </w:r>
            <w:r>
              <w:t>red paste</w:t>
            </w:r>
            <w:r w:rsidRPr="000F2B17">
              <w:t xml:space="preserve"> on </w:t>
            </w:r>
            <w:r>
              <w:t>hands</w:t>
            </w:r>
            <w:r w:rsidRPr="000F2B17">
              <w:t xml:space="preserve"> during disposal:</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4.09</w:t>
            </w:r>
            <w:r w:rsidRPr="000F2B17">
              <w:t xml:space="preserve"> </w:t>
            </w:r>
            <w:r>
              <w:t xml:space="preserve">mg </w:t>
            </w:r>
            <w:r w:rsidRPr="000F2B17">
              <w:t xml:space="preserve">x </w:t>
            </w:r>
            <w:r>
              <w:t>5</w:t>
            </w:r>
            <w:r w:rsidRPr="000F2B17">
              <w:t xml:space="preserve"> = </w:t>
            </w:r>
            <w:r>
              <w:t>20.45</w:t>
            </w:r>
            <w:r w:rsidRPr="000F2B17">
              <w:t xml:space="preserve"> mg</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Total amount of </w:t>
            </w:r>
            <w:r>
              <w:t xml:space="preserve">red paste </w:t>
            </w:r>
            <w:r w:rsidRPr="000F2B17">
              <w:t xml:space="preserve">on </w:t>
            </w:r>
            <w:r>
              <w:t>hands</w:t>
            </w:r>
            <w:r w:rsidRPr="000F2B17">
              <w:t>:</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20.45</w:t>
            </w:r>
            <w:r w:rsidRPr="000F2B17">
              <w:t xml:space="preserve"> mg</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Concentration of </w:t>
            </w:r>
            <w:r>
              <w:t>bromadiolone</w:t>
            </w:r>
            <w:r w:rsidRPr="000F2B17">
              <w:t>:</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mg/kg</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w:t>
            </w:r>
            <w:r>
              <w:t>hands</w:t>
            </w:r>
            <w:r w:rsidRPr="000F2B17">
              <w:t>:</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50</w:t>
            </w:r>
            <w:r w:rsidRPr="000F2B17">
              <w:t xml:space="preserve"> x </w:t>
            </w:r>
            <w:r>
              <w:t>20.45</w:t>
            </w:r>
            <w:r w:rsidRPr="000F2B17">
              <w:t xml:space="preserve"> ÷10</w:t>
            </w:r>
            <w:r w:rsidRPr="000F2B17">
              <w:rPr>
                <w:vertAlign w:val="superscript"/>
              </w:rPr>
              <w:t>6</w:t>
            </w:r>
            <w:r w:rsidRPr="000F2B17">
              <w:t xml:space="preserve"> mg = </w:t>
            </w:r>
            <w:r>
              <w:t>1.02 x 10</w:t>
            </w:r>
            <w:r w:rsidRPr="0058331F">
              <w:rPr>
                <w:vertAlign w:val="superscript"/>
              </w:rPr>
              <w:t>-</w:t>
            </w:r>
            <w:r>
              <w:rPr>
                <w:vertAlign w:val="superscript"/>
              </w:rPr>
              <w:t>3</w:t>
            </w:r>
            <w:r w:rsidRPr="000F2B17">
              <w:t xml:space="preserve"> mg/day</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Amount of </w:t>
            </w:r>
            <w:r>
              <w:t>bromadiolone</w:t>
            </w:r>
            <w:r w:rsidRPr="000F2B17">
              <w:t xml:space="preserve"> on skin:</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1.02 x 10</w:t>
            </w:r>
            <w:r w:rsidRPr="0058331F">
              <w:rPr>
                <w:vertAlign w:val="superscript"/>
              </w:rPr>
              <w:t>-</w:t>
            </w:r>
            <w:r>
              <w:rPr>
                <w:vertAlign w:val="superscript"/>
              </w:rPr>
              <w:t>3</w:t>
            </w:r>
            <w:r w:rsidRPr="000F2B17">
              <w:t xml:space="preserve"> mg/day</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Dermal absorption of </w:t>
            </w:r>
            <w:r>
              <w:t>bromadiolone</w:t>
            </w:r>
            <w:r w:rsidRPr="000F2B17">
              <w:t>:</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1.6</w:t>
            </w:r>
            <w:r w:rsidRPr="000F2B17">
              <w:t>%</w:t>
            </w:r>
          </w:p>
        </w:tc>
      </w:tr>
      <w:tr w:rsidR="00BA7C2C" w:rsidRPr="000F2B17" w:rsidTr="00613EE2">
        <w:trPr>
          <w:cantSplit/>
        </w:trPr>
        <w:tc>
          <w:tcPr>
            <w:tcW w:w="5152" w:type="dxa"/>
            <w:gridSpan w:val="4"/>
            <w:tcBorders>
              <w:top w:val="single" w:sz="6" w:space="0" w:color="auto"/>
              <w:bottom w:val="single" w:sz="6" w:space="0" w:color="auto"/>
              <w:right w:val="single" w:sz="6" w:space="0" w:color="auto"/>
            </w:tcBorders>
          </w:tcPr>
          <w:p w:rsidR="00BA7C2C" w:rsidRPr="000F2B17" w:rsidRDefault="00BA7C2C" w:rsidP="00613EE2">
            <w:pPr>
              <w:spacing w:before="40" w:after="40"/>
            </w:pPr>
            <w:r w:rsidRPr="000F2B17">
              <w:t xml:space="preserve">Systemic exposure of </w:t>
            </w:r>
            <w:r>
              <w:t>bromadiolone</w:t>
            </w:r>
            <w:r w:rsidRPr="000F2B17">
              <w:t>:</w:t>
            </w:r>
          </w:p>
        </w:tc>
        <w:tc>
          <w:tcPr>
            <w:tcW w:w="4062" w:type="dxa"/>
            <w:gridSpan w:val="2"/>
            <w:tcBorders>
              <w:top w:val="single" w:sz="6" w:space="0" w:color="auto"/>
              <w:left w:val="single" w:sz="6" w:space="0" w:color="auto"/>
              <w:bottom w:val="single" w:sz="6" w:space="0" w:color="auto"/>
            </w:tcBorders>
          </w:tcPr>
          <w:p w:rsidR="00BA7C2C" w:rsidRPr="000F2B17" w:rsidRDefault="00BA7C2C" w:rsidP="00613EE2">
            <w:pPr>
              <w:spacing w:before="40" w:after="40"/>
            </w:pPr>
            <w:r>
              <w:t>1.64 x 10</w:t>
            </w:r>
            <w:r w:rsidRPr="00CA6C72">
              <w:rPr>
                <w:vertAlign w:val="superscript"/>
              </w:rPr>
              <w:t>-</w:t>
            </w:r>
            <w:r>
              <w:rPr>
                <w:vertAlign w:val="superscript"/>
              </w:rPr>
              <w:t>5</w:t>
            </w:r>
            <w:r w:rsidRPr="000F2B17">
              <w:t xml:space="preserve"> mg/day</w:t>
            </w:r>
          </w:p>
        </w:tc>
      </w:tr>
      <w:tr w:rsidR="00BA7C2C" w:rsidRPr="000F2B17" w:rsidTr="00613EE2">
        <w:trPr>
          <w:cantSplit/>
        </w:trPr>
        <w:tc>
          <w:tcPr>
            <w:tcW w:w="5152" w:type="dxa"/>
            <w:gridSpan w:val="4"/>
            <w:tcBorders>
              <w:top w:val="single" w:sz="6" w:space="0" w:color="auto"/>
              <w:bottom w:val="double" w:sz="4" w:space="0" w:color="auto"/>
              <w:right w:val="single" w:sz="6" w:space="0" w:color="auto"/>
            </w:tcBorders>
          </w:tcPr>
          <w:p w:rsidR="00BA7C2C" w:rsidRPr="000F2B17" w:rsidRDefault="00BA7C2C" w:rsidP="00613EE2">
            <w:pPr>
              <w:spacing w:before="40" w:after="40"/>
            </w:pPr>
            <w:r w:rsidRPr="000F2B17">
              <w:t>Operator body weight:</w:t>
            </w:r>
          </w:p>
        </w:tc>
        <w:tc>
          <w:tcPr>
            <w:tcW w:w="4062" w:type="dxa"/>
            <w:gridSpan w:val="2"/>
            <w:tcBorders>
              <w:top w:val="single" w:sz="6" w:space="0" w:color="auto"/>
              <w:left w:val="single" w:sz="6" w:space="0" w:color="auto"/>
              <w:bottom w:val="double" w:sz="4" w:space="0" w:color="auto"/>
            </w:tcBorders>
          </w:tcPr>
          <w:p w:rsidR="00BA7C2C" w:rsidRPr="000F2B17" w:rsidRDefault="00BA7C2C" w:rsidP="00613EE2">
            <w:pPr>
              <w:spacing w:before="40" w:after="40"/>
            </w:pPr>
            <w:smartTag w:uri="urn:schemas-microsoft-com:office:smarttags" w:element="metricconverter">
              <w:smartTagPr>
                <w:attr w:name="ProductID" w:val="60 kg"/>
              </w:smartTagPr>
              <w:r w:rsidRPr="000F2B17">
                <w:t>60 kg</w:t>
              </w:r>
            </w:smartTag>
          </w:p>
        </w:tc>
      </w:tr>
      <w:tr w:rsidR="00BA7C2C" w:rsidRPr="001A6878" w:rsidTr="00613EE2">
        <w:trPr>
          <w:cantSplit/>
        </w:trPr>
        <w:tc>
          <w:tcPr>
            <w:tcW w:w="5152" w:type="dxa"/>
            <w:gridSpan w:val="4"/>
            <w:tcBorders>
              <w:top w:val="double" w:sz="4" w:space="0" w:color="auto"/>
              <w:bottom w:val="double" w:sz="4" w:space="0" w:color="auto"/>
              <w:right w:val="single" w:sz="6" w:space="0" w:color="auto"/>
            </w:tcBorders>
          </w:tcPr>
          <w:p w:rsidR="00BA7C2C" w:rsidRPr="001A6878" w:rsidRDefault="00BA7C2C" w:rsidP="00613EE2">
            <w:pPr>
              <w:spacing w:before="40" w:after="40"/>
              <w:rPr>
                <w:b/>
              </w:rPr>
            </w:pPr>
            <w:r w:rsidRPr="001A6878">
              <w:rPr>
                <w:b/>
              </w:rPr>
              <w:t xml:space="preserve">Dermal exposure of </w:t>
            </w:r>
            <w:r w:rsidRPr="003F7B34">
              <w:rPr>
                <w:b/>
              </w:rPr>
              <w:t xml:space="preserve">bromadiolone </w:t>
            </w:r>
            <w:r w:rsidRPr="001A6878">
              <w:rPr>
                <w:b/>
              </w:rPr>
              <w:t>during disposal:</w:t>
            </w:r>
          </w:p>
        </w:tc>
        <w:tc>
          <w:tcPr>
            <w:tcW w:w="4062" w:type="dxa"/>
            <w:gridSpan w:val="2"/>
            <w:tcBorders>
              <w:top w:val="double" w:sz="4" w:space="0" w:color="auto"/>
              <w:left w:val="single" w:sz="6" w:space="0" w:color="auto"/>
              <w:bottom w:val="double" w:sz="4" w:space="0" w:color="auto"/>
            </w:tcBorders>
          </w:tcPr>
          <w:p w:rsidR="00BA7C2C" w:rsidRPr="001A6878" w:rsidRDefault="00BA7C2C" w:rsidP="00613EE2">
            <w:pPr>
              <w:spacing w:before="40" w:after="40"/>
              <w:rPr>
                <w:b/>
              </w:rPr>
            </w:pPr>
            <w:r>
              <w:rPr>
                <w:b/>
              </w:rPr>
              <w:t>2.73</w:t>
            </w:r>
            <w:r w:rsidRPr="001A6878">
              <w:rPr>
                <w:b/>
              </w:rPr>
              <w:t xml:space="preserve"> x 10</w:t>
            </w:r>
            <w:r w:rsidRPr="001A6878">
              <w:rPr>
                <w:b/>
                <w:vertAlign w:val="superscript"/>
              </w:rPr>
              <w:t>-</w:t>
            </w:r>
            <w:r>
              <w:rPr>
                <w:b/>
                <w:vertAlign w:val="superscript"/>
              </w:rPr>
              <w:t>7</w:t>
            </w:r>
            <w:r w:rsidRPr="001A6878">
              <w:rPr>
                <w:b/>
              </w:rPr>
              <w:t xml:space="preserve"> mg/kg bw/day</w:t>
            </w:r>
          </w:p>
        </w:tc>
      </w:tr>
    </w:tbl>
    <w:p w:rsidR="00BA7C2C" w:rsidRDefault="00BA7C2C" w:rsidP="00BA7C2C">
      <w:pPr>
        <w:pStyle w:val="BfRBBStandard"/>
        <w:rPr>
          <w:noProof w:val="0"/>
          <w:lang w:val="sv-SE"/>
        </w:rPr>
      </w:pPr>
    </w:p>
    <w:p w:rsidR="00BA7C2C" w:rsidRPr="00E92BAB" w:rsidRDefault="00BA7C2C" w:rsidP="00BA7C2C">
      <w:pPr>
        <w:pStyle w:val="BfRBBStandard"/>
        <w:rPr>
          <w:rFonts w:ascii="Times" w:hAnsi="Times"/>
          <w:noProof w:val="0"/>
          <w:lang w:val="sv-SE"/>
        </w:rPr>
      </w:pPr>
      <w:r w:rsidRPr="00E92BAB">
        <w:rPr>
          <w:rFonts w:ascii="Times" w:hAnsi="Times"/>
          <w:noProof w:val="0"/>
          <w:lang w:val="sv-SE"/>
        </w:rPr>
        <w:t xml:space="preserve">Indirect exposure: infants ingesting a bait: </w:t>
      </w:r>
    </w:p>
    <w:p w:rsidR="00BA7C2C" w:rsidRDefault="00BA7C2C" w:rsidP="00BA7C2C">
      <w:pPr>
        <w:pStyle w:val="BfRBBTitel"/>
        <w:ind w:firstLine="708"/>
        <w:jc w:val="right"/>
        <w:outlineLvl w:val="9"/>
        <w:rPr>
          <w:lang w:val="en-GB"/>
        </w:rPr>
      </w:pPr>
    </w:p>
    <w:tbl>
      <w:tblPr>
        <w:tblW w:w="9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72"/>
        <w:gridCol w:w="2242"/>
        <w:gridCol w:w="1418"/>
        <w:gridCol w:w="425"/>
        <w:gridCol w:w="1528"/>
        <w:gridCol w:w="2240"/>
      </w:tblGrid>
      <w:tr w:rsidR="00BA7C2C" w:rsidTr="00613EE2">
        <w:trPr>
          <w:cantSplit/>
        </w:trPr>
        <w:tc>
          <w:tcPr>
            <w:tcW w:w="1372" w:type="dxa"/>
            <w:vMerge w:val="restart"/>
          </w:tcPr>
          <w:p w:rsidR="00BA7C2C" w:rsidRDefault="00BA7C2C" w:rsidP="00613EE2">
            <w:pPr>
              <w:keepNext/>
              <w:spacing w:before="40" w:after="40"/>
              <w:rPr>
                <w:b/>
              </w:rPr>
            </w:pPr>
            <w:r>
              <w:rPr>
                <w:b/>
              </w:rPr>
              <w:t>Product and intended use</w:t>
            </w:r>
          </w:p>
        </w:tc>
        <w:tc>
          <w:tcPr>
            <w:tcW w:w="2242" w:type="dxa"/>
            <w:vMerge w:val="restart"/>
          </w:tcPr>
          <w:p w:rsidR="00BA7C2C" w:rsidRDefault="00BA7C2C" w:rsidP="00613EE2">
            <w:pPr>
              <w:keepNext/>
              <w:spacing w:before="40" w:after="40"/>
              <w:rPr>
                <w:b/>
              </w:rPr>
            </w:pPr>
            <w:r>
              <w:rPr>
                <w:b/>
              </w:rPr>
              <w:t>Exposure scenario</w:t>
            </w:r>
          </w:p>
        </w:tc>
        <w:tc>
          <w:tcPr>
            <w:tcW w:w="1843" w:type="dxa"/>
            <w:gridSpan w:val="2"/>
            <w:tcBorders>
              <w:bottom w:val="single" w:sz="6" w:space="0" w:color="auto"/>
            </w:tcBorders>
          </w:tcPr>
          <w:p w:rsidR="00BA7C2C" w:rsidRDefault="00BA7C2C" w:rsidP="00613EE2">
            <w:pPr>
              <w:keepNext/>
              <w:spacing w:before="40" w:after="40"/>
              <w:rPr>
                <w:b/>
              </w:rPr>
            </w:pPr>
            <w:r>
              <w:rPr>
                <w:b/>
              </w:rPr>
              <w:t>Inhalational uptake</w:t>
            </w:r>
          </w:p>
        </w:tc>
        <w:tc>
          <w:tcPr>
            <w:tcW w:w="1528" w:type="dxa"/>
            <w:tcBorders>
              <w:bottom w:val="single" w:sz="6" w:space="0" w:color="auto"/>
            </w:tcBorders>
          </w:tcPr>
          <w:p w:rsidR="00BA7C2C" w:rsidRDefault="00BA7C2C" w:rsidP="00613EE2">
            <w:pPr>
              <w:keepNext/>
              <w:spacing w:before="40" w:after="40"/>
              <w:rPr>
                <w:b/>
              </w:rPr>
            </w:pPr>
            <w:r>
              <w:rPr>
                <w:b/>
              </w:rPr>
              <w:t>Dermal uptake</w:t>
            </w:r>
          </w:p>
        </w:tc>
        <w:tc>
          <w:tcPr>
            <w:tcW w:w="2240" w:type="dxa"/>
            <w:tcBorders>
              <w:bottom w:val="single" w:sz="6" w:space="0" w:color="auto"/>
            </w:tcBorders>
          </w:tcPr>
          <w:p w:rsidR="00BA7C2C" w:rsidRDefault="00BA7C2C" w:rsidP="00613EE2">
            <w:pPr>
              <w:keepNext/>
              <w:spacing w:before="40" w:after="40"/>
              <w:rPr>
                <w:b/>
              </w:rPr>
            </w:pPr>
            <w:r>
              <w:rPr>
                <w:b/>
              </w:rPr>
              <w:t>Oral uptake</w:t>
            </w:r>
          </w:p>
        </w:tc>
      </w:tr>
      <w:tr w:rsidR="00BA7C2C" w:rsidTr="00613EE2">
        <w:trPr>
          <w:cantSplit/>
        </w:trPr>
        <w:tc>
          <w:tcPr>
            <w:tcW w:w="1372" w:type="dxa"/>
            <w:vMerge/>
          </w:tcPr>
          <w:p w:rsidR="00BA7C2C" w:rsidRDefault="00BA7C2C" w:rsidP="00613EE2">
            <w:pPr>
              <w:keepNext/>
              <w:spacing w:before="40" w:after="40"/>
            </w:pPr>
          </w:p>
        </w:tc>
        <w:tc>
          <w:tcPr>
            <w:tcW w:w="2242" w:type="dxa"/>
            <w:vMerge/>
            <w:tcBorders>
              <w:bottom w:val="single" w:sz="6" w:space="0" w:color="auto"/>
            </w:tcBorders>
          </w:tcPr>
          <w:p w:rsidR="00BA7C2C" w:rsidRDefault="00BA7C2C" w:rsidP="00613EE2">
            <w:pPr>
              <w:keepNext/>
              <w:spacing w:before="40" w:after="40"/>
              <w:rPr>
                <w:i/>
              </w:rPr>
            </w:pPr>
          </w:p>
        </w:tc>
        <w:tc>
          <w:tcPr>
            <w:tcW w:w="1843" w:type="dxa"/>
            <w:gridSpan w:val="2"/>
            <w:tcBorders>
              <w:top w:val="single" w:sz="6" w:space="0" w:color="auto"/>
              <w:bottom w:val="single" w:sz="6" w:space="0" w:color="auto"/>
            </w:tcBorders>
          </w:tcPr>
          <w:p w:rsidR="00BA7C2C" w:rsidRDefault="00BA7C2C" w:rsidP="00613EE2">
            <w:pPr>
              <w:keepNext/>
              <w:spacing w:before="40" w:after="40"/>
              <w:rPr>
                <w:b/>
              </w:rPr>
            </w:pPr>
            <w:r>
              <w:rPr>
                <w:b/>
              </w:rPr>
              <w:t>Exposure concentration</w:t>
            </w:r>
            <w:r>
              <w:rPr>
                <w:b/>
              </w:rPr>
              <w:br/>
              <w:t>(mg/m</w:t>
            </w:r>
            <w:r>
              <w:rPr>
                <w:b/>
                <w:vertAlign w:val="superscript"/>
              </w:rPr>
              <w:t>3</w:t>
            </w:r>
            <w:r>
              <w:rPr>
                <w:b/>
              </w:rPr>
              <w:t>)</w:t>
            </w:r>
          </w:p>
        </w:tc>
        <w:tc>
          <w:tcPr>
            <w:tcW w:w="1528" w:type="dxa"/>
            <w:tcBorders>
              <w:top w:val="single" w:sz="6" w:space="0" w:color="auto"/>
              <w:bottom w:val="single" w:sz="6" w:space="0" w:color="auto"/>
            </w:tcBorders>
          </w:tcPr>
          <w:p w:rsidR="00BA7C2C" w:rsidRDefault="00BA7C2C" w:rsidP="00613EE2">
            <w:pPr>
              <w:keepNext/>
              <w:spacing w:before="40" w:after="40"/>
              <w:rPr>
                <w:b/>
              </w:rPr>
            </w:pPr>
            <w:r>
              <w:rPr>
                <w:b/>
              </w:rPr>
              <w:t>Exposure concentration (mg/m</w:t>
            </w:r>
            <w:r>
              <w:rPr>
                <w:b/>
                <w:vertAlign w:val="superscript"/>
              </w:rPr>
              <w:t>2</w:t>
            </w:r>
            <w:r>
              <w:rPr>
                <w:b/>
              </w:rPr>
              <w:t>)</w:t>
            </w:r>
          </w:p>
        </w:tc>
        <w:tc>
          <w:tcPr>
            <w:tcW w:w="2240" w:type="dxa"/>
            <w:tcBorders>
              <w:top w:val="single" w:sz="6" w:space="0" w:color="auto"/>
              <w:bottom w:val="single" w:sz="6" w:space="0" w:color="auto"/>
            </w:tcBorders>
          </w:tcPr>
          <w:p w:rsidR="00BA7C2C" w:rsidRDefault="00BA7C2C" w:rsidP="00613EE2">
            <w:pPr>
              <w:keepNext/>
              <w:spacing w:before="40" w:after="40"/>
              <w:rPr>
                <w:b/>
              </w:rPr>
            </w:pPr>
            <w:r>
              <w:rPr>
                <w:b/>
              </w:rPr>
              <w:t>Exposure concentration (mg/event)</w:t>
            </w:r>
          </w:p>
        </w:tc>
      </w:tr>
      <w:tr w:rsidR="00BA7C2C" w:rsidTr="00613EE2">
        <w:tc>
          <w:tcPr>
            <w:tcW w:w="1372" w:type="dxa"/>
            <w:tcBorders>
              <w:bottom w:val="double" w:sz="6" w:space="0" w:color="auto"/>
            </w:tcBorders>
          </w:tcPr>
          <w:p w:rsidR="00BA7C2C" w:rsidRDefault="00BA7C2C" w:rsidP="00613EE2">
            <w:pPr>
              <w:keepNext/>
              <w:spacing w:before="40" w:after="40"/>
            </w:pPr>
            <w:r>
              <w:t xml:space="preserve">MAKI PAT’ </w:t>
            </w:r>
          </w:p>
          <w:p w:rsidR="00BA7C2C" w:rsidRDefault="00BA7C2C" w:rsidP="00613EE2">
            <w:pPr>
              <w:keepNext/>
              <w:spacing w:before="40" w:after="40"/>
            </w:pPr>
            <w:r>
              <w:t>In and around buildings for control of rats and mice</w:t>
            </w:r>
          </w:p>
        </w:tc>
        <w:tc>
          <w:tcPr>
            <w:tcW w:w="2242" w:type="dxa"/>
            <w:tcBorders>
              <w:top w:val="single" w:sz="6" w:space="0" w:color="auto"/>
              <w:bottom w:val="double" w:sz="6" w:space="0" w:color="auto"/>
            </w:tcBorders>
          </w:tcPr>
          <w:p w:rsidR="00BA7C2C" w:rsidRDefault="00BA7C2C" w:rsidP="00613EE2">
            <w:pPr>
              <w:keepNext/>
              <w:spacing w:before="40" w:after="40"/>
            </w:pPr>
            <w:r>
              <w:t>Non-users (adults, children and infants) will not be present during application.</w:t>
            </w:r>
          </w:p>
          <w:p w:rsidR="00BA7C2C" w:rsidRDefault="00BA7C2C" w:rsidP="00613EE2">
            <w:pPr>
              <w:keepNext/>
              <w:spacing w:before="40" w:after="40"/>
              <w:rPr>
                <w:i/>
              </w:rPr>
            </w:pPr>
            <w:r>
              <w:t>Infants may ingest part of the paste.</w:t>
            </w:r>
          </w:p>
        </w:tc>
        <w:tc>
          <w:tcPr>
            <w:tcW w:w="1843" w:type="dxa"/>
            <w:gridSpan w:val="2"/>
            <w:tcBorders>
              <w:top w:val="single" w:sz="6" w:space="0" w:color="auto"/>
              <w:bottom w:val="double" w:sz="6" w:space="0" w:color="auto"/>
            </w:tcBorders>
          </w:tcPr>
          <w:p w:rsidR="00BA7C2C" w:rsidRDefault="00BA7C2C" w:rsidP="00613EE2">
            <w:pPr>
              <w:keepNext/>
              <w:spacing w:before="40" w:after="40"/>
            </w:pPr>
            <w:r>
              <w:t>None.</w:t>
            </w:r>
          </w:p>
        </w:tc>
        <w:tc>
          <w:tcPr>
            <w:tcW w:w="1528" w:type="dxa"/>
            <w:tcBorders>
              <w:top w:val="single" w:sz="6" w:space="0" w:color="auto"/>
              <w:bottom w:val="double" w:sz="6" w:space="0" w:color="auto"/>
            </w:tcBorders>
          </w:tcPr>
          <w:p w:rsidR="00BA7C2C" w:rsidRDefault="00BA7C2C" w:rsidP="00613EE2">
            <w:pPr>
              <w:keepNext/>
              <w:spacing w:before="40" w:after="40"/>
            </w:pPr>
            <w:r>
              <w:t>Not applicable.</w:t>
            </w:r>
          </w:p>
        </w:tc>
        <w:tc>
          <w:tcPr>
            <w:tcW w:w="2240" w:type="dxa"/>
            <w:tcBorders>
              <w:top w:val="single" w:sz="6" w:space="0" w:color="auto"/>
              <w:bottom w:val="double" w:sz="6" w:space="0" w:color="auto"/>
            </w:tcBorders>
          </w:tcPr>
          <w:p w:rsidR="00BA7C2C" w:rsidRDefault="00BA7C2C" w:rsidP="00613EE2">
            <w:pPr>
              <w:keepNext/>
              <w:spacing w:before="40" w:after="40"/>
            </w:pPr>
            <w:r>
              <w:t>Assumed in EU guidance to be equivalent to 10 mg wax (infants) for transient mouthing of poison bait treated with repellent.</w:t>
            </w:r>
          </w:p>
        </w:tc>
      </w:tr>
      <w:tr w:rsidR="00BA7C2C" w:rsidTr="00613EE2">
        <w:trPr>
          <w:cantSplit/>
        </w:trPr>
        <w:tc>
          <w:tcPr>
            <w:tcW w:w="9225" w:type="dxa"/>
            <w:gridSpan w:val="6"/>
          </w:tcPr>
          <w:p w:rsidR="00BA7C2C" w:rsidRDefault="00BA7C2C" w:rsidP="00613EE2">
            <w:pPr>
              <w:spacing w:before="40" w:after="40"/>
              <w:rPr>
                <w:b/>
              </w:rPr>
            </w:pPr>
            <w:r>
              <w:rPr>
                <w:b/>
              </w:rPr>
              <w:t>1. ORAL EXPOSURE ASSESSMENT FOR INFANTS BASED ON DEFAULT VALUES</w:t>
            </w:r>
          </w:p>
        </w:tc>
      </w:tr>
      <w:tr w:rsidR="00BA7C2C" w:rsidTr="00613EE2">
        <w:trPr>
          <w:cantSplit/>
        </w:trPr>
        <w:tc>
          <w:tcPr>
            <w:tcW w:w="5032" w:type="dxa"/>
            <w:gridSpan w:val="3"/>
            <w:tcBorders>
              <w:right w:val="nil"/>
            </w:tcBorders>
          </w:tcPr>
          <w:p w:rsidR="00BA7C2C" w:rsidRDefault="00BA7C2C" w:rsidP="00613EE2">
            <w:pPr>
              <w:spacing w:before="40" w:after="40"/>
            </w:pPr>
            <w:r>
              <w:t>Default value for amount of product ingested :</w:t>
            </w:r>
          </w:p>
        </w:tc>
        <w:tc>
          <w:tcPr>
            <w:tcW w:w="4193" w:type="dxa"/>
            <w:gridSpan w:val="3"/>
            <w:tcBorders>
              <w:top w:val="single" w:sz="6" w:space="0" w:color="auto"/>
              <w:left w:val="nil"/>
              <w:bottom w:val="single" w:sz="6" w:space="0" w:color="auto"/>
            </w:tcBorders>
          </w:tcPr>
          <w:p w:rsidR="00BA7C2C" w:rsidRDefault="00BA7C2C" w:rsidP="00613EE2">
            <w:pPr>
              <w:spacing w:before="40" w:after="40"/>
            </w:pPr>
            <w:r>
              <w:t>10 mg</w:t>
            </w:r>
          </w:p>
        </w:tc>
      </w:tr>
      <w:tr w:rsidR="00BA7C2C" w:rsidTr="00613EE2">
        <w:trPr>
          <w:cantSplit/>
        </w:trPr>
        <w:tc>
          <w:tcPr>
            <w:tcW w:w="5032" w:type="dxa"/>
            <w:gridSpan w:val="3"/>
            <w:tcBorders>
              <w:right w:val="nil"/>
            </w:tcBorders>
          </w:tcPr>
          <w:p w:rsidR="00BA7C2C" w:rsidRDefault="00BA7C2C" w:rsidP="00613EE2">
            <w:pPr>
              <w:spacing w:before="40" w:after="40"/>
            </w:pPr>
            <w:r>
              <w:t>Concentration of bromadiolone :</w:t>
            </w:r>
          </w:p>
        </w:tc>
        <w:tc>
          <w:tcPr>
            <w:tcW w:w="4193" w:type="dxa"/>
            <w:gridSpan w:val="3"/>
            <w:tcBorders>
              <w:top w:val="single" w:sz="6" w:space="0" w:color="auto"/>
              <w:left w:val="nil"/>
              <w:bottom w:val="single" w:sz="6" w:space="0" w:color="auto"/>
            </w:tcBorders>
          </w:tcPr>
          <w:p w:rsidR="00BA7C2C" w:rsidRDefault="00BA7C2C" w:rsidP="00613EE2">
            <w:pPr>
              <w:spacing w:before="40" w:after="40"/>
            </w:pPr>
            <w:r>
              <w:t>50 mg/kg</w:t>
            </w:r>
          </w:p>
        </w:tc>
      </w:tr>
      <w:tr w:rsidR="00BA7C2C" w:rsidTr="00613EE2">
        <w:trPr>
          <w:cantSplit/>
        </w:trPr>
        <w:tc>
          <w:tcPr>
            <w:tcW w:w="5032" w:type="dxa"/>
            <w:gridSpan w:val="3"/>
            <w:tcBorders>
              <w:right w:val="nil"/>
            </w:tcBorders>
          </w:tcPr>
          <w:p w:rsidR="00BA7C2C" w:rsidRDefault="00BA7C2C" w:rsidP="00613EE2">
            <w:pPr>
              <w:spacing w:before="40" w:after="40"/>
            </w:pPr>
            <w:r>
              <w:t>Amount of bromadiolone ingested :</w:t>
            </w:r>
          </w:p>
        </w:tc>
        <w:tc>
          <w:tcPr>
            <w:tcW w:w="4193" w:type="dxa"/>
            <w:gridSpan w:val="3"/>
            <w:tcBorders>
              <w:top w:val="single" w:sz="6" w:space="0" w:color="auto"/>
              <w:left w:val="nil"/>
              <w:bottom w:val="single" w:sz="6" w:space="0" w:color="auto"/>
            </w:tcBorders>
          </w:tcPr>
          <w:p w:rsidR="00BA7C2C" w:rsidRDefault="00BA7C2C" w:rsidP="00613EE2">
            <w:pPr>
              <w:spacing w:before="40" w:after="40"/>
            </w:pPr>
            <w:r>
              <w:t>10 x 50 ÷ 10</w:t>
            </w:r>
            <w:r>
              <w:rPr>
                <w:vertAlign w:val="superscript"/>
              </w:rPr>
              <w:t>6</w:t>
            </w:r>
            <w:r>
              <w:t xml:space="preserve"> mg = 0.00050 mg</w:t>
            </w:r>
          </w:p>
        </w:tc>
      </w:tr>
      <w:tr w:rsidR="00BA7C2C" w:rsidTr="00613EE2">
        <w:trPr>
          <w:cantSplit/>
        </w:trPr>
        <w:tc>
          <w:tcPr>
            <w:tcW w:w="5032" w:type="dxa"/>
            <w:gridSpan w:val="3"/>
            <w:tcBorders>
              <w:right w:val="nil"/>
            </w:tcBorders>
          </w:tcPr>
          <w:p w:rsidR="00BA7C2C" w:rsidRDefault="00BA7C2C" w:rsidP="00613EE2">
            <w:pPr>
              <w:spacing w:before="40" w:after="40"/>
            </w:pPr>
            <w:r>
              <w:t>Systemic exposure of bromadiolone :</w:t>
            </w:r>
          </w:p>
        </w:tc>
        <w:tc>
          <w:tcPr>
            <w:tcW w:w="4193" w:type="dxa"/>
            <w:gridSpan w:val="3"/>
            <w:tcBorders>
              <w:top w:val="single" w:sz="6" w:space="0" w:color="auto"/>
              <w:left w:val="nil"/>
              <w:bottom w:val="single" w:sz="6" w:space="0" w:color="auto"/>
            </w:tcBorders>
          </w:tcPr>
          <w:p w:rsidR="00BA7C2C" w:rsidRDefault="00BA7C2C" w:rsidP="00613EE2">
            <w:pPr>
              <w:spacing w:before="40" w:after="40"/>
            </w:pPr>
            <w:r>
              <w:t>0.00050 mg/day</w:t>
            </w:r>
          </w:p>
        </w:tc>
      </w:tr>
      <w:tr w:rsidR="00BA7C2C" w:rsidTr="00613EE2">
        <w:trPr>
          <w:cantSplit/>
        </w:trPr>
        <w:tc>
          <w:tcPr>
            <w:tcW w:w="5032" w:type="dxa"/>
            <w:gridSpan w:val="3"/>
            <w:tcBorders>
              <w:right w:val="nil"/>
            </w:tcBorders>
          </w:tcPr>
          <w:p w:rsidR="00BA7C2C" w:rsidRDefault="00BA7C2C" w:rsidP="00613EE2">
            <w:pPr>
              <w:spacing w:before="40" w:after="40"/>
            </w:pPr>
            <w:r>
              <w:t>Body weight :</w:t>
            </w:r>
          </w:p>
        </w:tc>
        <w:tc>
          <w:tcPr>
            <w:tcW w:w="4193" w:type="dxa"/>
            <w:gridSpan w:val="3"/>
            <w:tcBorders>
              <w:top w:val="single" w:sz="6" w:space="0" w:color="auto"/>
              <w:left w:val="nil"/>
              <w:bottom w:val="single" w:sz="6" w:space="0" w:color="auto"/>
            </w:tcBorders>
          </w:tcPr>
          <w:p w:rsidR="00BA7C2C" w:rsidRDefault="00BA7C2C" w:rsidP="00613EE2">
            <w:pPr>
              <w:spacing w:before="40" w:after="40"/>
            </w:pPr>
            <w:smartTag w:uri="urn:schemas-microsoft-com:office:smarttags" w:element="metricconverter">
              <w:smartTagPr>
                <w:attr w:name="ProductID" w:val="10 kg"/>
              </w:smartTagPr>
              <w:r>
                <w:t>10 kg</w:t>
              </w:r>
            </w:smartTag>
          </w:p>
        </w:tc>
      </w:tr>
      <w:tr w:rsidR="00BA7C2C" w:rsidTr="00613EE2">
        <w:trPr>
          <w:cantSplit/>
        </w:trPr>
        <w:tc>
          <w:tcPr>
            <w:tcW w:w="5032" w:type="dxa"/>
            <w:gridSpan w:val="3"/>
            <w:tcBorders>
              <w:bottom w:val="double" w:sz="6" w:space="0" w:color="auto"/>
              <w:right w:val="nil"/>
            </w:tcBorders>
          </w:tcPr>
          <w:p w:rsidR="00BA7C2C" w:rsidRDefault="00BA7C2C" w:rsidP="00613EE2">
            <w:pPr>
              <w:spacing w:before="40" w:after="40"/>
              <w:rPr>
                <w:b/>
              </w:rPr>
            </w:pPr>
            <w:r>
              <w:rPr>
                <w:b/>
              </w:rPr>
              <w:t>Systemic exposure :</w:t>
            </w:r>
          </w:p>
        </w:tc>
        <w:tc>
          <w:tcPr>
            <w:tcW w:w="4193" w:type="dxa"/>
            <w:gridSpan w:val="3"/>
            <w:tcBorders>
              <w:top w:val="single" w:sz="6" w:space="0" w:color="auto"/>
              <w:left w:val="nil"/>
              <w:bottom w:val="double" w:sz="6" w:space="0" w:color="auto"/>
            </w:tcBorders>
          </w:tcPr>
          <w:p w:rsidR="00BA7C2C" w:rsidRDefault="00BA7C2C" w:rsidP="00613EE2">
            <w:pPr>
              <w:spacing w:before="40" w:after="40"/>
              <w:rPr>
                <w:b/>
              </w:rPr>
            </w:pPr>
            <w:r>
              <w:rPr>
                <w:b/>
              </w:rPr>
              <w:t>0.000050 mg/kg bw/day</w:t>
            </w:r>
          </w:p>
        </w:tc>
      </w:tr>
    </w:tbl>
    <w:p w:rsidR="00BA7C2C" w:rsidRDefault="00BA7C2C" w:rsidP="00BA7C2C">
      <w:pPr>
        <w:pStyle w:val="BfRBBTitel"/>
        <w:ind w:firstLine="708"/>
        <w:jc w:val="right"/>
        <w:outlineLvl w:val="9"/>
        <w:rPr>
          <w:lang w:val="en-GB"/>
        </w:rPr>
      </w:pPr>
    </w:p>
    <w:p w:rsidR="00BA7C2C" w:rsidRDefault="00BA7C2C" w:rsidP="00BA7C2C">
      <w:pPr>
        <w:pStyle w:val="BfRBBTitel"/>
        <w:jc w:val="left"/>
        <w:outlineLvl w:val="9"/>
        <w:rPr>
          <w:rFonts w:ascii="Times" w:hAnsi="Times"/>
          <w:b w:val="0"/>
          <w:sz w:val="22"/>
          <w:szCs w:val="22"/>
          <w:lang w:val="en-GB"/>
        </w:rPr>
      </w:pPr>
      <w:r w:rsidRPr="00E92BAB">
        <w:rPr>
          <w:rFonts w:ascii="Times" w:hAnsi="Times"/>
          <w:b w:val="0"/>
          <w:sz w:val="22"/>
          <w:szCs w:val="22"/>
          <w:lang w:val="en-GB"/>
        </w:rPr>
        <w:t>Non-professional users, application in and around buildings for the control of rodents</w:t>
      </w:r>
    </w:p>
    <w:p w:rsidR="00BA7C2C" w:rsidRPr="00E92BAB" w:rsidRDefault="00BA7C2C" w:rsidP="00BA7C2C">
      <w:pPr>
        <w:pStyle w:val="BfRBBTitel"/>
        <w:ind w:firstLine="708"/>
        <w:jc w:val="left"/>
        <w:outlineLvl w:val="9"/>
        <w:rPr>
          <w:rFonts w:ascii="Times" w:hAnsi="Times"/>
          <w:b w:val="0"/>
          <w:sz w:val="22"/>
          <w:szCs w:val="22"/>
          <w:lang w:val="en-GB"/>
        </w:rPr>
      </w:pPr>
    </w:p>
    <w:tbl>
      <w:tblPr>
        <w:tblW w:w="73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399"/>
        <w:gridCol w:w="1213"/>
        <w:gridCol w:w="1122"/>
        <w:gridCol w:w="1175"/>
        <w:gridCol w:w="1119"/>
      </w:tblGrid>
      <w:tr w:rsidR="00BA7C2C" w:rsidRPr="00A0425E" w:rsidTr="00613EE2">
        <w:trPr>
          <w:trHeight w:hRule="exact" w:val="907"/>
        </w:trPr>
        <w:tc>
          <w:tcPr>
            <w:tcW w:w="1363" w:type="dxa"/>
            <w:noWrap/>
          </w:tcPr>
          <w:p w:rsidR="00BA7C2C" w:rsidRPr="00A0425E" w:rsidRDefault="00BA7C2C" w:rsidP="00613EE2">
            <w:pPr>
              <w:spacing w:after="120"/>
              <w:rPr>
                <w:b/>
                <w:noProof/>
              </w:rPr>
            </w:pPr>
            <w:r>
              <w:rPr>
                <w:b/>
                <w:noProof/>
              </w:rPr>
              <w:lastRenderedPageBreak/>
              <w:t xml:space="preserve">Exposure scenario </w:t>
            </w:r>
          </w:p>
        </w:tc>
        <w:tc>
          <w:tcPr>
            <w:tcW w:w="1399" w:type="dxa"/>
            <w:noWrap/>
          </w:tcPr>
          <w:p w:rsidR="00BA7C2C" w:rsidRPr="00A0425E" w:rsidRDefault="00BA7C2C" w:rsidP="00613EE2">
            <w:pPr>
              <w:spacing w:after="120"/>
              <w:rPr>
                <w:b/>
                <w:noProof/>
              </w:rPr>
            </w:pPr>
            <w:r w:rsidRPr="00A0425E">
              <w:rPr>
                <w:b/>
                <w:noProof/>
                <w:szCs w:val="22"/>
              </w:rPr>
              <w:t>Component</w:t>
            </w:r>
          </w:p>
          <w:p w:rsidR="00BA7C2C" w:rsidRPr="00A0425E" w:rsidRDefault="00BA7C2C" w:rsidP="00613EE2">
            <w:pPr>
              <w:spacing w:after="120"/>
              <w:rPr>
                <w:b/>
                <w:noProof/>
              </w:rPr>
            </w:pPr>
          </w:p>
          <w:p w:rsidR="00BA7C2C" w:rsidRPr="00A0425E" w:rsidRDefault="00BA7C2C" w:rsidP="00613EE2">
            <w:pPr>
              <w:spacing w:after="120"/>
              <w:rPr>
                <w:b/>
                <w:noProof/>
              </w:rPr>
            </w:pPr>
          </w:p>
          <w:p w:rsidR="00BA7C2C" w:rsidRPr="00A0425E" w:rsidRDefault="00BA7C2C" w:rsidP="00613EE2">
            <w:pPr>
              <w:spacing w:after="120"/>
              <w:rPr>
                <w:b/>
                <w:noProof/>
              </w:rPr>
            </w:pPr>
          </w:p>
        </w:tc>
        <w:tc>
          <w:tcPr>
            <w:tcW w:w="1213" w:type="dxa"/>
          </w:tcPr>
          <w:p w:rsidR="00BA7C2C" w:rsidRPr="00A0425E" w:rsidRDefault="00BA7C2C" w:rsidP="00613EE2">
            <w:pPr>
              <w:spacing w:after="120"/>
              <w:rPr>
                <w:b/>
                <w:noProof/>
              </w:rPr>
            </w:pPr>
            <w:r w:rsidRPr="00A0425E">
              <w:rPr>
                <w:b/>
                <w:noProof/>
                <w:szCs w:val="22"/>
              </w:rPr>
              <w:t>CAS</w:t>
            </w:r>
          </w:p>
          <w:p w:rsidR="00BA7C2C" w:rsidRPr="00A0425E" w:rsidRDefault="00BA7C2C" w:rsidP="00613EE2">
            <w:pPr>
              <w:spacing w:after="120"/>
              <w:rPr>
                <w:b/>
                <w:noProof/>
              </w:rPr>
            </w:pPr>
          </w:p>
          <w:p w:rsidR="00BA7C2C" w:rsidRPr="00A0425E" w:rsidRDefault="00BA7C2C" w:rsidP="00613EE2">
            <w:pPr>
              <w:spacing w:after="120"/>
              <w:rPr>
                <w:b/>
                <w:noProof/>
              </w:rPr>
            </w:pPr>
          </w:p>
          <w:p w:rsidR="00BA7C2C" w:rsidRPr="00A0425E" w:rsidRDefault="00BA7C2C" w:rsidP="00613EE2">
            <w:pPr>
              <w:spacing w:after="120"/>
              <w:rPr>
                <w:b/>
                <w:noProof/>
              </w:rPr>
            </w:pPr>
          </w:p>
        </w:tc>
        <w:tc>
          <w:tcPr>
            <w:tcW w:w="1122" w:type="dxa"/>
          </w:tcPr>
          <w:p w:rsidR="00BA7C2C" w:rsidRPr="00A0425E" w:rsidRDefault="00BA7C2C" w:rsidP="00613EE2">
            <w:pPr>
              <w:spacing w:after="120"/>
              <w:rPr>
                <w:b/>
                <w:noProof/>
              </w:rPr>
            </w:pPr>
            <w:r w:rsidRPr="00A0425E">
              <w:rPr>
                <w:b/>
                <w:noProof/>
                <w:szCs w:val="22"/>
              </w:rPr>
              <w:t xml:space="preserve">Dermal </w:t>
            </w:r>
            <w:r w:rsidRPr="00A0425E">
              <w:rPr>
                <w:b/>
                <w:noProof/>
                <w:szCs w:val="22"/>
              </w:rPr>
              <w:br/>
              <w:t>Total [mg/day]</w:t>
            </w:r>
            <w:r>
              <w:rPr>
                <w:b/>
                <w:noProof/>
                <w:szCs w:val="22"/>
              </w:rPr>
              <w:t xml:space="preserve"> </w:t>
            </w:r>
          </w:p>
        </w:tc>
        <w:tc>
          <w:tcPr>
            <w:tcW w:w="1175" w:type="dxa"/>
          </w:tcPr>
          <w:p w:rsidR="00BA7C2C" w:rsidRPr="00A0425E" w:rsidRDefault="00BA7C2C" w:rsidP="00613EE2">
            <w:pPr>
              <w:spacing w:after="120"/>
              <w:rPr>
                <w:b/>
                <w:noProof/>
              </w:rPr>
            </w:pPr>
            <w:r w:rsidRPr="00A0425E">
              <w:rPr>
                <w:b/>
                <w:noProof/>
                <w:szCs w:val="22"/>
              </w:rPr>
              <w:t>Dermal Total</w:t>
            </w:r>
            <w:r>
              <w:rPr>
                <w:b/>
                <w:noProof/>
                <w:szCs w:val="22"/>
              </w:rPr>
              <w:t xml:space="preserve"> </w:t>
            </w:r>
            <w:r w:rsidRPr="00A0425E">
              <w:rPr>
                <w:b/>
                <w:noProof/>
                <w:szCs w:val="22"/>
              </w:rPr>
              <w:t>[mg/kg/d]</w:t>
            </w:r>
            <w:r>
              <w:rPr>
                <w:b/>
                <w:noProof/>
                <w:szCs w:val="22"/>
              </w:rPr>
              <w:t xml:space="preserve"> </w:t>
            </w:r>
          </w:p>
        </w:tc>
        <w:tc>
          <w:tcPr>
            <w:tcW w:w="1119" w:type="dxa"/>
          </w:tcPr>
          <w:p w:rsidR="00BA7C2C" w:rsidRPr="00A0425E" w:rsidRDefault="00BA7C2C" w:rsidP="00613EE2">
            <w:pPr>
              <w:spacing w:after="120"/>
              <w:rPr>
                <w:b/>
                <w:noProof/>
              </w:rPr>
            </w:pPr>
            <w:r w:rsidRPr="00A0425E">
              <w:rPr>
                <w:b/>
                <w:noProof/>
                <w:szCs w:val="22"/>
              </w:rPr>
              <w:t>Inhalation</w:t>
            </w:r>
            <w:r w:rsidRPr="00A0425E">
              <w:rPr>
                <w:b/>
                <w:noProof/>
                <w:szCs w:val="22"/>
              </w:rPr>
              <w:br/>
              <w:t>Exposure</w:t>
            </w:r>
            <w:r>
              <w:rPr>
                <w:b/>
                <w:noProof/>
                <w:szCs w:val="22"/>
              </w:rPr>
              <w:t xml:space="preserve"> </w:t>
            </w:r>
            <w:r w:rsidRPr="00A0425E">
              <w:rPr>
                <w:b/>
                <w:noProof/>
                <w:szCs w:val="22"/>
              </w:rPr>
              <w:t>[mg/m³]</w:t>
            </w:r>
          </w:p>
        </w:tc>
      </w:tr>
      <w:tr w:rsidR="00BA7C2C" w:rsidRPr="00A0425E" w:rsidTr="00613EE2">
        <w:trPr>
          <w:trHeight w:val="255"/>
        </w:trPr>
        <w:tc>
          <w:tcPr>
            <w:tcW w:w="1363" w:type="dxa"/>
            <w:noWrap/>
          </w:tcPr>
          <w:p w:rsidR="00BA7C2C" w:rsidRPr="00A0425E" w:rsidRDefault="00BA7C2C" w:rsidP="00613EE2">
            <w:pPr>
              <w:spacing w:after="120"/>
              <w:rPr>
                <w:noProof/>
              </w:rPr>
            </w:pPr>
            <w:r>
              <w:t>Application in and around b</w:t>
            </w:r>
            <w:r w:rsidRPr="00F4497F">
              <w:t xml:space="preserve">uildings </w:t>
            </w:r>
          </w:p>
        </w:tc>
        <w:tc>
          <w:tcPr>
            <w:tcW w:w="1399" w:type="dxa"/>
            <w:noWrap/>
          </w:tcPr>
          <w:p w:rsidR="00BA7C2C" w:rsidRPr="00A0425E" w:rsidRDefault="00BA7C2C" w:rsidP="00613EE2">
            <w:pPr>
              <w:spacing w:after="120"/>
              <w:rPr>
                <w:noProof/>
              </w:rPr>
            </w:pPr>
            <w:r>
              <w:rPr>
                <w:noProof/>
              </w:rPr>
              <w:t>Bromadiolone</w:t>
            </w:r>
          </w:p>
        </w:tc>
        <w:tc>
          <w:tcPr>
            <w:tcW w:w="1213" w:type="dxa"/>
            <w:noWrap/>
          </w:tcPr>
          <w:p w:rsidR="00BA7C2C" w:rsidRPr="00A0425E" w:rsidRDefault="00BA7C2C" w:rsidP="00613EE2">
            <w:pPr>
              <w:spacing w:after="120"/>
              <w:rPr>
                <w:noProof/>
              </w:rPr>
            </w:pPr>
            <w:r w:rsidRPr="00D74E11">
              <w:t>28772-56-7</w:t>
            </w:r>
          </w:p>
        </w:tc>
        <w:tc>
          <w:tcPr>
            <w:tcW w:w="1122" w:type="dxa"/>
            <w:noWrap/>
          </w:tcPr>
          <w:p w:rsidR="00BA7C2C" w:rsidRPr="00A0425E" w:rsidRDefault="00BA7C2C" w:rsidP="00613EE2">
            <w:pPr>
              <w:spacing w:after="120"/>
              <w:rPr>
                <w:noProof/>
              </w:rPr>
            </w:pPr>
            <w:r>
              <w:t>1.64 x 10</w:t>
            </w:r>
            <w:r w:rsidRPr="00CA6C72">
              <w:rPr>
                <w:vertAlign w:val="superscript"/>
              </w:rPr>
              <w:t>-</w:t>
            </w:r>
            <w:r>
              <w:rPr>
                <w:vertAlign w:val="superscript"/>
              </w:rPr>
              <w:t>5</w:t>
            </w:r>
          </w:p>
        </w:tc>
        <w:tc>
          <w:tcPr>
            <w:tcW w:w="1175" w:type="dxa"/>
            <w:noWrap/>
          </w:tcPr>
          <w:p w:rsidR="00BA7C2C" w:rsidRPr="00E92BAB" w:rsidRDefault="00BA7C2C" w:rsidP="00613EE2">
            <w:pPr>
              <w:spacing w:after="120"/>
              <w:rPr>
                <w:noProof/>
              </w:rPr>
            </w:pPr>
            <w:r w:rsidRPr="00E92BAB">
              <w:t>2.7</w:t>
            </w:r>
            <w:r>
              <w:t>3</w:t>
            </w:r>
            <w:r w:rsidRPr="00E92BAB">
              <w:t xml:space="preserve"> x 10</w:t>
            </w:r>
            <w:r w:rsidRPr="00E92BAB">
              <w:rPr>
                <w:vertAlign w:val="superscript"/>
              </w:rPr>
              <w:t>-7</w:t>
            </w:r>
          </w:p>
        </w:tc>
        <w:tc>
          <w:tcPr>
            <w:tcW w:w="1119" w:type="dxa"/>
          </w:tcPr>
          <w:p w:rsidR="00BA7C2C" w:rsidRPr="00A0425E" w:rsidRDefault="00BA7C2C" w:rsidP="00613EE2">
            <w:pPr>
              <w:spacing w:after="120"/>
              <w:rPr>
                <w:noProof/>
              </w:rPr>
            </w:pPr>
            <w:r>
              <w:rPr>
                <w:noProof/>
              </w:rPr>
              <w:t xml:space="preserve">- </w:t>
            </w:r>
          </w:p>
        </w:tc>
      </w:tr>
    </w:tbl>
    <w:p w:rsidR="00BA7C2C" w:rsidRDefault="00BA7C2C" w:rsidP="00BA7C2C">
      <w:pPr>
        <w:pStyle w:val="BfRBBTitel"/>
        <w:ind w:firstLine="708"/>
        <w:jc w:val="right"/>
        <w:outlineLvl w:val="9"/>
        <w:rPr>
          <w:lang w:val="en-GB"/>
        </w:rPr>
      </w:pPr>
    </w:p>
    <w:p w:rsidR="00BA7C2C" w:rsidRDefault="00BA7C2C" w:rsidP="00BA7C2C">
      <w:pPr>
        <w:pStyle w:val="BfRBBTitel"/>
        <w:jc w:val="left"/>
        <w:outlineLvl w:val="9"/>
        <w:rPr>
          <w:rFonts w:ascii="Times" w:hAnsi="Times"/>
          <w:b w:val="0"/>
          <w:sz w:val="22"/>
          <w:szCs w:val="22"/>
          <w:lang w:val="en-GB"/>
        </w:rPr>
      </w:pPr>
      <w:r w:rsidRPr="00E92BAB">
        <w:rPr>
          <w:rFonts w:ascii="Times" w:hAnsi="Times"/>
          <w:b w:val="0"/>
          <w:sz w:val="22"/>
          <w:szCs w:val="22"/>
          <w:lang w:val="en-GB"/>
        </w:rPr>
        <w:t>Secondary exposure, infants ingesting a bait</w:t>
      </w:r>
    </w:p>
    <w:p w:rsidR="00BA7C2C" w:rsidRDefault="00BA7C2C" w:rsidP="00BA7C2C">
      <w:pPr>
        <w:pStyle w:val="BfRBBTitel"/>
        <w:jc w:val="left"/>
        <w:outlineLvl w:val="9"/>
        <w:rPr>
          <w:rFonts w:ascii="Times" w:hAnsi="Times"/>
          <w:b w:val="0"/>
          <w:sz w:val="22"/>
          <w:szCs w:val="22"/>
          <w:lang w:val="en-GB"/>
        </w:rPr>
      </w:pPr>
    </w:p>
    <w:tbl>
      <w:tblPr>
        <w:tblW w:w="62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399"/>
        <w:gridCol w:w="1213"/>
        <w:gridCol w:w="1122"/>
        <w:gridCol w:w="1175"/>
      </w:tblGrid>
      <w:tr w:rsidR="00BA7C2C" w:rsidRPr="00A0425E" w:rsidTr="00613EE2">
        <w:trPr>
          <w:trHeight w:hRule="exact" w:val="851"/>
        </w:trPr>
        <w:tc>
          <w:tcPr>
            <w:tcW w:w="1363" w:type="dxa"/>
            <w:noWrap/>
          </w:tcPr>
          <w:p w:rsidR="00BA7C2C" w:rsidRPr="00A0425E" w:rsidRDefault="00BA7C2C" w:rsidP="00613EE2">
            <w:pPr>
              <w:spacing w:after="120"/>
              <w:rPr>
                <w:b/>
                <w:noProof/>
              </w:rPr>
            </w:pPr>
            <w:r>
              <w:rPr>
                <w:b/>
                <w:noProof/>
              </w:rPr>
              <w:t xml:space="preserve">Exposure scenario </w:t>
            </w:r>
          </w:p>
        </w:tc>
        <w:tc>
          <w:tcPr>
            <w:tcW w:w="1399" w:type="dxa"/>
            <w:noWrap/>
          </w:tcPr>
          <w:p w:rsidR="00BA7C2C" w:rsidRPr="00A0425E" w:rsidRDefault="00BA7C2C" w:rsidP="00613EE2">
            <w:pPr>
              <w:spacing w:after="120"/>
              <w:rPr>
                <w:b/>
                <w:noProof/>
              </w:rPr>
            </w:pPr>
            <w:r w:rsidRPr="00A0425E">
              <w:rPr>
                <w:b/>
                <w:noProof/>
                <w:szCs w:val="22"/>
              </w:rPr>
              <w:t>Component</w:t>
            </w:r>
          </w:p>
          <w:p w:rsidR="00BA7C2C" w:rsidRPr="00A0425E" w:rsidRDefault="00BA7C2C" w:rsidP="00613EE2">
            <w:pPr>
              <w:spacing w:after="120"/>
              <w:rPr>
                <w:b/>
                <w:noProof/>
              </w:rPr>
            </w:pPr>
          </w:p>
          <w:p w:rsidR="00BA7C2C" w:rsidRPr="00A0425E" w:rsidRDefault="00BA7C2C" w:rsidP="00613EE2">
            <w:pPr>
              <w:spacing w:after="120"/>
              <w:rPr>
                <w:b/>
                <w:noProof/>
              </w:rPr>
            </w:pPr>
          </w:p>
          <w:p w:rsidR="00BA7C2C" w:rsidRPr="00A0425E" w:rsidRDefault="00BA7C2C" w:rsidP="00613EE2">
            <w:pPr>
              <w:spacing w:after="120"/>
              <w:rPr>
                <w:b/>
                <w:noProof/>
              </w:rPr>
            </w:pPr>
          </w:p>
        </w:tc>
        <w:tc>
          <w:tcPr>
            <w:tcW w:w="1213" w:type="dxa"/>
          </w:tcPr>
          <w:p w:rsidR="00BA7C2C" w:rsidRPr="00A0425E" w:rsidRDefault="00BA7C2C" w:rsidP="00613EE2">
            <w:pPr>
              <w:spacing w:after="120"/>
              <w:rPr>
                <w:b/>
                <w:noProof/>
              </w:rPr>
            </w:pPr>
            <w:r w:rsidRPr="00A0425E">
              <w:rPr>
                <w:b/>
                <w:noProof/>
                <w:szCs w:val="22"/>
              </w:rPr>
              <w:t>CAS</w:t>
            </w:r>
          </w:p>
          <w:p w:rsidR="00BA7C2C" w:rsidRPr="00A0425E" w:rsidRDefault="00BA7C2C" w:rsidP="00613EE2">
            <w:pPr>
              <w:spacing w:after="120"/>
              <w:rPr>
                <w:b/>
                <w:noProof/>
              </w:rPr>
            </w:pPr>
          </w:p>
          <w:p w:rsidR="00BA7C2C" w:rsidRPr="00A0425E" w:rsidRDefault="00BA7C2C" w:rsidP="00613EE2">
            <w:pPr>
              <w:spacing w:after="120"/>
              <w:rPr>
                <w:b/>
                <w:noProof/>
              </w:rPr>
            </w:pPr>
          </w:p>
          <w:p w:rsidR="00BA7C2C" w:rsidRPr="00A0425E" w:rsidRDefault="00BA7C2C" w:rsidP="00613EE2">
            <w:pPr>
              <w:spacing w:after="120"/>
              <w:rPr>
                <w:b/>
                <w:noProof/>
              </w:rPr>
            </w:pPr>
          </w:p>
        </w:tc>
        <w:tc>
          <w:tcPr>
            <w:tcW w:w="1122" w:type="dxa"/>
          </w:tcPr>
          <w:p w:rsidR="00BA7C2C" w:rsidRPr="00A0425E" w:rsidRDefault="00BA7C2C" w:rsidP="00613EE2">
            <w:pPr>
              <w:spacing w:after="120"/>
              <w:rPr>
                <w:b/>
                <w:noProof/>
              </w:rPr>
            </w:pPr>
            <w:r>
              <w:rPr>
                <w:b/>
                <w:noProof/>
                <w:szCs w:val="22"/>
              </w:rPr>
              <w:t>Oral</w:t>
            </w:r>
            <w:r w:rsidRPr="00A0425E">
              <w:rPr>
                <w:b/>
                <w:noProof/>
                <w:szCs w:val="22"/>
              </w:rPr>
              <w:br/>
              <w:t>Total [mg/day]</w:t>
            </w:r>
            <w:r>
              <w:rPr>
                <w:b/>
                <w:noProof/>
                <w:szCs w:val="22"/>
              </w:rPr>
              <w:t xml:space="preserve"> </w:t>
            </w:r>
          </w:p>
        </w:tc>
        <w:tc>
          <w:tcPr>
            <w:tcW w:w="1175" w:type="dxa"/>
          </w:tcPr>
          <w:p w:rsidR="00BA7C2C" w:rsidRPr="00A0425E" w:rsidRDefault="00BA7C2C" w:rsidP="00613EE2">
            <w:pPr>
              <w:spacing w:after="120"/>
              <w:rPr>
                <w:b/>
                <w:noProof/>
              </w:rPr>
            </w:pPr>
            <w:r>
              <w:rPr>
                <w:b/>
                <w:noProof/>
                <w:szCs w:val="22"/>
              </w:rPr>
              <w:t>Oral</w:t>
            </w:r>
            <w:r w:rsidRPr="00A0425E">
              <w:rPr>
                <w:b/>
                <w:noProof/>
                <w:szCs w:val="22"/>
              </w:rPr>
              <w:t xml:space="preserve"> Total</w:t>
            </w:r>
            <w:r>
              <w:rPr>
                <w:b/>
                <w:noProof/>
                <w:szCs w:val="22"/>
              </w:rPr>
              <w:t xml:space="preserve"> </w:t>
            </w:r>
            <w:r w:rsidRPr="00A0425E">
              <w:rPr>
                <w:b/>
                <w:noProof/>
                <w:szCs w:val="22"/>
              </w:rPr>
              <w:t>[mg/kg/d]</w:t>
            </w:r>
            <w:r>
              <w:rPr>
                <w:b/>
                <w:noProof/>
                <w:szCs w:val="22"/>
              </w:rPr>
              <w:t xml:space="preserve"> </w:t>
            </w:r>
          </w:p>
        </w:tc>
      </w:tr>
      <w:tr w:rsidR="00BA7C2C" w:rsidRPr="00A0425E" w:rsidTr="00613EE2">
        <w:trPr>
          <w:trHeight w:val="255"/>
        </w:trPr>
        <w:tc>
          <w:tcPr>
            <w:tcW w:w="1363" w:type="dxa"/>
            <w:noWrap/>
          </w:tcPr>
          <w:p w:rsidR="00BA7C2C" w:rsidRPr="00A0425E" w:rsidRDefault="00BA7C2C" w:rsidP="00613EE2">
            <w:pPr>
              <w:spacing w:after="120"/>
              <w:rPr>
                <w:noProof/>
              </w:rPr>
            </w:pPr>
            <w:r>
              <w:t>Ingestion of a bait</w:t>
            </w:r>
            <w:r w:rsidRPr="00F4497F">
              <w:t xml:space="preserve"> </w:t>
            </w:r>
          </w:p>
        </w:tc>
        <w:tc>
          <w:tcPr>
            <w:tcW w:w="1399" w:type="dxa"/>
            <w:noWrap/>
          </w:tcPr>
          <w:p w:rsidR="00BA7C2C" w:rsidRPr="00A0425E" w:rsidRDefault="00BA7C2C" w:rsidP="00613EE2">
            <w:pPr>
              <w:spacing w:after="120"/>
              <w:rPr>
                <w:noProof/>
              </w:rPr>
            </w:pPr>
            <w:r>
              <w:rPr>
                <w:noProof/>
              </w:rPr>
              <w:t>Bromadiolone</w:t>
            </w:r>
          </w:p>
        </w:tc>
        <w:tc>
          <w:tcPr>
            <w:tcW w:w="1213" w:type="dxa"/>
            <w:noWrap/>
          </w:tcPr>
          <w:p w:rsidR="00BA7C2C" w:rsidRPr="00A0425E" w:rsidRDefault="00BA7C2C" w:rsidP="00613EE2">
            <w:pPr>
              <w:spacing w:after="120"/>
              <w:rPr>
                <w:noProof/>
              </w:rPr>
            </w:pPr>
            <w:r w:rsidRPr="00D74E11">
              <w:t>28772-56-7</w:t>
            </w:r>
          </w:p>
        </w:tc>
        <w:tc>
          <w:tcPr>
            <w:tcW w:w="1122" w:type="dxa"/>
            <w:noWrap/>
          </w:tcPr>
          <w:p w:rsidR="00BA7C2C" w:rsidRPr="00A0425E" w:rsidRDefault="00BA7C2C" w:rsidP="00613EE2">
            <w:pPr>
              <w:spacing w:after="120"/>
              <w:rPr>
                <w:noProof/>
              </w:rPr>
            </w:pPr>
            <w:r>
              <w:t>0.00050</w:t>
            </w:r>
          </w:p>
        </w:tc>
        <w:tc>
          <w:tcPr>
            <w:tcW w:w="1175" w:type="dxa"/>
            <w:noWrap/>
          </w:tcPr>
          <w:p w:rsidR="00BA7C2C" w:rsidRPr="00E92BAB" w:rsidRDefault="00BA7C2C" w:rsidP="00613EE2">
            <w:pPr>
              <w:spacing w:after="120"/>
              <w:rPr>
                <w:noProof/>
              </w:rPr>
            </w:pPr>
            <w:r w:rsidRPr="00E92BAB">
              <w:t>0.000050</w:t>
            </w:r>
          </w:p>
        </w:tc>
      </w:tr>
    </w:tbl>
    <w:p w:rsidR="00BA7C2C" w:rsidRDefault="00BA7C2C" w:rsidP="00BA7C2C">
      <w:pPr>
        <w:pStyle w:val="BfRBBTitel"/>
        <w:jc w:val="left"/>
        <w:outlineLvl w:val="9"/>
        <w:rPr>
          <w:lang w:val="en-GB"/>
        </w:rPr>
      </w:pPr>
    </w:p>
    <w:p w:rsidR="00BA7C2C" w:rsidRDefault="00BA7C2C" w:rsidP="00BA7C2C">
      <w:pPr>
        <w:pStyle w:val="BfRBBTitel"/>
        <w:jc w:val="left"/>
        <w:rPr>
          <w:rFonts w:ascii="Times New Roman" w:hAnsi="Times New Roman" w:cs="Times New Roman"/>
          <w:b w:val="0"/>
          <w:bCs w:val="0"/>
          <w:sz w:val="22"/>
          <w:szCs w:val="22"/>
          <w:lang w:val="en-GB"/>
        </w:rPr>
      </w:pPr>
    </w:p>
    <w:p w:rsidR="00BA7C2C" w:rsidRDefault="00BA7C2C" w:rsidP="00BA7C2C">
      <w:pPr>
        <w:pStyle w:val="BfRBBTitel"/>
        <w:jc w:val="left"/>
        <w:rPr>
          <w:rFonts w:ascii="Times New Roman" w:hAnsi="Times New Roman" w:cs="Times New Roman"/>
          <w:b w:val="0"/>
          <w:bCs w:val="0"/>
          <w:sz w:val="22"/>
          <w:szCs w:val="22"/>
          <w:lang w:val="en-GB"/>
        </w:rPr>
      </w:pPr>
    </w:p>
    <w:p w:rsidR="00BA7C2C" w:rsidRDefault="00BA7C2C" w:rsidP="00BA7C2C">
      <w:pPr>
        <w:pStyle w:val="BfRBBTitel"/>
        <w:jc w:val="left"/>
        <w:rPr>
          <w:rFonts w:ascii="Times New Roman" w:hAnsi="Times New Roman" w:cs="Times New Roman"/>
          <w:b w:val="0"/>
          <w:bCs w:val="0"/>
          <w:sz w:val="22"/>
          <w:szCs w:val="22"/>
          <w:lang w:val="en-GB"/>
        </w:rPr>
      </w:pPr>
    </w:p>
    <w:p w:rsidR="00BA7C2C" w:rsidRPr="005B352A" w:rsidRDefault="00BA7C2C" w:rsidP="00BA7C2C">
      <w:pPr>
        <w:pStyle w:val="BfRBBTitel"/>
        <w:jc w:val="left"/>
        <w:outlineLvl w:val="9"/>
        <w:rPr>
          <w:rFonts w:ascii="Times" w:hAnsi="Times"/>
          <w:b w:val="0"/>
          <w:sz w:val="22"/>
          <w:szCs w:val="22"/>
          <w:lang w:val="en-GB"/>
        </w:rPr>
      </w:pPr>
      <w:r w:rsidRPr="005B352A">
        <w:rPr>
          <w:rFonts w:ascii="Times" w:hAnsi="Times"/>
          <w:b w:val="0"/>
          <w:sz w:val="22"/>
          <w:szCs w:val="22"/>
          <w:lang w:val="en-GB"/>
        </w:rPr>
        <w:t>Risk assessment</w:t>
      </w:r>
    </w:p>
    <w:p w:rsidR="00BA7C2C" w:rsidRPr="00A0425E" w:rsidRDefault="00BA7C2C" w:rsidP="00BA7C2C">
      <w:pPr>
        <w:pStyle w:val="BfRBBTitel"/>
        <w:jc w:val="left"/>
        <w:rPr>
          <w:b w:val="0"/>
          <w:sz w:val="20"/>
          <w:szCs w:val="20"/>
          <w:lang w:val="en-GB"/>
        </w:rPr>
      </w:pPr>
    </w:p>
    <w:tbl>
      <w:tblPr>
        <w:tblW w:w="9978"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880"/>
        <w:gridCol w:w="880"/>
        <w:gridCol w:w="1210"/>
        <w:gridCol w:w="673"/>
        <w:gridCol w:w="770"/>
        <w:gridCol w:w="770"/>
        <w:gridCol w:w="660"/>
        <w:gridCol w:w="1270"/>
        <w:gridCol w:w="711"/>
        <w:gridCol w:w="724"/>
      </w:tblGrid>
      <w:tr w:rsidR="00BA7C2C" w:rsidRPr="0088049C" w:rsidTr="00613EE2">
        <w:trPr>
          <w:jc w:val="center"/>
        </w:trPr>
        <w:tc>
          <w:tcPr>
            <w:tcW w:w="1430" w:type="dxa"/>
            <w:vMerge w:val="restart"/>
          </w:tcPr>
          <w:p w:rsidR="00BA7C2C" w:rsidRPr="0088049C" w:rsidRDefault="00BA7C2C" w:rsidP="00613EE2">
            <w:pPr>
              <w:spacing w:after="120"/>
              <w:rPr>
                <w:b/>
                <w:noProof/>
                <w:highlight w:val="yellow"/>
              </w:rPr>
            </w:pPr>
            <w:r w:rsidRPr="0088049C">
              <w:rPr>
                <w:b/>
                <w:noProof/>
                <w:highlight w:val="yellow"/>
              </w:rPr>
              <w:t>Exposure scenario</w:t>
            </w:r>
          </w:p>
        </w:tc>
        <w:tc>
          <w:tcPr>
            <w:tcW w:w="880" w:type="dxa"/>
            <w:vMerge w:val="restart"/>
          </w:tcPr>
          <w:p w:rsidR="00BA7C2C" w:rsidRPr="0088049C" w:rsidRDefault="00BA7C2C" w:rsidP="00613EE2">
            <w:pPr>
              <w:spacing w:after="120"/>
              <w:rPr>
                <w:b/>
                <w:noProof/>
                <w:highlight w:val="yellow"/>
              </w:rPr>
            </w:pPr>
            <w:r w:rsidRPr="0088049C">
              <w:rPr>
                <w:b/>
                <w:noProof/>
                <w:highlight w:val="yellow"/>
              </w:rPr>
              <w:t>Component</w:t>
            </w:r>
          </w:p>
          <w:p w:rsidR="00BA7C2C" w:rsidRPr="0088049C" w:rsidRDefault="00BA7C2C" w:rsidP="00613EE2">
            <w:pPr>
              <w:pStyle w:val="BfRBBTitel"/>
              <w:autoSpaceDE/>
              <w:autoSpaceDN/>
              <w:spacing w:after="120"/>
              <w:jc w:val="left"/>
              <w:rPr>
                <w:rFonts w:ascii="Times New Roman" w:hAnsi="Times New Roman" w:cs="Times New Roman"/>
                <w:bCs w:val="0"/>
                <w:sz w:val="22"/>
                <w:highlight w:val="yellow"/>
                <w:lang w:val="en-GB"/>
              </w:rPr>
            </w:pPr>
          </w:p>
        </w:tc>
        <w:tc>
          <w:tcPr>
            <w:tcW w:w="880" w:type="dxa"/>
            <w:vMerge w:val="restart"/>
          </w:tcPr>
          <w:p w:rsidR="00BA7C2C" w:rsidRPr="0088049C" w:rsidRDefault="00BA7C2C" w:rsidP="00613EE2">
            <w:pPr>
              <w:spacing w:after="120"/>
              <w:rPr>
                <w:b/>
                <w:noProof/>
                <w:highlight w:val="yellow"/>
              </w:rPr>
            </w:pPr>
            <w:r w:rsidRPr="0088049C">
              <w:rPr>
                <w:b/>
                <w:noProof/>
                <w:highlight w:val="yellow"/>
              </w:rPr>
              <w:t>CAS</w:t>
            </w:r>
          </w:p>
        </w:tc>
        <w:tc>
          <w:tcPr>
            <w:tcW w:w="1210" w:type="dxa"/>
            <w:vMerge w:val="restart"/>
          </w:tcPr>
          <w:p w:rsidR="00BA7C2C" w:rsidRPr="0088049C" w:rsidRDefault="00BA7C2C" w:rsidP="00613EE2">
            <w:pPr>
              <w:spacing w:after="120"/>
              <w:rPr>
                <w:b/>
                <w:noProof/>
                <w:highlight w:val="yellow"/>
              </w:rPr>
            </w:pPr>
            <w:r w:rsidRPr="0088049C">
              <w:rPr>
                <w:b/>
                <w:noProof/>
                <w:highlight w:val="yellow"/>
              </w:rPr>
              <w:t>AEL [mg/kg/d]</w:t>
            </w:r>
          </w:p>
        </w:tc>
        <w:tc>
          <w:tcPr>
            <w:tcW w:w="1443" w:type="dxa"/>
            <w:gridSpan w:val="2"/>
          </w:tcPr>
          <w:p w:rsidR="00BA7C2C" w:rsidRPr="0088049C" w:rsidRDefault="00BA7C2C" w:rsidP="00613EE2">
            <w:pPr>
              <w:spacing w:after="120"/>
              <w:rPr>
                <w:b/>
                <w:noProof/>
                <w:highlight w:val="yellow"/>
              </w:rPr>
            </w:pPr>
            <w:r w:rsidRPr="0088049C">
              <w:rPr>
                <w:b/>
                <w:noProof/>
                <w:highlight w:val="yellow"/>
              </w:rPr>
              <w:t>Absorption</w:t>
            </w:r>
          </w:p>
        </w:tc>
        <w:tc>
          <w:tcPr>
            <w:tcW w:w="1430" w:type="dxa"/>
            <w:gridSpan w:val="2"/>
          </w:tcPr>
          <w:p w:rsidR="00BA7C2C" w:rsidRPr="0088049C" w:rsidRDefault="00BA7C2C" w:rsidP="00613EE2">
            <w:pPr>
              <w:spacing w:after="120"/>
              <w:rPr>
                <w:b/>
                <w:noProof/>
                <w:highlight w:val="yellow"/>
              </w:rPr>
            </w:pPr>
            <w:r w:rsidRPr="0088049C">
              <w:rPr>
                <w:b/>
                <w:noProof/>
                <w:highlight w:val="yellow"/>
              </w:rPr>
              <w:t>Inhal ext</w:t>
            </w:r>
          </w:p>
          <w:p w:rsidR="00BA7C2C" w:rsidRPr="0088049C" w:rsidRDefault="00BA7C2C" w:rsidP="00613EE2">
            <w:pPr>
              <w:spacing w:after="120"/>
              <w:rPr>
                <w:b/>
                <w:noProof/>
                <w:highlight w:val="yellow"/>
              </w:rPr>
            </w:pPr>
            <w:r w:rsidRPr="0088049C">
              <w:rPr>
                <w:b/>
                <w:noProof/>
                <w:highlight w:val="yellow"/>
              </w:rPr>
              <w:t>[mg/m3]</w:t>
            </w:r>
          </w:p>
        </w:tc>
        <w:tc>
          <w:tcPr>
            <w:tcW w:w="1981" w:type="dxa"/>
            <w:gridSpan w:val="2"/>
          </w:tcPr>
          <w:p w:rsidR="00BA7C2C" w:rsidRPr="0088049C" w:rsidRDefault="00BA7C2C" w:rsidP="00613EE2">
            <w:pPr>
              <w:spacing w:after="120"/>
              <w:rPr>
                <w:b/>
                <w:noProof/>
                <w:highlight w:val="yellow"/>
              </w:rPr>
            </w:pPr>
            <w:r w:rsidRPr="0088049C">
              <w:rPr>
                <w:b/>
                <w:noProof/>
                <w:highlight w:val="yellow"/>
              </w:rPr>
              <w:t>Derm ext</w:t>
            </w:r>
          </w:p>
          <w:p w:rsidR="00BA7C2C" w:rsidRPr="0088049C" w:rsidRDefault="00BA7C2C" w:rsidP="00613EE2">
            <w:pPr>
              <w:spacing w:after="120"/>
              <w:rPr>
                <w:b/>
                <w:noProof/>
                <w:highlight w:val="yellow"/>
              </w:rPr>
            </w:pPr>
            <w:r w:rsidRPr="0088049C">
              <w:rPr>
                <w:b/>
                <w:noProof/>
                <w:highlight w:val="yellow"/>
              </w:rPr>
              <w:t>[mg/kg/d]</w:t>
            </w:r>
          </w:p>
        </w:tc>
        <w:tc>
          <w:tcPr>
            <w:tcW w:w="724" w:type="dxa"/>
            <w:vMerge w:val="restart"/>
          </w:tcPr>
          <w:p w:rsidR="00BA7C2C" w:rsidRPr="0088049C" w:rsidRDefault="00BA7C2C" w:rsidP="00613EE2">
            <w:pPr>
              <w:spacing w:after="120"/>
              <w:rPr>
                <w:b/>
                <w:noProof/>
                <w:highlight w:val="yellow"/>
              </w:rPr>
            </w:pPr>
            <w:r w:rsidRPr="0088049C">
              <w:rPr>
                <w:b/>
                <w:noProof/>
                <w:highlight w:val="yellow"/>
              </w:rPr>
              <w:t>RCR total</w:t>
            </w:r>
          </w:p>
        </w:tc>
      </w:tr>
      <w:tr w:rsidR="00BA7C2C" w:rsidRPr="0088049C" w:rsidTr="00613EE2">
        <w:trPr>
          <w:jc w:val="center"/>
        </w:trPr>
        <w:tc>
          <w:tcPr>
            <w:tcW w:w="1430" w:type="dxa"/>
            <w:vMerge/>
          </w:tcPr>
          <w:p w:rsidR="00BA7C2C" w:rsidRPr="0088049C" w:rsidRDefault="00BA7C2C" w:rsidP="00613EE2">
            <w:pPr>
              <w:spacing w:after="120"/>
              <w:rPr>
                <w:noProof/>
                <w:highlight w:val="yellow"/>
              </w:rPr>
            </w:pPr>
          </w:p>
        </w:tc>
        <w:tc>
          <w:tcPr>
            <w:tcW w:w="880" w:type="dxa"/>
            <w:vMerge/>
          </w:tcPr>
          <w:p w:rsidR="00BA7C2C" w:rsidRPr="0088049C" w:rsidRDefault="00BA7C2C" w:rsidP="00613EE2">
            <w:pPr>
              <w:spacing w:after="120"/>
              <w:rPr>
                <w:noProof/>
                <w:highlight w:val="yellow"/>
              </w:rPr>
            </w:pPr>
          </w:p>
        </w:tc>
        <w:tc>
          <w:tcPr>
            <w:tcW w:w="880" w:type="dxa"/>
            <w:vMerge/>
          </w:tcPr>
          <w:p w:rsidR="00BA7C2C" w:rsidRPr="0088049C" w:rsidRDefault="00BA7C2C" w:rsidP="00613EE2">
            <w:pPr>
              <w:spacing w:after="120"/>
              <w:rPr>
                <w:noProof/>
                <w:highlight w:val="yellow"/>
              </w:rPr>
            </w:pPr>
          </w:p>
        </w:tc>
        <w:tc>
          <w:tcPr>
            <w:tcW w:w="1210" w:type="dxa"/>
            <w:vMerge/>
          </w:tcPr>
          <w:p w:rsidR="00BA7C2C" w:rsidRPr="0088049C" w:rsidRDefault="00BA7C2C" w:rsidP="00613EE2">
            <w:pPr>
              <w:pStyle w:val="BfRBBTitel"/>
              <w:jc w:val="left"/>
              <w:rPr>
                <w:rFonts w:ascii="Times New Roman" w:hAnsi="Times New Roman" w:cs="Times New Roman"/>
                <w:b w:val="0"/>
                <w:bCs w:val="0"/>
                <w:sz w:val="22"/>
                <w:szCs w:val="22"/>
                <w:highlight w:val="yellow"/>
                <w:lang w:val="en-GB"/>
              </w:rPr>
            </w:pPr>
          </w:p>
        </w:tc>
        <w:tc>
          <w:tcPr>
            <w:tcW w:w="673" w:type="dxa"/>
          </w:tcPr>
          <w:p w:rsidR="00BA7C2C" w:rsidRPr="0088049C" w:rsidRDefault="00BA7C2C" w:rsidP="00613EE2">
            <w:pPr>
              <w:spacing w:after="120"/>
              <w:rPr>
                <w:b/>
                <w:noProof/>
                <w:highlight w:val="yellow"/>
              </w:rPr>
            </w:pPr>
            <w:r w:rsidRPr="0088049C">
              <w:rPr>
                <w:b/>
                <w:noProof/>
                <w:highlight w:val="yellow"/>
              </w:rPr>
              <w:t>inh</w:t>
            </w:r>
          </w:p>
        </w:tc>
        <w:tc>
          <w:tcPr>
            <w:tcW w:w="770" w:type="dxa"/>
          </w:tcPr>
          <w:p w:rsidR="00BA7C2C" w:rsidRPr="0088049C" w:rsidRDefault="00BA7C2C" w:rsidP="00613EE2">
            <w:pPr>
              <w:spacing w:after="120"/>
              <w:rPr>
                <w:b/>
                <w:noProof/>
                <w:highlight w:val="yellow"/>
              </w:rPr>
            </w:pPr>
            <w:r w:rsidRPr="0088049C">
              <w:rPr>
                <w:b/>
                <w:noProof/>
                <w:highlight w:val="yellow"/>
              </w:rPr>
              <w:t>derm</w:t>
            </w:r>
          </w:p>
        </w:tc>
        <w:tc>
          <w:tcPr>
            <w:tcW w:w="770" w:type="dxa"/>
          </w:tcPr>
          <w:p w:rsidR="00BA7C2C" w:rsidRPr="0088049C" w:rsidRDefault="00BA7C2C" w:rsidP="00613EE2">
            <w:pPr>
              <w:spacing w:after="120"/>
              <w:rPr>
                <w:b/>
                <w:noProof/>
                <w:highlight w:val="yellow"/>
              </w:rPr>
            </w:pPr>
            <w:r w:rsidRPr="0088049C">
              <w:rPr>
                <w:b/>
                <w:noProof/>
                <w:highlight w:val="yellow"/>
              </w:rPr>
              <w:t>Act. Expo</w:t>
            </w:r>
          </w:p>
        </w:tc>
        <w:tc>
          <w:tcPr>
            <w:tcW w:w="660" w:type="dxa"/>
          </w:tcPr>
          <w:p w:rsidR="00BA7C2C" w:rsidRPr="0088049C" w:rsidRDefault="00BA7C2C" w:rsidP="00613EE2">
            <w:pPr>
              <w:spacing w:after="120"/>
              <w:rPr>
                <w:b/>
                <w:noProof/>
                <w:highlight w:val="yellow"/>
              </w:rPr>
            </w:pPr>
            <w:r w:rsidRPr="0088049C">
              <w:rPr>
                <w:b/>
                <w:noProof/>
                <w:highlight w:val="yellow"/>
              </w:rPr>
              <w:t>RCR</w:t>
            </w:r>
          </w:p>
        </w:tc>
        <w:tc>
          <w:tcPr>
            <w:tcW w:w="1270" w:type="dxa"/>
          </w:tcPr>
          <w:p w:rsidR="00BA7C2C" w:rsidRPr="0088049C" w:rsidRDefault="00BA7C2C" w:rsidP="00613EE2">
            <w:pPr>
              <w:spacing w:after="120"/>
              <w:rPr>
                <w:b/>
                <w:noProof/>
                <w:highlight w:val="yellow"/>
              </w:rPr>
            </w:pPr>
            <w:r w:rsidRPr="0088049C">
              <w:rPr>
                <w:b/>
                <w:noProof/>
                <w:highlight w:val="yellow"/>
              </w:rPr>
              <w:t>Act. Expo</w:t>
            </w:r>
          </w:p>
        </w:tc>
        <w:tc>
          <w:tcPr>
            <w:tcW w:w="711" w:type="dxa"/>
          </w:tcPr>
          <w:p w:rsidR="00BA7C2C" w:rsidRPr="0088049C" w:rsidRDefault="00BA7C2C" w:rsidP="00613EE2">
            <w:pPr>
              <w:spacing w:after="120"/>
              <w:rPr>
                <w:b/>
                <w:noProof/>
                <w:highlight w:val="yellow"/>
              </w:rPr>
            </w:pPr>
            <w:r w:rsidRPr="0088049C">
              <w:rPr>
                <w:b/>
                <w:noProof/>
                <w:highlight w:val="yellow"/>
              </w:rPr>
              <w:t>RCR</w:t>
            </w:r>
          </w:p>
        </w:tc>
        <w:tc>
          <w:tcPr>
            <w:tcW w:w="724" w:type="dxa"/>
            <w:vMerge/>
          </w:tcPr>
          <w:p w:rsidR="00BA7C2C" w:rsidRPr="0088049C" w:rsidRDefault="00BA7C2C" w:rsidP="00613EE2">
            <w:pPr>
              <w:pStyle w:val="BfRBBTitel"/>
              <w:jc w:val="left"/>
              <w:rPr>
                <w:rFonts w:ascii="Times New Roman" w:hAnsi="Times New Roman" w:cs="Times New Roman"/>
                <w:b w:val="0"/>
                <w:bCs w:val="0"/>
                <w:sz w:val="22"/>
                <w:szCs w:val="22"/>
                <w:highlight w:val="yellow"/>
                <w:lang w:val="en-GB"/>
              </w:rPr>
            </w:pPr>
          </w:p>
        </w:tc>
      </w:tr>
      <w:tr w:rsidR="00BA7C2C" w:rsidRPr="00A0425E" w:rsidTr="00613EE2">
        <w:trPr>
          <w:jc w:val="center"/>
        </w:trPr>
        <w:tc>
          <w:tcPr>
            <w:tcW w:w="1430" w:type="dxa"/>
          </w:tcPr>
          <w:p w:rsidR="00BA7C2C" w:rsidRPr="0088049C" w:rsidRDefault="00BA7C2C" w:rsidP="00613EE2">
            <w:pPr>
              <w:spacing w:after="120"/>
              <w:rPr>
                <w:highlight w:val="yellow"/>
              </w:rPr>
            </w:pPr>
            <w:r w:rsidRPr="0088049C">
              <w:rPr>
                <w:highlight w:val="yellow"/>
              </w:rPr>
              <w:t>Non-professional users, application in and around buildings</w:t>
            </w:r>
          </w:p>
        </w:tc>
        <w:tc>
          <w:tcPr>
            <w:tcW w:w="880" w:type="dxa"/>
          </w:tcPr>
          <w:p w:rsidR="00BA7C2C" w:rsidRPr="0088049C" w:rsidRDefault="00BA7C2C" w:rsidP="00613EE2">
            <w:pPr>
              <w:spacing w:after="120"/>
              <w:rPr>
                <w:highlight w:val="yellow"/>
              </w:rPr>
            </w:pPr>
            <w:r w:rsidRPr="0088049C">
              <w:rPr>
                <w:highlight w:val="yellow"/>
              </w:rPr>
              <w:t>Bromadiolone</w:t>
            </w:r>
          </w:p>
        </w:tc>
        <w:tc>
          <w:tcPr>
            <w:tcW w:w="880" w:type="dxa"/>
          </w:tcPr>
          <w:p w:rsidR="00BA7C2C" w:rsidRPr="0088049C" w:rsidRDefault="00BA7C2C" w:rsidP="00613EE2">
            <w:pPr>
              <w:spacing w:after="120"/>
              <w:rPr>
                <w:highlight w:val="yellow"/>
              </w:rPr>
            </w:pPr>
            <w:r w:rsidRPr="0088049C">
              <w:rPr>
                <w:highlight w:val="yellow"/>
              </w:rPr>
              <w:t>28772-56-7</w:t>
            </w:r>
          </w:p>
        </w:tc>
        <w:tc>
          <w:tcPr>
            <w:tcW w:w="1210" w:type="dxa"/>
          </w:tcPr>
          <w:p w:rsidR="00BA7C2C" w:rsidRPr="0088049C" w:rsidRDefault="00BA7C2C" w:rsidP="00613EE2">
            <w:pPr>
              <w:spacing w:after="120"/>
              <w:rPr>
                <w:highlight w:val="yellow"/>
              </w:rPr>
            </w:pPr>
            <w:r w:rsidRPr="0088049C">
              <w:rPr>
                <w:highlight w:val="yellow"/>
              </w:rPr>
              <w:t xml:space="preserve">2.3 x 10-6 </w:t>
            </w:r>
          </w:p>
        </w:tc>
        <w:tc>
          <w:tcPr>
            <w:tcW w:w="673" w:type="dxa"/>
          </w:tcPr>
          <w:p w:rsidR="00BA7C2C" w:rsidRPr="0088049C" w:rsidRDefault="00BA7C2C" w:rsidP="00613EE2">
            <w:pPr>
              <w:spacing w:after="120"/>
              <w:rPr>
                <w:highlight w:val="yellow"/>
              </w:rPr>
            </w:pPr>
            <w:r w:rsidRPr="0088049C">
              <w:rPr>
                <w:highlight w:val="yellow"/>
              </w:rPr>
              <w:t>No data</w:t>
            </w:r>
          </w:p>
        </w:tc>
        <w:tc>
          <w:tcPr>
            <w:tcW w:w="770" w:type="dxa"/>
          </w:tcPr>
          <w:p w:rsidR="00BA7C2C" w:rsidRPr="0088049C" w:rsidRDefault="00BA7C2C" w:rsidP="00613EE2">
            <w:pPr>
              <w:spacing w:after="120"/>
              <w:rPr>
                <w:highlight w:val="yellow"/>
              </w:rPr>
            </w:pPr>
            <w:r w:rsidRPr="0088049C">
              <w:rPr>
                <w:highlight w:val="yellow"/>
              </w:rPr>
              <w:t>1.6%</w:t>
            </w:r>
          </w:p>
        </w:tc>
        <w:tc>
          <w:tcPr>
            <w:tcW w:w="770" w:type="dxa"/>
          </w:tcPr>
          <w:p w:rsidR="00BA7C2C" w:rsidRPr="0088049C" w:rsidRDefault="00BA7C2C" w:rsidP="00613EE2">
            <w:pPr>
              <w:spacing w:after="120"/>
              <w:rPr>
                <w:highlight w:val="yellow"/>
              </w:rPr>
            </w:pPr>
            <w:r w:rsidRPr="0088049C">
              <w:rPr>
                <w:highlight w:val="yellow"/>
              </w:rPr>
              <w:t>-</w:t>
            </w:r>
          </w:p>
        </w:tc>
        <w:tc>
          <w:tcPr>
            <w:tcW w:w="660" w:type="dxa"/>
          </w:tcPr>
          <w:p w:rsidR="00BA7C2C" w:rsidRPr="0088049C" w:rsidRDefault="00BA7C2C" w:rsidP="00613EE2">
            <w:pPr>
              <w:spacing w:after="120"/>
              <w:rPr>
                <w:highlight w:val="yellow"/>
              </w:rPr>
            </w:pPr>
            <w:r w:rsidRPr="0088049C">
              <w:rPr>
                <w:highlight w:val="yellow"/>
              </w:rPr>
              <w:t>-</w:t>
            </w:r>
          </w:p>
        </w:tc>
        <w:tc>
          <w:tcPr>
            <w:tcW w:w="1270" w:type="dxa"/>
          </w:tcPr>
          <w:p w:rsidR="00BA7C2C" w:rsidRPr="0088049C" w:rsidRDefault="00BA7C2C" w:rsidP="00613EE2">
            <w:pPr>
              <w:spacing w:after="120"/>
              <w:rPr>
                <w:highlight w:val="yellow"/>
              </w:rPr>
            </w:pPr>
            <w:r w:rsidRPr="0088049C">
              <w:rPr>
                <w:highlight w:val="yellow"/>
              </w:rPr>
              <w:t>2.73 x 10-7</w:t>
            </w:r>
          </w:p>
        </w:tc>
        <w:tc>
          <w:tcPr>
            <w:tcW w:w="711" w:type="dxa"/>
          </w:tcPr>
          <w:p w:rsidR="00BA7C2C" w:rsidRPr="0088049C" w:rsidRDefault="00BA7C2C" w:rsidP="00613EE2">
            <w:pPr>
              <w:spacing w:after="120"/>
              <w:rPr>
                <w:highlight w:val="yellow"/>
              </w:rPr>
            </w:pPr>
            <w:r w:rsidRPr="0088049C">
              <w:rPr>
                <w:highlight w:val="yellow"/>
              </w:rPr>
              <w:t>11.9%</w:t>
            </w:r>
          </w:p>
        </w:tc>
        <w:tc>
          <w:tcPr>
            <w:tcW w:w="724" w:type="dxa"/>
          </w:tcPr>
          <w:p w:rsidR="00BA7C2C" w:rsidRPr="00DB4595" w:rsidRDefault="00BA7C2C" w:rsidP="00613EE2">
            <w:pPr>
              <w:spacing w:after="120"/>
            </w:pPr>
            <w:r w:rsidRPr="0088049C">
              <w:rPr>
                <w:highlight w:val="yellow"/>
              </w:rPr>
              <w:t>11.7%</w:t>
            </w:r>
          </w:p>
        </w:tc>
      </w:tr>
    </w:tbl>
    <w:p w:rsidR="00BA7C2C" w:rsidRDefault="00BA7C2C" w:rsidP="00BA7C2C">
      <w:pPr>
        <w:pStyle w:val="BfRBBTitel"/>
        <w:jc w:val="left"/>
        <w:outlineLvl w:val="9"/>
        <w:rPr>
          <w:lang w:val="en-GB"/>
        </w:rPr>
      </w:pPr>
    </w:p>
    <w:tbl>
      <w:tblPr>
        <w:tblW w:w="9315"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87"/>
        <w:gridCol w:w="992"/>
        <w:gridCol w:w="1134"/>
        <w:gridCol w:w="1335"/>
        <w:gridCol w:w="1285"/>
        <w:gridCol w:w="1595"/>
      </w:tblGrid>
      <w:tr w:rsidR="00BA7C2C" w:rsidRPr="0088049C" w:rsidTr="00613EE2">
        <w:trPr>
          <w:jc w:val="center"/>
        </w:trPr>
        <w:tc>
          <w:tcPr>
            <w:tcW w:w="1487" w:type="dxa"/>
            <w:vMerge w:val="restart"/>
          </w:tcPr>
          <w:p w:rsidR="00BA7C2C" w:rsidRPr="0088049C" w:rsidRDefault="00BA7C2C" w:rsidP="00613EE2">
            <w:pPr>
              <w:spacing w:after="120"/>
              <w:rPr>
                <w:b/>
                <w:noProof/>
                <w:highlight w:val="yellow"/>
              </w:rPr>
            </w:pPr>
            <w:r w:rsidRPr="0088049C">
              <w:rPr>
                <w:b/>
                <w:noProof/>
                <w:highlight w:val="yellow"/>
              </w:rPr>
              <w:t>Exposure scenario</w:t>
            </w:r>
          </w:p>
        </w:tc>
        <w:tc>
          <w:tcPr>
            <w:tcW w:w="1487" w:type="dxa"/>
            <w:vMerge w:val="restart"/>
          </w:tcPr>
          <w:p w:rsidR="00BA7C2C" w:rsidRPr="0088049C" w:rsidRDefault="00BA7C2C" w:rsidP="00613EE2">
            <w:pPr>
              <w:spacing w:after="120"/>
              <w:rPr>
                <w:b/>
                <w:noProof/>
                <w:highlight w:val="yellow"/>
              </w:rPr>
            </w:pPr>
            <w:r w:rsidRPr="0088049C">
              <w:rPr>
                <w:b/>
                <w:noProof/>
                <w:highlight w:val="yellow"/>
              </w:rPr>
              <w:t>Component</w:t>
            </w:r>
          </w:p>
          <w:p w:rsidR="00BA7C2C" w:rsidRPr="0088049C" w:rsidRDefault="00BA7C2C" w:rsidP="00613EE2">
            <w:pPr>
              <w:pStyle w:val="BfRBBTitel"/>
              <w:autoSpaceDE/>
              <w:autoSpaceDN/>
              <w:spacing w:after="120"/>
              <w:jc w:val="left"/>
              <w:rPr>
                <w:rFonts w:ascii="Times New Roman" w:hAnsi="Times New Roman" w:cs="Times New Roman"/>
                <w:bCs w:val="0"/>
                <w:sz w:val="22"/>
                <w:highlight w:val="yellow"/>
                <w:lang w:val="en-GB"/>
              </w:rPr>
            </w:pPr>
          </w:p>
        </w:tc>
        <w:tc>
          <w:tcPr>
            <w:tcW w:w="992" w:type="dxa"/>
            <w:vMerge w:val="restart"/>
          </w:tcPr>
          <w:p w:rsidR="00BA7C2C" w:rsidRPr="0088049C" w:rsidRDefault="00BA7C2C" w:rsidP="00613EE2">
            <w:pPr>
              <w:spacing w:after="120"/>
              <w:rPr>
                <w:b/>
                <w:noProof/>
                <w:highlight w:val="yellow"/>
              </w:rPr>
            </w:pPr>
            <w:r w:rsidRPr="0088049C">
              <w:rPr>
                <w:b/>
                <w:noProof/>
                <w:highlight w:val="yellow"/>
              </w:rPr>
              <w:t>CAS</w:t>
            </w:r>
          </w:p>
        </w:tc>
        <w:tc>
          <w:tcPr>
            <w:tcW w:w="1134" w:type="dxa"/>
            <w:vMerge w:val="restart"/>
          </w:tcPr>
          <w:p w:rsidR="00BA7C2C" w:rsidRPr="0088049C" w:rsidRDefault="00BA7C2C" w:rsidP="00613EE2">
            <w:pPr>
              <w:spacing w:after="120"/>
              <w:rPr>
                <w:b/>
                <w:noProof/>
                <w:highlight w:val="yellow"/>
              </w:rPr>
            </w:pPr>
            <w:r w:rsidRPr="0088049C">
              <w:rPr>
                <w:b/>
                <w:noProof/>
                <w:highlight w:val="yellow"/>
              </w:rPr>
              <w:t>AEL [mg/kg/d]</w:t>
            </w:r>
          </w:p>
        </w:tc>
        <w:tc>
          <w:tcPr>
            <w:tcW w:w="2620" w:type="dxa"/>
            <w:gridSpan w:val="2"/>
          </w:tcPr>
          <w:p w:rsidR="00BA7C2C" w:rsidRPr="0088049C" w:rsidRDefault="00BA7C2C" w:rsidP="00613EE2">
            <w:pPr>
              <w:spacing w:after="120"/>
              <w:rPr>
                <w:b/>
                <w:noProof/>
                <w:highlight w:val="yellow"/>
              </w:rPr>
            </w:pPr>
            <w:r w:rsidRPr="0088049C">
              <w:rPr>
                <w:b/>
                <w:noProof/>
                <w:highlight w:val="yellow"/>
              </w:rPr>
              <w:t>Oral exposure</w:t>
            </w:r>
          </w:p>
          <w:p w:rsidR="00BA7C2C" w:rsidRPr="0088049C" w:rsidRDefault="00BA7C2C" w:rsidP="00613EE2">
            <w:pPr>
              <w:spacing w:after="120"/>
              <w:rPr>
                <w:b/>
                <w:noProof/>
                <w:highlight w:val="yellow"/>
              </w:rPr>
            </w:pPr>
            <w:r w:rsidRPr="0088049C">
              <w:rPr>
                <w:b/>
                <w:noProof/>
                <w:highlight w:val="yellow"/>
              </w:rPr>
              <w:t>[mg/kg/d]</w:t>
            </w:r>
          </w:p>
        </w:tc>
        <w:tc>
          <w:tcPr>
            <w:tcW w:w="1595" w:type="dxa"/>
            <w:vMerge w:val="restart"/>
          </w:tcPr>
          <w:p w:rsidR="00BA7C2C" w:rsidRPr="0088049C" w:rsidRDefault="00BA7C2C" w:rsidP="00613EE2">
            <w:pPr>
              <w:spacing w:after="120"/>
              <w:rPr>
                <w:b/>
                <w:noProof/>
                <w:highlight w:val="yellow"/>
              </w:rPr>
            </w:pPr>
            <w:r w:rsidRPr="0088049C">
              <w:rPr>
                <w:b/>
                <w:noProof/>
                <w:highlight w:val="yellow"/>
              </w:rPr>
              <w:t>RCR total</w:t>
            </w:r>
          </w:p>
        </w:tc>
      </w:tr>
      <w:tr w:rsidR="00BA7C2C" w:rsidRPr="0088049C" w:rsidTr="00613EE2">
        <w:trPr>
          <w:jc w:val="center"/>
        </w:trPr>
        <w:tc>
          <w:tcPr>
            <w:tcW w:w="1487" w:type="dxa"/>
            <w:vMerge/>
          </w:tcPr>
          <w:p w:rsidR="00BA7C2C" w:rsidRPr="0088049C" w:rsidRDefault="00BA7C2C" w:rsidP="00613EE2">
            <w:pPr>
              <w:spacing w:after="120"/>
              <w:rPr>
                <w:noProof/>
                <w:highlight w:val="yellow"/>
              </w:rPr>
            </w:pPr>
          </w:p>
        </w:tc>
        <w:tc>
          <w:tcPr>
            <w:tcW w:w="1487" w:type="dxa"/>
            <w:vMerge/>
          </w:tcPr>
          <w:p w:rsidR="00BA7C2C" w:rsidRPr="0088049C" w:rsidRDefault="00BA7C2C" w:rsidP="00613EE2">
            <w:pPr>
              <w:spacing w:after="120"/>
              <w:rPr>
                <w:noProof/>
                <w:highlight w:val="yellow"/>
              </w:rPr>
            </w:pPr>
          </w:p>
        </w:tc>
        <w:tc>
          <w:tcPr>
            <w:tcW w:w="992" w:type="dxa"/>
            <w:vMerge/>
          </w:tcPr>
          <w:p w:rsidR="00BA7C2C" w:rsidRPr="0088049C" w:rsidRDefault="00BA7C2C" w:rsidP="00613EE2">
            <w:pPr>
              <w:spacing w:after="120"/>
              <w:rPr>
                <w:noProof/>
                <w:highlight w:val="yellow"/>
              </w:rPr>
            </w:pPr>
          </w:p>
        </w:tc>
        <w:tc>
          <w:tcPr>
            <w:tcW w:w="1134" w:type="dxa"/>
            <w:vMerge/>
          </w:tcPr>
          <w:p w:rsidR="00BA7C2C" w:rsidRPr="0088049C" w:rsidRDefault="00BA7C2C" w:rsidP="00613EE2">
            <w:pPr>
              <w:pStyle w:val="BfRBBTitel"/>
              <w:jc w:val="left"/>
              <w:rPr>
                <w:rFonts w:ascii="Times New Roman" w:hAnsi="Times New Roman" w:cs="Times New Roman"/>
                <w:b w:val="0"/>
                <w:bCs w:val="0"/>
                <w:sz w:val="22"/>
                <w:szCs w:val="22"/>
                <w:highlight w:val="yellow"/>
                <w:lang w:val="en-GB"/>
              </w:rPr>
            </w:pPr>
          </w:p>
        </w:tc>
        <w:tc>
          <w:tcPr>
            <w:tcW w:w="1335" w:type="dxa"/>
          </w:tcPr>
          <w:p w:rsidR="00BA7C2C" w:rsidRPr="0088049C" w:rsidRDefault="00BA7C2C" w:rsidP="00613EE2">
            <w:pPr>
              <w:spacing w:after="120"/>
              <w:rPr>
                <w:b/>
                <w:noProof/>
                <w:highlight w:val="yellow"/>
              </w:rPr>
            </w:pPr>
            <w:r w:rsidRPr="0088049C">
              <w:rPr>
                <w:b/>
                <w:noProof/>
                <w:highlight w:val="yellow"/>
              </w:rPr>
              <w:t>Act. Expo</w:t>
            </w:r>
          </w:p>
        </w:tc>
        <w:tc>
          <w:tcPr>
            <w:tcW w:w="1285" w:type="dxa"/>
          </w:tcPr>
          <w:p w:rsidR="00BA7C2C" w:rsidRPr="0088049C" w:rsidRDefault="00BA7C2C" w:rsidP="00613EE2">
            <w:pPr>
              <w:spacing w:after="120"/>
              <w:rPr>
                <w:b/>
                <w:noProof/>
                <w:highlight w:val="yellow"/>
              </w:rPr>
            </w:pPr>
            <w:r w:rsidRPr="0088049C">
              <w:rPr>
                <w:b/>
                <w:noProof/>
                <w:highlight w:val="yellow"/>
              </w:rPr>
              <w:t>RCR</w:t>
            </w:r>
          </w:p>
        </w:tc>
        <w:tc>
          <w:tcPr>
            <w:tcW w:w="1595" w:type="dxa"/>
            <w:vMerge/>
          </w:tcPr>
          <w:p w:rsidR="00BA7C2C" w:rsidRPr="0088049C" w:rsidRDefault="00BA7C2C" w:rsidP="00613EE2">
            <w:pPr>
              <w:pStyle w:val="BfRBBTitel"/>
              <w:jc w:val="left"/>
              <w:rPr>
                <w:rFonts w:ascii="Times New Roman" w:hAnsi="Times New Roman" w:cs="Times New Roman"/>
                <w:b w:val="0"/>
                <w:bCs w:val="0"/>
                <w:sz w:val="22"/>
                <w:szCs w:val="22"/>
                <w:highlight w:val="yellow"/>
                <w:lang w:val="en-GB"/>
              </w:rPr>
            </w:pPr>
          </w:p>
        </w:tc>
      </w:tr>
      <w:tr w:rsidR="00BA7C2C" w:rsidRPr="00A0425E" w:rsidTr="00613EE2">
        <w:trPr>
          <w:jc w:val="center"/>
        </w:trPr>
        <w:tc>
          <w:tcPr>
            <w:tcW w:w="1487" w:type="dxa"/>
          </w:tcPr>
          <w:p w:rsidR="00BA7C2C" w:rsidRPr="0088049C" w:rsidRDefault="00BA7C2C" w:rsidP="00613EE2">
            <w:pPr>
              <w:spacing w:after="120"/>
              <w:rPr>
                <w:noProof/>
                <w:highlight w:val="yellow"/>
              </w:rPr>
            </w:pPr>
            <w:r w:rsidRPr="0088049C">
              <w:rPr>
                <w:highlight w:val="yellow"/>
              </w:rPr>
              <w:t xml:space="preserve">Secondary exposure, infants ingesting a </w:t>
            </w:r>
            <w:r w:rsidRPr="0088049C">
              <w:rPr>
                <w:highlight w:val="yellow"/>
              </w:rPr>
              <w:lastRenderedPageBreak/>
              <w:t>bait</w:t>
            </w:r>
          </w:p>
        </w:tc>
        <w:tc>
          <w:tcPr>
            <w:tcW w:w="1487" w:type="dxa"/>
          </w:tcPr>
          <w:p w:rsidR="00BA7C2C" w:rsidRPr="0088049C" w:rsidRDefault="00BA7C2C" w:rsidP="00613EE2">
            <w:pPr>
              <w:spacing w:after="120"/>
              <w:rPr>
                <w:noProof/>
                <w:highlight w:val="yellow"/>
              </w:rPr>
            </w:pPr>
            <w:r w:rsidRPr="0088049C">
              <w:rPr>
                <w:noProof/>
                <w:highlight w:val="yellow"/>
              </w:rPr>
              <w:lastRenderedPageBreak/>
              <w:t>Bromadiolone</w:t>
            </w:r>
          </w:p>
        </w:tc>
        <w:tc>
          <w:tcPr>
            <w:tcW w:w="992" w:type="dxa"/>
          </w:tcPr>
          <w:p w:rsidR="00BA7C2C" w:rsidRPr="0088049C" w:rsidRDefault="00BA7C2C" w:rsidP="00613EE2">
            <w:pPr>
              <w:spacing w:after="120"/>
              <w:rPr>
                <w:highlight w:val="yellow"/>
              </w:rPr>
            </w:pPr>
            <w:r w:rsidRPr="0088049C">
              <w:rPr>
                <w:highlight w:val="yellow"/>
              </w:rPr>
              <w:t>28772-56-7</w:t>
            </w:r>
          </w:p>
        </w:tc>
        <w:tc>
          <w:tcPr>
            <w:tcW w:w="1134" w:type="dxa"/>
          </w:tcPr>
          <w:p w:rsidR="00BA7C2C" w:rsidRPr="0088049C" w:rsidRDefault="00BA7C2C" w:rsidP="00613EE2">
            <w:pPr>
              <w:spacing w:after="120"/>
              <w:rPr>
                <w:highlight w:val="yellow"/>
              </w:rPr>
            </w:pPr>
            <w:r w:rsidRPr="0088049C">
              <w:rPr>
                <w:highlight w:val="yellow"/>
              </w:rPr>
              <w:t>2.3 x 10-6</w:t>
            </w:r>
          </w:p>
        </w:tc>
        <w:tc>
          <w:tcPr>
            <w:tcW w:w="1335" w:type="dxa"/>
          </w:tcPr>
          <w:p w:rsidR="00BA7C2C" w:rsidRPr="0088049C" w:rsidRDefault="00BA7C2C" w:rsidP="00613EE2">
            <w:pPr>
              <w:spacing w:after="120"/>
              <w:rPr>
                <w:highlight w:val="yellow"/>
              </w:rPr>
            </w:pPr>
            <w:r w:rsidRPr="0088049C">
              <w:rPr>
                <w:highlight w:val="yellow"/>
              </w:rPr>
              <w:t>0.000050</w:t>
            </w:r>
          </w:p>
        </w:tc>
        <w:tc>
          <w:tcPr>
            <w:tcW w:w="1285" w:type="dxa"/>
          </w:tcPr>
          <w:p w:rsidR="00BA7C2C" w:rsidRPr="0088049C" w:rsidRDefault="00BA7C2C" w:rsidP="00613EE2">
            <w:pPr>
              <w:spacing w:after="120"/>
              <w:rPr>
                <w:highlight w:val="yellow"/>
              </w:rPr>
            </w:pPr>
            <w:r w:rsidRPr="0088049C">
              <w:rPr>
                <w:highlight w:val="yellow"/>
              </w:rPr>
              <w:t>2174%</w:t>
            </w:r>
          </w:p>
        </w:tc>
        <w:tc>
          <w:tcPr>
            <w:tcW w:w="1595" w:type="dxa"/>
          </w:tcPr>
          <w:p w:rsidR="00BA7C2C" w:rsidRPr="00E2373C" w:rsidRDefault="00BA7C2C" w:rsidP="00613EE2">
            <w:pPr>
              <w:spacing w:after="120"/>
            </w:pPr>
            <w:r w:rsidRPr="0088049C">
              <w:rPr>
                <w:highlight w:val="yellow"/>
              </w:rPr>
              <w:t>2174%</w:t>
            </w:r>
          </w:p>
        </w:tc>
      </w:tr>
    </w:tbl>
    <w:p w:rsidR="00BA7C2C" w:rsidRDefault="00BA7C2C" w:rsidP="00BA7C2C">
      <w:pPr>
        <w:pStyle w:val="BfRBBStandard"/>
        <w:rPr>
          <w:noProof w:val="0"/>
          <w:lang w:val="en-GB"/>
        </w:rPr>
      </w:pPr>
    </w:p>
    <w:p w:rsidR="00BA7C2C" w:rsidRDefault="00BA7C2C" w:rsidP="00BA7C2C">
      <w:pPr>
        <w:pStyle w:val="BfRBBStandard"/>
        <w:rPr>
          <w:noProof w:val="0"/>
          <w:lang w:val="en-GB"/>
        </w:rPr>
      </w:pPr>
    </w:p>
    <w:p w:rsidR="00BA7C2C" w:rsidRPr="00A0425E" w:rsidRDefault="00BA7C2C" w:rsidP="00BA7C2C">
      <w:pPr>
        <w:pStyle w:val="BfRBBStandard"/>
        <w:rPr>
          <w:noProof w:val="0"/>
          <w:lang w:val="en-GB"/>
        </w:rPr>
      </w:pPr>
    </w:p>
    <w:p w:rsidR="00BA7C2C" w:rsidRPr="00A0425E" w:rsidRDefault="00BA7C2C" w:rsidP="00BA7C2C">
      <w:pPr>
        <w:pStyle w:val="BfRBBStandard"/>
        <w:rPr>
          <w:rFonts w:ascii="Times New Roman" w:hAnsi="Times New Roman" w:cs="Times New Roman"/>
          <w:u w:val="single"/>
          <w:lang w:val="en-GB"/>
        </w:rPr>
      </w:pPr>
      <w:r w:rsidRPr="00A0425E">
        <w:rPr>
          <w:rFonts w:ascii="Times New Roman" w:hAnsi="Times New Roman" w:cs="Times New Roman"/>
          <w:u w:val="single"/>
          <w:lang w:val="en-GB"/>
        </w:rPr>
        <w:t xml:space="preserve">Conclusion: </w:t>
      </w:r>
    </w:p>
    <w:p w:rsidR="00BA7C2C" w:rsidRPr="00A0425E" w:rsidRDefault="00BA7C2C" w:rsidP="00BA7C2C">
      <w:pPr>
        <w:pStyle w:val="BfRBBStandard"/>
        <w:rPr>
          <w:rFonts w:ascii="Times New Roman" w:hAnsi="Times New Roman" w:cs="Times New Roman"/>
          <w:lang w:val="en-GB"/>
        </w:rPr>
      </w:pPr>
      <w:r w:rsidRPr="00A0425E">
        <w:rPr>
          <w:rFonts w:ascii="Times New Roman" w:hAnsi="Times New Roman" w:cs="Times New Roman"/>
          <w:lang w:val="en-GB"/>
        </w:rPr>
        <w:t xml:space="preserve">Exposure of non-professionals and the general public to the biocidal product containing </w:t>
      </w:r>
      <w:r>
        <w:rPr>
          <w:rFonts w:ascii="Times New Roman" w:hAnsi="Times New Roman" w:cs="Times New Roman"/>
          <w:lang w:val="en-GB"/>
        </w:rPr>
        <w:t>bromadiolone</w:t>
      </w:r>
      <w:r w:rsidRPr="00A0425E">
        <w:rPr>
          <w:rFonts w:ascii="Times New Roman" w:hAnsi="Times New Roman" w:cs="Times New Roman"/>
          <w:lang w:val="en-GB"/>
        </w:rPr>
        <w:t xml:space="preserve"> as active substance is considered acceptable, if the biocidal product is used as intended and all safety advices are followed.</w:t>
      </w:r>
    </w:p>
    <w:p w:rsidR="00BA7C2C" w:rsidRPr="00C038DE" w:rsidRDefault="00BA7C2C" w:rsidP="00307AA3"/>
    <w:sectPr w:rsidR="00BA7C2C" w:rsidRPr="00C038DE" w:rsidSect="00307AA3">
      <w:headerReference w:type="even" r:id="rId31"/>
      <w:endnotePr>
        <w:numFmt w:val="decimal"/>
      </w:endnotePr>
      <w:type w:val="continuous"/>
      <w:pgSz w:w="11907" w:h="16840" w:code="9"/>
      <w:pgMar w:top="1474" w:right="1247" w:bottom="2013" w:left="1446"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D5" w:rsidRDefault="003438D5" w:rsidP="00E530CD">
      <w:pPr>
        <w:spacing w:line="240" w:lineRule="auto"/>
      </w:pPr>
      <w:r>
        <w:separator/>
      </w:r>
    </w:p>
    <w:p w:rsidR="003438D5" w:rsidRDefault="003438D5"/>
  </w:endnote>
  <w:endnote w:type="continuationSeparator" w:id="0">
    <w:p w:rsidR="003438D5" w:rsidRDefault="003438D5" w:rsidP="00E530CD">
      <w:pPr>
        <w:spacing w:line="240" w:lineRule="auto"/>
      </w:pPr>
      <w:r>
        <w:continuationSeparator/>
      </w:r>
    </w:p>
    <w:p w:rsidR="003438D5" w:rsidRDefault="00343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i Baiti">
    <w:panose1 w:val="03000500000000000000"/>
    <w:charset w:val="00"/>
    <w:family w:val="script"/>
    <w:pitch w:val="variable"/>
    <w:sig w:usb0="80000003" w:usb1="00010402" w:usb2="00080002" w:usb3="00000000" w:csb0="00000001" w:csb1="00000000"/>
  </w:font>
  <w:font w:name="DemosEFOP-Medium">
    <w:altName w:val="Trebuchet MS"/>
    <w:panose1 w:val="00000000000000000000"/>
    <w:charset w:val="00"/>
    <w:family w:val="modern"/>
    <w:notTrueType/>
    <w:pitch w:val="variable"/>
    <w:sig w:usb0="00000003" w:usb1="4000204A"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Arial Cursief">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 New Roman Ve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rsidP="00B5473F">
    <w:pPr>
      <w:pStyle w:val="Voettekst"/>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3438D5" w:rsidRPr="00B5473F" w:rsidTr="00970907">
      <w:trPr>
        <w:jc w:val="center"/>
      </w:trPr>
      <w:tc>
        <w:tcPr>
          <w:tcW w:w="8188" w:type="dxa"/>
        </w:tcPr>
        <w:p w:rsidR="003438D5" w:rsidRPr="00B5473F" w:rsidRDefault="003438D5" w:rsidP="00970907">
          <w:pPr>
            <w:tabs>
              <w:tab w:val="center" w:pos="4607"/>
              <w:tab w:val="left" w:pos="6344"/>
            </w:tabs>
            <w:rPr>
              <w:rStyle w:val="Paginanummer"/>
              <w:i/>
              <w:sz w:val="18"/>
            </w:rPr>
          </w:pPr>
        </w:p>
      </w:tc>
      <w:tc>
        <w:tcPr>
          <w:tcW w:w="1166" w:type="dxa"/>
        </w:tcPr>
        <w:p w:rsidR="003438D5" w:rsidRPr="00B5473F" w:rsidRDefault="003438D5" w:rsidP="00970907">
          <w:pPr>
            <w:tabs>
              <w:tab w:val="center" w:pos="4607"/>
              <w:tab w:val="left" w:pos="6344"/>
            </w:tabs>
            <w:rPr>
              <w:rStyle w:val="Paginanummer"/>
              <w:i/>
              <w:sz w:val="18"/>
            </w:rPr>
          </w:pPr>
        </w:p>
      </w:tc>
    </w:tr>
    <w:tr w:rsidR="003438D5" w:rsidRPr="00B5473F" w:rsidTr="00970907">
      <w:trPr>
        <w:jc w:val="center"/>
      </w:trPr>
      <w:tc>
        <w:tcPr>
          <w:tcW w:w="8188" w:type="dxa"/>
        </w:tcPr>
        <w:p w:rsidR="003438D5" w:rsidRPr="00B5473F" w:rsidRDefault="003438D5" w:rsidP="00970907">
          <w:pPr>
            <w:tabs>
              <w:tab w:val="center" w:pos="4607"/>
              <w:tab w:val="left" w:pos="6344"/>
            </w:tabs>
            <w:rPr>
              <w:rStyle w:val="Paginanummer"/>
              <w:i/>
              <w:sz w:val="18"/>
            </w:rPr>
          </w:pPr>
        </w:p>
      </w:tc>
      <w:tc>
        <w:tcPr>
          <w:tcW w:w="1166" w:type="dxa"/>
        </w:tcPr>
        <w:p w:rsidR="003438D5" w:rsidRPr="00B5473F" w:rsidRDefault="003438D5" w:rsidP="00970907">
          <w:pPr>
            <w:tabs>
              <w:tab w:val="center" w:pos="4607"/>
              <w:tab w:val="left" w:pos="6344"/>
            </w:tabs>
            <w:jc w:val="right"/>
            <w:rPr>
              <w:rStyle w:val="Paginanummer"/>
              <w:i/>
              <w:sz w:val="18"/>
            </w:rPr>
          </w:pPr>
          <w:r w:rsidRPr="00B5473F">
            <w:rPr>
              <w:rStyle w:val="Paginanummer"/>
              <w:i/>
              <w:sz w:val="18"/>
            </w:rPr>
            <w:fldChar w:fldCharType="begin"/>
          </w:r>
          <w:r w:rsidRPr="00B5473F">
            <w:rPr>
              <w:rStyle w:val="Paginanummer"/>
              <w:i/>
              <w:sz w:val="18"/>
            </w:rPr>
            <w:instrText xml:space="preserve"> PAGE </w:instrText>
          </w:r>
          <w:r w:rsidRPr="00B5473F">
            <w:rPr>
              <w:rStyle w:val="Paginanummer"/>
              <w:i/>
              <w:sz w:val="18"/>
            </w:rPr>
            <w:fldChar w:fldCharType="separate"/>
          </w:r>
          <w:r w:rsidR="00B1753E">
            <w:rPr>
              <w:rStyle w:val="Paginanummer"/>
              <w:i/>
              <w:noProof/>
              <w:sz w:val="18"/>
            </w:rPr>
            <w:t>1</w:t>
          </w:r>
          <w:r w:rsidRPr="00B5473F">
            <w:rPr>
              <w:rStyle w:val="Paginanummer"/>
              <w:i/>
              <w:sz w:val="18"/>
            </w:rPr>
            <w:fldChar w:fldCharType="end"/>
          </w:r>
          <w:r w:rsidRPr="00B5473F">
            <w:rPr>
              <w:rStyle w:val="Paginanummer"/>
              <w:i/>
              <w:sz w:val="18"/>
            </w:rPr>
            <w:t xml:space="preserve"> / </w:t>
          </w:r>
          <w:r w:rsidRPr="00B5473F">
            <w:rPr>
              <w:rStyle w:val="Paginanummer"/>
              <w:i/>
              <w:sz w:val="18"/>
            </w:rPr>
            <w:fldChar w:fldCharType="begin"/>
          </w:r>
          <w:r w:rsidRPr="00B5473F">
            <w:rPr>
              <w:rStyle w:val="Paginanummer"/>
              <w:i/>
              <w:sz w:val="18"/>
            </w:rPr>
            <w:instrText xml:space="preserve"> NUMPAGES </w:instrText>
          </w:r>
          <w:r w:rsidRPr="00B5473F">
            <w:rPr>
              <w:rStyle w:val="Paginanummer"/>
              <w:i/>
              <w:sz w:val="18"/>
            </w:rPr>
            <w:fldChar w:fldCharType="separate"/>
          </w:r>
          <w:r w:rsidR="00B1753E">
            <w:rPr>
              <w:rStyle w:val="Paginanummer"/>
              <w:i/>
              <w:noProof/>
              <w:sz w:val="18"/>
            </w:rPr>
            <w:t>147</w:t>
          </w:r>
          <w:r w:rsidRPr="00B5473F">
            <w:rPr>
              <w:rStyle w:val="Paginanummer"/>
              <w:i/>
              <w:sz w:val="18"/>
            </w:rPr>
            <w:fldChar w:fldCharType="end"/>
          </w:r>
        </w:p>
      </w:tc>
    </w:tr>
  </w:tbl>
  <w:p w:rsidR="003438D5" w:rsidRPr="00B5473F" w:rsidRDefault="003438D5" w:rsidP="00B547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rsidP="00C52D87">
    <w:pPr>
      <w:tabs>
        <w:tab w:val="center" w:pos="4607"/>
        <w:tab w:val="left" w:pos="6344"/>
      </w:tabs>
      <w:rPr>
        <w:i/>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3438D5" w:rsidRPr="00B5473F" w:rsidTr="00970907">
      <w:trPr>
        <w:jc w:val="center"/>
      </w:trPr>
      <w:tc>
        <w:tcPr>
          <w:tcW w:w="8188" w:type="dxa"/>
        </w:tcPr>
        <w:p w:rsidR="003438D5" w:rsidRPr="00B5473F" w:rsidRDefault="003438D5" w:rsidP="00970907">
          <w:pPr>
            <w:tabs>
              <w:tab w:val="center" w:pos="4607"/>
              <w:tab w:val="left" w:pos="6344"/>
            </w:tabs>
            <w:rPr>
              <w:rStyle w:val="Paginanummer"/>
              <w:i/>
              <w:sz w:val="18"/>
            </w:rPr>
          </w:pPr>
        </w:p>
      </w:tc>
      <w:tc>
        <w:tcPr>
          <w:tcW w:w="1166" w:type="dxa"/>
        </w:tcPr>
        <w:p w:rsidR="003438D5" w:rsidRPr="00B5473F" w:rsidRDefault="003438D5" w:rsidP="00970907">
          <w:pPr>
            <w:tabs>
              <w:tab w:val="center" w:pos="4607"/>
              <w:tab w:val="left" w:pos="6344"/>
            </w:tabs>
            <w:rPr>
              <w:rStyle w:val="Paginanummer"/>
              <w:i/>
              <w:sz w:val="18"/>
            </w:rPr>
          </w:pPr>
        </w:p>
      </w:tc>
    </w:tr>
    <w:tr w:rsidR="003438D5" w:rsidRPr="00B5473F" w:rsidTr="00970907">
      <w:trPr>
        <w:jc w:val="center"/>
      </w:trPr>
      <w:tc>
        <w:tcPr>
          <w:tcW w:w="8188" w:type="dxa"/>
        </w:tcPr>
        <w:p w:rsidR="003438D5" w:rsidRPr="00B5473F" w:rsidRDefault="003438D5" w:rsidP="00970907">
          <w:pPr>
            <w:tabs>
              <w:tab w:val="center" w:pos="4607"/>
              <w:tab w:val="left" w:pos="6344"/>
            </w:tabs>
            <w:rPr>
              <w:rStyle w:val="Paginanummer"/>
              <w:i/>
              <w:sz w:val="18"/>
            </w:rPr>
          </w:pPr>
        </w:p>
      </w:tc>
      <w:tc>
        <w:tcPr>
          <w:tcW w:w="1166" w:type="dxa"/>
        </w:tcPr>
        <w:p w:rsidR="003438D5" w:rsidRPr="00B5473F" w:rsidRDefault="003438D5" w:rsidP="00970907">
          <w:pPr>
            <w:tabs>
              <w:tab w:val="center" w:pos="4607"/>
              <w:tab w:val="left" w:pos="6344"/>
            </w:tabs>
            <w:jc w:val="right"/>
            <w:rPr>
              <w:rStyle w:val="Paginanummer"/>
              <w:i/>
              <w:sz w:val="18"/>
            </w:rPr>
          </w:pPr>
          <w:r w:rsidRPr="00B5473F">
            <w:rPr>
              <w:rStyle w:val="Paginanummer"/>
              <w:i/>
              <w:sz w:val="18"/>
            </w:rPr>
            <w:fldChar w:fldCharType="begin"/>
          </w:r>
          <w:r w:rsidRPr="00B5473F">
            <w:rPr>
              <w:rStyle w:val="Paginanummer"/>
              <w:i/>
              <w:sz w:val="18"/>
            </w:rPr>
            <w:instrText xml:space="preserve"> PAGE </w:instrText>
          </w:r>
          <w:r w:rsidRPr="00B5473F">
            <w:rPr>
              <w:rStyle w:val="Paginanummer"/>
              <w:i/>
              <w:sz w:val="18"/>
            </w:rPr>
            <w:fldChar w:fldCharType="separate"/>
          </w:r>
          <w:r w:rsidR="00B1753E">
            <w:rPr>
              <w:rStyle w:val="Paginanummer"/>
              <w:i/>
              <w:noProof/>
              <w:sz w:val="18"/>
            </w:rPr>
            <w:t>3</w:t>
          </w:r>
          <w:r w:rsidRPr="00B5473F">
            <w:rPr>
              <w:rStyle w:val="Paginanummer"/>
              <w:i/>
              <w:sz w:val="18"/>
            </w:rPr>
            <w:fldChar w:fldCharType="end"/>
          </w:r>
          <w:r w:rsidRPr="00B5473F">
            <w:rPr>
              <w:rStyle w:val="Paginanummer"/>
              <w:i/>
              <w:sz w:val="18"/>
            </w:rPr>
            <w:t xml:space="preserve"> / </w:t>
          </w:r>
          <w:r w:rsidRPr="00B5473F">
            <w:rPr>
              <w:rStyle w:val="Paginanummer"/>
              <w:i/>
              <w:sz w:val="18"/>
            </w:rPr>
            <w:fldChar w:fldCharType="begin"/>
          </w:r>
          <w:r w:rsidRPr="00B5473F">
            <w:rPr>
              <w:rStyle w:val="Paginanummer"/>
              <w:i/>
              <w:sz w:val="18"/>
            </w:rPr>
            <w:instrText xml:space="preserve"> NUMPAGES </w:instrText>
          </w:r>
          <w:r w:rsidRPr="00B5473F">
            <w:rPr>
              <w:rStyle w:val="Paginanummer"/>
              <w:i/>
              <w:sz w:val="18"/>
            </w:rPr>
            <w:fldChar w:fldCharType="separate"/>
          </w:r>
          <w:r w:rsidR="00B1753E">
            <w:rPr>
              <w:rStyle w:val="Paginanummer"/>
              <w:i/>
              <w:noProof/>
              <w:sz w:val="18"/>
            </w:rPr>
            <w:t>147</w:t>
          </w:r>
          <w:r w:rsidRPr="00B5473F">
            <w:rPr>
              <w:rStyle w:val="Paginanummer"/>
              <w:i/>
              <w:sz w:val="18"/>
            </w:rPr>
            <w:fldChar w:fldCharType="end"/>
          </w:r>
        </w:p>
      </w:tc>
    </w:tr>
  </w:tbl>
  <w:p w:rsidR="003438D5" w:rsidRPr="009A2AA2" w:rsidRDefault="003438D5" w:rsidP="00C52D87">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2C" w:rsidRDefault="00BA7C2C" w:rsidP="005C4123">
    <w:pPr>
      <w:pStyle w:val="Voettekst"/>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2C" w:rsidRDefault="00BA7C2C" w:rsidP="00FA1541">
    <w:pPr>
      <w:pStyle w:val="Voettekst"/>
      <w:jc w:val="center"/>
    </w:pPr>
    <w:r>
      <w:fldChar w:fldCharType="begin"/>
    </w:r>
    <w:r>
      <w:instrText xml:space="preserve"> PAGE   \* MERGEFORMAT </w:instrText>
    </w:r>
    <w:r>
      <w:fldChar w:fldCharType="separate"/>
    </w:r>
    <w:r w:rsidR="00B1753E">
      <w:rPr>
        <w:noProof/>
      </w:rPr>
      <w:t>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D5" w:rsidRPr="00857D4C" w:rsidRDefault="003438D5" w:rsidP="00857D4C">
      <w:pPr>
        <w:pStyle w:val="Voettekst"/>
      </w:pPr>
    </w:p>
  </w:footnote>
  <w:footnote w:type="continuationSeparator" w:id="0">
    <w:p w:rsidR="003438D5" w:rsidRPr="00857D4C" w:rsidRDefault="003438D5" w:rsidP="00857D4C">
      <w:pPr>
        <w:pStyle w:val="Voettekst"/>
      </w:pPr>
    </w:p>
  </w:footnote>
  <w:footnote w:id="1">
    <w:p w:rsidR="003438D5" w:rsidRPr="004061A6" w:rsidRDefault="003438D5">
      <w:pPr>
        <w:pStyle w:val="Voetnoottekst"/>
      </w:pPr>
      <w:r w:rsidRPr="004061A6">
        <w:rPr>
          <w:rStyle w:val="Voetnootmarkering"/>
        </w:rPr>
        <w:footnoteRef/>
      </w:r>
      <w:r w:rsidRPr="004061A6">
        <w:t xml:space="preserve"> Access level: “Restricted” to applicant and authority</w:t>
      </w:r>
    </w:p>
  </w:footnote>
  <w:footnote w:id="2">
    <w:p w:rsidR="003438D5" w:rsidRPr="004061A6" w:rsidRDefault="003438D5" w:rsidP="005C17C2">
      <w:pPr>
        <w:pStyle w:val="Funote"/>
        <w:rPr>
          <w:rStyle w:val="Voetnootmarkering"/>
          <w:i w:val="0"/>
          <w:color w:val="auto"/>
          <w:position w:val="4"/>
          <w:sz w:val="20"/>
        </w:rPr>
      </w:pPr>
      <w:r w:rsidRPr="004061A6">
        <w:rPr>
          <w:rStyle w:val="Voetnootmarkering"/>
          <w:i w:val="0"/>
          <w:color w:val="auto"/>
          <w:position w:val="4"/>
          <w:sz w:val="20"/>
        </w:rPr>
        <w:footnoteRef/>
      </w:r>
      <w:r w:rsidRPr="004061A6">
        <w:rPr>
          <w:rStyle w:val="Voetnootmarkering"/>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rsidR="003438D5" w:rsidRPr="00C038DE" w:rsidRDefault="003438D5" w:rsidP="00421303">
      <w:pPr>
        <w:pStyle w:val="Funote"/>
        <w:rPr>
          <w:rStyle w:val="Voetnootmarkering"/>
          <w:color w:val="auto"/>
          <w:position w:val="4"/>
          <w:sz w:val="20"/>
        </w:rPr>
      </w:pPr>
    </w:p>
  </w:footnote>
  <w:footnote w:id="4">
    <w:p w:rsidR="003438D5" w:rsidRPr="00C038DE" w:rsidRDefault="003438D5" w:rsidP="00B0025A">
      <w:pPr>
        <w:pStyle w:val="Funote"/>
        <w:rPr>
          <w:rStyle w:val="Voetnootmarkering"/>
          <w:color w:val="auto"/>
          <w:position w:val="4"/>
          <w:sz w:val="20"/>
        </w:rPr>
      </w:pPr>
      <w:r>
        <w:rPr>
          <w:rStyle w:val="Voetnootmarkering"/>
          <w:color w:val="auto"/>
          <w:position w:val="4"/>
          <w:sz w:val="20"/>
        </w:rPr>
        <w:t xml:space="preserve"> </w:t>
      </w:r>
    </w:p>
  </w:footnote>
  <w:footnote w:id="5">
    <w:p w:rsidR="003438D5" w:rsidRPr="00C038DE" w:rsidRDefault="003438D5" w:rsidP="00421303">
      <w:pPr>
        <w:pStyle w:val="Funote"/>
        <w:rPr>
          <w:rStyle w:val="Voetnootmarkering"/>
          <w:color w:val="auto"/>
          <w:position w:val="4"/>
          <w:sz w:val="20"/>
        </w:rPr>
      </w:pPr>
    </w:p>
  </w:footnote>
  <w:footnote w:id="6">
    <w:p w:rsidR="00BA7C2C" w:rsidRDefault="00BA7C2C" w:rsidP="00BA7C2C">
      <w:pPr>
        <w:pStyle w:val="Voetnoottekst"/>
      </w:pPr>
      <w:r>
        <w:rPr>
          <w:rStyle w:val="Voetnootmarkering"/>
        </w:rPr>
        <w:footnoteRef/>
      </w:r>
      <w:r w:rsidRPr="00A85C3C">
        <w:rPr>
          <w:lang w:val="en-US"/>
        </w:rPr>
        <w:t xml:space="preserve"> </w:t>
      </w:r>
      <w:r w:rsidRPr="002A1746">
        <w:rPr>
          <w:lang w:val="en-US"/>
        </w:rPr>
        <w:t>Applies only to existing authorisations</w:t>
      </w:r>
    </w:p>
  </w:footnote>
  <w:footnote w:id="7">
    <w:p w:rsidR="00BA7C2C" w:rsidRDefault="00BA7C2C" w:rsidP="00BA7C2C">
      <w:pPr>
        <w:pStyle w:val="Voetnoottekst"/>
      </w:pPr>
      <w:r>
        <w:rPr>
          <w:rStyle w:val="Voetnootmarkering"/>
        </w:rPr>
        <w:footnoteRef/>
      </w:r>
      <w:r w:rsidRPr="00A66B7E">
        <w:rPr>
          <w:lang w:val="en-US"/>
        </w:rPr>
        <w:t xml:space="preserve"> </w:t>
      </w:r>
      <w:r>
        <w:rPr>
          <w:lang w:val="en-US"/>
        </w:rPr>
        <w:t>Please insert additional columns as necessary</w:t>
      </w:r>
    </w:p>
  </w:footnote>
  <w:footnote w:id="8">
    <w:p w:rsidR="00BA7C2C" w:rsidRDefault="00BA7C2C" w:rsidP="00BA7C2C">
      <w:pPr>
        <w:pStyle w:val="Voetnoottekst"/>
      </w:pPr>
      <w:r>
        <w:rPr>
          <w:rStyle w:val="Voetnootmarkering"/>
        </w:rPr>
        <w:footnoteRef/>
      </w:r>
      <w:r w:rsidRPr="00310ECA">
        <w:rPr>
          <w:lang w:val="en-US"/>
        </w:rPr>
        <w:t xml:space="preserve"> </w:t>
      </w:r>
      <w:r>
        <w:rPr>
          <w:lang w:val="en-US"/>
        </w:rPr>
        <w:t>Please insert additional columns as necessary</w:t>
      </w:r>
    </w:p>
  </w:footnote>
  <w:footnote w:id="9">
    <w:p w:rsidR="00BA7C2C" w:rsidRDefault="00BA7C2C" w:rsidP="00BA7C2C">
      <w:pPr>
        <w:pStyle w:val="Voetnoottekst"/>
      </w:pPr>
      <w:r>
        <w:rPr>
          <w:rStyle w:val="Voetnootmarkering"/>
        </w:rPr>
        <w:footnoteRef/>
      </w:r>
      <w:r>
        <w:t xml:space="preserve"> Larsen, J. (2003). Emission scenario document for </w:t>
      </w:r>
      <w:smartTag w:uri="urn:schemas-microsoft-com:office:smarttags" w:element="PersonName">
        <w:smartTag w:uri="urn:schemas-microsoft-com:office:smarttags" w:element="PersonName">
          <w:smartTag w:uri="urn:schemas-microsoft-com:office:smarttags" w:element="PersonName">
            <w:r>
              <w:t>biocid</w:t>
            </w:r>
          </w:smartTag>
          <w:r>
            <w:t>e</w:t>
          </w:r>
        </w:smartTag>
        <w:r>
          <w:t>s</w:t>
        </w:r>
      </w:smartTag>
      <w:r>
        <w:t xml:space="preserve"> used as rodenticides. Supplement to the methodology for risk evaluation for </w:t>
      </w:r>
      <w:smartTag w:uri="urn:schemas-microsoft-com:office:smarttags" w:element="PersonName">
        <w:smartTag w:uri="urn:schemas-microsoft-com:office:smarttags" w:element="PersonName">
          <w:smartTag w:uri="urn:schemas-microsoft-com:office:smarttags" w:element="PersonName">
            <w:r>
              <w:t>biocid</w:t>
            </w:r>
          </w:smartTag>
          <w:r>
            <w:t>e</w:t>
          </w:r>
        </w:smartTag>
        <w:r>
          <w:t>s</w:t>
        </w:r>
      </w:smartTag>
      <w:r>
        <w:t>, CA</w:t>
      </w:r>
      <w:r>
        <w:noBreakHyphen/>
        <w:t>Jun03</w:t>
      </w:r>
      <w:r>
        <w:noBreakHyphen/>
        <w:t>Doc.8.2</w:t>
      </w:r>
      <w:r>
        <w:noBreakHyphen/>
        <w:t xml:space="preserve">PT14. Report prepared in the context of the EU project entitled “Gathering, review and development of environmental emission scenarios for </w:t>
      </w:r>
      <w:smartTag w:uri="urn:schemas-microsoft-com:office:smarttags" w:element="PersonName">
        <w:smartTag w:uri="urn:schemas-microsoft-com:office:smarttags" w:element="PersonName">
          <w:smartTag w:uri="urn:schemas-microsoft-com:office:smarttags" w:element="PersonName">
            <w:r>
              <w:t>biocid</w:t>
            </w:r>
          </w:smartTag>
          <w:r>
            <w:t>e</w:t>
          </w:r>
        </w:smartTag>
        <w:r>
          <w:t>s</w:t>
        </w:r>
      </w:smartTag>
      <w:r>
        <w:t>” (EUBEES 2).</w:t>
      </w:r>
    </w:p>
    <w:p w:rsidR="00BA7C2C" w:rsidRPr="00E0256E" w:rsidRDefault="00BA7C2C" w:rsidP="00BA7C2C">
      <w:pPr>
        <w:pStyle w:val="Voetnoottekst"/>
      </w:pPr>
    </w:p>
  </w:footnote>
  <w:footnote w:id="10">
    <w:p w:rsidR="00BA7C2C" w:rsidRDefault="00BA7C2C" w:rsidP="00BA7C2C">
      <w:pPr>
        <w:pStyle w:val="Voetnoottekst"/>
      </w:pPr>
      <w:r>
        <w:rPr>
          <w:rStyle w:val="Voetnootmarkering"/>
        </w:rPr>
        <w:footnoteRef/>
      </w:r>
      <w:r w:rsidRPr="00BA7C2C">
        <w:rPr>
          <w:lang w:val="nl-NL"/>
        </w:rPr>
        <w:t xml:space="preserve"> Gemmeke, H. (2000). Fraßabschreckende Wirkung von gefärbtem Saatgut auf Vögel.  </w:t>
      </w:r>
      <w:r>
        <w:t>http://www.bba.de/oekoland/oeko3/voegel.htm</w:t>
      </w:r>
    </w:p>
  </w:footnote>
  <w:footnote w:id="11">
    <w:p w:rsidR="00BA7C2C" w:rsidRDefault="00BA7C2C" w:rsidP="00BA7C2C">
      <w:pPr>
        <w:pStyle w:val="Voetnoottekst"/>
      </w:pPr>
      <w:r>
        <w:rPr>
          <w:rStyle w:val="Voetnootmarkering"/>
        </w:rPr>
        <w:footnoteRef/>
      </w:r>
      <w:r>
        <w:t xml:space="preserve"> Moran, S. (1999). Rejection of dyed field rodent baits by feral pigeons and ch</w:t>
      </w:r>
      <w:smartTag w:uri="urn:schemas-microsoft-com:office:smarttags" w:element="PersonName">
        <w:r>
          <w:t>uk</w:t>
        </w:r>
      </w:smartTag>
      <w:r>
        <w:t xml:space="preserve">ar partridges.  </w:t>
      </w:r>
      <w:r>
        <w:rPr>
          <w:i/>
        </w:rPr>
        <w:t>Phytoparasitica</w:t>
      </w:r>
      <w:r>
        <w:t xml:space="preserve"> </w:t>
      </w:r>
      <w:r>
        <w:rPr>
          <w:b/>
        </w:rPr>
        <w:t>27</w:t>
      </w:r>
      <w:r>
        <w:t xml:space="preserve"> (1): 9-17</w:t>
      </w:r>
    </w:p>
  </w:footnote>
  <w:footnote w:id="12">
    <w:p w:rsidR="00BA7C2C" w:rsidRDefault="00BA7C2C" w:rsidP="00BA7C2C">
      <w:pPr>
        <w:pStyle w:val="Voetnoottekst"/>
      </w:pPr>
      <w:r>
        <w:rPr>
          <w:rStyle w:val="Voetnootmarkering"/>
        </w:rPr>
        <w:footnoteRef/>
      </w:r>
      <w:r>
        <w:t xml:space="preserve"> Marsh, R.E. (1985) Techniques used in rodent control to safeguard nontarget wildlife.  </w:t>
      </w:r>
    </w:p>
  </w:footnote>
  <w:footnote w:id="13">
    <w:p w:rsidR="00BA7C2C" w:rsidRDefault="00BA7C2C" w:rsidP="00BA7C2C">
      <w:pPr>
        <w:pStyle w:val="Voetnoottekst"/>
      </w:pPr>
      <w:r>
        <w:rPr>
          <w:rStyle w:val="Voetnootmarkering"/>
        </w:rPr>
        <w:footnoteRef/>
      </w:r>
      <w:r>
        <w:t xml:space="preserve"> Kalmbach, E.R.  1943. Birds, rodents and colored lethal baits. Transactions of the North American Wildlife Conference, 8: 408-416.</w:t>
      </w:r>
    </w:p>
  </w:footnote>
  <w:footnote w:id="14">
    <w:p w:rsidR="00BA7C2C" w:rsidRDefault="00BA7C2C" w:rsidP="00BA7C2C">
      <w:pPr>
        <w:pStyle w:val="Voetnoottekst"/>
      </w:pPr>
      <w:r>
        <w:rPr>
          <w:rStyle w:val="Voetnootmarkering"/>
        </w:rPr>
        <w:footnoteRef/>
      </w:r>
      <w:r>
        <w:t xml:space="preserve"> Kalmbach, E.R. and Welch, J.F. (1946).  Colored rodent baits and their value in safeguarding birds.  </w:t>
      </w:r>
      <w:r>
        <w:rPr>
          <w:i/>
        </w:rPr>
        <w:t>J. Wildlife Management</w:t>
      </w:r>
      <w:r>
        <w:t>, 10: 353-360.</w:t>
      </w:r>
    </w:p>
  </w:footnote>
  <w:footnote w:id="15">
    <w:p w:rsidR="00BA7C2C" w:rsidRDefault="00BA7C2C" w:rsidP="00BA7C2C">
      <w:pPr>
        <w:pStyle w:val="Voetnoottekst"/>
      </w:pPr>
      <w:r>
        <w:rPr>
          <w:rStyle w:val="Voetnootmarkering"/>
        </w:rPr>
        <w:footnoteRef/>
      </w:r>
      <w:r>
        <w:t xml:space="preserve"> </w:t>
      </w:r>
      <w:smartTag w:uri="urn:schemas-microsoft-com:office:smarttags" w:element="place">
        <w:r>
          <w:t>Caithness</w:t>
        </w:r>
      </w:smartTag>
      <w:r>
        <w:t>, T.A. and Williams, G.R. (1971). Protecting birds from poisoned baits. New Zealand Department of Internal Affairs, Wildlife Publication No. 129.</w:t>
      </w:r>
    </w:p>
  </w:footnote>
  <w:footnote w:id="16">
    <w:p w:rsidR="00BA7C2C" w:rsidRDefault="00BA7C2C" w:rsidP="00BA7C2C">
      <w:pPr>
        <w:pStyle w:val="Voetnoottekst"/>
      </w:pPr>
      <w:r>
        <w:rPr>
          <w:rStyle w:val="Voetnootmarkering"/>
        </w:rPr>
        <w:footnoteRef/>
      </w:r>
      <w:r>
        <w:t xml:space="preserve"> Pank, S. (1976). Effects of seed and background colours on seed acceptance by birds.  </w:t>
      </w:r>
      <w:r>
        <w:rPr>
          <w:i/>
        </w:rPr>
        <w:t>J. Wildlife Management</w:t>
      </w:r>
      <w:r>
        <w:t xml:space="preserve">, </w:t>
      </w:r>
      <w:r>
        <w:rPr>
          <w:b/>
        </w:rPr>
        <w:t>40</w:t>
      </w:r>
      <w:r>
        <w:t>: 769-774.</w:t>
      </w:r>
    </w:p>
  </w:footnote>
  <w:footnote w:id="17">
    <w:p w:rsidR="00BA7C2C" w:rsidRDefault="00BA7C2C" w:rsidP="00BA7C2C">
      <w:pPr>
        <w:pStyle w:val="Voetnoottekst"/>
      </w:pPr>
      <w:r>
        <w:rPr>
          <w:rStyle w:val="Voetnootmarkering"/>
        </w:rPr>
        <w:footnoteRef/>
      </w:r>
      <w:r>
        <w:t xml:space="preserve"> Brunner, H. and Coman, B.J. (1983). The ingestion of artificially coloured grain by birds, and its relevance to vertebrate pest control.  </w:t>
      </w:r>
      <w:r>
        <w:rPr>
          <w:i/>
        </w:rPr>
        <w:t>Australian Wildlife Research</w:t>
      </w:r>
      <w:r>
        <w:t xml:space="preserve"> </w:t>
      </w:r>
      <w:r>
        <w:rPr>
          <w:b/>
        </w:rPr>
        <w:t>10</w:t>
      </w:r>
      <w:r>
        <w:t>: 303-310.</w:t>
      </w:r>
    </w:p>
  </w:footnote>
  <w:footnote w:id="18">
    <w:p w:rsidR="00BA7C2C" w:rsidRDefault="00BA7C2C" w:rsidP="00BA7C2C">
      <w:pPr>
        <w:pStyle w:val="Voetnoottekst"/>
        <w:keepNext/>
      </w:pPr>
      <w:r>
        <w:rPr>
          <w:rStyle w:val="Voetnootmarkering"/>
        </w:rPr>
        <w:footnoteRef/>
      </w:r>
      <w:r>
        <w:t xml:space="preserve"> </w:t>
      </w:r>
      <w:smartTag w:uri="urn:schemas-microsoft-com:office:smarttags" w:element="place">
        <w:r>
          <w:t>Harrison</w:t>
        </w:r>
      </w:smartTag>
      <w:r>
        <w:t>, E.G., Porter, A.J. and Forbes, S. (1988).  Development of methods to assess the hazards of a rodenticide to non-target vertebrates.  Proceedings of the British Crop Protection Symposium.</w:t>
      </w:r>
    </w:p>
    <w:p w:rsidR="00BA7C2C" w:rsidRDefault="00BA7C2C" w:rsidP="00BA7C2C">
      <w:pPr>
        <w:pStyle w:val="Voetnoottekst"/>
        <w:keepNext/>
      </w:pPr>
      <w:r>
        <w:t>Fenn, M.G.P., Tew, T.E. and MacDonald, D.W. (1987).</w:t>
      </w:r>
    </w:p>
  </w:footnote>
  <w:footnote w:id="19">
    <w:p w:rsidR="00BA7C2C" w:rsidRDefault="00BA7C2C" w:rsidP="00BA7C2C">
      <w:pPr>
        <w:pStyle w:val="Voetnoottekst"/>
      </w:pPr>
      <w:r>
        <w:rPr>
          <w:rStyle w:val="Voetnootmarkering"/>
        </w:rPr>
        <w:footnoteRef/>
      </w:r>
      <w:r>
        <w:t xml:space="preserve"> WHO (1995). International Programme on Chemical Safety. Anticoagulant Rodenticides (Environmental Health Criteria 175). World Health Organisation, Geneva.</w:t>
      </w:r>
    </w:p>
  </w:footnote>
  <w:footnote w:id="20">
    <w:p w:rsidR="00BA7C2C" w:rsidRDefault="00BA7C2C" w:rsidP="00BA7C2C">
      <w:pPr>
        <w:pStyle w:val="Voetnoottekst"/>
      </w:pPr>
      <w:r>
        <w:rPr>
          <w:rStyle w:val="Voetnootmarkering"/>
        </w:rPr>
        <w:footnoteRef/>
      </w:r>
      <w:r>
        <w:t xml:space="preserve"> Handbook of the Birds of Europe, the Middle East and </w:t>
      </w:r>
      <w:smartTag w:uri="urn:schemas-microsoft-com:office:smarttags" w:element="place">
        <w:r>
          <w:t>North Africa</w:t>
        </w:r>
      </w:smartTag>
      <w:r>
        <w:t xml:space="preserve">.  The Birds of the Western Palearctic (Cramp, S. and Perrins, C.M.: Eds.) Vols. III and VIII.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footnote>
  <w:footnote w:id="21">
    <w:p w:rsidR="00BA7C2C" w:rsidRPr="00DE2F92" w:rsidRDefault="00BA7C2C" w:rsidP="00BA7C2C">
      <w:pPr>
        <w:pStyle w:val="Voetnoottekst"/>
      </w:pPr>
      <w:r w:rsidRPr="00DE2F92">
        <w:footnoteRef/>
      </w:r>
      <w:r w:rsidRPr="00DE2F92">
        <w:t xml:space="preserve"> g/l, g/kg, other. For biological products, the concentration should state the number of activity units/units of potency (as appropriate) per defined unit of formulation (e.g. per gramme or per litre).</w:t>
      </w:r>
    </w:p>
  </w:footnote>
  <w:footnote w:id="22">
    <w:p w:rsidR="00BA7C2C" w:rsidRDefault="00BA7C2C" w:rsidP="00BA7C2C">
      <w:pPr>
        <w:pStyle w:val="Voetnoottekst"/>
        <w:rPr>
          <w:lang w:val="en-US"/>
        </w:rPr>
      </w:pPr>
      <w:r>
        <w:footnoteRef/>
      </w:r>
      <w:r>
        <w:t xml:space="preserve"> All sites involved in the manufacturing process of each active substance and of the product must be listed.</w:t>
      </w:r>
    </w:p>
  </w:footnote>
  <w:footnote w:id="23">
    <w:p w:rsidR="00BA7C2C" w:rsidRPr="00DE2F92" w:rsidRDefault="00BA7C2C" w:rsidP="00BA7C2C">
      <w:pPr>
        <w:pStyle w:val="Voetnoottekst"/>
      </w:pPr>
      <w:r w:rsidRPr="00DE2F92">
        <w:footnoteRef/>
      </w:r>
      <w:r w:rsidRPr="00DE2F92">
        <w:t xml:space="preserve"> Indicate how the product will be applied (e.g. brush, spray, dipping, bait, etc). Where the product is to be used by more than one user category, indicate the application method(s) intended for each user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3438D5" w:rsidRPr="00B5473F" w:rsidTr="00F160A9">
      <w:trPr>
        <w:jc w:val="center"/>
      </w:trPr>
      <w:tc>
        <w:tcPr>
          <w:tcW w:w="1276" w:type="dxa"/>
          <w:shd w:val="clear" w:color="auto" w:fill="auto"/>
          <w:vAlign w:val="center"/>
        </w:tcPr>
        <w:p w:rsidR="003438D5" w:rsidRPr="00B5473F" w:rsidRDefault="003438D5" w:rsidP="00FF4BF1">
          <w:pPr>
            <w:rPr>
              <w:rFonts w:cs="Times"/>
              <w:i/>
              <w:sz w:val="18"/>
              <w:szCs w:val="18"/>
            </w:rPr>
          </w:pPr>
          <w:r w:rsidRPr="00FF4BF1">
            <w:rPr>
              <w:i/>
              <w:sz w:val="18"/>
              <w:szCs w:val="18"/>
            </w:rPr>
            <w:t>NL (C</w:t>
          </w:r>
          <w:r>
            <w:rPr>
              <w:i/>
              <w:sz w:val="18"/>
              <w:szCs w:val="18"/>
            </w:rPr>
            <w:t>tgb</w:t>
          </w:r>
          <w:r w:rsidRPr="00FF4BF1">
            <w:rPr>
              <w:i/>
              <w:sz w:val="18"/>
              <w:szCs w:val="18"/>
            </w:rPr>
            <w:t>)</w:t>
          </w:r>
        </w:p>
      </w:tc>
      <w:tc>
        <w:tcPr>
          <w:tcW w:w="6667" w:type="dxa"/>
          <w:shd w:val="clear" w:color="auto" w:fill="auto"/>
          <w:vAlign w:val="center"/>
        </w:tcPr>
        <w:p w:rsidR="003438D5" w:rsidRPr="00FF4BF1" w:rsidRDefault="003438D5" w:rsidP="00513242">
          <w:pPr>
            <w:jc w:val="center"/>
            <w:rPr>
              <w:i/>
              <w:sz w:val="18"/>
              <w:szCs w:val="18"/>
            </w:rPr>
          </w:pPr>
          <w:r w:rsidRPr="00FF4BF1">
            <w:rPr>
              <w:i/>
              <w:sz w:val="18"/>
              <w:szCs w:val="18"/>
            </w:rPr>
            <w:t>biocidal product</w:t>
          </w:r>
        </w:p>
        <w:p w:rsidR="003438D5" w:rsidRPr="00B5473F" w:rsidRDefault="003438D5" w:rsidP="00513242">
          <w:pPr>
            <w:jc w:val="center"/>
            <w:rPr>
              <w:rFonts w:cs="Times"/>
              <w:i/>
              <w:color w:val="FF0000"/>
              <w:sz w:val="18"/>
              <w:szCs w:val="18"/>
            </w:rPr>
          </w:pPr>
          <w:r w:rsidRPr="00FF4BF1">
            <w:rPr>
              <w:i/>
              <w:sz w:val="18"/>
              <w:szCs w:val="18"/>
            </w:rPr>
            <w:t>MAKI PAT’</w:t>
          </w:r>
        </w:p>
      </w:tc>
      <w:tc>
        <w:tcPr>
          <w:tcW w:w="1276" w:type="dxa"/>
          <w:shd w:val="clear" w:color="auto" w:fill="auto"/>
          <w:vAlign w:val="center"/>
        </w:tcPr>
        <w:p w:rsidR="003438D5" w:rsidRPr="00B5473F" w:rsidRDefault="003438D5" w:rsidP="00FF4BF1">
          <w:pPr>
            <w:jc w:val="right"/>
            <w:rPr>
              <w:rFonts w:cs="Times"/>
              <w:i/>
              <w:color w:val="FF0000"/>
              <w:sz w:val="18"/>
              <w:szCs w:val="18"/>
            </w:rPr>
          </w:pPr>
          <w:r w:rsidRPr="00B5473F">
            <w:rPr>
              <w:rFonts w:cs="Times"/>
              <w:i/>
              <w:sz w:val="18"/>
              <w:szCs w:val="18"/>
            </w:rPr>
            <w:t xml:space="preserve">PT </w:t>
          </w:r>
          <w:r w:rsidRPr="00FF4BF1">
            <w:rPr>
              <w:rFonts w:cs="Times"/>
              <w:i/>
              <w:sz w:val="18"/>
              <w:szCs w:val="18"/>
            </w:rPr>
            <w:t>14</w:t>
          </w:r>
        </w:p>
      </w:tc>
    </w:tr>
  </w:tbl>
  <w:p w:rsidR="003438D5" w:rsidRDefault="003438D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3438D5" w:rsidRPr="00F34D19" w:rsidTr="0065089A">
      <w:tc>
        <w:tcPr>
          <w:tcW w:w="1276" w:type="dxa"/>
          <w:shd w:val="clear" w:color="auto" w:fill="auto"/>
          <w:vAlign w:val="center"/>
        </w:tcPr>
        <w:p w:rsidR="003438D5" w:rsidRPr="00C126CF" w:rsidRDefault="003438D5" w:rsidP="0065089A">
          <w:pPr>
            <w:rPr>
              <w:rFonts w:cs="Times"/>
              <w:sz w:val="18"/>
              <w:szCs w:val="18"/>
            </w:rPr>
          </w:pPr>
          <w:r>
            <w:rPr>
              <w:color w:val="FF0000"/>
            </w:rPr>
            <w:t>DE (baua)</w:t>
          </w:r>
        </w:p>
      </w:tc>
      <w:tc>
        <w:tcPr>
          <w:tcW w:w="10211" w:type="dxa"/>
          <w:shd w:val="clear" w:color="auto" w:fill="auto"/>
          <w:vAlign w:val="center"/>
        </w:tcPr>
        <w:p w:rsidR="003438D5" w:rsidRDefault="003438D5" w:rsidP="0065089A">
          <w:pPr>
            <w:jc w:val="center"/>
            <w:rPr>
              <w:color w:val="FF0000"/>
            </w:rPr>
          </w:pPr>
          <w:r w:rsidRPr="004945F0">
            <w:rPr>
              <w:color w:val="FF0000"/>
            </w:rPr>
            <w:t>#biocidal product family#</w:t>
          </w:r>
        </w:p>
        <w:p w:rsidR="003438D5" w:rsidRPr="00F34D19" w:rsidRDefault="003438D5"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rsidR="003438D5" w:rsidRPr="00F34D19" w:rsidRDefault="003438D5"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rsidR="003438D5" w:rsidRDefault="003438D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B1753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463.95pt;height:185.55pt;rotation:315;z-index:-251598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80" type="#_x0000_t136" style="position:absolute;margin-left:0;margin-top:0;width:592.95pt;height:56.45pt;rotation:315;z-index:-251600896;mso-position-horizontal:center;mso-position-horizontal-relative:margin;mso-position-vertical:center;mso-position-vertical-relative:margin" o:allowincell="f" fillcolor="silver" stroked="f">
          <v:textpath style="font-family:&quot;Arial&quot;;font-size:1pt" string="Acess level: RESTRICTE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3438D5" w:rsidRPr="00F34D19" w:rsidTr="00284DFF">
      <w:tc>
        <w:tcPr>
          <w:tcW w:w="1276" w:type="dxa"/>
          <w:shd w:val="clear" w:color="auto" w:fill="auto"/>
          <w:vAlign w:val="center"/>
        </w:tcPr>
        <w:p w:rsidR="003438D5" w:rsidRPr="00C126CF" w:rsidRDefault="00B1753E" w:rsidP="00284DFF">
          <w:pPr>
            <w:rPr>
              <w:rFonts w:cs="Times"/>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63.95pt;height:185.55pt;rotation:315;z-index:-251599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79" type="#_x0000_t136" style="position:absolute;margin-left:0;margin-top:0;width:592.95pt;height:56.45pt;rotation:315;z-index:-251601920;mso-position-horizontal:center;mso-position-horizontal-relative:margin;mso-position-vertical:center;mso-position-vertical-relative:margin" o:allowincell="f" fillcolor="silver" stroked="f">
                <v:textpath style="font-family:&quot;Arial&quot;;font-size:1pt" string="Acess level: RESTRICTED"/>
                <w10:wrap anchorx="margin" anchory="margin"/>
              </v:shape>
            </w:pict>
          </w:r>
          <w:r w:rsidR="003438D5">
            <w:rPr>
              <w:color w:val="FF0000"/>
            </w:rPr>
            <w:t>DE (baua)</w:t>
          </w:r>
        </w:p>
      </w:tc>
      <w:tc>
        <w:tcPr>
          <w:tcW w:w="10211" w:type="dxa"/>
          <w:shd w:val="clear" w:color="auto" w:fill="auto"/>
          <w:vAlign w:val="center"/>
        </w:tcPr>
        <w:p w:rsidR="003438D5" w:rsidRDefault="003438D5" w:rsidP="00284DFF">
          <w:pPr>
            <w:jc w:val="center"/>
            <w:rPr>
              <w:color w:val="FF0000"/>
            </w:rPr>
          </w:pPr>
          <w:r w:rsidRPr="004945F0">
            <w:rPr>
              <w:color w:val="FF0000"/>
            </w:rPr>
            <w:t>#biocidal product family#</w:t>
          </w:r>
        </w:p>
        <w:p w:rsidR="003438D5" w:rsidRPr="00F34D19" w:rsidRDefault="003438D5" w:rsidP="00284DFF">
          <w:pPr>
            <w:jc w:val="center"/>
            <w:rPr>
              <w:rFonts w:cs="Times"/>
              <w:color w:val="FF0000"/>
              <w:sz w:val="18"/>
              <w:szCs w:val="18"/>
            </w:rPr>
          </w:pPr>
          <w:r w:rsidRPr="00C1616B">
            <w:rPr>
              <w:color w:val="FF0000"/>
            </w:rPr>
            <w:t>#product name#</w:t>
          </w:r>
        </w:p>
      </w:tc>
      <w:tc>
        <w:tcPr>
          <w:tcW w:w="1413" w:type="dxa"/>
          <w:shd w:val="clear" w:color="auto" w:fill="auto"/>
          <w:vAlign w:val="center"/>
        </w:tcPr>
        <w:p w:rsidR="003438D5" w:rsidRPr="00F34D19" w:rsidRDefault="003438D5" w:rsidP="00284DFF">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rsidR="003438D5" w:rsidRDefault="003438D5">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2C" w:rsidRPr="008B4668" w:rsidRDefault="00BA7C2C" w:rsidP="008B4668">
    <w:pPr>
      <w:pStyle w:val="Koptekst"/>
      <w:jc w:val="right"/>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3438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nsid w:val="0E7E3624"/>
    <w:multiLevelType w:val="hybridMultilevel"/>
    <w:tmpl w:val="9AE24A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00F53F8"/>
    <w:multiLevelType w:val="hybridMultilevel"/>
    <w:tmpl w:val="2DF8CDD6"/>
    <w:lvl w:ilvl="0" w:tplc="04130001">
      <w:start w:val="1"/>
      <w:numFmt w:val="bullet"/>
      <w:lvlText w:val=""/>
      <w:lvlJc w:val="left"/>
      <w:pPr>
        <w:ind w:left="1110" w:hanging="360"/>
      </w:pPr>
      <w:rPr>
        <w:rFonts w:ascii="Symbol" w:hAnsi="Symbol"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4">
    <w:nsid w:val="131F4869"/>
    <w:multiLevelType w:val="hybridMultilevel"/>
    <w:tmpl w:val="688AD1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6">
    <w:nsid w:val="2EBF1AD7"/>
    <w:multiLevelType w:val="multilevel"/>
    <w:tmpl w:val="DB549DAE"/>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05D1F31"/>
    <w:multiLevelType w:val="hybridMultilevel"/>
    <w:tmpl w:val="DC94C112"/>
    <w:lvl w:ilvl="0" w:tplc="E894365C">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8">
    <w:nsid w:val="30FD052C"/>
    <w:multiLevelType w:val="multilevel"/>
    <w:tmpl w:val="7ADA9AC2"/>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41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9">
    <w:nsid w:val="34CF3336"/>
    <w:multiLevelType w:val="hybridMultilevel"/>
    <w:tmpl w:val="91EA61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7A31875"/>
    <w:multiLevelType w:val="multilevel"/>
    <w:tmpl w:val="8D44D6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color w:val="auto"/>
      </w:rPr>
    </w:lvl>
    <w:lvl w:ilvl="3">
      <w:start w:val="1"/>
      <w:numFmt w:val="decimal"/>
      <w:pStyle w:val="Kop4"/>
      <w:lvlText w:val="%1.%2.%3.%4"/>
      <w:lvlJc w:val="left"/>
      <w:pPr>
        <w:ind w:left="2566"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B9D38AD"/>
    <w:multiLevelType w:val="hybridMultilevel"/>
    <w:tmpl w:val="F46EB3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F462B6A"/>
    <w:multiLevelType w:val="hybridMultilevel"/>
    <w:tmpl w:val="660EC462"/>
    <w:lvl w:ilvl="0" w:tplc="9B50CE46">
      <w:start w:val="3"/>
      <w:numFmt w:val="lowerLetter"/>
      <w:lvlText w:val="(%1)"/>
      <w:lvlJc w:val="left"/>
      <w:pPr>
        <w:tabs>
          <w:tab w:val="num" w:pos="567"/>
        </w:tabs>
        <w:ind w:left="567" w:hanging="567"/>
      </w:pPr>
      <w:rPr>
        <w:rFonts w:ascii="Times New Roman" w:hAnsi="Times New Roman" w:hint="default"/>
        <w:color w:val="000000"/>
        <w:sz w:val="16"/>
        <w:szCs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203043"/>
    <w:multiLevelType w:val="hybridMultilevel"/>
    <w:tmpl w:val="8FB23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0627E7"/>
    <w:multiLevelType w:val="hybridMultilevel"/>
    <w:tmpl w:val="EBB896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EFC62AF"/>
    <w:multiLevelType w:val="hybridMultilevel"/>
    <w:tmpl w:val="D6786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701F69"/>
    <w:multiLevelType w:val="hybridMultilevel"/>
    <w:tmpl w:val="FBC8D71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E7B500D"/>
    <w:multiLevelType w:val="multilevel"/>
    <w:tmpl w:val="A80419B4"/>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1">
    <w:nsid w:val="7C4820BF"/>
    <w:multiLevelType w:val="hybridMultilevel"/>
    <w:tmpl w:val="EE861386"/>
    <w:lvl w:ilvl="0" w:tplc="0407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0"/>
  </w:num>
  <w:num w:numId="3">
    <w:abstractNumId w:val="1"/>
  </w:num>
  <w:num w:numId="4">
    <w:abstractNumId w:val="10"/>
  </w:num>
  <w:num w:numId="5">
    <w:abstractNumId w:val="13"/>
  </w:num>
  <w:num w:numId="6">
    <w:abstractNumId w:val="5"/>
  </w:num>
  <w:num w:numId="7">
    <w:abstractNumId w:val="0"/>
  </w:num>
  <w:num w:numId="8">
    <w:abstractNumId w:val="16"/>
  </w:num>
  <w:num w:numId="9">
    <w:abstractNumId w:val="17"/>
  </w:num>
  <w:num w:numId="10">
    <w:abstractNumId w:val="3"/>
  </w:num>
  <w:num w:numId="11">
    <w:abstractNumId w:val="7"/>
  </w:num>
  <w:num w:numId="12">
    <w:abstractNumId w:val="8"/>
  </w:num>
  <w:num w:numId="13">
    <w:abstractNumId w:val="15"/>
  </w:num>
  <w:num w:numId="14">
    <w:abstractNumId w:val="12"/>
  </w:num>
  <w:num w:numId="15">
    <w:abstractNumId w:val="18"/>
  </w:num>
  <w:num w:numId="16">
    <w:abstractNumId w:val="21"/>
  </w:num>
  <w:num w:numId="17">
    <w:abstractNumId w:val="6"/>
  </w:num>
  <w:num w:numId="18">
    <w:abstractNumId w:val="11"/>
  </w:num>
  <w:num w:numId="19">
    <w:abstractNumId w:val="9"/>
  </w:num>
  <w:num w:numId="20">
    <w:abstractNumId w:val="14"/>
  </w:num>
  <w:num w:numId="21">
    <w:abstractNumId w:val="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CD"/>
    <w:rsid w:val="000013D9"/>
    <w:rsid w:val="00001E32"/>
    <w:rsid w:val="00002AAF"/>
    <w:rsid w:val="00003A4B"/>
    <w:rsid w:val="0000422B"/>
    <w:rsid w:val="00004809"/>
    <w:rsid w:val="00005BD8"/>
    <w:rsid w:val="000078F6"/>
    <w:rsid w:val="0001084C"/>
    <w:rsid w:val="00011597"/>
    <w:rsid w:val="00012C53"/>
    <w:rsid w:val="00013075"/>
    <w:rsid w:val="000155AC"/>
    <w:rsid w:val="00016114"/>
    <w:rsid w:val="000166B9"/>
    <w:rsid w:val="00022FCC"/>
    <w:rsid w:val="000261A9"/>
    <w:rsid w:val="00026252"/>
    <w:rsid w:val="00026723"/>
    <w:rsid w:val="00027E83"/>
    <w:rsid w:val="00030AAB"/>
    <w:rsid w:val="00032EAD"/>
    <w:rsid w:val="00034B9C"/>
    <w:rsid w:val="00034F59"/>
    <w:rsid w:val="00036C3E"/>
    <w:rsid w:val="0003792C"/>
    <w:rsid w:val="000407F8"/>
    <w:rsid w:val="0004234A"/>
    <w:rsid w:val="000447A1"/>
    <w:rsid w:val="000447F1"/>
    <w:rsid w:val="000456DC"/>
    <w:rsid w:val="000458E2"/>
    <w:rsid w:val="000476A5"/>
    <w:rsid w:val="00050F93"/>
    <w:rsid w:val="00051021"/>
    <w:rsid w:val="00052535"/>
    <w:rsid w:val="000541F0"/>
    <w:rsid w:val="000550FB"/>
    <w:rsid w:val="00055BF5"/>
    <w:rsid w:val="00056106"/>
    <w:rsid w:val="00056822"/>
    <w:rsid w:val="000569DD"/>
    <w:rsid w:val="000575AF"/>
    <w:rsid w:val="00061DC6"/>
    <w:rsid w:val="000628E2"/>
    <w:rsid w:val="000650F2"/>
    <w:rsid w:val="0007041D"/>
    <w:rsid w:val="00081D8D"/>
    <w:rsid w:val="000836E6"/>
    <w:rsid w:val="00083CE2"/>
    <w:rsid w:val="000842C2"/>
    <w:rsid w:val="000879CF"/>
    <w:rsid w:val="000905AF"/>
    <w:rsid w:val="00090B32"/>
    <w:rsid w:val="00091FDE"/>
    <w:rsid w:val="000963F3"/>
    <w:rsid w:val="000A08BE"/>
    <w:rsid w:val="000A3DF7"/>
    <w:rsid w:val="000A4325"/>
    <w:rsid w:val="000A4C79"/>
    <w:rsid w:val="000A63C2"/>
    <w:rsid w:val="000A6483"/>
    <w:rsid w:val="000A65B2"/>
    <w:rsid w:val="000A7B52"/>
    <w:rsid w:val="000B0552"/>
    <w:rsid w:val="000B2A45"/>
    <w:rsid w:val="000B4103"/>
    <w:rsid w:val="000B468F"/>
    <w:rsid w:val="000B4862"/>
    <w:rsid w:val="000B4F74"/>
    <w:rsid w:val="000C00D7"/>
    <w:rsid w:val="000C1174"/>
    <w:rsid w:val="000C1194"/>
    <w:rsid w:val="000C16A6"/>
    <w:rsid w:val="000D2817"/>
    <w:rsid w:val="000D2FD0"/>
    <w:rsid w:val="000E003E"/>
    <w:rsid w:val="000E227A"/>
    <w:rsid w:val="000E53C3"/>
    <w:rsid w:val="000E5B6B"/>
    <w:rsid w:val="000F1BB7"/>
    <w:rsid w:val="000F2A89"/>
    <w:rsid w:val="000F2D67"/>
    <w:rsid w:val="000F4292"/>
    <w:rsid w:val="000F5E19"/>
    <w:rsid w:val="000F7213"/>
    <w:rsid w:val="000F7426"/>
    <w:rsid w:val="0010128B"/>
    <w:rsid w:val="00101AFC"/>
    <w:rsid w:val="00101F4A"/>
    <w:rsid w:val="00103691"/>
    <w:rsid w:val="00103C37"/>
    <w:rsid w:val="00107C26"/>
    <w:rsid w:val="00111C01"/>
    <w:rsid w:val="00112221"/>
    <w:rsid w:val="00112D20"/>
    <w:rsid w:val="00113F11"/>
    <w:rsid w:val="001142AC"/>
    <w:rsid w:val="001145F8"/>
    <w:rsid w:val="00115B31"/>
    <w:rsid w:val="00116AD0"/>
    <w:rsid w:val="00117065"/>
    <w:rsid w:val="001226F6"/>
    <w:rsid w:val="00124131"/>
    <w:rsid w:val="001275B9"/>
    <w:rsid w:val="00127CF2"/>
    <w:rsid w:val="00130222"/>
    <w:rsid w:val="001302B7"/>
    <w:rsid w:val="001316AA"/>
    <w:rsid w:val="00132077"/>
    <w:rsid w:val="00132E2C"/>
    <w:rsid w:val="00133156"/>
    <w:rsid w:val="001355C0"/>
    <w:rsid w:val="001447D3"/>
    <w:rsid w:val="00145AD4"/>
    <w:rsid w:val="00146A82"/>
    <w:rsid w:val="00150339"/>
    <w:rsid w:val="00150E5A"/>
    <w:rsid w:val="001524F4"/>
    <w:rsid w:val="0015336C"/>
    <w:rsid w:val="001542B1"/>
    <w:rsid w:val="00154893"/>
    <w:rsid w:val="00155B10"/>
    <w:rsid w:val="0015781C"/>
    <w:rsid w:val="00160878"/>
    <w:rsid w:val="00163486"/>
    <w:rsid w:val="00163CB9"/>
    <w:rsid w:val="00163DF4"/>
    <w:rsid w:val="00163FA4"/>
    <w:rsid w:val="001665F8"/>
    <w:rsid w:val="00171CD3"/>
    <w:rsid w:val="00174179"/>
    <w:rsid w:val="0017745F"/>
    <w:rsid w:val="00177A62"/>
    <w:rsid w:val="00183859"/>
    <w:rsid w:val="001838EB"/>
    <w:rsid w:val="001846AD"/>
    <w:rsid w:val="0018495E"/>
    <w:rsid w:val="0018546D"/>
    <w:rsid w:val="001861BD"/>
    <w:rsid w:val="001865DB"/>
    <w:rsid w:val="00186C57"/>
    <w:rsid w:val="0018738B"/>
    <w:rsid w:val="00187C0D"/>
    <w:rsid w:val="0019093C"/>
    <w:rsid w:val="0019149A"/>
    <w:rsid w:val="00193C25"/>
    <w:rsid w:val="001950E3"/>
    <w:rsid w:val="001963E1"/>
    <w:rsid w:val="0019666B"/>
    <w:rsid w:val="001967AF"/>
    <w:rsid w:val="0019799C"/>
    <w:rsid w:val="001A2DCD"/>
    <w:rsid w:val="001A37E7"/>
    <w:rsid w:val="001A3D63"/>
    <w:rsid w:val="001A5518"/>
    <w:rsid w:val="001A759E"/>
    <w:rsid w:val="001B0878"/>
    <w:rsid w:val="001B156F"/>
    <w:rsid w:val="001B2577"/>
    <w:rsid w:val="001B2A57"/>
    <w:rsid w:val="001B30B8"/>
    <w:rsid w:val="001B406D"/>
    <w:rsid w:val="001B50FB"/>
    <w:rsid w:val="001B5BA1"/>
    <w:rsid w:val="001B60E6"/>
    <w:rsid w:val="001B7F24"/>
    <w:rsid w:val="001C13A0"/>
    <w:rsid w:val="001C46CA"/>
    <w:rsid w:val="001C67D0"/>
    <w:rsid w:val="001D0A1F"/>
    <w:rsid w:val="001D1D33"/>
    <w:rsid w:val="001D246E"/>
    <w:rsid w:val="001D363E"/>
    <w:rsid w:val="001D42F9"/>
    <w:rsid w:val="001D4E63"/>
    <w:rsid w:val="001D7A32"/>
    <w:rsid w:val="001D7E58"/>
    <w:rsid w:val="001E2806"/>
    <w:rsid w:val="001E2C5A"/>
    <w:rsid w:val="001E4D6E"/>
    <w:rsid w:val="001E6D48"/>
    <w:rsid w:val="001E73B9"/>
    <w:rsid w:val="001F18B8"/>
    <w:rsid w:val="001F20DA"/>
    <w:rsid w:val="001F2611"/>
    <w:rsid w:val="001F5031"/>
    <w:rsid w:val="001F52F0"/>
    <w:rsid w:val="001F54D3"/>
    <w:rsid w:val="00201CAE"/>
    <w:rsid w:val="0020230D"/>
    <w:rsid w:val="00202874"/>
    <w:rsid w:val="00207797"/>
    <w:rsid w:val="0021502A"/>
    <w:rsid w:val="00217C9E"/>
    <w:rsid w:val="00221716"/>
    <w:rsid w:val="0022469B"/>
    <w:rsid w:val="00231A01"/>
    <w:rsid w:val="00232424"/>
    <w:rsid w:val="00232BE7"/>
    <w:rsid w:val="00234EE1"/>
    <w:rsid w:val="002350D8"/>
    <w:rsid w:val="00237A53"/>
    <w:rsid w:val="00243AB6"/>
    <w:rsid w:val="00243DFF"/>
    <w:rsid w:val="00244587"/>
    <w:rsid w:val="00247134"/>
    <w:rsid w:val="00247D10"/>
    <w:rsid w:val="00250F6B"/>
    <w:rsid w:val="0025132F"/>
    <w:rsid w:val="00251B77"/>
    <w:rsid w:val="00253EEE"/>
    <w:rsid w:val="00254703"/>
    <w:rsid w:val="00254EE7"/>
    <w:rsid w:val="00255F63"/>
    <w:rsid w:val="002560BB"/>
    <w:rsid w:val="00256844"/>
    <w:rsid w:val="0025788B"/>
    <w:rsid w:val="00260201"/>
    <w:rsid w:val="00260429"/>
    <w:rsid w:val="00261BE9"/>
    <w:rsid w:val="00262917"/>
    <w:rsid w:val="002632F5"/>
    <w:rsid w:val="00264DC8"/>
    <w:rsid w:val="0026519A"/>
    <w:rsid w:val="00266633"/>
    <w:rsid w:val="00267B79"/>
    <w:rsid w:val="00267D09"/>
    <w:rsid w:val="00272702"/>
    <w:rsid w:val="00273364"/>
    <w:rsid w:val="002740FC"/>
    <w:rsid w:val="00274172"/>
    <w:rsid w:val="002742E5"/>
    <w:rsid w:val="0027475D"/>
    <w:rsid w:val="0027607A"/>
    <w:rsid w:val="002771DA"/>
    <w:rsid w:val="00281FAD"/>
    <w:rsid w:val="00282373"/>
    <w:rsid w:val="00282ABB"/>
    <w:rsid w:val="0028319E"/>
    <w:rsid w:val="00283E2A"/>
    <w:rsid w:val="00284DFF"/>
    <w:rsid w:val="002854A4"/>
    <w:rsid w:val="002879D4"/>
    <w:rsid w:val="00287BCC"/>
    <w:rsid w:val="002949BD"/>
    <w:rsid w:val="00294CFD"/>
    <w:rsid w:val="00295130"/>
    <w:rsid w:val="00295D87"/>
    <w:rsid w:val="0029658E"/>
    <w:rsid w:val="0029678C"/>
    <w:rsid w:val="002972E3"/>
    <w:rsid w:val="002A2623"/>
    <w:rsid w:val="002A3FF3"/>
    <w:rsid w:val="002A477D"/>
    <w:rsid w:val="002A78DD"/>
    <w:rsid w:val="002B0FDB"/>
    <w:rsid w:val="002B1967"/>
    <w:rsid w:val="002B3787"/>
    <w:rsid w:val="002B593A"/>
    <w:rsid w:val="002B71B2"/>
    <w:rsid w:val="002C21C0"/>
    <w:rsid w:val="002C2256"/>
    <w:rsid w:val="002C5726"/>
    <w:rsid w:val="002C5CBA"/>
    <w:rsid w:val="002C67FD"/>
    <w:rsid w:val="002C7828"/>
    <w:rsid w:val="002D3F52"/>
    <w:rsid w:val="002D5FF0"/>
    <w:rsid w:val="002D65DF"/>
    <w:rsid w:val="002E25D0"/>
    <w:rsid w:val="002E6DDE"/>
    <w:rsid w:val="002F053A"/>
    <w:rsid w:val="002F2AB0"/>
    <w:rsid w:val="002F3E06"/>
    <w:rsid w:val="002F613D"/>
    <w:rsid w:val="002F6F54"/>
    <w:rsid w:val="002F75A9"/>
    <w:rsid w:val="00300B59"/>
    <w:rsid w:val="003035FA"/>
    <w:rsid w:val="00305436"/>
    <w:rsid w:val="003060C6"/>
    <w:rsid w:val="0030621B"/>
    <w:rsid w:val="00307AA3"/>
    <w:rsid w:val="00310967"/>
    <w:rsid w:val="0031165E"/>
    <w:rsid w:val="00311BD1"/>
    <w:rsid w:val="00312551"/>
    <w:rsid w:val="00312802"/>
    <w:rsid w:val="003128F7"/>
    <w:rsid w:val="00313B6E"/>
    <w:rsid w:val="0031425F"/>
    <w:rsid w:val="00314746"/>
    <w:rsid w:val="00315AC5"/>
    <w:rsid w:val="0031683D"/>
    <w:rsid w:val="00320011"/>
    <w:rsid w:val="00320148"/>
    <w:rsid w:val="0032015C"/>
    <w:rsid w:val="003219F6"/>
    <w:rsid w:val="00321AAE"/>
    <w:rsid w:val="003238A1"/>
    <w:rsid w:val="003255A3"/>
    <w:rsid w:val="0032629A"/>
    <w:rsid w:val="0032790A"/>
    <w:rsid w:val="00331423"/>
    <w:rsid w:val="003321C0"/>
    <w:rsid w:val="003336CA"/>
    <w:rsid w:val="0033593A"/>
    <w:rsid w:val="003362CF"/>
    <w:rsid w:val="00337DFF"/>
    <w:rsid w:val="003422E7"/>
    <w:rsid w:val="003427A7"/>
    <w:rsid w:val="003438D5"/>
    <w:rsid w:val="003467DE"/>
    <w:rsid w:val="00346B2E"/>
    <w:rsid w:val="003506A8"/>
    <w:rsid w:val="0035146C"/>
    <w:rsid w:val="00353E3F"/>
    <w:rsid w:val="0035644E"/>
    <w:rsid w:val="00357079"/>
    <w:rsid w:val="00357E7F"/>
    <w:rsid w:val="00360896"/>
    <w:rsid w:val="0036133E"/>
    <w:rsid w:val="00362624"/>
    <w:rsid w:val="003629FE"/>
    <w:rsid w:val="00364D33"/>
    <w:rsid w:val="00365366"/>
    <w:rsid w:val="00365720"/>
    <w:rsid w:val="00365A39"/>
    <w:rsid w:val="00366607"/>
    <w:rsid w:val="0037074D"/>
    <w:rsid w:val="00371040"/>
    <w:rsid w:val="003722E7"/>
    <w:rsid w:val="00373346"/>
    <w:rsid w:val="00381808"/>
    <w:rsid w:val="0038220A"/>
    <w:rsid w:val="00385AA6"/>
    <w:rsid w:val="00386419"/>
    <w:rsid w:val="00392F11"/>
    <w:rsid w:val="00397091"/>
    <w:rsid w:val="003A0B38"/>
    <w:rsid w:val="003A0F01"/>
    <w:rsid w:val="003A10A8"/>
    <w:rsid w:val="003A1DF6"/>
    <w:rsid w:val="003A2A54"/>
    <w:rsid w:val="003A3723"/>
    <w:rsid w:val="003A41CB"/>
    <w:rsid w:val="003A54FF"/>
    <w:rsid w:val="003B1286"/>
    <w:rsid w:val="003B5094"/>
    <w:rsid w:val="003C20AC"/>
    <w:rsid w:val="003C2AEB"/>
    <w:rsid w:val="003C418D"/>
    <w:rsid w:val="003C49C3"/>
    <w:rsid w:val="003C6392"/>
    <w:rsid w:val="003C6FF6"/>
    <w:rsid w:val="003D60B8"/>
    <w:rsid w:val="003D6B8B"/>
    <w:rsid w:val="003E028C"/>
    <w:rsid w:val="003E16C2"/>
    <w:rsid w:val="003E231E"/>
    <w:rsid w:val="003E2FD7"/>
    <w:rsid w:val="003E4DF1"/>
    <w:rsid w:val="003E522C"/>
    <w:rsid w:val="003E6C0D"/>
    <w:rsid w:val="003F25F4"/>
    <w:rsid w:val="003F3055"/>
    <w:rsid w:val="0040290D"/>
    <w:rsid w:val="00403EDA"/>
    <w:rsid w:val="00405C88"/>
    <w:rsid w:val="004061A6"/>
    <w:rsid w:val="00406FE8"/>
    <w:rsid w:val="0041096A"/>
    <w:rsid w:val="0041638C"/>
    <w:rsid w:val="00417ED8"/>
    <w:rsid w:val="00420D99"/>
    <w:rsid w:val="00421303"/>
    <w:rsid w:val="00421F80"/>
    <w:rsid w:val="00422611"/>
    <w:rsid w:val="0042726E"/>
    <w:rsid w:val="00431B5B"/>
    <w:rsid w:val="00431FAD"/>
    <w:rsid w:val="00432AF0"/>
    <w:rsid w:val="00432D5B"/>
    <w:rsid w:val="0043576E"/>
    <w:rsid w:val="004369E5"/>
    <w:rsid w:val="00437BAC"/>
    <w:rsid w:val="00437D4B"/>
    <w:rsid w:val="0044513E"/>
    <w:rsid w:val="00447464"/>
    <w:rsid w:val="00450012"/>
    <w:rsid w:val="004536A6"/>
    <w:rsid w:val="004536D7"/>
    <w:rsid w:val="00456EF6"/>
    <w:rsid w:val="00457204"/>
    <w:rsid w:val="004578D2"/>
    <w:rsid w:val="00457C2C"/>
    <w:rsid w:val="0046198F"/>
    <w:rsid w:val="0046291B"/>
    <w:rsid w:val="0046320C"/>
    <w:rsid w:val="0046416F"/>
    <w:rsid w:val="00465B52"/>
    <w:rsid w:val="00467AF4"/>
    <w:rsid w:val="004709A6"/>
    <w:rsid w:val="00475616"/>
    <w:rsid w:val="004767B2"/>
    <w:rsid w:val="00476861"/>
    <w:rsid w:val="00481CE1"/>
    <w:rsid w:val="00482D53"/>
    <w:rsid w:val="00484033"/>
    <w:rsid w:val="00484956"/>
    <w:rsid w:val="0048748C"/>
    <w:rsid w:val="00491841"/>
    <w:rsid w:val="00493598"/>
    <w:rsid w:val="004939A5"/>
    <w:rsid w:val="004945C5"/>
    <w:rsid w:val="004947AC"/>
    <w:rsid w:val="004959A0"/>
    <w:rsid w:val="00496762"/>
    <w:rsid w:val="004A36A4"/>
    <w:rsid w:val="004A5460"/>
    <w:rsid w:val="004A6C48"/>
    <w:rsid w:val="004B24E9"/>
    <w:rsid w:val="004B3104"/>
    <w:rsid w:val="004B380A"/>
    <w:rsid w:val="004B46D9"/>
    <w:rsid w:val="004B541A"/>
    <w:rsid w:val="004C02C6"/>
    <w:rsid w:val="004C2E22"/>
    <w:rsid w:val="004C32D4"/>
    <w:rsid w:val="004C34C5"/>
    <w:rsid w:val="004C4522"/>
    <w:rsid w:val="004C45C6"/>
    <w:rsid w:val="004C5C13"/>
    <w:rsid w:val="004C7426"/>
    <w:rsid w:val="004D254C"/>
    <w:rsid w:val="004D38BA"/>
    <w:rsid w:val="004D3CB2"/>
    <w:rsid w:val="004D41F4"/>
    <w:rsid w:val="004D4991"/>
    <w:rsid w:val="004D5CD1"/>
    <w:rsid w:val="004D6947"/>
    <w:rsid w:val="004E25F5"/>
    <w:rsid w:val="004E2809"/>
    <w:rsid w:val="004E2AAB"/>
    <w:rsid w:val="004E36AE"/>
    <w:rsid w:val="004E5536"/>
    <w:rsid w:val="004E564E"/>
    <w:rsid w:val="004E56CE"/>
    <w:rsid w:val="004E5A83"/>
    <w:rsid w:val="004E69AA"/>
    <w:rsid w:val="004E6FE1"/>
    <w:rsid w:val="004E73A6"/>
    <w:rsid w:val="004E7E41"/>
    <w:rsid w:val="004F108F"/>
    <w:rsid w:val="004F6B2B"/>
    <w:rsid w:val="005021A2"/>
    <w:rsid w:val="0050225F"/>
    <w:rsid w:val="00502B4C"/>
    <w:rsid w:val="005077FB"/>
    <w:rsid w:val="00511226"/>
    <w:rsid w:val="00511D25"/>
    <w:rsid w:val="00512400"/>
    <w:rsid w:val="00512C9A"/>
    <w:rsid w:val="00512FA6"/>
    <w:rsid w:val="0051307C"/>
    <w:rsid w:val="00513242"/>
    <w:rsid w:val="0051687A"/>
    <w:rsid w:val="00520F9D"/>
    <w:rsid w:val="00522B1C"/>
    <w:rsid w:val="00522C79"/>
    <w:rsid w:val="00526901"/>
    <w:rsid w:val="00527B0B"/>
    <w:rsid w:val="0053000F"/>
    <w:rsid w:val="0053675A"/>
    <w:rsid w:val="00537012"/>
    <w:rsid w:val="00540A5B"/>
    <w:rsid w:val="00541945"/>
    <w:rsid w:val="00542163"/>
    <w:rsid w:val="00542F4D"/>
    <w:rsid w:val="00543A54"/>
    <w:rsid w:val="0055060D"/>
    <w:rsid w:val="00551B65"/>
    <w:rsid w:val="0055458B"/>
    <w:rsid w:val="00555098"/>
    <w:rsid w:val="00555739"/>
    <w:rsid w:val="0055666B"/>
    <w:rsid w:val="005579F2"/>
    <w:rsid w:val="00564085"/>
    <w:rsid w:val="00565047"/>
    <w:rsid w:val="0056509D"/>
    <w:rsid w:val="00566AA6"/>
    <w:rsid w:val="0056771A"/>
    <w:rsid w:val="0057068F"/>
    <w:rsid w:val="00570C6F"/>
    <w:rsid w:val="0057112E"/>
    <w:rsid w:val="0057389A"/>
    <w:rsid w:val="00581806"/>
    <w:rsid w:val="005837D2"/>
    <w:rsid w:val="00583CBB"/>
    <w:rsid w:val="005865FC"/>
    <w:rsid w:val="0058791C"/>
    <w:rsid w:val="00593243"/>
    <w:rsid w:val="005937DC"/>
    <w:rsid w:val="005A1F5D"/>
    <w:rsid w:val="005A3914"/>
    <w:rsid w:val="005A43C7"/>
    <w:rsid w:val="005A45FE"/>
    <w:rsid w:val="005A509B"/>
    <w:rsid w:val="005A59B8"/>
    <w:rsid w:val="005B09E7"/>
    <w:rsid w:val="005B0CFB"/>
    <w:rsid w:val="005B5590"/>
    <w:rsid w:val="005B678C"/>
    <w:rsid w:val="005C0154"/>
    <w:rsid w:val="005C071B"/>
    <w:rsid w:val="005C0EC1"/>
    <w:rsid w:val="005C17C2"/>
    <w:rsid w:val="005C1A95"/>
    <w:rsid w:val="005C39E5"/>
    <w:rsid w:val="005C41DC"/>
    <w:rsid w:val="005C4B0F"/>
    <w:rsid w:val="005C56AC"/>
    <w:rsid w:val="005C71EC"/>
    <w:rsid w:val="005D0474"/>
    <w:rsid w:val="005D16DA"/>
    <w:rsid w:val="005D4C9C"/>
    <w:rsid w:val="005D50DF"/>
    <w:rsid w:val="005D5207"/>
    <w:rsid w:val="005D6FFE"/>
    <w:rsid w:val="005D7FE9"/>
    <w:rsid w:val="005E2EFA"/>
    <w:rsid w:val="005E4FD1"/>
    <w:rsid w:val="005E517D"/>
    <w:rsid w:val="005E5999"/>
    <w:rsid w:val="005F0073"/>
    <w:rsid w:val="005F46B1"/>
    <w:rsid w:val="005F4F04"/>
    <w:rsid w:val="005F7C76"/>
    <w:rsid w:val="006007D5"/>
    <w:rsid w:val="00603156"/>
    <w:rsid w:val="006038F6"/>
    <w:rsid w:val="00603EB7"/>
    <w:rsid w:val="00603F5C"/>
    <w:rsid w:val="00607EBC"/>
    <w:rsid w:val="00610A9D"/>
    <w:rsid w:val="00612DE0"/>
    <w:rsid w:val="00616D6B"/>
    <w:rsid w:val="0062317F"/>
    <w:rsid w:val="00625D8F"/>
    <w:rsid w:val="00626542"/>
    <w:rsid w:val="00626B6F"/>
    <w:rsid w:val="00626CF9"/>
    <w:rsid w:val="006307F0"/>
    <w:rsid w:val="006315C2"/>
    <w:rsid w:val="006329C4"/>
    <w:rsid w:val="006332FF"/>
    <w:rsid w:val="006333A9"/>
    <w:rsid w:val="006361F2"/>
    <w:rsid w:val="006364C8"/>
    <w:rsid w:val="006379D7"/>
    <w:rsid w:val="0064186F"/>
    <w:rsid w:val="00643ABF"/>
    <w:rsid w:val="006446EA"/>
    <w:rsid w:val="00644A5C"/>
    <w:rsid w:val="0064684B"/>
    <w:rsid w:val="00646AB4"/>
    <w:rsid w:val="00647FF7"/>
    <w:rsid w:val="0065089A"/>
    <w:rsid w:val="00651E6E"/>
    <w:rsid w:val="006521FE"/>
    <w:rsid w:val="00652ACF"/>
    <w:rsid w:val="00652D23"/>
    <w:rsid w:val="00653202"/>
    <w:rsid w:val="00653241"/>
    <w:rsid w:val="00654717"/>
    <w:rsid w:val="00654ADA"/>
    <w:rsid w:val="00654DB2"/>
    <w:rsid w:val="006551D0"/>
    <w:rsid w:val="0065534D"/>
    <w:rsid w:val="006566EA"/>
    <w:rsid w:val="00657C66"/>
    <w:rsid w:val="00663334"/>
    <w:rsid w:val="00666411"/>
    <w:rsid w:val="0066656F"/>
    <w:rsid w:val="00666C14"/>
    <w:rsid w:val="00670596"/>
    <w:rsid w:val="00670F11"/>
    <w:rsid w:val="00672CDD"/>
    <w:rsid w:val="00674119"/>
    <w:rsid w:val="00674B29"/>
    <w:rsid w:val="0067595D"/>
    <w:rsid w:val="0067647E"/>
    <w:rsid w:val="00677D2A"/>
    <w:rsid w:val="00680CFC"/>
    <w:rsid w:val="00684755"/>
    <w:rsid w:val="006858CD"/>
    <w:rsid w:val="00686F07"/>
    <w:rsid w:val="00686F28"/>
    <w:rsid w:val="00687B94"/>
    <w:rsid w:val="00690901"/>
    <w:rsid w:val="00691AE9"/>
    <w:rsid w:val="00692C0B"/>
    <w:rsid w:val="00693957"/>
    <w:rsid w:val="00694B02"/>
    <w:rsid w:val="006958DC"/>
    <w:rsid w:val="00697D03"/>
    <w:rsid w:val="006A08CE"/>
    <w:rsid w:val="006A0E07"/>
    <w:rsid w:val="006A6842"/>
    <w:rsid w:val="006A70C9"/>
    <w:rsid w:val="006B2A8B"/>
    <w:rsid w:val="006B43F6"/>
    <w:rsid w:val="006B4660"/>
    <w:rsid w:val="006B5869"/>
    <w:rsid w:val="006B5D2A"/>
    <w:rsid w:val="006B7229"/>
    <w:rsid w:val="006C1A26"/>
    <w:rsid w:val="006C2D1A"/>
    <w:rsid w:val="006C3A50"/>
    <w:rsid w:val="006C7BD4"/>
    <w:rsid w:val="006D0821"/>
    <w:rsid w:val="006D097D"/>
    <w:rsid w:val="006D1731"/>
    <w:rsid w:val="006D5600"/>
    <w:rsid w:val="006E050D"/>
    <w:rsid w:val="006E0634"/>
    <w:rsid w:val="006E2C1E"/>
    <w:rsid w:val="006E422B"/>
    <w:rsid w:val="006E4A50"/>
    <w:rsid w:val="006E544A"/>
    <w:rsid w:val="006E5790"/>
    <w:rsid w:val="006E61EC"/>
    <w:rsid w:val="006E6546"/>
    <w:rsid w:val="006E6951"/>
    <w:rsid w:val="006F25EA"/>
    <w:rsid w:val="006F61FE"/>
    <w:rsid w:val="006F6D49"/>
    <w:rsid w:val="006F7983"/>
    <w:rsid w:val="00700523"/>
    <w:rsid w:val="007016F0"/>
    <w:rsid w:val="00702534"/>
    <w:rsid w:val="007026B9"/>
    <w:rsid w:val="00704133"/>
    <w:rsid w:val="00705D3F"/>
    <w:rsid w:val="00707C5D"/>
    <w:rsid w:val="00712073"/>
    <w:rsid w:val="007120BC"/>
    <w:rsid w:val="00712127"/>
    <w:rsid w:val="007128A3"/>
    <w:rsid w:val="00712C10"/>
    <w:rsid w:val="0071352F"/>
    <w:rsid w:val="00714079"/>
    <w:rsid w:val="0071441D"/>
    <w:rsid w:val="00716546"/>
    <w:rsid w:val="007172C7"/>
    <w:rsid w:val="00717D3B"/>
    <w:rsid w:val="007200B9"/>
    <w:rsid w:val="00721111"/>
    <w:rsid w:val="007233E9"/>
    <w:rsid w:val="00723838"/>
    <w:rsid w:val="00723E47"/>
    <w:rsid w:val="00726267"/>
    <w:rsid w:val="00726408"/>
    <w:rsid w:val="007309A5"/>
    <w:rsid w:val="00730EEE"/>
    <w:rsid w:val="00731516"/>
    <w:rsid w:val="00733B79"/>
    <w:rsid w:val="00734086"/>
    <w:rsid w:val="0073424C"/>
    <w:rsid w:val="007358A1"/>
    <w:rsid w:val="00735BA6"/>
    <w:rsid w:val="00737DFA"/>
    <w:rsid w:val="00740320"/>
    <w:rsid w:val="00744351"/>
    <w:rsid w:val="00744ECA"/>
    <w:rsid w:val="007452E1"/>
    <w:rsid w:val="00746551"/>
    <w:rsid w:val="007506C0"/>
    <w:rsid w:val="00754EF2"/>
    <w:rsid w:val="00755847"/>
    <w:rsid w:val="00755CE0"/>
    <w:rsid w:val="00755FF5"/>
    <w:rsid w:val="00756D5B"/>
    <w:rsid w:val="00760AA2"/>
    <w:rsid w:val="00764112"/>
    <w:rsid w:val="00765E23"/>
    <w:rsid w:val="00766176"/>
    <w:rsid w:val="0076647D"/>
    <w:rsid w:val="00767563"/>
    <w:rsid w:val="0077182E"/>
    <w:rsid w:val="00772A0F"/>
    <w:rsid w:val="0077374F"/>
    <w:rsid w:val="00773940"/>
    <w:rsid w:val="007740EE"/>
    <w:rsid w:val="00777BB2"/>
    <w:rsid w:val="00777EAD"/>
    <w:rsid w:val="0078102E"/>
    <w:rsid w:val="0078142D"/>
    <w:rsid w:val="00781A18"/>
    <w:rsid w:val="00783B54"/>
    <w:rsid w:val="007840EB"/>
    <w:rsid w:val="00785DDE"/>
    <w:rsid w:val="00787DF6"/>
    <w:rsid w:val="0079665D"/>
    <w:rsid w:val="0079772C"/>
    <w:rsid w:val="007978C2"/>
    <w:rsid w:val="007A3282"/>
    <w:rsid w:val="007A5A42"/>
    <w:rsid w:val="007B0532"/>
    <w:rsid w:val="007B060B"/>
    <w:rsid w:val="007B0B96"/>
    <w:rsid w:val="007B0BD3"/>
    <w:rsid w:val="007B1D1E"/>
    <w:rsid w:val="007B2725"/>
    <w:rsid w:val="007B28F0"/>
    <w:rsid w:val="007B4C3B"/>
    <w:rsid w:val="007B510F"/>
    <w:rsid w:val="007C1CA3"/>
    <w:rsid w:val="007C31CD"/>
    <w:rsid w:val="007C6A54"/>
    <w:rsid w:val="007D1D93"/>
    <w:rsid w:val="007D277F"/>
    <w:rsid w:val="007D57CE"/>
    <w:rsid w:val="007E0DB3"/>
    <w:rsid w:val="007E125F"/>
    <w:rsid w:val="007E1688"/>
    <w:rsid w:val="007E3E69"/>
    <w:rsid w:val="007E4879"/>
    <w:rsid w:val="007E522A"/>
    <w:rsid w:val="007F269A"/>
    <w:rsid w:val="007F3D33"/>
    <w:rsid w:val="007F4FD6"/>
    <w:rsid w:val="007F5B16"/>
    <w:rsid w:val="007F6432"/>
    <w:rsid w:val="007F7AF1"/>
    <w:rsid w:val="00806F40"/>
    <w:rsid w:val="00810C96"/>
    <w:rsid w:val="00813D5A"/>
    <w:rsid w:val="00814255"/>
    <w:rsid w:val="00816352"/>
    <w:rsid w:val="008171A5"/>
    <w:rsid w:val="00821890"/>
    <w:rsid w:val="00821C57"/>
    <w:rsid w:val="00823A28"/>
    <w:rsid w:val="00825343"/>
    <w:rsid w:val="00826FE2"/>
    <w:rsid w:val="0082770E"/>
    <w:rsid w:val="008300BD"/>
    <w:rsid w:val="00830803"/>
    <w:rsid w:val="00834B7A"/>
    <w:rsid w:val="00834BB7"/>
    <w:rsid w:val="00840E76"/>
    <w:rsid w:val="0084416B"/>
    <w:rsid w:val="008479B6"/>
    <w:rsid w:val="008513D8"/>
    <w:rsid w:val="0085165E"/>
    <w:rsid w:val="00853A78"/>
    <w:rsid w:val="00856838"/>
    <w:rsid w:val="00856DCB"/>
    <w:rsid w:val="00856F85"/>
    <w:rsid w:val="0085756B"/>
    <w:rsid w:val="00857D4C"/>
    <w:rsid w:val="00861F13"/>
    <w:rsid w:val="008672FA"/>
    <w:rsid w:val="00867D60"/>
    <w:rsid w:val="008720FC"/>
    <w:rsid w:val="00874B96"/>
    <w:rsid w:val="00877A85"/>
    <w:rsid w:val="00882A1E"/>
    <w:rsid w:val="00882DA1"/>
    <w:rsid w:val="00883000"/>
    <w:rsid w:val="00885229"/>
    <w:rsid w:val="00885C20"/>
    <w:rsid w:val="00886A35"/>
    <w:rsid w:val="008905CD"/>
    <w:rsid w:val="00892B0B"/>
    <w:rsid w:val="0089442D"/>
    <w:rsid w:val="008953EF"/>
    <w:rsid w:val="00896C19"/>
    <w:rsid w:val="00897FE6"/>
    <w:rsid w:val="008A1F33"/>
    <w:rsid w:val="008A22C9"/>
    <w:rsid w:val="008A5CAA"/>
    <w:rsid w:val="008A5ECB"/>
    <w:rsid w:val="008A6F59"/>
    <w:rsid w:val="008B40FC"/>
    <w:rsid w:val="008B680B"/>
    <w:rsid w:val="008B6FED"/>
    <w:rsid w:val="008B78BF"/>
    <w:rsid w:val="008C040B"/>
    <w:rsid w:val="008C2E10"/>
    <w:rsid w:val="008C3302"/>
    <w:rsid w:val="008C3EF9"/>
    <w:rsid w:val="008C5D1D"/>
    <w:rsid w:val="008C6AF2"/>
    <w:rsid w:val="008D0FB7"/>
    <w:rsid w:val="008D4A50"/>
    <w:rsid w:val="008D6354"/>
    <w:rsid w:val="008E0820"/>
    <w:rsid w:val="008E127C"/>
    <w:rsid w:val="008E323A"/>
    <w:rsid w:val="008E5498"/>
    <w:rsid w:val="008E7D48"/>
    <w:rsid w:val="008F0517"/>
    <w:rsid w:val="008F0BCB"/>
    <w:rsid w:val="008F0E07"/>
    <w:rsid w:val="008F1077"/>
    <w:rsid w:val="008F268D"/>
    <w:rsid w:val="008F32DB"/>
    <w:rsid w:val="008F3D94"/>
    <w:rsid w:val="008F4A5B"/>
    <w:rsid w:val="008F62C9"/>
    <w:rsid w:val="008F6EF0"/>
    <w:rsid w:val="009004D5"/>
    <w:rsid w:val="009014CC"/>
    <w:rsid w:val="00907EC5"/>
    <w:rsid w:val="00910D80"/>
    <w:rsid w:val="00912243"/>
    <w:rsid w:val="0091411D"/>
    <w:rsid w:val="0091582A"/>
    <w:rsid w:val="0091753D"/>
    <w:rsid w:val="00922A3D"/>
    <w:rsid w:val="009248E8"/>
    <w:rsid w:val="0092525A"/>
    <w:rsid w:val="009266DF"/>
    <w:rsid w:val="00927301"/>
    <w:rsid w:val="00934FE6"/>
    <w:rsid w:val="00936FF3"/>
    <w:rsid w:val="0094133A"/>
    <w:rsid w:val="009417E5"/>
    <w:rsid w:val="00942B9C"/>
    <w:rsid w:val="009453D7"/>
    <w:rsid w:val="00945C5B"/>
    <w:rsid w:val="00946771"/>
    <w:rsid w:val="00946F62"/>
    <w:rsid w:val="009474CD"/>
    <w:rsid w:val="00950ED7"/>
    <w:rsid w:val="0095252A"/>
    <w:rsid w:val="00952A22"/>
    <w:rsid w:val="00952BE4"/>
    <w:rsid w:val="00954208"/>
    <w:rsid w:val="009556F8"/>
    <w:rsid w:val="00960408"/>
    <w:rsid w:val="00960DA9"/>
    <w:rsid w:val="00961B24"/>
    <w:rsid w:val="00962909"/>
    <w:rsid w:val="00964864"/>
    <w:rsid w:val="00965787"/>
    <w:rsid w:val="009707A6"/>
    <w:rsid w:val="00970907"/>
    <w:rsid w:val="009764CC"/>
    <w:rsid w:val="00977C04"/>
    <w:rsid w:val="00981C3D"/>
    <w:rsid w:val="00981D27"/>
    <w:rsid w:val="0098292E"/>
    <w:rsid w:val="0098578B"/>
    <w:rsid w:val="00987001"/>
    <w:rsid w:val="009935EA"/>
    <w:rsid w:val="00993D77"/>
    <w:rsid w:val="00994959"/>
    <w:rsid w:val="00997180"/>
    <w:rsid w:val="00997C4D"/>
    <w:rsid w:val="009A1385"/>
    <w:rsid w:val="009A2AA2"/>
    <w:rsid w:val="009A2BD7"/>
    <w:rsid w:val="009A30CB"/>
    <w:rsid w:val="009A3E36"/>
    <w:rsid w:val="009A504A"/>
    <w:rsid w:val="009A5E60"/>
    <w:rsid w:val="009B2FD5"/>
    <w:rsid w:val="009B310E"/>
    <w:rsid w:val="009B54CE"/>
    <w:rsid w:val="009B60E2"/>
    <w:rsid w:val="009C00D0"/>
    <w:rsid w:val="009C1C7A"/>
    <w:rsid w:val="009C2013"/>
    <w:rsid w:val="009C2971"/>
    <w:rsid w:val="009C459D"/>
    <w:rsid w:val="009C5DB5"/>
    <w:rsid w:val="009C69C0"/>
    <w:rsid w:val="009C6C0E"/>
    <w:rsid w:val="009D08FE"/>
    <w:rsid w:val="009D6515"/>
    <w:rsid w:val="009D729D"/>
    <w:rsid w:val="009E036D"/>
    <w:rsid w:val="009E1330"/>
    <w:rsid w:val="009E29C0"/>
    <w:rsid w:val="009E2F6C"/>
    <w:rsid w:val="009E300A"/>
    <w:rsid w:val="009E5232"/>
    <w:rsid w:val="009E7423"/>
    <w:rsid w:val="009E7653"/>
    <w:rsid w:val="009F00BE"/>
    <w:rsid w:val="009F3D2C"/>
    <w:rsid w:val="00A00363"/>
    <w:rsid w:val="00A00384"/>
    <w:rsid w:val="00A003EC"/>
    <w:rsid w:val="00A01433"/>
    <w:rsid w:val="00A01DC3"/>
    <w:rsid w:val="00A02087"/>
    <w:rsid w:val="00A03941"/>
    <w:rsid w:val="00A042B0"/>
    <w:rsid w:val="00A10F19"/>
    <w:rsid w:val="00A131BC"/>
    <w:rsid w:val="00A13817"/>
    <w:rsid w:val="00A139D3"/>
    <w:rsid w:val="00A13C92"/>
    <w:rsid w:val="00A14D20"/>
    <w:rsid w:val="00A15080"/>
    <w:rsid w:val="00A16C50"/>
    <w:rsid w:val="00A20484"/>
    <w:rsid w:val="00A206D5"/>
    <w:rsid w:val="00A210A0"/>
    <w:rsid w:val="00A22BF3"/>
    <w:rsid w:val="00A24AC2"/>
    <w:rsid w:val="00A251D9"/>
    <w:rsid w:val="00A25DB4"/>
    <w:rsid w:val="00A26F90"/>
    <w:rsid w:val="00A27AB7"/>
    <w:rsid w:val="00A3188F"/>
    <w:rsid w:val="00A31A32"/>
    <w:rsid w:val="00A3317B"/>
    <w:rsid w:val="00A33C93"/>
    <w:rsid w:val="00A355B5"/>
    <w:rsid w:val="00A376A8"/>
    <w:rsid w:val="00A379C8"/>
    <w:rsid w:val="00A42191"/>
    <w:rsid w:val="00A4270D"/>
    <w:rsid w:val="00A4298E"/>
    <w:rsid w:val="00A42E1B"/>
    <w:rsid w:val="00A4369F"/>
    <w:rsid w:val="00A44256"/>
    <w:rsid w:val="00A45CB8"/>
    <w:rsid w:val="00A46534"/>
    <w:rsid w:val="00A50F55"/>
    <w:rsid w:val="00A513A5"/>
    <w:rsid w:val="00A51943"/>
    <w:rsid w:val="00A5218E"/>
    <w:rsid w:val="00A52921"/>
    <w:rsid w:val="00A54701"/>
    <w:rsid w:val="00A56216"/>
    <w:rsid w:val="00A56459"/>
    <w:rsid w:val="00A606CB"/>
    <w:rsid w:val="00A62250"/>
    <w:rsid w:val="00A62A64"/>
    <w:rsid w:val="00A63C75"/>
    <w:rsid w:val="00A6494D"/>
    <w:rsid w:val="00A66F46"/>
    <w:rsid w:val="00A6719C"/>
    <w:rsid w:val="00A71A07"/>
    <w:rsid w:val="00A74056"/>
    <w:rsid w:val="00A76A88"/>
    <w:rsid w:val="00A77E9F"/>
    <w:rsid w:val="00A8086C"/>
    <w:rsid w:val="00A8158B"/>
    <w:rsid w:val="00A81689"/>
    <w:rsid w:val="00A81FB4"/>
    <w:rsid w:val="00A864A8"/>
    <w:rsid w:val="00A86C33"/>
    <w:rsid w:val="00A923FD"/>
    <w:rsid w:val="00A92B2A"/>
    <w:rsid w:val="00A939C6"/>
    <w:rsid w:val="00A94DA6"/>
    <w:rsid w:val="00A96B7A"/>
    <w:rsid w:val="00A96EE2"/>
    <w:rsid w:val="00AA06DF"/>
    <w:rsid w:val="00AA0976"/>
    <w:rsid w:val="00AA1742"/>
    <w:rsid w:val="00AA21D2"/>
    <w:rsid w:val="00AA5DBE"/>
    <w:rsid w:val="00AB2120"/>
    <w:rsid w:val="00AB5784"/>
    <w:rsid w:val="00AB5BAF"/>
    <w:rsid w:val="00AB7059"/>
    <w:rsid w:val="00AC0E7F"/>
    <w:rsid w:val="00AC13B3"/>
    <w:rsid w:val="00AC23BB"/>
    <w:rsid w:val="00AC4567"/>
    <w:rsid w:val="00AC460D"/>
    <w:rsid w:val="00AC5399"/>
    <w:rsid w:val="00AC6B36"/>
    <w:rsid w:val="00AC769F"/>
    <w:rsid w:val="00AD0A17"/>
    <w:rsid w:val="00AD0F5D"/>
    <w:rsid w:val="00AD1420"/>
    <w:rsid w:val="00AD1967"/>
    <w:rsid w:val="00AD3C12"/>
    <w:rsid w:val="00AD4985"/>
    <w:rsid w:val="00AD4CA3"/>
    <w:rsid w:val="00AE07C3"/>
    <w:rsid w:val="00AE3437"/>
    <w:rsid w:val="00AE3534"/>
    <w:rsid w:val="00AE572C"/>
    <w:rsid w:val="00AE71AB"/>
    <w:rsid w:val="00AF1674"/>
    <w:rsid w:val="00AF3383"/>
    <w:rsid w:val="00AF3B7F"/>
    <w:rsid w:val="00AF47AE"/>
    <w:rsid w:val="00AF59C7"/>
    <w:rsid w:val="00AF7C03"/>
    <w:rsid w:val="00B0025A"/>
    <w:rsid w:val="00B00602"/>
    <w:rsid w:val="00B0097A"/>
    <w:rsid w:val="00B00BC7"/>
    <w:rsid w:val="00B00EC3"/>
    <w:rsid w:val="00B01417"/>
    <w:rsid w:val="00B016C4"/>
    <w:rsid w:val="00B033BC"/>
    <w:rsid w:val="00B045D7"/>
    <w:rsid w:val="00B06710"/>
    <w:rsid w:val="00B10124"/>
    <w:rsid w:val="00B11979"/>
    <w:rsid w:val="00B13380"/>
    <w:rsid w:val="00B154FE"/>
    <w:rsid w:val="00B155EE"/>
    <w:rsid w:val="00B1753E"/>
    <w:rsid w:val="00B17A7D"/>
    <w:rsid w:val="00B22BA0"/>
    <w:rsid w:val="00B2336E"/>
    <w:rsid w:val="00B27B10"/>
    <w:rsid w:val="00B31550"/>
    <w:rsid w:val="00B31F9F"/>
    <w:rsid w:val="00B32830"/>
    <w:rsid w:val="00B32B37"/>
    <w:rsid w:val="00B33435"/>
    <w:rsid w:val="00B3740E"/>
    <w:rsid w:val="00B4150A"/>
    <w:rsid w:val="00B43C16"/>
    <w:rsid w:val="00B461FC"/>
    <w:rsid w:val="00B46F8B"/>
    <w:rsid w:val="00B47186"/>
    <w:rsid w:val="00B47F51"/>
    <w:rsid w:val="00B50EF8"/>
    <w:rsid w:val="00B50F71"/>
    <w:rsid w:val="00B519CA"/>
    <w:rsid w:val="00B51AF6"/>
    <w:rsid w:val="00B51B0F"/>
    <w:rsid w:val="00B53149"/>
    <w:rsid w:val="00B5473F"/>
    <w:rsid w:val="00B54BBF"/>
    <w:rsid w:val="00B57A2F"/>
    <w:rsid w:val="00B62994"/>
    <w:rsid w:val="00B6377F"/>
    <w:rsid w:val="00B642A1"/>
    <w:rsid w:val="00B65C91"/>
    <w:rsid w:val="00B67884"/>
    <w:rsid w:val="00B70EAD"/>
    <w:rsid w:val="00B7120B"/>
    <w:rsid w:val="00B744C2"/>
    <w:rsid w:val="00B744F6"/>
    <w:rsid w:val="00B75309"/>
    <w:rsid w:val="00B7553E"/>
    <w:rsid w:val="00B75EAC"/>
    <w:rsid w:val="00B779B8"/>
    <w:rsid w:val="00B77CAE"/>
    <w:rsid w:val="00B828B5"/>
    <w:rsid w:val="00B82FCD"/>
    <w:rsid w:val="00B86496"/>
    <w:rsid w:val="00B87558"/>
    <w:rsid w:val="00B91FB7"/>
    <w:rsid w:val="00B923D1"/>
    <w:rsid w:val="00B97BCA"/>
    <w:rsid w:val="00BA0696"/>
    <w:rsid w:val="00BA1E6F"/>
    <w:rsid w:val="00BA6C45"/>
    <w:rsid w:val="00BA7380"/>
    <w:rsid w:val="00BA74B9"/>
    <w:rsid w:val="00BA7C2C"/>
    <w:rsid w:val="00BB296E"/>
    <w:rsid w:val="00BB45D2"/>
    <w:rsid w:val="00BB620E"/>
    <w:rsid w:val="00BB6FD9"/>
    <w:rsid w:val="00BC0331"/>
    <w:rsid w:val="00BC32DA"/>
    <w:rsid w:val="00BC3B22"/>
    <w:rsid w:val="00BC4FE2"/>
    <w:rsid w:val="00BC6573"/>
    <w:rsid w:val="00BC7FF0"/>
    <w:rsid w:val="00BD02BD"/>
    <w:rsid w:val="00BD610C"/>
    <w:rsid w:val="00BD76FE"/>
    <w:rsid w:val="00BD7DB2"/>
    <w:rsid w:val="00BD7F41"/>
    <w:rsid w:val="00BE7A4F"/>
    <w:rsid w:val="00BE7BCC"/>
    <w:rsid w:val="00BF2FDB"/>
    <w:rsid w:val="00BF3C31"/>
    <w:rsid w:val="00BF7DFE"/>
    <w:rsid w:val="00C02292"/>
    <w:rsid w:val="00C038DE"/>
    <w:rsid w:val="00C03A6A"/>
    <w:rsid w:val="00C04D04"/>
    <w:rsid w:val="00C05C5D"/>
    <w:rsid w:val="00C07A0F"/>
    <w:rsid w:val="00C116B1"/>
    <w:rsid w:val="00C11A1D"/>
    <w:rsid w:val="00C1469E"/>
    <w:rsid w:val="00C20413"/>
    <w:rsid w:val="00C20A94"/>
    <w:rsid w:val="00C21CD7"/>
    <w:rsid w:val="00C2235A"/>
    <w:rsid w:val="00C22F92"/>
    <w:rsid w:val="00C2700C"/>
    <w:rsid w:val="00C27E3A"/>
    <w:rsid w:val="00C3046B"/>
    <w:rsid w:val="00C3139C"/>
    <w:rsid w:val="00C33BC2"/>
    <w:rsid w:val="00C33FBD"/>
    <w:rsid w:val="00C358CF"/>
    <w:rsid w:val="00C36350"/>
    <w:rsid w:val="00C36767"/>
    <w:rsid w:val="00C37D64"/>
    <w:rsid w:val="00C41E15"/>
    <w:rsid w:val="00C42972"/>
    <w:rsid w:val="00C42D8F"/>
    <w:rsid w:val="00C43000"/>
    <w:rsid w:val="00C44CBC"/>
    <w:rsid w:val="00C46672"/>
    <w:rsid w:val="00C50520"/>
    <w:rsid w:val="00C512C7"/>
    <w:rsid w:val="00C51BA8"/>
    <w:rsid w:val="00C525A7"/>
    <w:rsid w:val="00C52777"/>
    <w:rsid w:val="00C528CD"/>
    <w:rsid w:val="00C52D87"/>
    <w:rsid w:val="00C53189"/>
    <w:rsid w:val="00C53715"/>
    <w:rsid w:val="00C545F2"/>
    <w:rsid w:val="00C56C8B"/>
    <w:rsid w:val="00C5716A"/>
    <w:rsid w:val="00C60627"/>
    <w:rsid w:val="00C606E0"/>
    <w:rsid w:val="00C60D17"/>
    <w:rsid w:val="00C62039"/>
    <w:rsid w:val="00C628F0"/>
    <w:rsid w:val="00C65455"/>
    <w:rsid w:val="00C74E8E"/>
    <w:rsid w:val="00C75E22"/>
    <w:rsid w:val="00C80466"/>
    <w:rsid w:val="00C81384"/>
    <w:rsid w:val="00C82E9A"/>
    <w:rsid w:val="00C84855"/>
    <w:rsid w:val="00C84FAF"/>
    <w:rsid w:val="00C86512"/>
    <w:rsid w:val="00C86CEF"/>
    <w:rsid w:val="00C86E22"/>
    <w:rsid w:val="00C86F35"/>
    <w:rsid w:val="00C91197"/>
    <w:rsid w:val="00C914E5"/>
    <w:rsid w:val="00C93740"/>
    <w:rsid w:val="00C93A70"/>
    <w:rsid w:val="00C964AD"/>
    <w:rsid w:val="00C9743B"/>
    <w:rsid w:val="00CA39B8"/>
    <w:rsid w:val="00CA4EF2"/>
    <w:rsid w:val="00CA6B84"/>
    <w:rsid w:val="00CB092F"/>
    <w:rsid w:val="00CB47B8"/>
    <w:rsid w:val="00CB4DBF"/>
    <w:rsid w:val="00CB7157"/>
    <w:rsid w:val="00CB7C92"/>
    <w:rsid w:val="00CC0766"/>
    <w:rsid w:val="00CC139F"/>
    <w:rsid w:val="00CC21A4"/>
    <w:rsid w:val="00CC2871"/>
    <w:rsid w:val="00CC6D46"/>
    <w:rsid w:val="00CC6FF0"/>
    <w:rsid w:val="00CC74CB"/>
    <w:rsid w:val="00CD1C65"/>
    <w:rsid w:val="00CD23AB"/>
    <w:rsid w:val="00CD326F"/>
    <w:rsid w:val="00CD3E4E"/>
    <w:rsid w:val="00CD404B"/>
    <w:rsid w:val="00CD68DA"/>
    <w:rsid w:val="00CD704D"/>
    <w:rsid w:val="00CD7276"/>
    <w:rsid w:val="00CD7EAE"/>
    <w:rsid w:val="00CE2E79"/>
    <w:rsid w:val="00CF2C3F"/>
    <w:rsid w:val="00CF4F93"/>
    <w:rsid w:val="00CF5CA5"/>
    <w:rsid w:val="00D02CB9"/>
    <w:rsid w:val="00D03497"/>
    <w:rsid w:val="00D03E8B"/>
    <w:rsid w:val="00D07763"/>
    <w:rsid w:val="00D07978"/>
    <w:rsid w:val="00D12FCE"/>
    <w:rsid w:val="00D141DA"/>
    <w:rsid w:val="00D17729"/>
    <w:rsid w:val="00D203E9"/>
    <w:rsid w:val="00D205E0"/>
    <w:rsid w:val="00D20E23"/>
    <w:rsid w:val="00D22BD7"/>
    <w:rsid w:val="00D2353C"/>
    <w:rsid w:val="00D24AE1"/>
    <w:rsid w:val="00D255FF"/>
    <w:rsid w:val="00D26188"/>
    <w:rsid w:val="00D272B6"/>
    <w:rsid w:val="00D30EB4"/>
    <w:rsid w:val="00D349BA"/>
    <w:rsid w:val="00D36306"/>
    <w:rsid w:val="00D36874"/>
    <w:rsid w:val="00D41FA5"/>
    <w:rsid w:val="00D439A7"/>
    <w:rsid w:val="00D43D04"/>
    <w:rsid w:val="00D5069D"/>
    <w:rsid w:val="00D51750"/>
    <w:rsid w:val="00D542FB"/>
    <w:rsid w:val="00D57FB5"/>
    <w:rsid w:val="00D6129B"/>
    <w:rsid w:val="00D6215C"/>
    <w:rsid w:val="00D64973"/>
    <w:rsid w:val="00D67F70"/>
    <w:rsid w:val="00D70D75"/>
    <w:rsid w:val="00D71595"/>
    <w:rsid w:val="00D73677"/>
    <w:rsid w:val="00D74644"/>
    <w:rsid w:val="00D748C4"/>
    <w:rsid w:val="00D74FDA"/>
    <w:rsid w:val="00D766EE"/>
    <w:rsid w:val="00D81801"/>
    <w:rsid w:val="00D81FAB"/>
    <w:rsid w:val="00D82A87"/>
    <w:rsid w:val="00D82AAE"/>
    <w:rsid w:val="00D843DA"/>
    <w:rsid w:val="00D84432"/>
    <w:rsid w:val="00D87B44"/>
    <w:rsid w:val="00D90468"/>
    <w:rsid w:val="00D909D0"/>
    <w:rsid w:val="00D90B52"/>
    <w:rsid w:val="00D90D48"/>
    <w:rsid w:val="00D91028"/>
    <w:rsid w:val="00D9237A"/>
    <w:rsid w:val="00D9350F"/>
    <w:rsid w:val="00D942FB"/>
    <w:rsid w:val="00DA009A"/>
    <w:rsid w:val="00DA1BB4"/>
    <w:rsid w:val="00DA207A"/>
    <w:rsid w:val="00DA272B"/>
    <w:rsid w:val="00DA29D2"/>
    <w:rsid w:val="00DA4D81"/>
    <w:rsid w:val="00DA5831"/>
    <w:rsid w:val="00DA59DE"/>
    <w:rsid w:val="00DA5BAE"/>
    <w:rsid w:val="00DA6975"/>
    <w:rsid w:val="00DB1862"/>
    <w:rsid w:val="00DB2A3F"/>
    <w:rsid w:val="00DB3C7A"/>
    <w:rsid w:val="00DB5148"/>
    <w:rsid w:val="00DB6F17"/>
    <w:rsid w:val="00DB7641"/>
    <w:rsid w:val="00DB7A28"/>
    <w:rsid w:val="00DC11D0"/>
    <w:rsid w:val="00DC4CD7"/>
    <w:rsid w:val="00DC7D5F"/>
    <w:rsid w:val="00DD0378"/>
    <w:rsid w:val="00DD0C7C"/>
    <w:rsid w:val="00DD1384"/>
    <w:rsid w:val="00DD3F7F"/>
    <w:rsid w:val="00DD4E89"/>
    <w:rsid w:val="00DD5600"/>
    <w:rsid w:val="00DD58B6"/>
    <w:rsid w:val="00DD6A92"/>
    <w:rsid w:val="00DD793E"/>
    <w:rsid w:val="00DE19AB"/>
    <w:rsid w:val="00DE1FE5"/>
    <w:rsid w:val="00DE2227"/>
    <w:rsid w:val="00DE22AE"/>
    <w:rsid w:val="00DE3E49"/>
    <w:rsid w:val="00DE42DA"/>
    <w:rsid w:val="00DE5656"/>
    <w:rsid w:val="00DE7F2D"/>
    <w:rsid w:val="00DF1927"/>
    <w:rsid w:val="00DF4F73"/>
    <w:rsid w:val="00DF7380"/>
    <w:rsid w:val="00DF7F3B"/>
    <w:rsid w:val="00E0247C"/>
    <w:rsid w:val="00E04FF4"/>
    <w:rsid w:val="00E06FE4"/>
    <w:rsid w:val="00E0703D"/>
    <w:rsid w:val="00E07D7C"/>
    <w:rsid w:val="00E11917"/>
    <w:rsid w:val="00E14982"/>
    <w:rsid w:val="00E174DE"/>
    <w:rsid w:val="00E17CF3"/>
    <w:rsid w:val="00E2196D"/>
    <w:rsid w:val="00E245A2"/>
    <w:rsid w:val="00E2467B"/>
    <w:rsid w:val="00E24788"/>
    <w:rsid w:val="00E24B46"/>
    <w:rsid w:val="00E27211"/>
    <w:rsid w:val="00E27DAD"/>
    <w:rsid w:val="00E30133"/>
    <w:rsid w:val="00E31F41"/>
    <w:rsid w:val="00E3395F"/>
    <w:rsid w:val="00E3420D"/>
    <w:rsid w:val="00E35DBC"/>
    <w:rsid w:val="00E36ABC"/>
    <w:rsid w:val="00E37513"/>
    <w:rsid w:val="00E37C4A"/>
    <w:rsid w:val="00E403AB"/>
    <w:rsid w:val="00E43508"/>
    <w:rsid w:val="00E44352"/>
    <w:rsid w:val="00E4444D"/>
    <w:rsid w:val="00E44E5F"/>
    <w:rsid w:val="00E468BC"/>
    <w:rsid w:val="00E47BA3"/>
    <w:rsid w:val="00E522BB"/>
    <w:rsid w:val="00E530CD"/>
    <w:rsid w:val="00E53CA5"/>
    <w:rsid w:val="00E5526E"/>
    <w:rsid w:val="00E55958"/>
    <w:rsid w:val="00E56584"/>
    <w:rsid w:val="00E5662B"/>
    <w:rsid w:val="00E57291"/>
    <w:rsid w:val="00E60A84"/>
    <w:rsid w:val="00E60F6C"/>
    <w:rsid w:val="00E623DB"/>
    <w:rsid w:val="00E62C0B"/>
    <w:rsid w:val="00E7165B"/>
    <w:rsid w:val="00E731B1"/>
    <w:rsid w:val="00E735C4"/>
    <w:rsid w:val="00E74C1A"/>
    <w:rsid w:val="00E75AF8"/>
    <w:rsid w:val="00E80DA9"/>
    <w:rsid w:val="00E812E1"/>
    <w:rsid w:val="00E816D1"/>
    <w:rsid w:val="00E82365"/>
    <w:rsid w:val="00E84123"/>
    <w:rsid w:val="00E8594F"/>
    <w:rsid w:val="00E90237"/>
    <w:rsid w:val="00E92216"/>
    <w:rsid w:val="00E93932"/>
    <w:rsid w:val="00E93F37"/>
    <w:rsid w:val="00E94D75"/>
    <w:rsid w:val="00E94FAF"/>
    <w:rsid w:val="00E95996"/>
    <w:rsid w:val="00EA45CD"/>
    <w:rsid w:val="00EA6F5F"/>
    <w:rsid w:val="00EB0182"/>
    <w:rsid w:val="00EB0619"/>
    <w:rsid w:val="00EB2138"/>
    <w:rsid w:val="00EB29E5"/>
    <w:rsid w:val="00EB3CD3"/>
    <w:rsid w:val="00EB41B2"/>
    <w:rsid w:val="00EB6504"/>
    <w:rsid w:val="00EB6743"/>
    <w:rsid w:val="00EC101C"/>
    <w:rsid w:val="00EC592E"/>
    <w:rsid w:val="00EC6D2A"/>
    <w:rsid w:val="00ED0A92"/>
    <w:rsid w:val="00ED1D20"/>
    <w:rsid w:val="00ED1DA2"/>
    <w:rsid w:val="00ED27ED"/>
    <w:rsid w:val="00ED3E05"/>
    <w:rsid w:val="00EE1ECA"/>
    <w:rsid w:val="00EE2082"/>
    <w:rsid w:val="00EE339B"/>
    <w:rsid w:val="00EE3616"/>
    <w:rsid w:val="00EE54A6"/>
    <w:rsid w:val="00EE7D6F"/>
    <w:rsid w:val="00EF0CC5"/>
    <w:rsid w:val="00EF3100"/>
    <w:rsid w:val="00EF5DC2"/>
    <w:rsid w:val="00EF72F6"/>
    <w:rsid w:val="00F034BA"/>
    <w:rsid w:val="00F03FCA"/>
    <w:rsid w:val="00F073E3"/>
    <w:rsid w:val="00F10374"/>
    <w:rsid w:val="00F11477"/>
    <w:rsid w:val="00F1193D"/>
    <w:rsid w:val="00F12B11"/>
    <w:rsid w:val="00F12D47"/>
    <w:rsid w:val="00F12ED6"/>
    <w:rsid w:val="00F160A9"/>
    <w:rsid w:val="00F16A5E"/>
    <w:rsid w:val="00F202D8"/>
    <w:rsid w:val="00F2122E"/>
    <w:rsid w:val="00F21519"/>
    <w:rsid w:val="00F2261C"/>
    <w:rsid w:val="00F22B56"/>
    <w:rsid w:val="00F22DD9"/>
    <w:rsid w:val="00F231EF"/>
    <w:rsid w:val="00F2358F"/>
    <w:rsid w:val="00F31562"/>
    <w:rsid w:val="00F34BB6"/>
    <w:rsid w:val="00F35099"/>
    <w:rsid w:val="00F350EB"/>
    <w:rsid w:val="00F36D70"/>
    <w:rsid w:val="00F37F9D"/>
    <w:rsid w:val="00F400FD"/>
    <w:rsid w:val="00F44BA6"/>
    <w:rsid w:val="00F5254B"/>
    <w:rsid w:val="00F52C7B"/>
    <w:rsid w:val="00F54D7F"/>
    <w:rsid w:val="00F55129"/>
    <w:rsid w:val="00F576B6"/>
    <w:rsid w:val="00F57CBE"/>
    <w:rsid w:val="00F60AD4"/>
    <w:rsid w:val="00F60D8B"/>
    <w:rsid w:val="00F620EA"/>
    <w:rsid w:val="00F64012"/>
    <w:rsid w:val="00F643D3"/>
    <w:rsid w:val="00F65314"/>
    <w:rsid w:val="00F65E53"/>
    <w:rsid w:val="00F65FF8"/>
    <w:rsid w:val="00F67601"/>
    <w:rsid w:val="00F70832"/>
    <w:rsid w:val="00F70E89"/>
    <w:rsid w:val="00F72A88"/>
    <w:rsid w:val="00F73CE7"/>
    <w:rsid w:val="00F743F3"/>
    <w:rsid w:val="00F75054"/>
    <w:rsid w:val="00F76AC2"/>
    <w:rsid w:val="00F773D2"/>
    <w:rsid w:val="00F80C2A"/>
    <w:rsid w:val="00F81619"/>
    <w:rsid w:val="00F8445F"/>
    <w:rsid w:val="00F85495"/>
    <w:rsid w:val="00F91230"/>
    <w:rsid w:val="00F925E4"/>
    <w:rsid w:val="00F952FB"/>
    <w:rsid w:val="00F962F7"/>
    <w:rsid w:val="00F97801"/>
    <w:rsid w:val="00FA1A9A"/>
    <w:rsid w:val="00FA2362"/>
    <w:rsid w:val="00FA4F32"/>
    <w:rsid w:val="00FA691D"/>
    <w:rsid w:val="00FA72C4"/>
    <w:rsid w:val="00FA7964"/>
    <w:rsid w:val="00FB10F2"/>
    <w:rsid w:val="00FB2A18"/>
    <w:rsid w:val="00FB2D58"/>
    <w:rsid w:val="00FB48A0"/>
    <w:rsid w:val="00FB5356"/>
    <w:rsid w:val="00FB7397"/>
    <w:rsid w:val="00FC530D"/>
    <w:rsid w:val="00FC6958"/>
    <w:rsid w:val="00FD0D26"/>
    <w:rsid w:val="00FD21AE"/>
    <w:rsid w:val="00FD2A34"/>
    <w:rsid w:val="00FD2E22"/>
    <w:rsid w:val="00FD4677"/>
    <w:rsid w:val="00FD771A"/>
    <w:rsid w:val="00FE2761"/>
    <w:rsid w:val="00FE3291"/>
    <w:rsid w:val="00FE32CD"/>
    <w:rsid w:val="00FE3363"/>
    <w:rsid w:val="00FE51AC"/>
    <w:rsid w:val="00FE56EE"/>
    <w:rsid w:val="00FF08CA"/>
    <w:rsid w:val="00FF08E1"/>
    <w:rsid w:val="00FF0AAB"/>
    <w:rsid w:val="00FF4BF1"/>
    <w:rsid w:val="00FF6A0E"/>
    <w:rsid w:val="00FF6D68"/>
    <w:rsid w:val="00FF79F3"/>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Default Paragraph Font" w:uiPriority="1"/>
    <w:lsdException w:name="Subtitle" w:semiHidden="0" w:unhideWhenUsed="0"/>
    <w:lsdException w:name="Strong" w:semiHidden="0" w:unhideWhenUsed="0"/>
    <w:lsdException w:name="Emphasis" w:semiHidden="0" w:uiPriority="99" w:unhideWhenUsed="0"/>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E530CD"/>
    <w:pPr>
      <w:spacing w:line="360" w:lineRule="auto"/>
    </w:pPr>
    <w:rPr>
      <w:rFonts w:ascii="Arial" w:hAnsi="Arial"/>
      <w:lang w:val="en-GB" w:eastAsia="de-DE"/>
    </w:rPr>
  </w:style>
  <w:style w:type="paragraph" w:styleId="Kop1">
    <w:name w:val="heading 1"/>
    <w:basedOn w:val="Standaard"/>
    <w:next w:val="Standaard"/>
    <w:link w:val="Kop1Char"/>
    <w:qFormat/>
    <w:rsid w:val="007506C0"/>
    <w:pPr>
      <w:keepNext/>
      <w:numPr>
        <w:numId w:val="1"/>
      </w:numPr>
      <w:spacing w:before="240" w:after="60"/>
      <w:outlineLvl w:val="0"/>
    </w:pPr>
    <w:rPr>
      <w:rFonts w:cs="Arial"/>
      <w:b/>
      <w:bCs/>
      <w:kern w:val="32"/>
      <w:sz w:val="32"/>
      <w:szCs w:val="32"/>
    </w:rPr>
  </w:style>
  <w:style w:type="paragraph" w:styleId="Kop2">
    <w:name w:val="heading 2"/>
    <w:aliases w:val="heading2,h2"/>
    <w:basedOn w:val="Standaard"/>
    <w:next w:val="Standaard"/>
    <w:link w:val="Kop2Char"/>
    <w:qFormat/>
    <w:rsid w:val="007506C0"/>
    <w:pPr>
      <w:keepNext/>
      <w:numPr>
        <w:ilvl w:val="1"/>
        <w:numId w:val="1"/>
      </w:numPr>
      <w:spacing w:before="240" w:after="60"/>
      <w:outlineLvl w:val="1"/>
    </w:pPr>
    <w:rPr>
      <w:rFonts w:cs="Arial"/>
      <w:b/>
      <w:bCs/>
      <w:i/>
      <w:iCs/>
      <w:sz w:val="28"/>
      <w:szCs w:val="28"/>
    </w:rPr>
  </w:style>
  <w:style w:type="paragraph" w:styleId="Kop3">
    <w:name w:val="heading 3"/>
    <w:aliases w:val="Heading 3 Char"/>
    <w:basedOn w:val="Standaard"/>
    <w:next w:val="Standaard"/>
    <w:link w:val="Kop3Char"/>
    <w:qFormat/>
    <w:rsid w:val="000447F1"/>
    <w:pPr>
      <w:keepNext/>
      <w:numPr>
        <w:ilvl w:val="2"/>
        <w:numId w:val="4"/>
      </w:numPr>
      <w:spacing w:before="240" w:after="240"/>
      <w:jc w:val="both"/>
      <w:outlineLvl w:val="2"/>
    </w:pPr>
    <w:rPr>
      <w:rFonts w:cs="Arial"/>
      <w:b/>
      <w:bCs/>
      <w:sz w:val="24"/>
      <w:szCs w:val="26"/>
    </w:rPr>
  </w:style>
  <w:style w:type="paragraph" w:styleId="Kop4">
    <w:name w:val="heading 4"/>
    <w:aliases w:val="bro Titre 4,h4,Heading 4 Char,8.1.1.1Überschrift 4,H4"/>
    <w:basedOn w:val="Kop3"/>
    <w:next w:val="Absatz"/>
    <w:link w:val="Kop4Char"/>
    <w:autoRedefine/>
    <w:qFormat/>
    <w:rsid w:val="00DE5656"/>
    <w:pPr>
      <w:numPr>
        <w:ilvl w:val="3"/>
      </w:numPr>
      <w:ind w:left="1276" w:hanging="1276"/>
      <w:outlineLvl w:val="3"/>
    </w:pPr>
  </w:style>
  <w:style w:type="paragraph" w:styleId="Kop5">
    <w:name w:val="heading 5"/>
    <w:basedOn w:val="Kop1"/>
    <w:next w:val="Absatz"/>
    <w:link w:val="Kop5Char"/>
    <w:qFormat/>
    <w:rsid w:val="00566AA6"/>
    <w:pPr>
      <w:numPr>
        <w:ilvl w:val="4"/>
        <w:numId w:val="4"/>
      </w:numPr>
      <w:spacing w:after="255" w:line="255" w:lineRule="exact"/>
      <w:jc w:val="both"/>
      <w:outlineLvl w:val="4"/>
    </w:pPr>
    <w:rPr>
      <w:rFonts w:eastAsia="Calibri"/>
      <w:b w:val="0"/>
      <w:sz w:val="22"/>
      <w:szCs w:val="36"/>
      <w:lang w:eastAsia="en-US"/>
    </w:rPr>
  </w:style>
  <w:style w:type="paragraph" w:styleId="Kop6">
    <w:name w:val="heading 6"/>
    <w:basedOn w:val="Kop5"/>
    <w:next w:val="Absatz"/>
    <w:link w:val="Kop6Char"/>
    <w:qFormat/>
    <w:rsid w:val="00566AA6"/>
    <w:pPr>
      <w:numPr>
        <w:ilvl w:val="5"/>
      </w:numPr>
      <w:outlineLvl w:val="5"/>
    </w:pPr>
    <w:rPr>
      <w:i/>
    </w:rPr>
  </w:style>
  <w:style w:type="paragraph" w:styleId="Kop7">
    <w:name w:val="heading 7"/>
    <w:basedOn w:val="Kop1"/>
    <w:next w:val="Absatz"/>
    <w:link w:val="Kop7Char"/>
    <w:qFormat/>
    <w:rsid w:val="00E530CD"/>
    <w:pPr>
      <w:numPr>
        <w:numId w:val="0"/>
      </w:numPr>
      <w:spacing w:after="255" w:line="255" w:lineRule="exact"/>
      <w:ind w:left="1296" w:hanging="1296"/>
      <w:outlineLvl w:val="6"/>
    </w:pPr>
    <w:rPr>
      <w:b w:val="0"/>
      <w:sz w:val="22"/>
      <w:szCs w:val="36"/>
    </w:rPr>
  </w:style>
  <w:style w:type="paragraph" w:styleId="Kop8">
    <w:name w:val="heading 8"/>
    <w:basedOn w:val="Kop1"/>
    <w:next w:val="Absatz"/>
    <w:link w:val="Kop8Char"/>
    <w:qFormat/>
    <w:rsid w:val="00E530CD"/>
    <w:pPr>
      <w:numPr>
        <w:numId w:val="0"/>
      </w:numPr>
      <w:spacing w:after="255" w:line="255" w:lineRule="exact"/>
      <w:ind w:left="1440" w:hanging="1440"/>
      <w:outlineLvl w:val="7"/>
    </w:pPr>
    <w:rPr>
      <w:b w:val="0"/>
      <w:sz w:val="22"/>
      <w:szCs w:val="36"/>
    </w:rPr>
  </w:style>
  <w:style w:type="paragraph" w:styleId="Kop9">
    <w:name w:val="heading 9"/>
    <w:basedOn w:val="Kop1"/>
    <w:next w:val="Absatz"/>
    <w:link w:val="Kop9Char"/>
    <w:qFormat/>
    <w:rsid w:val="00E530CD"/>
    <w:pPr>
      <w:numPr>
        <w:numId w:val="0"/>
      </w:numPr>
      <w:spacing w:after="255" w:line="255" w:lineRule="exact"/>
      <w:ind w:left="1584" w:hanging="1584"/>
      <w:outlineLvl w:val="8"/>
    </w:pPr>
    <w:rPr>
      <w:b w:val="0"/>
      <w:sz w:val="22"/>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06C0"/>
    <w:rPr>
      <w:rFonts w:ascii="Arial" w:hAnsi="Arial" w:cs="Arial"/>
      <w:b/>
      <w:bCs/>
      <w:kern w:val="32"/>
      <w:sz w:val="32"/>
      <w:szCs w:val="32"/>
      <w:lang w:val="en-GB" w:eastAsia="de-DE"/>
    </w:rPr>
  </w:style>
  <w:style w:type="character" w:customStyle="1" w:styleId="Kop2Char">
    <w:name w:val="Kop 2 Char"/>
    <w:aliases w:val="heading2 Char,h2 Char"/>
    <w:basedOn w:val="Standaardalinea-lettertype"/>
    <w:link w:val="Kop2"/>
    <w:rsid w:val="007506C0"/>
    <w:rPr>
      <w:rFonts w:ascii="Arial" w:hAnsi="Arial" w:cs="Arial"/>
      <w:b/>
      <w:bCs/>
      <w:i/>
      <w:iCs/>
      <w:sz w:val="28"/>
      <w:szCs w:val="28"/>
      <w:lang w:val="en-GB" w:eastAsia="de-DE"/>
    </w:rPr>
  </w:style>
  <w:style w:type="character" w:customStyle="1" w:styleId="Kop3Char">
    <w:name w:val="Kop 3 Char"/>
    <w:aliases w:val="Heading 3 Char Char1"/>
    <w:basedOn w:val="Standaardalinea-lettertype"/>
    <w:link w:val="Kop3"/>
    <w:rsid w:val="000447F1"/>
    <w:rPr>
      <w:rFonts w:ascii="Arial" w:hAnsi="Arial" w:cs="Arial"/>
      <w:b/>
      <w:bCs/>
      <w:sz w:val="24"/>
      <w:szCs w:val="26"/>
      <w:lang w:val="en-GB" w:eastAsia="de-DE"/>
    </w:rPr>
  </w:style>
  <w:style w:type="paragraph" w:styleId="Bijschrift">
    <w:name w:val="caption"/>
    <w:basedOn w:val="Standaard"/>
    <w:next w:val="Standaard"/>
    <w:link w:val="BijschriftChar"/>
    <w:qFormat/>
    <w:rsid w:val="007506C0"/>
    <w:rPr>
      <w:b/>
      <w:bCs/>
    </w:rPr>
  </w:style>
  <w:style w:type="character" w:customStyle="1" w:styleId="Kop4Char">
    <w:name w:val="Kop 4 Char"/>
    <w:aliases w:val="bro Titre 4 Char,h4 Char,Heading 4 Char Char,8.1.1.1Überschrift 4 Char,H4 Char"/>
    <w:basedOn w:val="Standaardalinea-lettertype"/>
    <w:link w:val="Kop4"/>
    <w:rsid w:val="00DE5656"/>
    <w:rPr>
      <w:rFonts w:ascii="Arial" w:hAnsi="Arial" w:cs="Arial"/>
      <w:b/>
      <w:bCs/>
      <w:sz w:val="24"/>
      <w:szCs w:val="26"/>
      <w:lang w:val="en-GB" w:eastAsia="de-DE"/>
    </w:rPr>
  </w:style>
  <w:style w:type="character" w:customStyle="1" w:styleId="Kop5Char">
    <w:name w:val="Kop 5 Char"/>
    <w:basedOn w:val="Standaardalinea-lettertype"/>
    <w:link w:val="Kop5"/>
    <w:rsid w:val="00566AA6"/>
    <w:rPr>
      <w:rFonts w:ascii="Arial" w:eastAsia="Calibri" w:hAnsi="Arial" w:cs="Arial"/>
      <w:bCs/>
      <w:kern w:val="32"/>
      <w:sz w:val="22"/>
      <w:szCs w:val="36"/>
      <w:lang w:val="en-GB"/>
    </w:rPr>
  </w:style>
  <w:style w:type="character" w:customStyle="1" w:styleId="Kop6Char">
    <w:name w:val="Kop 6 Char"/>
    <w:basedOn w:val="Standaardalinea-lettertype"/>
    <w:link w:val="Kop6"/>
    <w:rsid w:val="00566AA6"/>
    <w:rPr>
      <w:rFonts w:ascii="Arial" w:eastAsia="Calibri" w:hAnsi="Arial" w:cs="Arial"/>
      <w:bCs/>
      <w:i/>
      <w:kern w:val="32"/>
      <w:sz w:val="22"/>
      <w:szCs w:val="36"/>
      <w:lang w:val="en-GB"/>
    </w:rPr>
  </w:style>
  <w:style w:type="character" w:customStyle="1" w:styleId="Kop7Char">
    <w:name w:val="Kop 7 Char"/>
    <w:basedOn w:val="Standaardalinea-lettertype"/>
    <w:link w:val="Kop7"/>
    <w:rsid w:val="00E530CD"/>
    <w:rPr>
      <w:rFonts w:ascii="Arial" w:hAnsi="Arial" w:cs="Arial"/>
      <w:bCs/>
      <w:kern w:val="32"/>
      <w:sz w:val="22"/>
      <w:szCs w:val="36"/>
      <w:lang w:eastAsia="de-DE"/>
    </w:rPr>
  </w:style>
  <w:style w:type="character" w:customStyle="1" w:styleId="Kop8Char">
    <w:name w:val="Kop 8 Char"/>
    <w:basedOn w:val="Standaardalinea-lettertype"/>
    <w:link w:val="Kop8"/>
    <w:rsid w:val="00E530CD"/>
    <w:rPr>
      <w:rFonts w:ascii="Arial" w:hAnsi="Arial" w:cs="Arial"/>
      <w:bCs/>
      <w:kern w:val="32"/>
      <w:sz w:val="22"/>
      <w:szCs w:val="36"/>
      <w:lang w:eastAsia="de-DE"/>
    </w:rPr>
  </w:style>
  <w:style w:type="character" w:customStyle="1" w:styleId="Kop9Char">
    <w:name w:val="Kop 9 Char"/>
    <w:basedOn w:val="Standaardalinea-lettertype"/>
    <w:link w:val="Kop9"/>
    <w:rsid w:val="00E530CD"/>
    <w:rPr>
      <w:rFonts w:ascii="Arial" w:hAnsi="Arial" w:cs="Arial"/>
      <w:bCs/>
      <w:kern w:val="32"/>
      <w:sz w:val="22"/>
      <w:szCs w:val="36"/>
      <w:lang w:eastAsia="de-DE"/>
    </w:rPr>
  </w:style>
  <w:style w:type="paragraph" w:customStyle="1" w:styleId="Absatz">
    <w:name w:val="Absatz"/>
    <w:basedOn w:val="Standaard"/>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Koptekst">
    <w:name w:val="header"/>
    <w:aliases w:val="header protocols,Header 1,H"/>
    <w:link w:val="KoptekstChar"/>
    <w:rsid w:val="00E530CD"/>
    <w:pPr>
      <w:tabs>
        <w:tab w:val="center" w:pos="4536"/>
        <w:tab w:val="right" w:pos="9072"/>
      </w:tabs>
    </w:pPr>
    <w:rPr>
      <w:sz w:val="22"/>
      <w:lang w:eastAsia="de-DE"/>
    </w:rPr>
  </w:style>
  <w:style w:type="character" w:customStyle="1" w:styleId="KoptekstChar">
    <w:name w:val="Koptekst Char"/>
    <w:aliases w:val="header protocols Char,Header 1 Char,H Char"/>
    <w:basedOn w:val="Standaardalinea-lettertype"/>
    <w:link w:val="Koptekst"/>
    <w:rsid w:val="00E530CD"/>
    <w:rPr>
      <w:sz w:val="22"/>
      <w:lang w:eastAsia="de-DE"/>
    </w:rPr>
  </w:style>
  <w:style w:type="paragraph" w:styleId="Voettekst">
    <w:name w:val="footer"/>
    <w:basedOn w:val="Standaard"/>
    <w:link w:val="VoettekstChar"/>
    <w:rsid w:val="00E530CD"/>
    <w:pPr>
      <w:tabs>
        <w:tab w:val="center" w:pos="4536"/>
        <w:tab w:val="right" w:pos="9072"/>
      </w:tabs>
    </w:pPr>
    <w:rPr>
      <w:rFonts w:ascii="Times New Roman" w:hAnsi="Times New Roman"/>
    </w:rPr>
  </w:style>
  <w:style w:type="character" w:customStyle="1" w:styleId="VoettekstChar">
    <w:name w:val="Voettekst Char"/>
    <w:basedOn w:val="Standaardalinea-lettertype"/>
    <w:link w:val="Voettekst"/>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Standaard"/>
    <w:rsid w:val="00E530CD"/>
    <w:pPr>
      <w:spacing w:line="255" w:lineRule="exact"/>
    </w:pPr>
    <w:rPr>
      <w:rFonts w:ascii="Times New Roman" w:hAnsi="Times New Roman"/>
      <w:b/>
    </w:rPr>
  </w:style>
  <w:style w:type="paragraph" w:customStyle="1" w:styleId="Strich-Liste">
    <w:name w:val="Strich-Liste"/>
    <w:basedOn w:val="Standaard"/>
    <w:rsid w:val="00E530CD"/>
    <w:pPr>
      <w:spacing w:line="255" w:lineRule="exact"/>
      <w:ind w:left="2013" w:hanging="284"/>
    </w:pPr>
  </w:style>
  <w:style w:type="paragraph" w:customStyle="1" w:styleId="Punkt-Liste">
    <w:name w:val="Punkt-Liste"/>
    <w:basedOn w:val="Standaard"/>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Standaard"/>
    <w:rsid w:val="00E530CD"/>
    <w:pPr>
      <w:spacing w:line="255" w:lineRule="exact"/>
      <w:ind w:left="3458" w:hanging="1729"/>
    </w:pPr>
  </w:style>
  <w:style w:type="paragraph" w:customStyle="1" w:styleId="berschriftimText">
    <w:name w:val="Überschrift im Text"/>
    <w:basedOn w:val="Standaard"/>
    <w:next w:val="Absatz"/>
    <w:rsid w:val="00E530CD"/>
    <w:pPr>
      <w:spacing w:after="255" w:line="255" w:lineRule="exact"/>
      <w:ind w:left="1729"/>
    </w:pPr>
    <w:rPr>
      <w:b/>
      <w:u w:val="single"/>
    </w:rPr>
  </w:style>
  <w:style w:type="paragraph" w:customStyle="1" w:styleId="Einrckung">
    <w:name w:val="Einrückung"/>
    <w:basedOn w:val="Standaard"/>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rsid w:val="00E530CD"/>
    <w:pPr>
      <w:spacing w:line="198" w:lineRule="exact"/>
      <w:ind w:left="221" w:hanging="221"/>
    </w:pPr>
    <w:rPr>
      <w:rFonts w:ascii="Times New Roman" w:hAnsi="Times New Roman"/>
    </w:rPr>
  </w:style>
  <w:style w:type="paragraph" w:customStyle="1" w:styleId="berschriftAS">
    <w:name w:val="Überschrift AS"/>
    <w:basedOn w:val="Standaard"/>
    <w:next w:val="Standaard"/>
    <w:rsid w:val="00E530CD"/>
    <w:pPr>
      <w:keepNext/>
      <w:spacing w:after="1020" w:line="383" w:lineRule="exact"/>
    </w:pPr>
    <w:rPr>
      <w:sz w:val="30"/>
    </w:rPr>
  </w:style>
  <w:style w:type="paragraph" w:customStyle="1" w:styleId="Abkrzungen">
    <w:name w:val="Abkürzungen"/>
    <w:basedOn w:val="Standaard"/>
    <w:rsid w:val="00E530CD"/>
    <w:pPr>
      <w:spacing w:line="255" w:lineRule="exact"/>
    </w:pPr>
    <w:rPr>
      <w:rFonts w:ascii="Times New Roman" w:hAnsi="Times New Roman"/>
    </w:rPr>
  </w:style>
  <w:style w:type="paragraph" w:customStyle="1" w:styleId="HalbeLeerzeile">
    <w:name w:val="Halbe Leerzeile"/>
    <w:basedOn w:val="Standaard"/>
    <w:rsid w:val="00E530CD"/>
    <w:pPr>
      <w:spacing w:line="128" w:lineRule="exact"/>
      <w:ind w:left="1729"/>
    </w:pPr>
    <w:rPr>
      <w:rFonts w:ascii="Times New Roman" w:hAnsi="Times New Roman"/>
      <w:sz w:val="16"/>
    </w:rPr>
  </w:style>
  <w:style w:type="paragraph" w:styleId="Index2">
    <w:name w:val="index 2"/>
    <w:basedOn w:val="Index1"/>
    <w:next w:val="Standaard"/>
    <w:semiHidden/>
    <w:rsid w:val="00E530CD"/>
    <w:pPr>
      <w:ind w:left="442"/>
    </w:pPr>
  </w:style>
  <w:style w:type="paragraph" w:styleId="Indexkop">
    <w:name w:val="index heading"/>
    <w:basedOn w:val="Standaard"/>
    <w:next w:val="Index1"/>
    <w:semiHidden/>
    <w:rsid w:val="00E530CD"/>
    <w:pPr>
      <w:spacing w:line="198" w:lineRule="exact"/>
    </w:pPr>
    <w:rPr>
      <w:rFonts w:ascii="Times New Roman" w:hAnsi="Times New Roman"/>
      <w:b/>
    </w:rPr>
  </w:style>
  <w:style w:type="paragraph" w:styleId="Inhopg1">
    <w:name w:val="toc 1"/>
    <w:aliases w:val="TOC 10"/>
    <w:next w:val="Standaard"/>
    <w:rsid w:val="00034F59"/>
    <w:pPr>
      <w:spacing w:before="120" w:after="120"/>
    </w:pPr>
    <w:rPr>
      <w:rFonts w:ascii="Arial" w:hAnsi="Arial"/>
      <w:b/>
      <w:bCs/>
      <w:lang w:val="en-GB" w:eastAsia="de-DE"/>
    </w:rPr>
  </w:style>
  <w:style w:type="paragraph" w:styleId="Inhopg2">
    <w:name w:val="toc 2"/>
    <w:next w:val="Standaard"/>
    <w:rsid w:val="00034F59"/>
    <w:pPr>
      <w:ind w:left="200"/>
    </w:pPr>
    <w:rPr>
      <w:rFonts w:ascii="Arial" w:hAnsi="Arial"/>
      <w:lang w:val="en-GB" w:eastAsia="de-DE"/>
    </w:rPr>
  </w:style>
  <w:style w:type="paragraph" w:styleId="Inhopg3">
    <w:name w:val="toc 3"/>
    <w:basedOn w:val="Inhopg2"/>
    <w:next w:val="Standaard"/>
    <w:rsid w:val="00E530CD"/>
    <w:pPr>
      <w:ind w:left="400"/>
    </w:pPr>
    <w:rPr>
      <w:i/>
      <w:iCs/>
      <w:smallCaps/>
    </w:rPr>
  </w:style>
  <w:style w:type="paragraph" w:styleId="Inhopg4">
    <w:name w:val="toc 4"/>
    <w:basedOn w:val="Inhopg2"/>
    <w:next w:val="Standaard"/>
    <w:rsid w:val="00E530CD"/>
    <w:pPr>
      <w:ind w:left="600"/>
    </w:pPr>
    <w:rPr>
      <w:smallCaps/>
      <w:sz w:val="18"/>
      <w:szCs w:val="18"/>
    </w:rPr>
  </w:style>
  <w:style w:type="paragraph" w:styleId="Inhopg5">
    <w:name w:val="toc 5"/>
    <w:basedOn w:val="Inhopg2"/>
    <w:next w:val="Standaard"/>
    <w:rsid w:val="00E530CD"/>
    <w:pPr>
      <w:ind w:left="800"/>
    </w:pPr>
    <w:rPr>
      <w:smallCaps/>
      <w:sz w:val="18"/>
      <w:szCs w:val="18"/>
    </w:rPr>
  </w:style>
  <w:style w:type="paragraph" w:styleId="Inhopg6">
    <w:name w:val="toc 6"/>
    <w:basedOn w:val="Inhopg2"/>
    <w:next w:val="Standaard"/>
    <w:rsid w:val="00E530CD"/>
    <w:pPr>
      <w:ind w:left="1000"/>
    </w:pPr>
    <w:rPr>
      <w:smallCaps/>
      <w:sz w:val="18"/>
      <w:szCs w:val="18"/>
    </w:rPr>
  </w:style>
  <w:style w:type="paragraph" w:styleId="Inhopg7">
    <w:name w:val="toc 7"/>
    <w:basedOn w:val="Inhopg2"/>
    <w:next w:val="Standaard"/>
    <w:rsid w:val="00E530CD"/>
    <w:pPr>
      <w:ind w:left="1200"/>
    </w:pPr>
    <w:rPr>
      <w:smallCaps/>
      <w:sz w:val="18"/>
      <w:szCs w:val="18"/>
    </w:rPr>
  </w:style>
  <w:style w:type="paragraph" w:styleId="Inhopg8">
    <w:name w:val="toc 8"/>
    <w:basedOn w:val="Inhopg2"/>
    <w:next w:val="Standaard"/>
    <w:rsid w:val="00E530CD"/>
    <w:pPr>
      <w:ind w:left="1400"/>
    </w:pPr>
    <w:rPr>
      <w:smallCaps/>
      <w:sz w:val="18"/>
      <w:szCs w:val="18"/>
    </w:rPr>
  </w:style>
  <w:style w:type="paragraph" w:styleId="Inhopg9">
    <w:name w:val="toc 9"/>
    <w:basedOn w:val="Inhopg2"/>
    <w:next w:val="Standaard"/>
    <w:rsid w:val="00E530CD"/>
    <w:pPr>
      <w:ind w:left="1600"/>
    </w:pPr>
    <w:rPr>
      <w:smallCaps/>
      <w:sz w:val="18"/>
      <w:szCs w:val="18"/>
    </w:rPr>
  </w:style>
  <w:style w:type="paragraph" w:customStyle="1" w:styleId="Gliederungslinie">
    <w:name w:val="Gliederungslinie"/>
    <w:basedOn w:val="Standaard"/>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jst">
    <w:name w:val="List"/>
    <w:basedOn w:val="Standaard"/>
    <w:rsid w:val="00E530C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rsid w:val="00E530CD"/>
    <w:pPr>
      <w:keepNext/>
      <w:spacing w:after="1020" w:line="383" w:lineRule="exact"/>
    </w:pPr>
    <w:rPr>
      <w:sz w:val="30"/>
    </w:rPr>
  </w:style>
  <w:style w:type="paragraph" w:styleId="Voetnoottekst">
    <w:name w:val="footnote text"/>
    <w:basedOn w:val="Standaard"/>
    <w:link w:val="VoetnoottekstChar"/>
    <w:rsid w:val="00E530CD"/>
    <w:pPr>
      <w:ind w:left="284" w:hanging="284"/>
    </w:pPr>
    <w:rPr>
      <w:position w:val="4"/>
    </w:rPr>
  </w:style>
  <w:style w:type="character" w:customStyle="1" w:styleId="VoetnoottekstChar">
    <w:name w:val="Voetnoottekst Char"/>
    <w:basedOn w:val="Standaardalinea-lettertype"/>
    <w:link w:val="Voetnoottekst"/>
    <w:rsid w:val="00E530CD"/>
    <w:rPr>
      <w:rFonts w:ascii="Arial" w:hAnsi="Arial"/>
      <w:position w:val="4"/>
      <w:lang w:val="en-GB" w:eastAsia="de-DE"/>
    </w:rPr>
  </w:style>
  <w:style w:type="character" w:styleId="Voetnootmarkering">
    <w:name w:val="footnote reference"/>
    <w:rsid w:val="00E530CD"/>
    <w:rPr>
      <w:position w:val="8"/>
      <w:sz w:val="16"/>
    </w:rPr>
  </w:style>
  <w:style w:type="paragraph" w:styleId="Eindnoottekst">
    <w:name w:val="endnote text"/>
    <w:basedOn w:val="Standaard"/>
    <w:link w:val="EindnoottekstChar"/>
    <w:semiHidden/>
    <w:rsid w:val="00E530CD"/>
    <w:pPr>
      <w:spacing w:line="198" w:lineRule="exact"/>
      <w:ind w:left="284" w:hanging="284"/>
    </w:pPr>
    <w:rPr>
      <w:rFonts w:ascii="Times New Roman" w:hAnsi="Times New Roman"/>
      <w:position w:val="4"/>
    </w:rPr>
  </w:style>
  <w:style w:type="character" w:customStyle="1" w:styleId="EindnoottekstChar">
    <w:name w:val="Eindnoottekst Char"/>
    <w:basedOn w:val="Standaardalinea-lettertype"/>
    <w:link w:val="Eindnoottekst"/>
    <w:semiHidden/>
    <w:rsid w:val="00E530CD"/>
    <w:rPr>
      <w:position w:val="4"/>
      <w:lang w:val="en-GB" w:eastAsia="de-DE"/>
    </w:rPr>
  </w:style>
  <w:style w:type="character" w:styleId="Eindnootmarkering">
    <w:name w:val="endnote reference"/>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Standaard"/>
    <w:rsid w:val="00E530CD"/>
    <w:pPr>
      <w:spacing w:line="198" w:lineRule="exact"/>
    </w:pPr>
    <w:rPr>
      <w:rFonts w:ascii="Times New Roman" w:hAnsi="Times New Roman"/>
    </w:rPr>
  </w:style>
  <w:style w:type="paragraph" w:styleId="Lijstmetafbeeldingen">
    <w:name w:val="table of figures"/>
    <w:basedOn w:val="Standaard"/>
    <w:next w:val="Standaard"/>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Standaard"/>
    <w:rsid w:val="00E530CD"/>
    <w:pPr>
      <w:spacing w:before="100" w:after="100"/>
    </w:pPr>
  </w:style>
  <w:style w:type="paragraph" w:styleId="Plattetekst">
    <w:name w:val="Body Text"/>
    <w:basedOn w:val="Standaard"/>
    <w:link w:val="PlattetekstChar"/>
    <w:rsid w:val="00E530CD"/>
  </w:style>
  <w:style w:type="character" w:customStyle="1" w:styleId="PlattetekstChar">
    <w:name w:val="Platte tekst Char"/>
    <w:basedOn w:val="Standaardalinea-lettertype"/>
    <w:link w:val="Plattetekst"/>
    <w:rsid w:val="00E530CD"/>
    <w:rPr>
      <w:rFonts w:ascii="Arial" w:hAnsi="Arial"/>
      <w:lang w:val="en-GB" w:eastAsia="de-DE"/>
    </w:rPr>
  </w:style>
  <w:style w:type="character" w:styleId="Regelnummer">
    <w:name w:val="line number"/>
    <w:basedOn w:val="Standaardalinea-lettertype"/>
    <w:rsid w:val="00E530CD"/>
  </w:style>
  <w:style w:type="character" w:styleId="Verwijzingopmerking">
    <w:name w:val="annotation reference"/>
    <w:rsid w:val="00E530CD"/>
    <w:rPr>
      <w:sz w:val="16"/>
    </w:rPr>
  </w:style>
  <w:style w:type="paragraph" w:styleId="Tekstopmerking">
    <w:name w:val="annotation text"/>
    <w:basedOn w:val="Standaard"/>
    <w:link w:val="TekstopmerkingChar"/>
    <w:rsid w:val="00E530CD"/>
  </w:style>
  <w:style w:type="character" w:customStyle="1" w:styleId="TekstopmerkingChar">
    <w:name w:val="Tekst opmerking Char"/>
    <w:basedOn w:val="Standaardalinea-lettertype"/>
    <w:link w:val="Tekstopmerking"/>
    <w:rsid w:val="00E530CD"/>
    <w:rPr>
      <w:rFonts w:ascii="Arial" w:hAnsi="Arial"/>
      <w:lang w:val="en-GB" w:eastAsia="de-DE"/>
    </w:rPr>
  </w:style>
  <w:style w:type="paragraph" w:styleId="Documentstructuur">
    <w:name w:val="Document Map"/>
    <w:basedOn w:val="Standaard"/>
    <w:link w:val="DocumentstructuurChar"/>
    <w:semiHidden/>
    <w:rsid w:val="00E530CD"/>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E530CD"/>
    <w:rPr>
      <w:rFonts w:ascii="Tahoma" w:hAnsi="Tahoma"/>
      <w:shd w:val="clear" w:color="auto" w:fill="000080"/>
      <w:lang w:val="en-GB" w:eastAsia="de-DE"/>
    </w:rPr>
  </w:style>
  <w:style w:type="character" w:styleId="Hyperlink">
    <w:name w:val="Hyperlink"/>
    <w:rsid w:val="00E530CD"/>
    <w:rPr>
      <w:color w:val="0000FF"/>
      <w:u w:val="single"/>
    </w:rPr>
  </w:style>
  <w:style w:type="character" w:styleId="Paginanummer">
    <w:name w:val="page number"/>
    <w:basedOn w:val="Standaardalinea-lettertype"/>
    <w:rsid w:val="00E530CD"/>
  </w:style>
  <w:style w:type="paragraph" w:styleId="Plattetekstinspringen">
    <w:name w:val="Body Text Indent"/>
    <w:basedOn w:val="Standaard"/>
    <w:link w:val="PlattetekstinspringenChar"/>
    <w:rsid w:val="00E530CD"/>
    <w:pPr>
      <w:ind w:left="567"/>
    </w:pPr>
    <w:rPr>
      <w:sz w:val="24"/>
    </w:rPr>
  </w:style>
  <w:style w:type="character" w:customStyle="1" w:styleId="PlattetekstinspringenChar">
    <w:name w:val="Platte tekst inspringen Char"/>
    <w:basedOn w:val="Standaardalinea-lettertype"/>
    <w:link w:val="Plattetekstinspringen"/>
    <w:rsid w:val="00E530CD"/>
    <w:rPr>
      <w:rFonts w:ascii="Arial" w:hAnsi="Arial"/>
      <w:sz w:val="24"/>
      <w:lang w:val="en-GB" w:eastAsia="de-DE"/>
    </w:rPr>
  </w:style>
  <w:style w:type="paragraph" w:customStyle="1" w:styleId="Kopzeile-fett">
    <w:name w:val="Kopzeile-fett"/>
    <w:basedOn w:val="Koptekst"/>
    <w:rsid w:val="00E530CD"/>
    <w:pPr>
      <w:spacing w:after="120"/>
    </w:pPr>
    <w:rPr>
      <w:b/>
      <w:sz w:val="20"/>
    </w:rPr>
  </w:style>
  <w:style w:type="paragraph" w:styleId="Plattetekst2">
    <w:name w:val="Body Text 2"/>
    <w:basedOn w:val="Standaard"/>
    <w:link w:val="Plattetekst2Char"/>
    <w:rsid w:val="00E530CD"/>
    <w:pPr>
      <w:spacing w:before="60" w:after="60"/>
    </w:pPr>
    <w:rPr>
      <w:i/>
      <w:color w:val="0000FF"/>
    </w:rPr>
  </w:style>
  <w:style w:type="character" w:customStyle="1" w:styleId="Plattetekst2Char">
    <w:name w:val="Platte tekst 2 Char"/>
    <w:basedOn w:val="Standaardalinea-lettertype"/>
    <w:link w:val="Plattetekst2"/>
    <w:rsid w:val="00E530CD"/>
    <w:rPr>
      <w:rFonts w:ascii="Arial" w:hAnsi="Arial"/>
      <w:i/>
      <w:color w:val="0000FF"/>
      <w:lang w:val="en-GB" w:eastAsia="de-DE"/>
    </w:rPr>
  </w:style>
  <w:style w:type="paragraph" w:customStyle="1" w:styleId="Standard-fett">
    <w:name w:val="Standard-fett"/>
    <w:basedOn w:val="Standaard"/>
    <w:rsid w:val="00E530CD"/>
    <w:pPr>
      <w:spacing w:before="60" w:after="60"/>
    </w:pPr>
    <w:rPr>
      <w:b/>
    </w:rPr>
  </w:style>
  <w:style w:type="paragraph" w:customStyle="1" w:styleId="Official-Use">
    <w:name w:val="Official-Use"/>
    <w:basedOn w:val="Standaard"/>
    <w:rsid w:val="00E530CD"/>
    <w:pPr>
      <w:spacing w:before="60" w:after="60"/>
      <w:jc w:val="center"/>
    </w:pPr>
    <w:rPr>
      <w:sz w:val="16"/>
    </w:rPr>
  </w:style>
  <w:style w:type="paragraph" w:customStyle="1" w:styleId="SectionHeader">
    <w:name w:val="SectionHeader"/>
    <w:basedOn w:val="Standaard"/>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fzender">
    <w:name w:val="envelope return"/>
    <w:basedOn w:val="Standaard"/>
    <w:rsid w:val="00E530CD"/>
  </w:style>
  <w:style w:type="paragraph" w:styleId="Aanhef">
    <w:name w:val="Salutation"/>
    <w:basedOn w:val="Standaard"/>
    <w:next w:val="Standaard"/>
    <w:link w:val="AanhefChar"/>
    <w:rsid w:val="00E530CD"/>
  </w:style>
  <w:style w:type="character" w:customStyle="1" w:styleId="AanhefChar">
    <w:name w:val="Aanhef Char"/>
    <w:basedOn w:val="Standaardalinea-lettertype"/>
    <w:link w:val="Aanhef"/>
    <w:rsid w:val="00E530CD"/>
    <w:rPr>
      <w:rFonts w:ascii="Arial" w:hAnsi="Arial"/>
      <w:lang w:val="en-GB" w:eastAsia="de-DE"/>
    </w:rPr>
  </w:style>
  <w:style w:type="paragraph" w:styleId="Lijstopsomteken">
    <w:name w:val="List Bullet"/>
    <w:basedOn w:val="Standaard"/>
    <w:autoRedefine/>
    <w:rsid w:val="00E530CD"/>
    <w:pPr>
      <w:tabs>
        <w:tab w:val="num" w:pos="360"/>
      </w:tabs>
      <w:ind w:left="360" w:hanging="360"/>
    </w:pPr>
  </w:style>
  <w:style w:type="paragraph" w:styleId="Lijstopsomteken2">
    <w:name w:val="List Bullet 2"/>
    <w:basedOn w:val="Standaard"/>
    <w:autoRedefine/>
    <w:rsid w:val="00E530CD"/>
    <w:pPr>
      <w:tabs>
        <w:tab w:val="num" w:pos="643"/>
      </w:tabs>
      <w:ind w:left="643" w:hanging="360"/>
    </w:pPr>
  </w:style>
  <w:style w:type="paragraph" w:styleId="Lijstopsomteken3">
    <w:name w:val="List Bullet 3"/>
    <w:basedOn w:val="Standaard"/>
    <w:autoRedefine/>
    <w:rsid w:val="00E530CD"/>
    <w:pPr>
      <w:tabs>
        <w:tab w:val="num" w:pos="926"/>
      </w:tabs>
      <w:ind w:left="926" w:hanging="360"/>
    </w:pPr>
  </w:style>
  <w:style w:type="paragraph" w:styleId="Lijstopsomteken4">
    <w:name w:val="List Bullet 4"/>
    <w:basedOn w:val="Standaard"/>
    <w:autoRedefine/>
    <w:rsid w:val="00E530CD"/>
    <w:pPr>
      <w:tabs>
        <w:tab w:val="num" w:pos="1209"/>
      </w:tabs>
      <w:ind w:left="1209" w:hanging="360"/>
    </w:pPr>
  </w:style>
  <w:style w:type="paragraph" w:styleId="Lijstopsomteken5">
    <w:name w:val="List Bullet 5"/>
    <w:basedOn w:val="Standaard"/>
    <w:autoRedefine/>
    <w:rsid w:val="00E530CD"/>
    <w:pPr>
      <w:tabs>
        <w:tab w:val="num" w:pos="1492"/>
      </w:tabs>
      <w:ind w:left="1492" w:hanging="360"/>
    </w:pPr>
  </w:style>
  <w:style w:type="paragraph" w:styleId="Bloktekst">
    <w:name w:val="Block Text"/>
    <w:basedOn w:val="Standaard"/>
    <w:rsid w:val="00E530CD"/>
    <w:pPr>
      <w:ind w:left="1440" w:right="1440"/>
    </w:pPr>
  </w:style>
  <w:style w:type="paragraph" w:styleId="Datum">
    <w:name w:val="Date"/>
    <w:basedOn w:val="Standaard"/>
    <w:next w:val="Standaard"/>
    <w:link w:val="DatumChar"/>
    <w:rsid w:val="00E530CD"/>
  </w:style>
  <w:style w:type="character" w:customStyle="1" w:styleId="DatumChar">
    <w:name w:val="Datum Char"/>
    <w:basedOn w:val="Standaardalinea-lettertype"/>
    <w:link w:val="Datum"/>
    <w:rsid w:val="00E530CD"/>
    <w:rPr>
      <w:rFonts w:ascii="Arial" w:hAnsi="Arial"/>
      <w:lang w:val="en-GB" w:eastAsia="de-DE"/>
    </w:rPr>
  </w:style>
  <w:style w:type="paragraph" w:styleId="Notitiekop">
    <w:name w:val="Note Heading"/>
    <w:basedOn w:val="Standaard"/>
    <w:next w:val="Standaard"/>
    <w:link w:val="NotitiekopChar"/>
    <w:rsid w:val="00E530CD"/>
  </w:style>
  <w:style w:type="character" w:customStyle="1" w:styleId="NotitiekopChar">
    <w:name w:val="Notitiekop Char"/>
    <w:basedOn w:val="Standaardalinea-lettertype"/>
    <w:link w:val="Notitiekop"/>
    <w:rsid w:val="00E530CD"/>
    <w:rPr>
      <w:rFonts w:ascii="Arial" w:hAnsi="Arial"/>
      <w:lang w:val="en-GB" w:eastAsia="de-DE"/>
    </w:rPr>
  </w:style>
  <w:style w:type="paragraph" w:styleId="Afsluiting">
    <w:name w:val="Closing"/>
    <w:basedOn w:val="Standaard"/>
    <w:link w:val="AfsluitingChar"/>
    <w:rsid w:val="00E530CD"/>
    <w:pPr>
      <w:ind w:left="4252"/>
    </w:pPr>
  </w:style>
  <w:style w:type="character" w:customStyle="1" w:styleId="AfsluitingChar">
    <w:name w:val="Afsluiting Char"/>
    <w:basedOn w:val="Standaardalinea-lettertype"/>
    <w:link w:val="Afsluiting"/>
    <w:rsid w:val="00E530CD"/>
    <w:rPr>
      <w:rFonts w:ascii="Arial" w:hAnsi="Arial"/>
      <w:lang w:val="en-GB" w:eastAsia="de-DE"/>
    </w:rPr>
  </w:style>
  <w:style w:type="paragraph" w:styleId="Index3">
    <w:name w:val="index 3"/>
    <w:basedOn w:val="Standaard"/>
    <w:next w:val="Standaard"/>
    <w:autoRedefine/>
    <w:semiHidden/>
    <w:rsid w:val="00E530CD"/>
    <w:pPr>
      <w:ind w:left="660" w:hanging="220"/>
    </w:pPr>
  </w:style>
  <w:style w:type="paragraph" w:styleId="Index4">
    <w:name w:val="index 4"/>
    <w:basedOn w:val="Standaard"/>
    <w:next w:val="Standaard"/>
    <w:autoRedefine/>
    <w:semiHidden/>
    <w:rsid w:val="00E530CD"/>
    <w:pPr>
      <w:ind w:left="880" w:hanging="220"/>
    </w:pPr>
  </w:style>
  <w:style w:type="paragraph" w:styleId="Index5">
    <w:name w:val="index 5"/>
    <w:basedOn w:val="Standaard"/>
    <w:next w:val="Standaard"/>
    <w:autoRedefine/>
    <w:semiHidden/>
    <w:rsid w:val="00E530CD"/>
    <w:pPr>
      <w:ind w:left="1100" w:hanging="220"/>
    </w:pPr>
  </w:style>
  <w:style w:type="paragraph" w:styleId="Index6">
    <w:name w:val="index 6"/>
    <w:basedOn w:val="Standaard"/>
    <w:next w:val="Standaard"/>
    <w:autoRedefine/>
    <w:semiHidden/>
    <w:rsid w:val="00E530CD"/>
    <w:pPr>
      <w:ind w:left="1320" w:hanging="220"/>
    </w:pPr>
  </w:style>
  <w:style w:type="paragraph" w:styleId="Index7">
    <w:name w:val="index 7"/>
    <w:basedOn w:val="Standaard"/>
    <w:next w:val="Standaard"/>
    <w:autoRedefine/>
    <w:semiHidden/>
    <w:rsid w:val="00E530CD"/>
    <w:pPr>
      <w:ind w:left="1540" w:hanging="220"/>
    </w:pPr>
  </w:style>
  <w:style w:type="paragraph" w:styleId="Index8">
    <w:name w:val="index 8"/>
    <w:basedOn w:val="Standaard"/>
    <w:next w:val="Standaard"/>
    <w:autoRedefine/>
    <w:semiHidden/>
    <w:rsid w:val="00E530CD"/>
    <w:pPr>
      <w:ind w:left="1760" w:hanging="220"/>
    </w:pPr>
  </w:style>
  <w:style w:type="paragraph" w:styleId="Index9">
    <w:name w:val="index 9"/>
    <w:basedOn w:val="Standaard"/>
    <w:next w:val="Standaard"/>
    <w:autoRedefine/>
    <w:semiHidden/>
    <w:rsid w:val="00E530CD"/>
    <w:pPr>
      <w:ind w:left="1980" w:hanging="220"/>
    </w:pPr>
  </w:style>
  <w:style w:type="paragraph" w:styleId="Lijst2">
    <w:name w:val="List 2"/>
    <w:basedOn w:val="Standaard"/>
    <w:rsid w:val="00E530CD"/>
    <w:pPr>
      <w:ind w:left="566" w:hanging="283"/>
    </w:pPr>
  </w:style>
  <w:style w:type="paragraph" w:styleId="Lijst3">
    <w:name w:val="List 3"/>
    <w:basedOn w:val="Standaard"/>
    <w:rsid w:val="00E530CD"/>
    <w:pPr>
      <w:ind w:left="849" w:hanging="283"/>
    </w:pPr>
  </w:style>
  <w:style w:type="paragraph" w:styleId="Lijst4">
    <w:name w:val="List 4"/>
    <w:basedOn w:val="Standaard"/>
    <w:rsid w:val="00E530CD"/>
    <w:pPr>
      <w:ind w:left="1132" w:hanging="283"/>
    </w:pPr>
  </w:style>
  <w:style w:type="paragraph" w:styleId="Lijst5">
    <w:name w:val="List 5"/>
    <w:basedOn w:val="Standaard"/>
    <w:rsid w:val="00E530CD"/>
    <w:pPr>
      <w:ind w:left="1415" w:hanging="283"/>
    </w:pPr>
  </w:style>
  <w:style w:type="paragraph" w:styleId="Lijstvoortzetting">
    <w:name w:val="List Continue"/>
    <w:basedOn w:val="Standaard"/>
    <w:rsid w:val="00E530CD"/>
    <w:pPr>
      <w:ind w:left="283"/>
    </w:pPr>
  </w:style>
  <w:style w:type="paragraph" w:styleId="Lijstvoortzetting2">
    <w:name w:val="List Continue 2"/>
    <w:basedOn w:val="Standaard"/>
    <w:rsid w:val="00E530CD"/>
    <w:pPr>
      <w:ind w:left="566"/>
    </w:pPr>
  </w:style>
  <w:style w:type="paragraph" w:styleId="Lijstvoortzetting3">
    <w:name w:val="List Continue 3"/>
    <w:basedOn w:val="Standaard"/>
    <w:rsid w:val="00E530CD"/>
    <w:pPr>
      <w:ind w:left="849"/>
    </w:pPr>
  </w:style>
  <w:style w:type="paragraph" w:styleId="Lijstvoortzetting4">
    <w:name w:val="List Continue 4"/>
    <w:basedOn w:val="Standaard"/>
    <w:rsid w:val="00E530CD"/>
    <w:pPr>
      <w:ind w:left="1132"/>
    </w:pPr>
  </w:style>
  <w:style w:type="paragraph" w:styleId="Lijstvoortzetting5">
    <w:name w:val="List Continue 5"/>
    <w:basedOn w:val="Standaard"/>
    <w:rsid w:val="00E530CD"/>
    <w:pPr>
      <w:ind w:left="1415"/>
    </w:pPr>
  </w:style>
  <w:style w:type="paragraph" w:styleId="Lijstnummering">
    <w:name w:val="List Number"/>
    <w:basedOn w:val="Standaard"/>
    <w:rsid w:val="00E530CD"/>
    <w:pPr>
      <w:tabs>
        <w:tab w:val="num" w:pos="360"/>
      </w:tabs>
      <w:ind w:left="360" w:hanging="360"/>
    </w:pPr>
  </w:style>
  <w:style w:type="paragraph" w:styleId="Lijstnummering2">
    <w:name w:val="List Number 2"/>
    <w:basedOn w:val="Standaard"/>
    <w:rsid w:val="00E530CD"/>
    <w:pPr>
      <w:tabs>
        <w:tab w:val="num" w:pos="643"/>
      </w:tabs>
      <w:ind w:left="643" w:hanging="360"/>
    </w:pPr>
  </w:style>
  <w:style w:type="paragraph" w:styleId="Lijstnummering3">
    <w:name w:val="List Number 3"/>
    <w:basedOn w:val="Standaard"/>
    <w:rsid w:val="00E530CD"/>
    <w:pPr>
      <w:tabs>
        <w:tab w:val="num" w:pos="926"/>
      </w:tabs>
      <w:ind w:left="926" w:hanging="360"/>
    </w:pPr>
  </w:style>
  <w:style w:type="paragraph" w:styleId="Lijstnummering4">
    <w:name w:val="List Number 4"/>
    <w:basedOn w:val="Standaard"/>
    <w:rsid w:val="00E530CD"/>
    <w:pPr>
      <w:tabs>
        <w:tab w:val="num" w:pos="1209"/>
      </w:tabs>
      <w:ind w:left="1209" w:hanging="360"/>
    </w:pPr>
  </w:style>
  <w:style w:type="paragraph" w:styleId="Lijstnummering5">
    <w:name w:val="List Number 5"/>
    <w:basedOn w:val="Standaard"/>
    <w:rsid w:val="00E530CD"/>
    <w:pPr>
      <w:tabs>
        <w:tab w:val="num" w:pos="1492"/>
      </w:tabs>
      <w:ind w:left="1492" w:hanging="360"/>
    </w:pPr>
  </w:style>
  <w:style w:type="paragraph" w:styleId="Macrotekst">
    <w:name w:val="macro"/>
    <w:link w:val="MacrotekstChar"/>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MacrotekstChar">
    <w:name w:val="Macrotekst Char"/>
    <w:basedOn w:val="Standaardalinea-lettertype"/>
    <w:link w:val="Macrotekst"/>
    <w:semiHidden/>
    <w:rsid w:val="00E530CD"/>
    <w:rPr>
      <w:rFonts w:ascii="Courier New" w:hAnsi="Courier New"/>
      <w:lang w:eastAsia="de-DE"/>
    </w:rPr>
  </w:style>
  <w:style w:type="paragraph" w:styleId="Berichtkop">
    <w:name w:val="Message Header"/>
    <w:basedOn w:val="Standaard"/>
    <w:link w:val="BerichtkopChar"/>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rsid w:val="00E530CD"/>
    <w:rPr>
      <w:rFonts w:ascii="Arial" w:hAnsi="Arial"/>
      <w:sz w:val="24"/>
      <w:shd w:val="pct20" w:color="auto" w:fill="auto"/>
      <w:lang w:val="en-GB" w:eastAsia="de-DE"/>
    </w:rPr>
  </w:style>
  <w:style w:type="paragraph" w:styleId="Tekstzonderopmaak">
    <w:name w:val="Plain Text"/>
    <w:basedOn w:val="Standaard"/>
    <w:link w:val="TekstzonderopmaakChar"/>
    <w:rsid w:val="00E530CD"/>
    <w:rPr>
      <w:rFonts w:ascii="Courier New" w:hAnsi="Courier New"/>
    </w:rPr>
  </w:style>
  <w:style w:type="character" w:customStyle="1" w:styleId="TekstzonderopmaakChar">
    <w:name w:val="Tekst zonder opmaak Char"/>
    <w:basedOn w:val="Standaardalinea-lettertype"/>
    <w:link w:val="Tekstzonderopmaak"/>
    <w:rsid w:val="00E530CD"/>
    <w:rPr>
      <w:rFonts w:ascii="Courier New" w:hAnsi="Courier New"/>
      <w:lang w:val="en-GB" w:eastAsia="de-DE"/>
    </w:rPr>
  </w:style>
  <w:style w:type="paragraph" w:styleId="Standaardinspringing">
    <w:name w:val="Normal Indent"/>
    <w:basedOn w:val="Standaard"/>
    <w:rsid w:val="00E530CD"/>
    <w:pPr>
      <w:ind w:left="708"/>
    </w:pPr>
  </w:style>
  <w:style w:type="paragraph" w:styleId="Plattetekst3">
    <w:name w:val="Body Text 3"/>
    <w:basedOn w:val="Standaard"/>
    <w:link w:val="Plattetekst3Char"/>
    <w:rsid w:val="00E530CD"/>
    <w:rPr>
      <w:sz w:val="16"/>
    </w:rPr>
  </w:style>
  <w:style w:type="character" w:customStyle="1" w:styleId="Plattetekst3Char">
    <w:name w:val="Platte tekst 3 Char"/>
    <w:basedOn w:val="Standaardalinea-lettertype"/>
    <w:link w:val="Plattetekst3"/>
    <w:rsid w:val="00E530CD"/>
    <w:rPr>
      <w:rFonts w:ascii="Arial" w:hAnsi="Arial"/>
      <w:sz w:val="16"/>
      <w:lang w:val="en-GB" w:eastAsia="de-DE"/>
    </w:rPr>
  </w:style>
  <w:style w:type="paragraph" w:styleId="Plattetekstinspringen2">
    <w:name w:val="Body Text Indent 2"/>
    <w:basedOn w:val="Standaard"/>
    <w:link w:val="Plattetekstinspringen2Char"/>
    <w:rsid w:val="00E530CD"/>
    <w:pPr>
      <w:spacing w:line="480" w:lineRule="auto"/>
      <w:ind w:left="283"/>
    </w:pPr>
  </w:style>
  <w:style w:type="character" w:customStyle="1" w:styleId="Plattetekstinspringen2Char">
    <w:name w:val="Platte tekst inspringen 2 Char"/>
    <w:basedOn w:val="Standaardalinea-lettertype"/>
    <w:link w:val="Plattetekstinspringen2"/>
    <w:rsid w:val="00E530CD"/>
    <w:rPr>
      <w:rFonts w:ascii="Arial" w:hAnsi="Arial"/>
      <w:lang w:val="en-GB" w:eastAsia="de-DE"/>
    </w:rPr>
  </w:style>
  <w:style w:type="paragraph" w:styleId="Plattetekstinspringen3">
    <w:name w:val="Body Text Indent 3"/>
    <w:basedOn w:val="Standaard"/>
    <w:link w:val="Plattetekstinspringen3Char"/>
    <w:rsid w:val="00E530CD"/>
    <w:pPr>
      <w:ind w:left="283"/>
    </w:pPr>
    <w:rPr>
      <w:sz w:val="16"/>
    </w:rPr>
  </w:style>
  <w:style w:type="character" w:customStyle="1" w:styleId="Plattetekstinspringen3Char">
    <w:name w:val="Platte tekst inspringen 3 Char"/>
    <w:basedOn w:val="Standaardalinea-lettertype"/>
    <w:link w:val="Plattetekstinspringen3"/>
    <w:rsid w:val="00E530CD"/>
    <w:rPr>
      <w:rFonts w:ascii="Arial" w:hAnsi="Arial"/>
      <w:sz w:val="16"/>
      <w:lang w:val="en-GB" w:eastAsia="de-DE"/>
    </w:rPr>
  </w:style>
  <w:style w:type="paragraph" w:styleId="Platteteksteersteinspringing">
    <w:name w:val="Body Text First Indent"/>
    <w:basedOn w:val="Plattetekst"/>
    <w:link w:val="PlatteteksteersteinspringingChar"/>
    <w:rsid w:val="00E530CD"/>
    <w:pPr>
      <w:spacing w:before="120" w:after="120"/>
      <w:ind w:firstLine="210"/>
    </w:pPr>
  </w:style>
  <w:style w:type="character" w:customStyle="1" w:styleId="PlatteteksteersteinspringingChar">
    <w:name w:val="Platte tekst eerste inspringing Char"/>
    <w:basedOn w:val="PlattetekstChar"/>
    <w:link w:val="Platteteksteersteinspringing"/>
    <w:rsid w:val="00E530CD"/>
    <w:rPr>
      <w:rFonts w:ascii="Arial" w:hAnsi="Arial"/>
      <w:lang w:val="en-GB" w:eastAsia="de-DE"/>
    </w:rPr>
  </w:style>
  <w:style w:type="paragraph" w:styleId="Platteteksteersteinspringing2">
    <w:name w:val="Body Text First Indent 2"/>
    <w:basedOn w:val="Plattetekstinspringen"/>
    <w:link w:val="Platteteksteersteinspringing2Char"/>
    <w:rsid w:val="00E530CD"/>
    <w:pPr>
      <w:spacing w:before="120" w:after="120"/>
      <w:ind w:left="283" w:firstLine="210"/>
    </w:pPr>
    <w:rPr>
      <w:sz w:val="22"/>
    </w:rPr>
  </w:style>
  <w:style w:type="character" w:customStyle="1" w:styleId="Platteteksteersteinspringing2Char">
    <w:name w:val="Platte tekst eerste inspringing 2 Char"/>
    <w:basedOn w:val="PlattetekstinspringenChar"/>
    <w:link w:val="Platteteksteersteinspringing2"/>
    <w:rsid w:val="00E530CD"/>
    <w:rPr>
      <w:rFonts w:ascii="Arial" w:hAnsi="Arial"/>
      <w:sz w:val="22"/>
      <w:lang w:val="en-GB" w:eastAsia="de-DE"/>
    </w:rPr>
  </w:style>
  <w:style w:type="paragraph" w:styleId="Titel">
    <w:name w:val="Title"/>
    <w:basedOn w:val="Standaard"/>
    <w:link w:val="TitelChar"/>
    <w:rsid w:val="00E530CD"/>
    <w:pPr>
      <w:spacing w:before="240" w:after="60"/>
      <w:ind w:left="1701" w:hanging="1701"/>
      <w:jc w:val="center"/>
      <w:outlineLvl w:val="0"/>
    </w:pPr>
    <w:rPr>
      <w:rFonts w:eastAsia="Calibri" w:cs="Arial"/>
      <w:b/>
      <w:kern w:val="28"/>
      <w:sz w:val="36"/>
      <w:szCs w:val="36"/>
      <w:lang w:eastAsia="en-US"/>
    </w:rPr>
  </w:style>
  <w:style w:type="character" w:customStyle="1" w:styleId="TitelChar">
    <w:name w:val="Titel Char"/>
    <w:basedOn w:val="Standaardalinea-lettertype"/>
    <w:link w:val="Titel"/>
    <w:rsid w:val="00E530CD"/>
    <w:rPr>
      <w:rFonts w:ascii="Arial" w:eastAsia="Calibri" w:hAnsi="Arial" w:cs="Arial"/>
      <w:b/>
      <w:kern w:val="28"/>
      <w:sz w:val="36"/>
      <w:szCs w:val="36"/>
      <w:lang w:val="en-GB"/>
    </w:rPr>
  </w:style>
  <w:style w:type="paragraph" w:styleId="Adresenvelop">
    <w:name w:val="envelope address"/>
    <w:basedOn w:val="Standaard"/>
    <w:rsid w:val="00E530CD"/>
    <w:pPr>
      <w:framePr w:w="4320" w:h="2160" w:hRule="exact" w:hSpace="141" w:wrap="auto" w:hAnchor="page" w:xAlign="center" w:yAlign="bottom"/>
      <w:ind w:left="1"/>
    </w:pPr>
    <w:rPr>
      <w:sz w:val="24"/>
    </w:rPr>
  </w:style>
  <w:style w:type="paragraph" w:styleId="Handtekening">
    <w:name w:val="Signature"/>
    <w:basedOn w:val="Standaard"/>
    <w:link w:val="HandtekeningChar"/>
    <w:rsid w:val="00E530CD"/>
    <w:pPr>
      <w:ind w:left="4252"/>
    </w:pPr>
  </w:style>
  <w:style w:type="character" w:customStyle="1" w:styleId="HandtekeningChar">
    <w:name w:val="Handtekening Char"/>
    <w:basedOn w:val="Standaardalinea-lettertype"/>
    <w:link w:val="Handtekening"/>
    <w:rsid w:val="00E530CD"/>
    <w:rPr>
      <w:rFonts w:ascii="Arial" w:hAnsi="Arial"/>
      <w:lang w:val="en-GB" w:eastAsia="de-DE"/>
    </w:rPr>
  </w:style>
  <w:style w:type="paragraph" w:styleId="Ondertitel">
    <w:name w:val="Subtitle"/>
    <w:basedOn w:val="Standaard"/>
    <w:link w:val="OndertitelChar"/>
    <w:rsid w:val="00E530CD"/>
    <w:pPr>
      <w:spacing w:after="60"/>
      <w:outlineLvl w:val="1"/>
    </w:pPr>
    <w:rPr>
      <w:b/>
      <w:sz w:val="36"/>
      <w:szCs w:val="36"/>
    </w:rPr>
  </w:style>
  <w:style w:type="character" w:customStyle="1" w:styleId="OndertitelChar">
    <w:name w:val="Ondertitel Char"/>
    <w:basedOn w:val="Standaardalinea-lettertype"/>
    <w:link w:val="Ondertitel"/>
    <w:rsid w:val="00E530CD"/>
    <w:rPr>
      <w:rFonts w:ascii="Arial" w:hAnsi="Arial"/>
      <w:b/>
      <w:sz w:val="36"/>
      <w:szCs w:val="36"/>
      <w:lang w:val="en-GB" w:eastAsia="de-DE"/>
    </w:rPr>
  </w:style>
  <w:style w:type="paragraph" w:styleId="Kopbronvermelding">
    <w:name w:val="toa heading"/>
    <w:basedOn w:val="Standaard"/>
    <w:next w:val="Standaard"/>
    <w:semiHidden/>
    <w:rsid w:val="00E530CD"/>
    <w:rPr>
      <w:b/>
      <w:sz w:val="24"/>
    </w:rPr>
  </w:style>
  <w:style w:type="paragraph" w:styleId="Bronvermelding">
    <w:name w:val="table of authorities"/>
    <w:basedOn w:val="Standaard"/>
    <w:next w:val="Standaard"/>
    <w:semiHidden/>
    <w:rsid w:val="00E530CD"/>
    <w:pPr>
      <w:ind w:left="220" w:hanging="220"/>
    </w:pPr>
  </w:style>
  <w:style w:type="paragraph" w:customStyle="1" w:styleId="QuellenangabePagina">
    <w:name w:val="Quellenangabe/Pagina"/>
    <w:basedOn w:val="Standaard"/>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rsid w:val="00E530CD"/>
    <w:pPr>
      <w:keepNext/>
      <w:keepLines/>
      <w:spacing w:before="60" w:after="60"/>
    </w:pPr>
    <w:rPr>
      <w:i/>
      <w:color w:val="000000"/>
    </w:rPr>
  </w:style>
  <w:style w:type="paragraph" w:customStyle="1" w:styleId="SectionHeader-Crossref">
    <w:name w:val="SectionHeader-Crossref"/>
    <w:basedOn w:val="Standaard"/>
    <w:rsid w:val="00E530CD"/>
    <w:pPr>
      <w:spacing w:before="60" w:after="60"/>
    </w:pPr>
    <w:rPr>
      <w:b/>
    </w:rPr>
  </w:style>
  <w:style w:type="paragraph" w:customStyle="1" w:styleId="Standard-kurs-rot">
    <w:name w:val="Standard-kurs-rot"/>
    <w:basedOn w:val="Standaard"/>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Standaard"/>
    <w:rsid w:val="00E530CD"/>
  </w:style>
  <w:style w:type="paragraph" w:customStyle="1" w:styleId="Standard-italics">
    <w:name w:val="Standard-italics"/>
    <w:basedOn w:val="Standaard"/>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Standaard"/>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GevolgdeHyperlink">
    <w:name w:val="FollowedHyperlink"/>
    <w:rsid w:val="00E530CD"/>
    <w:rPr>
      <w:color w:val="800080"/>
      <w:u w:val="single"/>
    </w:rPr>
  </w:style>
  <w:style w:type="paragraph" w:styleId="Ballontekst">
    <w:name w:val="Balloon Text"/>
    <w:basedOn w:val="Standaard"/>
    <w:link w:val="BallontekstChar"/>
    <w:rsid w:val="00E530CD"/>
    <w:rPr>
      <w:rFonts w:ascii="Tahoma" w:hAnsi="Tahoma" w:cs="Tahoma"/>
      <w:sz w:val="16"/>
      <w:szCs w:val="16"/>
    </w:rPr>
  </w:style>
  <w:style w:type="character" w:customStyle="1" w:styleId="BallontekstChar">
    <w:name w:val="Ballontekst Char"/>
    <w:basedOn w:val="Standaardalinea-lettertype"/>
    <w:link w:val="Ballontekst"/>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Standaard"/>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Lijstalinea">
    <w:name w:val="List Paragraph"/>
    <w:basedOn w:val="Standaard"/>
    <w:uiPriority w:val="99"/>
    <w:rsid w:val="00E530CD"/>
    <w:pPr>
      <w:ind w:left="720"/>
    </w:pPr>
  </w:style>
  <w:style w:type="paragraph" w:customStyle="1" w:styleId="CSRHeading1">
    <w:name w:val="CSR Heading 1"/>
    <w:basedOn w:val="Standaard"/>
    <w:next w:val="Standaard"/>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rsid w:val="00E530CD"/>
    <w:pPr>
      <w:keepNext/>
    </w:pPr>
    <w:rPr>
      <w:sz w:val="35"/>
    </w:rPr>
  </w:style>
  <w:style w:type="character" w:customStyle="1" w:styleId="BijschriftChar">
    <w:name w:val="Bijschrift Char"/>
    <w:link w:val="Bijschrift"/>
    <w:rsid w:val="00E530CD"/>
    <w:rPr>
      <w:rFonts w:ascii="Arial" w:hAnsi="Arial"/>
      <w:b/>
      <w:bCs/>
      <w:lang w:eastAsia="de-DE"/>
    </w:rPr>
  </w:style>
  <w:style w:type="table" w:styleId="Tabelraster">
    <w:name w:val="Table Grid"/>
    <w:basedOn w:val="Standaardtabel"/>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E530CD"/>
    <w:rPr>
      <w:b/>
      <w:bCs/>
    </w:rPr>
  </w:style>
  <w:style w:type="character" w:customStyle="1" w:styleId="OnderwerpvanopmerkingChar">
    <w:name w:val="Onderwerp van opmerking Char"/>
    <w:basedOn w:val="TekstopmerkingChar"/>
    <w:link w:val="Onderwerpvanopmerking"/>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Standaard"/>
    <w:next w:val="Standaard"/>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Kopvaninhoudsopgave">
    <w:name w:val="TOC Heading"/>
    <w:basedOn w:val="Kop1"/>
    <w:next w:val="Standaard"/>
    <w:uiPriority w:val="39"/>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Revisie">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Standaard"/>
    <w:next w:val="Standaard"/>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Geenlijst"/>
    <w:uiPriority w:val="99"/>
    <w:semiHidden/>
    <w:unhideWhenUsed/>
    <w:rsid w:val="00E530CD"/>
  </w:style>
  <w:style w:type="character" w:styleId="Zwaar">
    <w:name w:val="Strong"/>
    <w:rsid w:val="00E530CD"/>
    <w:rPr>
      <w:b/>
      <w:bCs/>
    </w:rPr>
  </w:style>
  <w:style w:type="numbering" w:customStyle="1" w:styleId="NoList11">
    <w:name w:val="No List11"/>
    <w:next w:val="Geenlijst"/>
    <w:uiPriority w:val="99"/>
    <w:semiHidden/>
    <w:unhideWhenUsed/>
    <w:rsid w:val="00E530CD"/>
  </w:style>
  <w:style w:type="paragraph" w:customStyle="1" w:styleId="Titel1">
    <w:name w:val="Titel 1"/>
    <w:basedOn w:val="Kop1"/>
    <w:next w:val="Standaard"/>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Standaard"/>
    <w:link w:val="TableheadZchn"/>
    <w:rsid w:val="00E530CD"/>
    <w:rPr>
      <w:rFonts w:eastAsia="Calibri"/>
      <w:b/>
      <w:lang w:val="en-US"/>
    </w:rPr>
  </w:style>
  <w:style w:type="paragraph" w:customStyle="1" w:styleId="Tablebody">
    <w:name w:val="Tablebody"/>
    <w:basedOn w:val="Standaard"/>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E530CD"/>
    <w:pPr>
      <w:spacing w:before="120" w:after="120"/>
      <w:ind w:left="1417" w:hanging="567"/>
      <w:jc w:val="both"/>
    </w:pPr>
    <w:rPr>
      <w:sz w:val="24"/>
    </w:rPr>
  </w:style>
  <w:style w:type="paragraph" w:styleId="Normaalweb">
    <w:name w:val="Normal (Web)"/>
    <w:basedOn w:val="Standaard"/>
    <w:rsid w:val="00E530CD"/>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rsid w:val="00E530CD"/>
    <w:rPr>
      <w:rFonts w:ascii="Times New Roman" w:hAnsi="Times New Roman"/>
      <w:i/>
      <w:iCs/>
      <w:sz w:val="20"/>
    </w:rPr>
  </w:style>
  <w:style w:type="character" w:styleId="Subtielebenadrukking">
    <w:name w:val="Subtle Emphasis"/>
    <w:uiPriority w:val="19"/>
    <w:rsid w:val="00E530CD"/>
    <w:rPr>
      <w:rFonts w:ascii="Verdana" w:hAnsi="Verdana"/>
      <w:i/>
      <w:iCs/>
      <w:color w:val="808080"/>
      <w:sz w:val="18"/>
    </w:rPr>
  </w:style>
  <w:style w:type="paragraph" w:customStyle="1" w:styleId="CharChar4CharChar">
    <w:name w:val="Char Char4 Char Char"/>
    <w:basedOn w:val="Standaard"/>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Standaard"/>
    <w:next w:val="Standaard"/>
    <w:uiPriority w:val="1"/>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Voetnoottekst"/>
    <w:qFormat/>
    <w:rsid w:val="00AB7059"/>
    <w:pPr>
      <w:spacing w:line="240" w:lineRule="auto"/>
      <w:ind w:left="0" w:firstLine="0"/>
      <w:jc w:val="both"/>
    </w:pPr>
    <w:rPr>
      <w:i/>
      <w:color w:val="FF0000"/>
      <w:szCs w:val="18"/>
    </w:rPr>
  </w:style>
  <w:style w:type="character" w:customStyle="1" w:styleId="field">
    <w:name w:val="field"/>
    <w:basedOn w:val="Standaardalinea-lettertype"/>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Standaard"/>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Standaard"/>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Standaard"/>
    <w:link w:val="TableheadZchn0"/>
    <w:qFormat/>
    <w:rsid w:val="003362CF"/>
    <w:pPr>
      <w:spacing w:before="60" w:line="240" w:lineRule="auto"/>
    </w:pPr>
    <w:rPr>
      <w:rFonts w:eastAsia="Calibri" w:cs="Arial"/>
      <w:b/>
      <w:lang w:eastAsia="en-US"/>
    </w:rPr>
  </w:style>
  <w:style w:type="paragraph" w:customStyle="1" w:styleId="tablebody0">
    <w:name w:val="table body"/>
    <w:basedOn w:val="Standaard"/>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Standaardalinea-lettertype"/>
    <w:link w:val="Tablehead0"/>
    <w:rsid w:val="003362CF"/>
    <w:rPr>
      <w:rFonts w:ascii="Arial" w:eastAsia="Calibri" w:hAnsi="Arial" w:cs="Arial"/>
      <w:b/>
      <w:lang w:val="en-GB"/>
    </w:rPr>
  </w:style>
  <w:style w:type="character" w:customStyle="1" w:styleId="tablebodyZchn0">
    <w:name w:val="table body Zchn"/>
    <w:basedOn w:val="Standaardalinea-lettertype"/>
    <w:link w:val="tablebody0"/>
    <w:rsid w:val="003362CF"/>
    <w:rPr>
      <w:rFonts w:ascii="Arial" w:eastAsia="Calibri" w:hAnsi="Arial" w:cs="Arial"/>
      <w:bCs/>
      <w:lang w:val="pl-PL"/>
    </w:rPr>
  </w:style>
  <w:style w:type="character" w:customStyle="1" w:styleId="ng-scope">
    <w:name w:val="ng-scope"/>
    <w:basedOn w:val="Standaardalinea-lettertype"/>
    <w:rsid w:val="008D4A50"/>
  </w:style>
  <w:style w:type="character" w:customStyle="1" w:styleId="inplace">
    <w:name w:val="inplace"/>
    <w:basedOn w:val="Standaardalinea-lettertype"/>
    <w:rsid w:val="008D4A50"/>
  </w:style>
  <w:style w:type="character" w:customStyle="1" w:styleId="inplace-inactive7">
    <w:name w:val="inplace-inactive7"/>
    <w:basedOn w:val="Standaardalinea-lettertype"/>
    <w:rsid w:val="008D4A50"/>
  </w:style>
  <w:style w:type="paragraph" w:customStyle="1" w:styleId="CharChar2">
    <w:name w:val="Char Char2"/>
    <w:basedOn w:val="Standaard"/>
    <w:rsid w:val="00653241"/>
    <w:pPr>
      <w:spacing w:line="240" w:lineRule="auto"/>
    </w:pPr>
    <w:rPr>
      <w:rFonts w:ascii="Times New Roman" w:hAnsi="Times New Roman"/>
      <w:sz w:val="24"/>
      <w:szCs w:val="24"/>
      <w:lang w:val="pl-PL" w:eastAsia="pl-PL"/>
    </w:rPr>
  </w:style>
  <w:style w:type="paragraph" w:customStyle="1" w:styleId="Tabellentext">
    <w:name w:val="Tabellentext"/>
    <w:basedOn w:val="Plattetekst"/>
    <w:link w:val="TabellentextZchn"/>
    <w:uiPriority w:val="1"/>
    <w:rsid w:val="00674119"/>
    <w:pPr>
      <w:keepLines/>
      <w:spacing w:before="20" w:after="20" w:line="240" w:lineRule="auto"/>
    </w:pPr>
    <w:rPr>
      <w:rFonts w:ascii="Calibri" w:eastAsiaTheme="minorEastAsia" w:hAnsi="Calibri"/>
      <w:sz w:val="22"/>
      <w:szCs w:val="24"/>
    </w:rPr>
  </w:style>
  <w:style w:type="character" w:customStyle="1" w:styleId="TabellentextZchn">
    <w:name w:val="Tabellentext Zchn"/>
    <w:basedOn w:val="PlattetekstChar"/>
    <w:link w:val="Tabellentext"/>
    <w:uiPriority w:val="1"/>
    <w:rsid w:val="00674119"/>
    <w:rPr>
      <w:rFonts w:ascii="Calibri" w:eastAsiaTheme="minorEastAsia" w:hAnsi="Calibri"/>
      <w:sz w:val="22"/>
      <w:szCs w:val="24"/>
      <w:lang w:val="en-GB" w:eastAsia="de-DE"/>
    </w:rPr>
  </w:style>
  <w:style w:type="table" w:customStyle="1" w:styleId="UBATabellemitKopf">
    <w:name w:val="UBA_Tabelle_mit_Kopf"/>
    <w:basedOn w:val="Standaardtabel"/>
    <w:uiPriority w:val="99"/>
    <w:qFormat/>
    <w:rsid w:val="00674119"/>
    <w:rPr>
      <w:rFonts w:ascii="DemosEFOP-Medium" w:eastAsiaTheme="minorEastAsia" w:hAnsi="DemosEFOP-Medium"/>
      <w:sz w:val="22"/>
      <w:szCs w:val="22"/>
      <w:lang w:eastAsia="de-DE"/>
    </w:rPr>
    <w:tblPr>
      <w:tblStyleRowBandSize w:val="1"/>
      <w:tblInd w:w="113" w:type="dxa"/>
      <w:tblBorders>
        <w:insideV w:val="single" w:sz="4" w:space="0" w:color="auto"/>
      </w:tblBorders>
      <w:tblCellMar>
        <w:top w:w="28" w:type="dxa"/>
        <w:bottom w:w="28" w:type="dxa"/>
      </w:tblCellMar>
    </w:tblPr>
    <w:tblStylePr w:type="firstRow">
      <w:tblPr/>
      <w:tcPr>
        <w:shd w:val="clear" w:color="auto" w:fill="000000" w:themeFill="text1"/>
      </w:tcPr>
    </w:tblStylePr>
    <w:tblStylePr w:type="band1Horz">
      <w:tblPr/>
      <w:tcPr>
        <w:shd w:val="clear" w:color="auto" w:fill="F2F2F2" w:themeFill="background1" w:themeFillShade="F2"/>
      </w:tcPr>
    </w:tblStylePr>
  </w:style>
  <w:style w:type="paragraph" w:customStyle="1" w:styleId="TabellentextKopfzeile">
    <w:name w:val="Tabellentext Kopfzeile"/>
    <w:basedOn w:val="Standaard"/>
    <w:uiPriority w:val="1"/>
    <w:rsid w:val="00674119"/>
    <w:pPr>
      <w:keepLines/>
      <w:spacing w:line="240" w:lineRule="auto"/>
    </w:pPr>
    <w:rPr>
      <w:rFonts w:ascii="Calibri" w:eastAsiaTheme="minorEastAsia" w:hAnsi="Calibri"/>
      <w:b/>
      <w:color w:val="FFFFFF" w:themeColor="background1"/>
      <w:sz w:val="22"/>
      <w:szCs w:val="24"/>
      <w:lang w:val="de-DE"/>
    </w:rPr>
  </w:style>
  <w:style w:type="paragraph" w:customStyle="1" w:styleId="Tabellentextfett">
    <w:name w:val="Tabellentext fett"/>
    <w:basedOn w:val="Tabellentext"/>
    <w:link w:val="TabellentextfettZchn"/>
    <w:uiPriority w:val="1"/>
    <w:rsid w:val="00674119"/>
    <w:rPr>
      <w:b/>
    </w:rPr>
  </w:style>
  <w:style w:type="character" w:customStyle="1" w:styleId="TabellentextfettZchn">
    <w:name w:val="Tabellentext fett Zchn"/>
    <w:basedOn w:val="TabellentextZchn"/>
    <w:link w:val="Tabellentextfett"/>
    <w:uiPriority w:val="1"/>
    <w:rsid w:val="00674119"/>
    <w:rPr>
      <w:rFonts w:ascii="Calibri" w:eastAsiaTheme="minorEastAsia" w:hAnsi="Calibri"/>
      <w:b/>
      <w:sz w:val="22"/>
      <w:szCs w:val="24"/>
      <w:lang w:val="en-GB" w:eastAsia="de-DE"/>
    </w:rPr>
  </w:style>
  <w:style w:type="paragraph" w:customStyle="1" w:styleId="PAR-Fett-Standard">
    <w:name w:val="PAR-Fett-Standard"/>
    <w:basedOn w:val="Standaard"/>
    <w:qFormat/>
    <w:rsid w:val="0037074D"/>
    <w:pPr>
      <w:spacing w:after="80" w:line="240" w:lineRule="auto"/>
    </w:pPr>
    <w:rPr>
      <w:rFonts w:eastAsia="Calibri" w:cs="Arial"/>
      <w:b/>
      <w:lang w:eastAsia="en-US"/>
    </w:rPr>
  </w:style>
  <w:style w:type="paragraph" w:customStyle="1" w:styleId="CharChar20">
    <w:name w:val="Char Char2"/>
    <w:basedOn w:val="Standaard"/>
    <w:locked/>
    <w:rsid w:val="001F20DA"/>
    <w:pPr>
      <w:spacing w:line="240" w:lineRule="auto"/>
    </w:pPr>
    <w:rPr>
      <w:rFonts w:ascii="Times New Roman" w:hAnsi="Times New Roman"/>
      <w:sz w:val="24"/>
      <w:szCs w:val="24"/>
      <w:lang w:val="pl-PL" w:eastAsia="pl-PL"/>
    </w:rPr>
  </w:style>
  <w:style w:type="paragraph" w:customStyle="1" w:styleId="Pa0">
    <w:name w:val="Pa0"/>
    <w:basedOn w:val="Default"/>
    <w:next w:val="Default"/>
    <w:uiPriority w:val="99"/>
    <w:rsid w:val="009B310E"/>
    <w:pPr>
      <w:spacing w:line="241" w:lineRule="atLeast"/>
    </w:pPr>
    <w:rPr>
      <w:rFonts w:ascii="Gotham" w:hAnsi="Gotham"/>
      <w:color w:val="auto"/>
      <w:lang w:val="nl-NL" w:eastAsia="en-US"/>
    </w:rPr>
  </w:style>
  <w:style w:type="paragraph" w:customStyle="1" w:styleId="CharChar21">
    <w:name w:val="Char Char2"/>
    <w:basedOn w:val="Standaard"/>
    <w:locked/>
    <w:rsid w:val="009A2BD7"/>
    <w:pPr>
      <w:spacing w:line="240" w:lineRule="auto"/>
    </w:pPr>
    <w:rPr>
      <w:rFonts w:ascii="Times New Roman" w:hAnsi="Times New Roman"/>
      <w:sz w:val="24"/>
      <w:szCs w:val="24"/>
      <w:lang w:val="pl-PL" w:eastAsia="pl-PL"/>
    </w:rPr>
  </w:style>
  <w:style w:type="paragraph" w:customStyle="1" w:styleId="En-tteheaderprotocols">
    <w:name w:val="En-tête.header protocols"/>
    <w:basedOn w:val="Standaard"/>
    <w:rsid w:val="00DA6975"/>
    <w:pPr>
      <w:widowControl w:val="0"/>
      <w:tabs>
        <w:tab w:val="center" w:pos="4536"/>
        <w:tab w:val="right" w:pos="9072"/>
      </w:tabs>
      <w:spacing w:line="240" w:lineRule="auto"/>
    </w:pPr>
    <w:rPr>
      <w:rFonts w:ascii="Times New Roman" w:hAnsi="Times New Roman"/>
      <w:lang w:val="fr-FR" w:eastAsia="fr-FR"/>
    </w:rPr>
  </w:style>
  <w:style w:type="paragraph" w:customStyle="1" w:styleId="Lijstalinea1">
    <w:name w:val="Lijstalinea1"/>
    <w:basedOn w:val="Standaard"/>
    <w:rsid w:val="00BA7C2C"/>
    <w:pPr>
      <w:spacing w:line="260" w:lineRule="atLeast"/>
      <w:ind w:left="720"/>
      <w:contextualSpacing/>
    </w:pPr>
    <w:rPr>
      <w:rFonts w:ascii="Times New Roman" w:eastAsia="Calibri" w:hAnsi="Times New Roman"/>
      <w:sz w:val="22"/>
      <w:szCs w:val="24"/>
      <w:lang w:val="sv-SE" w:eastAsia="sv-SE"/>
    </w:rPr>
  </w:style>
  <w:style w:type="paragraph" w:customStyle="1" w:styleId="Revisie1">
    <w:name w:val="Revisie1"/>
    <w:hidden/>
    <w:semiHidden/>
    <w:rsid w:val="00BA7C2C"/>
    <w:rPr>
      <w:rFonts w:eastAsia="Calibri"/>
      <w:sz w:val="22"/>
      <w:szCs w:val="24"/>
      <w:lang w:val="sv-SE" w:eastAsia="sv-SE"/>
    </w:rPr>
  </w:style>
  <w:style w:type="paragraph" w:customStyle="1" w:styleId="LoEheadingboldChar">
    <w:name w:val="_LoE_heading_bold Char"/>
    <w:rsid w:val="00BA7C2C"/>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BA7C2C"/>
    <w:pPr>
      <w:numPr>
        <w:ilvl w:val="12"/>
      </w:numPr>
      <w:autoSpaceDE w:val="0"/>
      <w:autoSpaceDN w:val="0"/>
      <w:spacing w:line="240" w:lineRule="atLeast"/>
    </w:pPr>
    <w:rPr>
      <w:rFonts w:ascii="Arial" w:eastAsia="Calibri" w:hAnsi="Arial" w:cs="Arial"/>
      <w:lang w:val="en-GB" w:eastAsia="de-DE"/>
    </w:rPr>
  </w:style>
  <w:style w:type="character" w:customStyle="1" w:styleId="Opmaakprofiel10ptVet">
    <w:name w:val="Opmaakprofiel 10 pt Vet"/>
    <w:basedOn w:val="Standaardalinea-lettertype"/>
    <w:rsid w:val="00BA7C2C"/>
    <w:rPr>
      <w:rFonts w:ascii="Arial" w:hAnsi="Arial"/>
      <w:b/>
      <w:bCs/>
      <w:sz w:val="22"/>
    </w:rPr>
  </w:style>
  <w:style w:type="paragraph" w:customStyle="1" w:styleId="TweeEnHalfWitregelVoor">
    <w:name w:val="TweeEnHalfWitregelVoor"/>
    <w:basedOn w:val="Standaard"/>
    <w:rsid w:val="00BA7C2C"/>
    <w:pPr>
      <w:keepLines/>
      <w:overflowPunct w:val="0"/>
      <w:autoSpaceDE w:val="0"/>
      <w:autoSpaceDN w:val="0"/>
      <w:adjustRightInd w:val="0"/>
      <w:spacing w:before="600" w:line="240" w:lineRule="auto"/>
    </w:pPr>
    <w:rPr>
      <w:rFonts w:ascii="Arial Cursief" w:hAnsi="Arial Cursief"/>
      <w:i/>
      <w:sz w:val="22"/>
      <w:lang w:val="nl-NL" w:eastAsia="nl-NL"/>
    </w:rPr>
  </w:style>
  <w:style w:type="character" w:customStyle="1" w:styleId="RoodCursief">
    <w:name w:val="RoodCursief"/>
    <w:basedOn w:val="Standaardalinea-lettertype"/>
    <w:rsid w:val="00BA7C2C"/>
    <w:rPr>
      <w:rFonts w:ascii="Arial Cursief" w:hAnsi="Arial Cursief"/>
      <w:i/>
      <w:color w:val="000080"/>
      <w:spacing w:val="0"/>
      <w:sz w:val="22"/>
    </w:rPr>
  </w:style>
  <w:style w:type="paragraph" w:customStyle="1" w:styleId="AnderhalveWitRegelVoor">
    <w:name w:val="AnderhalveWitRegelVoor"/>
    <w:basedOn w:val="Standaard"/>
    <w:rsid w:val="00BA7C2C"/>
    <w:pPr>
      <w:overflowPunct w:val="0"/>
      <w:autoSpaceDE w:val="0"/>
      <w:autoSpaceDN w:val="0"/>
      <w:adjustRightInd w:val="0"/>
      <w:spacing w:before="360" w:line="240" w:lineRule="auto"/>
      <w:textAlignment w:val="baseline"/>
    </w:pPr>
    <w:rPr>
      <w:sz w:val="22"/>
      <w:lang w:val="nl" w:eastAsia="nl-NL"/>
    </w:rPr>
  </w:style>
  <w:style w:type="paragraph" w:customStyle="1" w:styleId="SFGuidnotesitalics">
    <w:name w:val="*SF:Guid_notes_italics"/>
    <w:basedOn w:val="Standaard"/>
    <w:rsid w:val="00BA7C2C"/>
    <w:pPr>
      <w:keepNext/>
      <w:spacing w:before="60" w:after="60" w:line="240" w:lineRule="auto"/>
    </w:pPr>
    <w:rPr>
      <w:rFonts w:ascii="Times New Roman" w:hAnsi="Times New Roman"/>
      <w:i/>
      <w:lang w:val="de-DE" w:eastAsia="en-GB"/>
    </w:rPr>
  </w:style>
  <w:style w:type="paragraph" w:customStyle="1" w:styleId="TableTextright">
    <w:name w:val="Table Text right"/>
    <w:aliases w:val="TR"/>
    <w:basedOn w:val="Standaard"/>
    <w:rsid w:val="00BA7C2C"/>
    <w:pPr>
      <w:keepNext/>
      <w:widowControl w:val="0"/>
      <w:spacing w:before="40" w:after="40" w:line="240" w:lineRule="auto"/>
      <w:jc w:val="right"/>
    </w:pPr>
    <w:rPr>
      <w:rFonts w:ascii="Times New Roman" w:hAnsi="Times New Roman"/>
      <w:spacing w:val="-5"/>
      <w:lang w:eastAsia="en-US"/>
    </w:rPr>
  </w:style>
  <w:style w:type="paragraph" w:customStyle="1" w:styleId="TableTextLeft">
    <w:name w:val="Table Text Left"/>
    <w:aliases w:val="TL,Table text Left"/>
    <w:basedOn w:val="Standaard"/>
    <w:rsid w:val="00BA7C2C"/>
    <w:pPr>
      <w:keepNext/>
      <w:widowControl w:val="0"/>
      <w:spacing w:before="40" w:after="40" w:line="240" w:lineRule="auto"/>
    </w:pPr>
    <w:rPr>
      <w:rFonts w:ascii="Times New Roman" w:hAnsi="Times New Roman"/>
      <w:spacing w:val="-5"/>
      <w:lang w:eastAsia="en-US"/>
    </w:rPr>
  </w:style>
  <w:style w:type="paragraph" w:customStyle="1" w:styleId="CentrerenEnOnderstreep">
    <w:name w:val="CentrerenEnOnderstreep"/>
    <w:basedOn w:val="Standaard"/>
    <w:rsid w:val="00BA7C2C"/>
    <w:pPr>
      <w:suppressAutoHyphens/>
      <w:overflowPunct w:val="0"/>
      <w:autoSpaceDE w:val="0"/>
      <w:autoSpaceDN w:val="0"/>
      <w:adjustRightInd w:val="0"/>
      <w:spacing w:line="240" w:lineRule="auto"/>
      <w:jc w:val="center"/>
      <w:textAlignment w:val="baseline"/>
    </w:pPr>
    <w:rPr>
      <w:sz w:val="22"/>
      <w:u w:val="single"/>
      <w:lang w:val="nl" w:eastAsia="nl-NL"/>
    </w:rPr>
  </w:style>
  <w:style w:type="paragraph" w:customStyle="1" w:styleId="tekst1">
    <w:name w:val="tekst1"/>
    <w:basedOn w:val="Plattetekstinspringen"/>
    <w:rsid w:val="00BA7C2C"/>
    <w:pPr>
      <w:widowControl w:val="0"/>
      <w:overflowPunct w:val="0"/>
      <w:autoSpaceDE w:val="0"/>
      <w:autoSpaceDN w:val="0"/>
      <w:adjustRightInd w:val="0"/>
      <w:spacing w:line="264" w:lineRule="atLeast"/>
      <w:ind w:left="284"/>
      <w:textAlignment w:val="baseline"/>
    </w:pPr>
    <w:rPr>
      <w:sz w:val="22"/>
      <w:lang w:val="nl" w:eastAsia="nl-NL"/>
    </w:rPr>
  </w:style>
  <w:style w:type="character" w:customStyle="1" w:styleId="Kop3CharChar">
    <w:name w:val="Kop 3 Char Char"/>
    <w:basedOn w:val="Standaardalinea-lettertype"/>
    <w:locked/>
    <w:rsid w:val="00BA7C2C"/>
    <w:rPr>
      <w:rFonts w:ascii="Arial" w:eastAsia="Calibri" w:hAnsi="Arial" w:cs="Arial"/>
      <w:b/>
      <w:bCs/>
      <w:sz w:val="24"/>
      <w:szCs w:val="26"/>
      <w:lang w:val="sv-SE" w:eastAsia="sv-SE" w:bidi="ar-SA"/>
    </w:rPr>
  </w:style>
  <w:style w:type="paragraph" w:customStyle="1" w:styleId="TableTextcenterbold">
    <w:name w:val="Table Text center bold"/>
    <w:aliases w:val="T2"/>
    <w:basedOn w:val="Standaard"/>
    <w:next w:val="Standaard"/>
    <w:rsid w:val="00BA7C2C"/>
    <w:pPr>
      <w:keepNext/>
      <w:spacing w:before="40" w:after="40" w:line="240" w:lineRule="auto"/>
      <w:jc w:val="center"/>
    </w:pPr>
    <w:rPr>
      <w:rFonts w:ascii="Times New Roman" w:hAnsi="Times New Roman"/>
      <w:b/>
      <w:bCs/>
      <w:spacing w:val="-5"/>
      <w:lang w:eastAsia="en-GB"/>
    </w:rPr>
  </w:style>
  <w:style w:type="character" w:customStyle="1" w:styleId="Stil12pt">
    <w:name w:val="Stil 12 pt"/>
    <w:basedOn w:val="Standaardalinea-lettertype"/>
    <w:rsid w:val="00BA7C2C"/>
    <w:rPr>
      <w:rFonts w:ascii="Times New Roman" w:hAnsi="Times New Roman"/>
      <w:sz w:val="24"/>
    </w:rPr>
  </w:style>
  <w:style w:type="paragraph" w:customStyle="1" w:styleId="Tableheading">
    <w:name w:val="Table heading"/>
    <w:basedOn w:val="Bijschrift"/>
    <w:rsid w:val="00BA7C2C"/>
    <w:pPr>
      <w:spacing w:before="120" w:after="120" w:line="240" w:lineRule="auto"/>
    </w:pPr>
    <w:rPr>
      <w:rFonts w:ascii="Arial Narrow" w:hAnsi="Arial Narrow"/>
      <w:sz w:val="19"/>
      <w:lang w:eastAsia="en-GB"/>
    </w:rPr>
  </w:style>
  <w:style w:type="paragraph" w:customStyle="1" w:styleId="BodyTestkeep">
    <w:name w:val="Body Test keep"/>
    <w:aliases w:val="BK"/>
    <w:basedOn w:val="Plattetekst"/>
    <w:rsid w:val="00BA7C2C"/>
    <w:pPr>
      <w:keepNext/>
      <w:spacing w:after="360" w:line="240" w:lineRule="atLeast"/>
    </w:pPr>
    <w:rPr>
      <w:rFonts w:ascii="Times New Roman" w:hAnsi="Times New Roman"/>
      <w:bCs/>
      <w:spacing w:val="-5"/>
      <w:sz w:val="22"/>
    </w:rPr>
  </w:style>
  <w:style w:type="paragraph" w:customStyle="1" w:styleId="Titlepage-1">
    <w:name w:val="Title page - 1"/>
    <w:basedOn w:val="Standaard"/>
    <w:rsid w:val="00BA7C2C"/>
    <w:pPr>
      <w:keepLines/>
      <w:widowControl w:val="0"/>
      <w:tabs>
        <w:tab w:val="left" w:pos="1134"/>
      </w:tabs>
      <w:suppressAutoHyphens/>
      <w:spacing w:after="240" w:line="240" w:lineRule="auto"/>
      <w:jc w:val="center"/>
    </w:pPr>
    <w:rPr>
      <w:rFonts w:cs="Arial"/>
      <w:b/>
      <w:bCs/>
      <w:spacing w:val="-5"/>
      <w:kern w:val="22"/>
      <w:sz w:val="52"/>
      <w:szCs w:val="52"/>
      <w:lang w:eastAsia="en-US"/>
    </w:rPr>
  </w:style>
  <w:style w:type="paragraph" w:customStyle="1" w:styleId="Titlepage-2">
    <w:name w:val="Title page - 2"/>
    <w:basedOn w:val="Titlepage-1"/>
    <w:rsid w:val="00BA7C2C"/>
    <w:rPr>
      <w:sz w:val="32"/>
      <w:szCs w:val="32"/>
    </w:rPr>
  </w:style>
  <w:style w:type="paragraph" w:customStyle="1" w:styleId="Titlepage-3">
    <w:name w:val="Title page - 3"/>
    <w:basedOn w:val="Titlepage-1"/>
    <w:rsid w:val="00BA7C2C"/>
    <w:pPr>
      <w:spacing w:after="480"/>
    </w:pPr>
    <w:rPr>
      <w:b w:val="0"/>
      <w:bCs w:val="0"/>
      <w:sz w:val="28"/>
      <w:szCs w:val="28"/>
    </w:rPr>
  </w:style>
  <w:style w:type="paragraph" w:customStyle="1" w:styleId="BodyTextCenter">
    <w:name w:val="Body Text Center"/>
    <w:aliases w:val="BC"/>
    <w:basedOn w:val="Plattetekst"/>
    <w:next w:val="Plattetekst"/>
    <w:rsid w:val="00BA7C2C"/>
    <w:pPr>
      <w:widowControl w:val="0"/>
      <w:spacing w:after="240" w:line="240" w:lineRule="atLeast"/>
      <w:jc w:val="center"/>
    </w:pPr>
    <w:rPr>
      <w:rFonts w:ascii="Times New Roman" w:hAnsi="Times New Roman"/>
      <w:spacing w:val="-5"/>
      <w:sz w:val="22"/>
      <w:szCs w:val="22"/>
      <w:lang w:eastAsia="en-US"/>
    </w:rPr>
  </w:style>
  <w:style w:type="paragraph" w:customStyle="1" w:styleId="Tableformat">
    <w:name w:val="Tableformat"/>
    <w:basedOn w:val="Standaard"/>
    <w:rsid w:val="00BA7C2C"/>
    <w:pPr>
      <w:spacing w:line="240" w:lineRule="auto"/>
    </w:pPr>
    <w:rPr>
      <w:rFonts w:ascii="Times New Roman" w:hAnsi="Times New Roman"/>
      <w:lang w:val="de-DE" w:eastAsia="en-GB"/>
    </w:rPr>
  </w:style>
  <w:style w:type="paragraph" w:customStyle="1" w:styleId="Tablefooter">
    <w:name w:val="Table footer"/>
    <w:basedOn w:val="Standaard"/>
    <w:rsid w:val="00BA7C2C"/>
    <w:pPr>
      <w:keepNext/>
      <w:tabs>
        <w:tab w:val="left" w:pos="284"/>
      </w:tabs>
      <w:spacing w:line="240" w:lineRule="auto"/>
      <w:ind w:left="284" w:hanging="284"/>
    </w:pPr>
    <w:rPr>
      <w:rFonts w:ascii="Times New Roman" w:hAnsi="Times New Roman"/>
      <w:spacing w:val="-5"/>
      <w:sz w:val="18"/>
      <w:szCs w:val="18"/>
      <w:lang w:eastAsia="en-GB"/>
    </w:rPr>
  </w:style>
  <w:style w:type="character" w:customStyle="1" w:styleId="Heading3CharChar">
    <w:name w:val="Heading 3 Char Char"/>
    <w:basedOn w:val="Standaardalinea-lettertype"/>
    <w:rsid w:val="00BA7C2C"/>
    <w:rPr>
      <w:b/>
      <w:bCs/>
      <w:noProof w:val="0"/>
      <w:sz w:val="22"/>
      <w:szCs w:val="22"/>
      <w:lang w:val="de-DE"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Default Paragraph Font" w:uiPriority="1"/>
    <w:lsdException w:name="Subtitle" w:semiHidden="0" w:unhideWhenUsed="0"/>
    <w:lsdException w:name="Strong" w:semiHidden="0" w:unhideWhenUsed="0"/>
    <w:lsdException w:name="Emphasis" w:semiHidden="0" w:uiPriority="99" w:unhideWhenUsed="0"/>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E530CD"/>
    <w:pPr>
      <w:spacing w:line="360" w:lineRule="auto"/>
    </w:pPr>
    <w:rPr>
      <w:rFonts w:ascii="Arial" w:hAnsi="Arial"/>
      <w:lang w:val="en-GB" w:eastAsia="de-DE"/>
    </w:rPr>
  </w:style>
  <w:style w:type="paragraph" w:styleId="Kop1">
    <w:name w:val="heading 1"/>
    <w:basedOn w:val="Standaard"/>
    <w:next w:val="Standaard"/>
    <w:link w:val="Kop1Char"/>
    <w:qFormat/>
    <w:rsid w:val="007506C0"/>
    <w:pPr>
      <w:keepNext/>
      <w:numPr>
        <w:numId w:val="1"/>
      </w:numPr>
      <w:spacing w:before="240" w:after="60"/>
      <w:outlineLvl w:val="0"/>
    </w:pPr>
    <w:rPr>
      <w:rFonts w:cs="Arial"/>
      <w:b/>
      <w:bCs/>
      <w:kern w:val="32"/>
      <w:sz w:val="32"/>
      <w:szCs w:val="32"/>
    </w:rPr>
  </w:style>
  <w:style w:type="paragraph" w:styleId="Kop2">
    <w:name w:val="heading 2"/>
    <w:aliases w:val="heading2,h2"/>
    <w:basedOn w:val="Standaard"/>
    <w:next w:val="Standaard"/>
    <w:link w:val="Kop2Char"/>
    <w:qFormat/>
    <w:rsid w:val="007506C0"/>
    <w:pPr>
      <w:keepNext/>
      <w:numPr>
        <w:ilvl w:val="1"/>
        <w:numId w:val="1"/>
      </w:numPr>
      <w:spacing w:before="240" w:after="60"/>
      <w:outlineLvl w:val="1"/>
    </w:pPr>
    <w:rPr>
      <w:rFonts w:cs="Arial"/>
      <w:b/>
      <w:bCs/>
      <w:i/>
      <w:iCs/>
      <w:sz w:val="28"/>
      <w:szCs w:val="28"/>
    </w:rPr>
  </w:style>
  <w:style w:type="paragraph" w:styleId="Kop3">
    <w:name w:val="heading 3"/>
    <w:aliases w:val="Heading 3 Char"/>
    <w:basedOn w:val="Standaard"/>
    <w:next w:val="Standaard"/>
    <w:link w:val="Kop3Char"/>
    <w:qFormat/>
    <w:rsid w:val="000447F1"/>
    <w:pPr>
      <w:keepNext/>
      <w:numPr>
        <w:ilvl w:val="2"/>
        <w:numId w:val="4"/>
      </w:numPr>
      <w:spacing w:before="240" w:after="240"/>
      <w:jc w:val="both"/>
      <w:outlineLvl w:val="2"/>
    </w:pPr>
    <w:rPr>
      <w:rFonts w:cs="Arial"/>
      <w:b/>
      <w:bCs/>
      <w:sz w:val="24"/>
      <w:szCs w:val="26"/>
    </w:rPr>
  </w:style>
  <w:style w:type="paragraph" w:styleId="Kop4">
    <w:name w:val="heading 4"/>
    <w:aliases w:val="bro Titre 4,h4,Heading 4 Char,8.1.1.1Überschrift 4,H4"/>
    <w:basedOn w:val="Kop3"/>
    <w:next w:val="Absatz"/>
    <w:link w:val="Kop4Char"/>
    <w:autoRedefine/>
    <w:qFormat/>
    <w:rsid w:val="00DE5656"/>
    <w:pPr>
      <w:numPr>
        <w:ilvl w:val="3"/>
      </w:numPr>
      <w:ind w:left="1276" w:hanging="1276"/>
      <w:outlineLvl w:val="3"/>
    </w:pPr>
  </w:style>
  <w:style w:type="paragraph" w:styleId="Kop5">
    <w:name w:val="heading 5"/>
    <w:basedOn w:val="Kop1"/>
    <w:next w:val="Absatz"/>
    <w:link w:val="Kop5Char"/>
    <w:qFormat/>
    <w:rsid w:val="00566AA6"/>
    <w:pPr>
      <w:numPr>
        <w:ilvl w:val="4"/>
        <w:numId w:val="4"/>
      </w:numPr>
      <w:spacing w:after="255" w:line="255" w:lineRule="exact"/>
      <w:jc w:val="both"/>
      <w:outlineLvl w:val="4"/>
    </w:pPr>
    <w:rPr>
      <w:rFonts w:eastAsia="Calibri"/>
      <w:b w:val="0"/>
      <w:sz w:val="22"/>
      <w:szCs w:val="36"/>
      <w:lang w:eastAsia="en-US"/>
    </w:rPr>
  </w:style>
  <w:style w:type="paragraph" w:styleId="Kop6">
    <w:name w:val="heading 6"/>
    <w:basedOn w:val="Kop5"/>
    <w:next w:val="Absatz"/>
    <w:link w:val="Kop6Char"/>
    <w:qFormat/>
    <w:rsid w:val="00566AA6"/>
    <w:pPr>
      <w:numPr>
        <w:ilvl w:val="5"/>
      </w:numPr>
      <w:outlineLvl w:val="5"/>
    </w:pPr>
    <w:rPr>
      <w:i/>
    </w:rPr>
  </w:style>
  <w:style w:type="paragraph" w:styleId="Kop7">
    <w:name w:val="heading 7"/>
    <w:basedOn w:val="Kop1"/>
    <w:next w:val="Absatz"/>
    <w:link w:val="Kop7Char"/>
    <w:qFormat/>
    <w:rsid w:val="00E530CD"/>
    <w:pPr>
      <w:numPr>
        <w:numId w:val="0"/>
      </w:numPr>
      <w:spacing w:after="255" w:line="255" w:lineRule="exact"/>
      <w:ind w:left="1296" w:hanging="1296"/>
      <w:outlineLvl w:val="6"/>
    </w:pPr>
    <w:rPr>
      <w:b w:val="0"/>
      <w:sz w:val="22"/>
      <w:szCs w:val="36"/>
    </w:rPr>
  </w:style>
  <w:style w:type="paragraph" w:styleId="Kop8">
    <w:name w:val="heading 8"/>
    <w:basedOn w:val="Kop1"/>
    <w:next w:val="Absatz"/>
    <w:link w:val="Kop8Char"/>
    <w:qFormat/>
    <w:rsid w:val="00E530CD"/>
    <w:pPr>
      <w:numPr>
        <w:numId w:val="0"/>
      </w:numPr>
      <w:spacing w:after="255" w:line="255" w:lineRule="exact"/>
      <w:ind w:left="1440" w:hanging="1440"/>
      <w:outlineLvl w:val="7"/>
    </w:pPr>
    <w:rPr>
      <w:b w:val="0"/>
      <w:sz w:val="22"/>
      <w:szCs w:val="36"/>
    </w:rPr>
  </w:style>
  <w:style w:type="paragraph" w:styleId="Kop9">
    <w:name w:val="heading 9"/>
    <w:basedOn w:val="Kop1"/>
    <w:next w:val="Absatz"/>
    <w:link w:val="Kop9Char"/>
    <w:qFormat/>
    <w:rsid w:val="00E530CD"/>
    <w:pPr>
      <w:numPr>
        <w:numId w:val="0"/>
      </w:numPr>
      <w:spacing w:after="255" w:line="255" w:lineRule="exact"/>
      <w:ind w:left="1584" w:hanging="1584"/>
      <w:outlineLvl w:val="8"/>
    </w:pPr>
    <w:rPr>
      <w:b w:val="0"/>
      <w:sz w:val="22"/>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06C0"/>
    <w:rPr>
      <w:rFonts w:ascii="Arial" w:hAnsi="Arial" w:cs="Arial"/>
      <w:b/>
      <w:bCs/>
      <w:kern w:val="32"/>
      <w:sz w:val="32"/>
      <w:szCs w:val="32"/>
      <w:lang w:val="en-GB" w:eastAsia="de-DE"/>
    </w:rPr>
  </w:style>
  <w:style w:type="character" w:customStyle="1" w:styleId="Kop2Char">
    <w:name w:val="Kop 2 Char"/>
    <w:aliases w:val="heading2 Char,h2 Char"/>
    <w:basedOn w:val="Standaardalinea-lettertype"/>
    <w:link w:val="Kop2"/>
    <w:rsid w:val="007506C0"/>
    <w:rPr>
      <w:rFonts w:ascii="Arial" w:hAnsi="Arial" w:cs="Arial"/>
      <w:b/>
      <w:bCs/>
      <w:i/>
      <w:iCs/>
      <w:sz w:val="28"/>
      <w:szCs w:val="28"/>
      <w:lang w:val="en-GB" w:eastAsia="de-DE"/>
    </w:rPr>
  </w:style>
  <w:style w:type="character" w:customStyle="1" w:styleId="Kop3Char">
    <w:name w:val="Kop 3 Char"/>
    <w:aliases w:val="Heading 3 Char Char1"/>
    <w:basedOn w:val="Standaardalinea-lettertype"/>
    <w:link w:val="Kop3"/>
    <w:rsid w:val="000447F1"/>
    <w:rPr>
      <w:rFonts w:ascii="Arial" w:hAnsi="Arial" w:cs="Arial"/>
      <w:b/>
      <w:bCs/>
      <w:sz w:val="24"/>
      <w:szCs w:val="26"/>
      <w:lang w:val="en-GB" w:eastAsia="de-DE"/>
    </w:rPr>
  </w:style>
  <w:style w:type="paragraph" w:styleId="Bijschrift">
    <w:name w:val="caption"/>
    <w:basedOn w:val="Standaard"/>
    <w:next w:val="Standaard"/>
    <w:link w:val="BijschriftChar"/>
    <w:qFormat/>
    <w:rsid w:val="007506C0"/>
    <w:rPr>
      <w:b/>
      <w:bCs/>
    </w:rPr>
  </w:style>
  <w:style w:type="character" w:customStyle="1" w:styleId="Kop4Char">
    <w:name w:val="Kop 4 Char"/>
    <w:aliases w:val="bro Titre 4 Char,h4 Char,Heading 4 Char Char,8.1.1.1Überschrift 4 Char,H4 Char"/>
    <w:basedOn w:val="Standaardalinea-lettertype"/>
    <w:link w:val="Kop4"/>
    <w:rsid w:val="00DE5656"/>
    <w:rPr>
      <w:rFonts w:ascii="Arial" w:hAnsi="Arial" w:cs="Arial"/>
      <w:b/>
      <w:bCs/>
      <w:sz w:val="24"/>
      <w:szCs w:val="26"/>
      <w:lang w:val="en-GB" w:eastAsia="de-DE"/>
    </w:rPr>
  </w:style>
  <w:style w:type="character" w:customStyle="1" w:styleId="Kop5Char">
    <w:name w:val="Kop 5 Char"/>
    <w:basedOn w:val="Standaardalinea-lettertype"/>
    <w:link w:val="Kop5"/>
    <w:rsid w:val="00566AA6"/>
    <w:rPr>
      <w:rFonts w:ascii="Arial" w:eastAsia="Calibri" w:hAnsi="Arial" w:cs="Arial"/>
      <w:bCs/>
      <w:kern w:val="32"/>
      <w:sz w:val="22"/>
      <w:szCs w:val="36"/>
      <w:lang w:val="en-GB"/>
    </w:rPr>
  </w:style>
  <w:style w:type="character" w:customStyle="1" w:styleId="Kop6Char">
    <w:name w:val="Kop 6 Char"/>
    <w:basedOn w:val="Standaardalinea-lettertype"/>
    <w:link w:val="Kop6"/>
    <w:rsid w:val="00566AA6"/>
    <w:rPr>
      <w:rFonts w:ascii="Arial" w:eastAsia="Calibri" w:hAnsi="Arial" w:cs="Arial"/>
      <w:bCs/>
      <w:i/>
      <w:kern w:val="32"/>
      <w:sz w:val="22"/>
      <w:szCs w:val="36"/>
      <w:lang w:val="en-GB"/>
    </w:rPr>
  </w:style>
  <w:style w:type="character" w:customStyle="1" w:styleId="Kop7Char">
    <w:name w:val="Kop 7 Char"/>
    <w:basedOn w:val="Standaardalinea-lettertype"/>
    <w:link w:val="Kop7"/>
    <w:rsid w:val="00E530CD"/>
    <w:rPr>
      <w:rFonts w:ascii="Arial" w:hAnsi="Arial" w:cs="Arial"/>
      <w:bCs/>
      <w:kern w:val="32"/>
      <w:sz w:val="22"/>
      <w:szCs w:val="36"/>
      <w:lang w:eastAsia="de-DE"/>
    </w:rPr>
  </w:style>
  <w:style w:type="character" w:customStyle="1" w:styleId="Kop8Char">
    <w:name w:val="Kop 8 Char"/>
    <w:basedOn w:val="Standaardalinea-lettertype"/>
    <w:link w:val="Kop8"/>
    <w:rsid w:val="00E530CD"/>
    <w:rPr>
      <w:rFonts w:ascii="Arial" w:hAnsi="Arial" w:cs="Arial"/>
      <w:bCs/>
      <w:kern w:val="32"/>
      <w:sz w:val="22"/>
      <w:szCs w:val="36"/>
      <w:lang w:eastAsia="de-DE"/>
    </w:rPr>
  </w:style>
  <w:style w:type="character" w:customStyle="1" w:styleId="Kop9Char">
    <w:name w:val="Kop 9 Char"/>
    <w:basedOn w:val="Standaardalinea-lettertype"/>
    <w:link w:val="Kop9"/>
    <w:rsid w:val="00E530CD"/>
    <w:rPr>
      <w:rFonts w:ascii="Arial" w:hAnsi="Arial" w:cs="Arial"/>
      <w:bCs/>
      <w:kern w:val="32"/>
      <w:sz w:val="22"/>
      <w:szCs w:val="36"/>
      <w:lang w:eastAsia="de-DE"/>
    </w:rPr>
  </w:style>
  <w:style w:type="paragraph" w:customStyle="1" w:styleId="Absatz">
    <w:name w:val="Absatz"/>
    <w:basedOn w:val="Standaard"/>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Koptekst">
    <w:name w:val="header"/>
    <w:aliases w:val="header protocols,Header 1,H"/>
    <w:link w:val="KoptekstChar"/>
    <w:rsid w:val="00E530CD"/>
    <w:pPr>
      <w:tabs>
        <w:tab w:val="center" w:pos="4536"/>
        <w:tab w:val="right" w:pos="9072"/>
      </w:tabs>
    </w:pPr>
    <w:rPr>
      <w:sz w:val="22"/>
      <w:lang w:eastAsia="de-DE"/>
    </w:rPr>
  </w:style>
  <w:style w:type="character" w:customStyle="1" w:styleId="KoptekstChar">
    <w:name w:val="Koptekst Char"/>
    <w:aliases w:val="header protocols Char,Header 1 Char,H Char"/>
    <w:basedOn w:val="Standaardalinea-lettertype"/>
    <w:link w:val="Koptekst"/>
    <w:rsid w:val="00E530CD"/>
    <w:rPr>
      <w:sz w:val="22"/>
      <w:lang w:eastAsia="de-DE"/>
    </w:rPr>
  </w:style>
  <w:style w:type="paragraph" w:styleId="Voettekst">
    <w:name w:val="footer"/>
    <w:basedOn w:val="Standaard"/>
    <w:link w:val="VoettekstChar"/>
    <w:rsid w:val="00E530CD"/>
    <w:pPr>
      <w:tabs>
        <w:tab w:val="center" w:pos="4536"/>
        <w:tab w:val="right" w:pos="9072"/>
      </w:tabs>
    </w:pPr>
    <w:rPr>
      <w:rFonts w:ascii="Times New Roman" w:hAnsi="Times New Roman"/>
    </w:rPr>
  </w:style>
  <w:style w:type="character" w:customStyle="1" w:styleId="VoettekstChar">
    <w:name w:val="Voettekst Char"/>
    <w:basedOn w:val="Standaardalinea-lettertype"/>
    <w:link w:val="Voettekst"/>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Standaard"/>
    <w:rsid w:val="00E530CD"/>
    <w:pPr>
      <w:spacing w:line="255" w:lineRule="exact"/>
    </w:pPr>
    <w:rPr>
      <w:rFonts w:ascii="Times New Roman" w:hAnsi="Times New Roman"/>
      <w:b/>
    </w:rPr>
  </w:style>
  <w:style w:type="paragraph" w:customStyle="1" w:styleId="Strich-Liste">
    <w:name w:val="Strich-Liste"/>
    <w:basedOn w:val="Standaard"/>
    <w:rsid w:val="00E530CD"/>
    <w:pPr>
      <w:spacing w:line="255" w:lineRule="exact"/>
      <w:ind w:left="2013" w:hanging="284"/>
    </w:pPr>
  </w:style>
  <w:style w:type="paragraph" w:customStyle="1" w:styleId="Punkt-Liste">
    <w:name w:val="Punkt-Liste"/>
    <w:basedOn w:val="Standaard"/>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Standaard"/>
    <w:rsid w:val="00E530CD"/>
    <w:pPr>
      <w:spacing w:line="255" w:lineRule="exact"/>
      <w:ind w:left="3458" w:hanging="1729"/>
    </w:pPr>
  </w:style>
  <w:style w:type="paragraph" w:customStyle="1" w:styleId="berschriftimText">
    <w:name w:val="Überschrift im Text"/>
    <w:basedOn w:val="Standaard"/>
    <w:next w:val="Absatz"/>
    <w:rsid w:val="00E530CD"/>
    <w:pPr>
      <w:spacing w:after="255" w:line="255" w:lineRule="exact"/>
      <w:ind w:left="1729"/>
    </w:pPr>
    <w:rPr>
      <w:b/>
      <w:u w:val="single"/>
    </w:rPr>
  </w:style>
  <w:style w:type="paragraph" w:customStyle="1" w:styleId="Einrckung">
    <w:name w:val="Einrückung"/>
    <w:basedOn w:val="Standaard"/>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rsid w:val="00E530CD"/>
    <w:pPr>
      <w:spacing w:line="198" w:lineRule="exact"/>
      <w:ind w:left="221" w:hanging="221"/>
    </w:pPr>
    <w:rPr>
      <w:rFonts w:ascii="Times New Roman" w:hAnsi="Times New Roman"/>
    </w:rPr>
  </w:style>
  <w:style w:type="paragraph" w:customStyle="1" w:styleId="berschriftAS">
    <w:name w:val="Überschrift AS"/>
    <w:basedOn w:val="Standaard"/>
    <w:next w:val="Standaard"/>
    <w:rsid w:val="00E530CD"/>
    <w:pPr>
      <w:keepNext/>
      <w:spacing w:after="1020" w:line="383" w:lineRule="exact"/>
    </w:pPr>
    <w:rPr>
      <w:sz w:val="30"/>
    </w:rPr>
  </w:style>
  <w:style w:type="paragraph" w:customStyle="1" w:styleId="Abkrzungen">
    <w:name w:val="Abkürzungen"/>
    <w:basedOn w:val="Standaard"/>
    <w:rsid w:val="00E530CD"/>
    <w:pPr>
      <w:spacing w:line="255" w:lineRule="exact"/>
    </w:pPr>
    <w:rPr>
      <w:rFonts w:ascii="Times New Roman" w:hAnsi="Times New Roman"/>
    </w:rPr>
  </w:style>
  <w:style w:type="paragraph" w:customStyle="1" w:styleId="HalbeLeerzeile">
    <w:name w:val="Halbe Leerzeile"/>
    <w:basedOn w:val="Standaard"/>
    <w:rsid w:val="00E530CD"/>
    <w:pPr>
      <w:spacing w:line="128" w:lineRule="exact"/>
      <w:ind w:left="1729"/>
    </w:pPr>
    <w:rPr>
      <w:rFonts w:ascii="Times New Roman" w:hAnsi="Times New Roman"/>
      <w:sz w:val="16"/>
    </w:rPr>
  </w:style>
  <w:style w:type="paragraph" w:styleId="Index2">
    <w:name w:val="index 2"/>
    <w:basedOn w:val="Index1"/>
    <w:next w:val="Standaard"/>
    <w:semiHidden/>
    <w:rsid w:val="00E530CD"/>
    <w:pPr>
      <w:ind w:left="442"/>
    </w:pPr>
  </w:style>
  <w:style w:type="paragraph" w:styleId="Indexkop">
    <w:name w:val="index heading"/>
    <w:basedOn w:val="Standaard"/>
    <w:next w:val="Index1"/>
    <w:semiHidden/>
    <w:rsid w:val="00E530CD"/>
    <w:pPr>
      <w:spacing w:line="198" w:lineRule="exact"/>
    </w:pPr>
    <w:rPr>
      <w:rFonts w:ascii="Times New Roman" w:hAnsi="Times New Roman"/>
      <w:b/>
    </w:rPr>
  </w:style>
  <w:style w:type="paragraph" w:styleId="Inhopg1">
    <w:name w:val="toc 1"/>
    <w:aliases w:val="TOC 10"/>
    <w:next w:val="Standaard"/>
    <w:rsid w:val="00034F59"/>
    <w:pPr>
      <w:spacing w:before="120" w:after="120"/>
    </w:pPr>
    <w:rPr>
      <w:rFonts w:ascii="Arial" w:hAnsi="Arial"/>
      <w:b/>
      <w:bCs/>
      <w:lang w:val="en-GB" w:eastAsia="de-DE"/>
    </w:rPr>
  </w:style>
  <w:style w:type="paragraph" w:styleId="Inhopg2">
    <w:name w:val="toc 2"/>
    <w:next w:val="Standaard"/>
    <w:rsid w:val="00034F59"/>
    <w:pPr>
      <w:ind w:left="200"/>
    </w:pPr>
    <w:rPr>
      <w:rFonts w:ascii="Arial" w:hAnsi="Arial"/>
      <w:lang w:val="en-GB" w:eastAsia="de-DE"/>
    </w:rPr>
  </w:style>
  <w:style w:type="paragraph" w:styleId="Inhopg3">
    <w:name w:val="toc 3"/>
    <w:basedOn w:val="Inhopg2"/>
    <w:next w:val="Standaard"/>
    <w:rsid w:val="00E530CD"/>
    <w:pPr>
      <w:ind w:left="400"/>
    </w:pPr>
    <w:rPr>
      <w:i/>
      <w:iCs/>
      <w:smallCaps/>
    </w:rPr>
  </w:style>
  <w:style w:type="paragraph" w:styleId="Inhopg4">
    <w:name w:val="toc 4"/>
    <w:basedOn w:val="Inhopg2"/>
    <w:next w:val="Standaard"/>
    <w:rsid w:val="00E530CD"/>
    <w:pPr>
      <w:ind w:left="600"/>
    </w:pPr>
    <w:rPr>
      <w:smallCaps/>
      <w:sz w:val="18"/>
      <w:szCs w:val="18"/>
    </w:rPr>
  </w:style>
  <w:style w:type="paragraph" w:styleId="Inhopg5">
    <w:name w:val="toc 5"/>
    <w:basedOn w:val="Inhopg2"/>
    <w:next w:val="Standaard"/>
    <w:rsid w:val="00E530CD"/>
    <w:pPr>
      <w:ind w:left="800"/>
    </w:pPr>
    <w:rPr>
      <w:smallCaps/>
      <w:sz w:val="18"/>
      <w:szCs w:val="18"/>
    </w:rPr>
  </w:style>
  <w:style w:type="paragraph" w:styleId="Inhopg6">
    <w:name w:val="toc 6"/>
    <w:basedOn w:val="Inhopg2"/>
    <w:next w:val="Standaard"/>
    <w:rsid w:val="00E530CD"/>
    <w:pPr>
      <w:ind w:left="1000"/>
    </w:pPr>
    <w:rPr>
      <w:smallCaps/>
      <w:sz w:val="18"/>
      <w:szCs w:val="18"/>
    </w:rPr>
  </w:style>
  <w:style w:type="paragraph" w:styleId="Inhopg7">
    <w:name w:val="toc 7"/>
    <w:basedOn w:val="Inhopg2"/>
    <w:next w:val="Standaard"/>
    <w:rsid w:val="00E530CD"/>
    <w:pPr>
      <w:ind w:left="1200"/>
    </w:pPr>
    <w:rPr>
      <w:smallCaps/>
      <w:sz w:val="18"/>
      <w:szCs w:val="18"/>
    </w:rPr>
  </w:style>
  <w:style w:type="paragraph" w:styleId="Inhopg8">
    <w:name w:val="toc 8"/>
    <w:basedOn w:val="Inhopg2"/>
    <w:next w:val="Standaard"/>
    <w:rsid w:val="00E530CD"/>
    <w:pPr>
      <w:ind w:left="1400"/>
    </w:pPr>
    <w:rPr>
      <w:smallCaps/>
      <w:sz w:val="18"/>
      <w:szCs w:val="18"/>
    </w:rPr>
  </w:style>
  <w:style w:type="paragraph" w:styleId="Inhopg9">
    <w:name w:val="toc 9"/>
    <w:basedOn w:val="Inhopg2"/>
    <w:next w:val="Standaard"/>
    <w:rsid w:val="00E530CD"/>
    <w:pPr>
      <w:ind w:left="1600"/>
    </w:pPr>
    <w:rPr>
      <w:smallCaps/>
      <w:sz w:val="18"/>
      <w:szCs w:val="18"/>
    </w:rPr>
  </w:style>
  <w:style w:type="paragraph" w:customStyle="1" w:styleId="Gliederungslinie">
    <w:name w:val="Gliederungslinie"/>
    <w:basedOn w:val="Standaard"/>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jst">
    <w:name w:val="List"/>
    <w:basedOn w:val="Standaard"/>
    <w:rsid w:val="00E530C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rsid w:val="00E530CD"/>
    <w:pPr>
      <w:keepNext/>
      <w:spacing w:after="1020" w:line="383" w:lineRule="exact"/>
    </w:pPr>
    <w:rPr>
      <w:sz w:val="30"/>
    </w:rPr>
  </w:style>
  <w:style w:type="paragraph" w:styleId="Voetnoottekst">
    <w:name w:val="footnote text"/>
    <w:basedOn w:val="Standaard"/>
    <w:link w:val="VoetnoottekstChar"/>
    <w:rsid w:val="00E530CD"/>
    <w:pPr>
      <w:ind w:left="284" w:hanging="284"/>
    </w:pPr>
    <w:rPr>
      <w:position w:val="4"/>
    </w:rPr>
  </w:style>
  <w:style w:type="character" w:customStyle="1" w:styleId="VoetnoottekstChar">
    <w:name w:val="Voetnoottekst Char"/>
    <w:basedOn w:val="Standaardalinea-lettertype"/>
    <w:link w:val="Voetnoottekst"/>
    <w:rsid w:val="00E530CD"/>
    <w:rPr>
      <w:rFonts w:ascii="Arial" w:hAnsi="Arial"/>
      <w:position w:val="4"/>
      <w:lang w:val="en-GB" w:eastAsia="de-DE"/>
    </w:rPr>
  </w:style>
  <w:style w:type="character" w:styleId="Voetnootmarkering">
    <w:name w:val="footnote reference"/>
    <w:rsid w:val="00E530CD"/>
    <w:rPr>
      <w:position w:val="8"/>
      <w:sz w:val="16"/>
    </w:rPr>
  </w:style>
  <w:style w:type="paragraph" w:styleId="Eindnoottekst">
    <w:name w:val="endnote text"/>
    <w:basedOn w:val="Standaard"/>
    <w:link w:val="EindnoottekstChar"/>
    <w:semiHidden/>
    <w:rsid w:val="00E530CD"/>
    <w:pPr>
      <w:spacing w:line="198" w:lineRule="exact"/>
      <w:ind w:left="284" w:hanging="284"/>
    </w:pPr>
    <w:rPr>
      <w:rFonts w:ascii="Times New Roman" w:hAnsi="Times New Roman"/>
      <w:position w:val="4"/>
    </w:rPr>
  </w:style>
  <w:style w:type="character" w:customStyle="1" w:styleId="EindnoottekstChar">
    <w:name w:val="Eindnoottekst Char"/>
    <w:basedOn w:val="Standaardalinea-lettertype"/>
    <w:link w:val="Eindnoottekst"/>
    <w:semiHidden/>
    <w:rsid w:val="00E530CD"/>
    <w:rPr>
      <w:position w:val="4"/>
      <w:lang w:val="en-GB" w:eastAsia="de-DE"/>
    </w:rPr>
  </w:style>
  <w:style w:type="character" w:styleId="Eindnootmarkering">
    <w:name w:val="endnote reference"/>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Standaard"/>
    <w:rsid w:val="00E530CD"/>
    <w:pPr>
      <w:spacing w:line="198" w:lineRule="exact"/>
    </w:pPr>
    <w:rPr>
      <w:rFonts w:ascii="Times New Roman" w:hAnsi="Times New Roman"/>
    </w:rPr>
  </w:style>
  <w:style w:type="paragraph" w:styleId="Lijstmetafbeeldingen">
    <w:name w:val="table of figures"/>
    <w:basedOn w:val="Standaard"/>
    <w:next w:val="Standaard"/>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Standaard"/>
    <w:rsid w:val="00E530CD"/>
    <w:pPr>
      <w:spacing w:before="100" w:after="100"/>
    </w:pPr>
  </w:style>
  <w:style w:type="paragraph" w:styleId="Plattetekst">
    <w:name w:val="Body Text"/>
    <w:basedOn w:val="Standaard"/>
    <w:link w:val="PlattetekstChar"/>
    <w:rsid w:val="00E530CD"/>
  </w:style>
  <w:style w:type="character" w:customStyle="1" w:styleId="PlattetekstChar">
    <w:name w:val="Platte tekst Char"/>
    <w:basedOn w:val="Standaardalinea-lettertype"/>
    <w:link w:val="Plattetekst"/>
    <w:rsid w:val="00E530CD"/>
    <w:rPr>
      <w:rFonts w:ascii="Arial" w:hAnsi="Arial"/>
      <w:lang w:val="en-GB" w:eastAsia="de-DE"/>
    </w:rPr>
  </w:style>
  <w:style w:type="character" w:styleId="Regelnummer">
    <w:name w:val="line number"/>
    <w:basedOn w:val="Standaardalinea-lettertype"/>
    <w:rsid w:val="00E530CD"/>
  </w:style>
  <w:style w:type="character" w:styleId="Verwijzingopmerking">
    <w:name w:val="annotation reference"/>
    <w:rsid w:val="00E530CD"/>
    <w:rPr>
      <w:sz w:val="16"/>
    </w:rPr>
  </w:style>
  <w:style w:type="paragraph" w:styleId="Tekstopmerking">
    <w:name w:val="annotation text"/>
    <w:basedOn w:val="Standaard"/>
    <w:link w:val="TekstopmerkingChar"/>
    <w:rsid w:val="00E530CD"/>
  </w:style>
  <w:style w:type="character" w:customStyle="1" w:styleId="TekstopmerkingChar">
    <w:name w:val="Tekst opmerking Char"/>
    <w:basedOn w:val="Standaardalinea-lettertype"/>
    <w:link w:val="Tekstopmerking"/>
    <w:rsid w:val="00E530CD"/>
    <w:rPr>
      <w:rFonts w:ascii="Arial" w:hAnsi="Arial"/>
      <w:lang w:val="en-GB" w:eastAsia="de-DE"/>
    </w:rPr>
  </w:style>
  <w:style w:type="paragraph" w:styleId="Documentstructuur">
    <w:name w:val="Document Map"/>
    <w:basedOn w:val="Standaard"/>
    <w:link w:val="DocumentstructuurChar"/>
    <w:semiHidden/>
    <w:rsid w:val="00E530CD"/>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E530CD"/>
    <w:rPr>
      <w:rFonts w:ascii="Tahoma" w:hAnsi="Tahoma"/>
      <w:shd w:val="clear" w:color="auto" w:fill="000080"/>
      <w:lang w:val="en-GB" w:eastAsia="de-DE"/>
    </w:rPr>
  </w:style>
  <w:style w:type="character" w:styleId="Hyperlink">
    <w:name w:val="Hyperlink"/>
    <w:rsid w:val="00E530CD"/>
    <w:rPr>
      <w:color w:val="0000FF"/>
      <w:u w:val="single"/>
    </w:rPr>
  </w:style>
  <w:style w:type="character" w:styleId="Paginanummer">
    <w:name w:val="page number"/>
    <w:basedOn w:val="Standaardalinea-lettertype"/>
    <w:rsid w:val="00E530CD"/>
  </w:style>
  <w:style w:type="paragraph" w:styleId="Plattetekstinspringen">
    <w:name w:val="Body Text Indent"/>
    <w:basedOn w:val="Standaard"/>
    <w:link w:val="PlattetekstinspringenChar"/>
    <w:rsid w:val="00E530CD"/>
    <w:pPr>
      <w:ind w:left="567"/>
    </w:pPr>
    <w:rPr>
      <w:sz w:val="24"/>
    </w:rPr>
  </w:style>
  <w:style w:type="character" w:customStyle="1" w:styleId="PlattetekstinspringenChar">
    <w:name w:val="Platte tekst inspringen Char"/>
    <w:basedOn w:val="Standaardalinea-lettertype"/>
    <w:link w:val="Plattetekstinspringen"/>
    <w:rsid w:val="00E530CD"/>
    <w:rPr>
      <w:rFonts w:ascii="Arial" w:hAnsi="Arial"/>
      <w:sz w:val="24"/>
      <w:lang w:val="en-GB" w:eastAsia="de-DE"/>
    </w:rPr>
  </w:style>
  <w:style w:type="paragraph" w:customStyle="1" w:styleId="Kopzeile-fett">
    <w:name w:val="Kopzeile-fett"/>
    <w:basedOn w:val="Koptekst"/>
    <w:rsid w:val="00E530CD"/>
    <w:pPr>
      <w:spacing w:after="120"/>
    </w:pPr>
    <w:rPr>
      <w:b/>
      <w:sz w:val="20"/>
    </w:rPr>
  </w:style>
  <w:style w:type="paragraph" w:styleId="Plattetekst2">
    <w:name w:val="Body Text 2"/>
    <w:basedOn w:val="Standaard"/>
    <w:link w:val="Plattetekst2Char"/>
    <w:rsid w:val="00E530CD"/>
    <w:pPr>
      <w:spacing w:before="60" w:after="60"/>
    </w:pPr>
    <w:rPr>
      <w:i/>
      <w:color w:val="0000FF"/>
    </w:rPr>
  </w:style>
  <w:style w:type="character" w:customStyle="1" w:styleId="Plattetekst2Char">
    <w:name w:val="Platte tekst 2 Char"/>
    <w:basedOn w:val="Standaardalinea-lettertype"/>
    <w:link w:val="Plattetekst2"/>
    <w:rsid w:val="00E530CD"/>
    <w:rPr>
      <w:rFonts w:ascii="Arial" w:hAnsi="Arial"/>
      <w:i/>
      <w:color w:val="0000FF"/>
      <w:lang w:val="en-GB" w:eastAsia="de-DE"/>
    </w:rPr>
  </w:style>
  <w:style w:type="paragraph" w:customStyle="1" w:styleId="Standard-fett">
    <w:name w:val="Standard-fett"/>
    <w:basedOn w:val="Standaard"/>
    <w:rsid w:val="00E530CD"/>
    <w:pPr>
      <w:spacing w:before="60" w:after="60"/>
    </w:pPr>
    <w:rPr>
      <w:b/>
    </w:rPr>
  </w:style>
  <w:style w:type="paragraph" w:customStyle="1" w:styleId="Official-Use">
    <w:name w:val="Official-Use"/>
    <w:basedOn w:val="Standaard"/>
    <w:rsid w:val="00E530CD"/>
    <w:pPr>
      <w:spacing w:before="60" w:after="60"/>
      <w:jc w:val="center"/>
    </w:pPr>
    <w:rPr>
      <w:sz w:val="16"/>
    </w:rPr>
  </w:style>
  <w:style w:type="paragraph" w:customStyle="1" w:styleId="SectionHeader">
    <w:name w:val="SectionHeader"/>
    <w:basedOn w:val="Standaard"/>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fzender">
    <w:name w:val="envelope return"/>
    <w:basedOn w:val="Standaard"/>
    <w:rsid w:val="00E530CD"/>
  </w:style>
  <w:style w:type="paragraph" w:styleId="Aanhef">
    <w:name w:val="Salutation"/>
    <w:basedOn w:val="Standaard"/>
    <w:next w:val="Standaard"/>
    <w:link w:val="AanhefChar"/>
    <w:rsid w:val="00E530CD"/>
  </w:style>
  <w:style w:type="character" w:customStyle="1" w:styleId="AanhefChar">
    <w:name w:val="Aanhef Char"/>
    <w:basedOn w:val="Standaardalinea-lettertype"/>
    <w:link w:val="Aanhef"/>
    <w:rsid w:val="00E530CD"/>
    <w:rPr>
      <w:rFonts w:ascii="Arial" w:hAnsi="Arial"/>
      <w:lang w:val="en-GB" w:eastAsia="de-DE"/>
    </w:rPr>
  </w:style>
  <w:style w:type="paragraph" w:styleId="Lijstopsomteken">
    <w:name w:val="List Bullet"/>
    <w:basedOn w:val="Standaard"/>
    <w:autoRedefine/>
    <w:rsid w:val="00E530CD"/>
    <w:pPr>
      <w:tabs>
        <w:tab w:val="num" w:pos="360"/>
      </w:tabs>
      <w:ind w:left="360" w:hanging="360"/>
    </w:pPr>
  </w:style>
  <w:style w:type="paragraph" w:styleId="Lijstopsomteken2">
    <w:name w:val="List Bullet 2"/>
    <w:basedOn w:val="Standaard"/>
    <w:autoRedefine/>
    <w:rsid w:val="00E530CD"/>
    <w:pPr>
      <w:tabs>
        <w:tab w:val="num" w:pos="643"/>
      </w:tabs>
      <w:ind w:left="643" w:hanging="360"/>
    </w:pPr>
  </w:style>
  <w:style w:type="paragraph" w:styleId="Lijstopsomteken3">
    <w:name w:val="List Bullet 3"/>
    <w:basedOn w:val="Standaard"/>
    <w:autoRedefine/>
    <w:rsid w:val="00E530CD"/>
    <w:pPr>
      <w:tabs>
        <w:tab w:val="num" w:pos="926"/>
      </w:tabs>
      <w:ind w:left="926" w:hanging="360"/>
    </w:pPr>
  </w:style>
  <w:style w:type="paragraph" w:styleId="Lijstopsomteken4">
    <w:name w:val="List Bullet 4"/>
    <w:basedOn w:val="Standaard"/>
    <w:autoRedefine/>
    <w:rsid w:val="00E530CD"/>
    <w:pPr>
      <w:tabs>
        <w:tab w:val="num" w:pos="1209"/>
      </w:tabs>
      <w:ind w:left="1209" w:hanging="360"/>
    </w:pPr>
  </w:style>
  <w:style w:type="paragraph" w:styleId="Lijstopsomteken5">
    <w:name w:val="List Bullet 5"/>
    <w:basedOn w:val="Standaard"/>
    <w:autoRedefine/>
    <w:rsid w:val="00E530CD"/>
    <w:pPr>
      <w:tabs>
        <w:tab w:val="num" w:pos="1492"/>
      </w:tabs>
      <w:ind w:left="1492" w:hanging="360"/>
    </w:pPr>
  </w:style>
  <w:style w:type="paragraph" w:styleId="Bloktekst">
    <w:name w:val="Block Text"/>
    <w:basedOn w:val="Standaard"/>
    <w:rsid w:val="00E530CD"/>
    <w:pPr>
      <w:ind w:left="1440" w:right="1440"/>
    </w:pPr>
  </w:style>
  <w:style w:type="paragraph" w:styleId="Datum">
    <w:name w:val="Date"/>
    <w:basedOn w:val="Standaard"/>
    <w:next w:val="Standaard"/>
    <w:link w:val="DatumChar"/>
    <w:rsid w:val="00E530CD"/>
  </w:style>
  <w:style w:type="character" w:customStyle="1" w:styleId="DatumChar">
    <w:name w:val="Datum Char"/>
    <w:basedOn w:val="Standaardalinea-lettertype"/>
    <w:link w:val="Datum"/>
    <w:rsid w:val="00E530CD"/>
    <w:rPr>
      <w:rFonts w:ascii="Arial" w:hAnsi="Arial"/>
      <w:lang w:val="en-GB" w:eastAsia="de-DE"/>
    </w:rPr>
  </w:style>
  <w:style w:type="paragraph" w:styleId="Notitiekop">
    <w:name w:val="Note Heading"/>
    <w:basedOn w:val="Standaard"/>
    <w:next w:val="Standaard"/>
    <w:link w:val="NotitiekopChar"/>
    <w:rsid w:val="00E530CD"/>
  </w:style>
  <w:style w:type="character" w:customStyle="1" w:styleId="NotitiekopChar">
    <w:name w:val="Notitiekop Char"/>
    <w:basedOn w:val="Standaardalinea-lettertype"/>
    <w:link w:val="Notitiekop"/>
    <w:rsid w:val="00E530CD"/>
    <w:rPr>
      <w:rFonts w:ascii="Arial" w:hAnsi="Arial"/>
      <w:lang w:val="en-GB" w:eastAsia="de-DE"/>
    </w:rPr>
  </w:style>
  <w:style w:type="paragraph" w:styleId="Afsluiting">
    <w:name w:val="Closing"/>
    <w:basedOn w:val="Standaard"/>
    <w:link w:val="AfsluitingChar"/>
    <w:rsid w:val="00E530CD"/>
    <w:pPr>
      <w:ind w:left="4252"/>
    </w:pPr>
  </w:style>
  <w:style w:type="character" w:customStyle="1" w:styleId="AfsluitingChar">
    <w:name w:val="Afsluiting Char"/>
    <w:basedOn w:val="Standaardalinea-lettertype"/>
    <w:link w:val="Afsluiting"/>
    <w:rsid w:val="00E530CD"/>
    <w:rPr>
      <w:rFonts w:ascii="Arial" w:hAnsi="Arial"/>
      <w:lang w:val="en-GB" w:eastAsia="de-DE"/>
    </w:rPr>
  </w:style>
  <w:style w:type="paragraph" w:styleId="Index3">
    <w:name w:val="index 3"/>
    <w:basedOn w:val="Standaard"/>
    <w:next w:val="Standaard"/>
    <w:autoRedefine/>
    <w:semiHidden/>
    <w:rsid w:val="00E530CD"/>
    <w:pPr>
      <w:ind w:left="660" w:hanging="220"/>
    </w:pPr>
  </w:style>
  <w:style w:type="paragraph" w:styleId="Index4">
    <w:name w:val="index 4"/>
    <w:basedOn w:val="Standaard"/>
    <w:next w:val="Standaard"/>
    <w:autoRedefine/>
    <w:semiHidden/>
    <w:rsid w:val="00E530CD"/>
    <w:pPr>
      <w:ind w:left="880" w:hanging="220"/>
    </w:pPr>
  </w:style>
  <w:style w:type="paragraph" w:styleId="Index5">
    <w:name w:val="index 5"/>
    <w:basedOn w:val="Standaard"/>
    <w:next w:val="Standaard"/>
    <w:autoRedefine/>
    <w:semiHidden/>
    <w:rsid w:val="00E530CD"/>
    <w:pPr>
      <w:ind w:left="1100" w:hanging="220"/>
    </w:pPr>
  </w:style>
  <w:style w:type="paragraph" w:styleId="Index6">
    <w:name w:val="index 6"/>
    <w:basedOn w:val="Standaard"/>
    <w:next w:val="Standaard"/>
    <w:autoRedefine/>
    <w:semiHidden/>
    <w:rsid w:val="00E530CD"/>
    <w:pPr>
      <w:ind w:left="1320" w:hanging="220"/>
    </w:pPr>
  </w:style>
  <w:style w:type="paragraph" w:styleId="Index7">
    <w:name w:val="index 7"/>
    <w:basedOn w:val="Standaard"/>
    <w:next w:val="Standaard"/>
    <w:autoRedefine/>
    <w:semiHidden/>
    <w:rsid w:val="00E530CD"/>
    <w:pPr>
      <w:ind w:left="1540" w:hanging="220"/>
    </w:pPr>
  </w:style>
  <w:style w:type="paragraph" w:styleId="Index8">
    <w:name w:val="index 8"/>
    <w:basedOn w:val="Standaard"/>
    <w:next w:val="Standaard"/>
    <w:autoRedefine/>
    <w:semiHidden/>
    <w:rsid w:val="00E530CD"/>
    <w:pPr>
      <w:ind w:left="1760" w:hanging="220"/>
    </w:pPr>
  </w:style>
  <w:style w:type="paragraph" w:styleId="Index9">
    <w:name w:val="index 9"/>
    <w:basedOn w:val="Standaard"/>
    <w:next w:val="Standaard"/>
    <w:autoRedefine/>
    <w:semiHidden/>
    <w:rsid w:val="00E530CD"/>
    <w:pPr>
      <w:ind w:left="1980" w:hanging="220"/>
    </w:pPr>
  </w:style>
  <w:style w:type="paragraph" w:styleId="Lijst2">
    <w:name w:val="List 2"/>
    <w:basedOn w:val="Standaard"/>
    <w:rsid w:val="00E530CD"/>
    <w:pPr>
      <w:ind w:left="566" w:hanging="283"/>
    </w:pPr>
  </w:style>
  <w:style w:type="paragraph" w:styleId="Lijst3">
    <w:name w:val="List 3"/>
    <w:basedOn w:val="Standaard"/>
    <w:rsid w:val="00E530CD"/>
    <w:pPr>
      <w:ind w:left="849" w:hanging="283"/>
    </w:pPr>
  </w:style>
  <w:style w:type="paragraph" w:styleId="Lijst4">
    <w:name w:val="List 4"/>
    <w:basedOn w:val="Standaard"/>
    <w:rsid w:val="00E530CD"/>
    <w:pPr>
      <w:ind w:left="1132" w:hanging="283"/>
    </w:pPr>
  </w:style>
  <w:style w:type="paragraph" w:styleId="Lijst5">
    <w:name w:val="List 5"/>
    <w:basedOn w:val="Standaard"/>
    <w:rsid w:val="00E530CD"/>
    <w:pPr>
      <w:ind w:left="1415" w:hanging="283"/>
    </w:pPr>
  </w:style>
  <w:style w:type="paragraph" w:styleId="Lijstvoortzetting">
    <w:name w:val="List Continue"/>
    <w:basedOn w:val="Standaard"/>
    <w:rsid w:val="00E530CD"/>
    <w:pPr>
      <w:ind w:left="283"/>
    </w:pPr>
  </w:style>
  <w:style w:type="paragraph" w:styleId="Lijstvoortzetting2">
    <w:name w:val="List Continue 2"/>
    <w:basedOn w:val="Standaard"/>
    <w:rsid w:val="00E530CD"/>
    <w:pPr>
      <w:ind w:left="566"/>
    </w:pPr>
  </w:style>
  <w:style w:type="paragraph" w:styleId="Lijstvoortzetting3">
    <w:name w:val="List Continue 3"/>
    <w:basedOn w:val="Standaard"/>
    <w:rsid w:val="00E530CD"/>
    <w:pPr>
      <w:ind w:left="849"/>
    </w:pPr>
  </w:style>
  <w:style w:type="paragraph" w:styleId="Lijstvoortzetting4">
    <w:name w:val="List Continue 4"/>
    <w:basedOn w:val="Standaard"/>
    <w:rsid w:val="00E530CD"/>
    <w:pPr>
      <w:ind w:left="1132"/>
    </w:pPr>
  </w:style>
  <w:style w:type="paragraph" w:styleId="Lijstvoortzetting5">
    <w:name w:val="List Continue 5"/>
    <w:basedOn w:val="Standaard"/>
    <w:rsid w:val="00E530CD"/>
    <w:pPr>
      <w:ind w:left="1415"/>
    </w:pPr>
  </w:style>
  <w:style w:type="paragraph" w:styleId="Lijstnummering">
    <w:name w:val="List Number"/>
    <w:basedOn w:val="Standaard"/>
    <w:rsid w:val="00E530CD"/>
    <w:pPr>
      <w:tabs>
        <w:tab w:val="num" w:pos="360"/>
      </w:tabs>
      <w:ind w:left="360" w:hanging="360"/>
    </w:pPr>
  </w:style>
  <w:style w:type="paragraph" w:styleId="Lijstnummering2">
    <w:name w:val="List Number 2"/>
    <w:basedOn w:val="Standaard"/>
    <w:rsid w:val="00E530CD"/>
    <w:pPr>
      <w:tabs>
        <w:tab w:val="num" w:pos="643"/>
      </w:tabs>
      <w:ind w:left="643" w:hanging="360"/>
    </w:pPr>
  </w:style>
  <w:style w:type="paragraph" w:styleId="Lijstnummering3">
    <w:name w:val="List Number 3"/>
    <w:basedOn w:val="Standaard"/>
    <w:rsid w:val="00E530CD"/>
    <w:pPr>
      <w:tabs>
        <w:tab w:val="num" w:pos="926"/>
      </w:tabs>
      <w:ind w:left="926" w:hanging="360"/>
    </w:pPr>
  </w:style>
  <w:style w:type="paragraph" w:styleId="Lijstnummering4">
    <w:name w:val="List Number 4"/>
    <w:basedOn w:val="Standaard"/>
    <w:rsid w:val="00E530CD"/>
    <w:pPr>
      <w:tabs>
        <w:tab w:val="num" w:pos="1209"/>
      </w:tabs>
      <w:ind w:left="1209" w:hanging="360"/>
    </w:pPr>
  </w:style>
  <w:style w:type="paragraph" w:styleId="Lijstnummering5">
    <w:name w:val="List Number 5"/>
    <w:basedOn w:val="Standaard"/>
    <w:rsid w:val="00E530CD"/>
    <w:pPr>
      <w:tabs>
        <w:tab w:val="num" w:pos="1492"/>
      </w:tabs>
      <w:ind w:left="1492" w:hanging="360"/>
    </w:pPr>
  </w:style>
  <w:style w:type="paragraph" w:styleId="Macrotekst">
    <w:name w:val="macro"/>
    <w:link w:val="MacrotekstChar"/>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MacrotekstChar">
    <w:name w:val="Macrotekst Char"/>
    <w:basedOn w:val="Standaardalinea-lettertype"/>
    <w:link w:val="Macrotekst"/>
    <w:semiHidden/>
    <w:rsid w:val="00E530CD"/>
    <w:rPr>
      <w:rFonts w:ascii="Courier New" w:hAnsi="Courier New"/>
      <w:lang w:eastAsia="de-DE"/>
    </w:rPr>
  </w:style>
  <w:style w:type="paragraph" w:styleId="Berichtkop">
    <w:name w:val="Message Header"/>
    <w:basedOn w:val="Standaard"/>
    <w:link w:val="BerichtkopChar"/>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rsid w:val="00E530CD"/>
    <w:rPr>
      <w:rFonts w:ascii="Arial" w:hAnsi="Arial"/>
      <w:sz w:val="24"/>
      <w:shd w:val="pct20" w:color="auto" w:fill="auto"/>
      <w:lang w:val="en-GB" w:eastAsia="de-DE"/>
    </w:rPr>
  </w:style>
  <w:style w:type="paragraph" w:styleId="Tekstzonderopmaak">
    <w:name w:val="Plain Text"/>
    <w:basedOn w:val="Standaard"/>
    <w:link w:val="TekstzonderopmaakChar"/>
    <w:rsid w:val="00E530CD"/>
    <w:rPr>
      <w:rFonts w:ascii="Courier New" w:hAnsi="Courier New"/>
    </w:rPr>
  </w:style>
  <w:style w:type="character" w:customStyle="1" w:styleId="TekstzonderopmaakChar">
    <w:name w:val="Tekst zonder opmaak Char"/>
    <w:basedOn w:val="Standaardalinea-lettertype"/>
    <w:link w:val="Tekstzonderopmaak"/>
    <w:rsid w:val="00E530CD"/>
    <w:rPr>
      <w:rFonts w:ascii="Courier New" w:hAnsi="Courier New"/>
      <w:lang w:val="en-GB" w:eastAsia="de-DE"/>
    </w:rPr>
  </w:style>
  <w:style w:type="paragraph" w:styleId="Standaardinspringing">
    <w:name w:val="Normal Indent"/>
    <w:basedOn w:val="Standaard"/>
    <w:rsid w:val="00E530CD"/>
    <w:pPr>
      <w:ind w:left="708"/>
    </w:pPr>
  </w:style>
  <w:style w:type="paragraph" w:styleId="Plattetekst3">
    <w:name w:val="Body Text 3"/>
    <w:basedOn w:val="Standaard"/>
    <w:link w:val="Plattetekst3Char"/>
    <w:rsid w:val="00E530CD"/>
    <w:rPr>
      <w:sz w:val="16"/>
    </w:rPr>
  </w:style>
  <w:style w:type="character" w:customStyle="1" w:styleId="Plattetekst3Char">
    <w:name w:val="Platte tekst 3 Char"/>
    <w:basedOn w:val="Standaardalinea-lettertype"/>
    <w:link w:val="Plattetekst3"/>
    <w:rsid w:val="00E530CD"/>
    <w:rPr>
      <w:rFonts w:ascii="Arial" w:hAnsi="Arial"/>
      <w:sz w:val="16"/>
      <w:lang w:val="en-GB" w:eastAsia="de-DE"/>
    </w:rPr>
  </w:style>
  <w:style w:type="paragraph" w:styleId="Plattetekstinspringen2">
    <w:name w:val="Body Text Indent 2"/>
    <w:basedOn w:val="Standaard"/>
    <w:link w:val="Plattetekstinspringen2Char"/>
    <w:rsid w:val="00E530CD"/>
    <w:pPr>
      <w:spacing w:line="480" w:lineRule="auto"/>
      <w:ind w:left="283"/>
    </w:pPr>
  </w:style>
  <w:style w:type="character" w:customStyle="1" w:styleId="Plattetekstinspringen2Char">
    <w:name w:val="Platte tekst inspringen 2 Char"/>
    <w:basedOn w:val="Standaardalinea-lettertype"/>
    <w:link w:val="Plattetekstinspringen2"/>
    <w:rsid w:val="00E530CD"/>
    <w:rPr>
      <w:rFonts w:ascii="Arial" w:hAnsi="Arial"/>
      <w:lang w:val="en-GB" w:eastAsia="de-DE"/>
    </w:rPr>
  </w:style>
  <w:style w:type="paragraph" w:styleId="Plattetekstinspringen3">
    <w:name w:val="Body Text Indent 3"/>
    <w:basedOn w:val="Standaard"/>
    <w:link w:val="Plattetekstinspringen3Char"/>
    <w:rsid w:val="00E530CD"/>
    <w:pPr>
      <w:ind w:left="283"/>
    </w:pPr>
    <w:rPr>
      <w:sz w:val="16"/>
    </w:rPr>
  </w:style>
  <w:style w:type="character" w:customStyle="1" w:styleId="Plattetekstinspringen3Char">
    <w:name w:val="Platte tekst inspringen 3 Char"/>
    <w:basedOn w:val="Standaardalinea-lettertype"/>
    <w:link w:val="Plattetekstinspringen3"/>
    <w:rsid w:val="00E530CD"/>
    <w:rPr>
      <w:rFonts w:ascii="Arial" w:hAnsi="Arial"/>
      <w:sz w:val="16"/>
      <w:lang w:val="en-GB" w:eastAsia="de-DE"/>
    </w:rPr>
  </w:style>
  <w:style w:type="paragraph" w:styleId="Platteteksteersteinspringing">
    <w:name w:val="Body Text First Indent"/>
    <w:basedOn w:val="Plattetekst"/>
    <w:link w:val="PlatteteksteersteinspringingChar"/>
    <w:rsid w:val="00E530CD"/>
    <w:pPr>
      <w:spacing w:before="120" w:after="120"/>
      <w:ind w:firstLine="210"/>
    </w:pPr>
  </w:style>
  <w:style w:type="character" w:customStyle="1" w:styleId="PlatteteksteersteinspringingChar">
    <w:name w:val="Platte tekst eerste inspringing Char"/>
    <w:basedOn w:val="PlattetekstChar"/>
    <w:link w:val="Platteteksteersteinspringing"/>
    <w:rsid w:val="00E530CD"/>
    <w:rPr>
      <w:rFonts w:ascii="Arial" w:hAnsi="Arial"/>
      <w:lang w:val="en-GB" w:eastAsia="de-DE"/>
    </w:rPr>
  </w:style>
  <w:style w:type="paragraph" w:styleId="Platteteksteersteinspringing2">
    <w:name w:val="Body Text First Indent 2"/>
    <w:basedOn w:val="Plattetekstinspringen"/>
    <w:link w:val="Platteteksteersteinspringing2Char"/>
    <w:rsid w:val="00E530CD"/>
    <w:pPr>
      <w:spacing w:before="120" w:after="120"/>
      <w:ind w:left="283" w:firstLine="210"/>
    </w:pPr>
    <w:rPr>
      <w:sz w:val="22"/>
    </w:rPr>
  </w:style>
  <w:style w:type="character" w:customStyle="1" w:styleId="Platteteksteersteinspringing2Char">
    <w:name w:val="Platte tekst eerste inspringing 2 Char"/>
    <w:basedOn w:val="PlattetekstinspringenChar"/>
    <w:link w:val="Platteteksteersteinspringing2"/>
    <w:rsid w:val="00E530CD"/>
    <w:rPr>
      <w:rFonts w:ascii="Arial" w:hAnsi="Arial"/>
      <w:sz w:val="22"/>
      <w:lang w:val="en-GB" w:eastAsia="de-DE"/>
    </w:rPr>
  </w:style>
  <w:style w:type="paragraph" w:styleId="Titel">
    <w:name w:val="Title"/>
    <w:basedOn w:val="Standaard"/>
    <w:link w:val="TitelChar"/>
    <w:rsid w:val="00E530CD"/>
    <w:pPr>
      <w:spacing w:before="240" w:after="60"/>
      <w:ind w:left="1701" w:hanging="1701"/>
      <w:jc w:val="center"/>
      <w:outlineLvl w:val="0"/>
    </w:pPr>
    <w:rPr>
      <w:rFonts w:eastAsia="Calibri" w:cs="Arial"/>
      <w:b/>
      <w:kern w:val="28"/>
      <w:sz w:val="36"/>
      <w:szCs w:val="36"/>
      <w:lang w:eastAsia="en-US"/>
    </w:rPr>
  </w:style>
  <w:style w:type="character" w:customStyle="1" w:styleId="TitelChar">
    <w:name w:val="Titel Char"/>
    <w:basedOn w:val="Standaardalinea-lettertype"/>
    <w:link w:val="Titel"/>
    <w:rsid w:val="00E530CD"/>
    <w:rPr>
      <w:rFonts w:ascii="Arial" w:eastAsia="Calibri" w:hAnsi="Arial" w:cs="Arial"/>
      <w:b/>
      <w:kern w:val="28"/>
      <w:sz w:val="36"/>
      <w:szCs w:val="36"/>
      <w:lang w:val="en-GB"/>
    </w:rPr>
  </w:style>
  <w:style w:type="paragraph" w:styleId="Adresenvelop">
    <w:name w:val="envelope address"/>
    <w:basedOn w:val="Standaard"/>
    <w:rsid w:val="00E530CD"/>
    <w:pPr>
      <w:framePr w:w="4320" w:h="2160" w:hRule="exact" w:hSpace="141" w:wrap="auto" w:hAnchor="page" w:xAlign="center" w:yAlign="bottom"/>
      <w:ind w:left="1"/>
    </w:pPr>
    <w:rPr>
      <w:sz w:val="24"/>
    </w:rPr>
  </w:style>
  <w:style w:type="paragraph" w:styleId="Handtekening">
    <w:name w:val="Signature"/>
    <w:basedOn w:val="Standaard"/>
    <w:link w:val="HandtekeningChar"/>
    <w:rsid w:val="00E530CD"/>
    <w:pPr>
      <w:ind w:left="4252"/>
    </w:pPr>
  </w:style>
  <w:style w:type="character" w:customStyle="1" w:styleId="HandtekeningChar">
    <w:name w:val="Handtekening Char"/>
    <w:basedOn w:val="Standaardalinea-lettertype"/>
    <w:link w:val="Handtekening"/>
    <w:rsid w:val="00E530CD"/>
    <w:rPr>
      <w:rFonts w:ascii="Arial" w:hAnsi="Arial"/>
      <w:lang w:val="en-GB" w:eastAsia="de-DE"/>
    </w:rPr>
  </w:style>
  <w:style w:type="paragraph" w:styleId="Ondertitel">
    <w:name w:val="Subtitle"/>
    <w:basedOn w:val="Standaard"/>
    <w:link w:val="OndertitelChar"/>
    <w:rsid w:val="00E530CD"/>
    <w:pPr>
      <w:spacing w:after="60"/>
      <w:outlineLvl w:val="1"/>
    </w:pPr>
    <w:rPr>
      <w:b/>
      <w:sz w:val="36"/>
      <w:szCs w:val="36"/>
    </w:rPr>
  </w:style>
  <w:style w:type="character" w:customStyle="1" w:styleId="OndertitelChar">
    <w:name w:val="Ondertitel Char"/>
    <w:basedOn w:val="Standaardalinea-lettertype"/>
    <w:link w:val="Ondertitel"/>
    <w:rsid w:val="00E530CD"/>
    <w:rPr>
      <w:rFonts w:ascii="Arial" w:hAnsi="Arial"/>
      <w:b/>
      <w:sz w:val="36"/>
      <w:szCs w:val="36"/>
      <w:lang w:val="en-GB" w:eastAsia="de-DE"/>
    </w:rPr>
  </w:style>
  <w:style w:type="paragraph" w:styleId="Kopbronvermelding">
    <w:name w:val="toa heading"/>
    <w:basedOn w:val="Standaard"/>
    <w:next w:val="Standaard"/>
    <w:semiHidden/>
    <w:rsid w:val="00E530CD"/>
    <w:rPr>
      <w:b/>
      <w:sz w:val="24"/>
    </w:rPr>
  </w:style>
  <w:style w:type="paragraph" w:styleId="Bronvermelding">
    <w:name w:val="table of authorities"/>
    <w:basedOn w:val="Standaard"/>
    <w:next w:val="Standaard"/>
    <w:semiHidden/>
    <w:rsid w:val="00E530CD"/>
    <w:pPr>
      <w:ind w:left="220" w:hanging="220"/>
    </w:pPr>
  </w:style>
  <w:style w:type="paragraph" w:customStyle="1" w:styleId="QuellenangabePagina">
    <w:name w:val="Quellenangabe/Pagina"/>
    <w:basedOn w:val="Standaard"/>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rsid w:val="00E530CD"/>
    <w:pPr>
      <w:keepNext/>
      <w:keepLines/>
      <w:spacing w:before="60" w:after="60"/>
    </w:pPr>
    <w:rPr>
      <w:i/>
      <w:color w:val="000000"/>
    </w:rPr>
  </w:style>
  <w:style w:type="paragraph" w:customStyle="1" w:styleId="SectionHeader-Crossref">
    <w:name w:val="SectionHeader-Crossref"/>
    <w:basedOn w:val="Standaard"/>
    <w:rsid w:val="00E530CD"/>
    <w:pPr>
      <w:spacing w:before="60" w:after="60"/>
    </w:pPr>
    <w:rPr>
      <w:b/>
    </w:rPr>
  </w:style>
  <w:style w:type="paragraph" w:customStyle="1" w:styleId="Standard-kurs-rot">
    <w:name w:val="Standard-kurs-rot"/>
    <w:basedOn w:val="Standaard"/>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Standaard"/>
    <w:rsid w:val="00E530CD"/>
  </w:style>
  <w:style w:type="paragraph" w:customStyle="1" w:styleId="Standard-italics">
    <w:name w:val="Standard-italics"/>
    <w:basedOn w:val="Standaard"/>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Standaard"/>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GevolgdeHyperlink">
    <w:name w:val="FollowedHyperlink"/>
    <w:rsid w:val="00E530CD"/>
    <w:rPr>
      <w:color w:val="800080"/>
      <w:u w:val="single"/>
    </w:rPr>
  </w:style>
  <w:style w:type="paragraph" w:styleId="Ballontekst">
    <w:name w:val="Balloon Text"/>
    <w:basedOn w:val="Standaard"/>
    <w:link w:val="BallontekstChar"/>
    <w:rsid w:val="00E530CD"/>
    <w:rPr>
      <w:rFonts w:ascii="Tahoma" w:hAnsi="Tahoma" w:cs="Tahoma"/>
      <w:sz w:val="16"/>
      <w:szCs w:val="16"/>
    </w:rPr>
  </w:style>
  <w:style w:type="character" w:customStyle="1" w:styleId="BallontekstChar">
    <w:name w:val="Ballontekst Char"/>
    <w:basedOn w:val="Standaardalinea-lettertype"/>
    <w:link w:val="Ballontekst"/>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Standaard"/>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Lijstalinea">
    <w:name w:val="List Paragraph"/>
    <w:basedOn w:val="Standaard"/>
    <w:uiPriority w:val="99"/>
    <w:rsid w:val="00E530CD"/>
    <w:pPr>
      <w:ind w:left="720"/>
    </w:pPr>
  </w:style>
  <w:style w:type="paragraph" w:customStyle="1" w:styleId="CSRHeading1">
    <w:name w:val="CSR Heading 1"/>
    <w:basedOn w:val="Standaard"/>
    <w:next w:val="Standaard"/>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rsid w:val="00E530CD"/>
    <w:pPr>
      <w:keepNext/>
    </w:pPr>
    <w:rPr>
      <w:sz w:val="35"/>
    </w:rPr>
  </w:style>
  <w:style w:type="character" w:customStyle="1" w:styleId="BijschriftChar">
    <w:name w:val="Bijschrift Char"/>
    <w:link w:val="Bijschrift"/>
    <w:rsid w:val="00E530CD"/>
    <w:rPr>
      <w:rFonts w:ascii="Arial" w:hAnsi="Arial"/>
      <w:b/>
      <w:bCs/>
      <w:lang w:eastAsia="de-DE"/>
    </w:rPr>
  </w:style>
  <w:style w:type="table" w:styleId="Tabelraster">
    <w:name w:val="Table Grid"/>
    <w:basedOn w:val="Standaardtabel"/>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E530CD"/>
    <w:rPr>
      <w:b/>
      <w:bCs/>
    </w:rPr>
  </w:style>
  <w:style w:type="character" w:customStyle="1" w:styleId="OnderwerpvanopmerkingChar">
    <w:name w:val="Onderwerp van opmerking Char"/>
    <w:basedOn w:val="TekstopmerkingChar"/>
    <w:link w:val="Onderwerpvanopmerking"/>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Standaard"/>
    <w:next w:val="Standaard"/>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Kopvaninhoudsopgave">
    <w:name w:val="TOC Heading"/>
    <w:basedOn w:val="Kop1"/>
    <w:next w:val="Standaard"/>
    <w:uiPriority w:val="39"/>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Revisie">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Standaard"/>
    <w:next w:val="Standaard"/>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Geenlijst"/>
    <w:uiPriority w:val="99"/>
    <w:semiHidden/>
    <w:unhideWhenUsed/>
    <w:rsid w:val="00E530CD"/>
  </w:style>
  <w:style w:type="character" w:styleId="Zwaar">
    <w:name w:val="Strong"/>
    <w:rsid w:val="00E530CD"/>
    <w:rPr>
      <w:b/>
      <w:bCs/>
    </w:rPr>
  </w:style>
  <w:style w:type="numbering" w:customStyle="1" w:styleId="NoList11">
    <w:name w:val="No List11"/>
    <w:next w:val="Geenlijst"/>
    <w:uiPriority w:val="99"/>
    <w:semiHidden/>
    <w:unhideWhenUsed/>
    <w:rsid w:val="00E530CD"/>
  </w:style>
  <w:style w:type="paragraph" w:customStyle="1" w:styleId="Titel1">
    <w:name w:val="Titel 1"/>
    <w:basedOn w:val="Kop1"/>
    <w:next w:val="Standaard"/>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Standaard"/>
    <w:link w:val="TableheadZchn"/>
    <w:rsid w:val="00E530CD"/>
    <w:rPr>
      <w:rFonts w:eastAsia="Calibri"/>
      <w:b/>
      <w:lang w:val="en-US"/>
    </w:rPr>
  </w:style>
  <w:style w:type="paragraph" w:customStyle="1" w:styleId="Tablebody">
    <w:name w:val="Tablebody"/>
    <w:basedOn w:val="Standaard"/>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E530CD"/>
    <w:pPr>
      <w:spacing w:before="120" w:after="120"/>
      <w:ind w:left="1417" w:hanging="567"/>
      <w:jc w:val="both"/>
    </w:pPr>
    <w:rPr>
      <w:sz w:val="24"/>
    </w:rPr>
  </w:style>
  <w:style w:type="paragraph" w:styleId="Normaalweb">
    <w:name w:val="Normal (Web)"/>
    <w:basedOn w:val="Standaard"/>
    <w:rsid w:val="00E530CD"/>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rsid w:val="00E530CD"/>
    <w:rPr>
      <w:rFonts w:ascii="Times New Roman" w:hAnsi="Times New Roman"/>
      <w:i/>
      <w:iCs/>
      <w:sz w:val="20"/>
    </w:rPr>
  </w:style>
  <w:style w:type="character" w:styleId="Subtielebenadrukking">
    <w:name w:val="Subtle Emphasis"/>
    <w:uiPriority w:val="19"/>
    <w:rsid w:val="00E530CD"/>
    <w:rPr>
      <w:rFonts w:ascii="Verdana" w:hAnsi="Verdana"/>
      <w:i/>
      <w:iCs/>
      <w:color w:val="808080"/>
      <w:sz w:val="18"/>
    </w:rPr>
  </w:style>
  <w:style w:type="paragraph" w:customStyle="1" w:styleId="CharChar4CharChar">
    <w:name w:val="Char Char4 Char Char"/>
    <w:basedOn w:val="Standaard"/>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Standaard"/>
    <w:next w:val="Standaard"/>
    <w:uiPriority w:val="1"/>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Voetnoottekst"/>
    <w:qFormat/>
    <w:rsid w:val="00AB7059"/>
    <w:pPr>
      <w:spacing w:line="240" w:lineRule="auto"/>
      <w:ind w:left="0" w:firstLine="0"/>
      <w:jc w:val="both"/>
    </w:pPr>
    <w:rPr>
      <w:i/>
      <w:color w:val="FF0000"/>
      <w:szCs w:val="18"/>
    </w:rPr>
  </w:style>
  <w:style w:type="character" w:customStyle="1" w:styleId="field">
    <w:name w:val="field"/>
    <w:basedOn w:val="Standaardalinea-lettertype"/>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Standaard"/>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Standaard"/>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Standaard"/>
    <w:link w:val="TableheadZchn0"/>
    <w:qFormat/>
    <w:rsid w:val="003362CF"/>
    <w:pPr>
      <w:spacing w:before="60" w:line="240" w:lineRule="auto"/>
    </w:pPr>
    <w:rPr>
      <w:rFonts w:eastAsia="Calibri" w:cs="Arial"/>
      <w:b/>
      <w:lang w:eastAsia="en-US"/>
    </w:rPr>
  </w:style>
  <w:style w:type="paragraph" w:customStyle="1" w:styleId="tablebody0">
    <w:name w:val="table body"/>
    <w:basedOn w:val="Standaard"/>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Standaardalinea-lettertype"/>
    <w:link w:val="Tablehead0"/>
    <w:rsid w:val="003362CF"/>
    <w:rPr>
      <w:rFonts w:ascii="Arial" w:eastAsia="Calibri" w:hAnsi="Arial" w:cs="Arial"/>
      <w:b/>
      <w:lang w:val="en-GB"/>
    </w:rPr>
  </w:style>
  <w:style w:type="character" w:customStyle="1" w:styleId="tablebodyZchn0">
    <w:name w:val="table body Zchn"/>
    <w:basedOn w:val="Standaardalinea-lettertype"/>
    <w:link w:val="tablebody0"/>
    <w:rsid w:val="003362CF"/>
    <w:rPr>
      <w:rFonts w:ascii="Arial" w:eastAsia="Calibri" w:hAnsi="Arial" w:cs="Arial"/>
      <w:bCs/>
      <w:lang w:val="pl-PL"/>
    </w:rPr>
  </w:style>
  <w:style w:type="character" w:customStyle="1" w:styleId="ng-scope">
    <w:name w:val="ng-scope"/>
    <w:basedOn w:val="Standaardalinea-lettertype"/>
    <w:rsid w:val="008D4A50"/>
  </w:style>
  <w:style w:type="character" w:customStyle="1" w:styleId="inplace">
    <w:name w:val="inplace"/>
    <w:basedOn w:val="Standaardalinea-lettertype"/>
    <w:rsid w:val="008D4A50"/>
  </w:style>
  <w:style w:type="character" w:customStyle="1" w:styleId="inplace-inactive7">
    <w:name w:val="inplace-inactive7"/>
    <w:basedOn w:val="Standaardalinea-lettertype"/>
    <w:rsid w:val="008D4A50"/>
  </w:style>
  <w:style w:type="paragraph" w:customStyle="1" w:styleId="CharChar2">
    <w:name w:val="Char Char2"/>
    <w:basedOn w:val="Standaard"/>
    <w:rsid w:val="00653241"/>
    <w:pPr>
      <w:spacing w:line="240" w:lineRule="auto"/>
    </w:pPr>
    <w:rPr>
      <w:rFonts w:ascii="Times New Roman" w:hAnsi="Times New Roman"/>
      <w:sz w:val="24"/>
      <w:szCs w:val="24"/>
      <w:lang w:val="pl-PL" w:eastAsia="pl-PL"/>
    </w:rPr>
  </w:style>
  <w:style w:type="paragraph" w:customStyle="1" w:styleId="Tabellentext">
    <w:name w:val="Tabellentext"/>
    <w:basedOn w:val="Plattetekst"/>
    <w:link w:val="TabellentextZchn"/>
    <w:uiPriority w:val="1"/>
    <w:rsid w:val="00674119"/>
    <w:pPr>
      <w:keepLines/>
      <w:spacing w:before="20" w:after="20" w:line="240" w:lineRule="auto"/>
    </w:pPr>
    <w:rPr>
      <w:rFonts w:ascii="Calibri" w:eastAsiaTheme="minorEastAsia" w:hAnsi="Calibri"/>
      <w:sz w:val="22"/>
      <w:szCs w:val="24"/>
    </w:rPr>
  </w:style>
  <w:style w:type="character" w:customStyle="1" w:styleId="TabellentextZchn">
    <w:name w:val="Tabellentext Zchn"/>
    <w:basedOn w:val="PlattetekstChar"/>
    <w:link w:val="Tabellentext"/>
    <w:uiPriority w:val="1"/>
    <w:rsid w:val="00674119"/>
    <w:rPr>
      <w:rFonts w:ascii="Calibri" w:eastAsiaTheme="minorEastAsia" w:hAnsi="Calibri"/>
      <w:sz w:val="22"/>
      <w:szCs w:val="24"/>
      <w:lang w:val="en-GB" w:eastAsia="de-DE"/>
    </w:rPr>
  </w:style>
  <w:style w:type="table" w:customStyle="1" w:styleId="UBATabellemitKopf">
    <w:name w:val="UBA_Tabelle_mit_Kopf"/>
    <w:basedOn w:val="Standaardtabel"/>
    <w:uiPriority w:val="99"/>
    <w:qFormat/>
    <w:rsid w:val="00674119"/>
    <w:rPr>
      <w:rFonts w:ascii="DemosEFOP-Medium" w:eastAsiaTheme="minorEastAsia" w:hAnsi="DemosEFOP-Medium"/>
      <w:sz w:val="22"/>
      <w:szCs w:val="22"/>
      <w:lang w:eastAsia="de-DE"/>
    </w:rPr>
    <w:tblPr>
      <w:tblStyleRowBandSize w:val="1"/>
      <w:tblInd w:w="113" w:type="dxa"/>
      <w:tblBorders>
        <w:insideV w:val="single" w:sz="4" w:space="0" w:color="auto"/>
      </w:tblBorders>
      <w:tblCellMar>
        <w:top w:w="28" w:type="dxa"/>
        <w:bottom w:w="28" w:type="dxa"/>
      </w:tblCellMar>
    </w:tblPr>
    <w:tblStylePr w:type="firstRow">
      <w:tblPr/>
      <w:tcPr>
        <w:shd w:val="clear" w:color="auto" w:fill="000000" w:themeFill="text1"/>
      </w:tcPr>
    </w:tblStylePr>
    <w:tblStylePr w:type="band1Horz">
      <w:tblPr/>
      <w:tcPr>
        <w:shd w:val="clear" w:color="auto" w:fill="F2F2F2" w:themeFill="background1" w:themeFillShade="F2"/>
      </w:tcPr>
    </w:tblStylePr>
  </w:style>
  <w:style w:type="paragraph" w:customStyle="1" w:styleId="TabellentextKopfzeile">
    <w:name w:val="Tabellentext Kopfzeile"/>
    <w:basedOn w:val="Standaard"/>
    <w:uiPriority w:val="1"/>
    <w:rsid w:val="00674119"/>
    <w:pPr>
      <w:keepLines/>
      <w:spacing w:line="240" w:lineRule="auto"/>
    </w:pPr>
    <w:rPr>
      <w:rFonts w:ascii="Calibri" w:eastAsiaTheme="minorEastAsia" w:hAnsi="Calibri"/>
      <w:b/>
      <w:color w:val="FFFFFF" w:themeColor="background1"/>
      <w:sz w:val="22"/>
      <w:szCs w:val="24"/>
      <w:lang w:val="de-DE"/>
    </w:rPr>
  </w:style>
  <w:style w:type="paragraph" w:customStyle="1" w:styleId="Tabellentextfett">
    <w:name w:val="Tabellentext fett"/>
    <w:basedOn w:val="Tabellentext"/>
    <w:link w:val="TabellentextfettZchn"/>
    <w:uiPriority w:val="1"/>
    <w:rsid w:val="00674119"/>
    <w:rPr>
      <w:b/>
    </w:rPr>
  </w:style>
  <w:style w:type="character" w:customStyle="1" w:styleId="TabellentextfettZchn">
    <w:name w:val="Tabellentext fett Zchn"/>
    <w:basedOn w:val="TabellentextZchn"/>
    <w:link w:val="Tabellentextfett"/>
    <w:uiPriority w:val="1"/>
    <w:rsid w:val="00674119"/>
    <w:rPr>
      <w:rFonts w:ascii="Calibri" w:eastAsiaTheme="minorEastAsia" w:hAnsi="Calibri"/>
      <w:b/>
      <w:sz w:val="22"/>
      <w:szCs w:val="24"/>
      <w:lang w:val="en-GB" w:eastAsia="de-DE"/>
    </w:rPr>
  </w:style>
  <w:style w:type="paragraph" w:customStyle="1" w:styleId="PAR-Fett-Standard">
    <w:name w:val="PAR-Fett-Standard"/>
    <w:basedOn w:val="Standaard"/>
    <w:qFormat/>
    <w:rsid w:val="0037074D"/>
    <w:pPr>
      <w:spacing w:after="80" w:line="240" w:lineRule="auto"/>
    </w:pPr>
    <w:rPr>
      <w:rFonts w:eastAsia="Calibri" w:cs="Arial"/>
      <w:b/>
      <w:lang w:eastAsia="en-US"/>
    </w:rPr>
  </w:style>
  <w:style w:type="paragraph" w:customStyle="1" w:styleId="CharChar20">
    <w:name w:val="Char Char2"/>
    <w:basedOn w:val="Standaard"/>
    <w:locked/>
    <w:rsid w:val="001F20DA"/>
    <w:pPr>
      <w:spacing w:line="240" w:lineRule="auto"/>
    </w:pPr>
    <w:rPr>
      <w:rFonts w:ascii="Times New Roman" w:hAnsi="Times New Roman"/>
      <w:sz w:val="24"/>
      <w:szCs w:val="24"/>
      <w:lang w:val="pl-PL" w:eastAsia="pl-PL"/>
    </w:rPr>
  </w:style>
  <w:style w:type="paragraph" w:customStyle="1" w:styleId="Pa0">
    <w:name w:val="Pa0"/>
    <w:basedOn w:val="Default"/>
    <w:next w:val="Default"/>
    <w:uiPriority w:val="99"/>
    <w:rsid w:val="009B310E"/>
    <w:pPr>
      <w:spacing w:line="241" w:lineRule="atLeast"/>
    </w:pPr>
    <w:rPr>
      <w:rFonts w:ascii="Gotham" w:hAnsi="Gotham"/>
      <w:color w:val="auto"/>
      <w:lang w:val="nl-NL" w:eastAsia="en-US"/>
    </w:rPr>
  </w:style>
  <w:style w:type="paragraph" w:customStyle="1" w:styleId="CharChar21">
    <w:name w:val="Char Char2"/>
    <w:basedOn w:val="Standaard"/>
    <w:locked/>
    <w:rsid w:val="009A2BD7"/>
    <w:pPr>
      <w:spacing w:line="240" w:lineRule="auto"/>
    </w:pPr>
    <w:rPr>
      <w:rFonts w:ascii="Times New Roman" w:hAnsi="Times New Roman"/>
      <w:sz w:val="24"/>
      <w:szCs w:val="24"/>
      <w:lang w:val="pl-PL" w:eastAsia="pl-PL"/>
    </w:rPr>
  </w:style>
  <w:style w:type="paragraph" w:customStyle="1" w:styleId="En-tteheaderprotocols">
    <w:name w:val="En-tête.header protocols"/>
    <w:basedOn w:val="Standaard"/>
    <w:rsid w:val="00DA6975"/>
    <w:pPr>
      <w:widowControl w:val="0"/>
      <w:tabs>
        <w:tab w:val="center" w:pos="4536"/>
        <w:tab w:val="right" w:pos="9072"/>
      </w:tabs>
      <w:spacing w:line="240" w:lineRule="auto"/>
    </w:pPr>
    <w:rPr>
      <w:rFonts w:ascii="Times New Roman" w:hAnsi="Times New Roman"/>
      <w:lang w:val="fr-FR" w:eastAsia="fr-FR"/>
    </w:rPr>
  </w:style>
  <w:style w:type="paragraph" w:customStyle="1" w:styleId="Lijstalinea1">
    <w:name w:val="Lijstalinea1"/>
    <w:basedOn w:val="Standaard"/>
    <w:rsid w:val="00BA7C2C"/>
    <w:pPr>
      <w:spacing w:line="260" w:lineRule="atLeast"/>
      <w:ind w:left="720"/>
      <w:contextualSpacing/>
    </w:pPr>
    <w:rPr>
      <w:rFonts w:ascii="Times New Roman" w:eastAsia="Calibri" w:hAnsi="Times New Roman"/>
      <w:sz w:val="22"/>
      <w:szCs w:val="24"/>
      <w:lang w:val="sv-SE" w:eastAsia="sv-SE"/>
    </w:rPr>
  </w:style>
  <w:style w:type="paragraph" w:customStyle="1" w:styleId="Revisie1">
    <w:name w:val="Revisie1"/>
    <w:hidden/>
    <w:semiHidden/>
    <w:rsid w:val="00BA7C2C"/>
    <w:rPr>
      <w:rFonts w:eastAsia="Calibri"/>
      <w:sz w:val="22"/>
      <w:szCs w:val="24"/>
      <w:lang w:val="sv-SE" w:eastAsia="sv-SE"/>
    </w:rPr>
  </w:style>
  <w:style w:type="paragraph" w:customStyle="1" w:styleId="LoEheadingboldChar">
    <w:name w:val="_LoE_heading_bold Char"/>
    <w:rsid w:val="00BA7C2C"/>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BA7C2C"/>
    <w:pPr>
      <w:numPr>
        <w:ilvl w:val="12"/>
      </w:numPr>
      <w:autoSpaceDE w:val="0"/>
      <w:autoSpaceDN w:val="0"/>
      <w:spacing w:line="240" w:lineRule="atLeast"/>
    </w:pPr>
    <w:rPr>
      <w:rFonts w:ascii="Arial" w:eastAsia="Calibri" w:hAnsi="Arial" w:cs="Arial"/>
      <w:lang w:val="en-GB" w:eastAsia="de-DE"/>
    </w:rPr>
  </w:style>
  <w:style w:type="character" w:customStyle="1" w:styleId="Opmaakprofiel10ptVet">
    <w:name w:val="Opmaakprofiel 10 pt Vet"/>
    <w:basedOn w:val="Standaardalinea-lettertype"/>
    <w:rsid w:val="00BA7C2C"/>
    <w:rPr>
      <w:rFonts w:ascii="Arial" w:hAnsi="Arial"/>
      <w:b/>
      <w:bCs/>
      <w:sz w:val="22"/>
    </w:rPr>
  </w:style>
  <w:style w:type="paragraph" w:customStyle="1" w:styleId="TweeEnHalfWitregelVoor">
    <w:name w:val="TweeEnHalfWitregelVoor"/>
    <w:basedOn w:val="Standaard"/>
    <w:rsid w:val="00BA7C2C"/>
    <w:pPr>
      <w:keepLines/>
      <w:overflowPunct w:val="0"/>
      <w:autoSpaceDE w:val="0"/>
      <w:autoSpaceDN w:val="0"/>
      <w:adjustRightInd w:val="0"/>
      <w:spacing w:before="600" w:line="240" w:lineRule="auto"/>
    </w:pPr>
    <w:rPr>
      <w:rFonts w:ascii="Arial Cursief" w:hAnsi="Arial Cursief"/>
      <w:i/>
      <w:sz w:val="22"/>
      <w:lang w:val="nl-NL" w:eastAsia="nl-NL"/>
    </w:rPr>
  </w:style>
  <w:style w:type="character" w:customStyle="1" w:styleId="RoodCursief">
    <w:name w:val="RoodCursief"/>
    <w:basedOn w:val="Standaardalinea-lettertype"/>
    <w:rsid w:val="00BA7C2C"/>
    <w:rPr>
      <w:rFonts w:ascii="Arial Cursief" w:hAnsi="Arial Cursief"/>
      <w:i/>
      <w:color w:val="000080"/>
      <w:spacing w:val="0"/>
      <w:sz w:val="22"/>
    </w:rPr>
  </w:style>
  <w:style w:type="paragraph" w:customStyle="1" w:styleId="AnderhalveWitRegelVoor">
    <w:name w:val="AnderhalveWitRegelVoor"/>
    <w:basedOn w:val="Standaard"/>
    <w:rsid w:val="00BA7C2C"/>
    <w:pPr>
      <w:overflowPunct w:val="0"/>
      <w:autoSpaceDE w:val="0"/>
      <w:autoSpaceDN w:val="0"/>
      <w:adjustRightInd w:val="0"/>
      <w:spacing w:before="360" w:line="240" w:lineRule="auto"/>
      <w:textAlignment w:val="baseline"/>
    </w:pPr>
    <w:rPr>
      <w:sz w:val="22"/>
      <w:lang w:val="nl" w:eastAsia="nl-NL"/>
    </w:rPr>
  </w:style>
  <w:style w:type="paragraph" w:customStyle="1" w:styleId="SFGuidnotesitalics">
    <w:name w:val="*SF:Guid_notes_italics"/>
    <w:basedOn w:val="Standaard"/>
    <w:rsid w:val="00BA7C2C"/>
    <w:pPr>
      <w:keepNext/>
      <w:spacing w:before="60" w:after="60" w:line="240" w:lineRule="auto"/>
    </w:pPr>
    <w:rPr>
      <w:rFonts w:ascii="Times New Roman" w:hAnsi="Times New Roman"/>
      <w:i/>
      <w:lang w:val="de-DE" w:eastAsia="en-GB"/>
    </w:rPr>
  </w:style>
  <w:style w:type="paragraph" w:customStyle="1" w:styleId="TableTextright">
    <w:name w:val="Table Text right"/>
    <w:aliases w:val="TR"/>
    <w:basedOn w:val="Standaard"/>
    <w:rsid w:val="00BA7C2C"/>
    <w:pPr>
      <w:keepNext/>
      <w:widowControl w:val="0"/>
      <w:spacing w:before="40" w:after="40" w:line="240" w:lineRule="auto"/>
      <w:jc w:val="right"/>
    </w:pPr>
    <w:rPr>
      <w:rFonts w:ascii="Times New Roman" w:hAnsi="Times New Roman"/>
      <w:spacing w:val="-5"/>
      <w:lang w:eastAsia="en-US"/>
    </w:rPr>
  </w:style>
  <w:style w:type="paragraph" w:customStyle="1" w:styleId="TableTextLeft">
    <w:name w:val="Table Text Left"/>
    <w:aliases w:val="TL,Table text Left"/>
    <w:basedOn w:val="Standaard"/>
    <w:rsid w:val="00BA7C2C"/>
    <w:pPr>
      <w:keepNext/>
      <w:widowControl w:val="0"/>
      <w:spacing w:before="40" w:after="40" w:line="240" w:lineRule="auto"/>
    </w:pPr>
    <w:rPr>
      <w:rFonts w:ascii="Times New Roman" w:hAnsi="Times New Roman"/>
      <w:spacing w:val="-5"/>
      <w:lang w:eastAsia="en-US"/>
    </w:rPr>
  </w:style>
  <w:style w:type="paragraph" w:customStyle="1" w:styleId="CentrerenEnOnderstreep">
    <w:name w:val="CentrerenEnOnderstreep"/>
    <w:basedOn w:val="Standaard"/>
    <w:rsid w:val="00BA7C2C"/>
    <w:pPr>
      <w:suppressAutoHyphens/>
      <w:overflowPunct w:val="0"/>
      <w:autoSpaceDE w:val="0"/>
      <w:autoSpaceDN w:val="0"/>
      <w:adjustRightInd w:val="0"/>
      <w:spacing w:line="240" w:lineRule="auto"/>
      <w:jc w:val="center"/>
      <w:textAlignment w:val="baseline"/>
    </w:pPr>
    <w:rPr>
      <w:sz w:val="22"/>
      <w:u w:val="single"/>
      <w:lang w:val="nl" w:eastAsia="nl-NL"/>
    </w:rPr>
  </w:style>
  <w:style w:type="paragraph" w:customStyle="1" w:styleId="tekst1">
    <w:name w:val="tekst1"/>
    <w:basedOn w:val="Plattetekstinspringen"/>
    <w:rsid w:val="00BA7C2C"/>
    <w:pPr>
      <w:widowControl w:val="0"/>
      <w:overflowPunct w:val="0"/>
      <w:autoSpaceDE w:val="0"/>
      <w:autoSpaceDN w:val="0"/>
      <w:adjustRightInd w:val="0"/>
      <w:spacing w:line="264" w:lineRule="atLeast"/>
      <w:ind w:left="284"/>
      <w:textAlignment w:val="baseline"/>
    </w:pPr>
    <w:rPr>
      <w:sz w:val="22"/>
      <w:lang w:val="nl" w:eastAsia="nl-NL"/>
    </w:rPr>
  </w:style>
  <w:style w:type="character" w:customStyle="1" w:styleId="Kop3CharChar">
    <w:name w:val="Kop 3 Char Char"/>
    <w:basedOn w:val="Standaardalinea-lettertype"/>
    <w:locked/>
    <w:rsid w:val="00BA7C2C"/>
    <w:rPr>
      <w:rFonts w:ascii="Arial" w:eastAsia="Calibri" w:hAnsi="Arial" w:cs="Arial"/>
      <w:b/>
      <w:bCs/>
      <w:sz w:val="24"/>
      <w:szCs w:val="26"/>
      <w:lang w:val="sv-SE" w:eastAsia="sv-SE" w:bidi="ar-SA"/>
    </w:rPr>
  </w:style>
  <w:style w:type="paragraph" w:customStyle="1" w:styleId="TableTextcenterbold">
    <w:name w:val="Table Text center bold"/>
    <w:aliases w:val="T2"/>
    <w:basedOn w:val="Standaard"/>
    <w:next w:val="Standaard"/>
    <w:rsid w:val="00BA7C2C"/>
    <w:pPr>
      <w:keepNext/>
      <w:spacing w:before="40" w:after="40" w:line="240" w:lineRule="auto"/>
      <w:jc w:val="center"/>
    </w:pPr>
    <w:rPr>
      <w:rFonts w:ascii="Times New Roman" w:hAnsi="Times New Roman"/>
      <w:b/>
      <w:bCs/>
      <w:spacing w:val="-5"/>
      <w:lang w:eastAsia="en-GB"/>
    </w:rPr>
  </w:style>
  <w:style w:type="character" w:customStyle="1" w:styleId="Stil12pt">
    <w:name w:val="Stil 12 pt"/>
    <w:basedOn w:val="Standaardalinea-lettertype"/>
    <w:rsid w:val="00BA7C2C"/>
    <w:rPr>
      <w:rFonts w:ascii="Times New Roman" w:hAnsi="Times New Roman"/>
      <w:sz w:val="24"/>
    </w:rPr>
  </w:style>
  <w:style w:type="paragraph" w:customStyle="1" w:styleId="Tableheading">
    <w:name w:val="Table heading"/>
    <w:basedOn w:val="Bijschrift"/>
    <w:rsid w:val="00BA7C2C"/>
    <w:pPr>
      <w:spacing w:before="120" w:after="120" w:line="240" w:lineRule="auto"/>
    </w:pPr>
    <w:rPr>
      <w:rFonts w:ascii="Arial Narrow" w:hAnsi="Arial Narrow"/>
      <w:sz w:val="19"/>
      <w:lang w:eastAsia="en-GB"/>
    </w:rPr>
  </w:style>
  <w:style w:type="paragraph" w:customStyle="1" w:styleId="BodyTestkeep">
    <w:name w:val="Body Test keep"/>
    <w:aliases w:val="BK"/>
    <w:basedOn w:val="Plattetekst"/>
    <w:rsid w:val="00BA7C2C"/>
    <w:pPr>
      <w:keepNext/>
      <w:spacing w:after="360" w:line="240" w:lineRule="atLeast"/>
    </w:pPr>
    <w:rPr>
      <w:rFonts w:ascii="Times New Roman" w:hAnsi="Times New Roman"/>
      <w:bCs/>
      <w:spacing w:val="-5"/>
      <w:sz w:val="22"/>
    </w:rPr>
  </w:style>
  <w:style w:type="paragraph" w:customStyle="1" w:styleId="Titlepage-1">
    <w:name w:val="Title page - 1"/>
    <w:basedOn w:val="Standaard"/>
    <w:rsid w:val="00BA7C2C"/>
    <w:pPr>
      <w:keepLines/>
      <w:widowControl w:val="0"/>
      <w:tabs>
        <w:tab w:val="left" w:pos="1134"/>
      </w:tabs>
      <w:suppressAutoHyphens/>
      <w:spacing w:after="240" w:line="240" w:lineRule="auto"/>
      <w:jc w:val="center"/>
    </w:pPr>
    <w:rPr>
      <w:rFonts w:cs="Arial"/>
      <w:b/>
      <w:bCs/>
      <w:spacing w:val="-5"/>
      <w:kern w:val="22"/>
      <w:sz w:val="52"/>
      <w:szCs w:val="52"/>
      <w:lang w:eastAsia="en-US"/>
    </w:rPr>
  </w:style>
  <w:style w:type="paragraph" w:customStyle="1" w:styleId="Titlepage-2">
    <w:name w:val="Title page - 2"/>
    <w:basedOn w:val="Titlepage-1"/>
    <w:rsid w:val="00BA7C2C"/>
    <w:rPr>
      <w:sz w:val="32"/>
      <w:szCs w:val="32"/>
    </w:rPr>
  </w:style>
  <w:style w:type="paragraph" w:customStyle="1" w:styleId="Titlepage-3">
    <w:name w:val="Title page - 3"/>
    <w:basedOn w:val="Titlepage-1"/>
    <w:rsid w:val="00BA7C2C"/>
    <w:pPr>
      <w:spacing w:after="480"/>
    </w:pPr>
    <w:rPr>
      <w:b w:val="0"/>
      <w:bCs w:val="0"/>
      <w:sz w:val="28"/>
      <w:szCs w:val="28"/>
    </w:rPr>
  </w:style>
  <w:style w:type="paragraph" w:customStyle="1" w:styleId="BodyTextCenter">
    <w:name w:val="Body Text Center"/>
    <w:aliases w:val="BC"/>
    <w:basedOn w:val="Plattetekst"/>
    <w:next w:val="Plattetekst"/>
    <w:rsid w:val="00BA7C2C"/>
    <w:pPr>
      <w:widowControl w:val="0"/>
      <w:spacing w:after="240" w:line="240" w:lineRule="atLeast"/>
      <w:jc w:val="center"/>
    </w:pPr>
    <w:rPr>
      <w:rFonts w:ascii="Times New Roman" w:hAnsi="Times New Roman"/>
      <w:spacing w:val="-5"/>
      <w:sz w:val="22"/>
      <w:szCs w:val="22"/>
      <w:lang w:eastAsia="en-US"/>
    </w:rPr>
  </w:style>
  <w:style w:type="paragraph" w:customStyle="1" w:styleId="Tableformat">
    <w:name w:val="Tableformat"/>
    <w:basedOn w:val="Standaard"/>
    <w:rsid w:val="00BA7C2C"/>
    <w:pPr>
      <w:spacing w:line="240" w:lineRule="auto"/>
    </w:pPr>
    <w:rPr>
      <w:rFonts w:ascii="Times New Roman" w:hAnsi="Times New Roman"/>
      <w:lang w:val="de-DE" w:eastAsia="en-GB"/>
    </w:rPr>
  </w:style>
  <w:style w:type="paragraph" w:customStyle="1" w:styleId="Tablefooter">
    <w:name w:val="Table footer"/>
    <w:basedOn w:val="Standaard"/>
    <w:rsid w:val="00BA7C2C"/>
    <w:pPr>
      <w:keepNext/>
      <w:tabs>
        <w:tab w:val="left" w:pos="284"/>
      </w:tabs>
      <w:spacing w:line="240" w:lineRule="auto"/>
      <w:ind w:left="284" w:hanging="284"/>
    </w:pPr>
    <w:rPr>
      <w:rFonts w:ascii="Times New Roman" w:hAnsi="Times New Roman"/>
      <w:spacing w:val="-5"/>
      <w:sz w:val="18"/>
      <w:szCs w:val="18"/>
      <w:lang w:eastAsia="en-GB"/>
    </w:rPr>
  </w:style>
  <w:style w:type="character" w:customStyle="1" w:styleId="Heading3CharChar">
    <w:name w:val="Heading 3 Char Char"/>
    <w:basedOn w:val="Standaardalinea-lettertype"/>
    <w:rsid w:val="00BA7C2C"/>
    <w:rPr>
      <w:b/>
      <w:bCs/>
      <w:noProof w:val="0"/>
      <w:sz w:val="22"/>
      <w:szCs w:val="22"/>
      <w:lang w:val="de-DE"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5844">
      <w:bodyDiv w:val="1"/>
      <w:marLeft w:val="0"/>
      <w:marRight w:val="0"/>
      <w:marTop w:val="0"/>
      <w:marBottom w:val="0"/>
      <w:divBdr>
        <w:top w:val="none" w:sz="0" w:space="0" w:color="auto"/>
        <w:left w:val="none" w:sz="0" w:space="0" w:color="auto"/>
        <w:bottom w:val="none" w:sz="0" w:space="0" w:color="auto"/>
        <w:right w:val="none" w:sz="0" w:space="0" w:color="auto"/>
      </w:divBdr>
      <w:divsChild>
        <w:div w:id="606160902">
          <w:marLeft w:val="0"/>
          <w:marRight w:val="0"/>
          <w:marTop w:val="0"/>
          <w:marBottom w:val="0"/>
          <w:divBdr>
            <w:top w:val="none" w:sz="0" w:space="0" w:color="auto"/>
            <w:left w:val="none" w:sz="0" w:space="0" w:color="auto"/>
            <w:bottom w:val="none" w:sz="0" w:space="0" w:color="auto"/>
            <w:right w:val="none" w:sz="0" w:space="0" w:color="auto"/>
          </w:divBdr>
          <w:divsChild>
            <w:div w:id="1137381344">
              <w:marLeft w:val="0"/>
              <w:marRight w:val="0"/>
              <w:marTop w:val="0"/>
              <w:marBottom w:val="0"/>
              <w:divBdr>
                <w:top w:val="none" w:sz="0" w:space="0" w:color="auto"/>
                <w:left w:val="none" w:sz="0" w:space="0" w:color="auto"/>
                <w:bottom w:val="none" w:sz="0" w:space="0" w:color="auto"/>
                <w:right w:val="none" w:sz="0" w:space="0" w:color="auto"/>
              </w:divBdr>
              <w:divsChild>
                <w:div w:id="954408894">
                  <w:marLeft w:val="-225"/>
                  <w:marRight w:val="-225"/>
                  <w:marTop w:val="0"/>
                  <w:marBottom w:val="0"/>
                  <w:divBdr>
                    <w:top w:val="none" w:sz="0" w:space="0" w:color="auto"/>
                    <w:left w:val="none" w:sz="0" w:space="0" w:color="auto"/>
                    <w:bottom w:val="none" w:sz="0" w:space="0" w:color="auto"/>
                    <w:right w:val="none" w:sz="0" w:space="0" w:color="auto"/>
                  </w:divBdr>
                  <w:divsChild>
                    <w:div w:id="1975208176">
                      <w:marLeft w:val="0"/>
                      <w:marRight w:val="0"/>
                      <w:marTop w:val="0"/>
                      <w:marBottom w:val="0"/>
                      <w:divBdr>
                        <w:top w:val="none" w:sz="0" w:space="0" w:color="auto"/>
                        <w:left w:val="none" w:sz="0" w:space="0" w:color="auto"/>
                        <w:bottom w:val="none" w:sz="0" w:space="0" w:color="auto"/>
                        <w:right w:val="none" w:sz="0" w:space="0" w:color="auto"/>
                      </w:divBdr>
                      <w:divsChild>
                        <w:div w:id="1339428244">
                          <w:marLeft w:val="-225"/>
                          <w:marRight w:val="-225"/>
                          <w:marTop w:val="0"/>
                          <w:marBottom w:val="0"/>
                          <w:divBdr>
                            <w:top w:val="none" w:sz="0" w:space="0" w:color="auto"/>
                            <w:left w:val="none" w:sz="0" w:space="0" w:color="auto"/>
                            <w:bottom w:val="none" w:sz="0" w:space="0" w:color="auto"/>
                            <w:right w:val="none" w:sz="0" w:space="0" w:color="auto"/>
                          </w:divBdr>
                          <w:divsChild>
                            <w:div w:id="858470776">
                              <w:marLeft w:val="-225"/>
                              <w:marRight w:val="-225"/>
                              <w:marTop w:val="0"/>
                              <w:marBottom w:val="0"/>
                              <w:divBdr>
                                <w:top w:val="none" w:sz="0" w:space="0" w:color="auto"/>
                                <w:left w:val="none" w:sz="0" w:space="0" w:color="auto"/>
                                <w:bottom w:val="none" w:sz="0" w:space="0" w:color="auto"/>
                                <w:right w:val="none" w:sz="0" w:space="0" w:color="auto"/>
                              </w:divBdr>
                              <w:divsChild>
                                <w:div w:id="611480916">
                                  <w:marLeft w:val="0"/>
                                  <w:marRight w:val="0"/>
                                  <w:marTop w:val="0"/>
                                  <w:marBottom w:val="255"/>
                                  <w:divBdr>
                                    <w:top w:val="none" w:sz="0" w:space="0" w:color="auto"/>
                                    <w:left w:val="none" w:sz="0" w:space="0" w:color="auto"/>
                                    <w:bottom w:val="none" w:sz="0" w:space="0" w:color="auto"/>
                                    <w:right w:val="none" w:sz="0" w:space="0" w:color="auto"/>
                                  </w:divBdr>
                                  <w:divsChild>
                                    <w:div w:id="927226957">
                                      <w:marLeft w:val="0"/>
                                      <w:marRight w:val="0"/>
                                      <w:marTop w:val="0"/>
                                      <w:marBottom w:val="0"/>
                                      <w:divBdr>
                                        <w:top w:val="none" w:sz="0" w:space="0" w:color="auto"/>
                                        <w:left w:val="none" w:sz="0" w:space="0" w:color="auto"/>
                                        <w:bottom w:val="none" w:sz="0" w:space="0" w:color="auto"/>
                                        <w:right w:val="none" w:sz="0" w:space="0" w:color="auto"/>
                                      </w:divBdr>
                                      <w:divsChild>
                                        <w:div w:id="1894581873">
                                          <w:marLeft w:val="0"/>
                                          <w:marRight w:val="0"/>
                                          <w:marTop w:val="0"/>
                                          <w:marBottom w:val="225"/>
                                          <w:divBdr>
                                            <w:top w:val="none" w:sz="0" w:space="0" w:color="auto"/>
                                            <w:left w:val="none" w:sz="0" w:space="0" w:color="auto"/>
                                            <w:bottom w:val="none" w:sz="0" w:space="0" w:color="auto"/>
                                            <w:right w:val="none" w:sz="0" w:space="0" w:color="auto"/>
                                          </w:divBdr>
                                          <w:divsChild>
                                            <w:div w:id="1780953444">
                                              <w:marLeft w:val="0"/>
                                              <w:marRight w:val="0"/>
                                              <w:marTop w:val="0"/>
                                              <w:marBottom w:val="0"/>
                                              <w:divBdr>
                                                <w:top w:val="none" w:sz="0" w:space="0" w:color="auto"/>
                                                <w:left w:val="none" w:sz="0" w:space="0" w:color="auto"/>
                                                <w:bottom w:val="none" w:sz="0" w:space="0" w:color="auto"/>
                                                <w:right w:val="none" w:sz="0" w:space="0" w:color="auto"/>
                                              </w:divBdr>
                                              <w:divsChild>
                                                <w:div w:id="2016808353">
                                                  <w:marLeft w:val="0"/>
                                                  <w:marRight w:val="0"/>
                                                  <w:marTop w:val="0"/>
                                                  <w:marBottom w:val="0"/>
                                                  <w:divBdr>
                                                    <w:top w:val="none" w:sz="0" w:space="0" w:color="auto"/>
                                                    <w:left w:val="none" w:sz="0" w:space="0" w:color="auto"/>
                                                    <w:bottom w:val="none" w:sz="0" w:space="0" w:color="auto"/>
                                                    <w:right w:val="none" w:sz="0" w:space="0" w:color="auto"/>
                                                  </w:divBdr>
                                                  <w:divsChild>
                                                    <w:div w:id="1864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126667">
      <w:bodyDiv w:val="1"/>
      <w:marLeft w:val="0"/>
      <w:marRight w:val="0"/>
      <w:marTop w:val="0"/>
      <w:marBottom w:val="0"/>
      <w:divBdr>
        <w:top w:val="none" w:sz="0" w:space="0" w:color="auto"/>
        <w:left w:val="none" w:sz="0" w:space="0" w:color="auto"/>
        <w:bottom w:val="none" w:sz="0" w:space="0" w:color="auto"/>
        <w:right w:val="none" w:sz="0" w:space="0" w:color="auto"/>
      </w:divBdr>
    </w:div>
    <w:div w:id="906186696">
      <w:bodyDiv w:val="1"/>
      <w:marLeft w:val="0"/>
      <w:marRight w:val="0"/>
      <w:marTop w:val="0"/>
      <w:marBottom w:val="0"/>
      <w:divBdr>
        <w:top w:val="none" w:sz="0" w:space="0" w:color="auto"/>
        <w:left w:val="none" w:sz="0" w:space="0" w:color="auto"/>
        <w:bottom w:val="none" w:sz="0" w:space="0" w:color="auto"/>
        <w:right w:val="none" w:sz="0" w:space="0" w:color="auto"/>
      </w:divBdr>
      <w:divsChild>
        <w:div w:id="37315372">
          <w:marLeft w:val="0"/>
          <w:marRight w:val="0"/>
          <w:marTop w:val="0"/>
          <w:marBottom w:val="0"/>
          <w:divBdr>
            <w:top w:val="none" w:sz="0" w:space="0" w:color="auto"/>
            <w:left w:val="none" w:sz="0" w:space="0" w:color="auto"/>
            <w:bottom w:val="none" w:sz="0" w:space="0" w:color="auto"/>
            <w:right w:val="none" w:sz="0" w:space="0" w:color="auto"/>
          </w:divBdr>
          <w:divsChild>
            <w:div w:id="1442266957">
              <w:marLeft w:val="0"/>
              <w:marRight w:val="0"/>
              <w:marTop w:val="0"/>
              <w:marBottom w:val="0"/>
              <w:divBdr>
                <w:top w:val="none" w:sz="0" w:space="0" w:color="auto"/>
                <w:left w:val="none" w:sz="0" w:space="0" w:color="auto"/>
                <w:bottom w:val="none" w:sz="0" w:space="0" w:color="auto"/>
                <w:right w:val="none" w:sz="0" w:space="0" w:color="auto"/>
              </w:divBdr>
              <w:divsChild>
                <w:div w:id="1746027036">
                  <w:marLeft w:val="-225"/>
                  <w:marRight w:val="-225"/>
                  <w:marTop w:val="0"/>
                  <w:marBottom w:val="0"/>
                  <w:divBdr>
                    <w:top w:val="none" w:sz="0" w:space="0" w:color="auto"/>
                    <w:left w:val="none" w:sz="0" w:space="0" w:color="auto"/>
                    <w:bottom w:val="none" w:sz="0" w:space="0" w:color="auto"/>
                    <w:right w:val="none" w:sz="0" w:space="0" w:color="auto"/>
                  </w:divBdr>
                  <w:divsChild>
                    <w:div w:id="1374963763">
                      <w:marLeft w:val="0"/>
                      <w:marRight w:val="0"/>
                      <w:marTop w:val="0"/>
                      <w:marBottom w:val="0"/>
                      <w:divBdr>
                        <w:top w:val="none" w:sz="0" w:space="0" w:color="auto"/>
                        <w:left w:val="none" w:sz="0" w:space="0" w:color="auto"/>
                        <w:bottom w:val="none" w:sz="0" w:space="0" w:color="auto"/>
                        <w:right w:val="none" w:sz="0" w:space="0" w:color="auto"/>
                      </w:divBdr>
                      <w:divsChild>
                        <w:div w:id="1886864050">
                          <w:marLeft w:val="-225"/>
                          <w:marRight w:val="-225"/>
                          <w:marTop w:val="0"/>
                          <w:marBottom w:val="0"/>
                          <w:divBdr>
                            <w:top w:val="none" w:sz="0" w:space="0" w:color="auto"/>
                            <w:left w:val="none" w:sz="0" w:space="0" w:color="auto"/>
                            <w:bottom w:val="none" w:sz="0" w:space="0" w:color="auto"/>
                            <w:right w:val="none" w:sz="0" w:space="0" w:color="auto"/>
                          </w:divBdr>
                          <w:divsChild>
                            <w:div w:id="909971723">
                              <w:marLeft w:val="0"/>
                              <w:marRight w:val="0"/>
                              <w:marTop w:val="225"/>
                              <w:marBottom w:val="0"/>
                              <w:divBdr>
                                <w:top w:val="none" w:sz="0" w:space="0" w:color="auto"/>
                                <w:left w:val="none" w:sz="0" w:space="0" w:color="auto"/>
                                <w:bottom w:val="none" w:sz="0" w:space="0" w:color="auto"/>
                                <w:right w:val="none" w:sz="0" w:space="0" w:color="auto"/>
                              </w:divBdr>
                              <w:divsChild>
                                <w:div w:id="1479687547">
                                  <w:marLeft w:val="0"/>
                                  <w:marRight w:val="0"/>
                                  <w:marTop w:val="0"/>
                                  <w:marBottom w:val="225"/>
                                  <w:divBdr>
                                    <w:top w:val="none" w:sz="0" w:space="0" w:color="auto"/>
                                    <w:left w:val="none" w:sz="0" w:space="0" w:color="auto"/>
                                    <w:bottom w:val="none" w:sz="0" w:space="0" w:color="auto"/>
                                    <w:right w:val="none" w:sz="0" w:space="0" w:color="auto"/>
                                  </w:divBdr>
                                  <w:divsChild>
                                    <w:div w:id="844512012">
                                      <w:marLeft w:val="0"/>
                                      <w:marRight w:val="0"/>
                                      <w:marTop w:val="0"/>
                                      <w:marBottom w:val="0"/>
                                      <w:divBdr>
                                        <w:top w:val="none" w:sz="0" w:space="0" w:color="auto"/>
                                        <w:left w:val="none" w:sz="0" w:space="0" w:color="auto"/>
                                        <w:bottom w:val="none" w:sz="0" w:space="0" w:color="auto"/>
                                        <w:right w:val="none" w:sz="0" w:space="0" w:color="auto"/>
                                      </w:divBdr>
                                      <w:divsChild>
                                        <w:div w:id="960377267">
                                          <w:marLeft w:val="0"/>
                                          <w:marRight w:val="0"/>
                                          <w:marTop w:val="0"/>
                                          <w:marBottom w:val="0"/>
                                          <w:divBdr>
                                            <w:top w:val="none" w:sz="0" w:space="0" w:color="auto"/>
                                            <w:left w:val="none" w:sz="0" w:space="0" w:color="auto"/>
                                            <w:bottom w:val="none" w:sz="0" w:space="0" w:color="auto"/>
                                            <w:right w:val="none" w:sz="0" w:space="0" w:color="auto"/>
                                          </w:divBdr>
                                          <w:divsChild>
                                            <w:div w:id="15173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86227">
      <w:bodyDiv w:val="1"/>
      <w:marLeft w:val="0"/>
      <w:marRight w:val="0"/>
      <w:marTop w:val="0"/>
      <w:marBottom w:val="0"/>
      <w:divBdr>
        <w:top w:val="none" w:sz="0" w:space="0" w:color="auto"/>
        <w:left w:val="none" w:sz="0" w:space="0" w:color="auto"/>
        <w:bottom w:val="none" w:sz="0" w:space="0" w:color="auto"/>
        <w:right w:val="none" w:sz="0" w:space="0" w:color="auto"/>
      </w:divBdr>
      <w:divsChild>
        <w:div w:id="90703948">
          <w:marLeft w:val="0"/>
          <w:marRight w:val="0"/>
          <w:marTop w:val="0"/>
          <w:marBottom w:val="0"/>
          <w:divBdr>
            <w:top w:val="none" w:sz="0" w:space="0" w:color="auto"/>
            <w:left w:val="none" w:sz="0" w:space="0" w:color="auto"/>
            <w:bottom w:val="none" w:sz="0" w:space="0" w:color="auto"/>
            <w:right w:val="none" w:sz="0" w:space="0" w:color="auto"/>
          </w:divBdr>
          <w:divsChild>
            <w:div w:id="1589924897">
              <w:marLeft w:val="0"/>
              <w:marRight w:val="0"/>
              <w:marTop w:val="0"/>
              <w:marBottom w:val="0"/>
              <w:divBdr>
                <w:top w:val="none" w:sz="0" w:space="0" w:color="auto"/>
                <w:left w:val="none" w:sz="0" w:space="0" w:color="auto"/>
                <w:bottom w:val="none" w:sz="0" w:space="0" w:color="auto"/>
                <w:right w:val="none" w:sz="0" w:space="0" w:color="auto"/>
              </w:divBdr>
              <w:divsChild>
                <w:div w:id="743338721">
                  <w:marLeft w:val="-225"/>
                  <w:marRight w:val="-225"/>
                  <w:marTop w:val="0"/>
                  <w:marBottom w:val="0"/>
                  <w:divBdr>
                    <w:top w:val="none" w:sz="0" w:space="0" w:color="auto"/>
                    <w:left w:val="none" w:sz="0" w:space="0" w:color="auto"/>
                    <w:bottom w:val="none" w:sz="0" w:space="0" w:color="auto"/>
                    <w:right w:val="none" w:sz="0" w:space="0" w:color="auto"/>
                  </w:divBdr>
                  <w:divsChild>
                    <w:div w:id="210652380">
                      <w:marLeft w:val="0"/>
                      <w:marRight w:val="0"/>
                      <w:marTop w:val="0"/>
                      <w:marBottom w:val="0"/>
                      <w:divBdr>
                        <w:top w:val="none" w:sz="0" w:space="0" w:color="auto"/>
                        <w:left w:val="none" w:sz="0" w:space="0" w:color="auto"/>
                        <w:bottom w:val="none" w:sz="0" w:space="0" w:color="auto"/>
                        <w:right w:val="none" w:sz="0" w:space="0" w:color="auto"/>
                      </w:divBdr>
                      <w:divsChild>
                        <w:div w:id="1857187721">
                          <w:marLeft w:val="-225"/>
                          <w:marRight w:val="-225"/>
                          <w:marTop w:val="0"/>
                          <w:marBottom w:val="0"/>
                          <w:divBdr>
                            <w:top w:val="none" w:sz="0" w:space="0" w:color="auto"/>
                            <w:left w:val="none" w:sz="0" w:space="0" w:color="auto"/>
                            <w:bottom w:val="none" w:sz="0" w:space="0" w:color="auto"/>
                            <w:right w:val="none" w:sz="0" w:space="0" w:color="auto"/>
                          </w:divBdr>
                          <w:divsChild>
                            <w:div w:id="710302549">
                              <w:marLeft w:val="0"/>
                              <w:marRight w:val="0"/>
                              <w:marTop w:val="225"/>
                              <w:marBottom w:val="0"/>
                              <w:divBdr>
                                <w:top w:val="none" w:sz="0" w:space="0" w:color="auto"/>
                                <w:left w:val="none" w:sz="0" w:space="0" w:color="auto"/>
                                <w:bottom w:val="none" w:sz="0" w:space="0" w:color="auto"/>
                                <w:right w:val="none" w:sz="0" w:space="0" w:color="auto"/>
                              </w:divBdr>
                              <w:divsChild>
                                <w:div w:id="1244148183">
                                  <w:marLeft w:val="0"/>
                                  <w:marRight w:val="0"/>
                                  <w:marTop w:val="0"/>
                                  <w:marBottom w:val="225"/>
                                  <w:divBdr>
                                    <w:top w:val="none" w:sz="0" w:space="0" w:color="auto"/>
                                    <w:left w:val="none" w:sz="0" w:space="0" w:color="auto"/>
                                    <w:bottom w:val="none" w:sz="0" w:space="0" w:color="auto"/>
                                    <w:right w:val="none" w:sz="0" w:space="0" w:color="auto"/>
                                  </w:divBdr>
                                  <w:divsChild>
                                    <w:div w:id="1801147059">
                                      <w:marLeft w:val="0"/>
                                      <w:marRight w:val="0"/>
                                      <w:marTop w:val="0"/>
                                      <w:marBottom w:val="0"/>
                                      <w:divBdr>
                                        <w:top w:val="none" w:sz="0" w:space="0" w:color="auto"/>
                                        <w:left w:val="none" w:sz="0" w:space="0" w:color="auto"/>
                                        <w:bottom w:val="none" w:sz="0" w:space="0" w:color="auto"/>
                                        <w:right w:val="none" w:sz="0" w:space="0" w:color="auto"/>
                                      </w:divBdr>
                                      <w:divsChild>
                                        <w:div w:id="1359282292">
                                          <w:marLeft w:val="0"/>
                                          <w:marRight w:val="0"/>
                                          <w:marTop w:val="0"/>
                                          <w:marBottom w:val="0"/>
                                          <w:divBdr>
                                            <w:top w:val="none" w:sz="0" w:space="0" w:color="auto"/>
                                            <w:left w:val="none" w:sz="0" w:space="0" w:color="auto"/>
                                            <w:bottom w:val="none" w:sz="0" w:space="0" w:color="auto"/>
                                            <w:right w:val="none" w:sz="0" w:space="0" w:color="auto"/>
                                          </w:divBdr>
                                          <w:divsChild>
                                            <w:div w:id="690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338495">
      <w:bodyDiv w:val="1"/>
      <w:marLeft w:val="0"/>
      <w:marRight w:val="0"/>
      <w:marTop w:val="0"/>
      <w:marBottom w:val="0"/>
      <w:divBdr>
        <w:top w:val="none" w:sz="0" w:space="0" w:color="auto"/>
        <w:left w:val="none" w:sz="0" w:space="0" w:color="auto"/>
        <w:bottom w:val="none" w:sz="0" w:space="0" w:color="auto"/>
        <w:right w:val="none" w:sz="0" w:space="0" w:color="auto"/>
      </w:divBdr>
      <w:divsChild>
        <w:div w:id="1293365123">
          <w:marLeft w:val="0"/>
          <w:marRight w:val="0"/>
          <w:marTop w:val="0"/>
          <w:marBottom w:val="0"/>
          <w:divBdr>
            <w:top w:val="none" w:sz="0" w:space="0" w:color="auto"/>
            <w:left w:val="none" w:sz="0" w:space="0" w:color="auto"/>
            <w:bottom w:val="none" w:sz="0" w:space="0" w:color="auto"/>
            <w:right w:val="none" w:sz="0" w:space="0" w:color="auto"/>
          </w:divBdr>
          <w:divsChild>
            <w:div w:id="1276644231">
              <w:marLeft w:val="0"/>
              <w:marRight w:val="0"/>
              <w:marTop w:val="0"/>
              <w:marBottom w:val="0"/>
              <w:divBdr>
                <w:top w:val="none" w:sz="0" w:space="0" w:color="auto"/>
                <w:left w:val="none" w:sz="0" w:space="0" w:color="auto"/>
                <w:bottom w:val="none" w:sz="0" w:space="0" w:color="auto"/>
                <w:right w:val="none" w:sz="0" w:space="0" w:color="auto"/>
              </w:divBdr>
              <w:divsChild>
                <w:div w:id="1940792024">
                  <w:marLeft w:val="-225"/>
                  <w:marRight w:val="-225"/>
                  <w:marTop w:val="0"/>
                  <w:marBottom w:val="0"/>
                  <w:divBdr>
                    <w:top w:val="none" w:sz="0" w:space="0" w:color="auto"/>
                    <w:left w:val="none" w:sz="0" w:space="0" w:color="auto"/>
                    <w:bottom w:val="none" w:sz="0" w:space="0" w:color="auto"/>
                    <w:right w:val="none" w:sz="0" w:space="0" w:color="auto"/>
                  </w:divBdr>
                  <w:divsChild>
                    <w:div w:id="76247087">
                      <w:marLeft w:val="0"/>
                      <w:marRight w:val="0"/>
                      <w:marTop w:val="0"/>
                      <w:marBottom w:val="0"/>
                      <w:divBdr>
                        <w:top w:val="none" w:sz="0" w:space="0" w:color="auto"/>
                        <w:left w:val="none" w:sz="0" w:space="0" w:color="auto"/>
                        <w:bottom w:val="none" w:sz="0" w:space="0" w:color="auto"/>
                        <w:right w:val="none" w:sz="0" w:space="0" w:color="auto"/>
                      </w:divBdr>
                      <w:divsChild>
                        <w:div w:id="1652638278">
                          <w:marLeft w:val="-225"/>
                          <w:marRight w:val="-225"/>
                          <w:marTop w:val="0"/>
                          <w:marBottom w:val="0"/>
                          <w:divBdr>
                            <w:top w:val="none" w:sz="0" w:space="0" w:color="auto"/>
                            <w:left w:val="none" w:sz="0" w:space="0" w:color="auto"/>
                            <w:bottom w:val="none" w:sz="0" w:space="0" w:color="auto"/>
                            <w:right w:val="none" w:sz="0" w:space="0" w:color="auto"/>
                          </w:divBdr>
                          <w:divsChild>
                            <w:div w:id="1502886849">
                              <w:marLeft w:val="0"/>
                              <w:marRight w:val="0"/>
                              <w:marTop w:val="225"/>
                              <w:marBottom w:val="0"/>
                              <w:divBdr>
                                <w:top w:val="none" w:sz="0" w:space="0" w:color="auto"/>
                                <w:left w:val="none" w:sz="0" w:space="0" w:color="auto"/>
                                <w:bottom w:val="none" w:sz="0" w:space="0" w:color="auto"/>
                                <w:right w:val="none" w:sz="0" w:space="0" w:color="auto"/>
                              </w:divBdr>
                              <w:divsChild>
                                <w:div w:id="1379823082">
                                  <w:marLeft w:val="0"/>
                                  <w:marRight w:val="0"/>
                                  <w:marTop w:val="0"/>
                                  <w:marBottom w:val="225"/>
                                  <w:divBdr>
                                    <w:top w:val="none" w:sz="0" w:space="0" w:color="auto"/>
                                    <w:left w:val="none" w:sz="0" w:space="0" w:color="auto"/>
                                    <w:bottom w:val="none" w:sz="0" w:space="0" w:color="auto"/>
                                    <w:right w:val="none" w:sz="0" w:space="0" w:color="auto"/>
                                  </w:divBdr>
                                  <w:divsChild>
                                    <w:div w:id="277180793">
                                      <w:marLeft w:val="0"/>
                                      <w:marRight w:val="0"/>
                                      <w:marTop w:val="0"/>
                                      <w:marBottom w:val="0"/>
                                      <w:divBdr>
                                        <w:top w:val="none" w:sz="0" w:space="0" w:color="auto"/>
                                        <w:left w:val="none" w:sz="0" w:space="0" w:color="auto"/>
                                        <w:bottom w:val="none" w:sz="0" w:space="0" w:color="auto"/>
                                        <w:right w:val="none" w:sz="0" w:space="0" w:color="auto"/>
                                      </w:divBdr>
                                      <w:divsChild>
                                        <w:div w:id="860823304">
                                          <w:marLeft w:val="0"/>
                                          <w:marRight w:val="0"/>
                                          <w:marTop w:val="0"/>
                                          <w:marBottom w:val="0"/>
                                          <w:divBdr>
                                            <w:top w:val="none" w:sz="0" w:space="0" w:color="auto"/>
                                            <w:left w:val="none" w:sz="0" w:space="0" w:color="auto"/>
                                            <w:bottom w:val="none" w:sz="0" w:space="0" w:color="auto"/>
                                            <w:right w:val="none" w:sz="0" w:space="0" w:color="auto"/>
                                          </w:divBdr>
                                          <w:divsChild>
                                            <w:div w:id="10168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735912">
      <w:bodyDiv w:val="1"/>
      <w:marLeft w:val="0"/>
      <w:marRight w:val="0"/>
      <w:marTop w:val="0"/>
      <w:marBottom w:val="0"/>
      <w:divBdr>
        <w:top w:val="none" w:sz="0" w:space="0" w:color="auto"/>
        <w:left w:val="none" w:sz="0" w:space="0" w:color="auto"/>
        <w:bottom w:val="none" w:sz="0" w:space="0" w:color="auto"/>
        <w:right w:val="none" w:sz="0" w:space="0" w:color="auto"/>
      </w:divBdr>
      <w:divsChild>
        <w:div w:id="965894170">
          <w:marLeft w:val="0"/>
          <w:marRight w:val="0"/>
          <w:marTop w:val="0"/>
          <w:marBottom w:val="0"/>
          <w:divBdr>
            <w:top w:val="none" w:sz="0" w:space="0" w:color="auto"/>
            <w:left w:val="none" w:sz="0" w:space="0" w:color="auto"/>
            <w:bottom w:val="none" w:sz="0" w:space="0" w:color="auto"/>
            <w:right w:val="none" w:sz="0" w:space="0" w:color="auto"/>
          </w:divBdr>
          <w:divsChild>
            <w:div w:id="953636998">
              <w:marLeft w:val="0"/>
              <w:marRight w:val="0"/>
              <w:marTop w:val="0"/>
              <w:marBottom w:val="0"/>
              <w:divBdr>
                <w:top w:val="none" w:sz="0" w:space="0" w:color="auto"/>
                <w:left w:val="none" w:sz="0" w:space="0" w:color="auto"/>
                <w:bottom w:val="none" w:sz="0" w:space="0" w:color="auto"/>
                <w:right w:val="none" w:sz="0" w:space="0" w:color="auto"/>
              </w:divBdr>
              <w:divsChild>
                <w:div w:id="281810630">
                  <w:marLeft w:val="-225"/>
                  <w:marRight w:val="-225"/>
                  <w:marTop w:val="0"/>
                  <w:marBottom w:val="0"/>
                  <w:divBdr>
                    <w:top w:val="none" w:sz="0" w:space="0" w:color="auto"/>
                    <w:left w:val="none" w:sz="0" w:space="0" w:color="auto"/>
                    <w:bottom w:val="none" w:sz="0" w:space="0" w:color="auto"/>
                    <w:right w:val="none" w:sz="0" w:space="0" w:color="auto"/>
                  </w:divBdr>
                  <w:divsChild>
                    <w:div w:id="1971857248">
                      <w:marLeft w:val="0"/>
                      <w:marRight w:val="0"/>
                      <w:marTop w:val="0"/>
                      <w:marBottom w:val="0"/>
                      <w:divBdr>
                        <w:top w:val="none" w:sz="0" w:space="0" w:color="auto"/>
                        <w:left w:val="none" w:sz="0" w:space="0" w:color="auto"/>
                        <w:bottom w:val="none" w:sz="0" w:space="0" w:color="auto"/>
                        <w:right w:val="none" w:sz="0" w:space="0" w:color="auto"/>
                      </w:divBdr>
                      <w:divsChild>
                        <w:div w:id="457721103">
                          <w:marLeft w:val="-225"/>
                          <w:marRight w:val="-225"/>
                          <w:marTop w:val="0"/>
                          <w:marBottom w:val="0"/>
                          <w:divBdr>
                            <w:top w:val="none" w:sz="0" w:space="0" w:color="auto"/>
                            <w:left w:val="none" w:sz="0" w:space="0" w:color="auto"/>
                            <w:bottom w:val="none" w:sz="0" w:space="0" w:color="auto"/>
                            <w:right w:val="none" w:sz="0" w:space="0" w:color="auto"/>
                          </w:divBdr>
                          <w:divsChild>
                            <w:div w:id="844981019">
                              <w:marLeft w:val="0"/>
                              <w:marRight w:val="0"/>
                              <w:marTop w:val="225"/>
                              <w:marBottom w:val="0"/>
                              <w:divBdr>
                                <w:top w:val="none" w:sz="0" w:space="0" w:color="auto"/>
                                <w:left w:val="none" w:sz="0" w:space="0" w:color="auto"/>
                                <w:bottom w:val="none" w:sz="0" w:space="0" w:color="auto"/>
                                <w:right w:val="none" w:sz="0" w:space="0" w:color="auto"/>
                              </w:divBdr>
                              <w:divsChild>
                                <w:div w:id="1767114350">
                                  <w:marLeft w:val="0"/>
                                  <w:marRight w:val="0"/>
                                  <w:marTop w:val="0"/>
                                  <w:marBottom w:val="225"/>
                                  <w:divBdr>
                                    <w:top w:val="none" w:sz="0" w:space="0" w:color="auto"/>
                                    <w:left w:val="none" w:sz="0" w:space="0" w:color="auto"/>
                                    <w:bottom w:val="none" w:sz="0" w:space="0" w:color="auto"/>
                                    <w:right w:val="none" w:sz="0" w:space="0" w:color="auto"/>
                                  </w:divBdr>
                                  <w:divsChild>
                                    <w:div w:id="1074275737">
                                      <w:marLeft w:val="0"/>
                                      <w:marRight w:val="0"/>
                                      <w:marTop w:val="0"/>
                                      <w:marBottom w:val="0"/>
                                      <w:divBdr>
                                        <w:top w:val="none" w:sz="0" w:space="0" w:color="auto"/>
                                        <w:left w:val="none" w:sz="0" w:space="0" w:color="auto"/>
                                        <w:bottom w:val="none" w:sz="0" w:space="0" w:color="auto"/>
                                        <w:right w:val="none" w:sz="0" w:space="0" w:color="auto"/>
                                      </w:divBdr>
                                      <w:divsChild>
                                        <w:div w:id="643582726">
                                          <w:marLeft w:val="0"/>
                                          <w:marRight w:val="0"/>
                                          <w:marTop w:val="0"/>
                                          <w:marBottom w:val="0"/>
                                          <w:divBdr>
                                            <w:top w:val="none" w:sz="0" w:space="0" w:color="auto"/>
                                            <w:left w:val="none" w:sz="0" w:space="0" w:color="auto"/>
                                            <w:bottom w:val="none" w:sz="0" w:space="0" w:color="auto"/>
                                            <w:right w:val="none" w:sz="0" w:space="0" w:color="auto"/>
                                          </w:divBdr>
                                          <w:divsChild>
                                            <w:div w:id="913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21503">
      <w:bodyDiv w:val="1"/>
      <w:marLeft w:val="0"/>
      <w:marRight w:val="0"/>
      <w:marTop w:val="0"/>
      <w:marBottom w:val="0"/>
      <w:divBdr>
        <w:top w:val="none" w:sz="0" w:space="0" w:color="auto"/>
        <w:left w:val="none" w:sz="0" w:space="0" w:color="auto"/>
        <w:bottom w:val="none" w:sz="0" w:space="0" w:color="auto"/>
        <w:right w:val="none" w:sz="0" w:space="0" w:color="auto"/>
      </w:divBdr>
    </w:div>
    <w:div w:id="1907252853">
      <w:bodyDiv w:val="1"/>
      <w:marLeft w:val="0"/>
      <w:marRight w:val="0"/>
      <w:marTop w:val="0"/>
      <w:marBottom w:val="0"/>
      <w:divBdr>
        <w:top w:val="none" w:sz="0" w:space="0" w:color="auto"/>
        <w:left w:val="none" w:sz="0" w:space="0" w:color="auto"/>
        <w:bottom w:val="none" w:sz="0" w:space="0" w:color="auto"/>
        <w:right w:val="none" w:sz="0" w:space="0" w:color="auto"/>
      </w:divBdr>
      <w:divsChild>
        <w:div w:id="2068332278">
          <w:marLeft w:val="0"/>
          <w:marRight w:val="0"/>
          <w:marTop w:val="0"/>
          <w:marBottom w:val="0"/>
          <w:divBdr>
            <w:top w:val="none" w:sz="0" w:space="0" w:color="auto"/>
            <w:left w:val="none" w:sz="0" w:space="0" w:color="auto"/>
            <w:bottom w:val="none" w:sz="0" w:space="0" w:color="auto"/>
            <w:right w:val="none" w:sz="0" w:space="0" w:color="auto"/>
          </w:divBdr>
          <w:divsChild>
            <w:div w:id="774179747">
              <w:marLeft w:val="0"/>
              <w:marRight w:val="0"/>
              <w:marTop w:val="0"/>
              <w:marBottom w:val="0"/>
              <w:divBdr>
                <w:top w:val="none" w:sz="0" w:space="0" w:color="auto"/>
                <w:left w:val="none" w:sz="0" w:space="0" w:color="auto"/>
                <w:bottom w:val="none" w:sz="0" w:space="0" w:color="auto"/>
                <w:right w:val="none" w:sz="0" w:space="0" w:color="auto"/>
              </w:divBdr>
              <w:divsChild>
                <w:div w:id="740837055">
                  <w:marLeft w:val="-225"/>
                  <w:marRight w:val="-225"/>
                  <w:marTop w:val="0"/>
                  <w:marBottom w:val="0"/>
                  <w:divBdr>
                    <w:top w:val="none" w:sz="0" w:space="0" w:color="auto"/>
                    <w:left w:val="none" w:sz="0" w:space="0" w:color="auto"/>
                    <w:bottom w:val="none" w:sz="0" w:space="0" w:color="auto"/>
                    <w:right w:val="none" w:sz="0" w:space="0" w:color="auto"/>
                  </w:divBdr>
                  <w:divsChild>
                    <w:div w:id="776563143">
                      <w:marLeft w:val="0"/>
                      <w:marRight w:val="0"/>
                      <w:marTop w:val="0"/>
                      <w:marBottom w:val="0"/>
                      <w:divBdr>
                        <w:top w:val="none" w:sz="0" w:space="0" w:color="auto"/>
                        <w:left w:val="none" w:sz="0" w:space="0" w:color="auto"/>
                        <w:bottom w:val="none" w:sz="0" w:space="0" w:color="auto"/>
                        <w:right w:val="none" w:sz="0" w:space="0" w:color="auto"/>
                      </w:divBdr>
                      <w:divsChild>
                        <w:div w:id="1017467841">
                          <w:marLeft w:val="-225"/>
                          <w:marRight w:val="-225"/>
                          <w:marTop w:val="0"/>
                          <w:marBottom w:val="0"/>
                          <w:divBdr>
                            <w:top w:val="none" w:sz="0" w:space="0" w:color="auto"/>
                            <w:left w:val="none" w:sz="0" w:space="0" w:color="auto"/>
                            <w:bottom w:val="none" w:sz="0" w:space="0" w:color="auto"/>
                            <w:right w:val="none" w:sz="0" w:space="0" w:color="auto"/>
                          </w:divBdr>
                          <w:divsChild>
                            <w:div w:id="1223714524">
                              <w:marLeft w:val="0"/>
                              <w:marRight w:val="0"/>
                              <w:marTop w:val="225"/>
                              <w:marBottom w:val="0"/>
                              <w:divBdr>
                                <w:top w:val="none" w:sz="0" w:space="0" w:color="auto"/>
                                <w:left w:val="none" w:sz="0" w:space="0" w:color="auto"/>
                                <w:bottom w:val="none" w:sz="0" w:space="0" w:color="auto"/>
                                <w:right w:val="none" w:sz="0" w:space="0" w:color="auto"/>
                              </w:divBdr>
                              <w:divsChild>
                                <w:div w:id="1530533328">
                                  <w:marLeft w:val="0"/>
                                  <w:marRight w:val="0"/>
                                  <w:marTop w:val="0"/>
                                  <w:marBottom w:val="225"/>
                                  <w:divBdr>
                                    <w:top w:val="none" w:sz="0" w:space="0" w:color="auto"/>
                                    <w:left w:val="none" w:sz="0" w:space="0" w:color="auto"/>
                                    <w:bottom w:val="none" w:sz="0" w:space="0" w:color="auto"/>
                                    <w:right w:val="none" w:sz="0" w:space="0" w:color="auto"/>
                                  </w:divBdr>
                                  <w:divsChild>
                                    <w:div w:id="1048265905">
                                      <w:marLeft w:val="0"/>
                                      <w:marRight w:val="0"/>
                                      <w:marTop w:val="0"/>
                                      <w:marBottom w:val="0"/>
                                      <w:divBdr>
                                        <w:top w:val="none" w:sz="0" w:space="0" w:color="auto"/>
                                        <w:left w:val="none" w:sz="0" w:space="0" w:color="auto"/>
                                        <w:bottom w:val="none" w:sz="0" w:space="0" w:color="auto"/>
                                        <w:right w:val="none" w:sz="0" w:space="0" w:color="auto"/>
                                      </w:divBdr>
                                      <w:divsChild>
                                        <w:div w:id="757290098">
                                          <w:marLeft w:val="0"/>
                                          <w:marRight w:val="0"/>
                                          <w:marTop w:val="0"/>
                                          <w:marBottom w:val="0"/>
                                          <w:divBdr>
                                            <w:top w:val="none" w:sz="0" w:space="0" w:color="auto"/>
                                            <w:left w:val="none" w:sz="0" w:space="0" w:color="auto"/>
                                            <w:bottom w:val="none" w:sz="0" w:space="0" w:color="auto"/>
                                            <w:right w:val="none" w:sz="0" w:space="0" w:color="auto"/>
                                          </w:divBdr>
                                          <w:divsChild>
                                            <w:div w:id="11351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525432">
      <w:bodyDiv w:val="1"/>
      <w:marLeft w:val="0"/>
      <w:marRight w:val="0"/>
      <w:marTop w:val="0"/>
      <w:marBottom w:val="0"/>
      <w:divBdr>
        <w:top w:val="none" w:sz="0" w:space="0" w:color="auto"/>
        <w:left w:val="none" w:sz="0" w:space="0" w:color="auto"/>
        <w:bottom w:val="none" w:sz="0" w:space="0" w:color="auto"/>
        <w:right w:val="none" w:sz="0" w:space="0" w:color="auto"/>
      </w:divBdr>
      <w:divsChild>
        <w:div w:id="7492026">
          <w:marLeft w:val="0"/>
          <w:marRight w:val="0"/>
          <w:marTop w:val="0"/>
          <w:marBottom w:val="0"/>
          <w:divBdr>
            <w:top w:val="none" w:sz="0" w:space="0" w:color="auto"/>
            <w:left w:val="none" w:sz="0" w:space="0" w:color="auto"/>
            <w:bottom w:val="none" w:sz="0" w:space="0" w:color="auto"/>
            <w:right w:val="none" w:sz="0" w:space="0" w:color="auto"/>
          </w:divBdr>
          <w:divsChild>
            <w:div w:id="319043067">
              <w:marLeft w:val="0"/>
              <w:marRight w:val="0"/>
              <w:marTop w:val="0"/>
              <w:marBottom w:val="0"/>
              <w:divBdr>
                <w:top w:val="none" w:sz="0" w:space="0" w:color="auto"/>
                <w:left w:val="none" w:sz="0" w:space="0" w:color="auto"/>
                <w:bottom w:val="none" w:sz="0" w:space="0" w:color="auto"/>
                <w:right w:val="none" w:sz="0" w:space="0" w:color="auto"/>
              </w:divBdr>
              <w:divsChild>
                <w:div w:id="2100828716">
                  <w:marLeft w:val="-225"/>
                  <w:marRight w:val="-225"/>
                  <w:marTop w:val="0"/>
                  <w:marBottom w:val="0"/>
                  <w:divBdr>
                    <w:top w:val="none" w:sz="0" w:space="0" w:color="auto"/>
                    <w:left w:val="none" w:sz="0" w:space="0" w:color="auto"/>
                    <w:bottom w:val="none" w:sz="0" w:space="0" w:color="auto"/>
                    <w:right w:val="none" w:sz="0" w:space="0" w:color="auto"/>
                  </w:divBdr>
                  <w:divsChild>
                    <w:div w:id="1430395829">
                      <w:marLeft w:val="0"/>
                      <w:marRight w:val="0"/>
                      <w:marTop w:val="0"/>
                      <w:marBottom w:val="0"/>
                      <w:divBdr>
                        <w:top w:val="none" w:sz="0" w:space="0" w:color="auto"/>
                        <w:left w:val="none" w:sz="0" w:space="0" w:color="auto"/>
                        <w:bottom w:val="none" w:sz="0" w:space="0" w:color="auto"/>
                        <w:right w:val="none" w:sz="0" w:space="0" w:color="auto"/>
                      </w:divBdr>
                      <w:divsChild>
                        <w:div w:id="1480925232">
                          <w:marLeft w:val="-225"/>
                          <w:marRight w:val="-225"/>
                          <w:marTop w:val="0"/>
                          <w:marBottom w:val="0"/>
                          <w:divBdr>
                            <w:top w:val="none" w:sz="0" w:space="0" w:color="auto"/>
                            <w:left w:val="none" w:sz="0" w:space="0" w:color="auto"/>
                            <w:bottom w:val="none" w:sz="0" w:space="0" w:color="auto"/>
                            <w:right w:val="none" w:sz="0" w:space="0" w:color="auto"/>
                          </w:divBdr>
                          <w:divsChild>
                            <w:div w:id="1884900863">
                              <w:marLeft w:val="-225"/>
                              <w:marRight w:val="-225"/>
                              <w:marTop w:val="0"/>
                              <w:marBottom w:val="0"/>
                              <w:divBdr>
                                <w:top w:val="none" w:sz="0" w:space="0" w:color="auto"/>
                                <w:left w:val="none" w:sz="0" w:space="0" w:color="auto"/>
                                <w:bottom w:val="none" w:sz="0" w:space="0" w:color="auto"/>
                                <w:right w:val="none" w:sz="0" w:space="0" w:color="auto"/>
                              </w:divBdr>
                              <w:divsChild>
                                <w:div w:id="1050574136">
                                  <w:marLeft w:val="0"/>
                                  <w:marRight w:val="0"/>
                                  <w:marTop w:val="0"/>
                                  <w:marBottom w:val="255"/>
                                  <w:divBdr>
                                    <w:top w:val="none" w:sz="0" w:space="0" w:color="auto"/>
                                    <w:left w:val="none" w:sz="0" w:space="0" w:color="auto"/>
                                    <w:bottom w:val="none" w:sz="0" w:space="0" w:color="auto"/>
                                    <w:right w:val="none" w:sz="0" w:space="0" w:color="auto"/>
                                  </w:divBdr>
                                  <w:divsChild>
                                    <w:div w:id="1848670525">
                                      <w:marLeft w:val="0"/>
                                      <w:marRight w:val="0"/>
                                      <w:marTop w:val="0"/>
                                      <w:marBottom w:val="0"/>
                                      <w:divBdr>
                                        <w:top w:val="none" w:sz="0" w:space="0" w:color="auto"/>
                                        <w:left w:val="none" w:sz="0" w:space="0" w:color="auto"/>
                                        <w:bottom w:val="none" w:sz="0" w:space="0" w:color="auto"/>
                                        <w:right w:val="none" w:sz="0" w:space="0" w:color="auto"/>
                                      </w:divBdr>
                                      <w:divsChild>
                                        <w:div w:id="1334528578">
                                          <w:marLeft w:val="0"/>
                                          <w:marRight w:val="0"/>
                                          <w:marTop w:val="0"/>
                                          <w:marBottom w:val="225"/>
                                          <w:divBdr>
                                            <w:top w:val="none" w:sz="0" w:space="0" w:color="auto"/>
                                            <w:left w:val="none" w:sz="0" w:space="0" w:color="auto"/>
                                            <w:bottom w:val="none" w:sz="0" w:space="0" w:color="auto"/>
                                            <w:right w:val="none" w:sz="0" w:space="0" w:color="auto"/>
                                          </w:divBdr>
                                          <w:divsChild>
                                            <w:div w:id="1838958592">
                                              <w:marLeft w:val="0"/>
                                              <w:marRight w:val="0"/>
                                              <w:marTop w:val="0"/>
                                              <w:marBottom w:val="0"/>
                                              <w:divBdr>
                                                <w:top w:val="none" w:sz="0" w:space="0" w:color="auto"/>
                                                <w:left w:val="none" w:sz="0" w:space="0" w:color="auto"/>
                                                <w:bottom w:val="none" w:sz="0" w:space="0" w:color="auto"/>
                                                <w:right w:val="none" w:sz="0" w:space="0" w:color="auto"/>
                                              </w:divBdr>
                                              <w:divsChild>
                                                <w:div w:id="2000185554">
                                                  <w:marLeft w:val="0"/>
                                                  <w:marRight w:val="0"/>
                                                  <w:marTop w:val="0"/>
                                                  <w:marBottom w:val="0"/>
                                                  <w:divBdr>
                                                    <w:top w:val="none" w:sz="0" w:space="0" w:color="auto"/>
                                                    <w:left w:val="none" w:sz="0" w:space="0" w:color="auto"/>
                                                    <w:bottom w:val="none" w:sz="0" w:space="0" w:color="auto"/>
                                                    <w:right w:val="none" w:sz="0" w:space="0" w:color="auto"/>
                                                  </w:divBdr>
                                                  <w:divsChild>
                                                    <w:div w:id="4783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www.rrac.info/release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2.bin"/><Relationship Id="rId30" Type="http://schemas.openxmlformats.org/officeDocument/2006/relationships/footer" Target="foot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A688-40FA-40F4-8708-FF928CF2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147</Pages>
  <Words>42126</Words>
  <Characters>231695</Characters>
  <Application>Microsoft Office Word</Application>
  <DocSecurity>0</DocSecurity>
  <Lines>1930</Lines>
  <Paragraphs>546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BAuA</Company>
  <LinksUpToDate>false</LinksUpToDate>
  <CharactersWithSpaces>273275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Jong, ir. A. de (Arie)</cp:lastModifiedBy>
  <cp:revision>51</cp:revision>
  <cp:lastPrinted>2017-04-03T05:45:00Z</cp:lastPrinted>
  <dcterms:created xsi:type="dcterms:W3CDTF">2017-11-28T13:16:00Z</dcterms:created>
  <dcterms:modified xsi:type="dcterms:W3CDTF">2018-03-09T09:40:00Z</dcterms:modified>
</cp:coreProperties>
</file>