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68443" w14:textId="77777777" w:rsidR="00513343" w:rsidRPr="00B06767" w:rsidRDefault="00513343" w:rsidP="00C537B6">
      <w:pPr>
        <w:tabs>
          <w:tab w:val="left" w:pos="8505"/>
        </w:tabs>
        <w:spacing w:before="480"/>
        <w:ind w:left="-142" w:right="-45"/>
        <w:jc w:val="center"/>
        <w:rPr>
          <w:sz w:val="36"/>
          <w:szCs w:val="36"/>
        </w:rPr>
      </w:pPr>
      <w:r w:rsidRPr="00B06767">
        <w:rPr>
          <w:noProof/>
          <w:sz w:val="34"/>
          <w:szCs w:val="34"/>
          <w:lang w:eastAsia="en-GB"/>
        </w:rPr>
        <mc:AlternateContent>
          <mc:Choice Requires="wps">
            <w:drawing>
              <wp:anchor distT="0" distB="0" distL="114300" distR="114300" simplePos="0" relativeHeight="251658240" behindDoc="0" locked="0" layoutInCell="1" allowOverlap="1" wp14:anchorId="4755824A" wp14:editId="367432D1">
                <wp:simplePos x="0" y="0"/>
                <wp:positionH relativeFrom="column">
                  <wp:posOffset>-394335</wp:posOffset>
                </wp:positionH>
                <wp:positionV relativeFrom="paragraph">
                  <wp:posOffset>6985</wp:posOffset>
                </wp:positionV>
                <wp:extent cx="6528435" cy="8867775"/>
                <wp:effectExtent l="0" t="0" r="5715" b="952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2E3C1" id="Rectangle 4" o:spid="_x0000_s1026" style="position:absolute;margin-left:-31.05pt;margin-top:.55pt;width:514.05pt;height:6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" filled="f"/>
            </w:pict>
          </mc:Fallback>
        </mc:AlternateContent>
      </w:r>
      <w:r w:rsidRPr="00B06767">
        <w:rPr>
          <w:sz w:val="34"/>
          <w:szCs w:val="34"/>
        </w:rPr>
        <w:t>Regulation (EU) No 528/2012 concerning the making available on the market and use of biocidal products</w:t>
      </w:r>
    </w:p>
    <w:p w14:paraId="409CA753" w14:textId="77777777" w:rsidR="00513343" w:rsidRPr="00B06767" w:rsidRDefault="00513343" w:rsidP="00C537B6">
      <w:pPr>
        <w:tabs>
          <w:tab w:val="left" w:pos="8505"/>
        </w:tabs>
        <w:ind w:left="-142" w:right="-45"/>
      </w:pPr>
    </w:p>
    <w:p w14:paraId="0EBF679E" w14:textId="77777777" w:rsidR="00513343" w:rsidRPr="00B06767" w:rsidRDefault="00513343" w:rsidP="00C537B6">
      <w:pPr>
        <w:tabs>
          <w:tab w:val="left" w:pos="8505"/>
        </w:tabs>
        <w:ind w:left="-142" w:right="-45"/>
        <w:jc w:val="center"/>
        <w:rPr>
          <w:b/>
          <w:bCs/>
          <w:sz w:val="22"/>
          <w:szCs w:val="36"/>
        </w:rPr>
      </w:pPr>
    </w:p>
    <w:p w14:paraId="5FF6D790" w14:textId="7DAC8DB4" w:rsidR="00513343" w:rsidRPr="00B06767" w:rsidRDefault="00513343" w:rsidP="00C537B6">
      <w:pPr>
        <w:jc w:val="center"/>
        <w:rPr>
          <w:b/>
          <w:bCs/>
          <w:sz w:val="36"/>
          <w:szCs w:val="36"/>
        </w:rPr>
      </w:pPr>
      <w:r w:rsidRPr="00B06767">
        <w:rPr>
          <w:b/>
          <w:bCs/>
          <w:sz w:val="36"/>
          <w:szCs w:val="36"/>
        </w:rPr>
        <w:t xml:space="preserve">PRODUCT ASSESSMENT REPORT OF A BIOCIDAL PRODUCT FOR </w:t>
      </w:r>
      <w:r w:rsidRPr="00B06767">
        <w:rPr>
          <w:b/>
          <w:sz w:val="36"/>
          <w:szCs w:val="36"/>
        </w:rPr>
        <w:t>NATIONAL</w:t>
      </w:r>
      <w:r w:rsidRPr="00B06767">
        <w:rPr>
          <w:b/>
          <w:bCs/>
          <w:sz w:val="36"/>
          <w:szCs w:val="36"/>
        </w:rPr>
        <w:t xml:space="preserve"> AUTHORISATION APPLICATION</w:t>
      </w:r>
    </w:p>
    <w:p w14:paraId="122786B2" w14:textId="5F996C75" w:rsidR="00513343" w:rsidRDefault="00996D08" w:rsidP="00C537B6">
      <w:pPr>
        <w:tabs>
          <w:tab w:val="left" w:pos="8505"/>
        </w:tabs>
        <w:ind w:left="-142" w:right="-45"/>
        <w:jc w:val="center"/>
        <w:rPr>
          <w:sz w:val="28"/>
          <w:szCs w:val="28"/>
        </w:rPr>
      </w:pPr>
      <w:r w:rsidRPr="00B06767">
        <w:rPr>
          <w:sz w:val="28"/>
          <w:szCs w:val="28"/>
        </w:rPr>
        <w:t>(submitted by the competent authority</w:t>
      </w:r>
      <w:r w:rsidR="00903530">
        <w:rPr>
          <w:sz w:val="28"/>
          <w:szCs w:val="28"/>
        </w:rPr>
        <w:t>)</w:t>
      </w:r>
    </w:p>
    <w:p w14:paraId="24B3B4E3" w14:textId="77777777" w:rsidR="00903530" w:rsidRDefault="00903530" w:rsidP="00C537B6">
      <w:pPr>
        <w:tabs>
          <w:tab w:val="left" w:pos="8505"/>
        </w:tabs>
        <w:ind w:left="-142" w:right="-45"/>
        <w:jc w:val="center"/>
        <w:rPr>
          <w:sz w:val="28"/>
          <w:szCs w:val="28"/>
        </w:rPr>
      </w:pPr>
    </w:p>
    <w:p w14:paraId="36497BF4" w14:textId="77777777" w:rsidR="00903530" w:rsidRPr="00B06767" w:rsidRDefault="00903530" w:rsidP="00C537B6">
      <w:pPr>
        <w:tabs>
          <w:tab w:val="left" w:pos="8505"/>
        </w:tabs>
        <w:ind w:left="-142" w:right="-45"/>
        <w:jc w:val="center"/>
        <w:rPr>
          <w:sz w:val="28"/>
          <w:szCs w:val="28"/>
        </w:rPr>
      </w:pPr>
    </w:p>
    <w:p w14:paraId="731DBA0E" w14:textId="77777777" w:rsidR="00996D08" w:rsidRPr="00B06767" w:rsidRDefault="00996D08" w:rsidP="00C537B6">
      <w:pPr>
        <w:tabs>
          <w:tab w:val="left" w:pos="8505"/>
        </w:tabs>
        <w:ind w:left="-142" w:right="-45"/>
        <w:jc w:val="center"/>
        <w:rPr>
          <w:b/>
          <w:sz w:val="28"/>
          <w:szCs w:val="28"/>
        </w:rPr>
      </w:pPr>
    </w:p>
    <w:p w14:paraId="6BAFB3E0" w14:textId="0A0677EE" w:rsidR="000932F1" w:rsidRPr="00B06767" w:rsidRDefault="00513343" w:rsidP="00C537B6">
      <w:pPr>
        <w:tabs>
          <w:tab w:val="left" w:pos="8505"/>
        </w:tabs>
        <w:ind w:left="-142" w:right="-45"/>
        <w:jc w:val="center"/>
        <w:rPr>
          <w:sz w:val="30"/>
          <w:szCs w:val="30"/>
        </w:rPr>
      </w:pPr>
      <w:r w:rsidRPr="00B06767">
        <w:rPr>
          <w:noProof/>
          <w:lang w:eastAsia="en-GB"/>
        </w:rPr>
        <w:drawing>
          <wp:inline distT="0" distB="0" distL="0" distR="0" wp14:anchorId="22CE3EEA" wp14:editId="5D505951">
            <wp:extent cx="1199515" cy="125095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9515" cy="1250950"/>
                    </a:xfrm>
                    <a:prstGeom prst="rect">
                      <a:avLst/>
                    </a:prstGeom>
                    <a:noFill/>
                    <a:ln>
                      <a:noFill/>
                    </a:ln>
                  </pic:spPr>
                </pic:pic>
              </a:graphicData>
            </a:graphic>
          </wp:inline>
        </w:drawing>
      </w:r>
    </w:p>
    <w:p w14:paraId="2F704938" w14:textId="66A7F3A0" w:rsidR="00F31CA4" w:rsidRPr="00B06767" w:rsidRDefault="00F31CA4" w:rsidP="00C537B6">
      <w:pPr>
        <w:tabs>
          <w:tab w:val="left" w:pos="8505"/>
        </w:tabs>
        <w:ind w:left="-142" w:right="-45"/>
        <w:jc w:val="center"/>
        <w:rPr>
          <w:sz w:val="30"/>
          <w:szCs w:val="30"/>
        </w:rPr>
      </w:pPr>
    </w:p>
    <w:p w14:paraId="0DC200DE" w14:textId="77777777" w:rsidR="00F31CA4" w:rsidRDefault="00F31CA4" w:rsidP="00C537B6">
      <w:pPr>
        <w:tabs>
          <w:tab w:val="left" w:pos="8505"/>
        </w:tabs>
        <w:ind w:left="-142" w:right="-45"/>
        <w:jc w:val="center"/>
        <w:rPr>
          <w:sz w:val="30"/>
          <w:szCs w:val="30"/>
        </w:rPr>
      </w:pPr>
    </w:p>
    <w:p w14:paraId="738F150A" w14:textId="77777777" w:rsidR="00903530" w:rsidRPr="00B06767" w:rsidRDefault="00903530" w:rsidP="00C537B6">
      <w:pPr>
        <w:tabs>
          <w:tab w:val="left" w:pos="8505"/>
        </w:tabs>
        <w:ind w:left="-142" w:right="-45"/>
        <w:jc w:val="center"/>
        <w:rPr>
          <w:sz w:val="30"/>
          <w:szCs w:val="30"/>
        </w:rPr>
      </w:pPr>
    </w:p>
    <w:p w14:paraId="1827BEF5" w14:textId="03D6D543" w:rsidR="00F31CA4" w:rsidRPr="00903530" w:rsidRDefault="00903530" w:rsidP="00C537B6">
      <w:pPr>
        <w:tabs>
          <w:tab w:val="left" w:pos="8505"/>
        </w:tabs>
        <w:ind w:left="-142" w:right="-45"/>
        <w:jc w:val="center"/>
        <w:rPr>
          <w:b/>
          <w:bCs/>
          <w:color w:val="FF0000"/>
          <w:sz w:val="48"/>
          <w:szCs w:val="48"/>
        </w:rPr>
      </w:pPr>
      <w:r w:rsidRPr="00903530">
        <w:rPr>
          <w:b/>
          <w:bCs/>
          <w:color w:val="FF0000"/>
          <w:sz w:val="48"/>
          <w:szCs w:val="48"/>
          <w:highlight w:val="yellow"/>
        </w:rPr>
        <w:t>ADDENDUM</w:t>
      </w:r>
    </w:p>
    <w:p w14:paraId="1B271154" w14:textId="77777777" w:rsidR="00903530" w:rsidRDefault="00903530" w:rsidP="00C537B6">
      <w:pPr>
        <w:keepNext/>
        <w:tabs>
          <w:tab w:val="left" w:pos="1304"/>
        </w:tabs>
        <w:suppressAutoHyphens/>
        <w:autoSpaceDE w:val="0"/>
        <w:autoSpaceDN w:val="0"/>
        <w:adjustRightInd w:val="0"/>
        <w:spacing w:before="240" w:after="240"/>
        <w:jc w:val="center"/>
        <w:rPr>
          <w:sz w:val="30"/>
          <w:szCs w:val="30"/>
        </w:rPr>
      </w:pPr>
    </w:p>
    <w:p w14:paraId="13057E57" w14:textId="5327063C" w:rsidR="000932F1" w:rsidRPr="00B06767" w:rsidRDefault="00903530" w:rsidP="00C537B6">
      <w:pPr>
        <w:keepNext/>
        <w:tabs>
          <w:tab w:val="left" w:pos="1304"/>
        </w:tabs>
        <w:suppressAutoHyphens/>
        <w:autoSpaceDE w:val="0"/>
        <w:autoSpaceDN w:val="0"/>
        <w:adjustRightInd w:val="0"/>
        <w:spacing w:before="240" w:after="240"/>
        <w:jc w:val="center"/>
        <w:rPr>
          <w:sz w:val="30"/>
          <w:szCs w:val="30"/>
        </w:rPr>
      </w:pPr>
      <w:r w:rsidRPr="00903530">
        <w:rPr>
          <w:sz w:val="30"/>
          <w:szCs w:val="30"/>
        </w:rPr>
        <w:t>SAFWS002</w:t>
      </w:r>
      <w:r w:rsidR="00513343" w:rsidRPr="00B06767" w:rsidDel="00A023C0">
        <w:rPr>
          <w:sz w:val="30"/>
          <w:szCs w:val="30"/>
        </w:rPr>
        <w:t xml:space="preserve"> </w:t>
      </w:r>
    </w:p>
    <w:p w14:paraId="6FA666C9" w14:textId="5EBB2113" w:rsidR="00513343" w:rsidRPr="00B06767" w:rsidRDefault="00513343" w:rsidP="00C537B6">
      <w:pPr>
        <w:tabs>
          <w:tab w:val="left" w:pos="8505"/>
        </w:tabs>
        <w:spacing w:before="240" w:after="240"/>
        <w:ind w:left="-142" w:right="-45"/>
        <w:jc w:val="center"/>
        <w:rPr>
          <w:sz w:val="30"/>
          <w:szCs w:val="30"/>
        </w:rPr>
      </w:pPr>
      <w:r w:rsidRPr="00B06767">
        <w:rPr>
          <w:sz w:val="30"/>
          <w:szCs w:val="30"/>
        </w:rPr>
        <w:t>Product type</w:t>
      </w:r>
      <w:r w:rsidR="00903530">
        <w:rPr>
          <w:sz w:val="30"/>
          <w:szCs w:val="30"/>
        </w:rPr>
        <w:t xml:space="preserve"> 18</w:t>
      </w:r>
    </w:p>
    <w:p w14:paraId="7AB2D374" w14:textId="34C4C847" w:rsidR="00513343" w:rsidRPr="00B06767" w:rsidRDefault="00903530" w:rsidP="00C537B6">
      <w:pPr>
        <w:tabs>
          <w:tab w:val="left" w:pos="8505"/>
        </w:tabs>
        <w:spacing w:before="240" w:after="240"/>
        <w:ind w:left="-142" w:right="-45"/>
        <w:jc w:val="center"/>
        <w:rPr>
          <w:sz w:val="30"/>
          <w:szCs w:val="30"/>
        </w:rPr>
      </w:pPr>
      <w:r>
        <w:rPr>
          <w:sz w:val="30"/>
          <w:szCs w:val="30"/>
        </w:rPr>
        <w:t>Dinotefuran</w:t>
      </w:r>
    </w:p>
    <w:p w14:paraId="416560B6" w14:textId="7EB9E5FD" w:rsidR="00513343" w:rsidRPr="00B06767" w:rsidRDefault="00513343" w:rsidP="00C537B6">
      <w:pPr>
        <w:tabs>
          <w:tab w:val="left" w:pos="8505"/>
        </w:tabs>
        <w:spacing w:before="240" w:after="240"/>
        <w:ind w:right="-45"/>
        <w:jc w:val="center"/>
        <w:rPr>
          <w:sz w:val="30"/>
          <w:szCs w:val="30"/>
        </w:rPr>
      </w:pPr>
      <w:r w:rsidRPr="00B06767">
        <w:rPr>
          <w:sz w:val="30"/>
          <w:szCs w:val="30"/>
        </w:rPr>
        <w:t xml:space="preserve">Case Number in R4BP: </w:t>
      </w:r>
      <w:r w:rsidR="00903530" w:rsidRPr="00903530">
        <w:rPr>
          <w:sz w:val="30"/>
          <w:szCs w:val="30"/>
        </w:rPr>
        <w:t>BC-ED091103-63</w:t>
      </w:r>
      <w:r w:rsidR="00903530">
        <w:rPr>
          <w:sz w:val="30"/>
          <w:szCs w:val="30"/>
        </w:rPr>
        <w:t xml:space="preserve"> </w:t>
      </w:r>
      <w:r w:rsidR="00903530" w:rsidRPr="00903530">
        <w:rPr>
          <w:color w:val="FF0000"/>
          <w:sz w:val="30"/>
          <w:szCs w:val="30"/>
          <w:highlight w:val="yellow"/>
        </w:rPr>
        <w:t>(NA-MIC)</w:t>
      </w:r>
    </w:p>
    <w:p w14:paraId="693C0B91" w14:textId="10067316" w:rsidR="00513343" w:rsidRPr="00B06767" w:rsidRDefault="00513343" w:rsidP="00C537B6">
      <w:pPr>
        <w:tabs>
          <w:tab w:val="left" w:pos="8505"/>
        </w:tabs>
        <w:spacing w:before="240" w:after="240"/>
        <w:ind w:left="-142" w:right="-45"/>
        <w:jc w:val="center"/>
        <w:rPr>
          <w:sz w:val="30"/>
          <w:szCs w:val="30"/>
        </w:rPr>
      </w:pPr>
      <w:r w:rsidRPr="00B06767">
        <w:rPr>
          <w:sz w:val="30"/>
          <w:szCs w:val="30"/>
        </w:rPr>
        <w:t xml:space="preserve">Competent Authority: </w:t>
      </w:r>
      <w:r w:rsidR="00903530">
        <w:rPr>
          <w:sz w:val="30"/>
          <w:szCs w:val="30"/>
        </w:rPr>
        <w:t>BE</w:t>
      </w:r>
    </w:p>
    <w:p w14:paraId="4582536E" w14:textId="447D0F84" w:rsidR="0083740F" w:rsidRPr="00B06767" w:rsidRDefault="00513343" w:rsidP="00C537B6">
      <w:pPr>
        <w:tabs>
          <w:tab w:val="left" w:pos="8505"/>
        </w:tabs>
        <w:spacing w:before="240" w:after="240"/>
        <w:ind w:left="-142" w:right="-45"/>
        <w:jc w:val="center"/>
        <w:rPr>
          <w:sz w:val="30"/>
          <w:szCs w:val="30"/>
        </w:rPr>
        <w:sectPr w:rsidR="0083740F" w:rsidRPr="00B06767" w:rsidSect="00674CD5">
          <w:headerReference w:type="default" r:id="rId14"/>
          <w:pgSz w:w="11907" w:h="16840" w:code="9"/>
          <w:pgMar w:top="1474" w:right="1247" w:bottom="2013" w:left="1446" w:header="850" w:footer="850" w:gutter="0"/>
          <w:cols w:space="720"/>
          <w:docGrid w:linePitch="272"/>
        </w:sectPr>
      </w:pPr>
      <w:r w:rsidRPr="00B06767">
        <w:rPr>
          <w:sz w:val="30"/>
          <w:szCs w:val="30"/>
        </w:rPr>
        <w:t xml:space="preserve">Date: </w:t>
      </w:r>
      <w:r w:rsidR="00903530">
        <w:rPr>
          <w:sz w:val="30"/>
          <w:szCs w:val="30"/>
        </w:rPr>
        <w:t>23 April 2024</w:t>
      </w:r>
    </w:p>
    <w:bookmarkStart w:id="0" w:name="_Toc389728849" w:displacedByCustomXml="next"/>
    <w:bookmarkStart w:id="1" w:name="_Toc25922534" w:displacedByCustomXml="next"/>
    <w:sdt>
      <w:sdtPr>
        <w:rPr>
          <w:rFonts w:eastAsia="Times New Roman" w:cs="Times New Roman"/>
          <w:b w:val="0"/>
          <w:bCs w:val="0"/>
          <w:snapToGrid w:val="0"/>
          <w:sz w:val="20"/>
          <w:szCs w:val="20"/>
          <w:lang w:eastAsia="fi-FI"/>
        </w:rPr>
        <w:id w:val="-1745179336"/>
        <w:docPartObj>
          <w:docPartGallery w:val="Table of Contents"/>
          <w:docPartUnique/>
        </w:docPartObj>
      </w:sdtPr>
      <w:sdtEndPr>
        <w:rPr>
          <w:noProof/>
        </w:rPr>
      </w:sdtEndPr>
      <w:sdtContent>
        <w:p w14:paraId="6CDD4049" w14:textId="77777777" w:rsidR="00024C1F" w:rsidRPr="004A50A8" w:rsidRDefault="00024C1F" w:rsidP="00C13C8F">
          <w:pPr>
            <w:pStyle w:val="TOCHeading"/>
          </w:pPr>
          <w:r w:rsidRPr="004A50A8">
            <w:t>Table of Contents</w:t>
          </w:r>
        </w:p>
        <w:p w14:paraId="5435597E" w14:textId="138052E0" w:rsidR="0084770A" w:rsidRDefault="00024C1F">
          <w:pPr>
            <w:pStyle w:val="TOC1"/>
            <w:tabs>
              <w:tab w:val="right" w:leader="dot" w:pos="9204"/>
            </w:tabs>
            <w:rPr>
              <w:rFonts w:asciiTheme="minorHAnsi" w:eastAsiaTheme="minorEastAsia" w:hAnsiTheme="minorHAnsi" w:cstheme="minorBidi"/>
              <w:noProof/>
              <w:snapToGrid/>
              <w:kern w:val="2"/>
              <w:sz w:val="22"/>
              <w:szCs w:val="22"/>
              <w:lang w:val="nl-BE" w:eastAsia="nl-BE"/>
              <w14:ligatures w14:val="standardContextual"/>
            </w:rPr>
          </w:pPr>
          <w:r>
            <w:rPr>
              <w:bCs/>
            </w:rPr>
            <w:fldChar w:fldCharType="begin"/>
          </w:r>
          <w:r>
            <w:rPr>
              <w:bCs/>
            </w:rPr>
            <w:instrText xml:space="preserve"> TOC \o "1-4" \h \z \u </w:instrText>
          </w:r>
          <w:r>
            <w:rPr>
              <w:bCs/>
            </w:rPr>
            <w:fldChar w:fldCharType="separate"/>
          </w:r>
          <w:hyperlink w:anchor="_Toc164777673" w:history="1">
            <w:r w:rsidR="0084770A" w:rsidRPr="0018232E">
              <w:rPr>
                <w:rStyle w:val="Hyperlink"/>
                <w:noProof/>
              </w:rPr>
              <w:t>1 Conclusion</w:t>
            </w:r>
            <w:r w:rsidR="0084770A">
              <w:rPr>
                <w:noProof/>
                <w:webHidden/>
              </w:rPr>
              <w:tab/>
            </w:r>
            <w:r w:rsidR="0084770A">
              <w:rPr>
                <w:noProof/>
                <w:webHidden/>
              </w:rPr>
              <w:fldChar w:fldCharType="begin"/>
            </w:r>
            <w:r w:rsidR="0084770A">
              <w:rPr>
                <w:noProof/>
                <w:webHidden/>
              </w:rPr>
              <w:instrText xml:space="preserve"> PAGEREF _Toc164777673 \h </w:instrText>
            </w:r>
            <w:r w:rsidR="0084770A">
              <w:rPr>
                <w:noProof/>
                <w:webHidden/>
              </w:rPr>
            </w:r>
            <w:r w:rsidR="0084770A">
              <w:rPr>
                <w:noProof/>
                <w:webHidden/>
              </w:rPr>
              <w:fldChar w:fldCharType="separate"/>
            </w:r>
            <w:r w:rsidR="0084770A">
              <w:rPr>
                <w:noProof/>
                <w:webHidden/>
              </w:rPr>
              <w:t>4</w:t>
            </w:r>
            <w:r w:rsidR="0084770A">
              <w:rPr>
                <w:noProof/>
                <w:webHidden/>
              </w:rPr>
              <w:fldChar w:fldCharType="end"/>
            </w:r>
          </w:hyperlink>
        </w:p>
        <w:p w14:paraId="1DB7108A" w14:textId="5943E483" w:rsidR="0084770A" w:rsidRDefault="007A0CDF">
          <w:pPr>
            <w:pStyle w:val="TOC1"/>
            <w:tabs>
              <w:tab w:val="right" w:leader="dot" w:pos="9204"/>
            </w:tabs>
            <w:rPr>
              <w:rFonts w:asciiTheme="minorHAnsi" w:eastAsiaTheme="minorEastAsia" w:hAnsiTheme="minorHAnsi" w:cstheme="minorBidi"/>
              <w:noProof/>
              <w:snapToGrid/>
              <w:kern w:val="2"/>
              <w:sz w:val="22"/>
              <w:szCs w:val="22"/>
              <w:lang w:val="nl-BE" w:eastAsia="nl-BE"/>
              <w14:ligatures w14:val="standardContextual"/>
            </w:rPr>
          </w:pPr>
          <w:hyperlink w:anchor="_Toc164777674" w:history="1">
            <w:r w:rsidR="0084770A" w:rsidRPr="0018232E">
              <w:rPr>
                <w:rStyle w:val="Hyperlink"/>
                <w:noProof/>
              </w:rPr>
              <w:t>3 Assessment of the biocidal product</w:t>
            </w:r>
            <w:r w:rsidR="0084770A">
              <w:rPr>
                <w:noProof/>
                <w:webHidden/>
              </w:rPr>
              <w:tab/>
            </w:r>
            <w:r w:rsidR="0084770A">
              <w:rPr>
                <w:noProof/>
                <w:webHidden/>
              </w:rPr>
              <w:fldChar w:fldCharType="begin"/>
            </w:r>
            <w:r w:rsidR="0084770A">
              <w:rPr>
                <w:noProof/>
                <w:webHidden/>
              </w:rPr>
              <w:instrText xml:space="preserve"> PAGEREF _Toc164777674 \h </w:instrText>
            </w:r>
            <w:r w:rsidR="0084770A">
              <w:rPr>
                <w:noProof/>
                <w:webHidden/>
              </w:rPr>
            </w:r>
            <w:r w:rsidR="0084770A">
              <w:rPr>
                <w:noProof/>
                <w:webHidden/>
              </w:rPr>
              <w:fldChar w:fldCharType="separate"/>
            </w:r>
            <w:r w:rsidR="0084770A">
              <w:rPr>
                <w:noProof/>
                <w:webHidden/>
              </w:rPr>
              <w:t>5</w:t>
            </w:r>
            <w:r w:rsidR="0084770A">
              <w:rPr>
                <w:noProof/>
                <w:webHidden/>
              </w:rPr>
              <w:fldChar w:fldCharType="end"/>
            </w:r>
          </w:hyperlink>
        </w:p>
        <w:p w14:paraId="130248D7" w14:textId="14CEE98B" w:rsidR="0084770A" w:rsidRDefault="007A0CDF">
          <w:pPr>
            <w:pStyle w:val="TOC2"/>
            <w:tabs>
              <w:tab w:val="right" w:leader="dot" w:pos="9204"/>
            </w:tabs>
            <w:rPr>
              <w:rFonts w:asciiTheme="minorHAnsi" w:eastAsiaTheme="minorEastAsia" w:hAnsiTheme="minorHAnsi" w:cstheme="minorBidi"/>
              <w:noProof/>
              <w:snapToGrid/>
              <w:kern w:val="2"/>
              <w:sz w:val="22"/>
              <w:szCs w:val="22"/>
              <w:lang w:val="nl-BE" w:eastAsia="nl-BE"/>
              <w14:ligatures w14:val="standardContextual"/>
            </w:rPr>
          </w:pPr>
          <w:hyperlink w:anchor="_Toc164777675" w:history="1">
            <w:r w:rsidR="0084770A" w:rsidRPr="0018232E">
              <w:rPr>
                <w:rStyle w:val="Hyperlink"/>
                <w:noProof/>
              </w:rPr>
              <w:t>3.1 Packaging</w:t>
            </w:r>
            <w:r w:rsidR="0084770A">
              <w:rPr>
                <w:noProof/>
                <w:webHidden/>
              </w:rPr>
              <w:tab/>
            </w:r>
            <w:r w:rsidR="0084770A">
              <w:rPr>
                <w:noProof/>
                <w:webHidden/>
              </w:rPr>
              <w:fldChar w:fldCharType="begin"/>
            </w:r>
            <w:r w:rsidR="0084770A">
              <w:rPr>
                <w:noProof/>
                <w:webHidden/>
              </w:rPr>
              <w:instrText xml:space="preserve"> PAGEREF _Toc164777675 \h </w:instrText>
            </w:r>
            <w:r w:rsidR="0084770A">
              <w:rPr>
                <w:noProof/>
                <w:webHidden/>
              </w:rPr>
            </w:r>
            <w:r w:rsidR="0084770A">
              <w:rPr>
                <w:noProof/>
                <w:webHidden/>
              </w:rPr>
              <w:fldChar w:fldCharType="separate"/>
            </w:r>
            <w:r w:rsidR="0084770A">
              <w:rPr>
                <w:noProof/>
                <w:webHidden/>
              </w:rPr>
              <w:t>5</w:t>
            </w:r>
            <w:r w:rsidR="0084770A">
              <w:rPr>
                <w:noProof/>
                <w:webHidden/>
              </w:rPr>
              <w:fldChar w:fldCharType="end"/>
            </w:r>
          </w:hyperlink>
        </w:p>
        <w:p w14:paraId="59B11740" w14:textId="25E582D2" w:rsidR="0084770A" w:rsidRDefault="007A0CDF">
          <w:pPr>
            <w:pStyle w:val="TOC2"/>
            <w:tabs>
              <w:tab w:val="right" w:leader="dot" w:pos="9204"/>
            </w:tabs>
            <w:rPr>
              <w:rFonts w:asciiTheme="minorHAnsi" w:eastAsiaTheme="minorEastAsia" w:hAnsiTheme="minorHAnsi" w:cstheme="minorBidi"/>
              <w:noProof/>
              <w:snapToGrid/>
              <w:kern w:val="2"/>
              <w:sz w:val="22"/>
              <w:szCs w:val="22"/>
              <w:lang w:val="nl-BE" w:eastAsia="nl-BE"/>
              <w14:ligatures w14:val="standardContextual"/>
            </w:rPr>
          </w:pPr>
          <w:hyperlink w:anchor="_Toc164777676" w:history="1">
            <w:r w:rsidR="0084770A" w:rsidRPr="0018232E">
              <w:rPr>
                <w:rStyle w:val="Hyperlink"/>
                <w:rFonts w:eastAsia="Calibri"/>
                <w:noProof/>
                <w:lang w:eastAsia="sv-SE"/>
              </w:rPr>
              <w:t>3.2 Physical, chemical, and technical properties</w:t>
            </w:r>
            <w:r w:rsidR="0084770A">
              <w:rPr>
                <w:noProof/>
                <w:webHidden/>
              </w:rPr>
              <w:tab/>
            </w:r>
            <w:r w:rsidR="0084770A">
              <w:rPr>
                <w:noProof/>
                <w:webHidden/>
              </w:rPr>
              <w:fldChar w:fldCharType="begin"/>
            </w:r>
            <w:r w:rsidR="0084770A">
              <w:rPr>
                <w:noProof/>
                <w:webHidden/>
              </w:rPr>
              <w:instrText xml:space="preserve"> PAGEREF _Toc164777676 \h </w:instrText>
            </w:r>
            <w:r w:rsidR="0084770A">
              <w:rPr>
                <w:noProof/>
                <w:webHidden/>
              </w:rPr>
            </w:r>
            <w:r w:rsidR="0084770A">
              <w:rPr>
                <w:noProof/>
                <w:webHidden/>
              </w:rPr>
              <w:fldChar w:fldCharType="separate"/>
            </w:r>
            <w:r w:rsidR="0084770A">
              <w:rPr>
                <w:noProof/>
                <w:webHidden/>
              </w:rPr>
              <w:t>6</w:t>
            </w:r>
            <w:r w:rsidR="0084770A">
              <w:rPr>
                <w:noProof/>
                <w:webHidden/>
              </w:rPr>
              <w:fldChar w:fldCharType="end"/>
            </w:r>
          </w:hyperlink>
        </w:p>
        <w:p w14:paraId="79D5E676" w14:textId="69FC21FC" w:rsidR="0084770A" w:rsidRDefault="007A0CDF">
          <w:pPr>
            <w:pStyle w:val="TOC2"/>
            <w:tabs>
              <w:tab w:val="right" w:leader="dot" w:pos="9204"/>
            </w:tabs>
            <w:rPr>
              <w:rFonts w:asciiTheme="minorHAnsi" w:eastAsiaTheme="minorEastAsia" w:hAnsiTheme="minorHAnsi" w:cstheme="minorBidi"/>
              <w:noProof/>
              <w:snapToGrid/>
              <w:kern w:val="2"/>
              <w:sz w:val="22"/>
              <w:szCs w:val="22"/>
              <w:lang w:val="nl-BE" w:eastAsia="nl-BE"/>
              <w14:ligatures w14:val="standardContextual"/>
            </w:rPr>
          </w:pPr>
          <w:hyperlink w:anchor="_Toc164777677" w:history="1">
            <w:r w:rsidR="0084770A" w:rsidRPr="0018232E">
              <w:rPr>
                <w:rStyle w:val="Hyperlink"/>
                <w:rFonts w:eastAsia="Calibri"/>
                <w:noProof/>
                <w:lang w:eastAsia="sv-SE"/>
              </w:rPr>
              <w:t>3.3 Physical hazards and respective characteristics</w:t>
            </w:r>
            <w:r w:rsidR="0084770A">
              <w:rPr>
                <w:noProof/>
                <w:webHidden/>
              </w:rPr>
              <w:tab/>
            </w:r>
            <w:r w:rsidR="0084770A">
              <w:rPr>
                <w:noProof/>
                <w:webHidden/>
              </w:rPr>
              <w:fldChar w:fldCharType="begin"/>
            </w:r>
            <w:r w:rsidR="0084770A">
              <w:rPr>
                <w:noProof/>
                <w:webHidden/>
              </w:rPr>
              <w:instrText xml:space="preserve"> PAGEREF _Toc164777677 \h </w:instrText>
            </w:r>
            <w:r w:rsidR="0084770A">
              <w:rPr>
                <w:noProof/>
                <w:webHidden/>
              </w:rPr>
            </w:r>
            <w:r w:rsidR="0084770A">
              <w:rPr>
                <w:noProof/>
                <w:webHidden/>
              </w:rPr>
              <w:fldChar w:fldCharType="separate"/>
            </w:r>
            <w:r w:rsidR="0084770A">
              <w:rPr>
                <w:noProof/>
                <w:webHidden/>
              </w:rPr>
              <w:t>6</w:t>
            </w:r>
            <w:r w:rsidR="0084770A">
              <w:rPr>
                <w:noProof/>
                <w:webHidden/>
              </w:rPr>
              <w:fldChar w:fldCharType="end"/>
            </w:r>
          </w:hyperlink>
        </w:p>
        <w:p w14:paraId="1DF73282" w14:textId="34DE5118" w:rsidR="0084770A" w:rsidRDefault="007A0CDF">
          <w:pPr>
            <w:pStyle w:val="TOC2"/>
            <w:tabs>
              <w:tab w:val="right" w:leader="dot" w:pos="9204"/>
            </w:tabs>
            <w:rPr>
              <w:rFonts w:asciiTheme="minorHAnsi" w:eastAsiaTheme="minorEastAsia" w:hAnsiTheme="minorHAnsi" w:cstheme="minorBidi"/>
              <w:noProof/>
              <w:snapToGrid/>
              <w:kern w:val="2"/>
              <w:sz w:val="22"/>
              <w:szCs w:val="22"/>
              <w:lang w:val="nl-BE" w:eastAsia="nl-BE"/>
              <w14:ligatures w14:val="standardContextual"/>
            </w:rPr>
          </w:pPr>
          <w:hyperlink w:anchor="_Toc164777678" w:history="1">
            <w:r w:rsidR="0084770A" w:rsidRPr="0018232E">
              <w:rPr>
                <w:rStyle w:val="Hyperlink"/>
                <w:rFonts w:eastAsia="Calibri"/>
                <w:noProof/>
                <w:lang w:eastAsia="sv-SE"/>
              </w:rPr>
              <w:t>3.4 Methods for detection and identification</w:t>
            </w:r>
            <w:r w:rsidR="0084770A">
              <w:rPr>
                <w:noProof/>
                <w:webHidden/>
              </w:rPr>
              <w:tab/>
            </w:r>
            <w:r w:rsidR="0084770A">
              <w:rPr>
                <w:noProof/>
                <w:webHidden/>
              </w:rPr>
              <w:fldChar w:fldCharType="begin"/>
            </w:r>
            <w:r w:rsidR="0084770A">
              <w:rPr>
                <w:noProof/>
                <w:webHidden/>
              </w:rPr>
              <w:instrText xml:space="preserve"> PAGEREF _Toc164777678 \h </w:instrText>
            </w:r>
            <w:r w:rsidR="0084770A">
              <w:rPr>
                <w:noProof/>
                <w:webHidden/>
              </w:rPr>
            </w:r>
            <w:r w:rsidR="0084770A">
              <w:rPr>
                <w:noProof/>
                <w:webHidden/>
              </w:rPr>
              <w:fldChar w:fldCharType="separate"/>
            </w:r>
            <w:r w:rsidR="0084770A">
              <w:rPr>
                <w:noProof/>
                <w:webHidden/>
              </w:rPr>
              <w:t>6</w:t>
            </w:r>
            <w:r w:rsidR="0084770A">
              <w:rPr>
                <w:noProof/>
                <w:webHidden/>
              </w:rPr>
              <w:fldChar w:fldCharType="end"/>
            </w:r>
          </w:hyperlink>
        </w:p>
        <w:p w14:paraId="4EE7DE29" w14:textId="2F595F99" w:rsidR="00024C1F" w:rsidRDefault="00024C1F" w:rsidP="00E42F9A">
          <w:pPr>
            <w:spacing w:after="120" w:line="360" w:lineRule="auto"/>
            <w:rPr>
              <w:noProof/>
            </w:rPr>
          </w:pPr>
          <w:r>
            <w:rPr>
              <w:bCs/>
              <w:noProof/>
            </w:rPr>
            <w:fldChar w:fldCharType="end"/>
          </w:r>
        </w:p>
      </w:sdtContent>
    </w:sdt>
    <w:p w14:paraId="201D6EAE" w14:textId="77777777" w:rsidR="007879B5" w:rsidRDefault="007879B5" w:rsidP="007879B5">
      <w:pPr>
        <w:sectPr w:rsidR="007879B5" w:rsidSect="00674CD5">
          <w:pgSz w:w="11907" w:h="16840" w:code="9"/>
          <w:pgMar w:top="1474" w:right="1247" w:bottom="2013" w:left="1446" w:header="850" w:footer="850" w:gutter="0"/>
          <w:cols w:space="720"/>
          <w:docGrid w:linePitch="272"/>
        </w:sectPr>
      </w:pPr>
    </w:p>
    <w:p w14:paraId="48768BE0" w14:textId="77777777" w:rsidR="007879B5" w:rsidRPr="00B06767" w:rsidRDefault="007879B5" w:rsidP="007879B5">
      <w:pPr>
        <w:rPr>
          <w:b/>
          <w:sz w:val="28"/>
          <w:szCs w:val="28"/>
        </w:rPr>
      </w:pPr>
      <w:r w:rsidRPr="00B06767">
        <w:rPr>
          <w:b/>
          <w:sz w:val="28"/>
          <w:szCs w:val="28"/>
        </w:rPr>
        <w:lastRenderedPageBreak/>
        <w:t>Changes history table</w:t>
      </w:r>
    </w:p>
    <w:p w14:paraId="06E0EE0A" w14:textId="77777777" w:rsidR="007879B5" w:rsidRPr="00B06767" w:rsidRDefault="007879B5" w:rsidP="007879B5">
      <w:pPr>
        <w:rPr>
          <w:i/>
        </w:rPr>
      </w:pPr>
    </w:p>
    <w:p w14:paraId="7E18AB0E" w14:textId="77777777" w:rsidR="007879B5" w:rsidRPr="00B06767" w:rsidRDefault="007879B5" w:rsidP="007879B5">
      <w:pPr>
        <w:pBdr>
          <w:top w:val="single" w:sz="4" w:space="1" w:color="auto"/>
          <w:left w:val="single" w:sz="4" w:space="4" w:color="auto"/>
          <w:bottom w:val="single" w:sz="4" w:space="1" w:color="auto"/>
          <w:right w:val="single" w:sz="4" w:space="4" w:color="auto"/>
        </w:pBdr>
        <w:shd w:val="clear" w:color="auto" w:fill="FABF8F" w:themeFill="accent6" w:themeFillTint="99"/>
        <w:spacing w:after="120"/>
        <w:jc w:val="both"/>
        <w:rPr>
          <w:rFonts w:eastAsia="Calibri"/>
          <w:b/>
        </w:rPr>
      </w:pPr>
      <w:r w:rsidRPr="00B06767">
        <w:rPr>
          <w:rFonts w:eastAsia="Calibri"/>
          <w:b/>
        </w:rPr>
        <w:t>Note for the applicant and the competent authority:</w:t>
      </w:r>
    </w:p>
    <w:p w14:paraId="1367257C" w14:textId="77777777" w:rsidR="007879B5" w:rsidRPr="00B06767" w:rsidRDefault="007879B5" w:rsidP="007879B5">
      <w:pPr>
        <w:pBdr>
          <w:top w:val="single" w:sz="4" w:space="1" w:color="auto"/>
          <w:left w:val="single" w:sz="4" w:space="4" w:color="auto"/>
          <w:bottom w:val="single" w:sz="4" w:space="1" w:color="auto"/>
          <w:right w:val="single" w:sz="4" w:space="4" w:color="auto"/>
        </w:pBdr>
        <w:shd w:val="clear" w:color="auto" w:fill="FABF8F" w:themeFill="accent6" w:themeFillTint="99"/>
        <w:spacing w:after="120"/>
        <w:jc w:val="both"/>
      </w:pPr>
      <w:r w:rsidRPr="00B06767">
        <w:t>The changes to the PAR are implemented as follows:</w:t>
      </w:r>
    </w:p>
    <w:p w14:paraId="7715C103" w14:textId="415C6B20" w:rsidR="007879B5" w:rsidRPr="00B06767" w:rsidRDefault="007879B5" w:rsidP="007879B5">
      <w:pPr>
        <w:pBdr>
          <w:top w:val="single" w:sz="4" w:space="1" w:color="auto"/>
          <w:left w:val="single" w:sz="4" w:space="4" w:color="auto"/>
          <w:bottom w:val="single" w:sz="4" w:space="1" w:color="auto"/>
          <w:right w:val="single" w:sz="4" w:space="4" w:color="auto"/>
        </w:pBdr>
        <w:shd w:val="clear" w:color="auto" w:fill="FABF8F" w:themeFill="accent6" w:themeFillTint="99"/>
        <w:spacing w:after="120"/>
        <w:jc w:val="both"/>
        <w:rPr>
          <w:rFonts w:eastAsia="Calibri"/>
        </w:rPr>
      </w:pPr>
      <w:r w:rsidRPr="00B06767">
        <w:t xml:space="preserve">- For national authorisation, the changes should be introduced in the PAR </w:t>
      </w:r>
      <w:r w:rsidRPr="00B06767">
        <w:rPr>
          <w:i/>
        </w:rPr>
        <w:t>via</w:t>
      </w:r>
      <w:r w:rsidRPr="00B06767">
        <w:t xml:space="preserve"> an addendum. The addendum will be a standalone document, displaying the same chapters’ structure of the PAR and reporting only the changes under the relevant chapters. At the renewal stage of the national authorisation, the PAR will be consolidated by incorporating the changes;</w:t>
      </w:r>
    </w:p>
    <w:p w14:paraId="189A8E6C" w14:textId="7ED0E192" w:rsidR="007879B5" w:rsidRPr="00B06767" w:rsidRDefault="007879B5" w:rsidP="007879B5">
      <w:pPr>
        <w:pBdr>
          <w:top w:val="single" w:sz="4" w:space="1" w:color="auto"/>
          <w:left w:val="single" w:sz="4" w:space="4" w:color="auto"/>
          <w:bottom w:val="single" w:sz="4" w:space="1" w:color="auto"/>
          <w:right w:val="single" w:sz="4" w:space="4" w:color="auto"/>
        </w:pBdr>
        <w:shd w:val="clear" w:color="auto" w:fill="FABF8F" w:themeFill="accent6" w:themeFillTint="99"/>
        <w:spacing w:after="120"/>
        <w:jc w:val="both"/>
      </w:pPr>
      <w:r w:rsidRPr="00B06767">
        <w:t>- For Union authorisation</w:t>
      </w:r>
      <w:r>
        <w:t>,</w:t>
      </w:r>
      <w:r w:rsidRPr="00B06767">
        <w:t xml:space="preserve"> it is recommended that the changes are introduced in a consolidated PAR and are clearly identified, for example by highlighting them in </w:t>
      </w:r>
      <w:r>
        <w:t>yellow</w:t>
      </w:r>
      <w:r w:rsidRPr="00B06767">
        <w:t>.</w:t>
      </w:r>
    </w:p>
    <w:p w14:paraId="7C56824C" w14:textId="77777777" w:rsidR="007879B5" w:rsidRPr="00B06767" w:rsidRDefault="007879B5" w:rsidP="007879B5">
      <w:pPr>
        <w:pBdr>
          <w:top w:val="single" w:sz="4" w:space="1" w:color="auto"/>
          <w:left w:val="single" w:sz="4" w:space="4" w:color="auto"/>
          <w:bottom w:val="single" w:sz="4" w:space="1" w:color="auto"/>
          <w:right w:val="single" w:sz="4" w:space="4" w:color="auto"/>
        </w:pBdr>
        <w:shd w:val="clear" w:color="auto" w:fill="FABF8F" w:themeFill="accent6" w:themeFillTint="99"/>
        <w:spacing w:after="120"/>
        <w:jc w:val="both"/>
      </w:pPr>
      <w:r w:rsidRPr="00B06767">
        <w:t>The competent authority should delete this note when finalising the PAR.</w:t>
      </w:r>
    </w:p>
    <w:p w14:paraId="1DD19F3D" w14:textId="77777777" w:rsidR="007879B5" w:rsidRPr="00B06767" w:rsidRDefault="007879B5" w:rsidP="007879B5">
      <w:pPr>
        <w:spacing w:after="120"/>
        <w:jc w:val="both"/>
        <w:rPr>
          <w:rFonts w:eastAsia="Calibri"/>
          <w:i/>
          <w:lang w:eastAsia="fr-FR"/>
        </w:rPr>
      </w:pPr>
    </w:p>
    <w:p w14:paraId="0DD6A3EE" w14:textId="77777777" w:rsidR="007879B5" w:rsidRPr="00B06767" w:rsidRDefault="007879B5" w:rsidP="007879B5">
      <w:pPr>
        <w:spacing w:after="120"/>
        <w:jc w:val="both"/>
        <w:rPr>
          <w:rFonts w:eastAsia="Calibri"/>
          <w:i/>
          <w:lang w:eastAsia="en-US"/>
        </w:rPr>
      </w:pPr>
      <w:r w:rsidRPr="00B06767">
        <w:rPr>
          <w:rFonts w:eastAsia="Calibri"/>
          <w:i/>
          <w:lang w:eastAsia="fr-FR"/>
        </w:rPr>
        <w:t>[</w:t>
      </w:r>
      <w:r w:rsidRPr="00B06767">
        <w:rPr>
          <w:rFonts w:eastAsia="Calibri"/>
          <w:i/>
          <w:lang w:eastAsia="en-US"/>
        </w:rPr>
        <w:t xml:space="preserve">Provide in the table below the </w:t>
      </w:r>
      <w:r w:rsidRPr="00B06767">
        <w:rPr>
          <w:i/>
        </w:rPr>
        <w:t>overview of the changes history by compiling all the changes made to the PAR since the initial authorisation</w:t>
      </w:r>
      <w:r w:rsidRPr="00B06767">
        <w:rPr>
          <w:rFonts w:eastAsia="Calibri"/>
          <w:i/>
          <w:lang w:eastAsia="en-US"/>
        </w:rPr>
        <w:t>. In case the change impacts several sections of the PAR, this can be indicated in the last column “Chapter/page”. ]</w:t>
      </w:r>
    </w:p>
    <w:p w14:paraId="7E5BA0D9" w14:textId="77777777" w:rsidR="007879B5" w:rsidRPr="00B06767" w:rsidRDefault="007879B5" w:rsidP="007879B5">
      <w:pPr>
        <w:rPr>
          <w:sz w:val="22"/>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1420"/>
        <w:gridCol w:w="1892"/>
        <w:gridCol w:w="1732"/>
        <w:gridCol w:w="5198"/>
        <w:gridCol w:w="1404"/>
      </w:tblGrid>
      <w:tr w:rsidR="007879B5" w:rsidRPr="00B06767" w14:paraId="498C1EC6" w14:textId="77777777" w:rsidTr="00AD11A7">
        <w:trPr>
          <w:trHeight w:val="558"/>
        </w:trPr>
        <w:tc>
          <w:tcPr>
            <w:tcW w:w="636" w:type="pct"/>
          </w:tcPr>
          <w:p w14:paraId="1C36984D" w14:textId="77777777" w:rsidR="007879B5" w:rsidRPr="00B06767" w:rsidRDefault="007879B5" w:rsidP="000D3C5D">
            <w:pPr>
              <w:rPr>
                <w:b/>
                <w:sz w:val="18"/>
                <w:szCs w:val="16"/>
              </w:rPr>
            </w:pPr>
            <w:r w:rsidRPr="00B06767">
              <w:rPr>
                <w:b/>
                <w:sz w:val="18"/>
                <w:szCs w:val="16"/>
              </w:rPr>
              <w:t>Application type</w:t>
            </w:r>
          </w:p>
        </w:tc>
        <w:tc>
          <w:tcPr>
            <w:tcW w:w="532" w:type="pct"/>
          </w:tcPr>
          <w:p w14:paraId="757D7200" w14:textId="77777777" w:rsidR="007879B5" w:rsidRPr="00B06767" w:rsidRDefault="007879B5" w:rsidP="000D3C5D">
            <w:pPr>
              <w:rPr>
                <w:b/>
                <w:sz w:val="18"/>
                <w:szCs w:val="16"/>
              </w:rPr>
            </w:pPr>
            <w:proofErr w:type="spellStart"/>
            <w:r w:rsidRPr="00B06767">
              <w:rPr>
                <w:b/>
                <w:sz w:val="18"/>
                <w:szCs w:val="16"/>
              </w:rPr>
              <w:t>refMS</w:t>
            </w:r>
            <w:proofErr w:type="spellEnd"/>
            <w:r w:rsidRPr="00B06767">
              <w:rPr>
                <w:b/>
                <w:sz w:val="18"/>
                <w:szCs w:val="16"/>
              </w:rPr>
              <w:t>/</w:t>
            </w:r>
            <w:proofErr w:type="spellStart"/>
            <w:r w:rsidRPr="00B06767">
              <w:rPr>
                <w:b/>
                <w:sz w:val="18"/>
                <w:szCs w:val="16"/>
              </w:rPr>
              <w:t>eCA</w:t>
            </w:r>
            <w:proofErr w:type="spellEnd"/>
          </w:p>
        </w:tc>
        <w:tc>
          <w:tcPr>
            <w:tcW w:w="709" w:type="pct"/>
          </w:tcPr>
          <w:p w14:paraId="688B5465" w14:textId="77777777" w:rsidR="007879B5" w:rsidRPr="00B06767" w:rsidRDefault="007879B5" w:rsidP="000D3C5D">
            <w:pPr>
              <w:rPr>
                <w:b/>
                <w:sz w:val="18"/>
                <w:szCs w:val="16"/>
              </w:rPr>
            </w:pPr>
            <w:r w:rsidRPr="00B06767">
              <w:rPr>
                <w:b/>
                <w:sz w:val="18"/>
                <w:szCs w:val="16"/>
              </w:rPr>
              <w:t xml:space="preserve">Case number in the </w:t>
            </w:r>
            <w:proofErr w:type="spellStart"/>
            <w:r w:rsidRPr="00B06767">
              <w:rPr>
                <w:b/>
                <w:sz w:val="18"/>
                <w:szCs w:val="16"/>
              </w:rPr>
              <w:t>refMS</w:t>
            </w:r>
            <w:proofErr w:type="spellEnd"/>
          </w:p>
        </w:tc>
        <w:tc>
          <w:tcPr>
            <w:tcW w:w="649" w:type="pct"/>
          </w:tcPr>
          <w:p w14:paraId="4431A432" w14:textId="77777777" w:rsidR="007879B5" w:rsidRPr="00B06767" w:rsidRDefault="007879B5" w:rsidP="000D3C5D">
            <w:pPr>
              <w:rPr>
                <w:b/>
                <w:sz w:val="18"/>
                <w:szCs w:val="16"/>
              </w:rPr>
            </w:pPr>
            <w:r w:rsidRPr="00B06767">
              <w:rPr>
                <w:b/>
                <w:sz w:val="18"/>
                <w:szCs w:val="16"/>
              </w:rPr>
              <w:t>Decision date</w:t>
            </w:r>
          </w:p>
        </w:tc>
        <w:tc>
          <w:tcPr>
            <w:tcW w:w="1948" w:type="pct"/>
          </w:tcPr>
          <w:p w14:paraId="3F74F585" w14:textId="77777777" w:rsidR="007879B5" w:rsidRPr="00B06767" w:rsidRDefault="007879B5" w:rsidP="000D3C5D">
            <w:pPr>
              <w:rPr>
                <w:b/>
                <w:sz w:val="18"/>
                <w:szCs w:val="16"/>
              </w:rPr>
            </w:pPr>
            <w:r w:rsidRPr="00B06767">
              <w:rPr>
                <w:b/>
                <w:sz w:val="18"/>
                <w:szCs w:val="16"/>
              </w:rPr>
              <w:t>Assessment carried out (i.e. first authorisation / amendment / renewal)</w:t>
            </w:r>
          </w:p>
        </w:tc>
        <w:tc>
          <w:tcPr>
            <w:tcW w:w="526" w:type="pct"/>
          </w:tcPr>
          <w:p w14:paraId="04FBC39D" w14:textId="77777777" w:rsidR="007879B5" w:rsidRPr="00B06767" w:rsidRDefault="007879B5" w:rsidP="000D3C5D">
            <w:pPr>
              <w:rPr>
                <w:b/>
                <w:sz w:val="18"/>
                <w:szCs w:val="16"/>
              </w:rPr>
            </w:pPr>
            <w:r w:rsidRPr="00B06767">
              <w:rPr>
                <w:b/>
                <w:sz w:val="18"/>
                <w:szCs w:val="16"/>
              </w:rPr>
              <w:t>Chapter/ page</w:t>
            </w:r>
          </w:p>
        </w:tc>
      </w:tr>
      <w:tr w:rsidR="007879B5" w:rsidRPr="00B06767" w14:paraId="3E2B998B" w14:textId="77777777" w:rsidTr="00AD11A7">
        <w:tc>
          <w:tcPr>
            <w:tcW w:w="636" w:type="pct"/>
          </w:tcPr>
          <w:p w14:paraId="1F856960" w14:textId="77777777" w:rsidR="007879B5" w:rsidRPr="00AD11A7" w:rsidRDefault="007879B5" w:rsidP="000D3C5D">
            <w:pPr>
              <w:rPr>
                <w:sz w:val="18"/>
                <w:szCs w:val="16"/>
              </w:rPr>
            </w:pPr>
            <w:r w:rsidRPr="00AD11A7">
              <w:rPr>
                <w:sz w:val="18"/>
                <w:szCs w:val="16"/>
              </w:rPr>
              <w:t>NA-APP</w:t>
            </w:r>
          </w:p>
        </w:tc>
        <w:tc>
          <w:tcPr>
            <w:tcW w:w="532" w:type="pct"/>
          </w:tcPr>
          <w:p w14:paraId="5C283A60" w14:textId="1C67A28B" w:rsidR="007879B5" w:rsidRPr="00AD11A7" w:rsidRDefault="00AD11A7" w:rsidP="000D3C5D">
            <w:pPr>
              <w:rPr>
                <w:i/>
                <w:sz w:val="18"/>
                <w:szCs w:val="16"/>
              </w:rPr>
            </w:pPr>
            <w:r w:rsidRPr="00AD11A7">
              <w:rPr>
                <w:i/>
                <w:sz w:val="18"/>
                <w:szCs w:val="16"/>
              </w:rPr>
              <w:t>Belgium</w:t>
            </w:r>
          </w:p>
        </w:tc>
        <w:tc>
          <w:tcPr>
            <w:tcW w:w="709" w:type="pct"/>
          </w:tcPr>
          <w:p w14:paraId="0E545F0D" w14:textId="573F59B3" w:rsidR="007879B5" w:rsidRPr="00AD11A7" w:rsidRDefault="00AD11A7" w:rsidP="000D3C5D">
            <w:pPr>
              <w:rPr>
                <w:sz w:val="18"/>
                <w:szCs w:val="16"/>
              </w:rPr>
            </w:pPr>
            <w:r w:rsidRPr="00AD11A7">
              <w:rPr>
                <w:sz w:val="18"/>
                <w:szCs w:val="16"/>
              </w:rPr>
              <w:t>BC-CC062809-46</w:t>
            </w:r>
          </w:p>
        </w:tc>
        <w:tc>
          <w:tcPr>
            <w:tcW w:w="649" w:type="pct"/>
          </w:tcPr>
          <w:p w14:paraId="55CF37F5" w14:textId="63359829" w:rsidR="007879B5" w:rsidRPr="00AD11A7" w:rsidRDefault="00AD11A7" w:rsidP="000D3C5D">
            <w:pPr>
              <w:rPr>
                <w:sz w:val="18"/>
                <w:szCs w:val="16"/>
              </w:rPr>
            </w:pPr>
            <w:r w:rsidRPr="00AD11A7">
              <w:rPr>
                <w:sz w:val="18"/>
                <w:szCs w:val="16"/>
              </w:rPr>
              <w:t>20/01/2023</w:t>
            </w:r>
          </w:p>
        </w:tc>
        <w:tc>
          <w:tcPr>
            <w:tcW w:w="1948" w:type="pct"/>
          </w:tcPr>
          <w:p w14:paraId="09A2A1BA" w14:textId="0196C304" w:rsidR="007879B5" w:rsidRPr="00AD11A7" w:rsidRDefault="00AD11A7" w:rsidP="000D3C5D">
            <w:pPr>
              <w:rPr>
                <w:i/>
                <w:sz w:val="18"/>
                <w:szCs w:val="16"/>
              </w:rPr>
            </w:pPr>
            <w:r w:rsidRPr="00AD11A7">
              <w:rPr>
                <w:i/>
                <w:sz w:val="18"/>
                <w:szCs w:val="16"/>
              </w:rPr>
              <w:t>First authorisation</w:t>
            </w:r>
          </w:p>
        </w:tc>
        <w:tc>
          <w:tcPr>
            <w:tcW w:w="526" w:type="pct"/>
          </w:tcPr>
          <w:p w14:paraId="3F230961" w14:textId="77777777" w:rsidR="007879B5" w:rsidRPr="00AD11A7" w:rsidRDefault="007879B5" w:rsidP="000D3C5D">
            <w:pPr>
              <w:rPr>
                <w:sz w:val="18"/>
                <w:szCs w:val="16"/>
              </w:rPr>
            </w:pPr>
          </w:p>
        </w:tc>
      </w:tr>
      <w:tr w:rsidR="007879B5" w:rsidRPr="00B06767" w14:paraId="00040846" w14:textId="77777777" w:rsidTr="00AD11A7">
        <w:tc>
          <w:tcPr>
            <w:tcW w:w="636" w:type="pct"/>
          </w:tcPr>
          <w:p w14:paraId="3BA55823" w14:textId="15DDC66F" w:rsidR="007879B5" w:rsidRPr="00AD11A7" w:rsidRDefault="007879B5" w:rsidP="000D3C5D">
            <w:pPr>
              <w:rPr>
                <w:sz w:val="18"/>
                <w:szCs w:val="16"/>
              </w:rPr>
            </w:pPr>
            <w:r w:rsidRPr="00AD11A7">
              <w:rPr>
                <w:sz w:val="18"/>
                <w:szCs w:val="16"/>
              </w:rPr>
              <w:t>NA-MIC</w:t>
            </w:r>
          </w:p>
        </w:tc>
        <w:tc>
          <w:tcPr>
            <w:tcW w:w="532" w:type="pct"/>
          </w:tcPr>
          <w:p w14:paraId="5133017E" w14:textId="707F7A9A" w:rsidR="007879B5" w:rsidRPr="00AD11A7" w:rsidRDefault="00AD11A7" w:rsidP="000D3C5D">
            <w:pPr>
              <w:rPr>
                <w:i/>
                <w:sz w:val="18"/>
                <w:szCs w:val="16"/>
              </w:rPr>
            </w:pPr>
            <w:r w:rsidRPr="00AD11A7">
              <w:rPr>
                <w:i/>
                <w:sz w:val="18"/>
                <w:szCs w:val="16"/>
              </w:rPr>
              <w:t>Belgium</w:t>
            </w:r>
          </w:p>
        </w:tc>
        <w:tc>
          <w:tcPr>
            <w:tcW w:w="709" w:type="pct"/>
          </w:tcPr>
          <w:p w14:paraId="2CCD2341" w14:textId="2EAA1162" w:rsidR="007879B5" w:rsidRPr="00AD11A7" w:rsidRDefault="00AD11A7" w:rsidP="000D3C5D">
            <w:pPr>
              <w:rPr>
                <w:sz w:val="18"/>
                <w:szCs w:val="16"/>
              </w:rPr>
            </w:pPr>
            <w:r w:rsidRPr="00AD11A7">
              <w:rPr>
                <w:sz w:val="18"/>
                <w:szCs w:val="16"/>
              </w:rPr>
              <w:t>BC-ED091103-63</w:t>
            </w:r>
          </w:p>
        </w:tc>
        <w:tc>
          <w:tcPr>
            <w:tcW w:w="649" w:type="pct"/>
          </w:tcPr>
          <w:p w14:paraId="54CE3E57" w14:textId="22C70DAC" w:rsidR="007879B5" w:rsidRPr="00AD11A7" w:rsidRDefault="007879B5" w:rsidP="000D3C5D">
            <w:pPr>
              <w:rPr>
                <w:sz w:val="18"/>
                <w:szCs w:val="16"/>
              </w:rPr>
            </w:pPr>
          </w:p>
        </w:tc>
        <w:tc>
          <w:tcPr>
            <w:tcW w:w="1948" w:type="pct"/>
          </w:tcPr>
          <w:p w14:paraId="16277BDA" w14:textId="77777777" w:rsidR="007879B5" w:rsidRPr="00AD11A7" w:rsidRDefault="00AD11A7" w:rsidP="000D3C5D">
            <w:pPr>
              <w:rPr>
                <w:i/>
                <w:sz w:val="18"/>
                <w:szCs w:val="16"/>
              </w:rPr>
            </w:pPr>
            <w:r w:rsidRPr="00AD11A7">
              <w:rPr>
                <w:i/>
                <w:sz w:val="18"/>
                <w:szCs w:val="16"/>
              </w:rPr>
              <w:t>Addition of a packaging size.</w:t>
            </w:r>
          </w:p>
          <w:p w14:paraId="073A859F" w14:textId="61C75EF0" w:rsidR="00AD11A7" w:rsidRPr="00AD11A7" w:rsidRDefault="00AD11A7" w:rsidP="000D3C5D">
            <w:pPr>
              <w:rPr>
                <w:i/>
                <w:sz w:val="18"/>
                <w:szCs w:val="16"/>
              </w:rPr>
            </w:pPr>
            <w:r w:rsidRPr="00AD11A7">
              <w:rPr>
                <w:i/>
                <w:sz w:val="18"/>
                <w:szCs w:val="16"/>
              </w:rPr>
              <w:t>Change in the name of the active substance manufacturer.</w:t>
            </w:r>
          </w:p>
        </w:tc>
        <w:tc>
          <w:tcPr>
            <w:tcW w:w="526" w:type="pct"/>
          </w:tcPr>
          <w:p w14:paraId="6B24DB75" w14:textId="77777777" w:rsidR="007879B5" w:rsidRPr="00AD11A7" w:rsidRDefault="007879B5" w:rsidP="000D3C5D">
            <w:pPr>
              <w:rPr>
                <w:sz w:val="18"/>
                <w:szCs w:val="16"/>
              </w:rPr>
            </w:pPr>
          </w:p>
        </w:tc>
      </w:tr>
      <w:tr w:rsidR="007879B5" w:rsidRPr="00B06767" w14:paraId="53CA3783" w14:textId="77777777" w:rsidTr="00AD11A7">
        <w:tc>
          <w:tcPr>
            <w:tcW w:w="636" w:type="pct"/>
          </w:tcPr>
          <w:p w14:paraId="35BE2725" w14:textId="4F6BEAAA" w:rsidR="007879B5" w:rsidRPr="00B06767" w:rsidRDefault="007879B5" w:rsidP="000D3C5D">
            <w:pPr>
              <w:rPr>
                <w:color w:val="FF0000"/>
                <w:sz w:val="18"/>
                <w:szCs w:val="16"/>
              </w:rPr>
            </w:pPr>
          </w:p>
        </w:tc>
        <w:tc>
          <w:tcPr>
            <w:tcW w:w="532" w:type="pct"/>
          </w:tcPr>
          <w:p w14:paraId="5AF07562" w14:textId="77777777" w:rsidR="007879B5" w:rsidRPr="00B06767" w:rsidRDefault="007879B5" w:rsidP="000D3C5D">
            <w:pPr>
              <w:rPr>
                <w:i/>
                <w:color w:val="FF0000"/>
                <w:sz w:val="18"/>
                <w:szCs w:val="16"/>
              </w:rPr>
            </w:pPr>
          </w:p>
        </w:tc>
        <w:tc>
          <w:tcPr>
            <w:tcW w:w="709" w:type="pct"/>
          </w:tcPr>
          <w:p w14:paraId="55D4081E" w14:textId="77777777" w:rsidR="007879B5" w:rsidRPr="00B06767" w:rsidRDefault="007879B5" w:rsidP="000D3C5D">
            <w:pPr>
              <w:rPr>
                <w:color w:val="FF0000"/>
                <w:sz w:val="18"/>
                <w:szCs w:val="16"/>
              </w:rPr>
            </w:pPr>
          </w:p>
        </w:tc>
        <w:tc>
          <w:tcPr>
            <w:tcW w:w="649" w:type="pct"/>
          </w:tcPr>
          <w:p w14:paraId="424846BB" w14:textId="12AE9A8E" w:rsidR="007879B5" w:rsidRPr="00B06767" w:rsidRDefault="007879B5" w:rsidP="000D3C5D">
            <w:pPr>
              <w:rPr>
                <w:color w:val="FF0000"/>
                <w:sz w:val="18"/>
                <w:szCs w:val="16"/>
              </w:rPr>
            </w:pPr>
          </w:p>
        </w:tc>
        <w:tc>
          <w:tcPr>
            <w:tcW w:w="1948" w:type="pct"/>
          </w:tcPr>
          <w:p w14:paraId="69CE59FC" w14:textId="73941320" w:rsidR="007879B5" w:rsidRPr="00B06767" w:rsidRDefault="007879B5" w:rsidP="000D3C5D">
            <w:pPr>
              <w:rPr>
                <w:i/>
                <w:color w:val="FF0000"/>
                <w:sz w:val="18"/>
                <w:szCs w:val="16"/>
              </w:rPr>
            </w:pPr>
          </w:p>
        </w:tc>
        <w:tc>
          <w:tcPr>
            <w:tcW w:w="526" w:type="pct"/>
          </w:tcPr>
          <w:p w14:paraId="2C5F0186" w14:textId="77777777" w:rsidR="007879B5" w:rsidRPr="00B06767" w:rsidRDefault="007879B5" w:rsidP="000D3C5D">
            <w:pPr>
              <w:rPr>
                <w:color w:val="FF0000"/>
                <w:sz w:val="18"/>
                <w:szCs w:val="16"/>
              </w:rPr>
            </w:pPr>
          </w:p>
        </w:tc>
      </w:tr>
    </w:tbl>
    <w:p w14:paraId="0FC08186" w14:textId="77777777" w:rsidR="007879B5" w:rsidRPr="00B06767" w:rsidRDefault="007879B5" w:rsidP="007879B5"/>
    <w:p w14:paraId="6F5D735A" w14:textId="6C414C6A" w:rsidR="00B05933" w:rsidRPr="00B06767" w:rsidRDefault="00B05933" w:rsidP="007879B5">
      <w:pPr>
        <w:sectPr w:rsidR="00B05933" w:rsidRPr="00B06767" w:rsidSect="00674CD5">
          <w:headerReference w:type="default" r:id="rId15"/>
          <w:footerReference w:type="default" r:id="rId16"/>
          <w:pgSz w:w="16840" w:h="11907" w:orient="landscape" w:code="9"/>
          <w:pgMar w:top="1446" w:right="1474" w:bottom="1247" w:left="2013" w:header="850" w:footer="850" w:gutter="0"/>
          <w:cols w:space="720"/>
          <w:docGrid w:linePitch="272"/>
        </w:sectPr>
      </w:pPr>
    </w:p>
    <w:p w14:paraId="0620C6B5" w14:textId="21DC4868" w:rsidR="00786541" w:rsidRPr="00A80FB7" w:rsidRDefault="00786541" w:rsidP="00C13C8F">
      <w:pPr>
        <w:pStyle w:val="Heading1"/>
      </w:pPr>
      <w:bookmarkStart w:id="2" w:name="_Toc53041724"/>
      <w:bookmarkStart w:id="3" w:name="_Toc53041945"/>
      <w:bookmarkStart w:id="4" w:name="_Toc53042162"/>
      <w:bookmarkStart w:id="5" w:name="_Toc53042380"/>
      <w:bookmarkStart w:id="6" w:name="_Toc53042600"/>
      <w:bookmarkStart w:id="7" w:name="_Toc53042818"/>
      <w:bookmarkStart w:id="8" w:name="_Toc53043036"/>
      <w:bookmarkStart w:id="9" w:name="_Toc53043254"/>
      <w:bookmarkStart w:id="10" w:name="_Toc53043472"/>
      <w:bookmarkStart w:id="11" w:name="_Toc53043690"/>
      <w:bookmarkStart w:id="12" w:name="_Toc53043908"/>
      <w:bookmarkStart w:id="13" w:name="_Toc53044128"/>
      <w:bookmarkStart w:id="14" w:name="_Toc53044349"/>
      <w:bookmarkStart w:id="15" w:name="_Toc53044571"/>
      <w:bookmarkStart w:id="16" w:name="_Toc53044793"/>
      <w:bookmarkStart w:id="17" w:name="_Toc53045015"/>
      <w:bookmarkStart w:id="18" w:name="_Toc53045237"/>
      <w:bookmarkStart w:id="19" w:name="_Toc53491594"/>
      <w:bookmarkStart w:id="20" w:name="_Toc53491721"/>
      <w:bookmarkStart w:id="21" w:name="_Toc53491836"/>
      <w:bookmarkStart w:id="22" w:name="_Toc53493751"/>
      <w:bookmarkStart w:id="23" w:name="_Toc53493866"/>
      <w:bookmarkStart w:id="24" w:name="_Toc53493981"/>
      <w:bookmarkStart w:id="25" w:name="_Toc53494096"/>
      <w:bookmarkStart w:id="26" w:name="_Toc53494212"/>
      <w:bookmarkStart w:id="27" w:name="_Toc53498938"/>
      <w:bookmarkStart w:id="28" w:name="_Toc53499054"/>
      <w:bookmarkStart w:id="29" w:name="_Toc53499169"/>
      <w:bookmarkStart w:id="30" w:name="_Toc53499284"/>
      <w:bookmarkStart w:id="31" w:name="_Toc53499400"/>
      <w:bookmarkStart w:id="32" w:name="_Toc53500396"/>
      <w:bookmarkStart w:id="33" w:name="_Toc53500512"/>
      <w:bookmarkStart w:id="34" w:name="_Toc53500628"/>
      <w:bookmarkStart w:id="35" w:name="_Toc53500744"/>
      <w:bookmarkStart w:id="36" w:name="_Toc53500948"/>
      <w:bookmarkStart w:id="37" w:name="_Toc53501090"/>
      <w:bookmarkStart w:id="38" w:name="_Toc53501211"/>
      <w:bookmarkStart w:id="39" w:name="_Toc53501326"/>
      <w:bookmarkStart w:id="40" w:name="_Toc53501442"/>
      <w:bookmarkStart w:id="41" w:name="_Toc53501557"/>
      <w:bookmarkStart w:id="42" w:name="_Toc53564159"/>
      <w:bookmarkStart w:id="43" w:name="_Toc53564275"/>
      <w:bookmarkStart w:id="44" w:name="_Toc53564391"/>
      <w:bookmarkStart w:id="45" w:name="_Toc53564506"/>
      <w:bookmarkStart w:id="46" w:name="_Toc53564621"/>
      <w:bookmarkStart w:id="47" w:name="_Toc53564736"/>
      <w:bookmarkStart w:id="48" w:name="_Toc53565147"/>
      <w:bookmarkStart w:id="49" w:name="_Toc39152799"/>
      <w:bookmarkStart w:id="50" w:name="_Toc40273141"/>
      <w:bookmarkStart w:id="51" w:name="_Toc41555037"/>
      <w:bookmarkStart w:id="52" w:name="_Toc41565158"/>
      <w:bookmarkStart w:id="53" w:name="_Toc164777673"/>
      <w:bookmarkStart w:id="54" w:name="_Toc2625599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A80FB7">
        <w:lastRenderedPageBreak/>
        <w:t>Conclusion</w:t>
      </w:r>
      <w:bookmarkEnd w:id="49"/>
      <w:bookmarkEnd w:id="50"/>
      <w:bookmarkEnd w:id="51"/>
      <w:bookmarkEnd w:id="52"/>
      <w:bookmarkEnd w:id="53"/>
    </w:p>
    <w:p w14:paraId="3E507BB8" w14:textId="5772CACE" w:rsidR="001C78CB" w:rsidRPr="00E47017" w:rsidRDefault="00903530" w:rsidP="00C537B6">
      <w:pPr>
        <w:spacing w:before="120" w:after="120"/>
        <w:jc w:val="both"/>
      </w:pPr>
      <w:r w:rsidRPr="00E47017">
        <w:t>SAFWS002</w:t>
      </w:r>
      <w:r w:rsidR="001C78CB" w:rsidRPr="00E47017">
        <w:t xml:space="preserve"> is a</w:t>
      </w:r>
      <w:r w:rsidRPr="00E47017">
        <w:t xml:space="preserve"> RB Bait (ready for use)</w:t>
      </w:r>
      <w:r w:rsidR="001C78CB" w:rsidRPr="00E47017">
        <w:t xml:space="preserve"> biocidal product containing </w:t>
      </w:r>
      <w:r w:rsidRPr="00E47017">
        <w:t>dinotefuran</w:t>
      </w:r>
      <w:r w:rsidR="001C78CB" w:rsidRPr="00E47017">
        <w:t xml:space="preserve">. The product is used as </w:t>
      </w:r>
      <w:r w:rsidRPr="00E47017">
        <w:t xml:space="preserve">a </w:t>
      </w:r>
      <w:r w:rsidR="00C13C8F" w:rsidRPr="00E47017">
        <w:t>PT</w:t>
      </w:r>
      <w:r w:rsidR="00C13C8F">
        <w:t>18</w:t>
      </w:r>
      <w:r w:rsidR="00C13C8F" w:rsidRPr="00E47017">
        <w:t xml:space="preserve"> </w:t>
      </w:r>
      <w:r w:rsidR="001C78CB" w:rsidRPr="00E47017">
        <w:t xml:space="preserve">by </w:t>
      </w:r>
      <w:r w:rsidRPr="00E47017">
        <w:t>non-professionals</w:t>
      </w:r>
      <w:r w:rsidR="001C78CB" w:rsidRPr="00E47017">
        <w:t xml:space="preserve"> for the control of </w:t>
      </w:r>
      <w:r w:rsidRPr="00E47017">
        <w:t>house flies</w:t>
      </w:r>
      <w:r w:rsidR="001C78CB" w:rsidRPr="00E47017">
        <w:t>.</w:t>
      </w:r>
    </w:p>
    <w:p w14:paraId="12968003" w14:textId="71F2799E" w:rsidR="001C78CB" w:rsidRDefault="001C78CB" w:rsidP="00C537B6">
      <w:pPr>
        <w:spacing w:before="120" w:after="120"/>
        <w:jc w:val="both"/>
      </w:pPr>
      <w:r w:rsidRPr="00E47017">
        <w:t xml:space="preserve">The overall conclusion of the evaluation is that the biocidal product meets the conditions laid down in Article 19(1) of Regulation (EU) No 528/2012 and therefore </w:t>
      </w:r>
      <w:r w:rsidR="00903530" w:rsidRPr="00E47017">
        <w:t>can</w:t>
      </w:r>
      <w:r w:rsidRPr="00E47017">
        <w:t xml:space="preserve"> be authorised for the use</w:t>
      </w:r>
      <w:r w:rsidR="00903530" w:rsidRPr="00E47017">
        <w:t xml:space="preserve"> as RTU window sticker against house flies for indoor use by non-professionals,</w:t>
      </w:r>
      <w:r w:rsidRPr="00E47017">
        <w:t xml:space="preserve"> as specified in the Summary of Product Characteristics (SPC). The detailed grounds for the overall conclusion are described in th</w:t>
      </w:r>
      <w:r w:rsidR="00E47017" w:rsidRPr="00E47017">
        <w:t>e original</w:t>
      </w:r>
      <w:r w:rsidRPr="00E47017">
        <w:t xml:space="preserve"> Product Assessment Report (PAR)</w:t>
      </w:r>
      <w:r w:rsidR="00E47017" w:rsidRPr="00E47017">
        <w:t xml:space="preserve"> by BE CA dated December 2022</w:t>
      </w:r>
      <w:r w:rsidRPr="00E47017">
        <w:t>.</w:t>
      </w:r>
      <w:r w:rsidR="00E47017" w:rsidRPr="00E47017">
        <w:t xml:space="preserve"> They remain unchanged after this minor change</w:t>
      </w:r>
      <w:r w:rsidR="0084770A">
        <w:t xml:space="preserve"> and, hence, reader is referred to this PAR.</w:t>
      </w:r>
    </w:p>
    <w:p w14:paraId="29532888" w14:textId="14CB88E5" w:rsidR="00247724" w:rsidRPr="00B06767" w:rsidRDefault="00247724" w:rsidP="00C537B6">
      <w:pPr>
        <w:spacing w:before="120" w:after="120"/>
        <w:jc w:val="both"/>
      </w:pPr>
      <w:r>
        <w:t xml:space="preserve">Together with this change a modification of the name of the active substance manufacturer was implemented. </w:t>
      </w:r>
      <w:r w:rsidR="00B3128B">
        <w:t>For detailed information, please refer to the SPC.</w:t>
      </w:r>
    </w:p>
    <w:p w14:paraId="78A0A200" w14:textId="77777777" w:rsidR="009A0CA8" w:rsidRDefault="009A0CA8">
      <w:pPr>
        <w:widowControl/>
        <w:spacing w:after="200" w:line="276" w:lineRule="auto"/>
        <w:rPr>
          <w:b/>
          <w:sz w:val="28"/>
          <w:szCs w:val="24"/>
        </w:rPr>
      </w:pPr>
      <w:bookmarkStart w:id="55" w:name="_Toc39152812"/>
      <w:bookmarkStart w:id="56" w:name="_Toc40273837"/>
      <w:bookmarkStart w:id="57" w:name="_Toc41555050"/>
      <w:bookmarkStart w:id="58" w:name="_Toc41565171"/>
      <w:bookmarkStart w:id="59" w:name="_Toc25922550"/>
      <w:bookmarkStart w:id="60" w:name="_Toc26256009"/>
      <w:bookmarkEnd w:id="54"/>
      <w:bookmarkEnd w:id="1"/>
      <w:bookmarkEnd w:id="0"/>
      <w:r>
        <w:br w:type="page"/>
      </w:r>
    </w:p>
    <w:p w14:paraId="63D33745" w14:textId="6575F0B8" w:rsidR="00552E86" w:rsidRPr="00B06767" w:rsidRDefault="00552E86" w:rsidP="00C13C8F">
      <w:pPr>
        <w:pStyle w:val="Heading1"/>
        <w:numPr>
          <w:ilvl w:val="0"/>
          <w:numId w:val="101"/>
        </w:numPr>
      </w:pPr>
      <w:bookmarkStart w:id="61" w:name="_Toc164777674"/>
      <w:r w:rsidRPr="00B06767">
        <w:lastRenderedPageBreak/>
        <w:t>Assessment of the biocidal product</w:t>
      </w:r>
      <w:bookmarkEnd w:id="55"/>
      <w:bookmarkEnd w:id="56"/>
      <w:bookmarkEnd w:id="57"/>
      <w:bookmarkEnd w:id="58"/>
      <w:bookmarkEnd w:id="61"/>
    </w:p>
    <w:p w14:paraId="161BC692" w14:textId="1B00DCD8" w:rsidR="00F7189A" w:rsidRDefault="00F7189A" w:rsidP="00C13C8F">
      <w:pPr>
        <w:pStyle w:val="Heading2"/>
      </w:pPr>
      <w:bookmarkStart w:id="62" w:name="_Toc25922551"/>
      <w:bookmarkStart w:id="63" w:name="_Toc40273839"/>
      <w:bookmarkStart w:id="64" w:name="_Toc41555051"/>
      <w:bookmarkStart w:id="65" w:name="_Toc41565172"/>
      <w:bookmarkStart w:id="66" w:name="_Toc164777675"/>
      <w:bookmarkStart w:id="67" w:name="_Toc40273838"/>
      <w:bookmarkEnd w:id="59"/>
      <w:bookmarkEnd w:id="60"/>
      <w:r w:rsidRPr="00B06767">
        <w:t>Packaging</w:t>
      </w:r>
      <w:bookmarkEnd w:id="62"/>
      <w:bookmarkEnd w:id="63"/>
      <w:bookmarkEnd w:id="64"/>
      <w:bookmarkEnd w:id="65"/>
      <w:bookmarkEnd w:id="66"/>
    </w:p>
    <w:p w14:paraId="02B871B8" w14:textId="182367BF" w:rsidR="006420E5" w:rsidRDefault="006420E5" w:rsidP="006420E5">
      <w:pPr>
        <w:pStyle w:val="Caption"/>
        <w:keepNext/>
      </w:pPr>
      <w:r>
        <w:t xml:space="preserve">Table </w:t>
      </w:r>
      <w:r w:rsidR="007A0CDF">
        <w:fldChar w:fldCharType="begin"/>
      </w:r>
      <w:r w:rsidR="007A0CDF">
        <w:instrText xml:space="preserve"> STYLEREF 1 \s </w:instrText>
      </w:r>
      <w:r w:rsidR="007A0CDF">
        <w:fldChar w:fldCharType="separate"/>
      </w:r>
      <w:r w:rsidR="002325DE">
        <w:rPr>
          <w:noProof/>
        </w:rPr>
        <w:t>3</w:t>
      </w:r>
      <w:r w:rsidR="007A0CDF">
        <w:rPr>
          <w:noProof/>
        </w:rPr>
        <w:fldChar w:fldCharType="end"/>
      </w:r>
      <w:r w:rsidR="002325DE">
        <w:t>.</w:t>
      </w:r>
      <w:r w:rsidR="007A0CDF">
        <w:fldChar w:fldCharType="begin"/>
      </w:r>
      <w:r w:rsidR="007A0CDF">
        <w:instrText xml:space="preserve"> SEQ Table \* ARABIC \s 1 </w:instrText>
      </w:r>
      <w:r w:rsidR="007A0CDF">
        <w:fldChar w:fldCharType="separate"/>
      </w:r>
      <w:r w:rsidR="002325DE">
        <w:rPr>
          <w:noProof/>
        </w:rPr>
        <w:t>1</w:t>
      </w:r>
      <w:r w:rsidR="007A0CDF">
        <w:rPr>
          <w:noProof/>
        </w:rPr>
        <w:fldChar w:fldCharType="end"/>
      </w:r>
      <w:r w:rsidRPr="006420E5">
        <w:t xml:space="preserve"> </w:t>
      </w:r>
      <w:r w:rsidRPr="00DB403D">
        <w:t>Packaging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626"/>
        <w:gridCol w:w="1335"/>
        <w:gridCol w:w="1593"/>
        <w:gridCol w:w="1764"/>
        <w:gridCol w:w="1560"/>
      </w:tblGrid>
      <w:tr w:rsidR="00E47017" w:rsidRPr="00B06767" w14:paraId="56EBE172" w14:textId="77777777" w:rsidTr="00E47017">
        <w:tc>
          <w:tcPr>
            <w:tcW w:w="0" w:type="auto"/>
            <w:shd w:val="clear" w:color="auto" w:fill="FFFFCC"/>
          </w:tcPr>
          <w:p w14:paraId="429D7FD1" w14:textId="1870D0DF" w:rsidR="00AA46DC" w:rsidRPr="00B06767" w:rsidRDefault="00AA46DC" w:rsidP="00C537B6">
            <w:pPr>
              <w:rPr>
                <w:rFonts w:eastAsia="Calibri"/>
                <w:b/>
                <w:i/>
                <w:sz w:val="18"/>
                <w:szCs w:val="16"/>
                <w:lang w:eastAsia="en-US"/>
              </w:rPr>
            </w:pPr>
            <w:r w:rsidRPr="00B06767">
              <w:rPr>
                <w:rFonts w:eastAsia="Calibri"/>
                <w:b/>
                <w:sz w:val="18"/>
                <w:szCs w:val="16"/>
                <w:lang w:eastAsia="en-US"/>
              </w:rPr>
              <w:t>Type of packaging</w:t>
            </w:r>
          </w:p>
        </w:tc>
        <w:tc>
          <w:tcPr>
            <w:tcW w:w="1682" w:type="dxa"/>
            <w:shd w:val="clear" w:color="auto" w:fill="FFFFCC"/>
          </w:tcPr>
          <w:p w14:paraId="2F3D5848" w14:textId="7DF35D84" w:rsidR="00AA46DC" w:rsidRPr="00B06767" w:rsidRDefault="00AA46DC" w:rsidP="00C537B6">
            <w:pPr>
              <w:rPr>
                <w:rFonts w:eastAsia="Calibri"/>
                <w:b/>
                <w:sz w:val="18"/>
                <w:szCs w:val="16"/>
                <w:lang w:eastAsia="en-US"/>
              </w:rPr>
            </w:pPr>
            <w:r w:rsidRPr="00B06767">
              <w:rPr>
                <w:rFonts w:eastAsia="Calibri"/>
                <w:b/>
                <w:sz w:val="18"/>
                <w:szCs w:val="16"/>
                <w:lang w:eastAsia="en-US"/>
              </w:rPr>
              <w:t>Size/volume</w:t>
            </w:r>
            <w:r w:rsidRPr="00B06767" w:rsidDel="00F33E33">
              <w:rPr>
                <w:rFonts w:eastAsia="Calibri"/>
                <w:b/>
                <w:sz w:val="18"/>
                <w:szCs w:val="16"/>
                <w:lang w:eastAsia="en-US"/>
              </w:rPr>
              <w:t xml:space="preserve"> </w:t>
            </w:r>
            <w:r w:rsidRPr="00B06767">
              <w:rPr>
                <w:rFonts w:eastAsia="Calibri"/>
                <w:b/>
                <w:sz w:val="18"/>
                <w:szCs w:val="16"/>
                <w:lang w:eastAsia="en-US"/>
              </w:rPr>
              <w:t>of the packaging</w:t>
            </w:r>
          </w:p>
        </w:tc>
        <w:tc>
          <w:tcPr>
            <w:tcW w:w="1335" w:type="dxa"/>
            <w:shd w:val="clear" w:color="auto" w:fill="FFFFCC"/>
          </w:tcPr>
          <w:p w14:paraId="5F709673" w14:textId="7C579F50" w:rsidR="00AA46DC" w:rsidRPr="00B06767" w:rsidRDefault="00AA46DC" w:rsidP="00C537B6">
            <w:pPr>
              <w:rPr>
                <w:rFonts w:eastAsia="Calibri"/>
                <w:b/>
                <w:sz w:val="18"/>
                <w:szCs w:val="16"/>
                <w:lang w:eastAsia="en-US"/>
              </w:rPr>
            </w:pPr>
            <w:r w:rsidRPr="00B06767">
              <w:rPr>
                <w:rFonts w:eastAsia="Calibri"/>
                <w:b/>
                <w:sz w:val="18"/>
                <w:szCs w:val="16"/>
                <w:lang w:eastAsia="en-US"/>
              </w:rPr>
              <w:t>Material of the packaging</w:t>
            </w:r>
          </w:p>
        </w:tc>
        <w:tc>
          <w:tcPr>
            <w:tcW w:w="1740" w:type="dxa"/>
            <w:shd w:val="clear" w:color="auto" w:fill="FFFFCC"/>
          </w:tcPr>
          <w:p w14:paraId="7D48A0E0" w14:textId="77777777" w:rsidR="00AA46DC" w:rsidRPr="00B06767" w:rsidRDefault="00AA46DC" w:rsidP="00C537B6">
            <w:pPr>
              <w:rPr>
                <w:rFonts w:eastAsia="Calibri"/>
                <w:b/>
                <w:sz w:val="18"/>
                <w:szCs w:val="16"/>
                <w:lang w:eastAsia="en-US"/>
              </w:rPr>
            </w:pPr>
            <w:r w:rsidRPr="00B06767">
              <w:rPr>
                <w:rFonts w:eastAsia="Calibri"/>
                <w:b/>
                <w:sz w:val="18"/>
                <w:szCs w:val="16"/>
                <w:lang w:eastAsia="en-US"/>
              </w:rPr>
              <w:t>Type and material of closure(s)</w:t>
            </w:r>
          </w:p>
        </w:tc>
        <w:tc>
          <w:tcPr>
            <w:tcW w:w="1635" w:type="dxa"/>
            <w:tcBorders>
              <w:bottom w:val="single" w:sz="4" w:space="0" w:color="auto"/>
            </w:tcBorders>
            <w:shd w:val="clear" w:color="auto" w:fill="FFFFCC"/>
          </w:tcPr>
          <w:p w14:paraId="6650AF2D" w14:textId="4887C4C3" w:rsidR="00AA46DC" w:rsidRPr="00564CFB" w:rsidRDefault="00AA46DC" w:rsidP="00C537B6">
            <w:pPr>
              <w:rPr>
                <w:rFonts w:eastAsia="Calibri"/>
                <w:b/>
                <w:sz w:val="18"/>
                <w:szCs w:val="16"/>
                <w:lang w:eastAsia="en-US"/>
              </w:rPr>
            </w:pPr>
            <w:r w:rsidRPr="00564CFB">
              <w:rPr>
                <w:rFonts w:eastAsia="Calibri"/>
                <w:b/>
                <w:sz w:val="18"/>
                <w:szCs w:val="16"/>
                <w:lang w:eastAsia="en-US"/>
              </w:rPr>
              <w:t>Intended user</w:t>
            </w:r>
          </w:p>
        </w:tc>
        <w:tc>
          <w:tcPr>
            <w:tcW w:w="0" w:type="auto"/>
            <w:shd w:val="clear" w:color="auto" w:fill="FFFFCC"/>
          </w:tcPr>
          <w:p w14:paraId="405D50A7" w14:textId="77777777" w:rsidR="00AA46DC" w:rsidRPr="00B06767" w:rsidRDefault="00AA46DC" w:rsidP="00C537B6">
            <w:pPr>
              <w:rPr>
                <w:rFonts w:eastAsia="Calibri"/>
                <w:b/>
                <w:sz w:val="18"/>
                <w:szCs w:val="16"/>
                <w:lang w:eastAsia="en-US"/>
              </w:rPr>
            </w:pPr>
            <w:r w:rsidRPr="00B06767">
              <w:rPr>
                <w:rFonts w:eastAsia="Calibri"/>
                <w:b/>
                <w:sz w:val="18"/>
                <w:szCs w:val="16"/>
                <w:lang w:eastAsia="en-US"/>
              </w:rPr>
              <w:t>Compatibility of the product with the proposed packaging materials (Yes/No)</w:t>
            </w:r>
          </w:p>
        </w:tc>
      </w:tr>
      <w:tr w:rsidR="00E47017" w:rsidRPr="00B06767" w14:paraId="4C5FD726" w14:textId="77777777" w:rsidTr="00E47017">
        <w:tc>
          <w:tcPr>
            <w:tcW w:w="0" w:type="auto"/>
            <w:shd w:val="clear" w:color="auto" w:fill="auto"/>
          </w:tcPr>
          <w:p w14:paraId="3234B6E5" w14:textId="3A2A44D6" w:rsidR="00E47017" w:rsidRPr="00B06767" w:rsidRDefault="00E47017" w:rsidP="00E47017">
            <w:pPr>
              <w:rPr>
                <w:rFonts w:eastAsia="Calibri"/>
                <w:i/>
                <w:color w:val="FF0000"/>
                <w:sz w:val="18"/>
                <w:szCs w:val="16"/>
                <w:lang w:eastAsia="en-US"/>
              </w:rPr>
            </w:pPr>
            <w:r w:rsidRPr="00E4170B">
              <w:t>Folding cardboard (outer packaging)</w:t>
            </w:r>
          </w:p>
        </w:tc>
        <w:tc>
          <w:tcPr>
            <w:tcW w:w="1682" w:type="dxa"/>
            <w:shd w:val="clear" w:color="auto" w:fill="auto"/>
          </w:tcPr>
          <w:p w14:paraId="4135833D" w14:textId="55601281" w:rsidR="00E47017" w:rsidRPr="00E4170B" w:rsidRDefault="00E47017" w:rsidP="00E47017">
            <w:r w:rsidRPr="00E4170B">
              <w:t xml:space="preserve">Folding cardboard (outer packaging) including </w:t>
            </w:r>
            <w:r>
              <w:t xml:space="preserve">one or </w:t>
            </w:r>
            <w:r w:rsidRPr="00E4170B">
              <w:t>two cards of ca. 90-100 mm  x ca. 160-170 mm with 2 stickers (</w:t>
            </w:r>
            <w:r w:rsidRPr="00E4170B">
              <w:rPr>
                <w:rFonts w:ascii="Verdana Pro" w:hAnsi="Verdana Pro"/>
              </w:rPr>
              <w:t>Ø</w:t>
            </w:r>
            <w:r w:rsidRPr="00E4170B">
              <w:t xml:space="preserve"> ca. 75 mm) each. Thus, in total </w:t>
            </w:r>
            <w:r>
              <w:t xml:space="preserve">2 or </w:t>
            </w:r>
            <w:r w:rsidRPr="00E4170B">
              <w:t>4 stickers per folding cardboard.</w:t>
            </w:r>
          </w:p>
          <w:p w14:paraId="3CF8A32A" w14:textId="77777777" w:rsidR="00E47017" w:rsidRPr="00E4170B" w:rsidRDefault="00E47017" w:rsidP="00E47017"/>
          <w:p w14:paraId="448645E5" w14:textId="2998513C" w:rsidR="00E47017" w:rsidRPr="00564CFB" w:rsidRDefault="00E47017" w:rsidP="00E47017">
            <w:pPr>
              <w:rPr>
                <w:rFonts w:eastAsia="Calibri"/>
                <w:i/>
                <w:color w:val="FF0000"/>
                <w:sz w:val="18"/>
                <w:szCs w:val="16"/>
                <w:lang w:eastAsia="en-US"/>
              </w:rPr>
            </w:pPr>
            <w:r w:rsidRPr="00E4170B">
              <w:t>Stickers (geometric shape, or alternatively a butterfly or flower motive) are printed on self-adhesive paper card (carrier), covered with a protective, removable silicon paper.</w:t>
            </w:r>
          </w:p>
        </w:tc>
        <w:tc>
          <w:tcPr>
            <w:tcW w:w="1335" w:type="dxa"/>
            <w:shd w:val="clear" w:color="auto" w:fill="auto"/>
          </w:tcPr>
          <w:p w14:paraId="6E344086" w14:textId="3838575B" w:rsidR="00E47017" w:rsidRPr="00B06767" w:rsidRDefault="00E47017" w:rsidP="00E47017">
            <w:pPr>
              <w:rPr>
                <w:rFonts w:eastAsia="Calibri"/>
                <w:i/>
                <w:color w:val="FF0000"/>
                <w:sz w:val="18"/>
                <w:szCs w:val="16"/>
                <w:lang w:eastAsia="en-US"/>
              </w:rPr>
            </w:pPr>
            <w:r w:rsidRPr="00E4170B">
              <w:t>Cardboard, self-adhesive paper card (carrier), silicone paper</w:t>
            </w:r>
          </w:p>
        </w:tc>
        <w:tc>
          <w:tcPr>
            <w:tcW w:w="0" w:type="auto"/>
            <w:shd w:val="clear" w:color="auto" w:fill="auto"/>
          </w:tcPr>
          <w:p w14:paraId="659C48D1" w14:textId="094B919B" w:rsidR="00E47017" w:rsidRPr="00E47017" w:rsidRDefault="00E47017" w:rsidP="00E47017">
            <w:pPr>
              <w:rPr>
                <w:rFonts w:eastAsia="Calibri"/>
                <w:iCs/>
                <w:sz w:val="18"/>
                <w:szCs w:val="16"/>
                <w:lang w:eastAsia="en-US"/>
              </w:rPr>
            </w:pPr>
            <w:r w:rsidRPr="00E4170B">
              <w:t>N/A</w:t>
            </w:r>
          </w:p>
        </w:tc>
        <w:tc>
          <w:tcPr>
            <w:tcW w:w="0" w:type="auto"/>
            <w:tcBorders>
              <w:top w:val="single" w:sz="4" w:space="0" w:color="auto"/>
            </w:tcBorders>
            <w:shd w:val="clear" w:color="auto" w:fill="auto"/>
          </w:tcPr>
          <w:p w14:paraId="37A268BF" w14:textId="14C4804B" w:rsidR="00E47017" w:rsidRPr="00B06767" w:rsidRDefault="00E47017" w:rsidP="00E47017">
            <w:pPr>
              <w:rPr>
                <w:rFonts w:eastAsia="Calibri"/>
                <w:sz w:val="18"/>
                <w:szCs w:val="16"/>
                <w:lang w:eastAsia="en-US"/>
              </w:rPr>
            </w:pPr>
            <w:r w:rsidRPr="00E4170B">
              <w:t>Non-professional</w:t>
            </w:r>
          </w:p>
        </w:tc>
        <w:tc>
          <w:tcPr>
            <w:tcW w:w="0" w:type="auto"/>
          </w:tcPr>
          <w:p w14:paraId="6C9933A9" w14:textId="63A49F76" w:rsidR="00E47017" w:rsidRPr="00B06767" w:rsidRDefault="00E47017" w:rsidP="00E47017">
            <w:pPr>
              <w:rPr>
                <w:rFonts w:eastAsia="Calibri"/>
                <w:sz w:val="18"/>
                <w:szCs w:val="16"/>
                <w:lang w:eastAsia="en-US"/>
              </w:rPr>
            </w:pPr>
            <w:r w:rsidRPr="00E4170B">
              <w:t>Yes</w:t>
            </w:r>
          </w:p>
        </w:tc>
      </w:tr>
    </w:tbl>
    <w:p w14:paraId="4B6B82AA" w14:textId="0ED41AEB" w:rsidR="00681FFD" w:rsidRPr="00F11990" w:rsidRDefault="00681FFD" w:rsidP="00F76DFB">
      <w:pPr>
        <w:widowControl/>
        <w:jc w:val="both"/>
        <w:rPr>
          <w:rFonts w:eastAsia="Calibri" w:cs="Arial"/>
          <w:b/>
          <w:sz w:val="24"/>
          <w:szCs w:val="18"/>
          <w:lang w:val="fr-FR" w:eastAsia="sv-SE"/>
        </w:rPr>
      </w:pPr>
      <w:bookmarkStart w:id="68" w:name="_Toc40273840"/>
      <w:bookmarkStart w:id="69" w:name="_Toc41555052"/>
      <w:bookmarkStart w:id="70" w:name="_Toc41565173"/>
      <w:bookmarkEnd w:id="67"/>
      <w:r w:rsidRPr="00F11990">
        <w:rPr>
          <w:rFonts w:eastAsia="Calibri"/>
          <w:lang w:val="fr-FR" w:eastAsia="sv-SE"/>
        </w:rPr>
        <w:br w:type="page"/>
      </w:r>
    </w:p>
    <w:p w14:paraId="29779554" w14:textId="3DA21740" w:rsidR="00C727A2" w:rsidRPr="00B06767" w:rsidRDefault="00365D73" w:rsidP="00C13C8F">
      <w:pPr>
        <w:pStyle w:val="Heading2"/>
        <w:rPr>
          <w:rFonts w:eastAsia="Calibri"/>
          <w:lang w:eastAsia="sv-SE"/>
        </w:rPr>
      </w:pPr>
      <w:bookmarkStart w:id="71" w:name="_Toc164777676"/>
      <w:r w:rsidRPr="00B06767">
        <w:rPr>
          <w:rFonts w:eastAsia="Calibri"/>
          <w:lang w:eastAsia="sv-SE"/>
        </w:rPr>
        <w:lastRenderedPageBreak/>
        <w:t>Physical, chemical</w:t>
      </w:r>
      <w:r w:rsidR="00555435">
        <w:rPr>
          <w:rFonts w:eastAsia="Calibri"/>
          <w:lang w:eastAsia="sv-SE"/>
        </w:rPr>
        <w:t>,</w:t>
      </w:r>
      <w:r w:rsidRPr="00B06767">
        <w:rPr>
          <w:rFonts w:eastAsia="Calibri"/>
          <w:lang w:eastAsia="sv-SE"/>
        </w:rPr>
        <w:t xml:space="preserve"> and technical properties</w:t>
      </w:r>
      <w:bookmarkEnd w:id="71"/>
      <w:r w:rsidRPr="00B06767">
        <w:rPr>
          <w:rFonts w:eastAsia="Calibri"/>
          <w:lang w:eastAsia="sv-SE"/>
        </w:rPr>
        <w:t xml:space="preserve"> </w:t>
      </w:r>
      <w:bookmarkEnd w:id="68"/>
      <w:bookmarkEnd w:id="69"/>
      <w:bookmarkEnd w:id="70"/>
    </w:p>
    <w:p w14:paraId="1867364A" w14:textId="24769383" w:rsidR="002D7A7A" w:rsidRDefault="00E47017" w:rsidP="0084770A">
      <w:pPr>
        <w:contextualSpacing/>
        <w:jc w:val="both"/>
      </w:pPr>
      <w:r w:rsidRPr="00E47017">
        <w:rPr>
          <w:rFonts w:eastAsia="Calibri"/>
          <w:iCs/>
          <w:lang w:eastAsia="sv-SE"/>
        </w:rPr>
        <w:t xml:space="preserve">The </w:t>
      </w:r>
      <w:r w:rsidR="0084770A">
        <w:rPr>
          <w:rFonts w:eastAsia="Calibri"/>
          <w:iCs/>
          <w:lang w:eastAsia="sv-SE"/>
        </w:rPr>
        <w:t>change in packaging size does not impact the p</w:t>
      </w:r>
      <w:r w:rsidR="0084770A" w:rsidRPr="0084770A">
        <w:rPr>
          <w:rFonts w:eastAsia="Calibri"/>
          <w:iCs/>
          <w:lang w:eastAsia="sv-SE"/>
        </w:rPr>
        <w:t>hysical, chemical, and technical properties</w:t>
      </w:r>
      <w:r w:rsidR="0084770A">
        <w:rPr>
          <w:rFonts w:eastAsia="Calibri"/>
          <w:iCs/>
          <w:lang w:eastAsia="sv-SE"/>
        </w:rPr>
        <w:t xml:space="preserve"> of the biocidal product. As such, no new test data was submitted, not considered necessary. The evaluation and conclusion, as </w:t>
      </w:r>
      <w:r w:rsidR="0084770A" w:rsidRPr="0084770A">
        <w:rPr>
          <w:rFonts w:eastAsia="Calibri"/>
          <w:iCs/>
          <w:lang w:eastAsia="sv-SE"/>
        </w:rPr>
        <w:t>described in the original Product Assessment Report (PAR) by BE CA dated December 2022</w:t>
      </w:r>
      <w:r w:rsidR="0084770A">
        <w:rPr>
          <w:rFonts w:eastAsia="Calibri"/>
          <w:iCs/>
          <w:lang w:eastAsia="sv-SE"/>
        </w:rPr>
        <w:t xml:space="preserve">, remains valid without any </w:t>
      </w:r>
      <w:proofErr w:type="spellStart"/>
      <w:r w:rsidR="0084770A">
        <w:rPr>
          <w:rFonts w:eastAsia="Calibri"/>
          <w:iCs/>
          <w:lang w:eastAsia="sv-SE"/>
        </w:rPr>
        <w:t>change.</w:t>
      </w:r>
      <w:bookmarkStart w:id="72" w:name="_Toc26187725"/>
      <w:bookmarkStart w:id="73" w:name="_Toc26189389"/>
      <w:bookmarkStart w:id="74" w:name="_Toc26191053"/>
      <w:bookmarkStart w:id="75" w:name="_Toc26192723"/>
      <w:bookmarkStart w:id="76" w:name="_Toc26194389"/>
      <w:bookmarkStart w:id="77" w:name="_Toc26187726"/>
      <w:bookmarkStart w:id="78" w:name="_Toc26189390"/>
      <w:bookmarkStart w:id="79" w:name="_Toc26191054"/>
      <w:bookmarkStart w:id="80" w:name="_Toc26192724"/>
      <w:bookmarkStart w:id="81" w:name="_Toc26194390"/>
      <w:bookmarkStart w:id="82" w:name="_Toc389729029"/>
      <w:bookmarkStart w:id="83" w:name="_Toc403472741"/>
      <w:bookmarkStart w:id="84" w:name="_Toc25922552"/>
      <w:bookmarkStart w:id="85" w:name="_Toc26256010"/>
      <w:bookmarkStart w:id="86" w:name="_Toc40273841"/>
      <w:bookmarkStart w:id="87" w:name="_Toc41555053"/>
      <w:bookmarkStart w:id="88" w:name="_Toc41565174"/>
      <w:bookmarkEnd w:id="72"/>
      <w:bookmarkEnd w:id="73"/>
      <w:bookmarkEnd w:id="74"/>
      <w:bookmarkEnd w:id="75"/>
      <w:bookmarkEnd w:id="76"/>
      <w:bookmarkEnd w:id="77"/>
      <w:bookmarkEnd w:id="78"/>
      <w:bookmarkEnd w:id="79"/>
      <w:bookmarkEnd w:id="80"/>
      <w:bookmarkEnd w:id="81"/>
      <w:r w:rsidR="002D7A7A" w:rsidRPr="00555435">
        <w:t>Physical</w:t>
      </w:r>
      <w:proofErr w:type="spellEnd"/>
      <w:r w:rsidR="002D7A7A" w:rsidRPr="00555435">
        <w:t xml:space="preserve"> hazards and respective characteristics</w:t>
      </w:r>
      <w:bookmarkEnd w:id="82"/>
      <w:bookmarkEnd w:id="83"/>
      <w:bookmarkEnd w:id="84"/>
      <w:bookmarkEnd w:id="85"/>
      <w:bookmarkEnd w:id="86"/>
      <w:bookmarkEnd w:id="87"/>
      <w:bookmarkEnd w:id="88"/>
    </w:p>
    <w:p w14:paraId="3528E0E1" w14:textId="77777777" w:rsidR="0084770A" w:rsidRDefault="0084770A" w:rsidP="0084770A">
      <w:pPr>
        <w:contextualSpacing/>
        <w:jc w:val="both"/>
      </w:pPr>
    </w:p>
    <w:p w14:paraId="408F9A92" w14:textId="7FC9C528" w:rsidR="0084770A" w:rsidRPr="00B06767" w:rsidRDefault="0084770A" w:rsidP="00C13C8F">
      <w:pPr>
        <w:pStyle w:val="Heading2"/>
        <w:rPr>
          <w:rFonts w:eastAsia="Calibri"/>
          <w:lang w:eastAsia="sv-SE"/>
        </w:rPr>
      </w:pPr>
      <w:bookmarkStart w:id="89" w:name="_Toc164777677"/>
      <w:r w:rsidRPr="0084770A">
        <w:rPr>
          <w:rFonts w:eastAsia="Calibri"/>
          <w:lang w:eastAsia="sv-SE"/>
        </w:rPr>
        <w:t>Physical hazards and respective characteristics</w:t>
      </w:r>
      <w:bookmarkEnd w:id="89"/>
      <w:r w:rsidRPr="00B06767">
        <w:rPr>
          <w:rFonts w:eastAsia="Calibri"/>
          <w:lang w:eastAsia="sv-SE"/>
        </w:rPr>
        <w:t xml:space="preserve"> </w:t>
      </w:r>
    </w:p>
    <w:p w14:paraId="6029B305" w14:textId="3ACC5AF7" w:rsidR="0084770A" w:rsidRDefault="0084770A" w:rsidP="0084770A">
      <w:pPr>
        <w:contextualSpacing/>
        <w:jc w:val="both"/>
        <w:rPr>
          <w:rFonts w:eastAsia="Calibri"/>
          <w:iCs/>
          <w:lang w:eastAsia="sv-SE"/>
        </w:rPr>
      </w:pPr>
      <w:r w:rsidRPr="00E47017">
        <w:rPr>
          <w:rFonts w:eastAsia="Calibri"/>
          <w:iCs/>
          <w:lang w:eastAsia="sv-SE"/>
        </w:rPr>
        <w:t xml:space="preserve">The </w:t>
      </w:r>
      <w:r>
        <w:rPr>
          <w:rFonts w:eastAsia="Calibri"/>
          <w:iCs/>
          <w:lang w:eastAsia="sv-SE"/>
        </w:rPr>
        <w:t>change in packaging size does not impact the p</w:t>
      </w:r>
      <w:r w:rsidRPr="0084770A">
        <w:rPr>
          <w:rFonts w:eastAsia="Calibri"/>
          <w:iCs/>
          <w:lang w:eastAsia="sv-SE"/>
        </w:rPr>
        <w:t>hysical hazards and respective characteristics</w:t>
      </w:r>
      <w:r>
        <w:rPr>
          <w:rFonts w:eastAsia="Calibri"/>
          <w:iCs/>
          <w:lang w:eastAsia="sv-SE"/>
        </w:rPr>
        <w:t xml:space="preserve"> of the biocidal product. As such, no new test data was submitted, not considered necessary. The evaluation and conclusion, as </w:t>
      </w:r>
      <w:r w:rsidRPr="0084770A">
        <w:rPr>
          <w:rFonts w:eastAsia="Calibri"/>
          <w:iCs/>
          <w:lang w:eastAsia="sv-SE"/>
        </w:rPr>
        <w:t>described in the original Product Assessment Report (PAR) by BE CA dated December 2022</w:t>
      </w:r>
      <w:r>
        <w:rPr>
          <w:rFonts w:eastAsia="Calibri"/>
          <w:iCs/>
          <w:lang w:eastAsia="sv-SE"/>
        </w:rPr>
        <w:t>, remains valid without any change.</w:t>
      </w:r>
    </w:p>
    <w:p w14:paraId="7391A881" w14:textId="77777777" w:rsidR="0084770A" w:rsidRDefault="0084770A" w:rsidP="0084770A">
      <w:pPr>
        <w:contextualSpacing/>
        <w:jc w:val="both"/>
      </w:pPr>
    </w:p>
    <w:p w14:paraId="7D6BFF0D" w14:textId="70DA604A" w:rsidR="0084770A" w:rsidRPr="00B06767" w:rsidRDefault="0084770A" w:rsidP="00C13C8F">
      <w:pPr>
        <w:pStyle w:val="Heading2"/>
        <w:rPr>
          <w:rFonts w:eastAsia="Calibri"/>
          <w:lang w:eastAsia="sv-SE"/>
        </w:rPr>
      </w:pPr>
      <w:bookmarkStart w:id="90" w:name="_Toc164777678"/>
      <w:r w:rsidRPr="0084770A">
        <w:rPr>
          <w:rFonts w:eastAsia="Calibri"/>
          <w:lang w:eastAsia="sv-SE"/>
        </w:rPr>
        <w:t>Methods for detection and identification</w:t>
      </w:r>
      <w:bookmarkEnd w:id="90"/>
      <w:r w:rsidRPr="00B06767">
        <w:rPr>
          <w:rFonts w:eastAsia="Calibri"/>
          <w:lang w:eastAsia="sv-SE"/>
        </w:rPr>
        <w:t xml:space="preserve"> </w:t>
      </w:r>
    </w:p>
    <w:p w14:paraId="33248870" w14:textId="1BBE4045" w:rsidR="0084770A" w:rsidRDefault="0084770A" w:rsidP="0084770A">
      <w:pPr>
        <w:contextualSpacing/>
        <w:jc w:val="both"/>
      </w:pPr>
      <w:r w:rsidRPr="00E47017">
        <w:rPr>
          <w:rFonts w:eastAsia="Calibri"/>
          <w:iCs/>
          <w:lang w:eastAsia="sv-SE"/>
        </w:rPr>
        <w:t xml:space="preserve">The </w:t>
      </w:r>
      <w:r>
        <w:rPr>
          <w:rFonts w:eastAsia="Calibri"/>
          <w:iCs/>
          <w:lang w:eastAsia="sv-SE"/>
        </w:rPr>
        <w:t>change in packaging size does not impact the m</w:t>
      </w:r>
      <w:r w:rsidRPr="0084770A">
        <w:rPr>
          <w:rFonts w:eastAsia="Calibri"/>
          <w:iCs/>
          <w:lang w:eastAsia="sv-SE"/>
        </w:rPr>
        <w:t>ethods for detection and identification</w:t>
      </w:r>
      <w:r>
        <w:rPr>
          <w:rFonts w:eastAsia="Calibri"/>
          <w:iCs/>
          <w:lang w:eastAsia="sv-SE"/>
        </w:rPr>
        <w:t xml:space="preserve">. As such, no new test data was submitted, not considered necessary. The evaluation and conclusion, as </w:t>
      </w:r>
      <w:r w:rsidRPr="0084770A">
        <w:rPr>
          <w:rFonts w:eastAsia="Calibri"/>
          <w:iCs/>
          <w:lang w:eastAsia="sv-SE"/>
        </w:rPr>
        <w:t>described in the original Product Assessment Report (PAR) by BE CA dated December 2022</w:t>
      </w:r>
      <w:r>
        <w:rPr>
          <w:rFonts w:eastAsia="Calibri"/>
          <w:iCs/>
          <w:lang w:eastAsia="sv-SE"/>
        </w:rPr>
        <w:t>, remains valid without any change.</w:t>
      </w:r>
    </w:p>
    <w:p w14:paraId="6C70AA70" w14:textId="77777777" w:rsidR="0084770A" w:rsidRPr="00555435" w:rsidRDefault="0084770A" w:rsidP="0084770A">
      <w:pPr>
        <w:contextualSpacing/>
        <w:jc w:val="both"/>
      </w:pPr>
    </w:p>
    <w:sectPr w:rsidR="0084770A" w:rsidRPr="00555435" w:rsidSect="0084770A">
      <w:headerReference w:type="default" r:id="rId17"/>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C1C48" w14:textId="77777777" w:rsidR="00C16FB6" w:rsidRDefault="00C16FB6" w:rsidP="002D7A7A">
      <w:r>
        <w:separator/>
      </w:r>
    </w:p>
    <w:p w14:paraId="1395EBCC" w14:textId="77777777" w:rsidR="00C16FB6" w:rsidRDefault="00C16FB6"/>
    <w:p w14:paraId="7983AB53" w14:textId="77777777" w:rsidR="00C16FB6" w:rsidRDefault="00C16FB6"/>
    <w:p w14:paraId="4B509486" w14:textId="77777777" w:rsidR="00C16FB6" w:rsidRDefault="00C16FB6"/>
  </w:endnote>
  <w:endnote w:type="continuationSeparator" w:id="0">
    <w:p w14:paraId="66CAD4C7" w14:textId="77777777" w:rsidR="00C16FB6" w:rsidRDefault="00C16FB6" w:rsidP="002D7A7A">
      <w:r>
        <w:continuationSeparator/>
      </w:r>
    </w:p>
    <w:p w14:paraId="0E51BE86" w14:textId="77777777" w:rsidR="00C16FB6" w:rsidRDefault="00C16FB6"/>
    <w:p w14:paraId="7106C131" w14:textId="77777777" w:rsidR="00C16FB6" w:rsidRDefault="00C16FB6"/>
    <w:p w14:paraId="2B2E5C94" w14:textId="77777777" w:rsidR="00C16FB6" w:rsidRDefault="00C16FB6"/>
  </w:endnote>
  <w:endnote w:type="continuationNotice" w:id="1">
    <w:p w14:paraId="6CC72F2C" w14:textId="77777777" w:rsidR="00C16FB6" w:rsidRDefault="00C16FB6"/>
    <w:p w14:paraId="30699469" w14:textId="77777777" w:rsidR="00C16FB6" w:rsidRDefault="00C16FB6"/>
    <w:p w14:paraId="5D6F497F" w14:textId="77777777" w:rsidR="00C16FB6" w:rsidRDefault="00C16FB6"/>
    <w:p w14:paraId="116386AC" w14:textId="77777777" w:rsidR="00C16FB6" w:rsidRDefault="00C16F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Pro">
    <w:charset w:val="00"/>
    <w:family w:val="swiss"/>
    <w:pitch w:val="variable"/>
    <w:sig w:usb0="80000287" w:usb1="0000004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ACBB" w14:textId="77777777" w:rsidR="00196378" w:rsidRPr="000D70F9" w:rsidRDefault="00196378">
    <w:pPr>
      <w:jc w:val="right"/>
      <w:rPr>
        <w:sz w:val="16"/>
        <w:szCs w:val="16"/>
      </w:rPr>
    </w:pPr>
    <w:r w:rsidRPr="000D70F9">
      <w:rPr>
        <w:sz w:val="16"/>
        <w:szCs w:val="16"/>
      </w:rPr>
      <w:fldChar w:fldCharType="begin"/>
    </w:r>
    <w:r w:rsidRPr="000D70F9">
      <w:rPr>
        <w:sz w:val="16"/>
        <w:szCs w:val="16"/>
      </w:rPr>
      <w:instrText xml:space="preserve"> PAGE   \* MERGEFORMAT </w:instrText>
    </w:r>
    <w:r w:rsidRPr="000D70F9">
      <w:rPr>
        <w:sz w:val="16"/>
        <w:szCs w:val="16"/>
      </w:rPr>
      <w:fldChar w:fldCharType="separate"/>
    </w:r>
    <w:r>
      <w:rPr>
        <w:noProof/>
        <w:sz w:val="16"/>
        <w:szCs w:val="16"/>
      </w:rPr>
      <w:t>2</w:t>
    </w:r>
    <w:r w:rsidRPr="000D70F9">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24760" w14:textId="77777777" w:rsidR="00C16FB6" w:rsidRDefault="00C16FB6">
      <w:r>
        <w:separator/>
      </w:r>
    </w:p>
  </w:footnote>
  <w:footnote w:type="continuationSeparator" w:id="0">
    <w:p w14:paraId="4BE4F5F1" w14:textId="77777777" w:rsidR="00C16FB6" w:rsidRDefault="00C16FB6" w:rsidP="002D7A7A">
      <w:r>
        <w:continuationSeparator/>
      </w:r>
    </w:p>
    <w:p w14:paraId="29BBF804" w14:textId="77777777" w:rsidR="00C16FB6" w:rsidRDefault="00C16FB6"/>
    <w:p w14:paraId="2B2686A6" w14:textId="77777777" w:rsidR="00C16FB6" w:rsidRDefault="00C16FB6"/>
    <w:p w14:paraId="000855F1" w14:textId="77777777" w:rsidR="00C16FB6" w:rsidRDefault="00C16FB6"/>
  </w:footnote>
  <w:footnote w:type="continuationNotice" w:id="1">
    <w:p w14:paraId="51161F7E" w14:textId="77777777" w:rsidR="00C16FB6" w:rsidRDefault="00C16FB6"/>
    <w:p w14:paraId="58C318B0" w14:textId="77777777" w:rsidR="00C16FB6" w:rsidRDefault="00C16FB6"/>
    <w:p w14:paraId="4F96F1B3" w14:textId="77777777" w:rsidR="00C16FB6" w:rsidRDefault="00C16FB6"/>
    <w:p w14:paraId="6CC35117" w14:textId="77777777" w:rsidR="00C16FB6" w:rsidRDefault="00C16F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1256"/>
      <w:gridCol w:w="5444"/>
      <w:gridCol w:w="2514"/>
    </w:tblGrid>
    <w:tr w:rsidR="00196378" w14:paraId="00C593D1" w14:textId="77777777" w:rsidTr="001464F7">
      <w:trPr>
        <w:trHeight w:val="329"/>
      </w:trPr>
      <w:tc>
        <w:tcPr>
          <w:tcW w:w="682" w:type="pct"/>
          <w:tcBorders>
            <w:bottom w:val="single" w:sz="4" w:space="0" w:color="000000"/>
          </w:tcBorders>
          <w:shd w:val="clear" w:color="auto" w:fill="auto"/>
          <w:vAlign w:val="center"/>
        </w:tcPr>
        <w:p w14:paraId="15316E8A" w14:textId="2406470E" w:rsidR="00196378" w:rsidRDefault="00C74402" w:rsidP="00674CD5">
          <w:pPr>
            <w:autoSpaceDE w:val="0"/>
            <w:jc w:val="center"/>
            <w:rPr>
              <w:rFonts w:cs="Times"/>
              <w:color w:val="000000"/>
              <w:sz w:val="18"/>
              <w:szCs w:val="18"/>
            </w:rPr>
          </w:pPr>
          <w:r>
            <w:rPr>
              <w:rFonts w:cs="Times"/>
              <w:color w:val="000000"/>
              <w:sz w:val="18"/>
              <w:szCs w:val="18"/>
            </w:rPr>
            <w:t>BE</w:t>
          </w:r>
        </w:p>
      </w:tc>
      <w:tc>
        <w:tcPr>
          <w:tcW w:w="2954" w:type="pct"/>
          <w:tcBorders>
            <w:bottom w:val="single" w:sz="4" w:space="0" w:color="000000"/>
          </w:tcBorders>
          <w:shd w:val="clear" w:color="auto" w:fill="auto"/>
          <w:vAlign w:val="center"/>
        </w:tcPr>
        <w:p w14:paraId="246A57FC" w14:textId="61620B32" w:rsidR="00196378" w:rsidRDefault="00621ADA" w:rsidP="00674CD5">
          <w:pPr>
            <w:autoSpaceDE w:val="0"/>
            <w:jc w:val="center"/>
            <w:rPr>
              <w:rFonts w:cs="Times"/>
              <w:color w:val="000000"/>
              <w:sz w:val="18"/>
              <w:szCs w:val="18"/>
            </w:rPr>
          </w:pPr>
          <w:r w:rsidRPr="00621ADA">
            <w:rPr>
              <w:rFonts w:cs="Times"/>
              <w:color w:val="000000"/>
              <w:sz w:val="18"/>
              <w:szCs w:val="18"/>
            </w:rPr>
            <w:t>SAFWS002</w:t>
          </w:r>
        </w:p>
      </w:tc>
      <w:tc>
        <w:tcPr>
          <w:tcW w:w="1364" w:type="pct"/>
          <w:tcBorders>
            <w:bottom w:val="single" w:sz="4" w:space="0" w:color="000000"/>
          </w:tcBorders>
          <w:shd w:val="clear" w:color="auto" w:fill="auto"/>
          <w:vAlign w:val="center"/>
        </w:tcPr>
        <w:p w14:paraId="1EBE2CB3" w14:textId="0A04E0F9" w:rsidR="00196378" w:rsidRDefault="00C74402" w:rsidP="00674CD5">
          <w:pPr>
            <w:autoSpaceDE w:val="0"/>
            <w:jc w:val="center"/>
          </w:pPr>
          <w:r>
            <w:rPr>
              <w:rFonts w:cs="Times"/>
              <w:color w:val="000000"/>
              <w:sz w:val="18"/>
              <w:szCs w:val="18"/>
            </w:rPr>
            <w:t>PT19</w:t>
          </w:r>
        </w:p>
      </w:tc>
    </w:tr>
  </w:tbl>
  <w:p w14:paraId="748B4132" w14:textId="6CC49A30" w:rsidR="00196378" w:rsidRPr="00345D74" w:rsidRDefault="00196378" w:rsidP="00345D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1257"/>
      <w:gridCol w:w="5445"/>
      <w:gridCol w:w="2512"/>
    </w:tblGrid>
    <w:tr w:rsidR="00196378" w14:paraId="0A07442F" w14:textId="77777777" w:rsidTr="00A00ECE">
      <w:trPr>
        <w:trHeight w:val="329"/>
      </w:trPr>
      <w:tc>
        <w:tcPr>
          <w:tcW w:w="682" w:type="pct"/>
          <w:tcBorders>
            <w:bottom w:val="single" w:sz="4" w:space="0" w:color="000000"/>
          </w:tcBorders>
          <w:shd w:val="clear" w:color="auto" w:fill="auto"/>
          <w:vAlign w:val="center"/>
        </w:tcPr>
        <w:p w14:paraId="3CD1164B" w14:textId="1B0F2D20" w:rsidR="00196378" w:rsidRDefault="00621ADA" w:rsidP="004E0919">
          <w:pPr>
            <w:autoSpaceDE w:val="0"/>
            <w:jc w:val="center"/>
            <w:rPr>
              <w:rFonts w:cs="Times"/>
              <w:color w:val="000000"/>
              <w:sz w:val="18"/>
              <w:szCs w:val="18"/>
            </w:rPr>
          </w:pPr>
          <w:r>
            <w:rPr>
              <w:rFonts w:cs="Times"/>
              <w:color w:val="000000"/>
              <w:sz w:val="18"/>
              <w:szCs w:val="18"/>
            </w:rPr>
            <w:t>BE</w:t>
          </w:r>
        </w:p>
      </w:tc>
      <w:tc>
        <w:tcPr>
          <w:tcW w:w="2955" w:type="pct"/>
          <w:tcBorders>
            <w:bottom w:val="single" w:sz="4" w:space="0" w:color="000000"/>
          </w:tcBorders>
          <w:shd w:val="clear" w:color="auto" w:fill="auto"/>
          <w:vAlign w:val="center"/>
        </w:tcPr>
        <w:p w14:paraId="3C511B3B" w14:textId="4201CEB5" w:rsidR="00196378" w:rsidRDefault="00621ADA" w:rsidP="004E0919">
          <w:pPr>
            <w:autoSpaceDE w:val="0"/>
            <w:jc w:val="center"/>
            <w:rPr>
              <w:rFonts w:cs="Times"/>
              <w:color w:val="000000"/>
              <w:sz w:val="18"/>
              <w:szCs w:val="18"/>
            </w:rPr>
          </w:pPr>
          <w:r w:rsidRPr="00621ADA">
            <w:rPr>
              <w:rFonts w:cs="Times"/>
              <w:color w:val="000000"/>
              <w:sz w:val="18"/>
              <w:szCs w:val="18"/>
            </w:rPr>
            <w:t>SAFWS002</w:t>
          </w:r>
        </w:p>
      </w:tc>
      <w:tc>
        <w:tcPr>
          <w:tcW w:w="1363" w:type="pct"/>
          <w:tcBorders>
            <w:bottom w:val="single" w:sz="4" w:space="0" w:color="000000"/>
          </w:tcBorders>
          <w:shd w:val="clear" w:color="auto" w:fill="auto"/>
          <w:vAlign w:val="center"/>
        </w:tcPr>
        <w:p w14:paraId="0E8E7410" w14:textId="18CD015E" w:rsidR="00196378" w:rsidRDefault="00C74402" w:rsidP="004E0919">
          <w:pPr>
            <w:autoSpaceDE w:val="0"/>
            <w:jc w:val="center"/>
          </w:pPr>
          <w:r>
            <w:rPr>
              <w:rFonts w:cs="Times"/>
              <w:color w:val="000000"/>
              <w:sz w:val="18"/>
              <w:szCs w:val="18"/>
            </w:rPr>
            <w:t>PT19</w:t>
          </w:r>
        </w:p>
      </w:tc>
    </w:tr>
  </w:tbl>
  <w:p w14:paraId="53CF85A8" w14:textId="77777777" w:rsidR="00196378" w:rsidRDefault="00196378" w:rsidP="00CC060F">
    <w:pPr>
      <w:tabs>
        <w:tab w:val="left" w:pos="2694"/>
        <w:tab w:val="left" w:pos="8505"/>
        <w:tab w:val="left" w:pos="921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1256"/>
      <w:gridCol w:w="5444"/>
      <w:gridCol w:w="2514"/>
    </w:tblGrid>
    <w:tr w:rsidR="00196378" w14:paraId="117111CA" w14:textId="77777777" w:rsidTr="00185C1D">
      <w:trPr>
        <w:trHeight w:val="329"/>
      </w:trPr>
      <w:tc>
        <w:tcPr>
          <w:tcW w:w="682" w:type="pct"/>
          <w:tcBorders>
            <w:bottom w:val="single" w:sz="4" w:space="0" w:color="000000"/>
          </w:tcBorders>
          <w:shd w:val="clear" w:color="auto" w:fill="auto"/>
          <w:vAlign w:val="center"/>
        </w:tcPr>
        <w:p w14:paraId="6D3AC76B" w14:textId="4D82ED7B" w:rsidR="00196378" w:rsidRDefault="00621ADA" w:rsidP="008F32F9">
          <w:pPr>
            <w:autoSpaceDE w:val="0"/>
            <w:jc w:val="center"/>
            <w:rPr>
              <w:rFonts w:cs="Times"/>
              <w:color w:val="000000"/>
              <w:sz w:val="18"/>
              <w:szCs w:val="18"/>
            </w:rPr>
          </w:pPr>
          <w:r>
            <w:rPr>
              <w:rFonts w:cs="Times"/>
              <w:color w:val="000000"/>
              <w:sz w:val="18"/>
              <w:szCs w:val="18"/>
            </w:rPr>
            <w:t>BE</w:t>
          </w:r>
        </w:p>
      </w:tc>
      <w:tc>
        <w:tcPr>
          <w:tcW w:w="2954" w:type="pct"/>
          <w:tcBorders>
            <w:bottom w:val="single" w:sz="4" w:space="0" w:color="000000"/>
          </w:tcBorders>
          <w:shd w:val="clear" w:color="auto" w:fill="auto"/>
          <w:vAlign w:val="center"/>
        </w:tcPr>
        <w:p w14:paraId="030147DE" w14:textId="50739454" w:rsidR="00196378" w:rsidRDefault="00621ADA" w:rsidP="008F32F9">
          <w:pPr>
            <w:autoSpaceDE w:val="0"/>
            <w:jc w:val="center"/>
            <w:rPr>
              <w:rFonts w:cs="Times"/>
              <w:color w:val="000000"/>
              <w:sz w:val="18"/>
              <w:szCs w:val="18"/>
            </w:rPr>
          </w:pPr>
          <w:r w:rsidRPr="00621ADA">
            <w:rPr>
              <w:rFonts w:cs="Times"/>
              <w:color w:val="000000"/>
              <w:sz w:val="18"/>
              <w:szCs w:val="18"/>
            </w:rPr>
            <w:t>SAFWS002</w:t>
          </w:r>
        </w:p>
      </w:tc>
      <w:tc>
        <w:tcPr>
          <w:tcW w:w="1364" w:type="pct"/>
          <w:tcBorders>
            <w:bottom w:val="single" w:sz="4" w:space="0" w:color="000000"/>
          </w:tcBorders>
          <w:shd w:val="clear" w:color="auto" w:fill="auto"/>
          <w:vAlign w:val="center"/>
        </w:tcPr>
        <w:p w14:paraId="632EB20A" w14:textId="7CD57164" w:rsidR="00196378" w:rsidRDefault="00621ADA" w:rsidP="008F32F9">
          <w:pPr>
            <w:autoSpaceDE w:val="0"/>
            <w:jc w:val="center"/>
          </w:pPr>
          <w:r>
            <w:rPr>
              <w:rFonts w:cs="Times"/>
              <w:color w:val="000000"/>
              <w:sz w:val="18"/>
              <w:szCs w:val="18"/>
            </w:rPr>
            <w:t>PT19</w:t>
          </w:r>
        </w:p>
      </w:tc>
    </w:tr>
  </w:tbl>
  <w:p w14:paraId="39C428EE" w14:textId="77777777" w:rsidR="00196378" w:rsidRDefault="001963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2"/>
      <w:numFmt w:val="decimal"/>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1"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3" w15:restartNumberingAfterBreak="0">
    <w:nsid w:val="00000005"/>
    <w:multiLevelType w:val="singleLevel"/>
    <w:tmpl w:val="00000005"/>
    <w:name w:val="WW8Num24"/>
    <w:lvl w:ilvl="0">
      <w:start w:val="1"/>
      <w:numFmt w:val="bullet"/>
      <w:lvlText w:val=""/>
      <w:lvlJc w:val="left"/>
      <w:pPr>
        <w:tabs>
          <w:tab w:val="num" w:pos="283"/>
        </w:tabs>
        <w:ind w:left="2012" w:hanging="283"/>
      </w:pPr>
      <w:rPr>
        <w:rFonts w:ascii="Symbol" w:hAnsi="Symbol" w:cs="Symbol"/>
        <w:sz w:val="20"/>
      </w:rPr>
    </w:lvl>
  </w:abstractNum>
  <w:abstractNum w:abstractNumId="4" w15:restartNumberingAfterBreak="0">
    <w:nsid w:val="0145601B"/>
    <w:multiLevelType w:val="multilevel"/>
    <w:tmpl w:val="A1FE3A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72D033F"/>
    <w:multiLevelType w:val="multilevel"/>
    <w:tmpl w:val="59C432CC"/>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6" w15:restartNumberingAfterBreak="0">
    <w:nsid w:val="07C370EC"/>
    <w:multiLevelType w:val="hybridMultilevel"/>
    <w:tmpl w:val="C71065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B2E2354"/>
    <w:multiLevelType w:val="hybridMultilevel"/>
    <w:tmpl w:val="EE60A1B6"/>
    <w:lvl w:ilvl="0" w:tplc="2C8E9BF8">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C410B7"/>
    <w:multiLevelType w:val="hybridMultilevel"/>
    <w:tmpl w:val="EE000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290FDC"/>
    <w:multiLevelType w:val="hybridMultilevel"/>
    <w:tmpl w:val="3926BC28"/>
    <w:lvl w:ilvl="0" w:tplc="F8626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383E47"/>
    <w:multiLevelType w:val="hybridMultilevel"/>
    <w:tmpl w:val="EB2C7510"/>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EC184D"/>
    <w:multiLevelType w:val="multilevel"/>
    <w:tmpl w:val="B22231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083F12"/>
    <w:multiLevelType w:val="hybridMultilevel"/>
    <w:tmpl w:val="8AC89AE8"/>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6D12A2"/>
    <w:multiLevelType w:val="hybridMultilevel"/>
    <w:tmpl w:val="1C8A2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CE17B1"/>
    <w:multiLevelType w:val="hybridMultilevel"/>
    <w:tmpl w:val="2F181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DDA65FF"/>
    <w:multiLevelType w:val="hybridMultilevel"/>
    <w:tmpl w:val="5CF48E7C"/>
    <w:lvl w:ilvl="0" w:tplc="F8626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6A0FED"/>
    <w:multiLevelType w:val="hybridMultilevel"/>
    <w:tmpl w:val="DA8E1E36"/>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222004"/>
    <w:multiLevelType w:val="hybridMultilevel"/>
    <w:tmpl w:val="68981FBC"/>
    <w:lvl w:ilvl="0" w:tplc="58342E7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274D89"/>
    <w:multiLevelType w:val="multilevel"/>
    <w:tmpl w:val="88A6D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1F757CCC"/>
    <w:multiLevelType w:val="multilevel"/>
    <w:tmpl w:val="4B44F80A"/>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20" w15:restartNumberingAfterBreak="0">
    <w:nsid w:val="202A3334"/>
    <w:multiLevelType w:val="multilevel"/>
    <w:tmpl w:val="0226D2B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0B87228"/>
    <w:multiLevelType w:val="hybridMultilevel"/>
    <w:tmpl w:val="6DE4346A"/>
    <w:lvl w:ilvl="0" w:tplc="58342E70">
      <w:start w:val="5"/>
      <w:numFmt w:val="bullet"/>
      <w:lvlText w:val="-"/>
      <w:lvlJc w:val="left"/>
      <w:pPr>
        <w:ind w:left="360" w:hanging="360"/>
      </w:pPr>
      <w:rPr>
        <w:rFonts w:ascii="Verdana" w:eastAsia="Times New Roman" w:hAnsi="Verdana" w:cs="Times New Roman" w:hint="default"/>
      </w:rPr>
    </w:lvl>
    <w:lvl w:ilvl="1" w:tplc="CC5CA1A4">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55F665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B865CE1"/>
    <w:multiLevelType w:val="hybridMultilevel"/>
    <w:tmpl w:val="BB1A8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D206155"/>
    <w:multiLevelType w:val="hybridMultilevel"/>
    <w:tmpl w:val="92F67328"/>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C16CFA"/>
    <w:multiLevelType w:val="hybridMultilevel"/>
    <w:tmpl w:val="F894E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2744DA"/>
    <w:multiLevelType w:val="hybridMultilevel"/>
    <w:tmpl w:val="232A4D72"/>
    <w:lvl w:ilvl="0" w:tplc="F86267D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8C925B7"/>
    <w:multiLevelType w:val="hybridMultilevel"/>
    <w:tmpl w:val="1EB43688"/>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9A5A47"/>
    <w:multiLevelType w:val="hybridMultilevel"/>
    <w:tmpl w:val="409C2A12"/>
    <w:lvl w:ilvl="0" w:tplc="096CD89C">
      <w:numFmt w:val="bullet"/>
      <w:lvlText w:val="-"/>
      <w:lvlJc w:val="left"/>
      <w:pPr>
        <w:ind w:left="36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640785"/>
    <w:multiLevelType w:val="hybridMultilevel"/>
    <w:tmpl w:val="56E86B70"/>
    <w:lvl w:ilvl="0" w:tplc="58342E70">
      <w:start w:val="5"/>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FFA2C51"/>
    <w:multiLevelType w:val="hybridMultilevel"/>
    <w:tmpl w:val="5F3859B6"/>
    <w:lvl w:ilvl="0" w:tplc="B7DAC08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1744056"/>
    <w:multiLevelType w:val="hybridMultilevel"/>
    <w:tmpl w:val="AFD4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BE5D6D"/>
    <w:multiLevelType w:val="hybridMultilevel"/>
    <w:tmpl w:val="9470F156"/>
    <w:lvl w:ilvl="0" w:tplc="58342E70">
      <w:start w:val="5"/>
      <w:numFmt w:val="bullet"/>
      <w:lvlText w:val="-"/>
      <w:lvlJc w:val="left"/>
      <w:pPr>
        <w:ind w:left="720" w:hanging="360"/>
      </w:pPr>
      <w:rPr>
        <w:rFonts w:ascii="Verdana" w:eastAsia="Times New Roman" w:hAnsi="Verdan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44666FB"/>
    <w:multiLevelType w:val="multilevel"/>
    <w:tmpl w:val="94F4FD30"/>
    <w:lvl w:ilvl="0">
      <w:start w:val="1"/>
      <w:numFmt w:val="decimal"/>
      <w:lvlText w:val="%1"/>
      <w:lvlJc w:val="left"/>
      <w:pPr>
        <w:ind w:left="284" w:hanging="284"/>
      </w:pPr>
      <w:rPr>
        <w:rFonts w:hint="default"/>
        <w:b/>
        <w:i w:val="0"/>
        <w:caps w:val="0"/>
        <w:strike w:val="0"/>
        <w:dstrike w:val="0"/>
        <w:vanish w:val="0"/>
        <w:color w:val="auto"/>
        <w:sz w:val="26"/>
        <w:szCs w:val="20"/>
        <w:vertAlign w:val="baseline"/>
      </w:rPr>
    </w:lvl>
    <w:lvl w:ilvl="1">
      <w:start w:val="1"/>
      <w:numFmt w:val="decimal"/>
      <w:lvlText w:val="%1.%2"/>
      <w:lvlJc w:val="left"/>
      <w:pPr>
        <w:ind w:left="567" w:hanging="567"/>
      </w:pPr>
      <w:rPr>
        <w:rFonts w:hint="default"/>
        <w:b/>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i w:val="0"/>
        <w:color w:val="auto"/>
        <w:sz w:val="22"/>
      </w:rPr>
    </w:lvl>
    <w:lvl w:ilvl="3">
      <w:start w:val="1"/>
      <w:numFmt w:val="decimal"/>
      <w:lvlText w:val="%1.%2.%3.%4"/>
      <w:lvlJc w:val="left"/>
      <w:pPr>
        <w:ind w:left="864" w:hanging="864"/>
      </w:pPr>
      <w:rPr>
        <w:rFonts w:hint="default"/>
        <w:b/>
        <w:i w:val="0"/>
        <w:sz w:val="20"/>
      </w:rPr>
    </w:lvl>
    <w:lvl w:ilvl="4">
      <w:start w:val="1"/>
      <w:numFmt w:val="decimal"/>
      <w:lvlText w:val="%1.%2.%3.%4.%5"/>
      <w:lvlJc w:val="left"/>
      <w:pPr>
        <w:ind w:left="1008" w:hanging="1008"/>
      </w:pPr>
      <w:rPr>
        <w:rFonts w:hint="default"/>
        <w:b/>
        <w:i w:val="0"/>
        <w:color w:val="auto"/>
        <w:sz w:val="20"/>
      </w:rPr>
    </w:lvl>
    <w:lvl w:ilvl="5">
      <w:start w:val="1"/>
      <w:numFmt w:val="decimal"/>
      <w:lvlText w:val="%1.%2.%3.%4.%5.%6"/>
      <w:lvlJc w:val="left"/>
      <w:pPr>
        <w:ind w:left="1152" w:hanging="1152"/>
      </w:pPr>
      <w:rPr>
        <w:rFonts w:hint="default"/>
        <w:b/>
        <w:i w:val="0"/>
        <w:color w:val="auto"/>
        <w:sz w:val="20"/>
      </w:rPr>
    </w:lvl>
    <w:lvl w:ilvl="6">
      <w:start w:val="1"/>
      <w:numFmt w:val="decimal"/>
      <w:lvlText w:val="%1.%2.%3.%4.%5.%6.%7"/>
      <w:lvlJc w:val="left"/>
      <w:pPr>
        <w:ind w:left="1296" w:hanging="1296"/>
      </w:pPr>
      <w:rPr>
        <w:rFonts w:hint="default"/>
        <w:b/>
        <w:i w:val="0"/>
        <w:color w:val="auto"/>
        <w:sz w:val="20"/>
      </w:rPr>
    </w:lvl>
    <w:lvl w:ilvl="7">
      <w:start w:val="1"/>
      <w:numFmt w:val="decimal"/>
      <w:lvlText w:val="%1.%2.%3.%4.%5.%6.%7.%8"/>
      <w:lvlJc w:val="left"/>
      <w:pPr>
        <w:ind w:left="1440" w:hanging="1440"/>
      </w:pPr>
      <w:rPr>
        <w:rFonts w:hint="default"/>
        <w:b/>
        <w:i w:val="0"/>
        <w:sz w:val="20"/>
      </w:rPr>
    </w:lvl>
    <w:lvl w:ilvl="8">
      <w:start w:val="1"/>
      <w:numFmt w:val="decimal"/>
      <w:lvlText w:val="%1.%2.%3.%4.%5.%6.%7.%8.%9"/>
      <w:lvlJc w:val="left"/>
      <w:pPr>
        <w:ind w:left="1584" w:hanging="1584"/>
      </w:pPr>
      <w:rPr>
        <w:rFonts w:hint="default"/>
        <w:b/>
        <w:i w:val="0"/>
        <w:sz w:val="20"/>
      </w:rPr>
    </w:lvl>
  </w:abstractNum>
  <w:abstractNum w:abstractNumId="34" w15:restartNumberingAfterBreak="0">
    <w:nsid w:val="4660231D"/>
    <w:multiLevelType w:val="hybridMultilevel"/>
    <w:tmpl w:val="766C9048"/>
    <w:lvl w:ilvl="0" w:tplc="58342E70">
      <w:start w:val="5"/>
      <w:numFmt w:val="bullet"/>
      <w:lvlText w:val="-"/>
      <w:lvlJc w:val="left"/>
      <w:pPr>
        <w:ind w:left="36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6625649"/>
    <w:multiLevelType w:val="hybridMultilevel"/>
    <w:tmpl w:val="D8E44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48CE4E64"/>
    <w:multiLevelType w:val="hybridMultilevel"/>
    <w:tmpl w:val="4560E93E"/>
    <w:lvl w:ilvl="0" w:tplc="6D6E94E4">
      <w:start w:val="55"/>
      <w:numFmt w:val="bullet"/>
      <w:lvlText w:val="-"/>
      <w:lvlJc w:val="left"/>
      <w:pPr>
        <w:ind w:left="360" w:hanging="360"/>
      </w:pPr>
      <w:rPr>
        <w:rFonts w:ascii="Verdana" w:eastAsia="Times New Roman" w:hAnsi="Verdana" w:cs="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90B6673"/>
    <w:multiLevelType w:val="hybridMultilevel"/>
    <w:tmpl w:val="34620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D312127"/>
    <w:multiLevelType w:val="hybridMultilevel"/>
    <w:tmpl w:val="8A9C19F2"/>
    <w:lvl w:ilvl="0" w:tplc="E2046B46">
      <w:start w:val="1"/>
      <w:numFmt w:val="decimal"/>
      <w:lvlText w:val="%1. 1. 1.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D532608"/>
    <w:multiLevelType w:val="hybridMultilevel"/>
    <w:tmpl w:val="6742E90E"/>
    <w:lvl w:ilvl="0" w:tplc="58342E70">
      <w:start w:val="5"/>
      <w:numFmt w:val="bullet"/>
      <w:lvlText w:val="-"/>
      <w:lvlJc w:val="left"/>
      <w:pPr>
        <w:ind w:left="360" w:hanging="360"/>
      </w:pPr>
      <w:rPr>
        <w:rFonts w:ascii="Verdana" w:eastAsia="Times New Roman" w:hAnsi="Verdan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E927700"/>
    <w:multiLevelType w:val="multilevel"/>
    <w:tmpl w:val="48AA0558"/>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4F9D02B7"/>
    <w:multiLevelType w:val="hybridMultilevel"/>
    <w:tmpl w:val="4A32D5EE"/>
    <w:lvl w:ilvl="0" w:tplc="58342E70">
      <w:start w:val="5"/>
      <w:numFmt w:val="bullet"/>
      <w:lvlText w:val="-"/>
      <w:lvlJc w:val="left"/>
      <w:pPr>
        <w:ind w:left="720" w:hanging="360"/>
      </w:pPr>
      <w:rPr>
        <w:rFonts w:ascii="Verdana" w:eastAsia="Times New Roman" w:hAnsi="Verdana" w:cs="Times New Roman" w:hint="default"/>
      </w:rPr>
    </w:lvl>
    <w:lvl w:ilvl="1" w:tplc="096CD89C">
      <w:numFmt w:val="bullet"/>
      <w:lvlText w:val="-"/>
      <w:lvlJc w:val="left"/>
      <w:pPr>
        <w:ind w:left="360" w:hanging="360"/>
      </w:pPr>
      <w:rPr>
        <w:rFonts w:ascii="Verdana" w:eastAsia="Calibri"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124095C"/>
    <w:multiLevelType w:val="hybridMultilevel"/>
    <w:tmpl w:val="63B6C70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A1811BE"/>
    <w:multiLevelType w:val="hybridMultilevel"/>
    <w:tmpl w:val="C92E9B5E"/>
    <w:lvl w:ilvl="0" w:tplc="2C8E9BF8">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C2E2C1F"/>
    <w:multiLevelType w:val="multilevel"/>
    <w:tmpl w:val="17265C0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cs="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cs="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5E1E7060"/>
    <w:multiLevelType w:val="hybridMultilevel"/>
    <w:tmpl w:val="7D0EE630"/>
    <w:lvl w:ilvl="0" w:tplc="6D6E94E4">
      <w:start w:val="55"/>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F093507"/>
    <w:multiLevelType w:val="multilevel"/>
    <w:tmpl w:val="B54241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0F90200"/>
    <w:multiLevelType w:val="hybridMultilevel"/>
    <w:tmpl w:val="BE9847C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8" w15:restartNumberingAfterBreak="0">
    <w:nsid w:val="6122208A"/>
    <w:multiLevelType w:val="hybridMultilevel"/>
    <w:tmpl w:val="AC106CA8"/>
    <w:lvl w:ilvl="0" w:tplc="3BAECAC0">
      <w:start w:val="1"/>
      <w:numFmt w:val="decimal"/>
      <w:lvlText w:val="%1."/>
      <w:lvlJc w:val="left"/>
      <w:pPr>
        <w:ind w:left="1080" w:hanging="360"/>
      </w:pPr>
      <w:rPr>
        <w:rFonts w:ascii="Verdana" w:hAnsi="Verdana" w:hint="default"/>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66965A40"/>
    <w:multiLevelType w:val="hybridMultilevel"/>
    <w:tmpl w:val="31EA51D0"/>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A8961BF"/>
    <w:multiLevelType w:val="hybridMultilevel"/>
    <w:tmpl w:val="6152119E"/>
    <w:lvl w:ilvl="0" w:tplc="58342E70">
      <w:start w:val="5"/>
      <w:numFmt w:val="bullet"/>
      <w:lvlText w:val="-"/>
      <w:lvlJc w:val="left"/>
      <w:pPr>
        <w:ind w:left="360" w:hanging="360"/>
      </w:pPr>
      <w:rPr>
        <w:rFonts w:ascii="Verdana" w:eastAsia="Times New Roman" w:hAnsi="Verdan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B310529"/>
    <w:multiLevelType w:val="hybridMultilevel"/>
    <w:tmpl w:val="504E3938"/>
    <w:lvl w:ilvl="0" w:tplc="58342E70">
      <w:start w:val="5"/>
      <w:numFmt w:val="bullet"/>
      <w:lvlText w:val="-"/>
      <w:lvlJc w:val="left"/>
      <w:pPr>
        <w:ind w:left="72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295F51"/>
    <w:multiLevelType w:val="hybridMultilevel"/>
    <w:tmpl w:val="D4766F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732C2FEA"/>
    <w:multiLevelType w:val="hybridMultilevel"/>
    <w:tmpl w:val="E2C09EF8"/>
    <w:lvl w:ilvl="0" w:tplc="58342E7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33348D5"/>
    <w:multiLevelType w:val="hybridMultilevel"/>
    <w:tmpl w:val="B6521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3A41D0C"/>
    <w:multiLevelType w:val="hybridMultilevel"/>
    <w:tmpl w:val="2EEA0D66"/>
    <w:lvl w:ilvl="0" w:tplc="096CD89C">
      <w:numFmt w:val="bullet"/>
      <w:lvlText w:val="-"/>
      <w:lvlJc w:val="left"/>
      <w:pPr>
        <w:ind w:left="360" w:hanging="360"/>
      </w:pPr>
      <w:rPr>
        <w:rFonts w:ascii="Verdana" w:eastAsia="Calibri"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4134FA8"/>
    <w:multiLevelType w:val="hybridMultilevel"/>
    <w:tmpl w:val="48FEC90A"/>
    <w:lvl w:ilvl="0" w:tplc="12F0BE1C">
      <w:start w:val="1"/>
      <w:numFmt w:val="decimal"/>
      <w:lvlText w:val="%1. 1. 1.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77E9785B"/>
    <w:multiLevelType w:val="multilevel"/>
    <w:tmpl w:val="229E56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7832774B"/>
    <w:multiLevelType w:val="hybridMultilevel"/>
    <w:tmpl w:val="8AC09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84D6D37"/>
    <w:multiLevelType w:val="singleLevel"/>
    <w:tmpl w:val="F61C58CC"/>
    <w:lvl w:ilvl="0">
      <w:start w:val="1"/>
      <w:numFmt w:val="bullet"/>
      <w:lvlText w:val=""/>
      <w:legacy w:legacy="1" w:legacySpace="0" w:legacyIndent="283"/>
      <w:lvlJc w:val="left"/>
      <w:pPr>
        <w:ind w:left="2012" w:hanging="283"/>
      </w:pPr>
      <w:rPr>
        <w:rFonts w:ascii="Symbol" w:hAnsi="Symbol" w:hint="default"/>
        <w:sz w:val="20"/>
      </w:rPr>
    </w:lvl>
  </w:abstractNum>
  <w:abstractNum w:abstractNumId="60" w15:restartNumberingAfterBreak="0">
    <w:nsid w:val="79A57D6F"/>
    <w:multiLevelType w:val="hybridMultilevel"/>
    <w:tmpl w:val="A6CA092A"/>
    <w:lvl w:ilvl="0" w:tplc="CC5CA1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C871AFA"/>
    <w:multiLevelType w:val="multilevel"/>
    <w:tmpl w:val="0F90428E"/>
    <w:lvl w:ilvl="0">
      <w:start w:val="1"/>
      <w:numFmt w:val="bullet"/>
      <w:lvlText w:val=""/>
      <w:lvlJc w:val="left"/>
      <w:pPr>
        <w:tabs>
          <w:tab w:val="num" w:pos="927"/>
        </w:tabs>
        <w:ind w:left="927" w:hanging="56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D1E37F1"/>
    <w:multiLevelType w:val="hybridMultilevel"/>
    <w:tmpl w:val="8F6CB6BC"/>
    <w:lvl w:ilvl="0" w:tplc="58342E70">
      <w:start w:val="5"/>
      <w:numFmt w:val="bullet"/>
      <w:lvlText w:val="-"/>
      <w:lvlJc w:val="left"/>
      <w:pPr>
        <w:ind w:left="36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D3D723F"/>
    <w:multiLevelType w:val="hybridMultilevel"/>
    <w:tmpl w:val="64AC88B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64" w15:restartNumberingAfterBreak="0">
    <w:nsid w:val="7FCF78C5"/>
    <w:multiLevelType w:val="multilevel"/>
    <w:tmpl w:val="B54241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96839561">
    <w:abstractNumId w:val="61"/>
  </w:num>
  <w:num w:numId="2" w16cid:durableId="797332219">
    <w:abstractNumId w:val="44"/>
  </w:num>
  <w:num w:numId="3" w16cid:durableId="829059680">
    <w:abstractNumId w:val="40"/>
  </w:num>
  <w:num w:numId="4" w16cid:durableId="1312297204">
    <w:abstractNumId w:val="48"/>
  </w:num>
  <w:num w:numId="5" w16cid:durableId="69430094">
    <w:abstractNumId w:val="59"/>
  </w:num>
  <w:num w:numId="6" w16cid:durableId="2111508310">
    <w:abstractNumId w:val="5"/>
  </w:num>
  <w:num w:numId="7" w16cid:durableId="188378886">
    <w:abstractNumId w:val="8"/>
  </w:num>
  <w:num w:numId="8" w16cid:durableId="266469512">
    <w:abstractNumId w:val="35"/>
  </w:num>
  <w:num w:numId="9" w16cid:durableId="1614826473">
    <w:abstractNumId w:val="42"/>
  </w:num>
  <w:num w:numId="10" w16cid:durableId="318701790">
    <w:abstractNumId w:val="52"/>
  </w:num>
  <w:num w:numId="11" w16cid:durableId="159851994">
    <w:abstractNumId w:val="45"/>
  </w:num>
  <w:num w:numId="12" w16cid:durableId="1411728461">
    <w:abstractNumId w:val="58"/>
  </w:num>
  <w:num w:numId="13" w16cid:durableId="98912501">
    <w:abstractNumId w:val="30"/>
  </w:num>
  <w:num w:numId="14" w16cid:durableId="1119379639">
    <w:abstractNumId w:val="63"/>
  </w:num>
  <w:num w:numId="15" w16cid:durableId="783695502">
    <w:abstractNumId w:val="10"/>
  </w:num>
  <w:num w:numId="16" w16cid:durableId="1569923937">
    <w:abstractNumId w:val="27"/>
  </w:num>
  <w:num w:numId="17" w16cid:durableId="4669778">
    <w:abstractNumId w:val="53"/>
  </w:num>
  <w:num w:numId="18" w16cid:durableId="728919428">
    <w:abstractNumId w:val="17"/>
  </w:num>
  <w:num w:numId="19" w16cid:durableId="897475112">
    <w:abstractNumId w:val="32"/>
  </w:num>
  <w:num w:numId="20" w16cid:durableId="244727429">
    <w:abstractNumId w:val="49"/>
  </w:num>
  <w:num w:numId="21" w16cid:durableId="1789078455">
    <w:abstractNumId w:val="54"/>
  </w:num>
  <w:num w:numId="22" w16cid:durableId="839079728">
    <w:abstractNumId w:val="23"/>
  </w:num>
  <w:num w:numId="23" w16cid:durableId="1421828283">
    <w:abstractNumId w:val="33"/>
  </w:num>
  <w:num w:numId="24" w16cid:durableId="1038777403">
    <w:abstractNumId w:val="47"/>
  </w:num>
  <w:num w:numId="25" w16cid:durableId="1361400238">
    <w:abstractNumId w:val="43"/>
  </w:num>
  <w:num w:numId="26" w16cid:durableId="1760250617">
    <w:abstractNumId w:val="6"/>
  </w:num>
  <w:num w:numId="27" w16cid:durableId="1077242098">
    <w:abstractNumId w:val="57"/>
  </w:num>
  <w:num w:numId="28" w16cid:durableId="177925388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980026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977140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415610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762646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2108506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426030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17749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811565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3662138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6095811">
    <w:abstractNumId w:val="55"/>
  </w:num>
  <w:num w:numId="39" w16cid:durableId="1528719523">
    <w:abstractNumId w:val="25"/>
  </w:num>
  <w:num w:numId="40" w16cid:durableId="318923595">
    <w:abstractNumId w:val="28"/>
  </w:num>
  <w:num w:numId="41" w16cid:durableId="665203878">
    <w:abstractNumId w:val="16"/>
  </w:num>
  <w:num w:numId="42" w16cid:durableId="1603222837">
    <w:abstractNumId w:val="12"/>
  </w:num>
  <w:num w:numId="43" w16cid:durableId="1923298848">
    <w:abstractNumId w:val="24"/>
  </w:num>
  <w:num w:numId="44" w16cid:durableId="2035417388">
    <w:abstractNumId w:val="36"/>
  </w:num>
  <w:num w:numId="45" w16cid:durableId="1844776701">
    <w:abstractNumId w:val="37"/>
  </w:num>
  <w:num w:numId="46" w16cid:durableId="665208926">
    <w:abstractNumId w:val="11"/>
  </w:num>
  <w:num w:numId="47" w16cid:durableId="1869945943">
    <w:abstractNumId w:val="20"/>
  </w:num>
  <w:num w:numId="48" w16cid:durableId="550072717">
    <w:abstractNumId w:val="13"/>
  </w:num>
  <w:num w:numId="49" w16cid:durableId="402991235">
    <w:abstractNumId w:val="31"/>
  </w:num>
  <w:num w:numId="50" w16cid:durableId="1755934568">
    <w:abstractNumId w:val="7"/>
  </w:num>
  <w:num w:numId="51" w16cid:durableId="13621230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9111634">
    <w:abstractNumId w:val="18"/>
  </w:num>
  <w:num w:numId="53" w16cid:durableId="9955010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834776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227936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478069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067312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411007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384571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450981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137172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52242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29566849">
    <w:abstractNumId w:val="14"/>
  </w:num>
  <w:num w:numId="64" w16cid:durableId="1427531488">
    <w:abstractNumId w:val="60"/>
  </w:num>
  <w:num w:numId="65" w16cid:durableId="782916872">
    <w:abstractNumId w:val="29"/>
  </w:num>
  <w:num w:numId="66" w16cid:durableId="1836609887">
    <w:abstractNumId w:val="50"/>
  </w:num>
  <w:num w:numId="67" w16cid:durableId="177548393">
    <w:abstractNumId w:val="21"/>
  </w:num>
  <w:num w:numId="68" w16cid:durableId="1279143662">
    <w:abstractNumId w:val="62"/>
  </w:num>
  <w:num w:numId="69" w16cid:durableId="960065160">
    <w:abstractNumId w:val="34"/>
  </w:num>
  <w:num w:numId="70" w16cid:durableId="1744259141">
    <w:abstractNumId w:val="39"/>
  </w:num>
  <w:num w:numId="71" w16cid:durableId="1785031546">
    <w:abstractNumId w:val="51"/>
  </w:num>
  <w:num w:numId="72" w16cid:durableId="380131216">
    <w:abstractNumId w:val="41"/>
  </w:num>
  <w:num w:numId="73" w16cid:durableId="1955088871">
    <w:abstractNumId w:val="56"/>
  </w:num>
  <w:num w:numId="74" w16cid:durableId="503515427">
    <w:abstractNumId w:val="38"/>
  </w:num>
  <w:num w:numId="75" w16cid:durableId="451675941">
    <w:abstractNumId w:val="64"/>
  </w:num>
  <w:num w:numId="76" w16cid:durableId="215554814">
    <w:abstractNumId w:val="46"/>
  </w:num>
  <w:num w:numId="77" w16cid:durableId="996298172">
    <w:abstractNumId w:val="22"/>
  </w:num>
  <w:num w:numId="78" w16cid:durableId="1628513315">
    <w:abstractNumId w:val="4"/>
  </w:num>
  <w:num w:numId="79" w16cid:durableId="881671131">
    <w:abstractNumId w:val="19"/>
  </w:num>
  <w:num w:numId="80" w16cid:durableId="844443366">
    <w:abstractNumId w:val="5"/>
  </w:num>
  <w:num w:numId="81" w16cid:durableId="1404989937">
    <w:abstractNumId w:val="5"/>
  </w:num>
  <w:num w:numId="82" w16cid:durableId="123893800">
    <w:abstractNumId w:val="5"/>
  </w:num>
  <w:num w:numId="83" w16cid:durableId="1628854934">
    <w:abstractNumId w:val="61"/>
  </w:num>
  <w:num w:numId="84" w16cid:durableId="205869743">
    <w:abstractNumId w:val="44"/>
  </w:num>
  <w:num w:numId="85" w16cid:durableId="557935105">
    <w:abstractNumId w:val="40"/>
  </w:num>
  <w:num w:numId="86" w16cid:durableId="1678119984">
    <w:abstractNumId w:val="19"/>
  </w:num>
  <w:num w:numId="87" w16cid:durableId="419134070">
    <w:abstractNumId w:val="19"/>
  </w:num>
  <w:num w:numId="88" w16cid:durableId="471866163">
    <w:abstractNumId w:val="19"/>
  </w:num>
  <w:num w:numId="89" w16cid:durableId="457921746">
    <w:abstractNumId w:val="19"/>
  </w:num>
  <w:num w:numId="90" w16cid:durableId="1992053876">
    <w:abstractNumId w:val="19"/>
  </w:num>
  <w:num w:numId="91" w16cid:durableId="1651325621">
    <w:abstractNumId w:val="19"/>
  </w:num>
  <w:num w:numId="92" w16cid:durableId="182401971">
    <w:abstractNumId w:val="19"/>
  </w:num>
  <w:num w:numId="93" w16cid:durableId="1457025607">
    <w:abstractNumId w:val="19"/>
  </w:num>
  <w:num w:numId="94" w16cid:durableId="781074182">
    <w:abstractNumId w:val="48"/>
  </w:num>
  <w:num w:numId="95" w16cid:durableId="54204896">
    <w:abstractNumId w:val="59"/>
  </w:num>
  <w:num w:numId="96" w16cid:durableId="2041054907">
    <w:abstractNumId w:val="64"/>
  </w:num>
  <w:num w:numId="97" w16cid:durableId="204684545">
    <w:abstractNumId w:val="33"/>
  </w:num>
  <w:num w:numId="98" w16cid:durableId="972756643">
    <w:abstractNumId w:val="9"/>
  </w:num>
  <w:num w:numId="99" w16cid:durableId="1371491128">
    <w:abstractNumId w:val="15"/>
  </w:num>
  <w:num w:numId="100" w16cid:durableId="1581788917">
    <w:abstractNumId w:val="26"/>
  </w:num>
  <w:num w:numId="101" w16cid:durableId="97471863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it-IT"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BE"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BE" w:vendorID="64" w:dllVersion="0" w:nlCheck="1" w:checkStyle="0"/>
  <w:activeWritingStyle w:appName="MSWord" w:lang="es-ES"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A7A"/>
    <w:rsid w:val="00000311"/>
    <w:rsid w:val="00001580"/>
    <w:rsid w:val="00002210"/>
    <w:rsid w:val="000024DB"/>
    <w:rsid w:val="0000303B"/>
    <w:rsid w:val="0000360A"/>
    <w:rsid w:val="00003A28"/>
    <w:rsid w:val="00004074"/>
    <w:rsid w:val="000052B6"/>
    <w:rsid w:val="00005B86"/>
    <w:rsid w:val="00005D8E"/>
    <w:rsid w:val="00006346"/>
    <w:rsid w:val="0000700F"/>
    <w:rsid w:val="0000732D"/>
    <w:rsid w:val="00010CCA"/>
    <w:rsid w:val="000111E1"/>
    <w:rsid w:val="00011214"/>
    <w:rsid w:val="0001175F"/>
    <w:rsid w:val="00012131"/>
    <w:rsid w:val="000124D0"/>
    <w:rsid w:val="0001257C"/>
    <w:rsid w:val="00013E65"/>
    <w:rsid w:val="00016720"/>
    <w:rsid w:val="00016CEB"/>
    <w:rsid w:val="00017609"/>
    <w:rsid w:val="00020E28"/>
    <w:rsid w:val="000229FB"/>
    <w:rsid w:val="00022E83"/>
    <w:rsid w:val="00023BF7"/>
    <w:rsid w:val="00023E66"/>
    <w:rsid w:val="00023F1E"/>
    <w:rsid w:val="000240A2"/>
    <w:rsid w:val="00024A06"/>
    <w:rsid w:val="00024C1F"/>
    <w:rsid w:val="00024D9D"/>
    <w:rsid w:val="00024EF9"/>
    <w:rsid w:val="0002501B"/>
    <w:rsid w:val="00025761"/>
    <w:rsid w:val="000259E3"/>
    <w:rsid w:val="0002614A"/>
    <w:rsid w:val="00026F0B"/>
    <w:rsid w:val="000275AB"/>
    <w:rsid w:val="000303C1"/>
    <w:rsid w:val="00030DBE"/>
    <w:rsid w:val="00031131"/>
    <w:rsid w:val="00031580"/>
    <w:rsid w:val="00031D18"/>
    <w:rsid w:val="000320A0"/>
    <w:rsid w:val="0003249F"/>
    <w:rsid w:val="000337DF"/>
    <w:rsid w:val="00033964"/>
    <w:rsid w:val="000341FA"/>
    <w:rsid w:val="00034451"/>
    <w:rsid w:val="00035577"/>
    <w:rsid w:val="00035C65"/>
    <w:rsid w:val="0003636B"/>
    <w:rsid w:val="00036C33"/>
    <w:rsid w:val="00040284"/>
    <w:rsid w:val="00042A22"/>
    <w:rsid w:val="00043720"/>
    <w:rsid w:val="00043AD5"/>
    <w:rsid w:val="00044A19"/>
    <w:rsid w:val="000450F9"/>
    <w:rsid w:val="00045387"/>
    <w:rsid w:val="00045BA4"/>
    <w:rsid w:val="00045D09"/>
    <w:rsid w:val="00046365"/>
    <w:rsid w:val="000463A0"/>
    <w:rsid w:val="000471CD"/>
    <w:rsid w:val="00047367"/>
    <w:rsid w:val="00050E8A"/>
    <w:rsid w:val="000512EB"/>
    <w:rsid w:val="0005143D"/>
    <w:rsid w:val="00051C70"/>
    <w:rsid w:val="00052163"/>
    <w:rsid w:val="000522EA"/>
    <w:rsid w:val="000532AC"/>
    <w:rsid w:val="00054854"/>
    <w:rsid w:val="00055719"/>
    <w:rsid w:val="00056F23"/>
    <w:rsid w:val="00057289"/>
    <w:rsid w:val="00057464"/>
    <w:rsid w:val="00057577"/>
    <w:rsid w:val="0006062D"/>
    <w:rsid w:val="00061796"/>
    <w:rsid w:val="000620E3"/>
    <w:rsid w:val="00063A07"/>
    <w:rsid w:val="000643DF"/>
    <w:rsid w:val="00065B9E"/>
    <w:rsid w:val="00066215"/>
    <w:rsid w:val="00066D0F"/>
    <w:rsid w:val="00066D68"/>
    <w:rsid w:val="000670A9"/>
    <w:rsid w:val="000672BC"/>
    <w:rsid w:val="0006779B"/>
    <w:rsid w:val="00067BB2"/>
    <w:rsid w:val="000706CE"/>
    <w:rsid w:val="00071269"/>
    <w:rsid w:val="000719AB"/>
    <w:rsid w:val="00071A47"/>
    <w:rsid w:val="00072071"/>
    <w:rsid w:val="00072383"/>
    <w:rsid w:val="000727E4"/>
    <w:rsid w:val="00072979"/>
    <w:rsid w:val="00072A01"/>
    <w:rsid w:val="000731DC"/>
    <w:rsid w:val="000735AF"/>
    <w:rsid w:val="00074A7C"/>
    <w:rsid w:val="00075049"/>
    <w:rsid w:val="00075BA0"/>
    <w:rsid w:val="00075DBA"/>
    <w:rsid w:val="00076003"/>
    <w:rsid w:val="0007759C"/>
    <w:rsid w:val="000777EB"/>
    <w:rsid w:val="00077AA3"/>
    <w:rsid w:val="00080250"/>
    <w:rsid w:val="000802B7"/>
    <w:rsid w:val="00080771"/>
    <w:rsid w:val="000825C5"/>
    <w:rsid w:val="000827F9"/>
    <w:rsid w:val="00083139"/>
    <w:rsid w:val="00084101"/>
    <w:rsid w:val="00084183"/>
    <w:rsid w:val="0008457F"/>
    <w:rsid w:val="00084FD6"/>
    <w:rsid w:val="00085643"/>
    <w:rsid w:val="00085724"/>
    <w:rsid w:val="00085D6C"/>
    <w:rsid w:val="00086C2C"/>
    <w:rsid w:val="00090A1E"/>
    <w:rsid w:val="0009154A"/>
    <w:rsid w:val="00091DFE"/>
    <w:rsid w:val="00092813"/>
    <w:rsid w:val="0009305A"/>
    <w:rsid w:val="000932F1"/>
    <w:rsid w:val="00093A94"/>
    <w:rsid w:val="000943D4"/>
    <w:rsid w:val="000945DC"/>
    <w:rsid w:val="00095A83"/>
    <w:rsid w:val="00095D9B"/>
    <w:rsid w:val="00095E1B"/>
    <w:rsid w:val="000974B1"/>
    <w:rsid w:val="000977A6"/>
    <w:rsid w:val="00097B0F"/>
    <w:rsid w:val="000A027C"/>
    <w:rsid w:val="000A0E79"/>
    <w:rsid w:val="000A219A"/>
    <w:rsid w:val="000A3658"/>
    <w:rsid w:val="000A3DBB"/>
    <w:rsid w:val="000A3FCF"/>
    <w:rsid w:val="000A4A6A"/>
    <w:rsid w:val="000A543F"/>
    <w:rsid w:val="000A64F8"/>
    <w:rsid w:val="000A683C"/>
    <w:rsid w:val="000A7108"/>
    <w:rsid w:val="000A74F7"/>
    <w:rsid w:val="000A7861"/>
    <w:rsid w:val="000A79BC"/>
    <w:rsid w:val="000B0B77"/>
    <w:rsid w:val="000B19EA"/>
    <w:rsid w:val="000B244A"/>
    <w:rsid w:val="000B2ACE"/>
    <w:rsid w:val="000B3631"/>
    <w:rsid w:val="000B3CB5"/>
    <w:rsid w:val="000B4090"/>
    <w:rsid w:val="000B4506"/>
    <w:rsid w:val="000B4E41"/>
    <w:rsid w:val="000B53EF"/>
    <w:rsid w:val="000B648A"/>
    <w:rsid w:val="000B7668"/>
    <w:rsid w:val="000C024B"/>
    <w:rsid w:val="000C060B"/>
    <w:rsid w:val="000C0962"/>
    <w:rsid w:val="000C0B43"/>
    <w:rsid w:val="000C1C87"/>
    <w:rsid w:val="000C237B"/>
    <w:rsid w:val="000C3085"/>
    <w:rsid w:val="000C30BC"/>
    <w:rsid w:val="000C37DD"/>
    <w:rsid w:val="000C3AA9"/>
    <w:rsid w:val="000C4894"/>
    <w:rsid w:val="000C4BC6"/>
    <w:rsid w:val="000C5D8D"/>
    <w:rsid w:val="000C653E"/>
    <w:rsid w:val="000C65C0"/>
    <w:rsid w:val="000C6D69"/>
    <w:rsid w:val="000C7454"/>
    <w:rsid w:val="000C7E03"/>
    <w:rsid w:val="000D1781"/>
    <w:rsid w:val="000D21EF"/>
    <w:rsid w:val="000D229B"/>
    <w:rsid w:val="000D239D"/>
    <w:rsid w:val="000D29F7"/>
    <w:rsid w:val="000D3C5D"/>
    <w:rsid w:val="000D3D79"/>
    <w:rsid w:val="000D5027"/>
    <w:rsid w:val="000D57E1"/>
    <w:rsid w:val="000D5D70"/>
    <w:rsid w:val="000D5E05"/>
    <w:rsid w:val="000D646B"/>
    <w:rsid w:val="000D64FC"/>
    <w:rsid w:val="000D6C27"/>
    <w:rsid w:val="000D70F9"/>
    <w:rsid w:val="000D7E2F"/>
    <w:rsid w:val="000E1036"/>
    <w:rsid w:val="000E1A77"/>
    <w:rsid w:val="000E1D90"/>
    <w:rsid w:val="000E2701"/>
    <w:rsid w:val="000E346C"/>
    <w:rsid w:val="000E4EA7"/>
    <w:rsid w:val="000E543A"/>
    <w:rsid w:val="000E5C4A"/>
    <w:rsid w:val="000E5ED9"/>
    <w:rsid w:val="000E6A3D"/>
    <w:rsid w:val="000E721F"/>
    <w:rsid w:val="000E74BD"/>
    <w:rsid w:val="000F13C8"/>
    <w:rsid w:val="000F1E7C"/>
    <w:rsid w:val="000F2EFC"/>
    <w:rsid w:val="000F3563"/>
    <w:rsid w:val="000F498C"/>
    <w:rsid w:val="000F51F6"/>
    <w:rsid w:val="000F63D2"/>
    <w:rsid w:val="0010040C"/>
    <w:rsid w:val="00100514"/>
    <w:rsid w:val="00101137"/>
    <w:rsid w:val="0010255A"/>
    <w:rsid w:val="00103137"/>
    <w:rsid w:val="00105479"/>
    <w:rsid w:val="00105519"/>
    <w:rsid w:val="00105FCE"/>
    <w:rsid w:val="0010617D"/>
    <w:rsid w:val="001067A1"/>
    <w:rsid w:val="001100F1"/>
    <w:rsid w:val="00111B63"/>
    <w:rsid w:val="00111C18"/>
    <w:rsid w:val="00112255"/>
    <w:rsid w:val="00112C76"/>
    <w:rsid w:val="0011361E"/>
    <w:rsid w:val="00114180"/>
    <w:rsid w:val="00114918"/>
    <w:rsid w:val="00114B46"/>
    <w:rsid w:val="00117667"/>
    <w:rsid w:val="001201D0"/>
    <w:rsid w:val="00120BF4"/>
    <w:rsid w:val="00120C65"/>
    <w:rsid w:val="00120E1F"/>
    <w:rsid w:val="0012128F"/>
    <w:rsid w:val="00121B0A"/>
    <w:rsid w:val="00121E3B"/>
    <w:rsid w:val="001222F2"/>
    <w:rsid w:val="00122DB6"/>
    <w:rsid w:val="00123F27"/>
    <w:rsid w:val="001241ED"/>
    <w:rsid w:val="0012451A"/>
    <w:rsid w:val="0012463F"/>
    <w:rsid w:val="00124791"/>
    <w:rsid w:val="001251F6"/>
    <w:rsid w:val="00125712"/>
    <w:rsid w:val="00125A64"/>
    <w:rsid w:val="00126287"/>
    <w:rsid w:val="00127304"/>
    <w:rsid w:val="0012773E"/>
    <w:rsid w:val="00131154"/>
    <w:rsid w:val="00131A92"/>
    <w:rsid w:val="00131F66"/>
    <w:rsid w:val="00134597"/>
    <w:rsid w:val="001350D3"/>
    <w:rsid w:val="001352B6"/>
    <w:rsid w:val="00135895"/>
    <w:rsid w:val="001369F9"/>
    <w:rsid w:val="001370F5"/>
    <w:rsid w:val="00137865"/>
    <w:rsid w:val="001378FD"/>
    <w:rsid w:val="00140D56"/>
    <w:rsid w:val="00141A8C"/>
    <w:rsid w:val="00142017"/>
    <w:rsid w:val="0014363F"/>
    <w:rsid w:val="001437B0"/>
    <w:rsid w:val="00143AAA"/>
    <w:rsid w:val="00145A2B"/>
    <w:rsid w:val="00145E80"/>
    <w:rsid w:val="0014648E"/>
    <w:rsid w:val="001464F7"/>
    <w:rsid w:val="001465B0"/>
    <w:rsid w:val="001465BE"/>
    <w:rsid w:val="0014665E"/>
    <w:rsid w:val="00146B94"/>
    <w:rsid w:val="00146D49"/>
    <w:rsid w:val="001473A2"/>
    <w:rsid w:val="00147CA9"/>
    <w:rsid w:val="0015071D"/>
    <w:rsid w:val="001507C8"/>
    <w:rsid w:val="00150876"/>
    <w:rsid w:val="00150C7A"/>
    <w:rsid w:val="00152131"/>
    <w:rsid w:val="00154555"/>
    <w:rsid w:val="00154856"/>
    <w:rsid w:val="00156D17"/>
    <w:rsid w:val="00162945"/>
    <w:rsid w:val="00162E4E"/>
    <w:rsid w:val="00163C2D"/>
    <w:rsid w:val="00163D38"/>
    <w:rsid w:val="001645FF"/>
    <w:rsid w:val="001658D7"/>
    <w:rsid w:val="0016598E"/>
    <w:rsid w:val="00166009"/>
    <w:rsid w:val="00170586"/>
    <w:rsid w:val="00171160"/>
    <w:rsid w:val="00171A1C"/>
    <w:rsid w:val="00172036"/>
    <w:rsid w:val="00172555"/>
    <w:rsid w:val="0017269A"/>
    <w:rsid w:val="001728D1"/>
    <w:rsid w:val="0017328B"/>
    <w:rsid w:val="00173978"/>
    <w:rsid w:val="00173FD3"/>
    <w:rsid w:val="0017436C"/>
    <w:rsid w:val="00174719"/>
    <w:rsid w:val="00174E64"/>
    <w:rsid w:val="00175FB7"/>
    <w:rsid w:val="0017613B"/>
    <w:rsid w:val="0017656E"/>
    <w:rsid w:val="00176B77"/>
    <w:rsid w:val="00180E14"/>
    <w:rsid w:val="00181D2B"/>
    <w:rsid w:val="00181E24"/>
    <w:rsid w:val="00181F5D"/>
    <w:rsid w:val="00182CCD"/>
    <w:rsid w:val="00183410"/>
    <w:rsid w:val="00183478"/>
    <w:rsid w:val="00184919"/>
    <w:rsid w:val="00184997"/>
    <w:rsid w:val="00185630"/>
    <w:rsid w:val="00185C1D"/>
    <w:rsid w:val="00186FB7"/>
    <w:rsid w:val="0018799D"/>
    <w:rsid w:val="00187AB4"/>
    <w:rsid w:val="00187B90"/>
    <w:rsid w:val="0019025A"/>
    <w:rsid w:val="001909ED"/>
    <w:rsid w:val="00190F80"/>
    <w:rsid w:val="0019216F"/>
    <w:rsid w:val="00192505"/>
    <w:rsid w:val="001937F8"/>
    <w:rsid w:val="0019434C"/>
    <w:rsid w:val="001949F7"/>
    <w:rsid w:val="00195B7B"/>
    <w:rsid w:val="00196094"/>
    <w:rsid w:val="00196378"/>
    <w:rsid w:val="001965C6"/>
    <w:rsid w:val="001978DB"/>
    <w:rsid w:val="001A0E4F"/>
    <w:rsid w:val="001A12CD"/>
    <w:rsid w:val="001A209B"/>
    <w:rsid w:val="001A2866"/>
    <w:rsid w:val="001A32CA"/>
    <w:rsid w:val="001A3C59"/>
    <w:rsid w:val="001A4AF0"/>
    <w:rsid w:val="001A4EF1"/>
    <w:rsid w:val="001A4F32"/>
    <w:rsid w:val="001A52F7"/>
    <w:rsid w:val="001A557F"/>
    <w:rsid w:val="001A6219"/>
    <w:rsid w:val="001A727F"/>
    <w:rsid w:val="001A77A8"/>
    <w:rsid w:val="001B181F"/>
    <w:rsid w:val="001B31E8"/>
    <w:rsid w:val="001B3C7E"/>
    <w:rsid w:val="001B4245"/>
    <w:rsid w:val="001B5B69"/>
    <w:rsid w:val="001B5BC2"/>
    <w:rsid w:val="001B5DDD"/>
    <w:rsid w:val="001B6C39"/>
    <w:rsid w:val="001B7F3F"/>
    <w:rsid w:val="001C0663"/>
    <w:rsid w:val="001C1FD2"/>
    <w:rsid w:val="001C24DE"/>
    <w:rsid w:val="001C2B8D"/>
    <w:rsid w:val="001C2C85"/>
    <w:rsid w:val="001C3165"/>
    <w:rsid w:val="001C35DC"/>
    <w:rsid w:val="001C3813"/>
    <w:rsid w:val="001C3F22"/>
    <w:rsid w:val="001C4927"/>
    <w:rsid w:val="001C4B1E"/>
    <w:rsid w:val="001C4DCC"/>
    <w:rsid w:val="001C52C2"/>
    <w:rsid w:val="001C64F0"/>
    <w:rsid w:val="001C663F"/>
    <w:rsid w:val="001C68DF"/>
    <w:rsid w:val="001C78CB"/>
    <w:rsid w:val="001C7D42"/>
    <w:rsid w:val="001D08AF"/>
    <w:rsid w:val="001D0C44"/>
    <w:rsid w:val="001D1750"/>
    <w:rsid w:val="001D1987"/>
    <w:rsid w:val="001D23FA"/>
    <w:rsid w:val="001D334B"/>
    <w:rsid w:val="001D5127"/>
    <w:rsid w:val="001D6CAE"/>
    <w:rsid w:val="001E0427"/>
    <w:rsid w:val="001E0590"/>
    <w:rsid w:val="001E1428"/>
    <w:rsid w:val="001E1D33"/>
    <w:rsid w:val="001E20E1"/>
    <w:rsid w:val="001E3909"/>
    <w:rsid w:val="001E39C4"/>
    <w:rsid w:val="001E3EC8"/>
    <w:rsid w:val="001E4AA9"/>
    <w:rsid w:val="001E5C90"/>
    <w:rsid w:val="001F145F"/>
    <w:rsid w:val="001F21D5"/>
    <w:rsid w:val="001F2BE5"/>
    <w:rsid w:val="001F3020"/>
    <w:rsid w:val="001F3224"/>
    <w:rsid w:val="001F3B13"/>
    <w:rsid w:val="001F410F"/>
    <w:rsid w:val="001F4C3B"/>
    <w:rsid w:val="001F530C"/>
    <w:rsid w:val="001F54CA"/>
    <w:rsid w:val="001F59B0"/>
    <w:rsid w:val="001F60BD"/>
    <w:rsid w:val="001F6E63"/>
    <w:rsid w:val="001F7253"/>
    <w:rsid w:val="001F78E3"/>
    <w:rsid w:val="001F793E"/>
    <w:rsid w:val="00200481"/>
    <w:rsid w:val="00200F00"/>
    <w:rsid w:val="00201298"/>
    <w:rsid w:val="00202146"/>
    <w:rsid w:val="00202D16"/>
    <w:rsid w:val="0020303E"/>
    <w:rsid w:val="00203FBC"/>
    <w:rsid w:val="00204684"/>
    <w:rsid w:val="00205AA1"/>
    <w:rsid w:val="00205E5F"/>
    <w:rsid w:val="00207D4A"/>
    <w:rsid w:val="0021002D"/>
    <w:rsid w:val="00211056"/>
    <w:rsid w:val="00211466"/>
    <w:rsid w:val="0021208D"/>
    <w:rsid w:val="00212645"/>
    <w:rsid w:val="00213F83"/>
    <w:rsid w:val="002146AF"/>
    <w:rsid w:val="00215033"/>
    <w:rsid w:val="00216ACC"/>
    <w:rsid w:val="00217797"/>
    <w:rsid w:val="00220153"/>
    <w:rsid w:val="00220214"/>
    <w:rsid w:val="002202E8"/>
    <w:rsid w:val="00222371"/>
    <w:rsid w:val="002232D1"/>
    <w:rsid w:val="00224586"/>
    <w:rsid w:val="002245ED"/>
    <w:rsid w:val="00224882"/>
    <w:rsid w:val="002257A7"/>
    <w:rsid w:val="00225E41"/>
    <w:rsid w:val="00226DA7"/>
    <w:rsid w:val="00227DA1"/>
    <w:rsid w:val="00227ECA"/>
    <w:rsid w:val="0023008B"/>
    <w:rsid w:val="002303DB"/>
    <w:rsid w:val="0023086E"/>
    <w:rsid w:val="002308E7"/>
    <w:rsid w:val="00231245"/>
    <w:rsid w:val="00232005"/>
    <w:rsid w:val="002325DE"/>
    <w:rsid w:val="00232B84"/>
    <w:rsid w:val="00232EFA"/>
    <w:rsid w:val="0023344A"/>
    <w:rsid w:val="002336F5"/>
    <w:rsid w:val="00233A82"/>
    <w:rsid w:val="002341E2"/>
    <w:rsid w:val="00235283"/>
    <w:rsid w:val="00235B0E"/>
    <w:rsid w:val="00235CB7"/>
    <w:rsid w:val="0023602B"/>
    <w:rsid w:val="002360AE"/>
    <w:rsid w:val="00237380"/>
    <w:rsid w:val="002402A6"/>
    <w:rsid w:val="00242FDD"/>
    <w:rsid w:val="002436A9"/>
    <w:rsid w:val="00245EA4"/>
    <w:rsid w:val="00247724"/>
    <w:rsid w:val="00247C9D"/>
    <w:rsid w:val="00247E9B"/>
    <w:rsid w:val="00250745"/>
    <w:rsid w:val="002508D4"/>
    <w:rsid w:val="0025142E"/>
    <w:rsid w:val="00252322"/>
    <w:rsid w:val="00252F1F"/>
    <w:rsid w:val="00253B4C"/>
    <w:rsid w:val="00254B90"/>
    <w:rsid w:val="0025569E"/>
    <w:rsid w:val="002563D0"/>
    <w:rsid w:val="002567C2"/>
    <w:rsid w:val="002600AE"/>
    <w:rsid w:val="002608B9"/>
    <w:rsid w:val="00260E72"/>
    <w:rsid w:val="00261380"/>
    <w:rsid w:val="00261D58"/>
    <w:rsid w:val="00262D44"/>
    <w:rsid w:val="00263907"/>
    <w:rsid w:val="00263E24"/>
    <w:rsid w:val="0026496E"/>
    <w:rsid w:val="00264C46"/>
    <w:rsid w:val="002650B1"/>
    <w:rsid w:val="0026596A"/>
    <w:rsid w:val="002659DC"/>
    <w:rsid w:val="00266D3F"/>
    <w:rsid w:val="00267554"/>
    <w:rsid w:val="00267699"/>
    <w:rsid w:val="002712E9"/>
    <w:rsid w:val="0027244A"/>
    <w:rsid w:val="00272C68"/>
    <w:rsid w:val="002733A3"/>
    <w:rsid w:val="00273589"/>
    <w:rsid w:val="00273A6D"/>
    <w:rsid w:val="0027424F"/>
    <w:rsid w:val="00274898"/>
    <w:rsid w:val="00274AE3"/>
    <w:rsid w:val="00274FD5"/>
    <w:rsid w:val="00275554"/>
    <w:rsid w:val="00275A93"/>
    <w:rsid w:val="00275D55"/>
    <w:rsid w:val="00275D99"/>
    <w:rsid w:val="0027665C"/>
    <w:rsid w:val="002768C5"/>
    <w:rsid w:val="00276FE9"/>
    <w:rsid w:val="00280210"/>
    <w:rsid w:val="00281AE4"/>
    <w:rsid w:val="002844F0"/>
    <w:rsid w:val="002847EE"/>
    <w:rsid w:val="002848E6"/>
    <w:rsid w:val="00285336"/>
    <w:rsid w:val="00285988"/>
    <w:rsid w:val="00285CA7"/>
    <w:rsid w:val="00286076"/>
    <w:rsid w:val="002862FC"/>
    <w:rsid w:val="0029087D"/>
    <w:rsid w:val="002909D0"/>
    <w:rsid w:val="00290CB7"/>
    <w:rsid w:val="002923E6"/>
    <w:rsid w:val="002929AC"/>
    <w:rsid w:val="00292B6E"/>
    <w:rsid w:val="0029387C"/>
    <w:rsid w:val="00293EB4"/>
    <w:rsid w:val="002942D2"/>
    <w:rsid w:val="00294391"/>
    <w:rsid w:val="00294405"/>
    <w:rsid w:val="00294AA4"/>
    <w:rsid w:val="002951E1"/>
    <w:rsid w:val="00295446"/>
    <w:rsid w:val="002958C1"/>
    <w:rsid w:val="00295CE2"/>
    <w:rsid w:val="00296409"/>
    <w:rsid w:val="00296B7A"/>
    <w:rsid w:val="00296E84"/>
    <w:rsid w:val="002A005E"/>
    <w:rsid w:val="002A0813"/>
    <w:rsid w:val="002A28BF"/>
    <w:rsid w:val="002A3781"/>
    <w:rsid w:val="002A3ADF"/>
    <w:rsid w:val="002A4338"/>
    <w:rsid w:val="002A4F0A"/>
    <w:rsid w:val="002A5461"/>
    <w:rsid w:val="002A6312"/>
    <w:rsid w:val="002A674A"/>
    <w:rsid w:val="002A6B1C"/>
    <w:rsid w:val="002A7612"/>
    <w:rsid w:val="002A7E48"/>
    <w:rsid w:val="002B06F7"/>
    <w:rsid w:val="002B10D2"/>
    <w:rsid w:val="002B114D"/>
    <w:rsid w:val="002B1251"/>
    <w:rsid w:val="002B2012"/>
    <w:rsid w:val="002B2E76"/>
    <w:rsid w:val="002B326C"/>
    <w:rsid w:val="002B45F0"/>
    <w:rsid w:val="002B49DB"/>
    <w:rsid w:val="002B6226"/>
    <w:rsid w:val="002B640D"/>
    <w:rsid w:val="002B7A85"/>
    <w:rsid w:val="002C0401"/>
    <w:rsid w:val="002C1318"/>
    <w:rsid w:val="002C1CBA"/>
    <w:rsid w:val="002C2245"/>
    <w:rsid w:val="002C263A"/>
    <w:rsid w:val="002C429A"/>
    <w:rsid w:val="002C4A55"/>
    <w:rsid w:val="002C51B8"/>
    <w:rsid w:val="002C65B0"/>
    <w:rsid w:val="002C6779"/>
    <w:rsid w:val="002C68B5"/>
    <w:rsid w:val="002C6B06"/>
    <w:rsid w:val="002C6D2D"/>
    <w:rsid w:val="002C7BCB"/>
    <w:rsid w:val="002D126E"/>
    <w:rsid w:val="002D1549"/>
    <w:rsid w:val="002D1971"/>
    <w:rsid w:val="002D1BB8"/>
    <w:rsid w:val="002D2D1E"/>
    <w:rsid w:val="002D3484"/>
    <w:rsid w:val="002D38BD"/>
    <w:rsid w:val="002D462C"/>
    <w:rsid w:val="002D54EE"/>
    <w:rsid w:val="002D57A2"/>
    <w:rsid w:val="002D57C6"/>
    <w:rsid w:val="002D5A26"/>
    <w:rsid w:val="002D5B1D"/>
    <w:rsid w:val="002D6934"/>
    <w:rsid w:val="002D73FD"/>
    <w:rsid w:val="002D765A"/>
    <w:rsid w:val="002D7A7A"/>
    <w:rsid w:val="002E0203"/>
    <w:rsid w:val="002E031F"/>
    <w:rsid w:val="002E0550"/>
    <w:rsid w:val="002E0ACD"/>
    <w:rsid w:val="002E0F85"/>
    <w:rsid w:val="002E1B4F"/>
    <w:rsid w:val="002E1BDF"/>
    <w:rsid w:val="002E270E"/>
    <w:rsid w:val="002E31F1"/>
    <w:rsid w:val="002E424F"/>
    <w:rsid w:val="002E441B"/>
    <w:rsid w:val="002E5A5A"/>
    <w:rsid w:val="002E7367"/>
    <w:rsid w:val="002F0B8C"/>
    <w:rsid w:val="002F0F63"/>
    <w:rsid w:val="002F148C"/>
    <w:rsid w:val="002F1CED"/>
    <w:rsid w:val="002F30FE"/>
    <w:rsid w:val="002F3BB1"/>
    <w:rsid w:val="002F3CA1"/>
    <w:rsid w:val="002F3E1C"/>
    <w:rsid w:val="002F4071"/>
    <w:rsid w:val="002F4C14"/>
    <w:rsid w:val="002F565A"/>
    <w:rsid w:val="00300828"/>
    <w:rsid w:val="00300E80"/>
    <w:rsid w:val="00300FA7"/>
    <w:rsid w:val="00301CB0"/>
    <w:rsid w:val="003031A0"/>
    <w:rsid w:val="00303E75"/>
    <w:rsid w:val="00304224"/>
    <w:rsid w:val="003048D8"/>
    <w:rsid w:val="00304F79"/>
    <w:rsid w:val="0030529D"/>
    <w:rsid w:val="00305329"/>
    <w:rsid w:val="00305768"/>
    <w:rsid w:val="00305D7C"/>
    <w:rsid w:val="00305F2B"/>
    <w:rsid w:val="003062A0"/>
    <w:rsid w:val="00307E93"/>
    <w:rsid w:val="003101ED"/>
    <w:rsid w:val="00310285"/>
    <w:rsid w:val="00311110"/>
    <w:rsid w:val="003112F8"/>
    <w:rsid w:val="00311392"/>
    <w:rsid w:val="00311C5B"/>
    <w:rsid w:val="003120A6"/>
    <w:rsid w:val="0031257F"/>
    <w:rsid w:val="00314276"/>
    <w:rsid w:val="00314CFA"/>
    <w:rsid w:val="00314EBA"/>
    <w:rsid w:val="00315612"/>
    <w:rsid w:val="00315CEF"/>
    <w:rsid w:val="003167F2"/>
    <w:rsid w:val="00317223"/>
    <w:rsid w:val="003173E1"/>
    <w:rsid w:val="00317CF1"/>
    <w:rsid w:val="00317FAE"/>
    <w:rsid w:val="003200C3"/>
    <w:rsid w:val="0032093B"/>
    <w:rsid w:val="00321074"/>
    <w:rsid w:val="003213E4"/>
    <w:rsid w:val="0032165E"/>
    <w:rsid w:val="00321960"/>
    <w:rsid w:val="00321C94"/>
    <w:rsid w:val="00321F73"/>
    <w:rsid w:val="00322139"/>
    <w:rsid w:val="00322758"/>
    <w:rsid w:val="00322902"/>
    <w:rsid w:val="00322A18"/>
    <w:rsid w:val="00322BA9"/>
    <w:rsid w:val="00324711"/>
    <w:rsid w:val="0032477C"/>
    <w:rsid w:val="00325107"/>
    <w:rsid w:val="003253D7"/>
    <w:rsid w:val="00325711"/>
    <w:rsid w:val="00326B62"/>
    <w:rsid w:val="0032734E"/>
    <w:rsid w:val="00327786"/>
    <w:rsid w:val="003300A4"/>
    <w:rsid w:val="0033018E"/>
    <w:rsid w:val="0033063F"/>
    <w:rsid w:val="00330B40"/>
    <w:rsid w:val="00331222"/>
    <w:rsid w:val="0033123D"/>
    <w:rsid w:val="00331CF0"/>
    <w:rsid w:val="00334965"/>
    <w:rsid w:val="00335F4E"/>
    <w:rsid w:val="003368EC"/>
    <w:rsid w:val="00337E44"/>
    <w:rsid w:val="00337F3C"/>
    <w:rsid w:val="00340CC8"/>
    <w:rsid w:val="00340D69"/>
    <w:rsid w:val="003412DA"/>
    <w:rsid w:val="003416C7"/>
    <w:rsid w:val="00341A97"/>
    <w:rsid w:val="003429C7"/>
    <w:rsid w:val="003432E4"/>
    <w:rsid w:val="003446C8"/>
    <w:rsid w:val="00344981"/>
    <w:rsid w:val="00345317"/>
    <w:rsid w:val="00345BEA"/>
    <w:rsid w:val="00345D74"/>
    <w:rsid w:val="00346230"/>
    <w:rsid w:val="00346A80"/>
    <w:rsid w:val="00350C23"/>
    <w:rsid w:val="00350CEB"/>
    <w:rsid w:val="00350ED8"/>
    <w:rsid w:val="00351344"/>
    <w:rsid w:val="00352335"/>
    <w:rsid w:val="003526F7"/>
    <w:rsid w:val="00352D9A"/>
    <w:rsid w:val="00352E80"/>
    <w:rsid w:val="00353112"/>
    <w:rsid w:val="00353DF6"/>
    <w:rsid w:val="003546C0"/>
    <w:rsid w:val="00355587"/>
    <w:rsid w:val="003563AC"/>
    <w:rsid w:val="003566C5"/>
    <w:rsid w:val="003621C6"/>
    <w:rsid w:val="00362616"/>
    <w:rsid w:val="0036340E"/>
    <w:rsid w:val="003635C2"/>
    <w:rsid w:val="00364D09"/>
    <w:rsid w:val="00365D73"/>
    <w:rsid w:val="00365DD6"/>
    <w:rsid w:val="00366235"/>
    <w:rsid w:val="00366CB1"/>
    <w:rsid w:val="003700F9"/>
    <w:rsid w:val="003706CB"/>
    <w:rsid w:val="00372462"/>
    <w:rsid w:val="003729F1"/>
    <w:rsid w:val="0037330D"/>
    <w:rsid w:val="00374BA4"/>
    <w:rsid w:val="00376BE5"/>
    <w:rsid w:val="003774A7"/>
    <w:rsid w:val="00377684"/>
    <w:rsid w:val="00380BBA"/>
    <w:rsid w:val="00381E88"/>
    <w:rsid w:val="00381EAB"/>
    <w:rsid w:val="003824B4"/>
    <w:rsid w:val="0038266D"/>
    <w:rsid w:val="0038378D"/>
    <w:rsid w:val="003838E4"/>
    <w:rsid w:val="00384F99"/>
    <w:rsid w:val="00384FA9"/>
    <w:rsid w:val="0038606A"/>
    <w:rsid w:val="003864FB"/>
    <w:rsid w:val="00386917"/>
    <w:rsid w:val="00390451"/>
    <w:rsid w:val="00390AC4"/>
    <w:rsid w:val="00391300"/>
    <w:rsid w:val="0039172D"/>
    <w:rsid w:val="003919DC"/>
    <w:rsid w:val="00393D3E"/>
    <w:rsid w:val="003940E7"/>
    <w:rsid w:val="0039457F"/>
    <w:rsid w:val="00394763"/>
    <w:rsid w:val="003948C5"/>
    <w:rsid w:val="00394C24"/>
    <w:rsid w:val="00395711"/>
    <w:rsid w:val="00395EB8"/>
    <w:rsid w:val="003960BF"/>
    <w:rsid w:val="00396DF6"/>
    <w:rsid w:val="003975BF"/>
    <w:rsid w:val="00397C84"/>
    <w:rsid w:val="003A0840"/>
    <w:rsid w:val="003A095F"/>
    <w:rsid w:val="003A0E28"/>
    <w:rsid w:val="003A1537"/>
    <w:rsid w:val="003A2423"/>
    <w:rsid w:val="003A30AF"/>
    <w:rsid w:val="003A3DC5"/>
    <w:rsid w:val="003A469C"/>
    <w:rsid w:val="003A48CD"/>
    <w:rsid w:val="003A5E58"/>
    <w:rsid w:val="003A6011"/>
    <w:rsid w:val="003A7BBC"/>
    <w:rsid w:val="003B09A3"/>
    <w:rsid w:val="003B0CC8"/>
    <w:rsid w:val="003B1072"/>
    <w:rsid w:val="003B1657"/>
    <w:rsid w:val="003B172B"/>
    <w:rsid w:val="003B1CE0"/>
    <w:rsid w:val="003B1CF2"/>
    <w:rsid w:val="003B2242"/>
    <w:rsid w:val="003B22C1"/>
    <w:rsid w:val="003B2777"/>
    <w:rsid w:val="003B30C7"/>
    <w:rsid w:val="003B35C5"/>
    <w:rsid w:val="003B5839"/>
    <w:rsid w:val="003B5A2D"/>
    <w:rsid w:val="003B6761"/>
    <w:rsid w:val="003B72D6"/>
    <w:rsid w:val="003B7CFD"/>
    <w:rsid w:val="003C0A76"/>
    <w:rsid w:val="003C0D9C"/>
    <w:rsid w:val="003C0EEA"/>
    <w:rsid w:val="003C257A"/>
    <w:rsid w:val="003C3048"/>
    <w:rsid w:val="003C3EBA"/>
    <w:rsid w:val="003C7CDB"/>
    <w:rsid w:val="003D0A9F"/>
    <w:rsid w:val="003D1062"/>
    <w:rsid w:val="003D119B"/>
    <w:rsid w:val="003D1A80"/>
    <w:rsid w:val="003D1A99"/>
    <w:rsid w:val="003D1B2A"/>
    <w:rsid w:val="003D2B6E"/>
    <w:rsid w:val="003D2FF8"/>
    <w:rsid w:val="003D39CB"/>
    <w:rsid w:val="003D3B4C"/>
    <w:rsid w:val="003D4262"/>
    <w:rsid w:val="003D46CA"/>
    <w:rsid w:val="003D59D1"/>
    <w:rsid w:val="003D5B46"/>
    <w:rsid w:val="003D5F81"/>
    <w:rsid w:val="003D65A9"/>
    <w:rsid w:val="003E1049"/>
    <w:rsid w:val="003E1BB5"/>
    <w:rsid w:val="003E2438"/>
    <w:rsid w:val="003E4077"/>
    <w:rsid w:val="003E470F"/>
    <w:rsid w:val="003E4ECA"/>
    <w:rsid w:val="003E6DEF"/>
    <w:rsid w:val="003E6FAF"/>
    <w:rsid w:val="003E7272"/>
    <w:rsid w:val="003E7EA5"/>
    <w:rsid w:val="003F01E9"/>
    <w:rsid w:val="003F0404"/>
    <w:rsid w:val="003F182C"/>
    <w:rsid w:val="003F2544"/>
    <w:rsid w:val="003F2FCE"/>
    <w:rsid w:val="003F3174"/>
    <w:rsid w:val="003F4905"/>
    <w:rsid w:val="003F4D72"/>
    <w:rsid w:val="003F556F"/>
    <w:rsid w:val="003F5692"/>
    <w:rsid w:val="003F5826"/>
    <w:rsid w:val="003F6458"/>
    <w:rsid w:val="003F69EB"/>
    <w:rsid w:val="003F6BC4"/>
    <w:rsid w:val="003F7066"/>
    <w:rsid w:val="003F74ED"/>
    <w:rsid w:val="003F7970"/>
    <w:rsid w:val="003F7B38"/>
    <w:rsid w:val="003F7D73"/>
    <w:rsid w:val="003F7FF3"/>
    <w:rsid w:val="0040063A"/>
    <w:rsid w:val="00400C09"/>
    <w:rsid w:val="00400CA4"/>
    <w:rsid w:val="004022C1"/>
    <w:rsid w:val="00402764"/>
    <w:rsid w:val="00402CBE"/>
    <w:rsid w:val="00402F4B"/>
    <w:rsid w:val="0040552A"/>
    <w:rsid w:val="00405D10"/>
    <w:rsid w:val="00406313"/>
    <w:rsid w:val="004065F1"/>
    <w:rsid w:val="00407701"/>
    <w:rsid w:val="00407A59"/>
    <w:rsid w:val="0041056C"/>
    <w:rsid w:val="00410DD4"/>
    <w:rsid w:val="00412C41"/>
    <w:rsid w:val="00412D6E"/>
    <w:rsid w:val="00414101"/>
    <w:rsid w:val="004143DE"/>
    <w:rsid w:val="004153E5"/>
    <w:rsid w:val="00416496"/>
    <w:rsid w:val="00421522"/>
    <w:rsid w:val="00421912"/>
    <w:rsid w:val="00422925"/>
    <w:rsid w:val="00423C9D"/>
    <w:rsid w:val="0042442E"/>
    <w:rsid w:val="00424F60"/>
    <w:rsid w:val="00425299"/>
    <w:rsid w:val="00425374"/>
    <w:rsid w:val="00425A80"/>
    <w:rsid w:val="00426E52"/>
    <w:rsid w:val="0042736C"/>
    <w:rsid w:val="00427F2F"/>
    <w:rsid w:val="00430A74"/>
    <w:rsid w:val="004319BC"/>
    <w:rsid w:val="00431CCC"/>
    <w:rsid w:val="0043267B"/>
    <w:rsid w:val="00433E68"/>
    <w:rsid w:val="004350FA"/>
    <w:rsid w:val="00435627"/>
    <w:rsid w:val="004358E1"/>
    <w:rsid w:val="00435D60"/>
    <w:rsid w:val="00435E43"/>
    <w:rsid w:val="004361C7"/>
    <w:rsid w:val="0043661D"/>
    <w:rsid w:val="00436B05"/>
    <w:rsid w:val="00437594"/>
    <w:rsid w:val="00441212"/>
    <w:rsid w:val="00442A64"/>
    <w:rsid w:val="004437B0"/>
    <w:rsid w:val="0044410E"/>
    <w:rsid w:val="0044411E"/>
    <w:rsid w:val="0044437B"/>
    <w:rsid w:val="00444D82"/>
    <w:rsid w:val="004450BB"/>
    <w:rsid w:val="00445845"/>
    <w:rsid w:val="00445962"/>
    <w:rsid w:val="004464F6"/>
    <w:rsid w:val="00446932"/>
    <w:rsid w:val="00450F28"/>
    <w:rsid w:val="00453E0A"/>
    <w:rsid w:val="00454162"/>
    <w:rsid w:val="00454FCC"/>
    <w:rsid w:val="00455F71"/>
    <w:rsid w:val="0045693F"/>
    <w:rsid w:val="00456A0D"/>
    <w:rsid w:val="004620D3"/>
    <w:rsid w:val="004630F1"/>
    <w:rsid w:val="004636DE"/>
    <w:rsid w:val="00463D6E"/>
    <w:rsid w:val="00464A1B"/>
    <w:rsid w:val="00464BAC"/>
    <w:rsid w:val="004655B6"/>
    <w:rsid w:val="0046576D"/>
    <w:rsid w:val="00465849"/>
    <w:rsid w:val="00465BBC"/>
    <w:rsid w:val="00466D02"/>
    <w:rsid w:val="00467927"/>
    <w:rsid w:val="00470C7E"/>
    <w:rsid w:val="004716F7"/>
    <w:rsid w:val="00471C71"/>
    <w:rsid w:val="00473771"/>
    <w:rsid w:val="00473A26"/>
    <w:rsid w:val="004746D8"/>
    <w:rsid w:val="004746FA"/>
    <w:rsid w:val="0047479D"/>
    <w:rsid w:val="00474DDB"/>
    <w:rsid w:val="004750C2"/>
    <w:rsid w:val="004752C4"/>
    <w:rsid w:val="004763B4"/>
    <w:rsid w:val="00476B9F"/>
    <w:rsid w:val="0047705D"/>
    <w:rsid w:val="00477126"/>
    <w:rsid w:val="00477DB6"/>
    <w:rsid w:val="00480C18"/>
    <w:rsid w:val="0048126F"/>
    <w:rsid w:val="00481A98"/>
    <w:rsid w:val="00481C1C"/>
    <w:rsid w:val="00481CBC"/>
    <w:rsid w:val="00481ED7"/>
    <w:rsid w:val="004827BD"/>
    <w:rsid w:val="00482F61"/>
    <w:rsid w:val="00483012"/>
    <w:rsid w:val="00483407"/>
    <w:rsid w:val="00483F4C"/>
    <w:rsid w:val="00484F09"/>
    <w:rsid w:val="004857A2"/>
    <w:rsid w:val="00486DF4"/>
    <w:rsid w:val="00486F70"/>
    <w:rsid w:val="004875BC"/>
    <w:rsid w:val="00487A6A"/>
    <w:rsid w:val="00490515"/>
    <w:rsid w:val="0049076A"/>
    <w:rsid w:val="00490B95"/>
    <w:rsid w:val="00491666"/>
    <w:rsid w:val="00491895"/>
    <w:rsid w:val="004927C6"/>
    <w:rsid w:val="0049388A"/>
    <w:rsid w:val="00493DDD"/>
    <w:rsid w:val="00494127"/>
    <w:rsid w:val="0049567C"/>
    <w:rsid w:val="00495749"/>
    <w:rsid w:val="0049597C"/>
    <w:rsid w:val="0049619E"/>
    <w:rsid w:val="004961FF"/>
    <w:rsid w:val="00496ABC"/>
    <w:rsid w:val="0049742D"/>
    <w:rsid w:val="00497461"/>
    <w:rsid w:val="00497C10"/>
    <w:rsid w:val="004A197F"/>
    <w:rsid w:val="004A1ABB"/>
    <w:rsid w:val="004A1FC3"/>
    <w:rsid w:val="004A2438"/>
    <w:rsid w:val="004A3C33"/>
    <w:rsid w:val="004A400A"/>
    <w:rsid w:val="004A4FF1"/>
    <w:rsid w:val="004A50A8"/>
    <w:rsid w:val="004A5E95"/>
    <w:rsid w:val="004A6C7E"/>
    <w:rsid w:val="004A7244"/>
    <w:rsid w:val="004A777C"/>
    <w:rsid w:val="004B05FB"/>
    <w:rsid w:val="004B0C1E"/>
    <w:rsid w:val="004B15C7"/>
    <w:rsid w:val="004B1647"/>
    <w:rsid w:val="004B20FD"/>
    <w:rsid w:val="004B2395"/>
    <w:rsid w:val="004B2AD2"/>
    <w:rsid w:val="004B2D44"/>
    <w:rsid w:val="004B350D"/>
    <w:rsid w:val="004B3553"/>
    <w:rsid w:val="004B3740"/>
    <w:rsid w:val="004B4989"/>
    <w:rsid w:val="004B5D15"/>
    <w:rsid w:val="004B6615"/>
    <w:rsid w:val="004B6B31"/>
    <w:rsid w:val="004B7272"/>
    <w:rsid w:val="004B76CF"/>
    <w:rsid w:val="004B7A08"/>
    <w:rsid w:val="004C0138"/>
    <w:rsid w:val="004C1380"/>
    <w:rsid w:val="004C189C"/>
    <w:rsid w:val="004C24AC"/>
    <w:rsid w:val="004C419D"/>
    <w:rsid w:val="004C494D"/>
    <w:rsid w:val="004C5E2F"/>
    <w:rsid w:val="004C5F7E"/>
    <w:rsid w:val="004C617E"/>
    <w:rsid w:val="004C676D"/>
    <w:rsid w:val="004C7026"/>
    <w:rsid w:val="004C7402"/>
    <w:rsid w:val="004C7884"/>
    <w:rsid w:val="004C7C9C"/>
    <w:rsid w:val="004D00C7"/>
    <w:rsid w:val="004D0A0C"/>
    <w:rsid w:val="004D1875"/>
    <w:rsid w:val="004D1CD7"/>
    <w:rsid w:val="004D2D36"/>
    <w:rsid w:val="004D3115"/>
    <w:rsid w:val="004D371C"/>
    <w:rsid w:val="004D40EF"/>
    <w:rsid w:val="004D4214"/>
    <w:rsid w:val="004D4B35"/>
    <w:rsid w:val="004D5D24"/>
    <w:rsid w:val="004D6CC2"/>
    <w:rsid w:val="004D7AEC"/>
    <w:rsid w:val="004D7CE3"/>
    <w:rsid w:val="004E0919"/>
    <w:rsid w:val="004E0D0C"/>
    <w:rsid w:val="004E1C7A"/>
    <w:rsid w:val="004E1E49"/>
    <w:rsid w:val="004E2390"/>
    <w:rsid w:val="004E301F"/>
    <w:rsid w:val="004E334E"/>
    <w:rsid w:val="004E3EB3"/>
    <w:rsid w:val="004E5422"/>
    <w:rsid w:val="004E5821"/>
    <w:rsid w:val="004E5ACF"/>
    <w:rsid w:val="004E5E8D"/>
    <w:rsid w:val="004E6C13"/>
    <w:rsid w:val="004E7619"/>
    <w:rsid w:val="004E7AC4"/>
    <w:rsid w:val="004F0784"/>
    <w:rsid w:val="004F0BDA"/>
    <w:rsid w:val="004F0DB0"/>
    <w:rsid w:val="004F1272"/>
    <w:rsid w:val="004F1960"/>
    <w:rsid w:val="004F1D4D"/>
    <w:rsid w:val="004F2199"/>
    <w:rsid w:val="004F231F"/>
    <w:rsid w:val="004F2EE7"/>
    <w:rsid w:val="004F3BCB"/>
    <w:rsid w:val="004F53A5"/>
    <w:rsid w:val="004F6184"/>
    <w:rsid w:val="004F659D"/>
    <w:rsid w:val="004F6686"/>
    <w:rsid w:val="004F7036"/>
    <w:rsid w:val="00500A81"/>
    <w:rsid w:val="00502B4E"/>
    <w:rsid w:val="00503AF1"/>
    <w:rsid w:val="00503FCD"/>
    <w:rsid w:val="00506061"/>
    <w:rsid w:val="005060C1"/>
    <w:rsid w:val="00506CAF"/>
    <w:rsid w:val="0050706F"/>
    <w:rsid w:val="005076D1"/>
    <w:rsid w:val="00510096"/>
    <w:rsid w:val="005103CB"/>
    <w:rsid w:val="00511FF9"/>
    <w:rsid w:val="00512C58"/>
    <w:rsid w:val="00513343"/>
    <w:rsid w:val="0051350D"/>
    <w:rsid w:val="00514B3D"/>
    <w:rsid w:val="00517E2C"/>
    <w:rsid w:val="00517E2D"/>
    <w:rsid w:val="00520449"/>
    <w:rsid w:val="00520A8C"/>
    <w:rsid w:val="005213B3"/>
    <w:rsid w:val="00521DA0"/>
    <w:rsid w:val="00522238"/>
    <w:rsid w:val="00522E04"/>
    <w:rsid w:val="005230C9"/>
    <w:rsid w:val="00523696"/>
    <w:rsid w:val="00523A51"/>
    <w:rsid w:val="00523A9D"/>
    <w:rsid w:val="00523ACD"/>
    <w:rsid w:val="005249E4"/>
    <w:rsid w:val="00524E3C"/>
    <w:rsid w:val="00525F10"/>
    <w:rsid w:val="00526323"/>
    <w:rsid w:val="00527013"/>
    <w:rsid w:val="00527EF6"/>
    <w:rsid w:val="00527F1F"/>
    <w:rsid w:val="0053005D"/>
    <w:rsid w:val="00530811"/>
    <w:rsid w:val="0053094C"/>
    <w:rsid w:val="00530D17"/>
    <w:rsid w:val="00531356"/>
    <w:rsid w:val="00531846"/>
    <w:rsid w:val="00531AB2"/>
    <w:rsid w:val="0053222B"/>
    <w:rsid w:val="005324F4"/>
    <w:rsid w:val="0053319D"/>
    <w:rsid w:val="00533257"/>
    <w:rsid w:val="005336A1"/>
    <w:rsid w:val="005336E9"/>
    <w:rsid w:val="005346BA"/>
    <w:rsid w:val="0053516C"/>
    <w:rsid w:val="005365BC"/>
    <w:rsid w:val="0053663D"/>
    <w:rsid w:val="0053670C"/>
    <w:rsid w:val="00536AD0"/>
    <w:rsid w:val="00540700"/>
    <w:rsid w:val="00540E1E"/>
    <w:rsid w:val="00541435"/>
    <w:rsid w:val="00541689"/>
    <w:rsid w:val="005416E2"/>
    <w:rsid w:val="005438D6"/>
    <w:rsid w:val="00543952"/>
    <w:rsid w:val="00545188"/>
    <w:rsid w:val="005468C7"/>
    <w:rsid w:val="00547019"/>
    <w:rsid w:val="00547A97"/>
    <w:rsid w:val="0055069B"/>
    <w:rsid w:val="00552687"/>
    <w:rsid w:val="00552E86"/>
    <w:rsid w:val="00554856"/>
    <w:rsid w:val="005548F4"/>
    <w:rsid w:val="00555435"/>
    <w:rsid w:val="0055566D"/>
    <w:rsid w:val="0055651A"/>
    <w:rsid w:val="00556C73"/>
    <w:rsid w:val="005572AB"/>
    <w:rsid w:val="0056076B"/>
    <w:rsid w:val="00560F2D"/>
    <w:rsid w:val="005618D2"/>
    <w:rsid w:val="00561E2E"/>
    <w:rsid w:val="00561FF7"/>
    <w:rsid w:val="005636DF"/>
    <w:rsid w:val="00563FF0"/>
    <w:rsid w:val="00564CFB"/>
    <w:rsid w:val="005662E5"/>
    <w:rsid w:val="0056710A"/>
    <w:rsid w:val="00567980"/>
    <w:rsid w:val="00567FFE"/>
    <w:rsid w:val="00571D6C"/>
    <w:rsid w:val="00572442"/>
    <w:rsid w:val="00572C3A"/>
    <w:rsid w:val="00573479"/>
    <w:rsid w:val="00573ED9"/>
    <w:rsid w:val="0057472A"/>
    <w:rsid w:val="00574B41"/>
    <w:rsid w:val="005753EF"/>
    <w:rsid w:val="0057690E"/>
    <w:rsid w:val="00576DDD"/>
    <w:rsid w:val="00577848"/>
    <w:rsid w:val="00577C37"/>
    <w:rsid w:val="00580A3B"/>
    <w:rsid w:val="005812B5"/>
    <w:rsid w:val="00581A20"/>
    <w:rsid w:val="00581E12"/>
    <w:rsid w:val="00581F91"/>
    <w:rsid w:val="00582047"/>
    <w:rsid w:val="005827CD"/>
    <w:rsid w:val="0058387D"/>
    <w:rsid w:val="00584EDC"/>
    <w:rsid w:val="005850C8"/>
    <w:rsid w:val="00585515"/>
    <w:rsid w:val="00586FF6"/>
    <w:rsid w:val="005877B1"/>
    <w:rsid w:val="00587FCE"/>
    <w:rsid w:val="00590738"/>
    <w:rsid w:val="0059219C"/>
    <w:rsid w:val="0059265B"/>
    <w:rsid w:val="00592DB0"/>
    <w:rsid w:val="00594785"/>
    <w:rsid w:val="00594DE2"/>
    <w:rsid w:val="00595200"/>
    <w:rsid w:val="00597852"/>
    <w:rsid w:val="005A0334"/>
    <w:rsid w:val="005A04DC"/>
    <w:rsid w:val="005A0B51"/>
    <w:rsid w:val="005A20B5"/>
    <w:rsid w:val="005A2BAE"/>
    <w:rsid w:val="005A37D2"/>
    <w:rsid w:val="005A3D12"/>
    <w:rsid w:val="005A41F6"/>
    <w:rsid w:val="005A464E"/>
    <w:rsid w:val="005A4F9A"/>
    <w:rsid w:val="005A5C66"/>
    <w:rsid w:val="005A5DD4"/>
    <w:rsid w:val="005A69A8"/>
    <w:rsid w:val="005A6F0B"/>
    <w:rsid w:val="005A7028"/>
    <w:rsid w:val="005A7CF6"/>
    <w:rsid w:val="005B0109"/>
    <w:rsid w:val="005B0499"/>
    <w:rsid w:val="005B14C6"/>
    <w:rsid w:val="005B1F5C"/>
    <w:rsid w:val="005B2023"/>
    <w:rsid w:val="005B2375"/>
    <w:rsid w:val="005B23D9"/>
    <w:rsid w:val="005B2936"/>
    <w:rsid w:val="005B3C6C"/>
    <w:rsid w:val="005B4621"/>
    <w:rsid w:val="005B4A79"/>
    <w:rsid w:val="005B552E"/>
    <w:rsid w:val="005B5AAE"/>
    <w:rsid w:val="005B667F"/>
    <w:rsid w:val="005B68AB"/>
    <w:rsid w:val="005B7080"/>
    <w:rsid w:val="005B780B"/>
    <w:rsid w:val="005C0209"/>
    <w:rsid w:val="005C0418"/>
    <w:rsid w:val="005C1405"/>
    <w:rsid w:val="005C1EBA"/>
    <w:rsid w:val="005C3128"/>
    <w:rsid w:val="005C3C11"/>
    <w:rsid w:val="005C42F4"/>
    <w:rsid w:val="005C4800"/>
    <w:rsid w:val="005C4A88"/>
    <w:rsid w:val="005C56B5"/>
    <w:rsid w:val="005C5785"/>
    <w:rsid w:val="005C5F83"/>
    <w:rsid w:val="005C6212"/>
    <w:rsid w:val="005C65A3"/>
    <w:rsid w:val="005C677A"/>
    <w:rsid w:val="005C67E5"/>
    <w:rsid w:val="005C73E1"/>
    <w:rsid w:val="005D0EA1"/>
    <w:rsid w:val="005D1289"/>
    <w:rsid w:val="005D186D"/>
    <w:rsid w:val="005D2611"/>
    <w:rsid w:val="005D2E88"/>
    <w:rsid w:val="005D42CC"/>
    <w:rsid w:val="005D4675"/>
    <w:rsid w:val="005D547D"/>
    <w:rsid w:val="005D5869"/>
    <w:rsid w:val="005D5CFE"/>
    <w:rsid w:val="005D64A2"/>
    <w:rsid w:val="005E0975"/>
    <w:rsid w:val="005E1C08"/>
    <w:rsid w:val="005E3F35"/>
    <w:rsid w:val="005E41C3"/>
    <w:rsid w:val="005E46A5"/>
    <w:rsid w:val="005E4B89"/>
    <w:rsid w:val="005E5534"/>
    <w:rsid w:val="005E695A"/>
    <w:rsid w:val="005E70AC"/>
    <w:rsid w:val="005E75A0"/>
    <w:rsid w:val="005F1DB4"/>
    <w:rsid w:val="005F34E2"/>
    <w:rsid w:val="005F4F06"/>
    <w:rsid w:val="005F6294"/>
    <w:rsid w:val="005F65E6"/>
    <w:rsid w:val="005F7047"/>
    <w:rsid w:val="005F7906"/>
    <w:rsid w:val="00600761"/>
    <w:rsid w:val="006008B1"/>
    <w:rsid w:val="006008D4"/>
    <w:rsid w:val="00601D79"/>
    <w:rsid w:val="00602382"/>
    <w:rsid w:val="00602878"/>
    <w:rsid w:val="00603320"/>
    <w:rsid w:val="00603561"/>
    <w:rsid w:val="00603931"/>
    <w:rsid w:val="0060500D"/>
    <w:rsid w:val="00605B75"/>
    <w:rsid w:val="00605C0B"/>
    <w:rsid w:val="00605D10"/>
    <w:rsid w:val="00606C18"/>
    <w:rsid w:val="006079DD"/>
    <w:rsid w:val="006111C0"/>
    <w:rsid w:val="0061178C"/>
    <w:rsid w:val="0061179D"/>
    <w:rsid w:val="00611DC6"/>
    <w:rsid w:val="00612560"/>
    <w:rsid w:val="00612CEC"/>
    <w:rsid w:val="00613254"/>
    <w:rsid w:val="006147C7"/>
    <w:rsid w:val="006155FF"/>
    <w:rsid w:val="00617969"/>
    <w:rsid w:val="00620260"/>
    <w:rsid w:val="006205C6"/>
    <w:rsid w:val="00621662"/>
    <w:rsid w:val="00621ADA"/>
    <w:rsid w:val="00621D05"/>
    <w:rsid w:val="006227BA"/>
    <w:rsid w:val="00622838"/>
    <w:rsid w:val="006233C3"/>
    <w:rsid w:val="0062350A"/>
    <w:rsid w:val="00624439"/>
    <w:rsid w:val="00625590"/>
    <w:rsid w:val="00625C1F"/>
    <w:rsid w:val="00627E87"/>
    <w:rsid w:val="00632838"/>
    <w:rsid w:val="00633029"/>
    <w:rsid w:val="006346FB"/>
    <w:rsid w:val="00635261"/>
    <w:rsid w:val="00635CF7"/>
    <w:rsid w:val="00636EE7"/>
    <w:rsid w:val="0063778C"/>
    <w:rsid w:val="006406CF"/>
    <w:rsid w:val="00641458"/>
    <w:rsid w:val="006420E5"/>
    <w:rsid w:val="006420E9"/>
    <w:rsid w:val="006421F2"/>
    <w:rsid w:val="00643517"/>
    <w:rsid w:val="00643967"/>
    <w:rsid w:val="00644C81"/>
    <w:rsid w:val="00644F42"/>
    <w:rsid w:val="00645108"/>
    <w:rsid w:val="006457AA"/>
    <w:rsid w:val="00645B9B"/>
    <w:rsid w:val="00645CB3"/>
    <w:rsid w:val="00645D25"/>
    <w:rsid w:val="00646928"/>
    <w:rsid w:val="00646B07"/>
    <w:rsid w:val="00646EDF"/>
    <w:rsid w:val="00650C61"/>
    <w:rsid w:val="00651E2E"/>
    <w:rsid w:val="0065239E"/>
    <w:rsid w:val="00653540"/>
    <w:rsid w:val="00655109"/>
    <w:rsid w:val="00657BB2"/>
    <w:rsid w:val="00657DCA"/>
    <w:rsid w:val="00657E53"/>
    <w:rsid w:val="006613F4"/>
    <w:rsid w:val="00662218"/>
    <w:rsid w:val="00662E8E"/>
    <w:rsid w:val="00664DF8"/>
    <w:rsid w:val="006665EA"/>
    <w:rsid w:val="00670835"/>
    <w:rsid w:val="00671254"/>
    <w:rsid w:val="006715BF"/>
    <w:rsid w:val="0067186A"/>
    <w:rsid w:val="0067354E"/>
    <w:rsid w:val="006737B5"/>
    <w:rsid w:val="00673B90"/>
    <w:rsid w:val="00673BBB"/>
    <w:rsid w:val="00673C73"/>
    <w:rsid w:val="00673D6D"/>
    <w:rsid w:val="00674CD5"/>
    <w:rsid w:val="00674E9E"/>
    <w:rsid w:val="006753CC"/>
    <w:rsid w:val="00675EA5"/>
    <w:rsid w:val="00677EE1"/>
    <w:rsid w:val="00681ED2"/>
    <w:rsid w:val="00681FFD"/>
    <w:rsid w:val="0068269A"/>
    <w:rsid w:val="006826A9"/>
    <w:rsid w:val="006827F4"/>
    <w:rsid w:val="00682BE4"/>
    <w:rsid w:val="00684105"/>
    <w:rsid w:val="006842FC"/>
    <w:rsid w:val="00685774"/>
    <w:rsid w:val="00685844"/>
    <w:rsid w:val="00686F1C"/>
    <w:rsid w:val="00690598"/>
    <w:rsid w:val="00690826"/>
    <w:rsid w:val="006909D5"/>
    <w:rsid w:val="0069155A"/>
    <w:rsid w:val="00691B1D"/>
    <w:rsid w:val="00692088"/>
    <w:rsid w:val="00692A0D"/>
    <w:rsid w:val="00692C40"/>
    <w:rsid w:val="00692E20"/>
    <w:rsid w:val="006941CC"/>
    <w:rsid w:val="00694B78"/>
    <w:rsid w:val="006951B9"/>
    <w:rsid w:val="006965FB"/>
    <w:rsid w:val="00697A97"/>
    <w:rsid w:val="006A0D2C"/>
    <w:rsid w:val="006A0E4E"/>
    <w:rsid w:val="006A13CD"/>
    <w:rsid w:val="006A15B1"/>
    <w:rsid w:val="006A255F"/>
    <w:rsid w:val="006A2C93"/>
    <w:rsid w:val="006A2FB6"/>
    <w:rsid w:val="006A4464"/>
    <w:rsid w:val="006A57BE"/>
    <w:rsid w:val="006A60AD"/>
    <w:rsid w:val="006A659C"/>
    <w:rsid w:val="006A6AB9"/>
    <w:rsid w:val="006A7D27"/>
    <w:rsid w:val="006B08D0"/>
    <w:rsid w:val="006B123C"/>
    <w:rsid w:val="006B29CD"/>
    <w:rsid w:val="006B2DE7"/>
    <w:rsid w:val="006B2E37"/>
    <w:rsid w:val="006B3AE6"/>
    <w:rsid w:val="006B4AD9"/>
    <w:rsid w:val="006B511E"/>
    <w:rsid w:val="006C0B6A"/>
    <w:rsid w:val="006C0CD2"/>
    <w:rsid w:val="006C0EED"/>
    <w:rsid w:val="006C0F3F"/>
    <w:rsid w:val="006C120A"/>
    <w:rsid w:val="006C1847"/>
    <w:rsid w:val="006C1959"/>
    <w:rsid w:val="006C31ED"/>
    <w:rsid w:val="006D0055"/>
    <w:rsid w:val="006D25F6"/>
    <w:rsid w:val="006D3F22"/>
    <w:rsid w:val="006D40A6"/>
    <w:rsid w:val="006D492C"/>
    <w:rsid w:val="006D4BF7"/>
    <w:rsid w:val="006D5A26"/>
    <w:rsid w:val="006D5A4C"/>
    <w:rsid w:val="006D5F90"/>
    <w:rsid w:val="006D64BE"/>
    <w:rsid w:val="006D7077"/>
    <w:rsid w:val="006D70D4"/>
    <w:rsid w:val="006D7518"/>
    <w:rsid w:val="006D7A1B"/>
    <w:rsid w:val="006E0794"/>
    <w:rsid w:val="006E0A7A"/>
    <w:rsid w:val="006E0C31"/>
    <w:rsid w:val="006E1381"/>
    <w:rsid w:val="006E1BB1"/>
    <w:rsid w:val="006E1DD2"/>
    <w:rsid w:val="006E1F91"/>
    <w:rsid w:val="006E223F"/>
    <w:rsid w:val="006E2B0C"/>
    <w:rsid w:val="006E31B7"/>
    <w:rsid w:val="006E3242"/>
    <w:rsid w:val="006E47F3"/>
    <w:rsid w:val="006E4FAD"/>
    <w:rsid w:val="006E54C7"/>
    <w:rsid w:val="006E592F"/>
    <w:rsid w:val="006E7BD0"/>
    <w:rsid w:val="006F058E"/>
    <w:rsid w:val="006F143A"/>
    <w:rsid w:val="006F1900"/>
    <w:rsid w:val="006F27BC"/>
    <w:rsid w:val="006F2852"/>
    <w:rsid w:val="006F288A"/>
    <w:rsid w:val="006F42A3"/>
    <w:rsid w:val="006F51A7"/>
    <w:rsid w:val="006F53C9"/>
    <w:rsid w:val="006F6BC0"/>
    <w:rsid w:val="006F7201"/>
    <w:rsid w:val="006F7570"/>
    <w:rsid w:val="0070131D"/>
    <w:rsid w:val="00701E10"/>
    <w:rsid w:val="00702CF6"/>
    <w:rsid w:val="00704557"/>
    <w:rsid w:val="00705699"/>
    <w:rsid w:val="00706017"/>
    <w:rsid w:val="007065F2"/>
    <w:rsid w:val="00706D5F"/>
    <w:rsid w:val="00707873"/>
    <w:rsid w:val="007106FF"/>
    <w:rsid w:val="0071091B"/>
    <w:rsid w:val="00711273"/>
    <w:rsid w:val="0071137B"/>
    <w:rsid w:val="00711D0D"/>
    <w:rsid w:val="0071214A"/>
    <w:rsid w:val="00714EF7"/>
    <w:rsid w:val="00715400"/>
    <w:rsid w:val="007154BD"/>
    <w:rsid w:val="0071574B"/>
    <w:rsid w:val="0071641C"/>
    <w:rsid w:val="00717295"/>
    <w:rsid w:val="00717F2C"/>
    <w:rsid w:val="00720172"/>
    <w:rsid w:val="00720340"/>
    <w:rsid w:val="00720809"/>
    <w:rsid w:val="00720B34"/>
    <w:rsid w:val="00721D70"/>
    <w:rsid w:val="00723467"/>
    <w:rsid w:val="00724BF5"/>
    <w:rsid w:val="00724C0B"/>
    <w:rsid w:val="00724D80"/>
    <w:rsid w:val="00724ED1"/>
    <w:rsid w:val="00725B71"/>
    <w:rsid w:val="00726695"/>
    <w:rsid w:val="00730A5F"/>
    <w:rsid w:val="007315ED"/>
    <w:rsid w:val="007320A1"/>
    <w:rsid w:val="00732FC6"/>
    <w:rsid w:val="007340C8"/>
    <w:rsid w:val="00734F10"/>
    <w:rsid w:val="00735383"/>
    <w:rsid w:val="00737354"/>
    <w:rsid w:val="00737587"/>
    <w:rsid w:val="00737BDA"/>
    <w:rsid w:val="00740466"/>
    <w:rsid w:val="00740E24"/>
    <w:rsid w:val="007424EF"/>
    <w:rsid w:val="00742837"/>
    <w:rsid w:val="00742E40"/>
    <w:rsid w:val="00743AB9"/>
    <w:rsid w:val="00743D63"/>
    <w:rsid w:val="007446A9"/>
    <w:rsid w:val="00745A86"/>
    <w:rsid w:val="00746568"/>
    <w:rsid w:val="00747063"/>
    <w:rsid w:val="007472B4"/>
    <w:rsid w:val="007479F2"/>
    <w:rsid w:val="00747DB4"/>
    <w:rsid w:val="00752239"/>
    <w:rsid w:val="007525C4"/>
    <w:rsid w:val="00752E0D"/>
    <w:rsid w:val="007542D9"/>
    <w:rsid w:val="00754AF8"/>
    <w:rsid w:val="00755327"/>
    <w:rsid w:val="00755CAD"/>
    <w:rsid w:val="0075633B"/>
    <w:rsid w:val="007606A6"/>
    <w:rsid w:val="00761BA2"/>
    <w:rsid w:val="00763E8A"/>
    <w:rsid w:val="007645FC"/>
    <w:rsid w:val="00766DCA"/>
    <w:rsid w:val="00767199"/>
    <w:rsid w:val="00767A4F"/>
    <w:rsid w:val="0077002A"/>
    <w:rsid w:val="00770305"/>
    <w:rsid w:val="00771224"/>
    <w:rsid w:val="00771AA9"/>
    <w:rsid w:val="00773D7C"/>
    <w:rsid w:val="0077416C"/>
    <w:rsid w:val="00774696"/>
    <w:rsid w:val="007746DC"/>
    <w:rsid w:val="00775455"/>
    <w:rsid w:val="00775966"/>
    <w:rsid w:val="0077765B"/>
    <w:rsid w:val="007776C5"/>
    <w:rsid w:val="00777C6C"/>
    <w:rsid w:val="007801FD"/>
    <w:rsid w:val="00780639"/>
    <w:rsid w:val="0078074B"/>
    <w:rsid w:val="00780C06"/>
    <w:rsid w:val="00780F77"/>
    <w:rsid w:val="00781985"/>
    <w:rsid w:val="00782083"/>
    <w:rsid w:val="00783608"/>
    <w:rsid w:val="00783918"/>
    <w:rsid w:val="007847B1"/>
    <w:rsid w:val="007849A2"/>
    <w:rsid w:val="0078551B"/>
    <w:rsid w:val="00785910"/>
    <w:rsid w:val="0078633D"/>
    <w:rsid w:val="00786541"/>
    <w:rsid w:val="007879B5"/>
    <w:rsid w:val="00787C10"/>
    <w:rsid w:val="00787D0A"/>
    <w:rsid w:val="00791148"/>
    <w:rsid w:val="0079287A"/>
    <w:rsid w:val="00792CB7"/>
    <w:rsid w:val="007939B7"/>
    <w:rsid w:val="00793A43"/>
    <w:rsid w:val="00793B6F"/>
    <w:rsid w:val="00793E4F"/>
    <w:rsid w:val="00794831"/>
    <w:rsid w:val="007950A8"/>
    <w:rsid w:val="007961E3"/>
    <w:rsid w:val="007965DD"/>
    <w:rsid w:val="00796D58"/>
    <w:rsid w:val="00796E65"/>
    <w:rsid w:val="007971EA"/>
    <w:rsid w:val="007A042F"/>
    <w:rsid w:val="007A0CDF"/>
    <w:rsid w:val="007A0F69"/>
    <w:rsid w:val="007A0FC1"/>
    <w:rsid w:val="007A1331"/>
    <w:rsid w:val="007A1926"/>
    <w:rsid w:val="007A2094"/>
    <w:rsid w:val="007A2612"/>
    <w:rsid w:val="007A2697"/>
    <w:rsid w:val="007A36EA"/>
    <w:rsid w:val="007A39F9"/>
    <w:rsid w:val="007A3DE6"/>
    <w:rsid w:val="007A4BAC"/>
    <w:rsid w:val="007A5806"/>
    <w:rsid w:val="007A656C"/>
    <w:rsid w:val="007A732B"/>
    <w:rsid w:val="007A7932"/>
    <w:rsid w:val="007A7981"/>
    <w:rsid w:val="007A7F0B"/>
    <w:rsid w:val="007B0262"/>
    <w:rsid w:val="007B058E"/>
    <w:rsid w:val="007B1059"/>
    <w:rsid w:val="007B1A0B"/>
    <w:rsid w:val="007B1CEC"/>
    <w:rsid w:val="007B26B3"/>
    <w:rsid w:val="007B4B56"/>
    <w:rsid w:val="007B4EDC"/>
    <w:rsid w:val="007B6C11"/>
    <w:rsid w:val="007B6C87"/>
    <w:rsid w:val="007B773B"/>
    <w:rsid w:val="007B7889"/>
    <w:rsid w:val="007C0461"/>
    <w:rsid w:val="007C077E"/>
    <w:rsid w:val="007C0ED7"/>
    <w:rsid w:val="007C1A1F"/>
    <w:rsid w:val="007C2183"/>
    <w:rsid w:val="007C28BE"/>
    <w:rsid w:val="007C32A8"/>
    <w:rsid w:val="007C3A8D"/>
    <w:rsid w:val="007C4558"/>
    <w:rsid w:val="007C4587"/>
    <w:rsid w:val="007C52BC"/>
    <w:rsid w:val="007C5ABF"/>
    <w:rsid w:val="007C7036"/>
    <w:rsid w:val="007C78D8"/>
    <w:rsid w:val="007C7C3B"/>
    <w:rsid w:val="007D14A4"/>
    <w:rsid w:val="007D1726"/>
    <w:rsid w:val="007D1FA8"/>
    <w:rsid w:val="007D2AC7"/>
    <w:rsid w:val="007D2EC2"/>
    <w:rsid w:val="007D429A"/>
    <w:rsid w:val="007D4F17"/>
    <w:rsid w:val="007D6024"/>
    <w:rsid w:val="007E1CA6"/>
    <w:rsid w:val="007E2905"/>
    <w:rsid w:val="007E3E08"/>
    <w:rsid w:val="007E4077"/>
    <w:rsid w:val="007E670C"/>
    <w:rsid w:val="007E68B4"/>
    <w:rsid w:val="007F0422"/>
    <w:rsid w:val="007F083B"/>
    <w:rsid w:val="007F1819"/>
    <w:rsid w:val="007F2D66"/>
    <w:rsid w:val="007F2F7B"/>
    <w:rsid w:val="007F3468"/>
    <w:rsid w:val="007F43EA"/>
    <w:rsid w:val="007F463A"/>
    <w:rsid w:val="007F4CA3"/>
    <w:rsid w:val="007F53B5"/>
    <w:rsid w:val="007F5F44"/>
    <w:rsid w:val="007F71B8"/>
    <w:rsid w:val="007F7E67"/>
    <w:rsid w:val="00800448"/>
    <w:rsid w:val="008008FF"/>
    <w:rsid w:val="00801A24"/>
    <w:rsid w:val="0080230D"/>
    <w:rsid w:val="008029A4"/>
    <w:rsid w:val="0080307F"/>
    <w:rsid w:val="00803DC0"/>
    <w:rsid w:val="008058A8"/>
    <w:rsid w:val="008063DE"/>
    <w:rsid w:val="00807853"/>
    <w:rsid w:val="00810492"/>
    <w:rsid w:val="00810928"/>
    <w:rsid w:val="008111F5"/>
    <w:rsid w:val="0081252B"/>
    <w:rsid w:val="0081308B"/>
    <w:rsid w:val="00813F0A"/>
    <w:rsid w:val="00814421"/>
    <w:rsid w:val="00814A7B"/>
    <w:rsid w:val="00814D6B"/>
    <w:rsid w:val="00814DAD"/>
    <w:rsid w:val="00814F73"/>
    <w:rsid w:val="00815360"/>
    <w:rsid w:val="0081583B"/>
    <w:rsid w:val="008162C2"/>
    <w:rsid w:val="008164F7"/>
    <w:rsid w:val="00820791"/>
    <w:rsid w:val="00821DFB"/>
    <w:rsid w:val="008227A7"/>
    <w:rsid w:val="008231DB"/>
    <w:rsid w:val="00823792"/>
    <w:rsid w:val="00824045"/>
    <w:rsid w:val="00824D7A"/>
    <w:rsid w:val="00825102"/>
    <w:rsid w:val="008251C3"/>
    <w:rsid w:val="0082682D"/>
    <w:rsid w:val="00826988"/>
    <w:rsid w:val="00826F09"/>
    <w:rsid w:val="00827954"/>
    <w:rsid w:val="00830075"/>
    <w:rsid w:val="00830242"/>
    <w:rsid w:val="008310D6"/>
    <w:rsid w:val="008314B9"/>
    <w:rsid w:val="008314D8"/>
    <w:rsid w:val="00831743"/>
    <w:rsid w:val="00832E30"/>
    <w:rsid w:val="00833A5A"/>
    <w:rsid w:val="0083532A"/>
    <w:rsid w:val="00835395"/>
    <w:rsid w:val="008359FC"/>
    <w:rsid w:val="0083740F"/>
    <w:rsid w:val="00837FD9"/>
    <w:rsid w:val="00840698"/>
    <w:rsid w:val="00841C58"/>
    <w:rsid w:val="008420BF"/>
    <w:rsid w:val="008424CB"/>
    <w:rsid w:val="008425D6"/>
    <w:rsid w:val="008435AB"/>
    <w:rsid w:val="008448DC"/>
    <w:rsid w:val="00844938"/>
    <w:rsid w:val="00844D43"/>
    <w:rsid w:val="00845286"/>
    <w:rsid w:val="00845351"/>
    <w:rsid w:val="008455AB"/>
    <w:rsid w:val="008458BA"/>
    <w:rsid w:val="00845D52"/>
    <w:rsid w:val="00845DAD"/>
    <w:rsid w:val="00845E3E"/>
    <w:rsid w:val="00846591"/>
    <w:rsid w:val="00846C67"/>
    <w:rsid w:val="00846CA8"/>
    <w:rsid w:val="0084770A"/>
    <w:rsid w:val="00847D33"/>
    <w:rsid w:val="00847E3D"/>
    <w:rsid w:val="008503DC"/>
    <w:rsid w:val="0085107B"/>
    <w:rsid w:val="008510A9"/>
    <w:rsid w:val="008517B0"/>
    <w:rsid w:val="00852567"/>
    <w:rsid w:val="00852F56"/>
    <w:rsid w:val="00852F83"/>
    <w:rsid w:val="00853128"/>
    <w:rsid w:val="0085372D"/>
    <w:rsid w:val="00853C11"/>
    <w:rsid w:val="00853C67"/>
    <w:rsid w:val="00854487"/>
    <w:rsid w:val="00855A17"/>
    <w:rsid w:val="00856510"/>
    <w:rsid w:val="00857644"/>
    <w:rsid w:val="0085781F"/>
    <w:rsid w:val="00860290"/>
    <w:rsid w:val="008606F6"/>
    <w:rsid w:val="00860CC4"/>
    <w:rsid w:val="00860F44"/>
    <w:rsid w:val="00861FF0"/>
    <w:rsid w:val="008627E2"/>
    <w:rsid w:val="008641A5"/>
    <w:rsid w:val="008644DB"/>
    <w:rsid w:val="00864965"/>
    <w:rsid w:val="008663F3"/>
    <w:rsid w:val="008664E3"/>
    <w:rsid w:val="00867EAC"/>
    <w:rsid w:val="00871808"/>
    <w:rsid w:val="00872550"/>
    <w:rsid w:val="00872BBA"/>
    <w:rsid w:val="008739BA"/>
    <w:rsid w:val="008767E4"/>
    <w:rsid w:val="00880C4B"/>
    <w:rsid w:val="008821F6"/>
    <w:rsid w:val="008829D5"/>
    <w:rsid w:val="00883398"/>
    <w:rsid w:val="00883A82"/>
    <w:rsid w:val="008840E9"/>
    <w:rsid w:val="008846B5"/>
    <w:rsid w:val="00885898"/>
    <w:rsid w:val="00886196"/>
    <w:rsid w:val="00887498"/>
    <w:rsid w:val="00887BD1"/>
    <w:rsid w:val="00891069"/>
    <w:rsid w:val="00892E9A"/>
    <w:rsid w:val="00893586"/>
    <w:rsid w:val="0089576D"/>
    <w:rsid w:val="00895A6C"/>
    <w:rsid w:val="00895C36"/>
    <w:rsid w:val="00895FCD"/>
    <w:rsid w:val="0089631E"/>
    <w:rsid w:val="00896499"/>
    <w:rsid w:val="00896736"/>
    <w:rsid w:val="00896E73"/>
    <w:rsid w:val="008975A2"/>
    <w:rsid w:val="008A1527"/>
    <w:rsid w:val="008A1D79"/>
    <w:rsid w:val="008A1ED6"/>
    <w:rsid w:val="008A210F"/>
    <w:rsid w:val="008A32CE"/>
    <w:rsid w:val="008A363A"/>
    <w:rsid w:val="008A3BE5"/>
    <w:rsid w:val="008A3D71"/>
    <w:rsid w:val="008A3E81"/>
    <w:rsid w:val="008A40E2"/>
    <w:rsid w:val="008A47CF"/>
    <w:rsid w:val="008A5083"/>
    <w:rsid w:val="008A56A3"/>
    <w:rsid w:val="008A5DC0"/>
    <w:rsid w:val="008A5EE8"/>
    <w:rsid w:val="008A61FE"/>
    <w:rsid w:val="008A651F"/>
    <w:rsid w:val="008A68FD"/>
    <w:rsid w:val="008A739D"/>
    <w:rsid w:val="008A7FA2"/>
    <w:rsid w:val="008B0884"/>
    <w:rsid w:val="008B14D7"/>
    <w:rsid w:val="008B1D5E"/>
    <w:rsid w:val="008B3001"/>
    <w:rsid w:val="008B3463"/>
    <w:rsid w:val="008B4E72"/>
    <w:rsid w:val="008B5112"/>
    <w:rsid w:val="008B6C9F"/>
    <w:rsid w:val="008B6F8F"/>
    <w:rsid w:val="008B7750"/>
    <w:rsid w:val="008B78EF"/>
    <w:rsid w:val="008C0E51"/>
    <w:rsid w:val="008C167E"/>
    <w:rsid w:val="008C1ED6"/>
    <w:rsid w:val="008C2A64"/>
    <w:rsid w:val="008C31F6"/>
    <w:rsid w:val="008D045A"/>
    <w:rsid w:val="008D059A"/>
    <w:rsid w:val="008D061B"/>
    <w:rsid w:val="008D0C6F"/>
    <w:rsid w:val="008D176C"/>
    <w:rsid w:val="008D17A4"/>
    <w:rsid w:val="008D1A85"/>
    <w:rsid w:val="008D2C81"/>
    <w:rsid w:val="008D2C91"/>
    <w:rsid w:val="008D2FA1"/>
    <w:rsid w:val="008D3510"/>
    <w:rsid w:val="008D3603"/>
    <w:rsid w:val="008D4D1C"/>
    <w:rsid w:val="008D5479"/>
    <w:rsid w:val="008D63A3"/>
    <w:rsid w:val="008E04B8"/>
    <w:rsid w:val="008E1760"/>
    <w:rsid w:val="008E1A82"/>
    <w:rsid w:val="008E27FD"/>
    <w:rsid w:val="008E30B6"/>
    <w:rsid w:val="008E343B"/>
    <w:rsid w:val="008E3EF1"/>
    <w:rsid w:val="008E3FE8"/>
    <w:rsid w:val="008E41A2"/>
    <w:rsid w:val="008E4273"/>
    <w:rsid w:val="008E43BB"/>
    <w:rsid w:val="008E54D3"/>
    <w:rsid w:val="008E555F"/>
    <w:rsid w:val="008E7AEA"/>
    <w:rsid w:val="008E7CA3"/>
    <w:rsid w:val="008F08E7"/>
    <w:rsid w:val="008F0AD1"/>
    <w:rsid w:val="008F0D8A"/>
    <w:rsid w:val="008F16B7"/>
    <w:rsid w:val="008F1802"/>
    <w:rsid w:val="008F2121"/>
    <w:rsid w:val="008F21A4"/>
    <w:rsid w:val="008F24BD"/>
    <w:rsid w:val="008F32F9"/>
    <w:rsid w:val="008F33AE"/>
    <w:rsid w:val="008F427B"/>
    <w:rsid w:val="008F49C8"/>
    <w:rsid w:val="008F4E95"/>
    <w:rsid w:val="008F531A"/>
    <w:rsid w:val="008F551E"/>
    <w:rsid w:val="008F5A24"/>
    <w:rsid w:val="008F62C8"/>
    <w:rsid w:val="008F7FF9"/>
    <w:rsid w:val="00902F23"/>
    <w:rsid w:val="00903530"/>
    <w:rsid w:val="00905AC8"/>
    <w:rsid w:val="009061B8"/>
    <w:rsid w:val="00906546"/>
    <w:rsid w:val="00906946"/>
    <w:rsid w:val="00907CFF"/>
    <w:rsid w:val="00910768"/>
    <w:rsid w:val="009107E8"/>
    <w:rsid w:val="009108EB"/>
    <w:rsid w:val="00910A07"/>
    <w:rsid w:val="00910CC2"/>
    <w:rsid w:val="00910CDE"/>
    <w:rsid w:val="00910FB4"/>
    <w:rsid w:val="0091180B"/>
    <w:rsid w:val="0091252B"/>
    <w:rsid w:val="0091288C"/>
    <w:rsid w:val="00912D91"/>
    <w:rsid w:val="009132BD"/>
    <w:rsid w:val="00914227"/>
    <w:rsid w:val="009145B6"/>
    <w:rsid w:val="009149F2"/>
    <w:rsid w:val="0091676D"/>
    <w:rsid w:val="00920988"/>
    <w:rsid w:val="00920A35"/>
    <w:rsid w:val="00921761"/>
    <w:rsid w:val="0092259B"/>
    <w:rsid w:val="009233CE"/>
    <w:rsid w:val="009239E0"/>
    <w:rsid w:val="00924927"/>
    <w:rsid w:val="0092506B"/>
    <w:rsid w:val="0092564E"/>
    <w:rsid w:val="009256C6"/>
    <w:rsid w:val="00925BEC"/>
    <w:rsid w:val="00925D72"/>
    <w:rsid w:val="00926AFB"/>
    <w:rsid w:val="0092762B"/>
    <w:rsid w:val="0093027B"/>
    <w:rsid w:val="009305F6"/>
    <w:rsid w:val="00930608"/>
    <w:rsid w:val="009306EC"/>
    <w:rsid w:val="00931ECC"/>
    <w:rsid w:val="00933763"/>
    <w:rsid w:val="00933852"/>
    <w:rsid w:val="00933BA4"/>
    <w:rsid w:val="00934470"/>
    <w:rsid w:val="00934B26"/>
    <w:rsid w:val="00934CBF"/>
    <w:rsid w:val="009358DC"/>
    <w:rsid w:val="00936343"/>
    <w:rsid w:val="009367F5"/>
    <w:rsid w:val="00936B28"/>
    <w:rsid w:val="00936BFC"/>
    <w:rsid w:val="00936D9F"/>
    <w:rsid w:val="00937387"/>
    <w:rsid w:val="00940AAD"/>
    <w:rsid w:val="00940BDA"/>
    <w:rsid w:val="0094182D"/>
    <w:rsid w:val="009445E6"/>
    <w:rsid w:val="00944E04"/>
    <w:rsid w:val="009458A3"/>
    <w:rsid w:val="00946073"/>
    <w:rsid w:val="00946919"/>
    <w:rsid w:val="00946B99"/>
    <w:rsid w:val="0094735D"/>
    <w:rsid w:val="009476EE"/>
    <w:rsid w:val="00947702"/>
    <w:rsid w:val="009507FE"/>
    <w:rsid w:val="0095098C"/>
    <w:rsid w:val="0095231D"/>
    <w:rsid w:val="0095251A"/>
    <w:rsid w:val="00954E7F"/>
    <w:rsid w:val="00954F23"/>
    <w:rsid w:val="00955160"/>
    <w:rsid w:val="009553A7"/>
    <w:rsid w:val="00955546"/>
    <w:rsid w:val="00955CDD"/>
    <w:rsid w:val="00955D61"/>
    <w:rsid w:val="009561A5"/>
    <w:rsid w:val="0095621E"/>
    <w:rsid w:val="009565F6"/>
    <w:rsid w:val="009570A2"/>
    <w:rsid w:val="00957442"/>
    <w:rsid w:val="00960A05"/>
    <w:rsid w:val="00960D37"/>
    <w:rsid w:val="0096196D"/>
    <w:rsid w:val="0096278F"/>
    <w:rsid w:val="0096413F"/>
    <w:rsid w:val="00964E68"/>
    <w:rsid w:val="009651BB"/>
    <w:rsid w:val="00966273"/>
    <w:rsid w:val="00967672"/>
    <w:rsid w:val="00970839"/>
    <w:rsid w:val="0097129E"/>
    <w:rsid w:val="0097161A"/>
    <w:rsid w:val="00971968"/>
    <w:rsid w:val="009727FB"/>
    <w:rsid w:val="0097281B"/>
    <w:rsid w:val="00972C59"/>
    <w:rsid w:val="0097305A"/>
    <w:rsid w:val="0097311F"/>
    <w:rsid w:val="00973DA0"/>
    <w:rsid w:val="00973FDE"/>
    <w:rsid w:val="00974137"/>
    <w:rsid w:val="009741E4"/>
    <w:rsid w:val="00975587"/>
    <w:rsid w:val="0097562F"/>
    <w:rsid w:val="0097619B"/>
    <w:rsid w:val="00976636"/>
    <w:rsid w:val="00976E91"/>
    <w:rsid w:val="00977013"/>
    <w:rsid w:val="009778B5"/>
    <w:rsid w:val="00977DC1"/>
    <w:rsid w:val="0098006F"/>
    <w:rsid w:val="009802F7"/>
    <w:rsid w:val="00980BBB"/>
    <w:rsid w:val="00982053"/>
    <w:rsid w:val="00982315"/>
    <w:rsid w:val="00982C36"/>
    <w:rsid w:val="00982E10"/>
    <w:rsid w:val="009838C0"/>
    <w:rsid w:val="00983A4F"/>
    <w:rsid w:val="00983FD2"/>
    <w:rsid w:val="00984DF3"/>
    <w:rsid w:val="00985265"/>
    <w:rsid w:val="00986D22"/>
    <w:rsid w:val="009870A4"/>
    <w:rsid w:val="009878C5"/>
    <w:rsid w:val="00987B01"/>
    <w:rsid w:val="00990E84"/>
    <w:rsid w:val="00991080"/>
    <w:rsid w:val="00991832"/>
    <w:rsid w:val="009928E6"/>
    <w:rsid w:val="00995058"/>
    <w:rsid w:val="009951FC"/>
    <w:rsid w:val="009953B6"/>
    <w:rsid w:val="00995564"/>
    <w:rsid w:val="009963B9"/>
    <w:rsid w:val="00996B62"/>
    <w:rsid w:val="00996D08"/>
    <w:rsid w:val="009977BA"/>
    <w:rsid w:val="009A07B6"/>
    <w:rsid w:val="009A09C0"/>
    <w:rsid w:val="009A0CA8"/>
    <w:rsid w:val="009A1C49"/>
    <w:rsid w:val="009A1DBF"/>
    <w:rsid w:val="009A241D"/>
    <w:rsid w:val="009A25DB"/>
    <w:rsid w:val="009A3682"/>
    <w:rsid w:val="009A37CF"/>
    <w:rsid w:val="009A37F3"/>
    <w:rsid w:val="009A3855"/>
    <w:rsid w:val="009A3947"/>
    <w:rsid w:val="009A3F79"/>
    <w:rsid w:val="009A5509"/>
    <w:rsid w:val="009A6571"/>
    <w:rsid w:val="009A78F6"/>
    <w:rsid w:val="009B01BA"/>
    <w:rsid w:val="009B0771"/>
    <w:rsid w:val="009B0AEC"/>
    <w:rsid w:val="009B15A5"/>
    <w:rsid w:val="009B2633"/>
    <w:rsid w:val="009B31A4"/>
    <w:rsid w:val="009B4A39"/>
    <w:rsid w:val="009B589F"/>
    <w:rsid w:val="009B697A"/>
    <w:rsid w:val="009B6C2D"/>
    <w:rsid w:val="009B7323"/>
    <w:rsid w:val="009B7367"/>
    <w:rsid w:val="009B7B56"/>
    <w:rsid w:val="009C1FBD"/>
    <w:rsid w:val="009C2CAF"/>
    <w:rsid w:val="009C3D56"/>
    <w:rsid w:val="009C41BA"/>
    <w:rsid w:val="009C53F0"/>
    <w:rsid w:val="009C545E"/>
    <w:rsid w:val="009C5937"/>
    <w:rsid w:val="009C5C3E"/>
    <w:rsid w:val="009C6668"/>
    <w:rsid w:val="009C78A8"/>
    <w:rsid w:val="009D031F"/>
    <w:rsid w:val="009D07EC"/>
    <w:rsid w:val="009D0905"/>
    <w:rsid w:val="009D0BCE"/>
    <w:rsid w:val="009D18D3"/>
    <w:rsid w:val="009D3059"/>
    <w:rsid w:val="009D6199"/>
    <w:rsid w:val="009D6548"/>
    <w:rsid w:val="009D759C"/>
    <w:rsid w:val="009D765B"/>
    <w:rsid w:val="009E0113"/>
    <w:rsid w:val="009E0883"/>
    <w:rsid w:val="009E0AF5"/>
    <w:rsid w:val="009E1A3B"/>
    <w:rsid w:val="009E20F8"/>
    <w:rsid w:val="009E29F9"/>
    <w:rsid w:val="009E2B2C"/>
    <w:rsid w:val="009E301B"/>
    <w:rsid w:val="009E30A7"/>
    <w:rsid w:val="009E3297"/>
    <w:rsid w:val="009E3381"/>
    <w:rsid w:val="009E406A"/>
    <w:rsid w:val="009E4B12"/>
    <w:rsid w:val="009E4F3F"/>
    <w:rsid w:val="009E5B11"/>
    <w:rsid w:val="009E5F77"/>
    <w:rsid w:val="009E6252"/>
    <w:rsid w:val="009E7CC0"/>
    <w:rsid w:val="009F12B6"/>
    <w:rsid w:val="009F1D34"/>
    <w:rsid w:val="009F20DD"/>
    <w:rsid w:val="009F2AAB"/>
    <w:rsid w:val="009F2EB8"/>
    <w:rsid w:val="009F3173"/>
    <w:rsid w:val="009F37DD"/>
    <w:rsid w:val="009F407C"/>
    <w:rsid w:val="009F40E7"/>
    <w:rsid w:val="009F4380"/>
    <w:rsid w:val="009F475E"/>
    <w:rsid w:val="009F6191"/>
    <w:rsid w:val="009F66F9"/>
    <w:rsid w:val="009F7F22"/>
    <w:rsid w:val="00A00A9D"/>
    <w:rsid w:val="00A00ECE"/>
    <w:rsid w:val="00A01C5C"/>
    <w:rsid w:val="00A01E3B"/>
    <w:rsid w:val="00A01EAB"/>
    <w:rsid w:val="00A023C0"/>
    <w:rsid w:val="00A03466"/>
    <w:rsid w:val="00A03A14"/>
    <w:rsid w:val="00A05046"/>
    <w:rsid w:val="00A05BD5"/>
    <w:rsid w:val="00A0708E"/>
    <w:rsid w:val="00A07AB9"/>
    <w:rsid w:val="00A07FA0"/>
    <w:rsid w:val="00A101AD"/>
    <w:rsid w:val="00A108C1"/>
    <w:rsid w:val="00A113EB"/>
    <w:rsid w:val="00A128B3"/>
    <w:rsid w:val="00A12B50"/>
    <w:rsid w:val="00A1374C"/>
    <w:rsid w:val="00A137D7"/>
    <w:rsid w:val="00A13853"/>
    <w:rsid w:val="00A13C67"/>
    <w:rsid w:val="00A1449A"/>
    <w:rsid w:val="00A14697"/>
    <w:rsid w:val="00A14A14"/>
    <w:rsid w:val="00A154E4"/>
    <w:rsid w:val="00A157F3"/>
    <w:rsid w:val="00A174E5"/>
    <w:rsid w:val="00A17694"/>
    <w:rsid w:val="00A17A1B"/>
    <w:rsid w:val="00A20941"/>
    <w:rsid w:val="00A215A6"/>
    <w:rsid w:val="00A217CD"/>
    <w:rsid w:val="00A218FA"/>
    <w:rsid w:val="00A21C0F"/>
    <w:rsid w:val="00A24713"/>
    <w:rsid w:val="00A24BAC"/>
    <w:rsid w:val="00A25501"/>
    <w:rsid w:val="00A256F0"/>
    <w:rsid w:val="00A25C65"/>
    <w:rsid w:val="00A25EC5"/>
    <w:rsid w:val="00A2604B"/>
    <w:rsid w:val="00A260B8"/>
    <w:rsid w:val="00A273D7"/>
    <w:rsid w:val="00A30818"/>
    <w:rsid w:val="00A30E57"/>
    <w:rsid w:val="00A32A15"/>
    <w:rsid w:val="00A3312C"/>
    <w:rsid w:val="00A33377"/>
    <w:rsid w:val="00A33639"/>
    <w:rsid w:val="00A34059"/>
    <w:rsid w:val="00A34403"/>
    <w:rsid w:val="00A3522E"/>
    <w:rsid w:val="00A35E51"/>
    <w:rsid w:val="00A364BF"/>
    <w:rsid w:val="00A367ED"/>
    <w:rsid w:val="00A36A4E"/>
    <w:rsid w:val="00A36FC3"/>
    <w:rsid w:val="00A3765C"/>
    <w:rsid w:val="00A37C67"/>
    <w:rsid w:val="00A414F0"/>
    <w:rsid w:val="00A41817"/>
    <w:rsid w:val="00A42948"/>
    <w:rsid w:val="00A43933"/>
    <w:rsid w:val="00A43C73"/>
    <w:rsid w:val="00A44117"/>
    <w:rsid w:val="00A44D9E"/>
    <w:rsid w:val="00A468CE"/>
    <w:rsid w:val="00A4749E"/>
    <w:rsid w:val="00A476C4"/>
    <w:rsid w:val="00A47D2A"/>
    <w:rsid w:val="00A517DB"/>
    <w:rsid w:val="00A51C44"/>
    <w:rsid w:val="00A520B8"/>
    <w:rsid w:val="00A52292"/>
    <w:rsid w:val="00A53A04"/>
    <w:rsid w:val="00A53F1F"/>
    <w:rsid w:val="00A55095"/>
    <w:rsid w:val="00A55C92"/>
    <w:rsid w:val="00A57623"/>
    <w:rsid w:val="00A60E1D"/>
    <w:rsid w:val="00A612EA"/>
    <w:rsid w:val="00A61AEB"/>
    <w:rsid w:val="00A61BF2"/>
    <w:rsid w:val="00A6237A"/>
    <w:rsid w:val="00A62850"/>
    <w:rsid w:val="00A62D5E"/>
    <w:rsid w:val="00A63767"/>
    <w:rsid w:val="00A64473"/>
    <w:rsid w:val="00A645E1"/>
    <w:rsid w:val="00A647E8"/>
    <w:rsid w:val="00A66484"/>
    <w:rsid w:val="00A7043C"/>
    <w:rsid w:val="00A70CFF"/>
    <w:rsid w:val="00A710EA"/>
    <w:rsid w:val="00A710F2"/>
    <w:rsid w:val="00A7154C"/>
    <w:rsid w:val="00A71C52"/>
    <w:rsid w:val="00A7219C"/>
    <w:rsid w:val="00A74703"/>
    <w:rsid w:val="00A74A5D"/>
    <w:rsid w:val="00A758D1"/>
    <w:rsid w:val="00A75A2B"/>
    <w:rsid w:val="00A80AF2"/>
    <w:rsid w:val="00A80FB7"/>
    <w:rsid w:val="00A81994"/>
    <w:rsid w:val="00A81B6E"/>
    <w:rsid w:val="00A840CC"/>
    <w:rsid w:val="00A84348"/>
    <w:rsid w:val="00A84F15"/>
    <w:rsid w:val="00A85020"/>
    <w:rsid w:val="00A853CD"/>
    <w:rsid w:val="00A8614B"/>
    <w:rsid w:val="00A865CC"/>
    <w:rsid w:val="00A86997"/>
    <w:rsid w:val="00A872DE"/>
    <w:rsid w:val="00A87315"/>
    <w:rsid w:val="00A8764E"/>
    <w:rsid w:val="00A87946"/>
    <w:rsid w:val="00A91376"/>
    <w:rsid w:val="00A91EDD"/>
    <w:rsid w:val="00A92B81"/>
    <w:rsid w:val="00A9320A"/>
    <w:rsid w:val="00A934DA"/>
    <w:rsid w:val="00A93C18"/>
    <w:rsid w:val="00A94D43"/>
    <w:rsid w:val="00A94FF6"/>
    <w:rsid w:val="00A954C6"/>
    <w:rsid w:val="00A96FDB"/>
    <w:rsid w:val="00A97E61"/>
    <w:rsid w:val="00AA09F6"/>
    <w:rsid w:val="00AA0A89"/>
    <w:rsid w:val="00AA13D0"/>
    <w:rsid w:val="00AA1614"/>
    <w:rsid w:val="00AA1FE7"/>
    <w:rsid w:val="00AA29EC"/>
    <w:rsid w:val="00AA3202"/>
    <w:rsid w:val="00AA3241"/>
    <w:rsid w:val="00AA37D6"/>
    <w:rsid w:val="00AA44ED"/>
    <w:rsid w:val="00AA46DC"/>
    <w:rsid w:val="00AA4E7F"/>
    <w:rsid w:val="00AA51E3"/>
    <w:rsid w:val="00AA5452"/>
    <w:rsid w:val="00AA563A"/>
    <w:rsid w:val="00AA65DF"/>
    <w:rsid w:val="00AA6B1C"/>
    <w:rsid w:val="00AA757B"/>
    <w:rsid w:val="00AA75C6"/>
    <w:rsid w:val="00AA7C21"/>
    <w:rsid w:val="00AB0320"/>
    <w:rsid w:val="00AB0377"/>
    <w:rsid w:val="00AB059E"/>
    <w:rsid w:val="00AB0ABF"/>
    <w:rsid w:val="00AB1085"/>
    <w:rsid w:val="00AB1A8B"/>
    <w:rsid w:val="00AB1C08"/>
    <w:rsid w:val="00AB1CDF"/>
    <w:rsid w:val="00AB24A0"/>
    <w:rsid w:val="00AB2723"/>
    <w:rsid w:val="00AB348C"/>
    <w:rsid w:val="00AB46EC"/>
    <w:rsid w:val="00AB4DA3"/>
    <w:rsid w:val="00AB5783"/>
    <w:rsid w:val="00AB69D6"/>
    <w:rsid w:val="00AB6CE6"/>
    <w:rsid w:val="00AB735A"/>
    <w:rsid w:val="00AB7B6A"/>
    <w:rsid w:val="00AC001C"/>
    <w:rsid w:val="00AC0099"/>
    <w:rsid w:val="00AC0891"/>
    <w:rsid w:val="00AC0FEC"/>
    <w:rsid w:val="00AC18CD"/>
    <w:rsid w:val="00AC1BC0"/>
    <w:rsid w:val="00AC2773"/>
    <w:rsid w:val="00AC2E15"/>
    <w:rsid w:val="00AC43D7"/>
    <w:rsid w:val="00AC49A6"/>
    <w:rsid w:val="00AC4AE9"/>
    <w:rsid w:val="00AC54B8"/>
    <w:rsid w:val="00AC69AD"/>
    <w:rsid w:val="00AC6E5B"/>
    <w:rsid w:val="00AC7912"/>
    <w:rsid w:val="00AD11A7"/>
    <w:rsid w:val="00AD17B8"/>
    <w:rsid w:val="00AD2064"/>
    <w:rsid w:val="00AD2709"/>
    <w:rsid w:val="00AD38FA"/>
    <w:rsid w:val="00AD42D9"/>
    <w:rsid w:val="00AD501C"/>
    <w:rsid w:val="00AD57E3"/>
    <w:rsid w:val="00AD5B78"/>
    <w:rsid w:val="00AD64AF"/>
    <w:rsid w:val="00AD7190"/>
    <w:rsid w:val="00AD7473"/>
    <w:rsid w:val="00AD769E"/>
    <w:rsid w:val="00AD76F0"/>
    <w:rsid w:val="00AE02F7"/>
    <w:rsid w:val="00AE0313"/>
    <w:rsid w:val="00AE065C"/>
    <w:rsid w:val="00AE0734"/>
    <w:rsid w:val="00AE1247"/>
    <w:rsid w:val="00AE3EC1"/>
    <w:rsid w:val="00AE4B73"/>
    <w:rsid w:val="00AE5126"/>
    <w:rsid w:val="00AE5A1E"/>
    <w:rsid w:val="00AE6209"/>
    <w:rsid w:val="00AE65FD"/>
    <w:rsid w:val="00AE66D8"/>
    <w:rsid w:val="00AE67F6"/>
    <w:rsid w:val="00AE7145"/>
    <w:rsid w:val="00AE7D5E"/>
    <w:rsid w:val="00AE7DF1"/>
    <w:rsid w:val="00AF113B"/>
    <w:rsid w:val="00AF225B"/>
    <w:rsid w:val="00AF2D84"/>
    <w:rsid w:val="00AF38BF"/>
    <w:rsid w:val="00AF40A2"/>
    <w:rsid w:val="00AF46AC"/>
    <w:rsid w:val="00AF4C92"/>
    <w:rsid w:val="00AF5754"/>
    <w:rsid w:val="00AF588D"/>
    <w:rsid w:val="00AF7EE1"/>
    <w:rsid w:val="00B01D6D"/>
    <w:rsid w:val="00B03987"/>
    <w:rsid w:val="00B0518C"/>
    <w:rsid w:val="00B053AE"/>
    <w:rsid w:val="00B0542F"/>
    <w:rsid w:val="00B0587B"/>
    <w:rsid w:val="00B05933"/>
    <w:rsid w:val="00B05C9B"/>
    <w:rsid w:val="00B06767"/>
    <w:rsid w:val="00B10350"/>
    <w:rsid w:val="00B1210A"/>
    <w:rsid w:val="00B13796"/>
    <w:rsid w:val="00B154D7"/>
    <w:rsid w:val="00B16020"/>
    <w:rsid w:val="00B16142"/>
    <w:rsid w:val="00B1671E"/>
    <w:rsid w:val="00B16EB6"/>
    <w:rsid w:val="00B171F9"/>
    <w:rsid w:val="00B172F2"/>
    <w:rsid w:val="00B17A01"/>
    <w:rsid w:val="00B203B0"/>
    <w:rsid w:val="00B210DC"/>
    <w:rsid w:val="00B21890"/>
    <w:rsid w:val="00B233A3"/>
    <w:rsid w:val="00B23888"/>
    <w:rsid w:val="00B2388E"/>
    <w:rsid w:val="00B245C1"/>
    <w:rsid w:val="00B251EC"/>
    <w:rsid w:val="00B2561F"/>
    <w:rsid w:val="00B25985"/>
    <w:rsid w:val="00B269CE"/>
    <w:rsid w:val="00B26F35"/>
    <w:rsid w:val="00B26FD1"/>
    <w:rsid w:val="00B27FE5"/>
    <w:rsid w:val="00B3002A"/>
    <w:rsid w:val="00B3021E"/>
    <w:rsid w:val="00B308D6"/>
    <w:rsid w:val="00B30CBE"/>
    <w:rsid w:val="00B30DA4"/>
    <w:rsid w:val="00B3128B"/>
    <w:rsid w:val="00B31BEC"/>
    <w:rsid w:val="00B31DBC"/>
    <w:rsid w:val="00B33418"/>
    <w:rsid w:val="00B337E3"/>
    <w:rsid w:val="00B33B62"/>
    <w:rsid w:val="00B3436E"/>
    <w:rsid w:val="00B345AB"/>
    <w:rsid w:val="00B34E02"/>
    <w:rsid w:val="00B35AA4"/>
    <w:rsid w:val="00B36736"/>
    <w:rsid w:val="00B40069"/>
    <w:rsid w:val="00B405ED"/>
    <w:rsid w:val="00B418BE"/>
    <w:rsid w:val="00B41DD3"/>
    <w:rsid w:val="00B430B1"/>
    <w:rsid w:val="00B435C7"/>
    <w:rsid w:val="00B44744"/>
    <w:rsid w:val="00B4536D"/>
    <w:rsid w:val="00B45AD2"/>
    <w:rsid w:val="00B46038"/>
    <w:rsid w:val="00B46E2D"/>
    <w:rsid w:val="00B475CD"/>
    <w:rsid w:val="00B50455"/>
    <w:rsid w:val="00B52628"/>
    <w:rsid w:val="00B53660"/>
    <w:rsid w:val="00B54850"/>
    <w:rsid w:val="00B54DEA"/>
    <w:rsid w:val="00B5554C"/>
    <w:rsid w:val="00B55AE7"/>
    <w:rsid w:val="00B56840"/>
    <w:rsid w:val="00B569AB"/>
    <w:rsid w:val="00B56D5E"/>
    <w:rsid w:val="00B575F2"/>
    <w:rsid w:val="00B577F6"/>
    <w:rsid w:val="00B579BE"/>
    <w:rsid w:val="00B609D9"/>
    <w:rsid w:val="00B60BB8"/>
    <w:rsid w:val="00B60E6C"/>
    <w:rsid w:val="00B610F5"/>
    <w:rsid w:val="00B6121A"/>
    <w:rsid w:val="00B61A1F"/>
    <w:rsid w:val="00B63363"/>
    <w:rsid w:val="00B63425"/>
    <w:rsid w:val="00B63A85"/>
    <w:rsid w:val="00B64025"/>
    <w:rsid w:val="00B64546"/>
    <w:rsid w:val="00B653BC"/>
    <w:rsid w:val="00B65BE4"/>
    <w:rsid w:val="00B65C91"/>
    <w:rsid w:val="00B66EC7"/>
    <w:rsid w:val="00B6740C"/>
    <w:rsid w:val="00B70007"/>
    <w:rsid w:val="00B72036"/>
    <w:rsid w:val="00B72100"/>
    <w:rsid w:val="00B73B62"/>
    <w:rsid w:val="00B748F0"/>
    <w:rsid w:val="00B75EC2"/>
    <w:rsid w:val="00B766C6"/>
    <w:rsid w:val="00B76994"/>
    <w:rsid w:val="00B77A60"/>
    <w:rsid w:val="00B81199"/>
    <w:rsid w:val="00B81C5F"/>
    <w:rsid w:val="00B82552"/>
    <w:rsid w:val="00B82DBD"/>
    <w:rsid w:val="00B835CF"/>
    <w:rsid w:val="00B8448A"/>
    <w:rsid w:val="00B853F8"/>
    <w:rsid w:val="00B8582E"/>
    <w:rsid w:val="00B86266"/>
    <w:rsid w:val="00B870BF"/>
    <w:rsid w:val="00B873AE"/>
    <w:rsid w:val="00B87E1D"/>
    <w:rsid w:val="00B901F4"/>
    <w:rsid w:val="00B91F73"/>
    <w:rsid w:val="00B935A8"/>
    <w:rsid w:val="00B93D24"/>
    <w:rsid w:val="00B93F10"/>
    <w:rsid w:val="00B948E5"/>
    <w:rsid w:val="00B94BC2"/>
    <w:rsid w:val="00B96D43"/>
    <w:rsid w:val="00BA03A2"/>
    <w:rsid w:val="00BA05AA"/>
    <w:rsid w:val="00BA1285"/>
    <w:rsid w:val="00BA20D7"/>
    <w:rsid w:val="00BA26B7"/>
    <w:rsid w:val="00BA3557"/>
    <w:rsid w:val="00BA384A"/>
    <w:rsid w:val="00BA3A04"/>
    <w:rsid w:val="00BA56AC"/>
    <w:rsid w:val="00BA5781"/>
    <w:rsid w:val="00BA583F"/>
    <w:rsid w:val="00BA5991"/>
    <w:rsid w:val="00BA5B94"/>
    <w:rsid w:val="00BA6170"/>
    <w:rsid w:val="00BA6C6C"/>
    <w:rsid w:val="00BB00D2"/>
    <w:rsid w:val="00BB133D"/>
    <w:rsid w:val="00BB1546"/>
    <w:rsid w:val="00BB20E0"/>
    <w:rsid w:val="00BB331B"/>
    <w:rsid w:val="00BB33D5"/>
    <w:rsid w:val="00BB4068"/>
    <w:rsid w:val="00BB409C"/>
    <w:rsid w:val="00BB4639"/>
    <w:rsid w:val="00BB4FB0"/>
    <w:rsid w:val="00BB6846"/>
    <w:rsid w:val="00BB6A18"/>
    <w:rsid w:val="00BB6A8A"/>
    <w:rsid w:val="00BB70CB"/>
    <w:rsid w:val="00BB7853"/>
    <w:rsid w:val="00BC028C"/>
    <w:rsid w:val="00BC09CD"/>
    <w:rsid w:val="00BC0B33"/>
    <w:rsid w:val="00BC0C9F"/>
    <w:rsid w:val="00BC175E"/>
    <w:rsid w:val="00BC1BAE"/>
    <w:rsid w:val="00BC3AD1"/>
    <w:rsid w:val="00BC4136"/>
    <w:rsid w:val="00BC46DE"/>
    <w:rsid w:val="00BC5588"/>
    <w:rsid w:val="00BC5872"/>
    <w:rsid w:val="00BC5D73"/>
    <w:rsid w:val="00BC5EA9"/>
    <w:rsid w:val="00BC655F"/>
    <w:rsid w:val="00BC7C35"/>
    <w:rsid w:val="00BD0DDD"/>
    <w:rsid w:val="00BD27C7"/>
    <w:rsid w:val="00BD2E5D"/>
    <w:rsid w:val="00BD437B"/>
    <w:rsid w:val="00BD4738"/>
    <w:rsid w:val="00BD4786"/>
    <w:rsid w:val="00BD5816"/>
    <w:rsid w:val="00BD5A13"/>
    <w:rsid w:val="00BD5D9B"/>
    <w:rsid w:val="00BD62A5"/>
    <w:rsid w:val="00BD68C9"/>
    <w:rsid w:val="00BD6921"/>
    <w:rsid w:val="00BD6A38"/>
    <w:rsid w:val="00BD72A2"/>
    <w:rsid w:val="00BE05EC"/>
    <w:rsid w:val="00BE0857"/>
    <w:rsid w:val="00BE0865"/>
    <w:rsid w:val="00BE0951"/>
    <w:rsid w:val="00BE19EC"/>
    <w:rsid w:val="00BE1A31"/>
    <w:rsid w:val="00BE1A33"/>
    <w:rsid w:val="00BE1D59"/>
    <w:rsid w:val="00BE215F"/>
    <w:rsid w:val="00BE2485"/>
    <w:rsid w:val="00BE3498"/>
    <w:rsid w:val="00BE4057"/>
    <w:rsid w:val="00BE408F"/>
    <w:rsid w:val="00BE49B1"/>
    <w:rsid w:val="00BE540E"/>
    <w:rsid w:val="00BE5DD2"/>
    <w:rsid w:val="00BE5EF7"/>
    <w:rsid w:val="00BE643B"/>
    <w:rsid w:val="00BE6985"/>
    <w:rsid w:val="00BE6B27"/>
    <w:rsid w:val="00BE6C95"/>
    <w:rsid w:val="00BE76CE"/>
    <w:rsid w:val="00BE7D13"/>
    <w:rsid w:val="00BF1AB3"/>
    <w:rsid w:val="00BF1CB5"/>
    <w:rsid w:val="00BF22CB"/>
    <w:rsid w:val="00BF3717"/>
    <w:rsid w:val="00BF3AA6"/>
    <w:rsid w:val="00BF3CB6"/>
    <w:rsid w:val="00BF51C9"/>
    <w:rsid w:val="00BF6A75"/>
    <w:rsid w:val="00BF6CFD"/>
    <w:rsid w:val="00C00470"/>
    <w:rsid w:val="00C02CA9"/>
    <w:rsid w:val="00C035D5"/>
    <w:rsid w:val="00C04A4D"/>
    <w:rsid w:val="00C0539C"/>
    <w:rsid w:val="00C05F7B"/>
    <w:rsid w:val="00C06266"/>
    <w:rsid w:val="00C065FD"/>
    <w:rsid w:val="00C0666F"/>
    <w:rsid w:val="00C06979"/>
    <w:rsid w:val="00C069D6"/>
    <w:rsid w:val="00C06CD9"/>
    <w:rsid w:val="00C07390"/>
    <w:rsid w:val="00C07D40"/>
    <w:rsid w:val="00C1025B"/>
    <w:rsid w:val="00C10D70"/>
    <w:rsid w:val="00C10D73"/>
    <w:rsid w:val="00C10E4F"/>
    <w:rsid w:val="00C11458"/>
    <w:rsid w:val="00C1148A"/>
    <w:rsid w:val="00C11827"/>
    <w:rsid w:val="00C129CA"/>
    <w:rsid w:val="00C13C8F"/>
    <w:rsid w:val="00C13E7C"/>
    <w:rsid w:val="00C1404C"/>
    <w:rsid w:val="00C14B36"/>
    <w:rsid w:val="00C1534D"/>
    <w:rsid w:val="00C15476"/>
    <w:rsid w:val="00C15531"/>
    <w:rsid w:val="00C15886"/>
    <w:rsid w:val="00C16DA3"/>
    <w:rsid w:val="00C16FB6"/>
    <w:rsid w:val="00C17035"/>
    <w:rsid w:val="00C1777C"/>
    <w:rsid w:val="00C2025C"/>
    <w:rsid w:val="00C21225"/>
    <w:rsid w:val="00C21F59"/>
    <w:rsid w:val="00C22ADA"/>
    <w:rsid w:val="00C22AF0"/>
    <w:rsid w:val="00C23098"/>
    <w:rsid w:val="00C24236"/>
    <w:rsid w:val="00C245E0"/>
    <w:rsid w:val="00C24C0E"/>
    <w:rsid w:val="00C24FC7"/>
    <w:rsid w:val="00C25C8E"/>
    <w:rsid w:val="00C270A9"/>
    <w:rsid w:val="00C271D6"/>
    <w:rsid w:val="00C2726F"/>
    <w:rsid w:val="00C27E80"/>
    <w:rsid w:val="00C27F4C"/>
    <w:rsid w:val="00C30164"/>
    <w:rsid w:val="00C30345"/>
    <w:rsid w:val="00C31404"/>
    <w:rsid w:val="00C32F28"/>
    <w:rsid w:val="00C33AC3"/>
    <w:rsid w:val="00C33AFC"/>
    <w:rsid w:val="00C34074"/>
    <w:rsid w:val="00C34989"/>
    <w:rsid w:val="00C35D28"/>
    <w:rsid w:val="00C377C5"/>
    <w:rsid w:val="00C37818"/>
    <w:rsid w:val="00C40486"/>
    <w:rsid w:val="00C40F61"/>
    <w:rsid w:val="00C4156D"/>
    <w:rsid w:val="00C41D10"/>
    <w:rsid w:val="00C41E27"/>
    <w:rsid w:val="00C41EE0"/>
    <w:rsid w:val="00C43204"/>
    <w:rsid w:val="00C4323D"/>
    <w:rsid w:val="00C43646"/>
    <w:rsid w:val="00C43838"/>
    <w:rsid w:val="00C44BE0"/>
    <w:rsid w:val="00C44CB7"/>
    <w:rsid w:val="00C464D7"/>
    <w:rsid w:val="00C467A1"/>
    <w:rsid w:val="00C47BBF"/>
    <w:rsid w:val="00C5034F"/>
    <w:rsid w:val="00C529D0"/>
    <w:rsid w:val="00C537B6"/>
    <w:rsid w:val="00C537EA"/>
    <w:rsid w:val="00C540E1"/>
    <w:rsid w:val="00C54A0D"/>
    <w:rsid w:val="00C56465"/>
    <w:rsid w:val="00C5699E"/>
    <w:rsid w:val="00C57253"/>
    <w:rsid w:val="00C60F2B"/>
    <w:rsid w:val="00C620E5"/>
    <w:rsid w:val="00C62757"/>
    <w:rsid w:val="00C656D7"/>
    <w:rsid w:val="00C657CB"/>
    <w:rsid w:val="00C6670F"/>
    <w:rsid w:val="00C66936"/>
    <w:rsid w:val="00C66ED3"/>
    <w:rsid w:val="00C671FC"/>
    <w:rsid w:val="00C673B4"/>
    <w:rsid w:val="00C67781"/>
    <w:rsid w:val="00C67E08"/>
    <w:rsid w:val="00C702A9"/>
    <w:rsid w:val="00C7061A"/>
    <w:rsid w:val="00C708D9"/>
    <w:rsid w:val="00C70E25"/>
    <w:rsid w:val="00C712EC"/>
    <w:rsid w:val="00C714FC"/>
    <w:rsid w:val="00C715F0"/>
    <w:rsid w:val="00C71C12"/>
    <w:rsid w:val="00C727A2"/>
    <w:rsid w:val="00C72853"/>
    <w:rsid w:val="00C74402"/>
    <w:rsid w:val="00C74BA9"/>
    <w:rsid w:val="00C74C3A"/>
    <w:rsid w:val="00C75252"/>
    <w:rsid w:val="00C7712F"/>
    <w:rsid w:val="00C80D69"/>
    <w:rsid w:val="00C81089"/>
    <w:rsid w:val="00C81EB3"/>
    <w:rsid w:val="00C83615"/>
    <w:rsid w:val="00C83B9A"/>
    <w:rsid w:val="00C8428E"/>
    <w:rsid w:val="00C845F7"/>
    <w:rsid w:val="00C85706"/>
    <w:rsid w:val="00C86330"/>
    <w:rsid w:val="00C86AC9"/>
    <w:rsid w:val="00C87046"/>
    <w:rsid w:val="00C875E4"/>
    <w:rsid w:val="00C87616"/>
    <w:rsid w:val="00C878F3"/>
    <w:rsid w:val="00C87DCC"/>
    <w:rsid w:val="00C9012A"/>
    <w:rsid w:val="00C9016C"/>
    <w:rsid w:val="00C9029B"/>
    <w:rsid w:val="00C91301"/>
    <w:rsid w:val="00C915A3"/>
    <w:rsid w:val="00C9211A"/>
    <w:rsid w:val="00C92506"/>
    <w:rsid w:val="00C927F2"/>
    <w:rsid w:val="00C93BB5"/>
    <w:rsid w:val="00C942AD"/>
    <w:rsid w:val="00C9500D"/>
    <w:rsid w:val="00C95646"/>
    <w:rsid w:val="00C957A2"/>
    <w:rsid w:val="00CA0C13"/>
    <w:rsid w:val="00CA1573"/>
    <w:rsid w:val="00CA2560"/>
    <w:rsid w:val="00CA276B"/>
    <w:rsid w:val="00CA28FC"/>
    <w:rsid w:val="00CA2916"/>
    <w:rsid w:val="00CA3A41"/>
    <w:rsid w:val="00CA49DF"/>
    <w:rsid w:val="00CA4E9D"/>
    <w:rsid w:val="00CA5412"/>
    <w:rsid w:val="00CA59F1"/>
    <w:rsid w:val="00CA6647"/>
    <w:rsid w:val="00CB0A59"/>
    <w:rsid w:val="00CB0B02"/>
    <w:rsid w:val="00CB1942"/>
    <w:rsid w:val="00CB2545"/>
    <w:rsid w:val="00CB2D8E"/>
    <w:rsid w:val="00CB3B23"/>
    <w:rsid w:val="00CB41B2"/>
    <w:rsid w:val="00CB446B"/>
    <w:rsid w:val="00CB4BDF"/>
    <w:rsid w:val="00CB520E"/>
    <w:rsid w:val="00CB62E3"/>
    <w:rsid w:val="00CB7F40"/>
    <w:rsid w:val="00CC060F"/>
    <w:rsid w:val="00CC0C95"/>
    <w:rsid w:val="00CC0DFF"/>
    <w:rsid w:val="00CC17A9"/>
    <w:rsid w:val="00CC1F98"/>
    <w:rsid w:val="00CC2602"/>
    <w:rsid w:val="00CC36D7"/>
    <w:rsid w:val="00CC3823"/>
    <w:rsid w:val="00CC39EA"/>
    <w:rsid w:val="00CC3EA8"/>
    <w:rsid w:val="00CC405F"/>
    <w:rsid w:val="00CC43C1"/>
    <w:rsid w:val="00CC5334"/>
    <w:rsid w:val="00CC55EB"/>
    <w:rsid w:val="00CC5747"/>
    <w:rsid w:val="00CC634D"/>
    <w:rsid w:val="00CC6A22"/>
    <w:rsid w:val="00CD0631"/>
    <w:rsid w:val="00CD0F94"/>
    <w:rsid w:val="00CD1903"/>
    <w:rsid w:val="00CD1AD4"/>
    <w:rsid w:val="00CD1D5E"/>
    <w:rsid w:val="00CD31D7"/>
    <w:rsid w:val="00CD33A2"/>
    <w:rsid w:val="00CD3BC0"/>
    <w:rsid w:val="00CD54F2"/>
    <w:rsid w:val="00CD5A1C"/>
    <w:rsid w:val="00CD61BC"/>
    <w:rsid w:val="00CE01CB"/>
    <w:rsid w:val="00CE0FA5"/>
    <w:rsid w:val="00CE1472"/>
    <w:rsid w:val="00CE165B"/>
    <w:rsid w:val="00CE1B1E"/>
    <w:rsid w:val="00CE25E2"/>
    <w:rsid w:val="00CE27B0"/>
    <w:rsid w:val="00CE3605"/>
    <w:rsid w:val="00CE3F3F"/>
    <w:rsid w:val="00CE44E8"/>
    <w:rsid w:val="00CE498C"/>
    <w:rsid w:val="00CE6518"/>
    <w:rsid w:val="00CE6E1A"/>
    <w:rsid w:val="00CE6F66"/>
    <w:rsid w:val="00CE7CFA"/>
    <w:rsid w:val="00CF02B0"/>
    <w:rsid w:val="00CF06A5"/>
    <w:rsid w:val="00CF18CD"/>
    <w:rsid w:val="00CF1D3F"/>
    <w:rsid w:val="00CF2B3C"/>
    <w:rsid w:val="00CF3546"/>
    <w:rsid w:val="00CF5657"/>
    <w:rsid w:val="00CF7723"/>
    <w:rsid w:val="00CF7A83"/>
    <w:rsid w:val="00CF7B7A"/>
    <w:rsid w:val="00D00CAB"/>
    <w:rsid w:val="00D0110D"/>
    <w:rsid w:val="00D01725"/>
    <w:rsid w:val="00D0260C"/>
    <w:rsid w:val="00D02BA1"/>
    <w:rsid w:val="00D043BE"/>
    <w:rsid w:val="00D06E61"/>
    <w:rsid w:val="00D078DF"/>
    <w:rsid w:val="00D100DB"/>
    <w:rsid w:val="00D10393"/>
    <w:rsid w:val="00D109AE"/>
    <w:rsid w:val="00D116C7"/>
    <w:rsid w:val="00D12502"/>
    <w:rsid w:val="00D13EA4"/>
    <w:rsid w:val="00D14192"/>
    <w:rsid w:val="00D1476A"/>
    <w:rsid w:val="00D153A1"/>
    <w:rsid w:val="00D15667"/>
    <w:rsid w:val="00D15C5C"/>
    <w:rsid w:val="00D164B6"/>
    <w:rsid w:val="00D17447"/>
    <w:rsid w:val="00D17AF8"/>
    <w:rsid w:val="00D17FCD"/>
    <w:rsid w:val="00D2038E"/>
    <w:rsid w:val="00D208C0"/>
    <w:rsid w:val="00D21D5A"/>
    <w:rsid w:val="00D2202F"/>
    <w:rsid w:val="00D22129"/>
    <w:rsid w:val="00D22657"/>
    <w:rsid w:val="00D2285F"/>
    <w:rsid w:val="00D23D0D"/>
    <w:rsid w:val="00D23D80"/>
    <w:rsid w:val="00D253DD"/>
    <w:rsid w:val="00D25762"/>
    <w:rsid w:val="00D25F76"/>
    <w:rsid w:val="00D2635B"/>
    <w:rsid w:val="00D264B8"/>
    <w:rsid w:val="00D266AD"/>
    <w:rsid w:val="00D27C36"/>
    <w:rsid w:val="00D30031"/>
    <w:rsid w:val="00D31605"/>
    <w:rsid w:val="00D31822"/>
    <w:rsid w:val="00D32431"/>
    <w:rsid w:val="00D33044"/>
    <w:rsid w:val="00D33A04"/>
    <w:rsid w:val="00D354F0"/>
    <w:rsid w:val="00D35FF2"/>
    <w:rsid w:val="00D3618B"/>
    <w:rsid w:val="00D36870"/>
    <w:rsid w:val="00D369DC"/>
    <w:rsid w:val="00D36B17"/>
    <w:rsid w:val="00D37B30"/>
    <w:rsid w:val="00D40A55"/>
    <w:rsid w:val="00D429ED"/>
    <w:rsid w:val="00D42A55"/>
    <w:rsid w:val="00D42B3A"/>
    <w:rsid w:val="00D44091"/>
    <w:rsid w:val="00D44631"/>
    <w:rsid w:val="00D448A4"/>
    <w:rsid w:val="00D44914"/>
    <w:rsid w:val="00D4630C"/>
    <w:rsid w:val="00D469ED"/>
    <w:rsid w:val="00D46A47"/>
    <w:rsid w:val="00D47C09"/>
    <w:rsid w:val="00D50947"/>
    <w:rsid w:val="00D50AFB"/>
    <w:rsid w:val="00D51603"/>
    <w:rsid w:val="00D517A0"/>
    <w:rsid w:val="00D52704"/>
    <w:rsid w:val="00D52A22"/>
    <w:rsid w:val="00D52CBD"/>
    <w:rsid w:val="00D53308"/>
    <w:rsid w:val="00D53935"/>
    <w:rsid w:val="00D549D2"/>
    <w:rsid w:val="00D54DAA"/>
    <w:rsid w:val="00D553E5"/>
    <w:rsid w:val="00D5705C"/>
    <w:rsid w:val="00D57C4A"/>
    <w:rsid w:val="00D6059C"/>
    <w:rsid w:val="00D6180C"/>
    <w:rsid w:val="00D62542"/>
    <w:rsid w:val="00D625B5"/>
    <w:rsid w:val="00D62618"/>
    <w:rsid w:val="00D627E2"/>
    <w:rsid w:val="00D632E0"/>
    <w:rsid w:val="00D63C50"/>
    <w:rsid w:val="00D63D40"/>
    <w:rsid w:val="00D64E92"/>
    <w:rsid w:val="00D65174"/>
    <w:rsid w:val="00D653F2"/>
    <w:rsid w:val="00D66B9C"/>
    <w:rsid w:val="00D66DF2"/>
    <w:rsid w:val="00D678C2"/>
    <w:rsid w:val="00D70B7E"/>
    <w:rsid w:val="00D714DD"/>
    <w:rsid w:val="00D71569"/>
    <w:rsid w:val="00D72D44"/>
    <w:rsid w:val="00D72F0E"/>
    <w:rsid w:val="00D7388D"/>
    <w:rsid w:val="00D74135"/>
    <w:rsid w:val="00D7434C"/>
    <w:rsid w:val="00D74560"/>
    <w:rsid w:val="00D75334"/>
    <w:rsid w:val="00D7554E"/>
    <w:rsid w:val="00D7608D"/>
    <w:rsid w:val="00D766CE"/>
    <w:rsid w:val="00D767AF"/>
    <w:rsid w:val="00D76B51"/>
    <w:rsid w:val="00D80416"/>
    <w:rsid w:val="00D80E43"/>
    <w:rsid w:val="00D82692"/>
    <w:rsid w:val="00D82C62"/>
    <w:rsid w:val="00D82FF1"/>
    <w:rsid w:val="00D833B1"/>
    <w:rsid w:val="00D8437F"/>
    <w:rsid w:val="00D8586A"/>
    <w:rsid w:val="00D85937"/>
    <w:rsid w:val="00D87170"/>
    <w:rsid w:val="00D90730"/>
    <w:rsid w:val="00D90AAF"/>
    <w:rsid w:val="00D91ADC"/>
    <w:rsid w:val="00D92874"/>
    <w:rsid w:val="00D928D8"/>
    <w:rsid w:val="00D929E8"/>
    <w:rsid w:val="00D93A26"/>
    <w:rsid w:val="00D94CF8"/>
    <w:rsid w:val="00D95640"/>
    <w:rsid w:val="00D97251"/>
    <w:rsid w:val="00D97E7B"/>
    <w:rsid w:val="00DA018F"/>
    <w:rsid w:val="00DA139A"/>
    <w:rsid w:val="00DA1587"/>
    <w:rsid w:val="00DA17D9"/>
    <w:rsid w:val="00DA1A71"/>
    <w:rsid w:val="00DA1BD2"/>
    <w:rsid w:val="00DA298A"/>
    <w:rsid w:val="00DA4073"/>
    <w:rsid w:val="00DA4364"/>
    <w:rsid w:val="00DA4AB7"/>
    <w:rsid w:val="00DA4B3E"/>
    <w:rsid w:val="00DA51FB"/>
    <w:rsid w:val="00DA5259"/>
    <w:rsid w:val="00DA6100"/>
    <w:rsid w:val="00DB01CB"/>
    <w:rsid w:val="00DB0683"/>
    <w:rsid w:val="00DB0A5E"/>
    <w:rsid w:val="00DB2392"/>
    <w:rsid w:val="00DB403D"/>
    <w:rsid w:val="00DB405B"/>
    <w:rsid w:val="00DB41BD"/>
    <w:rsid w:val="00DB5CA0"/>
    <w:rsid w:val="00DB6112"/>
    <w:rsid w:val="00DC0042"/>
    <w:rsid w:val="00DC0156"/>
    <w:rsid w:val="00DC0687"/>
    <w:rsid w:val="00DC08D6"/>
    <w:rsid w:val="00DC09FB"/>
    <w:rsid w:val="00DC170F"/>
    <w:rsid w:val="00DC2D57"/>
    <w:rsid w:val="00DC33D8"/>
    <w:rsid w:val="00DC38C8"/>
    <w:rsid w:val="00DC3D0D"/>
    <w:rsid w:val="00DC5774"/>
    <w:rsid w:val="00DC5BFE"/>
    <w:rsid w:val="00DC779F"/>
    <w:rsid w:val="00DC7FB9"/>
    <w:rsid w:val="00DD067C"/>
    <w:rsid w:val="00DD1319"/>
    <w:rsid w:val="00DD1341"/>
    <w:rsid w:val="00DD194B"/>
    <w:rsid w:val="00DD2733"/>
    <w:rsid w:val="00DD4BCF"/>
    <w:rsid w:val="00DD52F2"/>
    <w:rsid w:val="00DD76E8"/>
    <w:rsid w:val="00DE0294"/>
    <w:rsid w:val="00DE223D"/>
    <w:rsid w:val="00DE254C"/>
    <w:rsid w:val="00DE4696"/>
    <w:rsid w:val="00DE4E66"/>
    <w:rsid w:val="00DE4F5C"/>
    <w:rsid w:val="00DE675F"/>
    <w:rsid w:val="00DE6AD7"/>
    <w:rsid w:val="00DE7150"/>
    <w:rsid w:val="00DE79DF"/>
    <w:rsid w:val="00DF015E"/>
    <w:rsid w:val="00DF095C"/>
    <w:rsid w:val="00DF0F4A"/>
    <w:rsid w:val="00DF24F7"/>
    <w:rsid w:val="00DF2B1B"/>
    <w:rsid w:val="00DF2DBF"/>
    <w:rsid w:val="00DF32F8"/>
    <w:rsid w:val="00DF4362"/>
    <w:rsid w:val="00DF4554"/>
    <w:rsid w:val="00DF4DCA"/>
    <w:rsid w:val="00DF4EE8"/>
    <w:rsid w:val="00DF52AD"/>
    <w:rsid w:val="00DF5E3A"/>
    <w:rsid w:val="00DF6895"/>
    <w:rsid w:val="00DF71CB"/>
    <w:rsid w:val="00DF73E9"/>
    <w:rsid w:val="00DF7400"/>
    <w:rsid w:val="00DF747B"/>
    <w:rsid w:val="00DF75B0"/>
    <w:rsid w:val="00DF7AC3"/>
    <w:rsid w:val="00DF7B5F"/>
    <w:rsid w:val="00E004D5"/>
    <w:rsid w:val="00E00D4C"/>
    <w:rsid w:val="00E01B06"/>
    <w:rsid w:val="00E02D9C"/>
    <w:rsid w:val="00E038B5"/>
    <w:rsid w:val="00E03DA1"/>
    <w:rsid w:val="00E03E89"/>
    <w:rsid w:val="00E04548"/>
    <w:rsid w:val="00E04654"/>
    <w:rsid w:val="00E049F6"/>
    <w:rsid w:val="00E04DA1"/>
    <w:rsid w:val="00E05509"/>
    <w:rsid w:val="00E05C71"/>
    <w:rsid w:val="00E066A8"/>
    <w:rsid w:val="00E06D6A"/>
    <w:rsid w:val="00E07D06"/>
    <w:rsid w:val="00E07E0E"/>
    <w:rsid w:val="00E07EEA"/>
    <w:rsid w:val="00E10912"/>
    <w:rsid w:val="00E10FB0"/>
    <w:rsid w:val="00E1124B"/>
    <w:rsid w:val="00E1268A"/>
    <w:rsid w:val="00E1273D"/>
    <w:rsid w:val="00E132D0"/>
    <w:rsid w:val="00E134BE"/>
    <w:rsid w:val="00E136AF"/>
    <w:rsid w:val="00E13A0C"/>
    <w:rsid w:val="00E146EC"/>
    <w:rsid w:val="00E147AF"/>
    <w:rsid w:val="00E1632D"/>
    <w:rsid w:val="00E16CBA"/>
    <w:rsid w:val="00E21BDE"/>
    <w:rsid w:val="00E21D10"/>
    <w:rsid w:val="00E22C0F"/>
    <w:rsid w:val="00E24A68"/>
    <w:rsid w:val="00E24DAC"/>
    <w:rsid w:val="00E24FF6"/>
    <w:rsid w:val="00E25C2D"/>
    <w:rsid w:val="00E26457"/>
    <w:rsid w:val="00E26C03"/>
    <w:rsid w:val="00E276C9"/>
    <w:rsid w:val="00E27D1F"/>
    <w:rsid w:val="00E3224D"/>
    <w:rsid w:val="00E32452"/>
    <w:rsid w:val="00E32FE1"/>
    <w:rsid w:val="00E33EBF"/>
    <w:rsid w:val="00E34BD4"/>
    <w:rsid w:val="00E351DB"/>
    <w:rsid w:val="00E35511"/>
    <w:rsid w:val="00E36D09"/>
    <w:rsid w:val="00E37234"/>
    <w:rsid w:val="00E375B8"/>
    <w:rsid w:val="00E37827"/>
    <w:rsid w:val="00E37FA1"/>
    <w:rsid w:val="00E40E94"/>
    <w:rsid w:val="00E40FD0"/>
    <w:rsid w:val="00E414E2"/>
    <w:rsid w:val="00E4175F"/>
    <w:rsid w:val="00E420AA"/>
    <w:rsid w:val="00E42CBD"/>
    <w:rsid w:val="00E42F9A"/>
    <w:rsid w:val="00E436B4"/>
    <w:rsid w:val="00E43E70"/>
    <w:rsid w:val="00E45050"/>
    <w:rsid w:val="00E454B5"/>
    <w:rsid w:val="00E458FE"/>
    <w:rsid w:val="00E45D94"/>
    <w:rsid w:val="00E4635A"/>
    <w:rsid w:val="00E46706"/>
    <w:rsid w:val="00E47017"/>
    <w:rsid w:val="00E4711F"/>
    <w:rsid w:val="00E4761D"/>
    <w:rsid w:val="00E47701"/>
    <w:rsid w:val="00E47AB7"/>
    <w:rsid w:val="00E50261"/>
    <w:rsid w:val="00E5061B"/>
    <w:rsid w:val="00E50666"/>
    <w:rsid w:val="00E50AB6"/>
    <w:rsid w:val="00E527E0"/>
    <w:rsid w:val="00E52EB6"/>
    <w:rsid w:val="00E543D9"/>
    <w:rsid w:val="00E5497E"/>
    <w:rsid w:val="00E5693C"/>
    <w:rsid w:val="00E6039A"/>
    <w:rsid w:val="00E608F7"/>
    <w:rsid w:val="00E608F8"/>
    <w:rsid w:val="00E61042"/>
    <w:rsid w:val="00E61857"/>
    <w:rsid w:val="00E61D7B"/>
    <w:rsid w:val="00E63299"/>
    <w:rsid w:val="00E63427"/>
    <w:rsid w:val="00E63F98"/>
    <w:rsid w:val="00E6427F"/>
    <w:rsid w:val="00E64C7F"/>
    <w:rsid w:val="00E64DD1"/>
    <w:rsid w:val="00E65EE3"/>
    <w:rsid w:val="00E66460"/>
    <w:rsid w:val="00E66938"/>
    <w:rsid w:val="00E67210"/>
    <w:rsid w:val="00E67E98"/>
    <w:rsid w:val="00E67EC0"/>
    <w:rsid w:val="00E70673"/>
    <w:rsid w:val="00E70741"/>
    <w:rsid w:val="00E71A5C"/>
    <w:rsid w:val="00E72534"/>
    <w:rsid w:val="00E72602"/>
    <w:rsid w:val="00E73DCC"/>
    <w:rsid w:val="00E73E76"/>
    <w:rsid w:val="00E73F96"/>
    <w:rsid w:val="00E73F99"/>
    <w:rsid w:val="00E74197"/>
    <w:rsid w:val="00E74574"/>
    <w:rsid w:val="00E75770"/>
    <w:rsid w:val="00E75A6E"/>
    <w:rsid w:val="00E761AB"/>
    <w:rsid w:val="00E76287"/>
    <w:rsid w:val="00E76369"/>
    <w:rsid w:val="00E768EA"/>
    <w:rsid w:val="00E76B63"/>
    <w:rsid w:val="00E76FEE"/>
    <w:rsid w:val="00E77452"/>
    <w:rsid w:val="00E779AB"/>
    <w:rsid w:val="00E77A70"/>
    <w:rsid w:val="00E80082"/>
    <w:rsid w:val="00E807EC"/>
    <w:rsid w:val="00E80D20"/>
    <w:rsid w:val="00E82040"/>
    <w:rsid w:val="00E821D6"/>
    <w:rsid w:val="00E837E4"/>
    <w:rsid w:val="00E83882"/>
    <w:rsid w:val="00E84667"/>
    <w:rsid w:val="00E856A3"/>
    <w:rsid w:val="00E864C0"/>
    <w:rsid w:val="00E87173"/>
    <w:rsid w:val="00E87193"/>
    <w:rsid w:val="00E87333"/>
    <w:rsid w:val="00E87774"/>
    <w:rsid w:val="00E87DAC"/>
    <w:rsid w:val="00E9066B"/>
    <w:rsid w:val="00E90D24"/>
    <w:rsid w:val="00E90DDC"/>
    <w:rsid w:val="00E91369"/>
    <w:rsid w:val="00E91C42"/>
    <w:rsid w:val="00E91F9D"/>
    <w:rsid w:val="00E9296E"/>
    <w:rsid w:val="00E93559"/>
    <w:rsid w:val="00E94A24"/>
    <w:rsid w:val="00E95925"/>
    <w:rsid w:val="00E95F50"/>
    <w:rsid w:val="00E9606D"/>
    <w:rsid w:val="00E969AF"/>
    <w:rsid w:val="00E96B1B"/>
    <w:rsid w:val="00E96E1E"/>
    <w:rsid w:val="00E9751C"/>
    <w:rsid w:val="00EA0AF5"/>
    <w:rsid w:val="00EA0E59"/>
    <w:rsid w:val="00EA1A72"/>
    <w:rsid w:val="00EA1FAF"/>
    <w:rsid w:val="00EA2FAC"/>
    <w:rsid w:val="00EA3C09"/>
    <w:rsid w:val="00EA4495"/>
    <w:rsid w:val="00EA4766"/>
    <w:rsid w:val="00EA53A5"/>
    <w:rsid w:val="00EA63F5"/>
    <w:rsid w:val="00EA63FD"/>
    <w:rsid w:val="00EA6D0C"/>
    <w:rsid w:val="00EA7416"/>
    <w:rsid w:val="00EB02B2"/>
    <w:rsid w:val="00EB1774"/>
    <w:rsid w:val="00EB1EF0"/>
    <w:rsid w:val="00EB1F8A"/>
    <w:rsid w:val="00EB2644"/>
    <w:rsid w:val="00EB2B8A"/>
    <w:rsid w:val="00EB4A16"/>
    <w:rsid w:val="00EB4A81"/>
    <w:rsid w:val="00EB51A8"/>
    <w:rsid w:val="00EB5A91"/>
    <w:rsid w:val="00EB61D3"/>
    <w:rsid w:val="00EB6CA2"/>
    <w:rsid w:val="00EB6CCA"/>
    <w:rsid w:val="00EB772A"/>
    <w:rsid w:val="00EB7BD5"/>
    <w:rsid w:val="00EB7F3F"/>
    <w:rsid w:val="00EC1251"/>
    <w:rsid w:val="00EC16D0"/>
    <w:rsid w:val="00EC181C"/>
    <w:rsid w:val="00EC1909"/>
    <w:rsid w:val="00EC1B3A"/>
    <w:rsid w:val="00EC248E"/>
    <w:rsid w:val="00EC26FF"/>
    <w:rsid w:val="00EC290D"/>
    <w:rsid w:val="00EC2937"/>
    <w:rsid w:val="00EC325F"/>
    <w:rsid w:val="00EC437C"/>
    <w:rsid w:val="00EC4548"/>
    <w:rsid w:val="00EC46E7"/>
    <w:rsid w:val="00EC47A0"/>
    <w:rsid w:val="00EC6068"/>
    <w:rsid w:val="00EC6BE4"/>
    <w:rsid w:val="00ED060F"/>
    <w:rsid w:val="00ED0B51"/>
    <w:rsid w:val="00ED0CFE"/>
    <w:rsid w:val="00ED1B00"/>
    <w:rsid w:val="00ED1DCA"/>
    <w:rsid w:val="00ED208C"/>
    <w:rsid w:val="00ED24C9"/>
    <w:rsid w:val="00ED288F"/>
    <w:rsid w:val="00ED513D"/>
    <w:rsid w:val="00ED5CCD"/>
    <w:rsid w:val="00ED5D3B"/>
    <w:rsid w:val="00ED5FDD"/>
    <w:rsid w:val="00ED65C9"/>
    <w:rsid w:val="00ED680F"/>
    <w:rsid w:val="00ED69AE"/>
    <w:rsid w:val="00ED70CA"/>
    <w:rsid w:val="00ED71FE"/>
    <w:rsid w:val="00ED7BF3"/>
    <w:rsid w:val="00EE037C"/>
    <w:rsid w:val="00EE0EFB"/>
    <w:rsid w:val="00EE4C95"/>
    <w:rsid w:val="00EE5544"/>
    <w:rsid w:val="00EE59C3"/>
    <w:rsid w:val="00EE61FD"/>
    <w:rsid w:val="00EE6977"/>
    <w:rsid w:val="00EE7140"/>
    <w:rsid w:val="00EE7331"/>
    <w:rsid w:val="00EF0246"/>
    <w:rsid w:val="00EF10DD"/>
    <w:rsid w:val="00EF1B4F"/>
    <w:rsid w:val="00EF2131"/>
    <w:rsid w:val="00EF21B1"/>
    <w:rsid w:val="00EF2AAC"/>
    <w:rsid w:val="00EF365A"/>
    <w:rsid w:val="00EF3686"/>
    <w:rsid w:val="00EF3835"/>
    <w:rsid w:val="00EF43A7"/>
    <w:rsid w:val="00EF45AA"/>
    <w:rsid w:val="00EF45FB"/>
    <w:rsid w:val="00EF49DB"/>
    <w:rsid w:val="00EF4CBF"/>
    <w:rsid w:val="00EF552A"/>
    <w:rsid w:val="00EF5ECA"/>
    <w:rsid w:val="00EF6523"/>
    <w:rsid w:val="00EF6E2A"/>
    <w:rsid w:val="00EF7070"/>
    <w:rsid w:val="00EF738D"/>
    <w:rsid w:val="00EF7F32"/>
    <w:rsid w:val="00F025E8"/>
    <w:rsid w:val="00F027EB"/>
    <w:rsid w:val="00F02EB7"/>
    <w:rsid w:val="00F03A44"/>
    <w:rsid w:val="00F0415E"/>
    <w:rsid w:val="00F043F6"/>
    <w:rsid w:val="00F0508D"/>
    <w:rsid w:val="00F05F5F"/>
    <w:rsid w:val="00F06344"/>
    <w:rsid w:val="00F06891"/>
    <w:rsid w:val="00F11990"/>
    <w:rsid w:val="00F119EB"/>
    <w:rsid w:val="00F125C0"/>
    <w:rsid w:val="00F12600"/>
    <w:rsid w:val="00F12D19"/>
    <w:rsid w:val="00F1349F"/>
    <w:rsid w:val="00F14238"/>
    <w:rsid w:val="00F143E2"/>
    <w:rsid w:val="00F15BA9"/>
    <w:rsid w:val="00F17DD1"/>
    <w:rsid w:val="00F20305"/>
    <w:rsid w:val="00F2103E"/>
    <w:rsid w:val="00F21063"/>
    <w:rsid w:val="00F23221"/>
    <w:rsid w:val="00F23792"/>
    <w:rsid w:val="00F24833"/>
    <w:rsid w:val="00F263B5"/>
    <w:rsid w:val="00F265E6"/>
    <w:rsid w:val="00F26750"/>
    <w:rsid w:val="00F27522"/>
    <w:rsid w:val="00F27821"/>
    <w:rsid w:val="00F3082D"/>
    <w:rsid w:val="00F30E0B"/>
    <w:rsid w:val="00F31CA4"/>
    <w:rsid w:val="00F32121"/>
    <w:rsid w:val="00F32617"/>
    <w:rsid w:val="00F33039"/>
    <w:rsid w:val="00F340E5"/>
    <w:rsid w:val="00F35696"/>
    <w:rsid w:val="00F3606D"/>
    <w:rsid w:val="00F36132"/>
    <w:rsid w:val="00F4001B"/>
    <w:rsid w:val="00F4022D"/>
    <w:rsid w:val="00F4030B"/>
    <w:rsid w:val="00F4037F"/>
    <w:rsid w:val="00F40624"/>
    <w:rsid w:val="00F40BE3"/>
    <w:rsid w:val="00F40FC8"/>
    <w:rsid w:val="00F42200"/>
    <w:rsid w:val="00F42510"/>
    <w:rsid w:val="00F428AC"/>
    <w:rsid w:val="00F4343A"/>
    <w:rsid w:val="00F43893"/>
    <w:rsid w:val="00F45B69"/>
    <w:rsid w:val="00F46295"/>
    <w:rsid w:val="00F46F28"/>
    <w:rsid w:val="00F471A1"/>
    <w:rsid w:val="00F47707"/>
    <w:rsid w:val="00F47FA5"/>
    <w:rsid w:val="00F50A1A"/>
    <w:rsid w:val="00F5120B"/>
    <w:rsid w:val="00F519A9"/>
    <w:rsid w:val="00F5247D"/>
    <w:rsid w:val="00F52616"/>
    <w:rsid w:val="00F526AF"/>
    <w:rsid w:val="00F5375D"/>
    <w:rsid w:val="00F53A69"/>
    <w:rsid w:val="00F54A03"/>
    <w:rsid w:val="00F56B28"/>
    <w:rsid w:val="00F57058"/>
    <w:rsid w:val="00F57585"/>
    <w:rsid w:val="00F57B0E"/>
    <w:rsid w:val="00F57DFD"/>
    <w:rsid w:val="00F57E9A"/>
    <w:rsid w:val="00F60FCD"/>
    <w:rsid w:val="00F63355"/>
    <w:rsid w:val="00F63FFC"/>
    <w:rsid w:val="00F64BE2"/>
    <w:rsid w:val="00F64C5A"/>
    <w:rsid w:val="00F65A5F"/>
    <w:rsid w:val="00F70F0C"/>
    <w:rsid w:val="00F7189A"/>
    <w:rsid w:val="00F71C58"/>
    <w:rsid w:val="00F71C5B"/>
    <w:rsid w:val="00F723D6"/>
    <w:rsid w:val="00F7244F"/>
    <w:rsid w:val="00F73C79"/>
    <w:rsid w:val="00F756C2"/>
    <w:rsid w:val="00F76DFB"/>
    <w:rsid w:val="00F773BD"/>
    <w:rsid w:val="00F80E88"/>
    <w:rsid w:val="00F80FE8"/>
    <w:rsid w:val="00F812A2"/>
    <w:rsid w:val="00F81567"/>
    <w:rsid w:val="00F82946"/>
    <w:rsid w:val="00F83BAC"/>
    <w:rsid w:val="00F83F20"/>
    <w:rsid w:val="00F842F4"/>
    <w:rsid w:val="00F844D5"/>
    <w:rsid w:val="00F845F9"/>
    <w:rsid w:val="00F8470B"/>
    <w:rsid w:val="00F854CD"/>
    <w:rsid w:val="00F8591E"/>
    <w:rsid w:val="00F85D85"/>
    <w:rsid w:val="00F86523"/>
    <w:rsid w:val="00F867C2"/>
    <w:rsid w:val="00F86AE2"/>
    <w:rsid w:val="00F86D8E"/>
    <w:rsid w:val="00F87A18"/>
    <w:rsid w:val="00F87CF3"/>
    <w:rsid w:val="00F90420"/>
    <w:rsid w:val="00F908C8"/>
    <w:rsid w:val="00F90FF7"/>
    <w:rsid w:val="00F91950"/>
    <w:rsid w:val="00F92482"/>
    <w:rsid w:val="00F9371D"/>
    <w:rsid w:val="00F95215"/>
    <w:rsid w:val="00F95C06"/>
    <w:rsid w:val="00F96450"/>
    <w:rsid w:val="00F96F00"/>
    <w:rsid w:val="00FA0786"/>
    <w:rsid w:val="00FA1E55"/>
    <w:rsid w:val="00FA2164"/>
    <w:rsid w:val="00FA2763"/>
    <w:rsid w:val="00FA280C"/>
    <w:rsid w:val="00FA29FD"/>
    <w:rsid w:val="00FA3E89"/>
    <w:rsid w:val="00FA5CF5"/>
    <w:rsid w:val="00FA5F8E"/>
    <w:rsid w:val="00FA70F9"/>
    <w:rsid w:val="00FA7180"/>
    <w:rsid w:val="00FB059C"/>
    <w:rsid w:val="00FB0891"/>
    <w:rsid w:val="00FB0AB9"/>
    <w:rsid w:val="00FB0CF7"/>
    <w:rsid w:val="00FB15EA"/>
    <w:rsid w:val="00FB1B6E"/>
    <w:rsid w:val="00FB1F5F"/>
    <w:rsid w:val="00FB20E9"/>
    <w:rsid w:val="00FB3260"/>
    <w:rsid w:val="00FB416E"/>
    <w:rsid w:val="00FB5AA5"/>
    <w:rsid w:val="00FB6A8F"/>
    <w:rsid w:val="00FB6CF6"/>
    <w:rsid w:val="00FC08DC"/>
    <w:rsid w:val="00FC1D4A"/>
    <w:rsid w:val="00FC2902"/>
    <w:rsid w:val="00FC3963"/>
    <w:rsid w:val="00FC4C83"/>
    <w:rsid w:val="00FC61C5"/>
    <w:rsid w:val="00FC6468"/>
    <w:rsid w:val="00FC6611"/>
    <w:rsid w:val="00FC7700"/>
    <w:rsid w:val="00FD00EF"/>
    <w:rsid w:val="00FD07E8"/>
    <w:rsid w:val="00FD08F4"/>
    <w:rsid w:val="00FD2A90"/>
    <w:rsid w:val="00FD2BD8"/>
    <w:rsid w:val="00FD3961"/>
    <w:rsid w:val="00FD400D"/>
    <w:rsid w:val="00FD4291"/>
    <w:rsid w:val="00FD4450"/>
    <w:rsid w:val="00FD584B"/>
    <w:rsid w:val="00FD5D04"/>
    <w:rsid w:val="00FD62BF"/>
    <w:rsid w:val="00FD6CF7"/>
    <w:rsid w:val="00FD7171"/>
    <w:rsid w:val="00FD7269"/>
    <w:rsid w:val="00FD7307"/>
    <w:rsid w:val="00FD7623"/>
    <w:rsid w:val="00FD7F0D"/>
    <w:rsid w:val="00FE02B5"/>
    <w:rsid w:val="00FE0C63"/>
    <w:rsid w:val="00FE157C"/>
    <w:rsid w:val="00FE162F"/>
    <w:rsid w:val="00FE1B29"/>
    <w:rsid w:val="00FE25BE"/>
    <w:rsid w:val="00FE2EB1"/>
    <w:rsid w:val="00FE41A8"/>
    <w:rsid w:val="00FE732D"/>
    <w:rsid w:val="00FF0206"/>
    <w:rsid w:val="00FF03A8"/>
    <w:rsid w:val="00FF1641"/>
    <w:rsid w:val="00FF248E"/>
    <w:rsid w:val="00FF3296"/>
    <w:rsid w:val="00FF33E9"/>
    <w:rsid w:val="00FF43AB"/>
    <w:rsid w:val="00FF43F7"/>
    <w:rsid w:val="00FF5186"/>
    <w:rsid w:val="00FF6B6F"/>
    <w:rsid w:val="00FF73F9"/>
    <w:rsid w:val="00FF7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75C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13D0"/>
    <w:pPr>
      <w:widowControl w:val="0"/>
      <w:spacing w:after="0" w:line="240" w:lineRule="auto"/>
    </w:pPr>
    <w:rPr>
      <w:rFonts w:ascii="Verdana" w:hAnsi="Verdana" w:cs="Times New Roman"/>
      <w:snapToGrid w:val="0"/>
      <w:sz w:val="20"/>
      <w:szCs w:val="20"/>
      <w:lang w:eastAsia="fi-FI"/>
    </w:rPr>
  </w:style>
  <w:style w:type="paragraph" w:styleId="Heading1">
    <w:name w:val="heading 1"/>
    <w:aliases w:val="PAR Heading 1,1"/>
    <w:basedOn w:val="Normal"/>
    <w:next w:val="Normal"/>
    <w:link w:val="Heading1Char"/>
    <w:autoRedefine/>
    <w:qFormat/>
    <w:rsid w:val="00C13C8F"/>
    <w:pPr>
      <w:keepNext/>
      <w:keepLines/>
      <w:numPr>
        <w:numId w:val="79"/>
      </w:numPr>
      <w:spacing w:after="240"/>
      <w:outlineLvl w:val="0"/>
    </w:pPr>
    <w:rPr>
      <w:b/>
      <w:sz w:val="28"/>
      <w:szCs w:val="24"/>
    </w:rPr>
  </w:style>
  <w:style w:type="paragraph" w:styleId="Heading2">
    <w:name w:val="heading 2"/>
    <w:aliases w:val="PAR Heading 2,2"/>
    <w:basedOn w:val="Heading1"/>
    <w:next w:val="Normal"/>
    <w:link w:val="Heading2Char"/>
    <w:autoRedefine/>
    <w:qFormat/>
    <w:rsid w:val="00024C1F"/>
    <w:pPr>
      <w:numPr>
        <w:ilvl w:val="1"/>
      </w:numPr>
      <w:jc w:val="both"/>
      <w:outlineLvl w:val="1"/>
    </w:pPr>
    <w:rPr>
      <w:rFonts w:cs="Arial"/>
      <w:sz w:val="24"/>
      <w:szCs w:val="18"/>
    </w:rPr>
  </w:style>
  <w:style w:type="paragraph" w:styleId="Heading3">
    <w:name w:val="heading 3"/>
    <w:aliases w:val="PAR Heading 3,3"/>
    <w:basedOn w:val="Heading2"/>
    <w:next w:val="Normal"/>
    <w:link w:val="Heading3Char"/>
    <w:autoRedefine/>
    <w:qFormat/>
    <w:rsid w:val="00B405ED"/>
    <w:pPr>
      <w:keepNext w:val="0"/>
      <w:keepLines w:val="0"/>
      <w:widowControl/>
      <w:numPr>
        <w:ilvl w:val="2"/>
      </w:numPr>
      <w:jc w:val="left"/>
      <w:outlineLvl w:val="2"/>
    </w:pPr>
    <w:rPr>
      <w:rFonts w:eastAsia="Calibri"/>
      <w:bCs/>
      <w:color w:val="000000"/>
      <w:sz w:val="22"/>
      <w:lang w:eastAsia="en-US"/>
    </w:rPr>
  </w:style>
  <w:style w:type="paragraph" w:styleId="Heading4">
    <w:name w:val="heading 4"/>
    <w:aliases w:val="PAR Heading 4,4"/>
    <w:basedOn w:val="Heading3"/>
    <w:next w:val="Normal"/>
    <w:link w:val="Heading4Char"/>
    <w:autoRedefine/>
    <w:qFormat/>
    <w:rsid w:val="00EC248E"/>
    <w:pPr>
      <w:numPr>
        <w:ilvl w:val="3"/>
      </w:numPr>
      <w:jc w:val="both"/>
      <w:outlineLvl w:val="3"/>
    </w:pPr>
    <w:rPr>
      <w:bCs w:val="0"/>
      <w:sz w:val="20"/>
      <w:szCs w:val="28"/>
    </w:rPr>
  </w:style>
  <w:style w:type="paragraph" w:styleId="Heading5">
    <w:name w:val="heading 5"/>
    <w:aliases w:val="PAR Heading 5,5"/>
    <w:basedOn w:val="Heading3"/>
    <w:next w:val="Normal"/>
    <w:link w:val="Heading5Char"/>
    <w:autoRedefine/>
    <w:qFormat/>
    <w:rsid w:val="00CA5412"/>
    <w:pPr>
      <w:numPr>
        <w:ilvl w:val="0"/>
        <w:numId w:val="0"/>
      </w:numPr>
      <w:jc w:val="both"/>
      <w:outlineLvl w:val="4"/>
    </w:pPr>
    <w:rPr>
      <w:bCs w:val="0"/>
      <w:iCs/>
      <w:sz w:val="20"/>
      <w:szCs w:val="26"/>
    </w:rPr>
  </w:style>
  <w:style w:type="paragraph" w:styleId="Heading6">
    <w:name w:val="heading 6"/>
    <w:aliases w:val="ECHA Heading 6"/>
    <w:basedOn w:val="Heading5"/>
    <w:next w:val="Normal"/>
    <w:link w:val="Heading6Char"/>
    <w:autoRedefine/>
    <w:qFormat/>
    <w:rsid w:val="00BE19EC"/>
    <w:pPr>
      <w:numPr>
        <w:ilvl w:val="5"/>
        <w:numId w:val="93"/>
      </w:numPr>
      <w:outlineLvl w:val="5"/>
    </w:pPr>
    <w:rPr>
      <w:bCs/>
      <w:szCs w:val="22"/>
    </w:rPr>
  </w:style>
  <w:style w:type="paragraph" w:styleId="Heading7">
    <w:name w:val="heading 7"/>
    <w:aliases w:val="ECHA Heading 7"/>
    <w:basedOn w:val="Heading5"/>
    <w:next w:val="Normal"/>
    <w:link w:val="Heading7Char"/>
    <w:qFormat/>
    <w:rsid w:val="00BE19EC"/>
    <w:pPr>
      <w:numPr>
        <w:ilvl w:val="6"/>
        <w:numId w:val="93"/>
      </w:numPr>
      <w:outlineLvl w:val="6"/>
    </w:pPr>
    <w:rPr>
      <w:szCs w:val="24"/>
    </w:rPr>
  </w:style>
  <w:style w:type="paragraph" w:styleId="Heading8">
    <w:name w:val="heading 8"/>
    <w:aliases w:val="ECHA Heading 8"/>
    <w:basedOn w:val="Heading5"/>
    <w:next w:val="Normal"/>
    <w:link w:val="Heading8Char"/>
    <w:qFormat/>
    <w:rsid w:val="00BE19EC"/>
    <w:pPr>
      <w:numPr>
        <w:ilvl w:val="7"/>
        <w:numId w:val="93"/>
      </w:numPr>
      <w:outlineLvl w:val="7"/>
    </w:pPr>
    <w:rPr>
      <w:iCs w:val="0"/>
      <w:szCs w:val="24"/>
    </w:rPr>
  </w:style>
  <w:style w:type="paragraph" w:styleId="Heading9">
    <w:name w:val="heading 9"/>
    <w:aliases w:val="ECHA Heading 9"/>
    <w:basedOn w:val="Heading5"/>
    <w:next w:val="Normal"/>
    <w:link w:val="Heading9Char"/>
    <w:qFormat/>
    <w:rsid w:val="00BE19EC"/>
    <w:pPr>
      <w:numPr>
        <w:ilvl w:val="8"/>
        <w:numId w:val="9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nhideWhenUsed/>
    <w:qFormat/>
    <w:rsid w:val="001645FF"/>
    <w:pPr>
      <w:spacing w:before="120" w:after="120"/>
    </w:pPr>
    <w:rPr>
      <w:b/>
      <w:bCs/>
      <w:szCs w:val="18"/>
    </w:rPr>
  </w:style>
  <w:style w:type="paragraph" w:styleId="TOC1">
    <w:name w:val="toc 1"/>
    <w:basedOn w:val="Normal"/>
    <w:next w:val="Normal"/>
    <w:autoRedefine/>
    <w:uiPriority w:val="39"/>
    <w:unhideWhenUsed/>
    <w:qFormat/>
    <w:rsid w:val="00D5705C"/>
    <w:pPr>
      <w:spacing w:after="100"/>
    </w:pPr>
  </w:style>
  <w:style w:type="paragraph" w:styleId="TOC2">
    <w:name w:val="toc 2"/>
    <w:basedOn w:val="Normal"/>
    <w:next w:val="Normal"/>
    <w:autoRedefine/>
    <w:uiPriority w:val="39"/>
    <w:unhideWhenUsed/>
    <w:qFormat/>
    <w:rsid w:val="00D5705C"/>
    <w:pPr>
      <w:spacing w:after="100"/>
      <w:ind w:left="200"/>
    </w:pPr>
  </w:style>
  <w:style w:type="paragraph" w:styleId="TOC3">
    <w:name w:val="toc 3"/>
    <w:basedOn w:val="Normal"/>
    <w:next w:val="Normal"/>
    <w:autoRedefine/>
    <w:uiPriority w:val="39"/>
    <w:unhideWhenUsed/>
    <w:qFormat/>
    <w:rsid w:val="00D5705C"/>
    <w:pPr>
      <w:spacing w:after="100"/>
      <w:ind w:left="400"/>
    </w:pPr>
  </w:style>
  <w:style w:type="paragraph" w:styleId="TOC4">
    <w:name w:val="toc 4"/>
    <w:basedOn w:val="Normal"/>
    <w:next w:val="Normal"/>
    <w:autoRedefine/>
    <w:uiPriority w:val="39"/>
    <w:unhideWhenUsed/>
    <w:rsid w:val="00D5705C"/>
    <w:pPr>
      <w:spacing w:after="100"/>
      <w:ind w:left="600"/>
    </w:pPr>
  </w:style>
  <w:style w:type="paragraph" w:styleId="TOCHeading">
    <w:name w:val="TOC Heading"/>
    <w:basedOn w:val="Heading1"/>
    <w:next w:val="Normal"/>
    <w:uiPriority w:val="39"/>
    <w:unhideWhenUsed/>
    <w:qFormat/>
    <w:rsid w:val="009928E6"/>
    <w:pPr>
      <w:widowControl/>
      <w:numPr>
        <w:numId w:val="0"/>
      </w:numPr>
      <w:spacing w:before="120" w:after="120" w:line="276" w:lineRule="auto"/>
      <w:outlineLvl w:val="9"/>
    </w:pPr>
    <w:rPr>
      <w:rFonts w:eastAsiaTheme="majorEastAsia" w:cstheme="majorBidi"/>
      <w:bCs/>
      <w:snapToGrid/>
      <w:szCs w:val="28"/>
      <w:lang w:eastAsia="en-GB"/>
    </w:rPr>
  </w:style>
  <w:style w:type="character" w:styleId="Hyperlink">
    <w:name w:val="Hyperlink"/>
    <w:basedOn w:val="DefaultParagraphFont"/>
    <w:uiPriority w:val="99"/>
    <w:unhideWhenUsed/>
    <w:rsid w:val="00D5705C"/>
    <w:rPr>
      <w:color w:val="0000FF" w:themeColor="hyperlink"/>
      <w:u w:val="single"/>
    </w:rPr>
  </w:style>
  <w:style w:type="character" w:styleId="UnresolvedMention">
    <w:name w:val="Unresolved Mention"/>
    <w:basedOn w:val="DefaultParagraphFont"/>
    <w:uiPriority w:val="99"/>
    <w:semiHidden/>
    <w:unhideWhenUsed/>
    <w:rsid w:val="00D5705C"/>
    <w:rPr>
      <w:color w:val="605E5C"/>
      <w:shd w:val="clear" w:color="auto" w:fill="E1DFDD"/>
    </w:rPr>
  </w:style>
  <w:style w:type="character" w:styleId="LineNumber">
    <w:name w:val="line number"/>
    <w:basedOn w:val="DefaultParagraphFont"/>
    <w:semiHidden/>
    <w:unhideWhenUsed/>
    <w:rsid w:val="008E30B6"/>
  </w:style>
  <w:style w:type="character" w:customStyle="1" w:styleId="Heading1Char">
    <w:name w:val="Heading 1 Char"/>
    <w:aliases w:val="PAR Heading 1 Char,1 Char"/>
    <w:basedOn w:val="DefaultParagraphFont"/>
    <w:link w:val="Heading1"/>
    <w:rsid w:val="00C13C8F"/>
    <w:rPr>
      <w:rFonts w:ascii="Verdana" w:hAnsi="Verdana" w:cs="Times New Roman"/>
      <w:b/>
      <w:snapToGrid w:val="0"/>
      <w:sz w:val="28"/>
      <w:szCs w:val="24"/>
      <w:lang w:eastAsia="fi-FI"/>
    </w:rPr>
  </w:style>
  <w:style w:type="character" w:customStyle="1" w:styleId="Heading2Char">
    <w:name w:val="Heading 2 Char"/>
    <w:aliases w:val="PAR Heading 2 Char,2 Char"/>
    <w:basedOn w:val="DefaultParagraphFont"/>
    <w:link w:val="Heading2"/>
    <w:rsid w:val="00024C1F"/>
    <w:rPr>
      <w:rFonts w:ascii="Verdana" w:hAnsi="Verdana" w:cs="Arial"/>
      <w:b/>
      <w:snapToGrid w:val="0"/>
      <w:sz w:val="24"/>
      <w:szCs w:val="18"/>
      <w:lang w:eastAsia="fi-FI"/>
    </w:rPr>
  </w:style>
  <w:style w:type="character" w:customStyle="1" w:styleId="Heading3Char">
    <w:name w:val="Heading 3 Char"/>
    <w:aliases w:val="PAR Heading 3 Char,3 Char"/>
    <w:basedOn w:val="DefaultParagraphFont"/>
    <w:link w:val="Heading3"/>
    <w:rsid w:val="00B405ED"/>
    <w:rPr>
      <w:rFonts w:ascii="Verdana" w:eastAsia="Calibri" w:hAnsi="Verdana" w:cs="Arial"/>
      <w:b/>
      <w:bCs/>
      <w:snapToGrid w:val="0"/>
      <w:color w:val="000000"/>
      <w:szCs w:val="18"/>
    </w:rPr>
  </w:style>
  <w:style w:type="character" w:customStyle="1" w:styleId="Heading4Char">
    <w:name w:val="Heading 4 Char"/>
    <w:aliases w:val="PAR Heading 4 Char,4 Char"/>
    <w:basedOn w:val="DefaultParagraphFont"/>
    <w:link w:val="Heading4"/>
    <w:rsid w:val="00EC248E"/>
    <w:rPr>
      <w:rFonts w:ascii="Verdana" w:eastAsia="Calibri" w:hAnsi="Verdana" w:cs="Arial"/>
      <w:b/>
      <w:snapToGrid w:val="0"/>
      <w:color w:val="000000"/>
      <w:sz w:val="20"/>
      <w:szCs w:val="28"/>
    </w:rPr>
  </w:style>
  <w:style w:type="character" w:customStyle="1" w:styleId="Heading5Char">
    <w:name w:val="Heading 5 Char"/>
    <w:aliases w:val="PAR Heading 5 Char,5 Char"/>
    <w:basedOn w:val="DefaultParagraphFont"/>
    <w:link w:val="Heading5"/>
    <w:rsid w:val="00CA5412"/>
    <w:rPr>
      <w:rFonts w:ascii="Verdana" w:eastAsia="Calibri" w:hAnsi="Verdana" w:cs="Arial"/>
      <w:b/>
      <w:iCs/>
      <w:snapToGrid w:val="0"/>
      <w:color w:val="000000"/>
      <w:sz w:val="20"/>
      <w:szCs w:val="26"/>
    </w:rPr>
  </w:style>
  <w:style w:type="character" w:customStyle="1" w:styleId="Heading6Char">
    <w:name w:val="Heading 6 Char"/>
    <w:aliases w:val="ECHA Heading 6 Char"/>
    <w:basedOn w:val="DefaultParagraphFont"/>
    <w:link w:val="Heading6"/>
    <w:rsid w:val="00BE19EC"/>
    <w:rPr>
      <w:rFonts w:ascii="Verdana" w:eastAsia="Calibri" w:hAnsi="Verdana" w:cs="Arial"/>
      <w:b/>
      <w:bCs/>
      <w:iCs/>
      <w:snapToGrid w:val="0"/>
      <w:color w:val="000000"/>
      <w:sz w:val="20"/>
    </w:rPr>
  </w:style>
  <w:style w:type="character" w:customStyle="1" w:styleId="Heading7Char">
    <w:name w:val="Heading 7 Char"/>
    <w:aliases w:val="ECHA Heading 7 Char"/>
    <w:basedOn w:val="DefaultParagraphFont"/>
    <w:link w:val="Heading7"/>
    <w:rsid w:val="00BE19EC"/>
    <w:rPr>
      <w:rFonts w:ascii="Verdana" w:eastAsia="Calibri" w:hAnsi="Verdana" w:cs="Arial"/>
      <w:b/>
      <w:iCs/>
      <w:snapToGrid w:val="0"/>
      <w:color w:val="000000"/>
      <w:sz w:val="20"/>
      <w:szCs w:val="24"/>
    </w:rPr>
  </w:style>
  <w:style w:type="character" w:customStyle="1" w:styleId="Heading8Char">
    <w:name w:val="Heading 8 Char"/>
    <w:aliases w:val="ECHA Heading 8 Char"/>
    <w:basedOn w:val="DefaultParagraphFont"/>
    <w:link w:val="Heading8"/>
    <w:rsid w:val="00BE19EC"/>
    <w:rPr>
      <w:rFonts w:ascii="Verdana" w:eastAsia="Calibri" w:hAnsi="Verdana" w:cs="Arial"/>
      <w:b/>
      <w:snapToGrid w:val="0"/>
      <w:color w:val="000000"/>
      <w:sz w:val="20"/>
      <w:szCs w:val="24"/>
    </w:rPr>
  </w:style>
  <w:style w:type="character" w:customStyle="1" w:styleId="Heading9Char">
    <w:name w:val="Heading 9 Char"/>
    <w:aliases w:val="ECHA Heading 9 Char"/>
    <w:basedOn w:val="DefaultParagraphFont"/>
    <w:link w:val="Heading9"/>
    <w:rsid w:val="00BE19EC"/>
    <w:rPr>
      <w:rFonts w:ascii="Verdana" w:eastAsia="Calibri" w:hAnsi="Verdana" w:cs="Arial"/>
      <w:b/>
      <w:iCs/>
      <w:snapToGrid w:val="0"/>
      <w:color w:val="000000"/>
      <w:sz w:val="20"/>
    </w:rPr>
  </w:style>
  <w:style w:type="paragraph" w:customStyle="1" w:styleId="berarbeitung">
    <w:name w:val="Überarbeitung"/>
    <w:hidden/>
    <w:rsid w:val="002D7A7A"/>
    <w:pPr>
      <w:spacing w:after="0" w:line="240" w:lineRule="auto"/>
    </w:pPr>
    <w:rPr>
      <w:rFonts w:ascii="Verdana" w:hAnsi="Verdana" w:cs="Times New Roman"/>
      <w:sz w:val="20"/>
      <w:szCs w:val="20"/>
      <w:lang w:val="de-DE" w:eastAsia="de-DE"/>
    </w:rPr>
  </w:style>
  <w:style w:type="paragraph" w:styleId="Revision">
    <w:name w:val="Revision"/>
    <w:hidden/>
    <w:rsid w:val="002D7A7A"/>
    <w:pPr>
      <w:spacing w:after="0" w:line="240" w:lineRule="auto"/>
    </w:pPr>
    <w:rPr>
      <w:rFonts w:ascii="Verdana" w:hAnsi="Verdana" w:cs="Times New Roman"/>
      <w:sz w:val="20"/>
      <w:szCs w:val="20"/>
      <w:lang w:val="de-DE" w:eastAsia="de-DE"/>
    </w:rPr>
  </w:style>
  <w:style w:type="paragraph" w:styleId="FootnoteText">
    <w:name w:val="footnote text"/>
    <w:basedOn w:val="Normal"/>
    <w:link w:val="FootnoteTextChar"/>
    <w:qFormat/>
    <w:rsid w:val="00261D58"/>
    <w:rPr>
      <w:sz w:val="18"/>
    </w:rPr>
  </w:style>
  <w:style w:type="character" w:customStyle="1" w:styleId="FootnoteTextChar">
    <w:name w:val="Footnote Text Char"/>
    <w:basedOn w:val="DefaultParagraphFont"/>
    <w:link w:val="FootnoteText"/>
    <w:rsid w:val="00AA13D0"/>
    <w:rPr>
      <w:rFonts w:ascii="Verdana" w:hAnsi="Verdana" w:cs="Times New Roman"/>
      <w:snapToGrid w:val="0"/>
      <w:sz w:val="18"/>
      <w:szCs w:val="20"/>
      <w:lang w:eastAsia="fi-FI"/>
    </w:rPr>
  </w:style>
  <w:style w:type="character" w:styleId="FootnoteReference">
    <w:name w:val="footnote reference"/>
    <w:aliases w:val="Footnote"/>
    <w:basedOn w:val="DefaultParagraphFont"/>
    <w:qFormat/>
    <w:rsid w:val="00AA13D0"/>
    <w:rPr>
      <w:rFonts w:ascii="Verdana" w:hAnsi="Verdana"/>
      <w:sz w:val="18"/>
      <w:vertAlign w:val="superscript"/>
    </w:rPr>
  </w:style>
  <w:style w:type="paragraph" w:styleId="Header">
    <w:name w:val="header"/>
    <w:basedOn w:val="Normal"/>
    <w:link w:val="HeaderChar"/>
    <w:uiPriority w:val="99"/>
    <w:unhideWhenUsed/>
    <w:rsid w:val="00674CD5"/>
    <w:pPr>
      <w:tabs>
        <w:tab w:val="center" w:pos="4513"/>
        <w:tab w:val="right" w:pos="9026"/>
      </w:tabs>
    </w:pPr>
  </w:style>
  <w:style w:type="character" w:customStyle="1" w:styleId="HeaderChar">
    <w:name w:val="Header Char"/>
    <w:basedOn w:val="DefaultParagraphFont"/>
    <w:link w:val="Header"/>
    <w:uiPriority w:val="99"/>
    <w:rsid w:val="00674CD5"/>
    <w:rPr>
      <w:rFonts w:ascii="Verdana" w:hAnsi="Verdana" w:cs="Times New Roman"/>
      <w:snapToGrid w:val="0"/>
      <w:sz w:val="20"/>
      <w:szCs w:val="20"/>
      <w:lang w:eastAsia="fi-FI"/>
    </w:rPr>
  </w:style>
  <w:style w:type="paragraph" w:styleId="Footer">
    <w:name w:val="footer"/>
    <w:basedOn w:val="Normal"/>
    <w:link w:val="FooterChar"/>
    <w:uiPriority w:val="99"/>
    <w:unhideWhenUsed/>
    <w:rsid w:val="00674CD5"/>
    <w:pPr>
      <w:tabs>
        <w:tab w:val="center" w:pos="4513"/>
        <w:tab w:val="right" w:pos="9026"/>
      </w:tabs>
    </w:pPr>
  </w:style>
  <w:style w:type="character" w:customStyle="1" w:styleId="FooterChar">
    <w:name w:val="Footer Char"/>
    <w:basedOn w:val="DefaultParagraphFont"/>
    <w:link w:val="Footer"/>
    <w:uiPriority w:val="99"/>
    <w:rsid w:val="00674CD5"/>
    <w:rPr>
      <w:rFonts w:ascii="Verdana" w:hAnsi="Verdana" w:cs="Times New Roman"/>
      <w:snapToGrid w:val="0"/>
      <w:sz w:val="20"/>
      <w:szCs w:val="20"/>
      <w:lang w:eastAsia="fi-FI"/>
    </w:rPr>
  </w:style>
  <w:style w:type="paragraph" w:styleId="ListParagraph">
    <w:name w:val="List Paragraph"/>
    <w:basedOn w:val="Normal"/>
    <w:uiPriority w:val="34"/>
    <w:qFormat/>
    <w:rsid w:val="00275D55"/>
    <w:pPr>
      <w:ind w:left="720"/>
      <w:contextualSpacing/>
    </w:pPr>
  </w:style>
  <w:style w:type="character" w:styleId="CommentReference">
    <w:name w:val="annotation reference"/>
    <w:basedOn w:val="DefaultParagraphFont"/>
    <w:semiHidden/>
    <w:unhideWhenUsed/>
    <w:rsid w:val="00903530"/>
    <w:rPr>
      <w:sz w:val="16"/>
      <w:szCs w:val="16"/>
    </w:rPr>
  </w:style>
  <w:style w:type="paragraph" w:styleId="CommentText">
    <w:name w:val="annotation text"/>
    <w:basedOn w:val="Normal"/>
    <w:link w:val="CommentTextChar"/>
    <w:unhideWhenUsed/>
    <w:qFormat/>
    <w:rsid w:val="00903530"/>
  </w:style>
  <w:style w:type="character" w:customStyle="1" w:styleId="CommentTextChar">
    <w:name w:val="Comment Text Char"/>
    <w:basedOn w:val="DefaultParagraphFont"/>
    <w:link w:val="CommentText"/>
    <w:rsid w:val="00903530"/>
    <w:rPr>
      <w:rFonts w:ascii="Verdana" w:hAnsi="Verdana" w:cs="Times New Roman"/>
      <w:snapToGrid w:val="0"/>
      <w:sz w:val="20"/>
      <w:szCs w:val="20"/>
      <w:lang w:eastAsia="fi-FI"/>
    </w:rPr>
  </w:style>
  <w:style w:type="paragraph" w:styleId="CommentSubject">
    <w:name w:val="annotation subject"/>
    <w:basedOn w:val="CommentText"/>
    <w:next w:val="CommentText"/>
    <w:link w:val="CommentSubjectChar"/>
    <w:semiHidden/>
    <w:unhideWhenUsed/>
    <w:rsid w:val="00903530"/>
    <w:rPr>
      <w:b/>
      <w:bCs/>
    </w:rPr>
  </w:style>
  <w:style w:type="character" w:customStyle="1" w:styleId="CommentSubjectChar">
    <w:name w:val="Comment Subject Char"/>
    <w:basedOn w:val="CommentTextChar"/>
    <w:link w:val="CommentSubject"/>
    <w:semiHidden/>
    <w:rsid w:val="00903530"/>
    <w:rPr>
      <w:rFonts w:ascii="Verdana" w:hAnsi="Verdana" w:cs="Times New Roman"/>
      <w:b/>
      <w:bCs/>
      <w:snapToGrid w:val="0"/>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1921">
      <w:bodyDiv w:val="1"/>
      <w:marLeft w:val="0"/>
      <w:marRight w:val="0"/>
      <w:marTop w:val="0"/>
      <w:marBottom w:val="0"/>
      <w:divBdr>
        <w:top w:val="none" w:sz="0" w:space="0" w:color="auto"/>
        <w:left w:val="none" w:sz="0" w:space="0" w:color="auto"/>
        <w:bottom w:val="none" w:sz="0" w:space="0" w:color="auto"/>
        <w:right w:val="none" w:sz="0" w:space="0" w:color="auto"/>
      </w:divBdr>
    </w:div>
    <w:div w:id="54282933">
      <w:bodyDiv w:val="1"/>
      <w:marLeft w:val="0"/>
      <w:marRight w:val="0"/>
      <w:marTop w:val="0"/>
      <w:marBottom w:val="0"/>
      <w:divBdr>
        <w:top w:val="none" w:sz="0" w:space="0" w:color="auto"/>
        <w:left w:val="none" w:sz="0" w:space="0" w:color="auto"/>
        <w:bottom w:val="none" w:sz="0" w:space="0" w:color="auto"/>
        <w:right w:val="none" w:sz="0" w:space="0" w:color="auto"/>
      </w:divBdr>
    </w:div>
    <w:div w:id="294990418">
      <w:bodyDiv w:val="1"/>
      <w:marLeft w:val="0"/>
      <w:marRight w:val="0"/>
      <w:marTop w:val="0"/>
      <w:marBottom w:val="0"/>
      <w:divBdr>
        <w:top w:val="none" w:sz="0" w:space="0" w:color="auto"/>
        <w:left w:val="none" w:sz="0" w:space="0" w:color="auto"/>
        <w:bottom w:val="none" w:sz="0" w:space="0" w:color="auto"/>
        <w:right w:val="none" w:sz="0" w:space="0" w:color="auto"/>
      </w:divBdr>
    </w:div>
    <w:div w:id="561142470">
      <w:bodyDiv w:val="1"/>
      <w:marLeft w:val="0"/>
      <w:marRight w:val="0"/>
      <w:marTop w:val="0"/>
      <w:marBottom w:val="0"/>
      <w:divBdr>
        <w:top w:val="none" w:sz="0" w:space="0" w:color="auto"/>
        <w:left w:val="none" w:sz="0" w:space="0" w:color="auto"/>
        <w:bottom w:val="none" w:sz="0" w:space="0" w:color="auto"/>
        <w:right w:val="none" w:sz="0" w:space="0" w:color="auto"/>
      </w:divBdr>
    </w:div>
    <w:div w:id="690452847">
      <w:bodyDiv w:val="1"/>
      <w:marLeft w:val="0"/>
      <w:marRight w:val="0"/>
      <w:marTop w:val="0"/>
      <w:marBottom w:val="0"/>
      <w:divBdr>
        <w:top w:val="none" w:sz="0" w:space="0" w:color="auto"/>
        <w:left w:val="none" w:sz="0" w:space="0" w:color="auto"/>
        <w:bottom w:val="none" w:sz="0" w:space="0" w:color="auto"/>
        <w:right w:val="none" w:sz="0" w:space="0" w:color="auto"/>
      </w:divBdr>
    </w:div>
    <w:div w:id="745229714">
      <w:bodyDiv w:val="1"/>
      <w:marLeft w:val="0"/>
      <w:marRight w:val="0"/>
      <w:marTop w:val="0"/>
      <w:marBottom w:val="0"/>
      <w:divBdr>
        <w:top w:val="none" w:sz="0" w:space="0" w:color="auto"/>
        <w:left w:val="none" w:sz="0" w:space="0" w:color="auto"/>
        <w:bottom w:val="none" w:sz="0" w:space="0" w:color="auto"/>
        <w:right w:val="none" w:sz="0" w:space="0" w:color="auto"/>
      </w:divBdr>
    </w:div>
    <w:div w:id="836966718">
      <w:bodyDiv w:val="1"/>
      <w:marLeft w:val="0"/>
      <w:marRight w:val="0"/>
      <w:marTop w:val="0"/>
      <w:marBottom w:val="0"/>
      <w:divBdr>
        <w:top w:val="none" w:sz="0" w:space="0" w:color="auto"/>
        <w:left w:val="none" w:sz="0" w:space="0" w:color="auto"/>
        <w:bottom w:val="none" w:sz="0" w:space="0" w:color="auto"/>
        <w:right w:val="none" w:sz="0" w:space="0" w:color="auto"/>
      </w:divBdr>
    </w:div>
    <w:div w:id="991832988">
      <w:bodyDiv w:val="1"/>
      <w:marLeft w:val="0"/>
      <w:marRight w:val="0"/>
      <w:marTop w:val="0"/>
      <w:marBottom w:val="0"/>
      <w:divBdr>
        <w:top w:val="none" w:sz="0" w:space="0" w:color="auto"/>
        <w:left w:val="none" w:sz="0" w:space="0" w:color="auto"/>
        <w:bottom w:val="none" w:sz="0" w:space="0" w:color="auto"/>
        <w:right w:val="none" w:sz="0" w:space="0" w:color="auto"/>
      </w:divBdr>
    </w:div>
    <w:div w:id="1176071761">
      <w:bodyDiv w:val="1"/>
      <w:marLeft w:val="0"/>
      <w:marRight w:val="0"/>
      <w:marTop w:val="0"/>
      <w:marBottom w:val="0"/>
      <w:divBdr>
        <w:top w:val="none" w:sz="0" w:space="0" w:color="auto"/>
        <w:left w:val="none" w:sz="0" w:space="0" w:color="auto"/>
        <w:bottom w:val="none" w:sz="0" w:space="0" w:color="auto"/>
        <w:right w:val="none" w:sz="0" w:space="0" w:color="auto"/>
      </w:divBdr>
    </w:div>
    <w:div w:id="1284654325">
      <w:bodyDiv w:val="1"/>
      <w:marLeft w:val="0"/>
      <w:marRight w:val="0"/>
      <w:marTop w:val="0"/>
      <w:marBottom w:val="0"/>
      <w:divBdr>
        <w:top w:val="none" w:sz="0" w:space="0" w:color="auto"/>
        <w:left w:val="none" w:sz="0" w:space="0" w:color="auto"/>
        <w:bottom w:val="none" w:sz="0" w:space="0" w:color="auto"/>
        <w:right w:val="none" w:sz="0" w:space="0" w:color="auto"/>
      </w:divBdr>
    </w:div>
    <w:div w:id="1609660836">
      <w:bodyDiv w:val="1"/>
      <w:marLeft w:val="0"/>
      <w:marRight w:val="0"/>
      <w:marTop w:val="0"/>
      <w:marBottom w:val="0"/>
      <w:divBdr>
        <w:top w:val="none" w:sz="0" w:space="0" w:color="auto"/>
        <w:left w:val="none" w:sz="0" w:space="0" w:color="auto"/>
        <w:bottom w:val="none" w:sz="0" w:space="0" w:color="auto"/>
        <w:right w:val="none" w:sz="0" w:space="0" w:color="auto"/>
      </w:divBdr>
    </w:div>
    <w:div w:id="1706297787">
      <w:bodyDiv w:val="1"/>
      <w:marLeft w:val="0"/>
      <w:marRight w:val="0"/>
      <w:marTop w:val="0"/>
      <w:marBottom w:val="0"/>
      <w:divBdr>
        <w:top w:val="none" w:sz="0" w:space="0" w:color="auto"/>
        <w:left w:val="none" w:sz="0" w:space="0" w:color="auto"/>
        <w:bottom w:val="none" w:sz="0" w:space="0" w:color="auto"/>
        <w:right w:val="none" w:sz="0" w:space="0" w:color="auto"/>
      </w:divBdr>
    </w:div>
    <w:div w:id="1736318073">
      <w:bodyDiv w:val="1"/>
      <w:marLeft w:val="0"/>
      <w:marRight w:val="0"/>
      <w:marTop w:val="0"/>
      <w:marBottom w:val="0"/>
      <w:divBdr>
        <w:top w:val="none" w:sz="0" w:space="0" w:color="auto"/>
        <w:left w:val="none" w:sz="0" w:space="0" w:color="auto"/>
        <w:bottom w:val="none" w:sz="0" w:space="0" w:color="auto"/>
        <w:right w:val="none" w:sz="0" w:space="0" w:color="auto"/>
      </w:divBdr>
    </w:div>
    <w:div w:id="205222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A1273D901CECF4796757C030DC4B4F9" ma:contentTypeVersion="0" ma:contentTypeDescription="Content type for ECHA process documents" ma:contentTypeScope="" ma:versionID="a1f1a4c03242b1963a68f429b405cd93">
  <xsd:schema xmlns:xsd="http://www.w3.org/2001/XMLSchema" xmlns:xs="http://www.w3.org/2001/XMLSchema" xmlns:p="http://schemas.microsoft.com/office/2006/metadata/properties" xmlns:ns2="5be2862c-9c7a-466a-8f6d-c278e82738e2" xmlns:ns3="5bcca709-0b09-4b74-bfa0-2137a84c1763" xmlns:ns4="b80ede5c-af4c-4bf2-9a87-706a3579dc11" targetNamespace="http://schemas.microsoft.com/office/2006/metadata/properties" ma:root="true" ma:fieldsID="463a45d39debf7c60389d65eb6dd8616" ns2:_="" ns3:_="" ns4:_="">
    <xsd:import namespace="5be2862c-9c7a-466a-8f6d-c278e82738e2"/>
    <xsd:import namespace="5bcca709-0b09-4b74-bfa0-2137a84c1763"/>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4: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2862c-9c7a-466a-8f6d-c278e82738e2"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04e86d5b-b30a-4669-bf1b-6b9ca1deb9f9}" ma:internalName="TaxCatchAll" ma:showField="CatchAllData" ma:web="5be2862c-9c7a-466a-8f6d-c278e82738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04e86d5b-b30a-4669-bf1b-6b9ca1deb9f9}" ma:internalName="TaxCatchAllLabel" ma:readOnly="true" ma:showField="CatchAllDataLabel" ma:web="5be2862c-9c7a-466a-8f6d-c278e82738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 xmlns="5bcca709-0b09-4b74-bfa0-2137a84c1763">ACTV16-23-25227</_dlc_DocId>
    <ECHASecClassTaxHTField0 xmlns="5be2862c-9c7a-466a-8f6d-c278e82738e2">
      <Terms xmlns="http://schemas.microsoft.com/office/infopath/2007/PartnerControls">
        <TermInfo xmlns="http://schemas.microsoft.com/office/infopath/2007/PartnerControls">
          <TermName>Internal</TermName>
          <TermId>a0307bc2-faf9-4068-8aeb-b713e4fa2a0f</TermId>
        </TermInfo>
      </Terms>
    </ECHASecClassTaxHTField0>
    <TaxCatchAll xmlns="b80ede5c-af4c-4bf2-9a87-706a3579dc11">
      <Value>15</Value>
      <Value>1</Value>
      <Value>14</Value>
    </TaxCatchAll>
    <_dlc_DocIdUrl xmlns="5bcca709-0b09-4b74-bfa0-2137a84c1763">
      <Url>https://activity.echa.europa.eu/sites/act-16/process-16-10/_layouts/15/DocIdRedir.aspx?ID=ACTV16-23-25227</Url>
      <Description>ACTV16-23-25227</Description>
    </_dlc_DocIdUrl>
    <ECHADocumentTypeTaxHTField0 xmlns="5be2862c-9c7a-466a-8f6d-c278e82738e2">
      <Terms xmlns="http://schemas.microsoft.com/office/infopath/2007/PartnerControls">
        <TermInfo xmlns="http://schemas.microsoft.com/office/infopath/2007/PartnerControls">
          <TermName>Template</TermName>
          <TermId>d3c5043d-4edc-43a2-823a-b0bc281e81c3</TermId>
        </TermInfo>
      </Terms>
    </ECHADocumentTypeTaxHTField0>
    <ECHACategoryTaxHTField0 xmlns="5be2862c-9c7a-466a-8f6d-c278e82738e2">
      <Terms xmlns="http://schemas.microsoft.com/office/infopath/2007/PartnerControls"/>
    </ECHACategoryTaxHTField0>
    <ECHAProcessTaxHTField0 xmlns="5be2862c-9c7a-466a-8f6d-c278e82738e2">
      <Terms xmlns="http://schemas.microsoft.com/office/infopath/2007/PartnerControls">
        <TermInfo xmlns="http://schemas.microsoft.com/office/infopath/2007/PartnerControls">
          <TermName>16 Biocides</TermName>
          <TermId>90e8dead-4058-4103-9368-140ea6969090</TermId>
        </TermInfo>
      </Terms>
    </ECHAProcessTaxHTField0>
  </documentManagement>
</p:properties>
</file>

<file path=customXml/itemProps1.xml><?xml version="1.0" encoding="utf-8"?>
<ds:datastoreItem xmlns:ds="http://schemas.openxmlformats.org/officeDocument/2006/customXml" ds:itemID="{AD607914-6B91-44A8-BC25-415ABB07CB1A}">
  <ds:schemaRefs>
    <ds:schemaRef ds:uri="http://schemas.microsoft.com/sharepoint/events"/>
  </ds:schemaRefs>
</ds:datastoreItem>
</file>

<file path=customXml/itemProps2.xml><?xml version="1.0" encoding="utf-8"?>
<ds:datastoreItem xmlns:ds="http://schemas.openxmlformats.org/officeDocument/2006/customXml" ds:itemID="{77E49433-2A3D-49CE-92FE-D9EBA406963C}">
  <ds:schemaRefs>
    <ds:schemaRef ds:uri="http://schemas.microsoft.com/sharepoint/v3/contenttype/forms"/>
  </ds:schemaRefs>
</ds:datastoreItem>
</file>

<file path=customXml/itemProps3.xml><?xml version="1.0" encoding="utf-8"?>
<ds:datastoreItem xmlns:ds="http://schemas.openxmlformats.org/officeDocument/2006/customXml" ds:itemID="{F3130143-503F-452A-972E-091A2E084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2862c-9c7a-466a-8f6d-c278e82738e2"/>
    <ds:schemaRef ds:uri="5bcca709-0b09-4b74-bfa0-2137a84c1763"/>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558E89-1A20-4598-BE3A-2648E4BCEA7F}">
  <ds:schemaRefs>
    <ds:schemaRef ds:uri="http://schemas.openxmlformats.org/officeDocument/2006/bibliography"/>
  </ds:schemaRefs>
</ds:datastoreItem>
</file>

<file path=customXml/itemProps5.xml><?xml version="1.0" encoding="utf-8"?>
<ds:datastoreItem xmlns:ds="http://schemas.openxmlformats.org/officeDocument/2006/customXml" ds:itemID="{9F484261-6209-4ACF-91D9-3167F9FD5FF1}">
  <ds:schemaRefs>
    <ds:schemaRef ds:uri="Microsoft.SharePoint.Taxonomy.ContentTypeSync"/>
  </ds:schemaRefs>
</ds:datastoreItem>
</file>

<file path=customXml/itemProps6.xml><?xml version="1.0" encoding="utf-8"?>
<ds:datastoreItem xmlns:ds="http://schemas.openxmlformats.org/officeDocument/2006/customXml" ds:itemID="{66D650E0-DAC9-48B0-8695-7F9027CEACB0}">
  <ds:schemaRefs>
    <ds:schemaRef ds:uri="http://schemas.microsoft.com/office/2006/metadata/properties"/>
    <ds:schemaRef ds:uri="http://schemas.microsoft.com/office/infopath/2007/PartnerControls"/>
    <ds:schemaRef ds:uri="5bcca709-0b09-4b74-bfa0-2137a84c1763"/>
    <ds:schemaRef ds:uri="5be2862c-9c7a-466a-8f6d-c278e82738e2"/>
    <ds:schemaRef ds:uri="b80ede5c-af4c-4bf2-9a87-706a3579dc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805</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2024-05-23T13:07:00Z</dcterms:created>
  <dcterms:modified xsi:type="dcterms:W3CDTF">2024-06-13T12:45:00Z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0x010100B558917389A54ADDB58930FBD7E6FD57008586DED9191B4C4CBD31A5DF7F304A71007A1273D901CECF4796757C030DC4B4F9</vt:lpwstr>
  </property>
  <property fmtid="{D5CDD505-2E9C-101B-9397-08002B2CF9AE}" pid="3" name="ECHASecClass">
    <vt:lpwstr>1;#Internal|a0307bc2-faf9-4068-8aeb-b713e4fa2a0f</vt:lpwstr>
  </property>
  <property fmtid="{D5CDD505-2E9C-101B-9397-08002B2CF9AE}" pid="4" name="_dlc_DocIdItemGuid">
    <vt:lpwstr>c9545731-f45d-4ace-8a88-969aa7966c50</vt:lpwstr>
  </property>
  <property fmtid="{D5CDD505-2E9C-101B-9397-08002B2CF9AE}" pid="5" name="ECHAProcess">
    <vt:lpwstr>15;#16 Biocides|90e8dead-4058-4103-9368-140ea6969090</vt:lpwstr>
  </property>
  <property fmtid="{D5CDD505-2E9C-101B-9397-08002B2CF9AE}" pid="6" name="ECHADocumentType">
    <vt:lpwstr>14;#Template|d3c5043d-4edc-43a2-823a-b0bc281e81c3</vt:lpwstr>
  </property>
  <property fmtid="{D5CDD505-2E9C-101B-9397-08002B2CF9AE}" pid="7" name="ECHACategory">
    <vt:lpwstr/>
  </property>
</Properties>
</file>