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3996" w14:textId="77777777" w:rsidR="00F57736" w:rsidRPr="003016DF" w:rsidRDefault="00E86372" w:rsidP="00F57736">
      <w:r>
        <w:rPr>
          <w:rFonts w:eastAsiaTheme="minorHAnsi"/>
          <w:noProof/>
          <w:szCs w:val="24"/>
          <w:lang w:val="da-DK" w:eastAsia="da-DK"/>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C" w14:textId="3E05DD15" w:rsidR="00E86372" w:rsidRDefault="00F9089A" w:rsidP="00E86372">
                            <w:pPr>
                              <w:rPr>
                                <w:color w:val="4F81BD" w:themeColor="accent1"/>
                              </w:rPr>
                            </w:pPr>
                            <w:r>
                              <w:rPr>
                                <w:noProof/>
                                <w:color w:val="4F81BD" w:themeColor="accent1"/>
                                <w:lang w:val="da-DK" w:eastAsia="da-DK"/>
                              </w:rPr>
                              <w:drawing>
                                <wp:inline distT="0" distB="0" distL="0" distR="0" wp14:anchorId="57514D7F" wp14:editId="6724D0EB">
                                  <wp:extent cx="1852295" cy="602815"/>
                                  <wp:effectExtent l="0" t="0" r="0" b="6985"/>
                                  <wp:docPr id="1" name="Billede 1" descr="C:\Users\B042645\AppData\Local\Microsoft\Windows\INetCache\Content.MSO\33DEAB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2645\AppData\Local\Microsoft\Windows\INetCache\Content.MSO\33DEAB8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2295" cy="602815"/>
                                          </a:xfrm>
                                          <a:prstGeom prst="rect">
                                            <a:avLst/>
                                          </a:prstGeom>
                                          <a:noFill/>
                                          <a:ln>
                                            <a:noFill/>
                                          </a:ln>
                                        </pic:spPr>
                                      </pic:pic>
                                    </a:graphicData>
                                  </a:graphic>
                                </wp:inline>
                              </w:drawing>
                            </w:r>
                          </w:p>
                          <w:p w14:paraId="68353A6D" w14:textId="77777777" w:rsidR="00E86372" w:rsidRDefault="00E86372" w:rsidP="00E86372">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C" w14:textId="3E05DD15" w:rsidR="00E86372" w:rsidRDefault="00F9089A" w:rsidP="00E86372">
                      <w:pPr>
                        <w:rPr>
                          <w:color w:val="4F81BD" w:themeColor="accent1"/>
                        </w:rPr>
                      </w:pPr>
                      <w:r>
                        <w:rPr>
                          <w:noProof/>
                          <w:color w:val="4F81BD" w:themeColor="accent1"/>
                          <w:lang w:val="da-DK" w:eastAsia="da-DK"/>
                        </w:rPr>
                        <w:drawing>
                          <wp:inline distT="0" distB="0" distL="0" distR="0" wp14:anchorId="57514D7F" wp14:editId="6724D0EB">
                            <wp:extent cx="1852295" cy="602815"/>
                            <wp:effectExtent l="0" t="0" r="0" b="6985"/>
                            <wp:docPr id="1" name="Billede 1" descr="C:\Users\B042645\AppData\Local\Microsoft\Windows\INetCache\Content.MSO\33DEAB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2645\AppData\Local\Microsoft\Windows\INetCache\Content.MSO\33DEAB8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2295" cy="602815"/>
                                    </a:xfrm>
                                    <a:prstGeom prst="rect">
                                      <a:avLst/>
                                    </a:prstGeom>
                                    <a:noFill/>
                                    <a:ln>
                                      <a:noFill/>
                                    </a:ln>
                                  </pic:spPr>
                                </pic:pic>
                              </a:graphicData>
                            </a:graphic>
                          </wp:inline>
                        </w:drawing>
                      </w:r>
                    </w:p>
                    <w:p w14:paraId="68353A6D" w14:textId="77777777" w:rsidR="00E86372" w:rsidRDefault="00E86372" w:rsidP="00E86372">
                      <w:pPr>
                        <w:rPr>
                          <w:color w:val="4F81BD" w:themeColor="accent1"/>
                        </w:rPr>
                      </w:pP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kst"/>
        <w:rPr>
          <w:b/>
        </w:rPr>
      </w:pPr>
    </w:p>
    <w:p w14:paraId="707E423A" w14:textId="77777777" w:rsidR="00F9089A" w:rsidRPr="00DC756F" w:rsidRDefault="00F9089A" w:rsidP="00F9089A">
      <w:pPr>
        <w:pStyle w:val="Brdtekst"/>
        <w:spacing w:line="276" w:lineRule="auto"/>
      </w:pPr>
      <w:r w:rsidRPr="00DC756F">
        <w:rPr>
          <w:b/>
        </w:rPr>
        <w:t xml:space="preserve">Substance Name: </w:t>
      </w:r>
      <w:r w:rsidRPr="00DC756F">
        <w:t>Isobutyl 4-hydroxybenzoate</w:t>
      </w:r>
    </w:p>
    <w:p w14:paraId="36BF9C96" w14:textId="77777777" w:rsidR="00F9089A" w:rsidRPr="00DC756F" w:rsidRDefault="00F9089A" w:rsidP="00F9089A">
      <w:pPr>
        <w:pStyle w:val="Brdtekst"/>
        <w:spacing w:line="276" w:lineRule="auto"/>
      </w:pPr>
      <w:r w:rsidRPr="00DC756F">
        <w:rPr>
          <w:b/>
        </w:rPr>
        <w:t xml:space="preserve">EC Number: </w:t>
      </w:r>
      <w:r w:rsidRPr="00DC756F">
        <w:t>224-208-8</w:t>
      </w:r>
    </w:p>
    <w:p w14:paraId="6FE70786" w14:textId="77777777" w:rsidR="00F9089A" w:rsidRPr="00DC756F" w:rsidRDefault="00F9089A" w:rsidP="00F9089A">
      <w:pPr>
        <w:pStyle w:val="Brdtekst"/>
        <w:spacing w:line="276" w:lineRule="auto"/>
        <w:rPr>
          <w:sz w:val="32"/>
        </w:rPr>
      </w:pPr>
      <w:r w:rsidRPr="00DC756F">
        <w:rPr>
          <w:b/>
        </w:rPr>
        <w:t xml:space="preserve">CAS Number: </w:t>
      </w:r>
      <w:r w:rsidRPr="00DC756F">
        <w:t>4247-02-3</w:t>
      </w:r>
    </w:p>
    <w:p w14:paraId="683539A7" w14:textId="77777777" w:rsidR="00E86372" w:rsidRDefault="00E86372" w:rsidP="00E86372">
      <w:pPr>
        <w:pStyle w:val="Brdtekst"/>
        <w:rPr>
          <w:b/>
          <w:sz w:val="32"/>
        </w:rPr>
      </w:pPr>
    </w:p>
    <w:p w14:paraId="683539A8" w14:textId="14D60224" w:rsidR="00E86372" w:rsidRPr="00F9089A" w:rsidRDefault="00E86372" w:rsidP="00E86372">
      <w:pPr>
        <w:pStyle w:val="Brdtekst"/>
        <w:rPr>
          <w:sz w:val="32"/>
        </w:rPr>
      </w:pPr>
      <w:r w:rsidRPr="006119A2">
        <w:rPr>
          <w:b/>
        </w:rPr>
        <w:t>Authority:</w:t>
      </w:r>
      <w:r w:rsidR="00F9089A">
        <w:rPr>
          <w:b/>
        </w:rPr>
        <w:t xml:space="preserve"> </w:t>
      </w:r>
      <w:r w:rsidR="00F9089A">
        <w:t xml:space="preserve">Denmark </w:t>
      </w:r>
    </w:p>
    <w:p w14:paraId="683539A9" w14:textId="4B79266A" w:rsidR="00E86372" w:rsidRDefault="00E86372" w:rsidP="00E86372">
      <w:pPr>
        <w:pStyle w:val="Brdtekst"/>
        <w:rPr>
          <w:b/>
        </w:rPr>
      </w:pPr>
      <w:r w:rsidRPr="003607CA">
        <w:rPr>
          <w:b/>
        </w:rPr>
        <w:t>Date:</w:t>
      </w:r>
      <w:r w:rsidR="00F9089A">
        <w:rPr>
          <w:b/>
        </w:rPr>
        <w:t xml:space="preserve"> </w:t>
      </w:r>
      <w:r w:rsidR="006F0537">
        <w:t>23 June 2022</w:t>
      </w:r>
      <w:r w:rsidR="00F9089A">
        <w:rPr>
          <w:b/>
        </w:rPr>
        <w:t xml:space="preserve"> </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kst"/>
        <w:jc w:val="center"/>
      </w:pPr>
    </w:p>
    <w:p w14:paraId="683539B6" w14:textId="77777777" w:rsidR="00AD40AE" w:rsidRDefault="00AD40AE" w:rsidP="00AD40AE">
      <w:pPr>
        <w:pStyle w:val="Brdtekst"/>
        <w:jc w:val="center"/>
      </w:pPr>
    </w:p>
    <w:p w14:paraId="683539B7" w14:textId="183D0041" w:rsidR="007A39FF" w:rsidRDefault="007A39FF" w:rsidP="007A39FF">
      <w:pPr>
        <w:pStyle w:val="Brdtekst"/>
      </w:pPr>
    </w:p>
    <w:p w14:paraId="683539BC" w14:textId="451BBF13" w:rsidR="007A39FF" w:rsidRDefault="001C1F13" w:rsidP="007A39FF">
      <w:pPr>
        <w:pStyle w:val="Brdtekst"/>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Brdteks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Overskrift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dnotehenvisning"/>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Overskrift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4D091C5A" w14:textId="780768D3" w:rsidR="00E42EFC" w:rsidRDefault="00E42EFC" w:rsidP="00E42EFC">
      <w:pPr>
        <w:pStyle w:val="Brdtekst"/>
        <w:spacing w:before="120" w:line="276" w:lineRule="auto"/>
        <w:jc w:val="both"/>
        <w:rPr>
          <w:i/>
        </w:rPr>
      </w:pPr>
      <w:r w:rsidRPr="002C570A">
        <w:t xml:space="preserve">In an opinion from 2013, the </w:t>
      </w:r>
      <w:r>
        <w:t>scientific committee of consumer safety (</w:t>
      </w:r>
      <w:r w:rsidRPr="002C570A">
        <w:t>SCCS</w:t>
      </w:r>
      <w:r>
        <w:t>)</w:t>
      </w:r>
      <w:r w:rsidRPr="002C570A">
        <w:t xml:space="preserve"> concluded that data was lacking to ensure safe use of </w:t>
      </w:r>
      <w:proofErr w:type="spellStart"/>
      <w:r w:rsidRPr="002C570A">
        <w:t>isobutylparaben</w:t>
      </w:r>
      <w:proofErr w:type="spellEnd"/>
      <w:r w:rsidR="009679E2">
        <w:t xml:space="preserve"> (IBP)</w:t>
      </w:r>
      <w:r w:rsidRPr="002C570A">
        <w:t xml:space="preserve"> in cosmetic products. As a consequence, the subs</w:t>
      </w:r>
      <w:r>
        <w:t xml:space="preserve">tance was removed from Annex V (the </w:t>
      </w:r>
      <w:r w:rsidRPr="002C570A">
        <w:t>list of preservatives allowed in cosmetic products) of the cosmeti</w:t>
      </w:r>
      <w:r>
        <w:t>c regulation and listed in A</w:t>
      </w:r>
      <w:r w:rsidRPr="002C570A">
        <w:t xml:space="preserve">nnex II of prohibited substances (Commission regulation (EU) No 358/2014). </w:t>
      </w:r>
    </w:p>
    <w:p w14:paraId="44924929" w14:textId="4376F301" w:rsidR="00E42EFC" w:rsidRDefault="00E42EFC" w:rsidP="00E42EFC">
      <w:pPr>
        <w:spacing w:line="276" w:lineRule="auto"/>
        <w:jc w:val="both"/>
        <w:rPr>
          <w:lang w:eastAsia="en-GB"/>
        </w:rPr>
      </w:pPr>
    </w:p>
    <w:p w14:paraId="08D8C2A6" w14:textId="0F3F44B2" w:rsidR="001F6EBD" w:rsidRDefault="001F6EBD" w:rsidP="00E42EFC">
      <w:pPr>
        <w:spacing w:line="276" w:lineRule="auto"/>
        <w:jc w:val="both"/>
        <w:rPr>
          <w:lang w:eastAsia="en-GB"/>
        </w:rPr>
      </w:pPr>
      <w:r>
        <w:rPr>
          <w:lang w:eastAsia="en-GB"/>
        </w:rPr>
        <w:t>In 2017, t</w:t>
      </w:r>
      <w:r w:rsidRPr="00DC756F">
        <w:rPr>
          <w:lang w:eastAsia="en-GB"/>
        </w:rPr>
        <w:t>he Danish Centre on Endocrine Disruptors (</w:t>
      </w:r>
      <w:proofErr w:type="spellStart"/>
      <w:r w:rsidRPr="00DC756F">
        <w:rPr>
          <w:lang w:eastAsia="en-GB"/>
        </w:rPr>
        <w:t>CeHoS</w:t>
      </w:r>
      <w:proofErr w:type="spellEnd"/>
      <w:r w:rsidRPr="00DC756F">
        <w:rPr>
          <w:lang w:eastAsia="en-GB"/>
        </w:rPr>
        <w:t>) published a r</w:t>
      </w:r>
      <w:r w:rsidR="009679E2">
        <w:rPr>
          <w:lang w:eastAsia="en-GB"/>
        </w:rPr>
        <w:t>eport evaluating</w:t>
      </w:r>
      <w:r w:rsidRPr="00DC756F">
        <w:rPr>
          <w:lang w:eastAsia="en-GB"/>
        </w:rPr>
        <w:t xml:space="preserve"> IBP among 13 substances according to the WHO definition of an endocrine disruptor or a potential endocrine disruptor</w:t>
      </w:r>
      <w:r w:rsidR="00CA2603">
        <w:rPr>
          <w:rStyle w:val="Fodnotehenvisning"/>
          <w:lang w:eastAsia="en-GB"/>
        </w:rPr>
        <w:footnoteReference w:id="2"/>
      </w:r>
      <w:r w:rsidRPr="00DC756F">
        <w:rPr>
          <w:lang w:eastAsia="en-GB"/>
        </w:rPr>
        <w:t>. The repor</w:t>
      </w:r>
      <w:r>
        <w:rPr>
          <w:lang w:eastAsia="en-GB"/>
        </w:rPr>
        <w:t>t concluded that</w:t>
      </w:r>
      <w:r w:rsidR="002B486E">
        <w:rPr>
          <w:lang w:eastAsia="en-GB"/>
        </w:rPr>
        <w:t>,</w:t>
      </w:r>
      <w:r>
        <w:rPr>
          <w:lang w:eastAsia="en-GB"/>
        </w:rPr>
        <w:t xml:space="preserve"> </w:t>
      </w:r>
      <w:r w:rsidR="002B486E">
        <w:rPr>
          <w:lang w:eastAsia="en-GB"/>
        </w:rPr>
        <w:t xml:space="preserve">despite of a significant data gap, </w:t>
      </w:r>
      <w:r>
        <w:rPr>
          <w:lang w:eastAsia="en-GB"/>
        </w:rPr>
        <w:t>there is some evidence</w:t>
      </w:r>
      <w:r w:rsidRPr="00DC756F">
        <w:rPr>
          <w:lang w:eastAsia="en-GB"/>
        </w:rPr>
        <w:t xml:space="preserve"> of </w:t>
      </w:r>
      <w:r w:rsidRPr="00DC756F">
        <w:rPr>
          <w:i/>
          <w:lang w:eastAsia="en-GB"/>
        </w:rPr>
        <w:t>in vitro</w:t>
      </w:r>
      <w:r w:rsidRPr="00DC756F">
        <w:rPr>
          <w:lang w:eastAsia="en-GB"/>
        </w:rPr>
        <w:t xml:space="preserve"> and </w:t>
      </w:r>
      <w:r w:rsidRPr="00DC756F">
        <w:rPr>
          <w:i/>
          <w:lang w:eastAsia="en-GB"/>
        </w:rPr>
        <w:t>in vivo</w:t>
      </w:r>
      <w:r w:rsidRPr="00DC756F">
        <w:rPr>
          <w:lang w:eastAsia="en-GB"/>
        </w:rPr>
        <w:t xml:space="preserve"> estrogenic activity and adverse effects on sperm motility and sperm numbers in male pups</w:t>
      </w:r>
      <w:r>
        <w:rPr>
          <w:lang w:eastAsia="en-GB"/>
        </w:rPr>
        <w:t>,</w:t>
      </w:r>
      <w:r w:rsidRPr="00DC756F">
        <w:rPr>
          <w:lang w:eastAsia="en-GB"/>
        </w:rPr>
        <w:t xml:space="preserve"> and effects on sexual dimorphic behaviour. </w:t>
      </w:r>
    </w:p>
    <w:p w14:paraId="5021AB97" w14:textId="73F4B5B6" w:rsidR="001F6EBD" w:rsidRDefault="001F6EBD" w:rsidP="00E42EFC">
      <w:pPr>
        <w:spacing w:line="276" w:lineRule="auto"/>
        <w:jc w:val="both"/>
        <w:rPr>
          <w:lang w:eastAsia="en-GB"/>
        </w:rPr>
      </w:pPr>
    </w:p>
    <w:p w14:paraId="2B49C8F1" w14:textId="20790671" w:rsidR="00BE5D92" w:rsidRDefault="007D7F73" w:rsidP="00E42EFC">
      <w:pPr>
        <w:spacing w:line="276" w:lineRule="auto"/>
        <w:jc w:val="both"/>
        <w:rPr>
          <w:lang w:eastAsia="en-GB"/>
        </w:rPr>
      </w:pPr>
      <w:r>
        <w:rPr>
          <w:lang w:eastAsia="en-GB"/>
        </w:rPr>
        <w:t xml:space="preserve">In 2020, the </w:t>
      </w:r>
      <w:r w:rsidR="009679E2">
        <w:rPr>
          <w:lang w:eastAsia="en-GB"/>
        </w:rPr>
        <w:t>structurally</w:t>
      </w:r>
      <w:r>
        <w:rPr>
          <w:lang w:eastAsia="en-GB"/>
        </w:rPr>
        <w:t xml:space="preserve"> related substance </w:t>
      </w:r>
      <w:proofErr w:type="spellStart"/>
      <w:r>
        <w:rPr>
          <w:lang w:eastAsia="en-GB"/>
        </w:rPr>
        <w:t>butylparaben</w:t>
      </w:r>
      <w:proofErr w:type="spellEnd"/>
      <w:r w:rsidR="009679E2">
        <w:rPr>
          <w:lang w:eastAsia="en-GB"/>
        </w:rPr>
        <w:t xml:space="preserve"> (BP)</w:t>
      </w:r>
      <w:r>
        <w:rPr>
          <w:lang w:eastAsia="en-GB"/>
        </w:rPr>
        <w:t xml:space="preserve"> was</w:t>
      </w:r>
      <w:r w:rsidR="00CA2603">
        <w:rPr>
          <w:lang w:eastAsia="en-GB"/>
        </w:rPr>
        <w:t xml:space="preserve"> </w:t>
      </w:r>
      <w:r w:rsidRPr="007D7F73">
        <w:rPr>
          <w:lang w:eastAsia="en-GB"/>
        </w:rPr>
        <w:t>identified as an endocrine disruptor in humans a</w:t>
      </w:r>
      <w:r w:rsidR="009679E2">
        <w:rPr>
          <w:lang w:eastAsia="en-GB"/>
        </w:rPr>
        <w:t>ccording to REACH A</w:t>
      </w:r>
      <w:r>
        <w:rPr>
          <w:lang w:eastAsia="en-GB"/>
        </w:rPr>
        <w:t xml:space="preserve">rticle 57(f). Based on a </w:t>
      </w:r>
      <w:r w:rsidR="00BE5D92">
        <w:rPr>
          <w:lang w:eastAsia="en-GB"/>
        </w:rPr>
        <w:t xml:space="preserve">thorough </w:t>
      </w:r>
      <w:r>
        <w:rPr>
          <w:lang w:eastAsia="en-GB"/>
        </w:rPr>
        <w:t>read-across</w:t>
      </w:r>
      <w:r w:rsidR="00BE5D92">
        <w:rPr>
          <w:lang w:eastAsia="en-GB"/>
        </w:rPr>
        <w:t xml:space="preserve"> analysis</w:t>
      </w:r>
      <w:r w:rsidR="009679E2">
        <w:rPr>
          <w:lang w:eastAsia="en-GB"/>
        </w:rPr>
        <w:t xml:space="preserve"> to this substance, it is</w:t>
      </w:r>
      <w:r w:rsidR="009513FD">
        <w:rPr>
          <w:lang w:eastAsia="en-GB"/>
        </w:rPr>
        <w:t xml:space="preserve"> c</w:t>
      </w:r>
      <w:r w:rsidR="002E4900">
        <w:rPr>
          <w:lang w:eastAsia="en-GB"/>
        </w:rPr>
        <w:t>onsider</w:t>
      </w:r>
      <w:r w:rsidR="009679E2">
        <w:rPr>
          <w:lang w:eastAsia="en-GB"/>
        </w:rPr>
        <w:t>ed</w:t>
      </w:r>
      <w:r w:rsidR="009513FD">
        <w:rPr>
          <w:lang w:eastAsia="en-GB"/>
        </w:rPr>
        <w:t xml:space="preserve"> that there is substantial data suggesting that</w:t>
      </w:r>
      <w:r>
        <w:rPr>
          <w:lang w:eastAsia="en-GB"/>
        </w:rPr>
        <w:t xml:space="preserve"> </w:t>
      </w:r>
      <w:r w:rsidR="009679E2">
        <w:rPr>
          <w:lang w:eastAsia="en-GB"/>
        </w:rPr>
        <w:t>IBP</w:t>
      </w:r>
      <w:r w:rsidR="009513FD">
        <w:rPr>
          <w:lang w:eastAsia="en-GB"/>
        </w:rPr>
        <w:t xml:space="preserve"> is</w:t>
      </w:r>
      <w:r>
        <w:rPr>
          <w:lang w:eastAsia="en-GB"/>
        </w:rPr>
        <w:t xml:space="preserve"> an endocrine disruptor.</w:t>
      </w:r>
      <w:r w:rsidR="00BE5D92">
        <w:rPr>
          <w:lang w:eastAsia="en-GB"/>
        </w:rPr>
        <w:t xml:space="preserve"> </w:t>
      </w:r>
    </w:p>
    <w:p w14:paraId="2D2FC27C" w14:textId="77777777" w:rsidR="00BE5D92" w:rsidRDefault="00BE5D92" w:rsidP="00E42EFC">
      <w:pPr>
        <w:spacing w:line="276" w:lineRule="auto"/>
        <w:jc w:val="both"/>
        <w:rPr>
          <w:lang w:eastAsia="en-GB"/>
        </w:rPr>
      </w:pPr>
    </w:p>
    <w:p w14:paraId="12306CCD" w14:textId="386A897D" w:rsidR="001024B2" w:rsidRDefault="00BE5D92" w:rsidP="00E42EFC">
      <w:pPr>
        <w:spacing w:line="276" w:lineRule="auto"/>
        <w:jc w:val="both"/>
        <w:rPr>
          <w:lang w:eastAsia="en-GB"/>
        </w:rPr>
      </w:pPr>
      <w:r>
        <w:rPr>
          <w:lang w:eastAsia="en-GB"/>
        </w:rPr>
        <w:t>In Q2 of 2022, the</w:t>
      </w:r>
      <w:r w:rsidRPr="00BE5D92">
        <w:rPr>
          <w:lang w:eastAsia="en-GB"/>
        </w:rPr>
        <w:t xml:space="preserve"> discussion of the ha</w:t>
      </w:r>
      <w:r>
        <w:rPr>
          <w:lang w:eastAsia="en-GB"/>
        </w:rPr>
        <w:t xml:space="preserve">zard properties of </w:t>
      </w:r>
      <w:r w:rsidR="009679E2">
        <w:rPr>
          <w:lang w:eastAsia="en-GB"/>
        </w:rPr>
        <w:t>IBP</w:t>
      </w:r>
      <w:r w:rsidRPr="00BE5D92">
        <w:rPr>
          <w:lang w:eastAsia="en-GB"/>
        </w:rPr>
        <w:t xml:space="preserve"> in the Endocrine D</w:t>
      </w:r>
      <w:r>
        <w:rPr>
          <w:lang w:eastAsia="en-GB"/>
        </w:rPr>
        <w:t>isruptor Expert Group (ED-EG) was</w:t>
      </w:r>
      <w:r w:rsidRPr="00BE5D92">
        <w:rPr>
          <w:lang w:eastAsia="en-GB"/>
        </w:rPr>
        <w:t xml:space="preserve"> running in parallel with the present RMOA.</w:t>
      </w:r>
      <w:r w:rsidR="009679E2">
        <w:rPr>
          <w:lang w:eastAsia="en-GB"/>
        </w:rPr>
        <w:t xml:space="preserve"> Several comments were received</w:t>
      </w:r>
      <w:r>
        <w:rPr>
          <w:lang w:eastAsia="en-GB"/>
        </w:rPr>
        <w:t xml:space="preserve"> from the members of the expert group,</w:t>
      </w:r>
      <w:r w:rsidR="009679E2">
        <w:rPr>
          <w:lang w:eastAsia="en-GB"/>
        </w:rPr>
        <w:t xml:space="preserve"> supporting the conclusion that</w:t>
      </w:r>
      <w:r w:rsidR="009513FD">
        <w:rPr>
          <w:lang w:eastAsia="en-GB"/>
        </w:rPr>
        <w:t xml:space="preserve"> </w:t>
      </w:r>
      <w:r>
        <w:rPr>
          <w:lang w:eastAsia="en-GB"/>
        </w:rPr>
        <w:t>IBP</w:t>
      </w:r>
      <w:r w:rsidR="009679E2">
        <w:rPr>
          <w:lang w:eastAsia="en-GB"/>
        </w:rPr>
        <w:t xml:space="preserve"> is</w:t>
      </w:r>
      <w:r>
        <w:rPr>
          <w:lang w:eastAsia="en-GB"/>
        </w:rPr>
        <w:t xml:space="preserve"> an endocrine disrupter. </w:t>
      </w:r>
      <w:r w:rsidR="007D7F73">
        <w:rPr>
          <w:lang w:eastAsia="en-GB"/>
        </w:rPr>
        <w:t xml:space="preserve"> </w:t>
      </w:r>
      <w:r w:rsidR="002E4900">
        <w:rPr>
          <w:lang w:eastAsia="en-GB"/>
        </w:rPr>
        <w:t xml:space="preserve"> </w:t>
      </w:r>
    </w:p>
    <w:p w14:paraId="0AE71E11" w14:textId="7113829E" w:rsidR="007D7F73" w:rsidRDefault="007D7F73" w:rsidP="00E42EFC">
      <w:pPr>
        <w:spacing w:line="276" w:lineRule="auto"/>
        <w:jc w:val="both"/>
        <w:rPr>
          <w:lang w:eastAsia="en-GB"/>
        </w:rPr>
      </w:pPr>
    </w:p>
    <w:p w14:paraId="46986DC7" w14:textId="77777777" w:rsidR="001024B2" w:rsidRDefault="001024B2" w:rsidP="00E42EFC">
      <w:pPr>
        <w:spacing w:line="276" w:lineRule="auto"/>
        <w:jc w:val="both"/>
        <w:rPr>
          <w:lang w:eastAsia="en-GB"/>
        </w:rPr>
      </w:pPr>
      <w:bookmarkStart w:id="1" w:name="_GoBack"/>
      <w:bookmarkEnd w:id="1"/>
    </w:p>
    <w:p w14:paraId="4F19657C" w14:textId="0B243663" w:rsidR="001F6EBD" w:rsidRDefault="001F6EBD">
      <w:pPr>
        <w:widowControl/>
        <w:spacing w:after="200" w:line="276" w:lineRule="auto"/>
        <w:rPr>
          <w:rFonts w:cs="Arial"/>
          <w:b/>
          <w:bCs/>
          <w:snapToGrid/>
          <w:color w:val="4F81BD" w:themeColor="accent1"/>
          <w:sz w:val="28"/>
          <w:szCs w:val="28"/>
        </w:rPr>
      </w:pPr>
    </w:p>
    <w:p w14:paraId="683539CC" w14:textId="77777777" w:rsidR="00BE5AF4" w:rsidRPr="000711F7" w:rsidRDefault="00BE5AF4" w:rsidP="00BE5AF4">
      <w:pPr>
        <w:pStyle w:val="Overskrift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This conclusion is based on the REACH and CLP data as well as other available relevant information taking into account the SVHC Roadmap to 2020, where appropriate.</w:t>
      </w:r>
    </w:p>
    <w:p w14:paraId="683539D0" w14:textId="36B90F96" w:rsidR="00BE5AF4" w:rsidRDefault="00BE5AF4" w:rsidP="00BE5AF4">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006F46A9" w:rsidR="00B2524D" w:rsidRPr="00B2524D" w:rsidDel="001E1883" w:rsidRDefault="00D24313" w:rsidP="00B2524D">
            <w:pPr>
              <w:spacing w:line="276" w:lineRule="auto"/>
            </w:pPr>
            <w:r>
              <w:t>X</w:t>
            </w: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2EDFE378" w:rsidR="00B2524D" w:rsidRPr="00B2524D" w:rsidRDefault="00D24313" w:rsidP="00B2524D">
            <w:pPr>
              <w:jc w:val="center"/>
            </w:pPr>
            <w:r>
              <w:t>X</w:t>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kst"/>
      </w:pPr>
    </w:p>
    <w:p w14:paraId="68353A01" w14:textId="77777777" w:rsidR="00A446BC" w:rsidRDefault="00A446BC" w:rsidP="00471457"/>
    <w:p w14:paraId="68353A02" w14:textId="77777777" w:rsidR="00A446BC" w:rsidRPr="006E3CBA" w:rsidRDefault="00A446BC" w:rsidP="00471457"/>
    <w:p w14:paraId="68353A06" w14:textId="22920A91" w:rsidR="003C3793" w:rsidRPr="008008D1" w:rsidRDefault="00AF77F1" w:rsidP="00471457">
      <w:pPr>
        <w:pStyle w:val="Overskrift3"/>
        <w:numPr>
          <w:ilvl w:val="0"/>
          <w:numId w:val="6"/>
        </w:numPr>
        <w:rPr>
          <w:color w:val="4F81BD" w:themeColor="accent1"/>
          <w:sz w:val="24"/>
          <w:szCs w:val="28"/>
        </w:rPr>
      </w:pPr>
      <w:r w:rsidRPr="00270FFE">
        <w:rPr>
          <w:caps/>
          <w:color w:val="4F81BD" w:themeColor="accent1"/>
          <w:sz w:val="24"/>
          <w:szCs w:val="28"/>
        </w:rPr>
        <w:lastRenderedPageBreak/>
        <w:t>Need for follow-up regulatory action at EU level</w:t>
      </w:r>
      <w:r w:rsidR="00471457" w:rsidRPr="000711F7">
        <w:rPr>
          <w:color w:val="4F81BD" w:themeColor="accent1"/>
          <w:sz w:val="24"/>
          <w:szCs w:val="28"/>
        </w:rPr>
        <w:t xml:space="preserve"> </w:t>
      </w:r>
    </w:p>
    <w:p w14:paraId="2B6760D6" w14:textId="503D6919" w:rsidR="00D24313" w:rsidRPr="00E604D1" w:rsidRDefault="009679E2" w:rsidP="00D24313">
      <w:pPr>
        <w:spacing w:line="276" w:lineRule="auto"/>
        <w:jc w:val="both"/>
      </w:pPr>
      <w:r>
        <w:t>IBP</w:t>
      </w:r>
      <w:r w:rsidR="00D24313" w:rsidRPr="00E604D1">
        <w:t xml:space="preserve"> is considered to </w:t>
      </w:r>
      <w:r w:rsidR="00496958" w:rsidRPr="00E604D1">
        <w:t>fulfil</w:t>
      </w:r>
      <w:r w:rsidR="00D24313" w:rsidRPr="00E604D1">
        <w:t xml:space="preserve"> the criteria for an SVHC according to REACH Article 57</w:t>
      </w:r>
      <w:r w:rsidR="009B0784">
        <w:t>f</w:t>
      </w:r>
      <w:r w:rsidR="00D24313" w:rsidRPr="00E604D1">
        <w:t xml:space="preserve"> based on</w:t>
      </w:r>
      <w:r>
        <w:t xml:space="preserve"> evi</w:t>
      </w:r>
      <w:r w:rsidR="009B0784">
        <w:t>dence on the substance itself</w:t>
      </w:r>
      <w:r>
        <w:t xml:space="preserve"> supported with</w:t>
      </w:r>
      <w:r w:rsidR="00D24313" w:rsidRPr="00E604D1">
        <w:t xml:space="preserve"> read-across to the endocrine d</w:t>
      </w:r>
      <w:r>
        <w:t>isrupting substance BP</w:t>
      </w:r>
      <w:r w:rsidR="00D24313" w:rsidRPr="00E604D1">
        <w:t xml:space="preserve">. </w:t>
      </w:r>
    </w:p>
    <w:p w14:paraId="37FAC969" w14:textId="77777777" w:rsidR="00D24313" w:rsidRPr="00E604D1" w:rsidRDefault="00D24313" w:rsidP="00D24313">
      <w:pPr>
        <w:spacing w:line="276" w:lineRule="auto"/>
        <w:jc w:val="both"/>
      </w:pPr>
    </w:p>
    <w:p w14:paraId="2B0D888E" w14:textId="50A53CE2" w:rsidR="00D24313" w:rsidRPr="00E604D1" w:rsidRDefault="00D24313" w:rsidP="00D24313">
      <w:pPr>
        <w:spacing w:line="276" w:lineRule="auto"/>
        <w:jc w:val="both"/>
      </w:pPr>
      <w:r w:rsidRPr="00E604D1">
        <w:t xml:space="preserve">According to the registration dossier, </w:t>
      </w:r>
      <w:r w:rsidR="009679E2">
        <w:t>IBP</w:t>
      </w:r>
      <w:r w:rsidRPr="00E604D1">
        <w:t xml:space="preserve"> is used in the production of consumer products such as various Do-It-Your</w:t>
      </w:r>
      <w:r w:rsidR="00750ACA" w:rsidRPr="00E604D1">
        <w:t>-</w:t>
      </w:r>
      <w:r w:rsidRPr="00E604D1">
        <w:t xml:space="preserve">Self products and modelling clay. This underlines the need for further risk management of the substance to encourage substitution and </w:t>
      </w:r>
      <w:r w:rsidR="009679E2">
        <w:t xml:space="preserve">to </w:t>
      </w:r>
      <w:r w:rsidRPr="00E604D1">
        <w:t>avoid pot</w:t>
      </w:r>
      <w:r w:rsidR="009679E2">
        <w:t>ential regrettable substation from</w:t>
      </w:r>
      <w:r w:rsidRPr="00E604D1">
        <w:t xml:space="preserve"> </w:t>
      </w:r>
      <w:r w:rsidR="009679E2">
        <w:t>BP</w:t>
      </w:r>
      <w:r w:rsidRPr="00E604D1">
        <w:t xml:space="preserve"> to </w:t>
      </w:r>
      <w:r w:rsidR="009679E2">
        <w:t>IBP</w:t>
      </w:r>
      <w:r w:rsidRPr="00E604D1">
        <w:t xml:space="preserve">. </w:t>
      </w:r>
    </w:p>
    <w:p w14:paraId="413C6708" w14:textId="77777777" w:rsidR="00D24313" w:rsidRPr="00E604D1" w:rsidRDefault="00D24313" w:rsidP="00D24313">
      <w:pPr>
        <w:spacing w:line="276" w:lineRule="auto"/>
        <w:jc w:val="both"/>
      </w:pPr>
    </w:p>
    <w:p w14:paraId="2D5BA695" w14:textId="2EA28F40" w:rsidR="00D24313" w:rsidRPr="00E604D1" w:rsidRDefault="00D24313" w:rsidP="00D24313">
      <w:pPr>
        <w:spacing w:line="276" w:lineRule="auto"/>
        <w:jc w:val="both"/>
      </w:pPr>
      <w:r w:rsidRPr="00E604D1">
        <w:t>It is very likely that feasible, easil</w:t>
      </w:r>
      <w:r w:rsidR="009679E2">
        <w:t>y acc</w:t>
      </w:r>
      <w:r w:rsidR="009679E2" w:rsidRPr="00E604D1">
        <w:t>essible</w:t>
      </w:r>
      <w:r w:rsidRPr="00E604D1">
        <w:t xml:space="preserve"> alternatives to </w:t>
      </w:r>
      <w:r w:rsidR="009679E2">
        <w:t>IBP</w:t>
      </w:r>
      <w:r w:rsidRPr="00E604D1">
        <w:t xml:space="preserve"> are available. Examples could be other preservatives that are approved for use in cosmetic products, listed in Annex V of the cosmetic regulation (Regulation (EC) No 1223/2009). </w:t>
      </w:r>
    </w:p>
    <w:p w14:paraId="301275C0" w14:textId="77777777" w:rsidR="00D24313" w:rsidRPr="00E604D1" w:rsidRDefault="00D24313" w:rsidP="00D24313">
      <w:pPr>
        <w:spacing w:line="276" w:lineRule="auto"/>
        <w:jc w:val="both"/>
      </w:pPr>
    </w:p>
    <w:p w14:paraId="292AE8EA" w14:textId="2B6A701C" w:rsidR="00D24313" w:rsidRPr="00D24313" w:rsidRDefault="00D24313" w:rsidP="00D24313">
      <w:pPr>
        <w:pStyle w:val="Brdtekst"/>
        <w:rPr>
          <w:sz w:val="22"/>
          <w:szCs w:val="22"/>
        </w:rPr>
      </w:pPr>
    </w:p>
    <w:p w14:paraId="68353A12" w14:textId="77777777" w:rsidR="004F6831" w:rsidRDefault="008A1880" w:rsidP="008A1880">
      <w:pPr>
        <w:pStyle w:val="Overskrift3"/>
        <w:widowControl/>
        <w:numPr>
          <w:ilvl w:val="1"/>
          <w:numId w:val="6"/>
        </w:numPr>
        <w:spacing w:before="200" w:after="0" w:line="276" w:lineRule="auto"/>
        <w:rPr>
          <w:color w:val="365F91" w:themeColor="accent1" w:themeShade="BF"/>
          <w:sz w:val="24"/>
          <w:szCs w:val="24"/>
        </w:rPr>
      </w:pPr>
      <w:bookmarkStart w:id="2" w:name="_Toc357683639"/>
      <w:r w:rsidRPr="008A1880">
        <w:rPr>
          <w:color w:val="365F91" w:themeColor="accent1" w:themeShade="BF"/>
          <w:sz w:val="24"/>
          <w:szCs w:val="24"/>
        </w:rPr>
        <w:t>Identification as a substance of very high concern, SVHC (first step towards authorisation)</w:t>
      </w:r>
    </w:p>
    <w:p w14:paraId="68353A17" w14:textId="6AC63622" w:rsidR="004F6831" w:rsidRDefault="004F6831" w:rsidP="00270FFE">
      <w:pPr>
        <w:pStyle w:val="Brdtekst"/>
      </w:pPr>
    </w:p>
    <w:p w14:paraId="7D1FCAA1" w14:textId="7BE19B57" w:rsidR="00D24313" w:rsidRPr="00496958" w:rsidRDefault="00D24313" w:rsidP="00D24313">
      <w:pPr>
        <w:pStyle w:val="Brdtekst"/>
        <w:spacing w:line="276" w:lineRule="auto"/>
        <w:rPr>
          <w:highlight w:val="yellow"/>
        </w:rPr>
      </w:pPr>
      <w:r w:rsidRPr="00496958">
        <w:t>SVHC identification is the only mean of identifying substances as endocrine disruptors. I</w:t>
      </w:r>
      <w:r w:rsidR="009679E2">
        <w:t>BP</w:t>
      </w:r>
      <w:r w:rsidR="00A13C39">
        <w:t xml:space="preserve"> is</w:t>
      </w:r>
      <w:r w:rsidRPr="00496958">
        <w:t xml:space="preserve"> considered to fulfil the criteria for identification as a substance of very high concern in accordance with RE</w:t>
      </w:r>
      <w:r w:rsidR="009B0784">
        <w:t>ACH Article 57f</w:t>
      </w:r>
      <w:r w:rsidRPr="00496958">
        <w:t xml:space="preserve">. </w:t>
      </w:r>
    </w:p>
    <w:p w14:paraId="47AD701C" w14:textId="09A7E916" w:rsidR="00D24313" w:rsidRPr="00496958" w:rsidRDefault="00D24313" w:rsidP="00D24313">
      <w:pPr>
        <w:pStyle w:val="Brdtekst"/>
        <w:spacing w:line="276" w:lineRule="auto"/>
      </w:pPr>
      <w:r w:rsidRPr="00496958">
        <w:t>As it is currently not possible to classify</w:t>
      </w:r>
      <w:r w:rsidR="009B0784">
        <w:t xml:space="preserve"> substances</w:t>
      </w:r>
      <w:r w:rsidRPr="00496958">
        <w:t xml:space="preserve"> for endocrine disrupting propertie</w:t>
      </w:r>
      <w:r w:rsidR="009679E2">
        <w:t>s under CLP, identification of IBP</w:t>
      </w:r>
      <w:r w:rsidRPr="00496958">
        <w:t xml:space="preserve"> as an SVHC would be the only available possibility to achieve an EU-wide agreement on the endocrine disrupting properties of this substance. Furthermore, identification of </w:t>
      </w:r>
      <w:r w:rsidR="009679E2">
        <w:t>IBP</w:t>
      </w:r>
      <w:r w:rsidRPr="00496958">
        <w:t xml:space="preserve"> as SVHC would be a strong signal to enterprises manufacturing, im</w:t>
      </w:r>
      <w:r w:rsidR="009679E2">
        <w:t>porting and using IBP</w:t>
      </w:r>
      <w:r w:rsidRPr="00496958">
        <w:t xml:space="preserve"> to substitute this substance, in addition, to avoid using </w:t>
      </w:r>
      <w:r w:rsidR="009679E2">
        <w:t>IBP</w:t>
      </w:r>
      <w:r w:rsidRPr="00496958">
        <w:t xml:space="preserve"> as a substitution for </w:t>
      </w:r>
      <w:r w:rsidR="009679E2">
        <w:t>BP</w:t>
      </w:r>
      <w:r w:rsidRPr="00496958">
        <w:t xml:space="preserve"> as a consequence of the SVHC </w:t>
      </w:r>
      <w:r w:rsidR="009679E2">
        <w:t>identification</w:t>
      </w:r>
      <w:r w:rsidRPr="00496958">
        <w:t xml:space="preserve"> of </w:t>
      </w:r>
      <w:r w:rsidR="009679E2">
        <w:t>BP</w:t>
      </w:r>
      <w:r w:rsidRPr="00496958">
        <w:t>.</w:t>
      </w:r>
    </w:p>
    <w:p w14:paraId="2244A736" w14:textId="018E3125" w:rsidR="00D24313" w:rsidRDefault="00D24313" w:rsidP="00D24313">
      <w:pPr>
        <w:spacing w:line="276" w:lineRule="auto"/>
        <w:jc w:val="both"/>
      </w:pPr>
      <w:r w:rsidRPr="00496958">
        <w:t xml:space="preserve">Following an SVHC identification of </w:t>
      </w:r>
      <w:r w:rsidR="009679E2">
        <w:t>IBP</w:t>
      </w:r>
      <w:r w:rsidRPr="00496958">
        <w:t xml:space="preserve">, subsequent inclusion in Annex XIV could be a possible next regulatory risk management step. Those substances that are identified according to Article 57(f) owing to their endocrine disrupting properties will most likely be treated as non-threshold substances. As long as the registrant cannot demonstrate a safe threshold, it is very likely that </w:t>
      </w:r>
      <w:r w:rsidR="009679E2">
        <w:t>IBP</w:t>
      </w:r>
      <w:r w:rsidRPr="00496958">
        <w:t xml:space="preserve"> would fall under the socio-economic route to authorisation.</w:t>
      </w:r>
    </w:p>
    <w:bookmarkEnd w:id="2"/>
    <w:p w14:paraId="68353A2E" w14:textId="77777777" w:rsidR="00A446BC" w:rsidRPr="00AD3540" w:rsidRDefault="00A446BC" w:rsidP="00471457">
      <w:pPr>
        <w:jc w:val="both"/>
        <w:rPr>
          <w:i/>
        </w:rPr>
      </w:pPr>
    </w:p>
    <w:p w14:paraId="68353A2F" w14:textId="77777777" w:rsidR="00471457" w:rsidRDefault="00471457" w:rsidP="00471457">
      <w:pPr>
        <w:jc w:val="both"/>
        <w:rPr>
          <w:i/>
        </w:rPr>
      </w:pPr>
    </w:p>
    <w:p w14:paraId="68353A30" w14:textId="77777777" w:rsidR="00E86372" w:rsidRDefault="00E86372">
      <w:pPr>
        <w:widowControl/>
        <w:spacing w:after="200" w:line="276" w:lineRule="auto"/>
        <w:rPr>
          <w:rFonts w:cs="Arial"/>
          <w:b/>
          <w:bCs/>
          <w:snapToGrid/>
          <w:color w:val="4F81BD" w:themeColor="accent1"/>
          <w:sz w:val="28"/>
          <w:szCs w:val="28"/>
        </w:rPr>
      </w:pPr>
      <w:r>
        <w:rPr>
          <w:color w:val="4F81BD" w:themeColor="accent1"/>
          <w:sz w:val="28"/>
          <w:szCs w:val="28"/>
        </w:rPr>
        <w:br w:type="page"/>
      </w:r>
    </w:p>
    <w:p w14:paraId="066003D9" w14:textId="77777777" w:rsidR="00492518" w:rsidRPr="00492518" w:rsidRDefault="00492518" w:rsidP="00492518">
      <w:pPr>
        <w:widowControl/>
        <w:spacing w:after="200"/>
        <w:contextualSpacing/>
      </w:pPr>
    </w:p>
    <w:p w14:paraId="68353A4C" w14:textId="017A6DCC" w:rsidR="00A14C19" w:rsidRPr="00276D46" w:rsidRDefault="006617E0" w:rsidP="00276D46">
      <w:pPr>
        <w:pStyle w:val="Overskrift3"/>
        <w:numPr>
          <w:ilvl w:val="0"/>
          <w:numId w:val="6"/>
        </w:numPr>
        <w:rPr>
          <w:caps/>
          <w:color w:val="4F81BD" w:themeColor="accent1"/>
          <w:sz w:val="24"/>
          <w:szCs w:val="28"/>
        </w:rPr>
      </w:pPr>
      <w:r w:rsidRPr="00270FFE">
        <w:rPr>
          <w:caps/>
          <w:color w:val="4F81BD" w:themeColor="accent1"/>
          <w:sz w:val="24"/>
          <w:szCs w:val="28"/>
        </w:rPr>
        <w:t>TENTATIVE PLAN FOR FOLLOW-UP ACTIONS IF NECESSARY</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7D293C15" w:rsidR="00A14C19" w:rsidRPr="003016DF" w:rsidRDefault="00E83A06" w:rsidP="00831C13">
            <w:pPr>
              <w:spacing w:after="120"/>
            </w:pPr>
            <w:r>
              <w:t xml:space="preserve">Submission of SVHC proposal </w:t>
            </w:r>
            <w:r w:rsidR="009679E2">
              <w:t>in accordance with</w:t>
            </w:r>
            <w:r w:rsidRPr="00E83A06">
              <w:t xml:space="preserve"> REACH</w:t>
            </w:r>
            <w:r w:rsidR="009679E2">
              <w:t xml:space="preserve"> Art. 57(f</w:t>
            </w:r>
            <w:r w:rsidR="00831C13">
              <w:t>)</w:t>
            </w:r>
          </w:p>
        </w:tc>
        <w:tc>
          <w:tcPr>
            <w:tcW w:w="2520" w:type="dxa"/>
            <w:shd w:val="clear" w:color="auto" w:fill="auto"/>
          </w:tcPr>
          <w:p w14:paraId="68353A52" w14:textId="5CC6C6B6" w:rsidR="00A14C19" w:rsidRPr="003016DF" w:rsidRDefault="00E83A06" w:rsidP="00A2050D">
            <w:r>
              <w:t>A</w:t>
            </w:r>
            <w:r w:rsidR="00831C13">
              <w:t>ugust / 2022</w:t>
            </w:r>
            <w:r w:rsidR="00A14C19" w:rsidRPr="003016DF">
              <w:t xml:space="preserve"> </w:t>
            </w:r>
          </w:p>
        </w:tc>
        <w:tc>
          <w:tcPr>
            <w:tcW w:w="3780" w:type="dxa"/>
            <w:shd w:val="clear" w:color="auto" w:fill="auto"/>
          </w:tcPr>
          <w:p w14:paraId="68353A53" w14:textId="77F0D207" w:rsidR="00A14C19" w:rsidRPr="003016DF" w:rsidRDefault="00A14C19" w:rsidP="00A2050D">
            <w:r w:rsidRPr="003016DF">
              <w:t>Member State</w:t>
            </w:r>
            <w:r w:rsidR="00E83A06">
              <w:t xml:space="preserve"> - DK</w:t>
            </w:r>
          </w:p>
        </w:tc>
      </w:tr>
    </w:tbl>
    <w:p w14:paraId="68353A59" w14:textId="77777777" w:rsidR="00997177" w:rsidRDefault="00FD262C"/>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3" w14:textId="77777777" w:rsidR="007A39FF" w:rsidRPr="00926DC2" w:rsidRDefault="007A39FF" w:rsidP="007A39FF">
    <w:pPr>
      <w:pStyle w:val="Sidefod"/>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efod"/>
      <w:rPr>
        <w:sz w:val="18"/>
        <w:szCs w:val="18"/>
      </w:rPr>
    </w:pPr>
    <w:r>
      <w:rPr>
        <w:sz w:val="18"/>
        <w:szCs w:val="18"/>
      </w:rPr>
      <w:t>October</w:t>
    </w:r>
    <w:r w:rsidR="007A39FF">
      <w:rPr>
        <w:sz w:val="18"/>
        <w:szCs w:val="18"/>
      </w:rPr>
      <w:t xml:space="preserve"> 2015</w:t>
    </w:r>
  </w:p>
  <w:p w14:paraId="68353A67" w14:textId="77777777" w:rsidR="002E4026" w:rsidRDefault="002E40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8" w14:textId="7D0985A8" w:rsidR="002E4026" w:rsidRPr="00B66083" w:rsidRDefault="00E86372" w:rsidP="002E4026">
    <w:pPr>
      <w:pStyle w:val="Sidefod"/>
      <w:jc w:val="center"/>
    </w:pPr>
    <w:r w:rsidRPr="009A61C8">
      <w:rPr>
        <w:sz w:val="18"/>
        <w:szCs w:val="18"/>
      </w:rPr>
      <w:t xml:space="preserve">EC no </w:t>
    </w:r>
    <w:r w:rsidR="002F7EA5" w:rsidRPr="002F7EA5">
      <w:rPr>
        <w:sz w:val="18"/>
        <w:szCs w:val="18"/>
      </w:rPr>
      <w:t>224-208-8</w:t>
    </w:r>
    <w:r w:rsidRPr="009A61C8">
      <w:rPr>
        <w:sz w:val="18"/>
        <w:szCs w:val="18"/>
      </w:rPr>
      <w:tab/>
      <w:t xml:space="preserve">MSCA - </w:t>
    </w:r>
    <w:r w:rsidR="002F7EA5">
      <w:rPr>
        <w:sz w:val="18"/>
        <w:szCs w:val="18"/>
      </w:rPr>
      <w:t>Denmark</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FD262C">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FD262C">
      <w:rPr>
        <w:noProof/>
        <w:sz w:val="18"/>
        <w:szCs w:val="18"/>
      </w:rPr>
      <w:t>6</w:t>
    </w:r>
    <w:r w:rsidR="002E4026" w:rsidRPr="009320DD">
      <w:rPr>
        <w:sz w:val="18"/>
        <w:szCs w:val="18"/>
      </w:rPr>
      <w:fldChar w:fldCharType="end"/>
    </w:r>
  </w:p>
  <w:p w14:paraId="68353A69" w14:textId="77777777" w:rsidR="002E4026" w:rsidRDefault="002E402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A" w14:textId="17DF7617" w:rsidR="00C0335E" w:rsidRPr="00B66083" w:rsidRDefault="00FD7CF1" w:rsidP="00B66083">
    <w:pPr>
      <w:pStyle w:val="Sidefod"/>
      <w:jc w:val="center"/>
    </w:pPr>
    <w:r w:rsidRPr="009A61C8">
      <w:rPr>
        <w:sz w:val="18"/>
        <w:szCs w:val="18"/>
      </w:rPr>
      <w:t xml:space="preserve">EC no </w:t>
    </w:r>
    <w:r w:rsidRPr="00DC756F">
      <w:t>224-208-8</w:t>
    </w:r>
    <w:r w:rsidR="00E86372" w:rsidRPr="009A61C8">
      <w:rPr>
        <w:sz w:val="18"/>
        <w:szCs w:val="18"/>
      </w:rPr>
      <w:tab/>
      <w:t xml:space="preserve">MSCA - </w:t>
    </w:r>
    <w:r>
      <w:rPr>
        <w:sz w:val="18"/>
        <w:szCs w:val="18"/>
      </w:rPr>
      <w:t>Denmark</w:t>
    </w:r>
    <w:r w:rsidR="00E86372">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FD262C">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FD262C">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dnotetekst"/>
      </w:pPr>
      <w:r>
        <w:rPr>
          <w:rStyle w:val="Fodnotehenvisning"/>
        </w:rPr>
        <w:footnoteRef/>
      </w:r>
      <w:r>
        <w:t xml:space="preserve"> For more information on the SVHC Roadmap: </w:t>
      </w:r>
      <w:hyperlink r:id="rId1" w:history="1">
        <w:r w:rsidR="00A03E87" w:rsidRPr="0022686E">
          <w:rPr>
            <w:rStyle w:val="Hyperlink"/>
          </w:rPr>
          <w:t>http://echa.europa.eu/addressing-chemicals-of-concern/substances-of-potential-concern/svhc-roadmap-to-2020-implementation</w:t>
        </w:r>
      </w:hyperlink>
    </w:p>
  </w:footnote>
  <w:footnote w:id="2">
    <w:p w14:paraId="5FF53452" w14:textId="4033FB6D" w:rsidR="00CA2603" w:rsidRPr="009679E2" w:rsidRDefault="00CA2603">
      <w:pPr>
        <w:pStyle w:val="Fodnotetekst"/>
      </w:pPr>
      <w:r>
        <w:rPr>
          <w:rStyle w:val="Fodnotehenvisning"/>
        </w:rPr>
        <w:footnoteRef/>
      </w:r>
      <w:r>
        <w:t xml:space="preserve"> </w:t>
      </w:r>
      <w:hyperlink r:id="rId2" w:history="1">
        <w:r w:rsidRPr="00B43D70">
          <w:rPr>
            <w:rStyle w:val="Hyperlink"/>
          </w:rPr>
          <w:t>https://backend.orbit.dtu.dk/ws/files/162337566/DK_ED_list_final_2018.pdf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ehove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8"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0"/>
  </w:num>
  <w:num w:numId="3">
    <w:abstractNumId w:val="4"/>
  </w:num>
  <w:num w:numId="4">
    <w:abstractNumId w:val="0"/>
  </w:num>
  <w:num w:numId="5">
    <w:abstractNumId w:val="3"/>
  </w:num>
  <w:num w:numId="6">
    <w:abstractNumId w:val="12"/>
  </w:num>
  <w:num w:numId="7">
    <w:abstractNumId w:val="1"/>
  </w:num>
  <w:num w:numId="8">
    <w:abstractNumId w:val="2"/>
  </w:num>
  <w:num w:numId="9">
    <w:abstractNumId w:val="6"/>
  </w:num>
  <w:num w:numId="10">
    <w:abstractNumId w:val="7"/>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57"/>
    <w:rsid w:val="00002586"/>
    <w:rsid w:val="000042FA"/>
    <w:rsid w:val="0000560B"/>
    <w:rsid w:val="000122ED"/>
    <w:rsid w:val="0001476D"/>
    <w:rsid w:val="000204C4"/>
    <w:rsid w:val="00024D48"/>
    <w:rsid w:val="00037F48"/>
    <w:rsid w:val="00047BEE"/>
    <w:rsid w:val="00054356"/>
    <w:rsid w:val="000633BF"/>
    <w:rsid w:val="000711F7"/>
    <w:rsid w:val="00077E65"/>
    <w:rsid w:val="0009452D"/>
    <w:rsid w:val="000A3AEB"/>
    <w:rsid w:val="000C3C4F"/>
    <w:rsid w:val="000D5B93"/>
    <w:rsid w:val="000E2FC2"/>
    <w:rsid w:val="000E4E5B"/>
    <w:rsid w:val="000E7032"/>
    <w:rsid w:val="001024B2"/>
    <w:rsid w:val="00112815"/>
    <w:rsid w:val="0011467E"/>
    <w:rsid w:val="001259BB"/>
    <w:rsid w:val="0012634F"/>
    <w:rsid w:val="00126494"/>
    <w:rsid w:val="001448AF"/>
    <w:rsid w:val="00144FCA"/>
    <w:rsid w:val="00166209"/>
    <w:rsid w:val="00171CA6"/>
    <w:rsid w:val="00183C4B"/>
    <w:rsid w:val="001915C8"/>
    <w:rsid w:val="001C1F13"/>
    <w:rsid w:val="001E6C1A"/>
    <w:rsid w:val="001F6EBD"/>
    <w:rsid w:val="00201A44"/>
    <w:rsid w:val="00202966"/>
    <w:rsid w:val="00205775"/>
    <w:rsid w:val="002163CF"/>
    <w:rsid w:val="00220442"/>
    <w:rsid w:val="00227B7E"/>
    <w:rsid w:val="0024466C"/>
    <w:rsid w:val="002460BF"/>
    <w:rsid w:val="00256417"/>
    <w:rsid w:val="00262180"/>
    <w:rsid w:val="002650FC"/>
    <w:rsid w:val="00270FFE"/>
    <w:rsid w:val="0027431B"/>
    <w:rsid w:val="00276D46"/>
    <w:rsid w:val="002920AC"/>
    <w:rsid w:val="00294316"/>
    <w:rsid w:val="002B486E"/>
    <w:rsid w:val="002C515C"/>
    <w:rsid w:val="002C6ADA"/>
    <w:rsid w:val="002D0A2E"/>
    <w:rsid w:val="002D7699"/>
    <w:rsid w:val="002E3562"/>
    <w:rsid w:val="002E4026"/>
    <w:rsid w:val="002E4672"/>
    <w:rsid w:val="002E4900"/>
    <w:rsid w:val="002E61DC"/>
    <w:rsid w:val="002E74FD"/>
    <w:rsid w:val="002F261C"/>
    <w:rsid w:val="002F7EA5"/>
    <w:rsid w:val="003065EE"/>
    <w:rsid w:val="0032297A"/>
    <w:rsid w:val="00326F57"/>
    <w:rsid w:val="00332FF4"/>
    <w:rsid w:val="00345821"/>
    <w:rsid w:val="00363833"/>
    <w:rsid w:val="0036659A"/>
    <w:rsid w:val="003746D1"/>
    <w:rsid w:val="003A417D"/>
    <w:rsid w:val="003B32BD"/>
    <w:rsid w:val="003C1375"/>
    <w:rsid w:val="003C2E00"/>
    <w:rsid w:val="003C3793"/>
    <w:rsid w:val="003D4597"/>
    <w:rsid w:val="003E1455"/>
    <w:rsid w:val="003E7258"/>
    <w:rsid w:val="003F32A9"/>
    <w:rsid w:val="00412208"/>
    <w:rsid w:val="00415B10"/>
    <w:rsid w:val="0042483F"/>
    <w:rsid w:val="004364C9"/>
    <w:rsid w:val="00436C19"/>
    <w:rsid w:val="00441EE7"/>
    <w:rsid w:val="0044304E"/>
    <w:rsid w:val="00444011"/>
    <w:rsid w:val="00452825"/>
    <w:rsid w:val="0046149F"/>
    <w:rsid w:val="00463240"/>
    <w:rsid w:val="0046464F"/>
    <w:rsid w:val="00467561"/>
    <w:rsid w:val="00467619"/>
    <w:rsid w:val="00471457"/>
    <w:rsid w:val="00483960"/>
    <w:rsid w:val="00490007"/>
    <w:rsid w:val="00492518"/>
    <w:rsid w:val="00496958"/>
    <w:rsid w:val="004A5B50"/>
    <w:rsid w:val="004B014C"/>
    <w:rsid w:val="004B10B4"/>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192A"/>
    <w:rsid w:val="005A2AD2"/>
    <w:rsid w:val="005C3710"/>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D39F4"/>
    <w:rsid w:val="006E2B7B"/>
    <w:rsid w:val="006E6B1A"/>
    <w:rsid w:val="006F0537"/>
    <w:rsid w:val="006F6AE3"/>
    <w:rsid w:val="00705350"/>
    <w:rsid w:val="00713266"/>
    <w:rsid w:val="00741D90"/>
    <w:rsid w:val="00750ACA"/>
    <w:rsid w:val="00751518"/>
    <w:rsid w:val="00753065"/>
    <w:rsid w:val="00755D9F"/>
    <w:rsid w:val="00774DE9"/>
    <w:rsid w:val="00781EA6"/>
    <w:rsid w:val="00784A7F"/>
    <w:rsid w:val="0078730A"/>
    <w:rsid w:val="00791E13"/>
    <w:rsid w:val="007957E4"/>
    <w:rsid w:val="007A2C1C"/>
    <w:rsid w:val="007A39FF"/>
    <w:rsid w:val="007A3BA7"/>
    <w:rsid w:val="007B0208"/>
    <w:rsid w:val="007C0663"/>
    <w:rsid w:val="007C0E6B"/>
    <w:rsid w:val="007C392B"/>
    <w:rsid w:val="007D3667"/>
    <w:rsid w:val="007D3F6A"/>
    <w:rsid w:val="007D7F73"/>
    <w:rsid w:val="007E6C05"/>
    <w:rsid w:val="007F0D03"/>
    <w:rsid w:val="008008D1"/>
    <w:rsid w:val="00801152"/>
    <w:rsid w:val="0080484C"/>
    <w:rsid w:val="00817B80"/>
    <w:rsid w:val="00821610"/>
    <w:rsid w:val="00831C13"/>
    <w:rsid w:val="00835373"/>
    <w:rsid w:val="00835C68"/>
    <w:rsid w:val="00840BD5"/>
    <w:rsid w:val="00853E7D"/>
    <w:rsid w:val="00860FBA"/>
    <w:rsid w:val="00883931"/>
    <w:rsid w:val="008A1880"/>
    <w:rsid w:val="008C0CC7"/>
    <w:rsid w:val="008C68AC"/>
    <w:rsid w:val="00920032"/>
    <w:rsid w:val="00922BBA"/>
    <w:rsid w:val="00930C01"/>
    <w:rsid w:val="00933335"/>
    <w:rsid w:val="00933AC5"/>
    <w:rsid w:val="009369B2"/>
    <w:rsid w:val="009513FD"/>
    <w:rsid w:val="00955691"/>
    <w:rsid w:val="00955D7A"/>
    <w:rsid w:val="00962549"/>
    <w:rsid w:val="009662F9"/>
    <w:rsid w:val="009679E2"/>
    <w:rsid w:val="00980AC4"/>
    <w:rsid w:val="00983286"/>
    <w:rsid w:val="00983FBD"/>
    <w:rsid w:val="00985B7B"/>
    <w:rsid w:val="00986A52"/>
    <w:rsid w:val="009A4F2F"/>
    <w:rsid w:val="009B0296"/>
    <w:rsid w:val="009B0784"/>
    <w:rsid w:val="009B4D5D"/>
    <w:rsid w:val="009C2172"/>
    <w:rsid w:val="009C590C"/>
    <w:rsid w:val="009C5A06"/>
    <w:rsid w:val="009D3C1E"/>
    <w:rsid w:val="009E696B"/>
    <w:rsid w:val="009F191D"/>
    <w:rsid w:val="00A03E87"/>
    <w:rsid w:val="00A13C39"/>
    <w:rsid w:val="00A14C19"/>
    <w:rsid w:val="00A14EC1"/>
    <w:rsid w:val="00A2487E"/>
    <w:rsid w:val="00A263C9"/>
    <w:rsid w:val="00A41F93"/>
    <w:rsid w:val="00A429E9"/>
    <w:rsid w:val="00A4316B"/>
    <w:rsid w:val="00A436BB"/>
    <w:rsid w:val="00A446BC"/>
    <w:rsid w:val="00A45B6C"/>
    <w:rsid w:val="00A54C28"/>
    <w:rsid w:val="00A75ACF"/>
    <w:rsid w:val="00A80DBE"/>
    <w:rsid w:val="00AB0322"/>
    <w:rsid w:val="00AB1228"/>
    <w:rsid w:val="00AC5ED0"/>
    <w:rsid w:val="00AC7509"/>
    <w:rsid w:val="00AC79ED"/>
    <w:rsid w:val="00AD40AE"/>
    <w:rsid w:val="00AE2396"/>
    <w:rsid w:val="00AF5158"/>
    <w:rsid w:val="00AF63F4"/>
    <w:rsid w:val="00AF6E00"/>
    <w:rsid w:val="00AF77F1"/>
    <w:rsid w:val="00B03339"/>
    <w:rsid w:val="00B03B54"/>
    <w:rsid w:val="00B13E98"/>
    <w:rsid w:val="00B2524D"/>
    <w:rsid w:val="00B32C2E"/>
    <w:rsid w:val="00B37A42"/>
    <w:rsid w:val="00B66083"/>
    <w:rsid w:val="00B92E74"/>
    <w:rsid w:val="00BB0CE8"/>
    <w:rsid w:val="00BB3275"/>
    <w:rsid w:val="00BC35A3"/>
    <w:rsid w:val="00BC5A7C"/>
    <w:rsid w:val="00BE1CEB"/>
    <w:rsid w:val="00BE5AF4"/>
    <w:rsid w:val="00BE5D92"/>
    <w:rsid w:val="00BF5819"/>
    <w:rsid w:val="00BF63C3"/>
    <w:rsid w:val="00C0335E"/>
    <w:rsid w:val="00C0431D"/>
    <w:rsid w:val="00C0654A"/>
    <w:rsid w:val="00C25844"/>
    <w:rsid w:val="00C32CBD"/>
    <w:rsid w:val="00C411EC"/>
    <w:rsid w:val="00C42DBF"/>
    <w:rsid w:val="00C52D40"/>
    <w:rsid w:val="00C54EBC"/>
    <w:rsid w:val="00C55123"/>
    <w:rsid w:val="00C56E4A"/>
    <w:rsid w:val="00C629E5"/>
    <w:rsid w:val="00C67CF8"/>
    <w:rsid w:val="00C70B2B"/>
    <w:rsid w:val="00C74112"/>
    <w:rsid w:val="00C86CD4"/>
    <w:rsid w:val="00CA2603"/>
    <w:rsid w:val="00CB1FBE"/>
    <w:rsid w:val="00CB730C"/>
    <w:rsid w:val="00CC7A9E"/>
    <w:rsid w:val="00CE07AB"/>
    <w:rsid w:val="00CE2CAA"/>
    <w:rsid w:val="00CE5346"/>
    <w:rsid w:val="00D00E35"/>
    <w:rsid w:val="00D03326"/>
    <w:rsid w:val="00D11FC2"/>
    <w:rsid w:val="00D24313"/>
    <w:rsid w:val="00D37806"/>
    <w:rsid w:val="00D462BD"/>
    <w:rsid w:val="00D5375D"/>
    <w:rsid w:val="00D53A3D"/>
    <w:rsid w:val="00D61F8B"/>
    <w:rsid w:val="00D70C76"/>
    <w:rsid w:val="00DA5A25"/>
    <w:rsid w:val="00DA6B85"/>
    <w:rsid w:val="00DB0024"/>
    <w:rsid w:val="00DC1F12"/>
    <w:rsid w:val="00DD1882"/>
    <w:rsid w:val="00E14856"/>
    <w:rsid w:val="00E36635"/>
    <w:rsid w:val="00E42EFC"/>
    <w:rsid w:val="00E464B0"/>
    <w:rsid w:val="00E55E07"/>
    <w:rsid w:val="00E604D1"/>
    <w:rsid w:val="00E702C1"/>
    <w:rsid w:val="00E83A06"/>
    <w:rsid w:val="00E85A6B"/>
    <w:rsid w:val="00E86372"/>
    <w:rsid w:val="00EA326C"/>
    <w:rsid w:val="00EA6BD2"/>
    <w:rsid w:val="00EA7CF9"/>
    <w:rsid w:val="00EB3299"/>
    <w:rsid w:val="00ED048E"/>
    <w:rsid w:val="00ED10AD"/>
    <w:rsid w:val="00ED55A6"/>
    <w:rsid w:val="00ED5761"/>
    <w:rsid w:val="00EE475E"/>
    <w:rsid w:val="00F145F2"/>
    <w:rsid w:val="00F154FB"/>
    <w:rsid w:val="00F4442B"/>
    <w:rsid w:val="00F503E3"/>
    <w:rsid w:val="00F545EA"/>
    <w:rsid w:val="00F57736"/>
    <w:rsid w:val="00F611AC"/>
    <w:rsid w:val="00F67BB5"/>
    <w:rsid w:val="00F826BC"/>
    <w:rsid w:val="00F9089A"/>
    <w:rsid w:val="00F92D91"/>
    <w:rsid w:val="00FA4598"/>
    <w:rsid w:val="00FB30A3"/>
    <w:rsid w:val="00FB4C3F"/>
    <w:rsid w:val="00FB64B9"/>
    <w:rsid w:val="00FC3640"/>
    <w:rsid w:val="00FD262C"/>
    <w:rsid w:val="00FD7CF1"/>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53996"/>
  <w15:docId w15:val="{C1D29E89-274A-4DF7-8E45-25442DDA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Overskrift1">
    <w:name w:val="heading 1"/>
    <w:aliases w:val="ECHA Heading 1"/>
    <w:basedOn w:val="Normal"/>
    <w:next w:val="Brdtekst"/>
    <w:link w:val="Overskrift1Tegn"/>
    <w:uiPriority w:val="9"/>
    <w:qFormat/>
    <w:rsid w:val="00EA7CF9"/>
    <w:pPr>
      <w:keepNext/>
      <w:keepLines/>
      <w:spacing w:after="240"/>
      <w:outlineLvl w:val="0"/>
    </w:pPr>
    <w:rPr>
      <w:b/>
      <w:snapToGrid/>
      <w:color w:val="0046AD"/>
      <w:sz w:val="28"/>
      <w:szCs w:val="24"/>
    </w:rPr>
  </w:style>
  <w:style w:type="paragraph" w:styleId="Overskrift2">
    <w:name w:val="heading 2"/>
    <w:aliases w:val="ECHA Heading 2"/>
    <w:basedOn w:val="Overskrift1"/>
    <w:next w:val="Brdtekst"/>
    <w:link w:val="Overskrift2Tegn"/>
    <w:qFormat/>
    <w:rsid w:val="00EA7CF9"/>
    <w:pPr>
      <w:outlineLvl w:val="1"/>
    </w:pPr>
    <w:rPr>
      <w:rFonts w:cs="Arial"/>
      <w:sz w:val="24"/>
      <w:szCs w:val="22"/>
    </w:rPr>
  </w:style>
  <w:style w:type="paragraph" w:styleId="Overskrift3">
    <w:name w:val="heading 3"/>
    <w:aliases w:val="ECHA Heading 3"/>
    <w:basedOn w:val="Overskrift2"/>
    <w:next w:val="Brdtekst"/>
    <w:link w:val="Overskrift3Tegn"/>
    <w:uiPriority w:val="9"/>
    <w:qFormat/>
    <w:rsid w:val="00EA7CF9"/>
    <w:pPr>
      <w:outlineLvl w:val="2"/>
    </w:pPr>
    <w:rPr>
      <w:bCs/>
      <w:color w:val="000000"/>
      <w:sz w:val="22"/>
    </w:rPr>
  </w:style>
  <w:style w:type="paragraph" w:styleId="Overskrift4">
    <w:name w:val="heading 4"/>
    <w:aliases w:val="ECHA Heading 4"/>
    <w:basedOn w:val="Overskrift3"/>
    <w:next w:val="Brdtekst"/>
    <w:link w:val="Overskrift4Tegn"/>
    <w:qFormat/>
    <w:rsid w:val="00EA7CF9"/>
    <w:pPr>
      <w:outlineLvl w:val="3"/>
    </w:pPr>
    <w:rPr>
      <w:b w:val="0"/>
      <w:bCs w:val="0"/>
      <w:szCs w:val="28"/>
    </w:rPr>
  </w:style>
  <w:style w:type="paragraph" w:styleId="Overskrift5">
    <w:name w:val="heading 5"/>
    <w:aliases w:val="ECHA Heading 5"/>
    <w:basedOn w:val="Overskrift3"/>
    <w:next w:val="Brdtekst"/>
    <w:link w:val="Overskrift5Tegn"/>
    <w:qFormat/>
    <w:rsid w:val="00EA7CF9"/>
    <w:pPr>
      <w:outlineLvl w:val="4"/>
    </w:pPr>
    <w:rPr>
      <w:bCs w:val="0"/>
      <w:iCs/>
      <w:sz w:val="20"/>
      <w:szCs w:val="26"/>
    </w:rPr>
  </w:style>
  <w:style w:type="paragraph" w:styleId="Overskrift6">
    <w:name w:val="heading 6"/>
    <w:aliases w:val="ECHA Heading 6"/>
    <w:basedOn w:val="Overskrift5"/>
    <w:next w:val="Brdtekst"/>
    <w:link w:val="Overskrift6Tegn"/>
    <w:qFormat/>
    <w:rsid w:val="00EA7CF9"/>
    <w:pPr>
      <w:outlineLvl w:val="5"/>
    </w:pPr>
    <w:rPr>
      <w:bCs/>
      <w:szCs w:val="22"/>
    </w:rPr>
  </w:style>
  <w:style w:type="paragraph" w:styleId="Overskrift7">
    <w:name w:val="heading 7"/>
    <w:aliases w:val="ECHA Heading 7"/>
    <w:basedOn w:val="Overskrift5"/>
    <w:next w:val="Brdtekst"/>
    <w:link w:val="Overskrift7Tegn"/>
    <w:qFormat/>
    <w:rsid w:val="00EA7CF9"/>
    <w:pPr>
      <w:outlineLvl w:val="6"/>
    </w:pPr>
    <w:rPr>
      <w:szCs w:val="24"/>
    </w:rPr>
  </w:style>
  <w:style w:type="paragraph" w:styleId="Overskrift8">
    <w:name w:val="heading 8"/>
    <w:aliases w:val="ECHA Heading 8"/>
    <w:basedOn w:val="Overskrift5"/>
    <w:next w:val="Brdtekst"/>
    <w:link w:val="Overskrift8Tegn"/>
    <w:qFormat/>
    <w:rsid w:val="00EA7CF9"/>
    <w:pPr>
      <w:outlineLvl w:val="7"/>
    </w:pPr>
    <w:rPr>
      <w:iCs w:val="0"/>
      <w:szCs w:val="24"/>
    </w:rPr>
  </w:style>
  <w:style w:type="paragraph" w:styleId="Overskrift9">
    <w:name w:val="heading 9"/>
    <w:aliases w:val="ECHA Heading 9"/>
    <w:basedOn w:val="Overskrift5"/>
    <w:next w:val="Brdtekst"/>
    <w:link w:val="Overskrift9Tegn"/>
    <w:qFormat/>
    <w:rsid w:val="00EA7CF9"/>
    <w:pPr>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CHA Heading 1 Tegn"/>
    <w:basedOn w:val="Standardskrifttypeiafsnit"/>
    <w:link w:val="Overskrift1"/>
    <w:rsid w:val="00EA7CF9"/>
    <w:rPr>
      <w:rFonts w:ascii="Verdana" w:eastAsia="Times New Roman" w:hAnsi="Verdana" w:cs="Times New Roman"/>
      <w:b/>
      <w:snapToGrid w:val="0"/>
      <w:color w:val="0046AD"/>
      <w:sz w:val="28"/>
      <w:szCs w:val="24"/>
      <w:lang w:eastAsia="fi-FI"/>
    </w:rPr>
  </w:style>
  <w:style w:type="character" w:customStyle="1" w:styleId="Overskrift2Tegn">
    <w:name w:val="Overskrift 2 Tegn"/>
    <w:aliases w:val="ECHA Heading 2 Tegn"/>
    <w:basedOn w:val="Standardskrifttypeiafsnit"/>
    <w:link w:val="Overskrift2"/>
    <w:rsid w:val="00EA7CF9"/>
    <w:rPr>
      <w:rFonts w:ascii="Verdana" w:eastAsia="Times New Roman" w:hAnsi="Verdana" w:cs="Arial"/>
      <w:b/>
      <w:snapToGrid w:val="0"/>
      <w:color w:val="0046AD"/>
      <w:sz w:val="24"/>
      <w:lang w:eastAsia="fi-FI"/>
    </w:rPr>
  </w:style>
  <w:style w:type="character" w:customStyle="1" w:styleId="Overskrift3Tegn">
    <w:name w:val="Overskrift 3 Tegn"/>
    <w:aliases w:val="ECHA Heading 3 Tegn"/>
    <w:basedOn w:val="Standardskrifttypeiafsnit"/>
    <w:link w:val="Overskrift3"/>
    <w:rsid w:val="00EA7CF9"/>
    <w:rPr>
      <w:rFonts w:ascii="Verdana" w:eastAsia="Times New Roman" w:hAnsi="Verdana" w:cs="Arial"/>
      <w:b/>
      <w:bCs/>
      <w:snapToGrid w:val="0"/>
      <w:color w:val="000000"/>
      <w:lang w:eastAsia="fi-FI"/>
    </w:rPr>
  </w:style>
  <w:style w:type="character" w:customStyle="1" w:styleId="Overskrift4Tegn">
    <w:name w:val="Overskrift 4 Tegn"/>
    <w:aliases w:val="ECHA Heading 4 Tegn"/>
    <w:basedOn w:val="Standardskrifttypeiafsnit"/>
    <w:link w:val="Overskrift4"/>
    <w:rsid w:val="00EA7CF9"/>
    <w:rPr>
      <w:rFonts w:ascii="Verdana" w:eastAsia="Times New Roman" w:hAnsi="Verdana" w:cs="Arial"/>
      <w:snapToGrid w:val="0"/>
      <w:color w:val="000000"/>
      <w:szCs w:val="28"/>
      <w:lang w:eastAsia="fi-FI"/>
    </w:rPr>
  </w:style>
  <w:style w:type="character" w:customStyle="1" w:styleId="Overskrift5Tegn">
    <w:name w:val="Overskrift 5 Tegn"/>
    <w:aliases w:val="ECHA Heading 5 Tegn"/>
    <w:basedOn w:val="Standardskrifttypeiafsnit"/>
    <w:link w:val="Overskrift5"/>
    <w:rsid w:val="00EA7CF9"/>
    <w:rPr>
      <w:rFonts w:ascii="Verdana" w:eastAsia="Times New Roman" w:hAnsi="Verdana" w:cs="Arial"/>
      <w:b/>
      <w:iCs/>
      <w:snapToGrid w:val="0"/>
      <w:color w:val="000000"/>
      <w:sz w:val="20"/>
      <w:szCs w:val="26"/>
      <w:lang w:eastAsia="fi-FI"/>
    </w:rPr>
  </w:style>
  <w:style w:type="character" w:customStyle="1" w:styleId="Overskrift6Tegn">
    <w:name w:val="Overskrift 6 Tegn"/>
    <w:aliases w:val="ECHA Heading 6 Tegn"/>
    <w:basedOn w:val="Standardskrifttypeiafsnit"/>
    <w:link w:val="Overskrift6"/>
    <w:rsid w:val="00EA7CF9"/>
    <w:rPr>
      <w:rFonts w:ascii="Verdana" w:eastAsia="Times New Roman" w:hAnsi="Verdana" w:cs="Arial"/>
      <w:b/>
      <w:bCs/>
      <w:iCs/>
      <w:snapToGrid w:val="0"/>
      <w:color w:val="000000"/>
      <w:sz w:val="20"/>
      <w:lang w:eastAsia="fi-FI"/>
    </w:rPr>
  </w:style>
  <w:style w:type="character" w:customStyle="1" w:styleId="Overskrift7Tegn">
    <w:name w:val="Overskrift 7 Tegn"/>
    <w:aliases w:val="ECHA Heading 7 Tegn"/>
    <w:basedOn w:val="Standardskrifttypeiafsnit"/>
    <w:link w:val="Overskrift7"/>
    <w:rsid w:val="00EA7CF9"/>
    <w:rPr>
      <w:rFonts w:ascii="Verdana" w:eastAsia="Times New Roman" w:hAnsi="Verdana" w:cs="Arial"/>
      <w:b/>
      <w:iCs/>
      <w:snapToGrid w:val="0"/>
      <w:color w:val="000000"/>
      <w:sz w:val="20"/>
      <w:szCs w:val="24"/>
      <w:lang w:eastAsia="fi-FI"/>
    </w:rPr>
  </w:style>
  <w:style w:type="character" w:customStyle="1" w:styleId="Overskrift8Tegn">
    <w:name w:val="Overskrift 8 Tegn"/>
    <w:aliases w:val="ECHA Heading 8 Tegn"/>
    <w:basedOn w:val="Standardskrifttypeiafsnit"/>
    <w:link w:val="Overskrift8"/>
    <w:rsid w:val="00EA7CF9"/>
    <w:rPr>
      <w:rFonts w:ascii="Verdana" w:eastAsia="Times New Roman" w:hAnsi="Verdana" w:cs="Arial"/>
      <w:b/>
      <w:snapToGrid w:val="0"/>
      <w:color w:val="000000"/>
      <w:sz w:val="20"/>
      <w:szCs w:val="24"/>
      <w:lang w:eastAsia="fi-FI"/>
    </w:rPr>
  </w:style>
  <w:style w:type="character" w:customStyle="1" w:styleId="Overskrift9Tegn">
    <w:name w:val="Overskrift 9 Tegn"/>
    <w:aliases w:val="ECHA Heading 9 Tegn"/>
    <w:basedOn w:val="Standardskrifttypeiafsnit"/>
    <w:link w:val="Overskrift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oversigt"/>
    <w:rsid w:val="00EA7CF9"/>
    <w:pPr>
      <w:numPr>
        <w:numId w:val="1"/>
      </w:numPr>
    </w:pPr>
  </w:style>
  <w:style w:type="numbering" w:customStyle="1" w:styleId="ECHANumberlist">
    <w:name w:val="ECHA Number list"/>
    <w:basedOn w:val="Ingenoversigt"/>
    <w:rsid w:val="00EA7CF9"/>
    <w:pPr>
      <w:numPr>
        <w:numId w:val="2"/>
      </w:numPr>
    </w:pPr>
  </w:style>
  <w:style w:type="paragraph" w:styleId="Brdtekst">
    <w:name w:val="Body Text"/>
    <w:aliases w:val="Text"/>
    <w:basedOn w:val="Normal"/>
    <w:link w:val="BrdtekstTegn"/>
    <w:unhideWhenUsed/>
    <w:rsid w:val="00EA7CF9"/>
    <w:pPr>
      <w:spacing w:after="120"/>
    </w:pPr>
  </w:style>
  <w:style w:type="character" w:customStyle="1" w:styleId="BrdtekstTegn">
    <w:name w:val="Brødtekst Tegn"/>
    <w:aliases w:val="Text Tegn"/>
    <w:basedOn w:val="Standardskrifttypeiafsnit"/>
    <w:link w:val="Brdtekst"/>
    <w:rsid w:val="00EA7CF9"/>
  </w:style>
  <w:style w:type="paragraph" w:styleId="Titel">
    <w:name w:val="Title"/>
    <w:aliases w:val="ECHA Heading"/>
    <w:basedOn w:val="Overskrift1"/>
    <w:next w:val="Brdtekst"/>
    <w:link w:val="TitelTegn"/>
    <w:qFormat/>
    <w:rsid w:val="00EA7CF9"/>
    <w:rPr>
      <w:rFonts w:cs="Arial"/>
      <w:bCs/>
      <w:szCs w:val="32"/>
    </w:rPr>
  </w:style>
  <w:style w:type="character" w:customStyle="1" w:styleId="TitelTegn">
    <w:name w:val="Titel Tegn"/>
    <w:aliases w:val="ECHA Heading Tegn"/>
    <w:basedOn w:val="Standardskrifttypeiafsnit"/>
    <w:link w:val="Titel"/>
    <w:rsid w:val="00EA7CF9"/>
    <w:rPr>
      <w:rFonts w:ascii="Verdana" w:eastAsia="Times New Roman" w:hAnsi="Verdana" w:cs="Arial"/>
      <w:b/>
      <w:bCs/>
      <w:snapToGrid w:val="0"/>
      <w:color w:val="0046AD"/>
      <w:sz w:val="28"/>
      <w:szCs w:val="32"/>
      <w:lang w:eastAsia="fi-FI"/>
    </w:rPr>
  </w:style>
  <w:style w:type="paragraph" w:styleId="Fodnotetekst">
    <w:name w:val="footnote text"/>
    <w:basedOn w:val="Normal"/>
    <w:link w:val="FodnotetekstTegn"/>
    <w:uiPriority w:val="99"/>
    <w:semiHidden/>
    <w:qFormat/>
    <w:rsid w:val="00471457"/>
  </w:style>
  <w:style w:type="character" w:customStyle="1" w:styleId="FodnotetekstTegn">
    <w:name w:val="Fodnotetekst Tegn"/>
    <w:basedOn w:val="Standardskrifttypeiafsnit"/>
    <w:link w:val="Fodnotetekst"/>
    <w:uiPriority w:val="99"/>
    <w:semiHidden/>
    <w:rsid w:val="00471457"/>
    <w:rPr>
      <w:rFonts w:ascii="Verdana" w:eastAsia="Times New Roman" w:hAnsi="Verdana" w:cs="Times New Roman"/>
      <w:snapToGrid w:val="0"/>
      <w:sz w:val="20"/>
      <w:szCs w:val="20"/>
      <w:lang w:eastAsia="fi-FI"/>
    </w:rPr>
  </w:style>
  <w:style w:type="character" w:styleId="Fodnotehenvisning">
    <w:name w:val="footnote reference"/>
    <w:aliases w:val="Footnote"/>
    <w:uiPriority w:val="99"/>
    <w:semiHidden/>
    <w:qFormat/>
    <w:rsid w:val="00471457"/>
    <w:rPr>
      <w:vertAlign w:val="superscript"/>
    </w:rPr>
  </w:style>
  <w:style w:type="paragraph" w:styleId="Listeafsnit">
    <w:name w:val="List Paragraph"/>
    <w:basedOn w:val="Normal"/>
    <w:uiPriority w:val="34"/>
    <w:qFormat/>
    <w:rsid w:val="00471457"/>
    <w:pPr>
      <w:ind w:left="720"/>
    </w:pPr>
  </w:style>
  <w:style w:type="paragraph" w:styleId="Markeringsbobletekst">
    <w:name w:val="Balloon Text"/>
    <w:basedOn w:val="Normal"/>
    <w:link w:val="MarkeringsbobletekstTegn"/>
    <w:uiPriority w:val="99"/>
    <w:semiHidden/>
    <w:unhideWhenUsed/>
    <w:rsid w:val="005F45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45D1"/>
    <w:rPr>
      <w:rFonts w:ascii="Tahoma" w:eastAsia="Times New Roman" w:hAnsi="Tahoma" w:cs="Tahoma"/>
      <w:snapToGrid w:val="0"/>
      <w:sz w:val="16"/>
      <w:szCs w:val="16"/>
      <w:lang w:eastAsia="fi-FI"/>
    </w:rPr>
  </w:style>
  <w:style w:type="character" w:styleId="Kommentarhenvisning">
    <w:name w:val="annotation reference"/>
    <w:basedOn w:val="Standardskrifttypeiafsnit"/>
    <w:uiPriority w:val="99"/>
    <w:semiHidden/>
    <w:unhideWhenUsed/>
    <w:rsid w:val="002F261C"/>
    <w:rPr>
      <w:sz w:val="16"/>
      <w:szCs w:val="16"/>
    </w:rPr>
  </w:style>
  <w:style w:type="paragraph" w:styleId="Kommentartekst">
    <w:name w:val="annotation text"/>
    <w:basedOn w:val="Normal"/>
    <w:link w:val="KommentartekstTegn"/>
    <w:uiPriority w:val="99"/>
    <w:unhideWhenUsed/>
    <w:rsid w:val="002F261C"/>
  </w:style>
  <w:style w:type="character" w:customStyle="1" w:styleId="KommentartekstTegn">
    <w:name w:val="Kommentartekst Tegn"/>
    <w:basedOn w:val="Standardskrifttypeiafsnit"/>
    <w:link w:val="Kommentartekst"/>
    <w:uiPriority w:val="99"/>
    <w:rsid w:val="002F261C"/>
    <w:rPr>
      <w:rFonts w:ascii="Verdana" w:eastAsia="Times New Roman" w:hAnsi="Verdana" w:cs="Times New Roman"/>
      <w:snapToGrid w:val="0"/>
      <w:sz w:val="20"/>
      <w:szCs w:val="20"/>
      <w:lang w:eastAsia="fi-FI"/>
    </w:rPr>
  </w:style>
  <w:style w:type="paragraph" w:styleId="Kommentaremne">
    <w:name w:val="annotation subject"/>
    <w:basedOn w:val="Kommentartekst"/>
    <w:next w:val="Kommentartekst"/>
    <w:link w:val="KommentaremneTegn"/>
    <w:uiPriority w:val="99"/>
    <w:semiHidden/>
    <w:unhideWhenUsed/>
    <w:rsid w:val="002F261C"/>
    <w:rPr>
      <w:b/>
      <w:bCs/>
    </w:rPr>
  </w:style>
  <w:style w:type="character" w:customStyle="1" w:styleId="KommentaremneTegn">
    <w:name w:val="Kommentaremne Tegn"/>
    <w:basedOn w:val="KommentartekstTegn"/>
    <w:link w:val="Kommentaremne"/>
    <w:uiPriority w:val="99"/>
    <w:semiHidden/>
    <w:rsid w:val="002F261C"/>
    <w:rPr>
      <w:rFonts w:ascii="Verdana" w:eastAsia="Times New Roman" w:hAnsi="Verdana" w:cs="Times New Roman"/>
      <w:b/>
      <w:bCs/>
      <w:snapToGrid w:val="0"/>
      <w:sz w:val="20"/>
      <w:szCs w:val="20"/>
      <w:lang w:eastAsia="fi-FI"/>
    </w:rPr>
  </w:style>
  <w:style w:type="paragraph" w:styleId="Sidehoved">
    <w:name w:val="header"/>
    <w:basedOn w:val="Normal"/>
    <w:link w:val="SidehovedTegn"/>
    <w:uiPriority w:val="99"/>
    <w:unhideWhenUsed/>
    <w:rsid w:val="00A41F93"/>
    <w:pPr>
      <w:tabs>
        <w:tab w:val="center" w:pos="4513"/>
        <w:tab w:val="right" w:pos="9026"/>
      </w:tabs>
    </w:pPr>
  </w:style>
  <w:style w:type="character" w:customStyle="1" w:styleId="SidehovedTegn">
    <w:name w:val="Sidehoved Tegn"/>
    <w:basedOn w:val="Standardskrifttypeiafsnit"/>
    <w:link w:val="Sidehoved"/>
    <w:uiPriority w:val="99"/>
    <w:rsid w:val="00A41F93"/>
    <w:rPr>
      <w:rFonts w:ascii="Verdana" w:eastAsia="Times New Roman" w:hAnsi="Verdana" w:cs="Times New Roman"/>
      <w:snapToGrid w:val="0"/>
      <w:sz w:val="20"/>
      <w:szCs w:val="20"/>
      <w:lang w:eastAsia="fi-FI"/>
    </w:rPr>
  </w:style>
  <w:style w:type="paragraph" w:styleId="Sidefod">
    <w:name w:val="footer"/>
    <w:basedOn w:val="Normal"/>
    <w:link w:val="SidefodTegn"/>
    <w:uiPriority w:val="99"/>
    <w:unhideWhenUsed/>
    <w:rsid w:val="00A41F93"/>
    <w:pPr>
      <w:tabs>
        <w:tab w:val="center" w:pos="4513"/>
        <w:tab w:val="right" w:pos="9026"/>
      </w:tabs>
    </w:pPr>
  </w:style>
  <w:style w:type="character" w:customStyle="1" w:styleId="SidefodTegn">
    <w:name w:val="Sidefod Tegn"/>
    <w:basedOn w:val="Standardskrifttypeiafsnit"/>
    <w:link w:val="Sidefod"/>
    <w:uiPriority w:val="99"/>
    <w:rsid w:val="00A41F93"/>
    <w:rPr>
      <w:rFonts w:ascii="Verdana" w:eastAsia="Times New Roman" w:hAnsi="Verdana" w:cs="Times New Roman"/>
      <w:snapToGrid w:val="0"/>
      <w:sz w:val="20"/>
      <w:szCs w:val="20"/>
      <w:lang w:eastAsia="fi-FI"/>
    </w:rPr>
  </w:style>
  <w:style w:type="character" w:styleId="Hyperlink">
    <w:name w:val="Hyperlink"/>
    <w:basedOn w:val="Standardskrifttypeiafsnit"/>
    <w:uiPriority w:val="99"/>
    <w:rsid w:val="002E4026"/>
    <w:rPr>
      <w:rFonts w:ascii="Verdana" w:hAnsi="Verdana"/>
      <w:color w:val="0000FF"/>
      <w:sz w:val="20"/>
      <w:u w:val="single"/>
    </w:rPr>
  </w:style>
  <w:style w:type="character" w:styleId="BesgtLink">
    <w:name w:val="FollowedHyperlink"/>
    <w:basedOn w:val="Standardskrifttypeiafsnit"/>
    <w:uiPriority w:val="99"/>
    <w:semiHidden/>
    <w:unhideWhenUsed/>
    <w:rsid w:val="00A03E87"/>
    <w:rPr>
      <w:color w:val="800080" w:themeColor="followedHyperlink"/>
      <w:u w:val="single"/>
    </w:rPr>
  </w:style>
  <w:style w:type="paragraph" w:customStyle="1" w:styleId="Default">
    <w:name w:val="Default"/>
    <w:rsid w:val="00D2431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2" Type="http://schemas.openxmlformats.org/officeDocument/2006/relationships/hyperlink" Target="https://backend.orbit.dtu.dk/ws/files/162337566/DK_ED_list_final_2018.pdf" TargetMode="External"/><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2.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3.xml><?xml version="1.0" encoding="utf-8"?>
<ds:datastoreItem xmlns:ds="http://schemas.openxmlformats.org/officeDocument/2006/customXml" ds:itemID="{FB8C6060-E70E-4A37-913A-A00BF7D052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11b924-dee2-413a-bdc8-2cc023473c17"/>
    <ds:schemaRef ds:uri="b80ede5c-af4c-4bf2-9a87-706a3579dc11"/>
    <ds:schemaRef ds:uri="http://www.w3.org/XML/1998/namespace"/>
    <ds:schemaRef ds:uri="http://purl.org/dc/dcmitype/"/>
  </ds:schemaRefs>
</ds:datastoreItem>
</file>

<file path=customXml/itemProps4.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5.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80B88D-705C-4FC3-BDCE-4A932C19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1113</Words>
  <Characters>6159</Characters>
  <Application>Microsoft Office Word</Application>
  <DocSecurity>0</DocSecurity>
  <Lines>171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Asger Bolwig</cp:lastModifiedBy>
  <cp:revision>6</cp:revision>
  <cp:lastPrinted>2015-08-11T11:20:00Z</cp:lastPrinted>
  <dcterms:created xsi:type="dcterms:W3CDTF">2022-06-22T10:57:00Z</dcterms:created>
  <dcterms:modified xsi:type="dcterms:W3CDTF">2022-06-23T08:34:00Z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y fmtid="{D5CDD505-2E9C-101B-9397-08002B2CF9AE}" pid="8" name="ContentRemapped">
    <vt:lpwstr>true</vt:lpwstr>
  </property>
</Properties>
</file>