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C595F" w14:textId="77777777" w:rsidR="0082331B" w:rsidRDefault="0082331B" w:rsidP="00B12C39">
      <w:pPr>
        <w:pStyle w:val="Covertitle"/>
      </w:pPr>
    </w:p>
    <w:p w14:paraId="115C5960" w14:textId="77777777" w:rsidR="00B12C39" w:rsidRPr="00E43F1D" w:rsidRDefault="00B12C39" w:rsidP="00B12C39">
      <w:pPr>
        <w:pStyle w:val="Covertitle"/>
      </w:pPr>
      <w:r w:rsidRPr="00E43F1D">
        <w:t xml:space="preserve">Annex XV </w:t>
      </w:r>
      <w:r>
        <w:t>report</w:t>
      </w:r>
    </w:p>
    <w:p w14:paraId="115C5961" w14:textId="77777777" w:rsidR="00B12C39" w:rsidRPr="00E43F1D" w:rsidRDefault="00B12C39" w:rsidP="00B12C39">
      <w:pPr>
        <w:pStyle w:val="Covertitle"/>
      </w:pPr>
      <w:r w:rsidRPr="00E43F1D">
        <w:t xml:space="preserve">PROPOSAL FOR IDENTIFICATION OF A </w:t>
      </w:r>
      <w:r w:rsidR="002B58B6">
        <w:t>SUBSTANCE OF VERY HIGH CONCERN</w:t>
      </w:r>
      <w:r w:rsidR="003C419D">
        <w:t xml:space="preserve"> ON THE BASIS OF </w:t>
      </w:r>
      <w:r w:rsidR="003909BD">
        <w:t xml:space="preserve">THE </w:t>
      </w:r>
      <w:r w:rsidR="003C419D">
        <w:t>CRITERIA SET OUT IN REACH ARTICLE 57</w:t>
      </w:r>
    </w:p>
    <w:p w14:paraId="115C5962" w14:textId="77777777" w:rsidR="00B12C39" w:rsidRDefault="00B12C39" w:rsidP="00B12C39">
      <w:pPr>
        <w:widowControl/>
        <w:spacing w:after="180"/>
        <w:jc w:val="both"/>
        <w:rPr>
          <w:szCs w:val="24"/>
          <w:lang w:eastAsia="en-US"/>
        </w:rPr>
      </w:pPr>
    </w:p>
    <w:p w14:paraId="115C5963" w14:textId="77777777" w:rsidR="00B12C39" w:rsidRDefault="00B12C39" w:rsidP="00B12C39">
      <w:pPr>
        <w:widowControl/>
        <w:spacing w:after="180"/>
        <w:jc w:val="both"/>
        <w:rPr>
          <w:szCs w:val="24"/>
          <w:lang w:eastAsia="en-US"/>
        </w:rPr>
      </w:pPr>
    </w:p>
    <w:p w14:paraId="115C5964" w14:textId="77777777" w:rsidR="00B12C39" w:rsidRDefault="00B12C39" w:rsidP="00B12C39">
      <w:pPr>
        <w:widowControl/>
        <w:spacing w:after="180"/>
        <w:jc w:val="both"/>
        <w:rPr>
          <w:szCs w:val="24"/>
          <w:lang w:eastAsia="en-US"/>
        </w:rPr>
      </w:pPr>
    </w:p>
    <w:p w14:paraId="115C5965" w14:textId="77777777" w:rsidR="00B12C39" w:rsidRPr="00E43F1D" w:rsidRDefault="00B12C39" w:rsidP="00B12C39">
      <w:pPr>
        <w:widowControl/>
        <w:spacing w:after="180"/>
        <w:jc w:val="both"/>
        <w:rPr>
          <w:szCs w:val="24"/>
          <w:lang w:eastAsia="en-US"/>
        </w:rPr>
      </w:pPr>
    </w:p>
    <w:p w14:paraId="115C5966" w14:textId="1D6C420A" w:rsidR="00B12C39" w:rsidRPr="006F4B04" w:rsidRDefault="00783F87" w:rsidP="00B12C39">
      <w:pPr>
        <w:widowControl/>
        <w:spacing w:after="180"/>
        <w:jc w:val="both"/>
        <w:rPr>
          <w:rStyle w:val="Strong"/>
          <w:bCs/>
        </w:rPr>
      </w:pPr>
      <w:r>
        <w:rPr>
          <w:rStyle w:val="Strong"/>
          <w:bCs/>
        </w:rPr>
        <w:t>Substance Name</w:t>
      </w:r>
      <w:r w:rsidR="00B12C39" w:rsidRPr="006F4B04">
        <w:rPr>
          <w:rStyle w:val="Strong"/>
          <w:bCs/>
        </w:rPr>
        <w:t xml:space="preserve">: </w:t>
      </w:r>
      <w:r w:rsidR="003146DF" w:rsidRPr="00F97B18">
        <w:t>Benz</w:t>
      </w:r>
      <w:r w:rsidR="000374B9" w:rsidRPr="00F97B18">
        <w:t>[</w:t>
      </w:r>
      <w:r w:rsidR="003146DF" w:rsidRPr="00F97B18">
        <w:rPr>
          <w:i/>
        </w:rPr>
        <w:t>a</w:t>
      </w:r>
      <w:r w:rsidR="000374B9" w:rsidRPr="00F97B18">
        <w:t>]</w:t>
      </w:r>
      <w:r w:rsidR="003146DF" w:rsidRPr="00F97B18">
        <w:t>anthracene</w:t>
      </w:r>
    </w:p>
    <w:p w14:paraId="115C5967" w14:textId="3E77E3CB" w:rsidR="00B12C39" w:rsidRPr="006F4B04" w:rsidRDefault="00783F87" w:rsidP="00B12C39">
      <w:pPr>
        <w:widowControl/>
        <w:spacing w:after="180"/>
        <w:jc w:val="both"/>
        <w:rPr>
          <w:rStyle w:val="Strong"/>
          <w:bCs/>
        </w:rPr>
      </w:pPr>
      <w:r>
        <w:rPr>
          <w:rStyle w:val="Strong"/>
          <w:bCs/>
        </w:rPr>
        <w:t>EC Number</w:t>
      </w:r>
      <w:r w:rsidR="00B12C39" w:rsidRPr="006F4B04">
        <w:rPr>
          <w:rStyle w:val="Strong"/>
          <w:bCs/>
        </w:rPr>
        <w:t xml:space="preserve">: </w:t>
      </w:r>
      <w:r w:rsidR="003146DF" w:rsidRPr="00F97B18">
        <w:t>200-280-6</w:t>
      </w:r>
    </w:p>
    <w:p w14:paraId="115C5968" w14:textId="1EB25B34" w:rsidR="00B12C39" w:rsidRPr="006F4B04" w:rsidRDefault="00594E3E" w:rsidP="00B12C39">
      <w:pPr>
        <w:widowControl/>
        <w:spacing w:after="180"/>
        <w:jc w:val="both"/>
        <w:rPr>
          <w:rStyle w:val="Strong"/>
          <w:bCs/>
        </w:rPr>
      </w:pPr>
      <w:r>
        <w:rPr>
          <w:rStyle w:val="Strong"/>
          <w:bCs/>
        </w:rPr>
        <w:t>CAS Number</w:t>
      </w:r>
      <w:r w:rsidR="00B12C39" w:rsidRPr="006F4B04">
        <w:rPr>
          <w:rStyle w:val="Strong"/>
          <w:bCs/>
        </w:rPr>
        <w:t xml:space="preserve">: </w:t>
      </w:r>
      <w:r w:rsidR="003146DF" w:rsidRPr="00F97B18">
        <w:t>56-55-3</w:t>
      </w:r>
    </w:p>
    <w:p w14:paraId="115C5969" w14:textId="77777777" w:rsidR="00B12C39" w:rsidRPr="006F4B04" w:rsidRDefault="00B12C39" w:rsidP="00B12C39">
      <w:pPr>
        <w:widowControl/>
        <w:spacing w:after="180"/>
        <w:jc w:val="both"/>
        <w:rPr>
          <w:rStyle w:val="Strong"/>
          <w:bCs/>
        </w:rPr>
      </w:pPr>
    </w:p>
    <w:p w14:paraId="115C596A" w14:textId="422DE96E" w:rsidR="00B12C39" w:rsidRPr="006F4B04" w:rsidRDefault="00B12C39" w:rsidP="00B12C39">
      <w:pPr>
        <w:widowControl/>
        <w:spacing w:after="180"/>
        <w:jc w:val="both"/>
        <w:rPr>
          <w:rStyle w:val="Strong"/>
          <w:bCs/>
        </w:rPr>
      </w:pPr>
      <w:r w:rsidRPr="006F4B04">
        <w:rPr>
          <w:rStyle w:val="Strong"/>
          <w:bCs/>
        </w:rPr>
        <w:t xml:space="preserve">Submitted by: </w:t>
      </w:r>
      <w:r w:rsidR="003146DF" w:rsidRPr="00F97B18">
        <w:rPr>
          <w:rStyle w:val="Strong"/>
          <w:b w:val="0"/>
          <w:bCs/>
        </w:rPr>
        <w:t>Germany</w:t>
      </w:r>
    </w:p>
    <w:p w14:paraId="115C596B" w14:textId="500419DF" w:rsidR="00B12C39" w:rsidRPr="00E43F1D" w:rsidRDefault="00B12C39" w:rsidP="00B12C39">
      <w:pPr>
        <w:widowControl/>
        <w:spacing w:after="180"/>
        <w:jc w:val="both"/>
        <w:rPr>
          <w:szCs w:val="24"/>
          <w:lang w:eastAsia="en-US"/>
        </w:rPr>
      </w:pPr>
      <w:r w:rsidRPr="006F4B04">
        <w:rPr>
          <w:rStyle w:val="Strong"/>
          <w:bCs/>
        </w:rPr>
        <w:t>Date:</w:t>
      </w:r>
      <w:r w:rsidRPr="00BC0999">
        <w:rPr>
          <w:b/>
          <w:szCs w:val="24"/>
          <w:lang w:eastAsia="en-US"/>
        </w:rPr>
        <w:t xml:space="preserve"> </w:t>
      </w:r>
      <w:r w:rsidR="007F4B8D" w:rsidRPr="00F97B18">
        <w:rPr>
          <w:szCs w:val="24"/>
          <w:lang w:eastAsia="en-US"/>
        </w:rPr>
        <w:t>August 2</w:t>
      </w:r>
      <w:r w:rsidR="00783F87" w:rsidRPr="00F97B18">
        <w:rPr>
          <w:szCs w:val="24"/>
          <w:lang w:eastAsia="en-US"/>
        </w:rPr>
        <w:t>0</w:t>
      </w:r>
      <w:r w:rsidR="007F4B8D" w:rsidRPr="00F97B18">
        <w:rPr>
          <w:szCs w:val="24"/>
          <w:lang w:eastAsia="en-US"/>
        </w:rPr>
        <w:t>1</w:t>
      </w:r>
      <w:r w:rsidR="00783F87" w:rsidRPr="00F97B18">
        <w:rPr>
          <w:szCs w:val="24"/>
          <w:lang w:eastAsia="en-US"/>
        </w:rPr>
        <w:t>7</w:t>
      </w:r>
    </w:p>
    <w:p w14:paraId="115C5976" w14:textId="63099866" w:rsidR="008A3E90" w:rsidRDefault="00B12C39" w:rsidP="00D10FD9">
      <w:pPr>
        <w:widowControl/>
        <w:spacing w:after="180"/>
        <w:jc w:val="both"/>
        <w:rPr>
          <w:color w:val="000000"/>
        </w:rPr>
      </w:pPr>
      <w:r>
        <w:rPr>
          <w:szCs w:val="24"/>
          <w:lang w:eastAsia="en-US"/>
        </w:rPr>
        <w:br w:type="page"/>
      </w:r>
      <w:bookmarkStart w:id="0" w:name="_Toc316637271"/>
    </w:p>
    <w:p w14:paraId="115C5977" w14:textId="77777777" w:rsidR="008A3E90" w:rsidRPr="001A11A1" w:rsidRDefault="008A3E90" w:rsidP="008A3E90">
      <w:pPr>
        <w:rPr>
          <w:color w:val="000000"/>
        </w:rPr>
      </w:pPr>
    </w:p>
    <w:p w14:paraId="115C5978" w14:textId="77777777" w:rsidR="00B12C39" w:rsidRDefault="00B12C39" w:rsidP="00B12C39">
      <w:pPr>
        <w:pStyle w:val="Titleintro"/>
      </w:pPr>
      <w:r w:rsidRPr="00AC092B">
        <w:t>CONTENTS</w:t>
      </w:r>
      <w:bookmarkEnd w:id="0"/>
    </w:p>
    <w:sdt>
      <w:sdtPr>
        <w:rPr>
          <w:rFonts w:ascii="Verdana" w:hAnsi="Verdana" w:cs="Times New Roman"/>
          <w:b w:val="0"/>
          <w:bCs w:val="0"/>
          <w:caps w:val="0"/>
        </w:rPr>
        <w:id w:val="2094358525"/>
        <w:docPartObj>
          <w:docPartGallery w:val="Table of Contents"/>
          <w:docPartUnique/>
        </w:docPartObj>
      </w:sdtPr>
      <w:sdtEndPr>
        <w:rPr>
          <w:noProof/>
        </w:rPr>
      </w:sdtEndPr>
      <w:sdtContent>
        <w:p w14:paraId="7DF35B01" w14:textId="77777777" w:rsidR="005E3E93" w:rsidRDefault="000721AD">
          <w:pPr>
            <w:pStyle w:val="TOC1"/>
            <w:rPr>
              <w:rFonts w:asciiTheme="minorHAnsi" w:eastAsiaTheme="minorEastAsia" w:hAnsiTheme="minorHAnsi" w:cstheme="minorBidi"/>
              <w:b w:val="0"/>
              <w:bCs w:val="0"/>
              <w:caps w:val="0"/>
              <w:noProof/>
              <w:sz w:val="22"/>
              <w:szCs w:val="22"/>
              <w:lang w:eastAsia="en-GB"/>
            </w:rPr>
          </w:pPr>
          <w:r>
            <w:fldChar w:fldCharType="begin"/>
          </w:r>
          <w:r w:rsidR="004607CB">
            <w:instrText xml:space="preserve"> TOC \o "1-3" \h \z \u </w:instrText>
          </w:r>
          <w:r>
            <w:fldChar w:fldCharType="separate"/>
          </w:r>
          <w:hyperlink w:anchor="_Toc491810721" w:history="1">
            <w:r w:rsidR="005E3E93" w:rsidRPr="003679A3">
              <w:rPr>
                <w:rStyle w:val="Hyperlink"/>
                <w:noProof/>
              </w:rPr>
              <w:t>FOREWORD</w:t>
            </w:r>
            <w:r w:rsidR="005E3E93">
              <w:rPr>
                <w:noProof/>
                <w:webHidden/>
              </w:rPr>
              <w:tab/>
            </w:r>
            <w:r w:rsidR="005E3E93">
              <w:rPr>
                <w:noProof/>
                <w:webHidden/>
              </w:rPr>
              <w:fldChar w:fldCharType="begin"/>
            </w:r>
            <w:r w:rsidR="005E3E93">
              <w:rPr>
                <w:noProof/>
                <w:webHidden/>
              </w:rPr>
              <w:instrText xml:space="preserve"> PAGEREF _Toc491810721 \h </w:instrText>
            </w:r>
            <w:r w:rsidR="005E3E93">
              <w:rPr>
                <w:noProof/>
                <w:webHidden/>
              </w:rPr>
            </w:r>
            <w:r w:rsidR="005E3E93">
              <w:rPr>
                <w:noProof/>
                <w:webHidden/>
              </w:rPr>
              <w:fldChar w:fldCharType="separate"/>
            </w:r>
            <w:r w:rsidR="00B934DA">
              <w:rPr>
                <w:noProof/>
                <w:webHidden/>
              </w:rPr>
              <w:t>5</w:t>
            </w:r>
            <w:r w:rsidR="005E3E93">
              <w:rPr>
                <w:noProof/>
                <w:webHidden/>
              </w:rPr>
              <w:fldChar w:fldCharType="end"/>
            </w:r>
          </w:hyperlink>
        </w:p>
        <w:p w14:paraId="7BF72886"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22" w:history="1">
            <w:r w:rsidR="005E3E93" w:rsidRPr="003679A3">
              <w:rPr>
                <w:rStyle w:val="Hyperlink"/>
                <w:noProof/>
              </w:rPr>
              <w:t>PROPOSAL FOR IDENTIFICATION OF A SUBSTANCE OF VERY HIGH CONCERN ON THE BASIS OF THE CRITERIA SET OUT IN REACH ARTICLE 57</w:t>
            </w:r>
            <w:r w:rsidR="005E3E93">
              <w:rPr>
                <w:noProof/>
                <w:webHidden/>
              </w:rPr>
              <w:tab/>
            </w:r>
            <w:r w:rsidR="005E3E93">
              <w:rPr>
                <w:noProof/>
                <w:webHidden/>
              </w:rPr>
              <w:fldChar w:fldCharType="begin"/>
            </w:r>
            <w:r w:rsidR="005E3E93">
              <w:rPr>
                <w:noProof/>
                <w:webHidden/>
              </w:rPr>
              <w:instrText xml:space="preserve"> PAGEREF _Toc491810722 \h </w:instrText>
            </w:r>
            <w:r w:rsidR="005E3E93">
              <w:rPr>
                <w:noProof/>
                <w:webHidden/>
              </w:rPr>
            </w:r>
            <w:r w:rsidR="005E3E93">
              <w:rPr>
                <w:noProof/>
                <w:webHidden/>
              </w:rPr>
              <w:fldChar w:fldCharType="separate"/>
            </w:r>
            <w:r>
              <w:rPr>
                <w:noProof/>
                <w:webHidden/>
              </w:rPr>
              <w:t>6</w:t>
            </w:r>
            <w:r w:rsidR="005E3E93">
              <w:rPr>
                <w:noProof/>
                <w:webHidden/>
              </w:rPr>
              <w:fldChar w:fldCharType="end"/>
            </w:r>
          </w:hyperlink>
        </w:p>
        <w:p w14:paraId="53DAA3ED"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23" w:history="1">
            <w:r w:rsidR="005E3E93" w:rsidRPr="003679A3">
              <w:rPr>
                <w:rStyle w:val="Hyperlink"/>
                <w:noProof/>
              </w:rPr>
              <w:t>PART I</w:t>
            </w:r>
            <w:r w:rsidR="005E3E93">
              <w:rPr>
                <w:noProof/>
                <w:webHidden/>
              </w:rPr>
              <w:tab/>
            </w:r>
            <w:r w:rsidR="005E3E93">
              <w:rPr>
                <w:noProof/>
                <w:webHidden/>
              </w:rPr>
              <w:fldChar w:fldCharType="begin"/>
            </w:r>
            <w:r w:rsidR="005E3E93">
              <w:rPr>
                <w:noProof/>
                <w:webHidden/>
              </w:rPr>
              <w:instrText xml:space="preserve"> PAGEREF _Toc491810723 \h </w:instrText>
            </w:r>
            <w:r w:rsidR="005E3E93">
              <w:rPr>
                <w:noProof/>
                <w:webHidden/>
              </w:rPr>
            </w:r>
            <w:r w:rsidR="005E3E93">
              <w:rPr>
                <w:noProof/>
                <w:webHidden/>
              </w:rPr>
              <w:fldChar w:fldCharType="separate"/>
            </w:r>
            <w:r>
              <w:rPr>
                <w:noProof/>
                <w:webHidden/>
              </w:rPr>
              <w:t>8</w:t>
            </w:r>
            <w:r w:rsidR="005E3E93">
              <w:rPr>
                <w:noProof/>
                <w:webHidden/>
              </w:rPr>
              <w:fldChar w:fldCharType="end"/>
            </w:r>
          </w:hyperlink>
        </w:p>
        <w:p w14:paraId="05CF8FB2"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24" w:history="1">
            <w:r w:rsidR="005E3E93" w:rsidRPr="003679A3">
              <w:rPr>
                <w:rStyle w:val="Hyperlink"/>
                <w:noProof/>
              </w:rPr>
              <w:t>Justification</w:t>
            </w:r>
            <w:r w:rsidR="005E3E93">
              <w:rPr>
                <w:noProof/>
                <w:webHidden/>
              </w:rPr>
              <w:tab/>
            </w:r>
            <w:r w:rsidR="005E3E93">
              <w:rPr>
                <w:noProof/>
                <w:webHidden/>
              </w:rPr>
              <w:fldChar w:fldCharType="begin"/>
            </w:r>
            <w:r w:rsidR="005E3E93">
              <w:rPr>
                <w:noProof/>
                <w:webHidden/>
              </w:rPr>
              <w:instrText xml:space="preserve"> PAGEREF _Toc491810724 \h </w:instrText>
            </w:r>
            <w:r w:rsidR="005E3E93">
              <w:rPr>
                <w:noProof/>
                <w:webHidden/>
              </w:rPr>
            </w:r>
            <w:r w:rsidR="005E3E93">
              <w:rPr>
                <w:noProof/>
                <w:webHidden/>
              </w:rPr>
              <w:fldChar w:fldCharType="separate"/>
            </w:r>
            <w:r>
              <w:rPr>
                <w:noProof/>
                <w:webHidden/>
              </w:rPr>
              <w:t>8</w:t>
            </w:r>
            <w:r w:rsidR="005E3E93">
              <w:rPr>
                <w:noProof/>
                <w:webHidden/>
              </w:rPr>
              <w:fldChar w:fldCharType="end"/>
            </w:r>
          </w:hyperlink>
        </w:p>
        <w:p w14:paraId="06C855EA"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25" w:history="1">
            <w:r w:rsidR="005E3E93" w:rsidRPr="003679A3">
              <w:rPr>
                <w:rStyle w:val="Hyperlink"/>
                <w:noProof/>
              </w:rPr>
              <w:t>1. Identity of the substance and physical and chemical properties</w:t>
            </w:r>
            <w:r w:rsidR="005E3E93">
              <w:rPr>
                <w:noProof/>
                <w:webHidden/>
              </w:rPr>
              <w:tab/>
            </w:r>
            <w:r w:rsidR="005E3E93">
              <w:rPr>
                <w:noProof/>
                <w:webHidden/>
              </w:rPr>
              <w:fldChar w:fldCharType="begin"/>
            </w:r>
            <w:r w:rsidR="005E3E93">
              <w:rPr>
                <w:noProof/>
                <w:webHidden/>
              </w:rPr>
              <w:instrText xml:space="preserve"> PAGEREF _Toc491810725 \h </w:instrText>
            </w:r>
            <w:r w:rsidR="005E3E93">
              <w:rPr>
                <w:noProof/>
                <w:webHidden/>
              </w:rPr>
            </w:r>
            <w:r w:rsidR="005E3E93">
              <w:rPr>
                <w:noProof/>
                <w:webHidden/>
              </w:rPr>
              <w:fldChar w:fldCharType="separate"/>
            </w:r>
            <w:r>
              <w:rPr>
                <w:noProof/>
                <w:webHidden/>
              </w:rPr>
              <w:t>8</w:t>
            </w:r>
            <w:r w:rsidR="005E3E93">
              <w:rPr>
                <w:noProof/>
                <w:webHidden/>
              </w:rPr>
              <w:fldChar w:fldCharType="end"/>
            </w:r>
          </w:hyperlink>
        </w:p>
        <w:p w14:paraId="4E94B8F7" w14:textId="77777777" w:rsidR="005E3E93" w:rsidRDefault="00B934DA">
          <w:pPr>
            <w:pStyle w:val="TOC2"/>
            <w:tabs>
              <w:tab w:val="left" w:pos="800"/>
            </w:tabs>
            <w:rPr>
              <w:rFonts w:asciiTheme="minorHAnsi" w:eastAsiaTheme="minorEastAsia" w:hAnsiTheme="minorHAnsi" w:cstheme="minorBidi"/>
              <w:noProof/>
              <w:sz w:val="22"/>
              <w:szCs w:val="22"/>
              <w:lang w:eastAsia="en-GB"/>
            </w:rPr>
          </w:pPr>
          <w:hyperlink w:anchor="_Toc491810726" w:history="1">
            <w:r w:rsidR="005E3E93" w:rsidRPr="003679A3">
              <w:rPr>
                <w:rStyle w:val="Hyperlink"/>
                <w:rFonts w:cs="Times New Roman"/>
                <w:noProof/>
              </w:rPr>
              <w:t>1.1</w:t>
            </w:r>
            <w:r w:rsidR="005E3E93">
              <w:rPr>
                <w:rFonts w:asciiTheme="minorHAnsi" w:eastAsiaTheme="minorEastAsia" w:hAnsiTheme="minorHAnsi" w:cstheme="minorBidi"/>
                <w:noProof/>
                <w:sz w:val="22"/>
                <w:szCs w:val="22"/>
                <w:lang w:eastAsia="en-GB"/>
              </w:rPr>
              <w:tab/>
            </w:r>
            <w:r w:rsidR="005E3E93" w:rsidRPr="003679A3">
              <w:rPr>
                <w:rStyle w:val="Hyperlink"/>
                <w:noProof/>
              </w:rPr>
              <w:t>Name and other identifiers of the substance</w:t>
            </w:r>
            <w:r w:rsidR="005E3E93">
              <w:rPr>
                <w:noProof/>
                <w:webHidden/>
              </w:rPr>
              <w:tab/>
            </w:r>
            <w:r w:rsidR="005E3E93">
              <w:rPr>
                <w:noProof/>
                <w:webHidden/>
              </w:rPr>
              <w:fldChar w:fldCharType="begin"/>
            </w:r>
            <w:r w:rsidR="005E3E93">
              <w:rPr>
                <w:noProof/>
                <w:webHidden/>
              </w:rPr>
              <w:instrText xml:space="preserve"> PAGEREF _Toc491810726 \h </w:instrText>
            </w:r>
            <w:r w:rsidR="005E3E93">
              <w:rPr>
                <w:noProof/>
                <w:webHidden/>
              </w:rPr>
            </w:r>
            <w:r w:rsidR="005E3E93">
              <w:rPr>
                <w:noProof/>
                <w:webHidden/>
              </w:rPr>
              <w:fldChar w:fldCharType="separate"/>
            </w:r>
            <w:r>
              <w:rPr>
                <w:noProof/>
                <w:webHidden/>
              </w:rPr>
              <w:t>8</w:t>
            </w:r>
            <w:r w:rsidR="005E3E93">
              <w:rPr>
                <w:noProof/>
                <w:webHidden/>
              </w:rPr>
              <w:fldChar w:fldCharType="end"/>
            </w:r>
          </w:hyperlink>
        </w:p>
        <w:p w14:paraId="3A88B618" w14:textId="77777777" w:rsidR="005E3E93" w:rsidRDefault="00B934DA">
          <w:pPr>
            <w:pStyle w:val="TOC2"/>
            <w:rPr>
              <w:rFonts w:asciiTheme="minorHAnsi" w:eastAsiaTheme="minorEastAsia" w:hAnsiTheme="minorHAnsi" w:cstheme="minorBidi"/>
              <w:noProof/>
              <w:sz w:val="22"/>
              <w:szCs w:val="22"/>
              <w:lang w:eastAsia="en-GB"/>
            </w:rPr>
          </w:pPr>
          <w:hyperlink w:anchor="_Toc491810727" w:history="1">
            <w:r w:rsidR="005E3E93" w:rsidRPr="003679A3">
              <w:rPr>
                <w:rStyle w:val="Hyperlink"/>
                <w:noProof/>
              </w:rPr>
              <w:t>1.2 Composition of the substance</w:t>
            </w:r>
            <w:r w:rsidR="005E3E93">
              <w:rPr>
                <w:noProof/>
                <w:webHidden/>
              </w:rPr>
              <w:tab/>
            </w:r>
            <w:r w:rsidR="005E3E93">
              <w:rPr>
                <w:noProof/>
                <w:webHidden/>
              </w:rPr>
              <w:fldChar w:fldCharType="begin"/>
            </w:r>
            <w:r w:rsidR="005E3E93">
              <w:rPr>
                <w:noProof/>
                <w:webHidden/>
              </w:rPr>
              <w:instrText xml:space="preserve"> PAGEREF _Toc491810727 \h </w:instrText>
            </w:r>
            <w:r w:rsidR="005E3E93">
              <w:rPr>
                <w:noProof/>
                <w:webHidden/>
              </w:rPr>
            </w:r>
            <w:r w:rsidR="005E3E93">
              <w:rPr>
                <w:noProof/>
                <w:webHidden/>
              </w:rPr>
              <w:fldChar w:fldCharType="separate"/>
            </w:r>
            <w:r>
              <w:rPr>
                <w:noProof/>
                <w:webHidden/>
              </w:rPr>
              <w:t>9</w:t>
            </w:r>
            <w:r w:rsidR="005E3E93">
              <w:rPr>
                <w:noProof/>
                <w:webHidden/>
              </w:rPr>
              <w:fldChar w:fldCharType="end"/>
            </w:r>
          </w:hyperlink>
        </w:p>
        <w:p w14:paraId="29BE92CF" w14:textId="77777777" w:rsidR="005E3E93" w:rsidRDefault="00B934DA">
          <w:pPr>
            <w:pStyle w:val="TOC2"/>
            <w:rPr>
              <w:rFonts w:asciiTheme="minorHAnsi" w:eastAsiaTheme="minorEastAsia" w:hAnsiTheme="minorHAnsi" w:cstheme="minorBidi"/>
              <w:noProof/>
              <w:sz w:val="22"/>
              <w:szCs w:val="22"/>
              <w:lang w:eastAsia="en-GB"/>
            </w:rPr>
          </w:pPr>
          <w:hyperlink w:anchor="_Toc491810728" w:history="1">
            <w:r w:rsidR="005E3E93" w:rsidRPr="003679A3">
              <w:rPr>
                <w:rStyle w:val="Hyperlink"/>
                <w:noProof/>
              </w:rPr>
              <w:t>1.3 Physicochemical properties</w:t>
            </w:r>
            <w:r w:rsidR="005E3E93">
              <w:rPr>
                <w:noProof/>
                <w:webHidden/>
              </w:rPr>
              <w:tab/>
            </w:r>
            <w:r w:rsidR="005E3E93">
              <w:rPr>
                <w:noProof/>
                <w:webHidden/>
              </w:rPr>
              <w:fldChar w:fldCharType="begin"/>
            </w:r>
            <w:r w:rsidR="005E3E93">
              <w:rPr>
                <w:noProof/>
                <w:webHidden/>
              </w:rPr>
              <w:instrText xml:space="preserve"> PAGEREF _Toc491810728 \h </w:instrText>
            </w:r>
            <w:r w:rsidR="005E3E93">
              <w:rPr>
                <w:noProof/>
                <w:webHidden/>
              </w:rPr>
            </w:r>
            <w:r w:rsidR="005E3E93">
              <w:rPr>
                <w:noProof/>
                <w:webHidden/>
              </w:rPr>
              <w:fldChar w:fldCharType="separate"/>
            </w:r>
            <w:r>
              <w:rPr>
                <w:noProof/>
                <w:webHidden/>
              </w:rPr>
              <w:t>9</w:t>
            </w:r>
            <w:r w:rsidR="005E3E93">
              <w:rPr>
                <w:noProof/>
                <w:webHidden/>
              </w:rPr>
              <w:fldChar w:fldCharType="end"/>
            </w:r>
          </w:hyperlink>
        </w:p>
        <w:p w14:paraId="0F12CBBF"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29" w:history="1">
            <w:r w:rsidR="005E3E93" w:rsidRPr="003679A3">
              <w:rPr>
                <w:rStyle w:val="Hyperlink"/>
                <w:noProof/>
              </w:rPr>
              <w:t>2. Harmonised classification and labelling</w:t>
            </w:r>
            <w:r w:rsidR="005E3E93">
              <w:rPr>
                <w:noProof/>
                <w:webHidden/>
              </w:rPr>
              <w:tab/>
            </w:r>
            <w:r w:rsidR="005E3E93">
              <w:rPr>
                <w:noProof/>
                <w:webHidden/>
              </w:rPr>
              <w:fldChar w:fldCharType="begin"/>
            </w:r>
            <w:r w:rsidR="005E3E93">
              <w:rPr>
                <w:noProof/>
                <w:webHidden/>
              </w:rPr>
              <w:instrText xml:space="preserve"> PAGEREF _Toc491810729 \h </w:instrText>
            </w:r>
            <w:r w:rsidR="005E3E93">
              <w:rPr>
                <w:noProof/>
                <w:webHidden/>
              </w:rPr>
            </w:r>
            <w:r w:rsidR="005E3E93">
              <w:rPr>
                <w:noProof/>
                <w:webHidden/>
              </w:rPr>
              <w:fldChar w:fldCharType="separate"/>
            </w:r>
            <w:r>
              <w:rPr>
                <w:noProof/>
                <w:webHidden/>
              </w:rPr>
              <w:t>10</w:t>
            </w:r>
            <w:r w:rsidR="005E3E93">
              <w:rPr>
                <w:noProof/>
                <w:webHidden/>
              </w:rPr>
              <w:fldChar w:fldCharType="end"/>
            </w:r>
          </w:hyperlink>
        </w:p>
        <w:p w14:paraId="5F1F08DF"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30" w:history="1">
            <w:r w:rsidR="005E3E93" w:rsidRPr="003679A3">
              <w:rPr>
                <w:rStyle w:val="Hyperlink"/>
                <w:noProof/>
              </w:rPr>
              <w:t>3. Environmental fate properties</w:t>
            </w:r>
            <w:r w:rsidR="005E3E93">
              <w:rPr>
                <w:noProof/>
                <w:webHidden/>
              </w:rPr>
              <w:tab/>
            </w:r>
            <w:r w:rsidR="005E3E93">
              <w:rPr>
                <w:noProof/>
                <w:webHidden/>
              </w:rPr>
              <w:fldChar w:fldCharType="begin"/>
            </w:r>
            <w:r w:rsidR="005E3E93">
              <w:rPr>
                <w:noProof/>
                <w:webHidden/>
              </w:rPr>
              <w:instrText xml:space="preserve"> PAGEREF _Toc491810730 \h </w:instrText>
            </w:r>
            <w:r w:rsidR="005E3E93">
              <w:rPr>
                <w:noProof/>
                <w:webHidden/>
              </w:rPr>
            </w:r>
            <w:r w:rsidR="005E3E93">
              <w:rPr>
                <w:noProof/>
                <w:webHidden/>
              </w:rPr>
              <w:fldChar w:fldCharType="separate"/>
            </w:r>
            <w:r>
              <w:rPr>
                <w:noProof/>
                <w:webHidden/>
              </w:rPr>
              <w:t>11</w:t>
            </w:r>
            <w:r w:rsidR="005E3E93">
              <w:rPr>
                <w:noProof/>
                <w:webHidden/>
              </w:rPr>
              <w:fldChar w:fldCharType="end"/>
            </w:r>
          </w:hyperlink>
        </w:p>
        <w:p w14:paraId="44A42C7A" w14:textId="77777777" w:rsidR="005E3E93" w:rsidRDefault="00B934DA">
          <w:pPr>
            <w:pStyle w:val="TOC2"/>
            <w:rPr>
              <w:rFonts w:asciiTheme="minorHAnsi" w:eastAsiaTheme="minorEastAsia" w:hAnsiTheme="minorHAnsi" w:cstheme="minorBidi"/>
              <w:noProof/>
              <w:sz w:val="22"/>
              <w:szCs w:val="22"/>
              <w:lang w:eastAsia="en-GB"/>
            </w:rPr>
          </w:pPr>
          <w:hyperlink w:anchor="_Toc491810731" w:history="1">
            <w:r w:rsidR="005E3E93" w:rsidRPr="003679A3">
              <w:rPr>
                <w:rStyle w:val="Hyperlink"/>
                <w:noProof/>
              </w:rPr>
              <w:t>3.1 Degradation</w:t>
            </w:r>
            <w:r w:rsidR="005E3E93">
              <w:rPr>
                <w:noProof/>
                <w:webHidden/>
              </w:rPr>
              <w:tab/>
            </w:r>
            <w:r w:rsidR="005E3E93">
              <w:rPr>
                <w:noProof/>
                <w:webHidden/>
              </w:rPr>
              <w:fldChar w:fldCharType="begin"/>
            </w:r>
            <w:r w:rsidR="005E3E93">
              <w:rPr>
                <w:noProof/>
                <w:webHidden/>
              </w:rPr>
              <w:instrText xml:space="preserve"> PAGEREF _Toc491810731 \h </w:instrText>
            </w:r>
            <w:r w:rsidR="005E3E93">
              <w:rPr>
                <w:noProof/>
                <w:webHidden/>
              </w:rPr>
            </w:r>
            <w:r w:rsidR="005E3E93">
              <w:rPr>
                <w:noProof/>
                <w:webHidden/>
              </w:rPr>
              <w:fldChar w:fldCharType="separate"/>
            </w:r>
            <w:r>
              <w:rPr>
                <w:noProof/>
                <w:webHidden/>
              </w:rPr>
              <w:t>11</w:t>
            </w:r>
            <w:r w:rsidR="005E3E93">
              <w:rPr>
                <w:noProof/>
                <w:webHidden/>
              </w:rPr>
              <w:fldChar w:fldCharType="end"/>
            </w:r>
          </w:hyperlink>
        </w:p>
        <w:p w14:paraId="694B1983"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32" w:history="1">
            <w:r w:rsidR="005E3E93" w:rsidRPr="003679A3">
              <w:rPr>
                <w:rStyle w:val="Hyperlink"/>
                <w:noProof/>
              </w:rPr>
              <w:t>3.1.1 Abiotic degradation</w:t>
            </w:r>
            <w:r w:rsidR="005E3E93">
              <w:rPr>
                <w:noProof/>
                <w:webHidden/>
              </w:rPr>
              <w:tab/>
            </w:r>
            <w:r w:rsidR="005E3E93">
              <w:rPr>
                <w:noProof/>
                <w:webHidden/>
              </w:rPr>
              <w:fldChar w:fldCharType="begin"/>
            </w:r>
            <w:r w:rsidR="005E3E93">
              <w:rPr>
                <w:noProof/>
                <w:webHidden/>
              </w:rPr>
              <w:instrText xml:space="preserve"> PAGEREF _Toc491810732 \h </w:instrText>
            </w:r>
            <w:r w:rsidR="005E3E93">
              <w:rPr>
                <w:noProof/>
                <w:webHidden/>
              </w:rPr>
            </w:r>
            <w:r w:rsidR="005E3E93">
              <w:rPr>
                <w:noProof/>
                <w:webHidden/>
              </w:rPr>
              <w:fldChar w:fldCharType="separate"/>
            </w:r>
            <w:r>
              <w:rPr>
                <w:noProof/>
                <w:webHidden/>
              </w:rPr>
              <w:t>11</w:t>
            </w:r>
            <w:r w:rsidR="005E3E93">
              <w:rPr>
                <w:noProof/>
                <w:webHidden/>
              </w:rPr>
              <w:fldChar w:fldCharType="end"/>
            </w:r>
          </w:hyperlink>
        </w:p>
        <w:p w14:paraId="011EA497"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33" w:history="1">
            <w:r w:rsidR="005E3E93" w:rsidRPr="003679A3">
              <w:rPr>
                <w:rStyle w:val="Hyperlink"/>
                <w:noProof/>
              </w:rPr>
              <w:t>3.1.2 Biodegradation</w:t>
            </w:r>
            <w:r w:rsidR="005E3E93">
              <w:rPr>
                <w:noProof/>
                <w:webHidden/>
              </w:rPr>
              <w:tab/>
            </w:r>
            <w:r w:rsidR="005E3E93">
              <w:rPr>
                <w:noProof/>
                <w:webHidden/>
              </w:rPr>
              <w:fldChar w:fldCharType="begin"/>
            </w:r>
            <w:r w:rsidR="005E3E93">
              <w:rPr>
                <w:noProof/>
                <w:webHidden/>
              </w:rPr>
              <w:instrText xml:space="preserve"> PAGEREF _Toc491810733 \h </w:instrText>
            </w:r>
            <w:r w:rsidR="005E3E93">
              <w:rPr>
                <w:noProof/>
                <w:webHidden/>
              </w:rPr>
            </w:r>
            <w:r w:rsidR="005E3E93">
              <w:rPr>
                <w:noProof/>
                <w:webHidden/>
              </w:rPr>
              <w:fldChar w:fldCharType="separate"/>
            </w:r>
            <w:r>
              <w:rPr>
                <w:noProof/>
                <w:webHidden/>
              </w:rPr>
              <w:t>12</w:t>
            </w:r>
            <w:r w:rsidR="005E3E93">
              <w:rPr>
                <w:noProof/>
                <w:webHidden/>
              </w:rPr>
              <w:fldChar w:fldCharType="end"/>
            </w:r>
          </w:hyperlink>
        </w:p>
        <w:p w14:paraId="0F9CDAD9"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34" w:history="1">
            <w:r w:rsidR="005E3E93" w:rsidRPr="003679A3">
              <w:rPr>
                <w:rStyle w:val="Hyperlink"/>
                <w:noProof/>
              </w:rPr>
              <w:t>3.1.3 Summary and discussion of degradation</w:t>
            </w:r>
            <w:r w:rsidR="005E3E93">
              <w:rPr>
                <w:noProof/>
                <w:webHidden/>
              </w:rPr>
              <w:tab/>
            </w:r>
            <w:r w:rsidR="005E3E93">
              <w:rPr>
                <w:noProof/>
                <w:webHidden/>
              </w:rPr>
              <w:fldChar w:fldCharType="begin"/>
            </w:r>
            <w:r w:rsidR="005E3E93">
              <w:rPr>
                <w:noProof/>
                <w:webHidden/>
              </w:rPr>
              <w:instrText xml:space="preserve"> PAGEREF _Toc491810734 \h </w:instrText>
            </w:r>
            <w:r w:rsidR="005E3E93">
              <w:rPr>
                <w:noProof/>
                <w:webHidden/>
              </w:rPr>
            </w:r>
            <w:r w:rsidR="005E3E93">
              <w:rPr>
                <w:noProof/>
                <w:webHidden/>
              </w:rPr>
              <w:fldChar w:fldCharType="separate"/>
            </w:r>
            <w:r>
              <w:rPr>
                <w:noProof/>
                <w:webHidden/>
              </w:rPr>
              <w:t>14</w:t>
            </w:r>
            <w:r w:rsidR="005E3E93">
              <w:rPr>
                <w:noProof/>
                <w:webHidden/>
              </w:rPr>
              <w:fldChar w:fldCharType="end"/>
            </w:r>
          </w:hyperlink>
        </w:p>
        <w:p w14:paraId="0F846DD5" w14:textId="77777777" w:rsidR="005E3E93" w:rsidRDefault="00B934DA">
          <w:pPr>
            <w:pStyle w:val="TOC2"/>
            <w:rPr>
              <w:rFonts w:asciiTheme="minorHAnsi" w:eastAsiaTheme="minorEastAsia" w:hAnsiTheme="minorHAnsi" w:cstheme="minorBidi"/>
              <w:noProof/>
              <w:sz w:val="22"/>
              <w:szCs w:val="22"/>
              <w:lang w:eastAsia="en-GB"/>
            </w:rPr>
          </w:pPr>
          <w:hyperlink w:anchor="_Toc491810735" w:history="1">
            <w:r w:rsidR="005E3E93" w:rsidRPr="003679A3">
              <w:rPr>
                <w:rStyle w:val="Hyperlink"/>
                <w:noProof/>
              </w:rPr>
              <w:t>3.2 Environmental distribution</w:t>
            </w:r>
            <w:r w:rsidR="005E3E93">
              <w:rPr>
                <w:noProof/>
                <w:webHidden/>
              </w:rPr>
              <w:tab/>
            </w:r>
            <w:r w:rsidR="005E3E93">
              <w:rPr>
                <w:noProof/>
                <w:webHidden/>
              </w:rPr>
              <w:fldChar w:fldCharType="begin"/>
            </w:r>
            <w:r w:rsidR="005E3E93">
              <w:rPr>
                <w:noProof/>
                <w:webHidden/>
              </w:rPr>
              <w:instrText xml:space="preserve"> PAGEREF _Toc491810735 \h </w:instrText>
            </w:r>
            <w:r w:rsidR="005E3E93">
              <w:rPr>
                <w:noProof/>
                <w:webHidden/>
              </w:rPr>
            </w:r>
            <w:r w:rsidR="005E3E93">
              <w:rPr>
                <w:noProof/>
                <w:webHidden/>
              </w:rPr>
              <w:fldChar w:fldCharType="separate"/>
            </w:r>
            <w:r>
              <w:rPr>
                <w:noProof/>
                <w:webHidden/>
              </w:rPr>
              <w:t>14</w:t>
            </w:r>
            <w:r w:rsidR="005E3E93">
              <w:rPr>
                <w:noProof/>
                <w:webHidden/>
              </w:rPr>
              <w:fldChar w:fldCharType="end"/>
            </w:r>
          </w:hyperlink>
        </w:p>
        <w:p w14:paraId="66764FCB"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36" w:history="1">
            <w:r w:rsidR="005E3E93" w:rsidRPr="003679A3">
              <w:rPr>
                <w:rStyle w:val="Hyperlink"/>
                <w:noProof/>
              </w:rPr>
              <w:t>3.2.1 Adsorption/desorption</w:t>
            </w:r>
            <w:r w:rsidR="005E3E93">
              <w:rPr>
                <w:noProof/>
                <w:webHidden/>
              </w:rPr>
              <w:tab/>
            </w:r>
            <w:r w:rsidR="005E3E93">
              <w:rPr>
                <w:noProof/>
                <w:webHidden/>
              </w:rPr>
              <w:fldChar w:fldCharType="begin"/>
            </w:r>
            <w:r w:rsidR="005E3E93">
              <w:rPr>
                <w:noProof/>
                <w:webHidden/>
              </w:rPr>
              <w:instrText xml:space="preserve"> PAGEREF _Toc491810736 \h </w:instrText>
            </w:r>
            <w:r w:rsidR="005E3E93">
              <w:rPr>
                <w:noProof/>
                <w:webHidden/>
              </w:rPr>
            </w:r>
            <w:r w:rsidR="005E3E93">
              <w:rPr>
                <w:noProof/>
                <w:webHidden/>
              </w:rPr>
              <w:fldChar w:fldCharType="separate"/>
            </w:r>
            <w:r>
              <w:rPr>
                <w:noProof/>
                <w:webHidden/>
              </w:rPr>
              <w:t>14</w:t>
            </w:r>
            <w:r w:rsidR="005E3E93">
              <w:rPr>
                <w:noProof/>
                <w:webHidden/>
              </w:rPr>
              <w:fldChar w:fldCharType="end"/>
            </w:r>
          </w:hyperlink>
        </w:p>
        <w:p w14:paraId="63E004E9"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37" w:history="1">
            <w:r w:rsidR="005E3E93" w:rsidRPr="003679A3">
              <w:rPr>
                <w:rStyle w:val="Hyperlink"/>
                <w:noProof/>
              </w:rPr>
              <w:t>3.2.2 Volatilisation</w:t>
            </w:r>
            <w:r w:rsidR="005E3E93">
              <w:rPr>
                <w:noProof/>
                <w:webHidden/>
              </w:rPr>
              <w:tab/>
            </w:r>
            <w:r w:rsidR="005E3E93">
              <w:rPr>
                <w:noProof/>
                <w:webHidden/>
              </w:rPr>
              <w:fldChar w:fldCharType="begin"/>
            </w:r>
            <w:r w:rsidR="005E3E93">
              <w:rPr>
                <w:noProof/>
                <w:webHidden/>
              </w:rPr>
              <w:instrText xml:space="preserve"> PAGEREF _Toc491810737 \h </w:instrText>
            </w:r>
            <w:r w:rsidR="005E3E93">
              <w:rPr>
                <w:noProof/>
                <w:webHidden/>
              </w:rPr>
            </w:r>
            <w:r w:rsidR="005E3E93">
              <w:rPr>
                <w:noProof/>
                <w:webHidden/>
              </w:rPr>
              <w:fldChar w:fldCharType="separate"/>
            </w:r>
            <w:r>
              <w:rPr>
                <w:noProof/>
                <w:webHidden/>
              </w:rPr>
              <w:t>15</w:t>
            </w:r>
            <w:r w:rsidR="005E3E93">
              <w:rPr>
                <w:noProof/>
                <w:webHidden/>
              </w:rPr>
              <w:fldChar w:fldCharType="end"/>
            </w:r>
          </w:hyperlink>
        </w:p>
        <w:p w14:paraId="24293EDB"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38" w:history="1">
            <w:r w:rsidR="005E3E93" w:rsidRPr="003679A3">
              <w:rPr>
                <w:rStyle w:val="Hyperlink"/>
                <w:noProof/>
              </w:rPr>
              <w:t>3.2.3 Distribution modelling</w:t>
            </w:r>
            <w:r w:rsidR="005E3E93">
              <w:rPr>
                <w:noProof/>
                <w:webHidden/>
              </w:rPr>
              <w:tab/>
            </w:r>
            <w:r w:rsidR="005E3E93">
              <w:rPr>
                <w:noProof/>
                <w:webHidden/>
              </w:rPr>
              <w:fldChar w:fldCharType="begin"/>
            </w:r>
            <w:r w:rsidR="005E3E93">
              <w:rPr>
                <w:noProof/>
                <w:webHidden/>
              </w:rPr>
              <w:instrText xml:space="preserve"> PAGEREF _Toc491810738 \h </w:instrText>
            </w:r>
            <w:r w:rsidR="005E3E93">
              <w:rPr>
                <w:noProof/>
                <w:webHidden/>
              </w:rPr>
            </w:r>
            <w:r w:rsidR="005E3E93">
              <w:rPr>
                <w:noProof/>
                <w:webHidden/>
              </w:rPr>
              <w:fldChar w:fldCharType="separate"/>
            </w:r>
            <w:r>
              <w:rPr>
                <w:noProof/>
                <w:webHidden/>
              </w:rPr>
              <w:t>15</w:t>
            </w:r>
            <w:r w:rsidR="005E3E93">
              <w:rPr>
                <w:noProof/>
                <w:webHidden/>
              </w:rPr>
              <w:fldChar w:fldCharType="end"/>
            </w:r>
          </w:hyperlink>
        </w:p>
        <w:p w14:paraId="5D5D13B9"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39" w:history="1">
            <w:r w:rsidR="005E3E93" w:rsidRPr="003679A3">
              <w:rPr>
                <w:rStyle w:val="Hyperlink"/>
                <w:noProof/>
              </w:rPr>
              <w:t>3.2.4 Summary and discussion of environmental distribution</w:t>
            </w:r>
            <w:r w:rsidR="005E3E93">
              <w:rPr>
                <w:noProof/>
                <w:webHidden/>
              </w:rPr>
              <w:tab/>
            </w:r>
            <w:r w:rsidR="005E3E93">
              <w:rPr>
                <w:noProof/>
                <w:webHidden/>
              </w:rPr>
              <w:fldChar w:fldCharType="begin"/>
            </w:r>
            <w:r w:rsidR="005E3E93">
              <w:rPr>
                <w:noProof/>
                <w:webHidden/>
              </w:rPr>
              <w:instrText xml:space="preserve"> PAGEREF _Toc491810739 \h </w:instrText>
            </w:r>
            <w:r w:rsidR="005E3E93">
              <w:rPr>
                <w:noProof/>
                <w:webHidden/>
              </w:rPr>
            </w:r>
            <w:r w:rsidR="005E3E93">
              <w:rPr>
                <w:noProof/>
                <w:webHidden/>
              </w:rPr>
              <w:fldChar w:fldCharType="separate"/>
            </w:r>
            <w:r>
              <w:rPr>
                <w:noProof/>
                <w:webHidden/>
              </w:rPr>
              <w:t>15</w:t>
            </w:r>
            <w:r w:rsidR="005E3E93">
              <w:rPr>
                <w:noProof/>
                <w:webHidden/>
              </w:rPr>
              <w:fldChar w:fldCharType="end"/>
            </w:r>
          </w:hyperlink>
        </w:p>
        <w:p w14:paraId="56CA9AF0" w14:textId="77777777" w:rsidR="005E3E93" w:rsidRDefault="00B934DA">
          <w:pPr>
            <w:pStyle w:val="TOC2"/>
            <w:rPr>
              <w:rFonts w:asciiTheme="minorHAnsi" w:eastAsiaTheme="minorEastAsia" w:hAnsiTheme="minorHAnsi" w:cstheme="minorBidi"/>
              <w:noProof/>
              <w:sz w:val="22"/>
              <w:szCs w:val="22"/>
              <w:lang w:eastAsia="en-GB"/>
            </w:rPr>
          </w:pPr>
          <w:hyperlink w:anchor="_Toc491810740" w:history="1">
            <w:r w:rsidR="005E3E93" w:rsidRPr="003679A3">
              <w:rPr>
                <w:rStyle w:val="Hyperlink"/>
                <w:noProof/>
              </w:rPr>
              <w:t>3.3 Data indicating potential for long-range transport</w:t>
            </w:r>
            <w:r w:rsidR="005E3E93">
              <w:rPr>
                <w:noProof/>
                <w:webHidden/>
              </w:rPr>
              <w:tab/>
            </w:r>
            <w:r w:rsidR="005E3E93">
              <w:rPr>
                <w:noProof/>
                <w:webHidden/>
              </w:rPr>
              <w:fldChar w:fldCharType="begin"/>
            </w:r>
            <w:r w:rsidR="005E3E93">
              <w:rPr>
                <w:noProof/>
                <w:webHidden/>
              </w:rPr>
              <w:instrText xml:space="preserve"> PAGEREF _Toc491810740 \h </w:instrText>
            </w:r>
            <w:r w:rsidR="005E3E93">
              <w:rPr>
                <w:noProof/>
                <w:webHidden/>
              </w:rPr>
            </w:r>
            <w:r w:rsidR="005E3E93">
              <w:rPr>
                <w:noProof/>
                <w:webHidden/>
              </w:rPr>
              <w:fldChar w:fldCharType="separate"/>
            </w:r>
            <w:r>
              <w:rPr>
                <w:noProof/>
                <w:webHidden/>
              </w:rPr>
              <w:t>15</w:t>
            </w:r>
            <w:r w:rsidR="005E3E93">
              <w:rPr>
                <w:noProof/>
                <w:webHidden/>
              </w:rPr>
              <w:fldChar w:fldCharType="end"/>
            </w:r>
          </w:hyperlink>
        </w:p>
        <w:p w14:paraId="35A6D742" w14:textId="77777777" w:rsidR="005E3E93" w:rsidRDefault="00B934DA">
          <w:pPr>
            <w:pStyle w:val="TOC2"/>
            <w:rPr>
              <w:rFonts w:asciiTheme="minorHAnsi" w:eastAsiaTheme="minorEastAsia" w:hAnsiTheme="minorHAnsi" w:cstheme="minorBidi"/>
              <w:noProof/>
              <w:sz w:val="22"/>
              <w:szCs w:val="22"/>
              <w:lang w:eastAsia="en-GB"/>
            </w:rPr>
          </w:pPr>
          <w:hyperlink w:anchor="_Toc491810741" w:history="1">
            <w:r w:rsidR="005E3E93" w:rsidRPr="003679A3">
              <w:rPr>
                <w:rStyle w:val="Hyperlink"/>
                <w:noProof/>
              </w:rPr>
              <w:t>3.4 Bioaccumulation</w:t>
            </w:r>
            <w:r w:rsidR="005E3E93">
              <w:rPr>
                <w:noProof/>
                <w:webHidden/>
              </w:rPr>
              <w:tab/>
            </w:r>
            <w:r w:rsidR="005E3E93">
              <w:rPr>
                <w:noProof/>
                <w:webHidden/>
              </w:rPr>
              <w:fldChar w:fldCharType="begin"/>
            </w:r>
            <w:r w:rsidR="005E3E93">
              <w:rPr>
                <w:noProof/>
                <w:webHidden/>
              </w:rPr>
              <w:instrText xml:space="preserve"> PAGEREF _Toc491810741 \h </w:instrText>
            </w:r>
            <w:r w:rsidR="005E3E93">
              <w:rPr>
                <w:noProof/>
                <w:webHidden/>
              </w:rPr>
            </w:r>
            <w:r w:rsidR="005E3E93">
              <w:rPr>
                <w:noProof/>
                <w:webHidden/>
              </w:rPr>
              <w:fldChar w:fldCharType="separate"/>
            </w:r>
            <w:r>
              <w:rPr>
                <w:noProof/>
                <w:webHidden/>
              </w:rPr>
              <w:t>15</w:t>
            </w:r>
            <w:r w:rsidR="005E3E93">
              <w:rPr>
                <w:noProof/>
                <w:webHidden/>
              </w:rPr>
              <w:fldChar w:fldCharType="end"/>
            </w:r>
          </w:hyperlink>
        </w:p>
        <w:p w14:paraId="5C9CD24C"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42" w:history="1">
            <w:r w:rsidR="005E3E93" w:rsidRPr="003679A3">
              <w:rPr>
                <w:rStyle w:val="Hyperlink"/>
                <w:noProof/>
              </w:rPr>
              <w:t>3.4.1 Bioaccumulation in aquatic organisms (pelagic &amp; sediment organisms)</w:t>
            </w:r>
            <w:r w:rsidR="005E3E93">
              <w:rPr>
                <w:noProof/>
                <w:webHidden/>
              </w:rPr>
              <w:tab/>
            </w:r>
            <w:r w:rsidR="005E3E93">
              <w:rPr>
                <w:noProof/>
                <w:webHidden/>
              </w:rPr>
              <w:fldChar w:fldCharType="begin"/>
            </w:r>
            <w:r w:rsidR="005E3E93">
              <w:rPr>
                <w:noProof/>
                <w:webHidden/>
              </w:rPr>
              <w:instrText xml:space="preserve"> PAGEREF _Toc491810742 \h </w:instrText>
            </w:r>
            <w:r w:rsidR="005E3E93">
              <w:rPr>
                <w:noProof/>
                <w:webHidden/>
              </w:rPr>
            </w:r>
            <w:r w:rsidR="005E3E93">
              <w:rPr>
                <w:noProof/>
                <w:webHidden/>
              </w:rPr>
              <w:fldChar w:fldCharType="separate"/>
            </w:r>
            <w:r>
              <w:rPr>
                <w:noProof/>
                <w:webHidden/>
              </w:rPr>
              <w:t>16</w:t>
            </w:r>
            <w:r w:rsidR="005E3E93">
              <w:rPr>
                <w:noProof/>
                <w:webHidden/>
              </w:rPr>
              <w:fldChar w:fldCharType="end"/>
            </w:r>
          </w:hyperlink>
        </w:p>
        <w:p w14:paraId="073C86DA"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43" w:history="1">
            <w:r w:rsidR="005E3E93" w:rsidRPr="003679A3">
              <w:rPr>
                <w:rStyle w:val="Hyperlink"/>
                <w:noProof/>
              </w:rPr>
              <w:t>3.4.2 Bioaccumulation in terrestrial organisms (soil dwelling organisms, vertebrates)</w:t>
            </w:r>
            <w:r w:rsidR="005E3E93">
              <w:rPr>
                <w:noProof/>
                <w:webHidden/>
              </w:rPr>
              <w:tab/>
            </w:r>
            <w:r w:rsidR="005E3E93">
              <w:rPr>
                <w:noProof/>
                <w:webHidden/>
              </w:rPr>
              <w:fldChar w:fldCharType="begin"/>
            </w:r>
            <w:r w:rsidR="005E3E93">
              <w:rPr>
                <w:noProof/>
                <w:webHidden/>
              </w:rPr>
              <w:instrText xml:space="preserve"> PAGEREF _Toc491810743 \h </w:instrText>
            </w:r>
            <w:r w:rsidR="005E3E93">
              <w:rPr>
                <w:noProof/>
                <w:webHidden/>
              </w:rPr>
            </w:r>
            <w:r w:rsidR="005E3E93">
              <w:rPr>
                <w:noProof/>
                <w:webHidden/>
              </w:rPr>
              <w:fldChar w:fldCharType="separate"/>
            </w:r>
            <w:r>
              <w:rPr>
                <w:noProof/>
                <w:webHidden/>
              </w:rPr>
              <w:t>18</w:t>
            </w:r>
            <w:r w:rsidR="005E3E93">
              <w:rPr>
                <w:noProof/>
                <w:webHidden/>
              </w:rPr>
              <w:fldChar w:fldCharType="end"/>
            </w:r>
          </w:hyperlink>
        </w:p>
        <w:p w14:paraId="380E197C"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44" w:history="1">
            <w:r w:rsidR="005E3E93" w:rsidRPr="003679A3">
              <w:rPr>
                <w:rStyle w:val="Hyperlink"/>
                <w:noProof/>
              </w:rPr>
              <w:t>3.4.3 Field data</w:t>
            </w:r>
            <w:r w:rsidR="005E3E93">
              <w:rPr>
                <w:noProof/>
                <w:webHidden/>
              </w:rPr>
              <w:tab/>
            </w:r>
            <w:r w:rsidR="005E3E93">
              <w:rPr>
                <w:noProof/>
                <w:webHidden/>
              </w:rPr>
              <w:fldChar w:fldCharType="begin"/>
            </w:r>
            <w:r w:rsidR="005E3E93">
              <w:rPr>
                <w:noProof/>
                <w:webHidden/>
              </w:rPr>
              <w:instrText xml:space="preserve"> PAGEREF _Toc491810744 \h </w:instrText>
            </w:r>
            <w:r w:rsidR="005E3E93">
              <w:rPr>
                <w:noProof/>
                <w:webHidden/>
              </w:rPr>
            </w:r>
            <w:r w:rsidR="005E3E93">
              <w:rPr>
                <w:noProof/>
                <w:webHidden/>
              </w:rPr>
              <w:fldChar w:fldCharType="separate"/>
            </w:r>
            <w:r>
              <w:rPr>
                <w:noProof/>
                <w:webHidden/>
              </w:rPr>
              <w:t>18</w:t>
            </w:r>
            <w:r w:rsidR="005E3E93">
              <w:rPr>
                <w:noProof/>
                <w:webHidden/>
              </w:rPr>
              <w:fldChar w:fldCharType="end"/>
            </w:r>
          </w:hyperlink>
        </w:p>
        <w:p w14:paraId="0FF47E0B"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45" w:history="1">
            <w:r w:rsidR="005E3E93" w:rsidRPr="003679A3">
              <w:rPr>
                <w:rStyle w:val="Hyperlink"/>
                <w:noProof/>
              </w:rPr>
              <w:t>3.4.4 Summary and discussion of bioaccumulation</w:t>
            </w:r>
            <w:r w:rsidR="005E3E93">
              <w:rPr>
                <w:noProof/>
                <w:webHidden/>
              </w:rPr>
              <w:tab/>
            </w:r>
            <w:r w:rsidR="005E3E93">
              <w:rPr>
                <w:noProof/>
                <w:webHidden/>
              </w:rPr>
              <w:fldChar w:fldCharType="begin"/>
            </w:r>
            <w:r w:rsidR="005E3E93">
              <w:rPr>
                <w:noProof/>
                <w:webHidden/>
              </w:rPr>
              <w:instrText xml:space="preserve"> PAGEREF _Toc491810745 \h </w:instrText>
            </w:r>
            <w:r w:rsidR="005E3E93">
              <w:rPr>
                <w:noProof/>
                <w:webHidden/>
              </w:rPr>
            </w:r>
            <w:r w:rsidR="005E3E93">
              <w:rPr>
                <w:noProof/>
                <w:webHidden/>
              </w:rPr>
              <w:fldChar w:fldCharType="separate"/>
            </w:r>
            <w:r>
              <w:rPr>
                <w:noProof/>
                <w:webHidden/>
              </w:rPr>
              <w:t>18</w:t>
            </w:r>
            <w:r w:rsidR="005E3E93">
              <w:rPr>
                <w:noProof/>
                <w:webHidden/>
              </w:rPr>
              <w:fldChar w:fldCharType="end"/>
            </w:r>
          </w:hyperlink>
        </w:p>
        <w:p w14:paraId="3194373A"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46" w:history="1">
            <w:r w:rsidR="005E3E93" w:rsidRPr="003679A3">
              <w:rPr>
                <w:rStyle w:val="Hyperlink"/>
                <w:noProof/>
              </w:rPr>
              <w:t>4. Human health hazard assessment</w:t>
            </w:r>
            <w:r w:rsidR="005E3E93">
              <w:rPr>
                <w:noProof/>
                <w:webHidden/>
              </w:rPr>
              <w:tab/>
            </w:r>
            <w:r w:rsidR="005E3E93">
              <w:rPr>
                <w:noProof/>
                <w:webHidden/>
              </w:rPr>
              <w:fldChar w:fldCharType="begin"/>
            </w:r>
            <w:r w:rsidR="005E3E93">
              <w:rPr>
                <w:noProof/>
                <w:webHidden/>
              </w:rPr>
              <w:instrText xml:space="preserve"> PAGEREF _Toc491810746 \h </w:instrText>
            </w:r>
            <w:r w:rsidR="005E3E93">
              <w:rPr>
                <w:noProof/>
                <w:webHidden/>
              </w:rPr>
            </w:r>
            <w:r w:rsidR="005E3E93">
              <w:rPr>
                <w:noProof/>
                <w:webHidden/>
              </w:rPr>
              <w:fldChar w:fldCharType="separate"/>
            </w:r>
            <w:r>
              <w:rPr>
                <w:noProof/>
                <w:webHidden/>
              </w:rPr>
              <w:t>19</w:t>
            </w:r>
            <w:r w:rsidR="005E3E93">
              <w:rPr>
                <w:noProof/>
                <w:webHidden/>
              </w:rPr>
              <w:fldChar w:fldCharType="end"/>
            </w:r>
          </w:hyperlink>
        </w:p>
        <w:p w14:paraId="1E176DA3"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47" w:history="1">
            <w:r w:rsidR="005E3E93" w:rsidRPr="003679A3">
              <w:rPr>
                <w:rStyle w:val="Hyperlink"/>
                <w:noProof/>
              </w:rPr>
              <w:t>5. Environmental hazard assessment</w:t>
            </w:r>
            <w:r w:rsidR="005E3E93">
              <w:rPr>
                <w:noProof/>
                <w:webHidden/>
              </w:rPr>
              <w:tab/>
            </w:r>
            <w:r w:rsidR="005E3E93">
              <w:rPr>
                <w:noProof/>
                <w:webHidden/>
              </w:rPr>
              <w:fldChar w:fldCharType="begin"/>
            </w:r>
            <w:r w:rsidR="005E3E93">
              <w:rPr>
                <w:noProof/>
                <w:webHidden/>
              </w:rPr>
              <w:instrText xml:space="preserve"> PAGEREF _Toc491810747 \h </w:instrText>
            </w:r>
            <w:r w:rsidR="005E3E93">
              <w:rPr>
                <w:noProof/>
                <w:webHidden/>
              </w:rPr>
            </w:r>
            <w:r w:rsidR="005E3E93">
              <w:rPr>
                <w:noProof/>
                <w:webHidden/>
              </w:rPr>
              <w:fldChar w:fldCharType="separate"/>
            </w:r>
            <w:r>
              <w:rPr>
                <w:noProof/>
                <w:webHidden/>
              </w:rPr>
              <w:t>20</w:t>
            </w:r>
            <w:r w:rsidR="005E3E93">
              <w:rPr>
                <w:noProof/>
                <w:webHidden/>
              </w:rPr>
              <w:fldChar w:fldCharType="end"/>
            </w:r>
          </w:hyperlink>
        </w:p>
        <w:p w14:paraId="03D5B739" w14:textId="77777777" w:rsidR="005E3E93" w:rsidRDefault="00B934DA">
          <w:pPr>
            <w:pStyle w:val="TOC2"/>
            <w:rPr>
              <w:rFonts w:asciiTheme="minorHAnsi" w:eastAsiaTheme="minorEastAsia" w:hAnsiTheme="minorHAnsi" w:cstheme="minorBidi"/>
              <w:noProof/>
              <w:sz w:val="22"/>
              <w:szCs w:val="22"/>
              <w:lang w:eastAsia="en-GB"/>
            </w:rPr>
          </w:pPr>
          <w:hyperlink w:anchor="_Toc491810748" w:history="1">
            <w:r w:rsidR="005E3E93" w:rsidRPr="003679A3">
              <w:rPr>
                <w:rStyle w:val="Hyperlink"/>
                <w:noProof/>
              </w:rPr>
              <w:t>5.1 Aquatic compartment (including sediment)</w:t>
            </w:r>
            <w:r w:rsidR="005E3E93">
              <w:rPr>
                <w:noProof/>
                <w:webHidden/>
              </w:rPr>
              <w:tab/>
            </w:r>
            <w:r w:rsidR="005E3E93">
              <w:rPr>
                <w:noProof/>
                <w:webHidden/>
              </w:rPr>
              <w:fldChar w:fldCharType="begin"/>
            </w:r>
            <w:r w:rsidR="005E3E93">
              <w:rPr>
                <w:noProof/>
                <w:webHidden/>
              </w:rPr>
              <w:instrText xml:space="preserve"> PAGEREF _Toc491810748 \h </w:instrText>
            </w:r>
            <w:r w:rsidR="005E3E93">
              <w:rPr>
                <w:noProof/>
                <w:webHidden/>
              </w:rPr>
            </w:r>
            <w:r w:rsidR="005E3E93">
              <w:rPr>
                <w:noProof/>
                <w:webHidden/>
              </w:rPr>
              <w:fldChar w:fldCharType="separate"/>
            </w:r>
            <w:r>
              <w:rPr>
                <w:noProof/>
                <w:webHidden/>
              </w:rPr>
              <w:t>20</w:t>
            </w:r>
            <w:r w:rsidR="005E3E93">
              <w:rPr>
                <w:noProof/>
                <w:webHidden/>
              </w:rPr>
              <w:fldChar w:fldCharType="end"/>
            </w:r>
          </w:hyperlink>
        </w:p>
        <w:p w14:paraId="38E2B13E"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49" w:history="1">
            <w:r w:rsidR="005E3E93" w:rsidRPr="003679A3">
              <w:rPr>
                <w:rStyle w:val="Hyperlink"/>
                <w:noProof/>
              </w:rPr>
              <w:t>5.1.1 Fish</w:t>
            </w:r>
            <w:r w:rsidR="005E3E93">
              <w:rPr>
                <w:noProof/>
                <w:webHidden/>
              </w:rPr>
              <w:tab/>
            </w:r>
            <w:r w:rsidR="005E3E93">
              <w:rPr>
                <w:noProof/>
                <w:webHidden/>
              </w:rPr>
              <w:fldChar w:fldCharType="begin"/>
            </w:r>
            <w:r w:rsidR="005E3E93">
              <w:rPr>
                <w:noProof/>
                <w:webHidden/>
              </w:rPr>
              <w:instrText xml:space="preserve"> PAGEREF _Toc491810749 \h </w:instrText>
            </w:r>
            <w:r w:rsidR="005E3E93">
              <w:rPr>
                <w:noProof/>
                <w:webHidden/>
              </w:rPr>
            </w:r>
            <w:r w:rsidR="005E3E93">
              <w:rPr>
                <w:noProof/>
                <w:webHidden/>
              </w:rPr>
              <w:fldChar w:fldCharType="separate"/>
            </w:r>
            <w:r>
              <w:rPr>
                <w:noProof/>
                <w:webHidden/>
              </w:rPr>
              <w:t>20</w:t>
            </w:r>
            <w:r w:rsidR="005E3E93">
              <w:rPr>
                <w:noProof/>
                <w:webHidden/>
              </w:rPr>
              <w:fldChar w:fldCharType="end"/>
            </w:r>
          </w:hyperlink>
        </w:p>
        <w:p w14:paraId="6BB65F74"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50" w:history="1">
            <w:r w:rsidR="005E3E93" w:rsidRPr="003679A3">
              <w:rPr>
                <w:rStyle w:val="Hyperlink"/>
                <w:noProof/>
              </w:rPr>
              <w:t>5.1.2 Aquatic invertebrates</w:t>
            </w:r>
            <w:r w:rsidR="005E3E93">
              <w:rPr>
                <w:noProof/>
                <w:webHidden/>
              </w:rPr>
              <w:tab/>
            </w:r>
            <w:r w:rsidR="005E3E93">
              <w:rPr>
                <w:noProof/>
                <w:webHidden/>
              </w:rPr>
              <w:fldChar w:fldCharType="begin"/>
            </w:r>
            <w:r w:rsidR="005E3E93">
              <w:rPr>
                <w:noProof/>
                <w:webHidden/>
              </w:rPr>
              <w:instrText xml:space="preserve"> PAGEREF _Toc491810750 \h </w:instrText>
            </w:r>
            <w:r w:rsidR="005E3E93">
              <w:rPr>
                <w:noProof/>
                <w:webHidden/>
              </w:rPr>
            </w:r>
            <w:r w:rsidR="005E3E93">
              <w:rPr>
                <w:noProof/>
                <w:webHidden/>
              </w:rPr>
              <w:fldChar w:fldCharType="separate"/>
            </w:r>
            <w:r>
              <w:rPr>
                <w:noProof/>
                <w:webHidden/>
              </w:rPr>
              <w:t>21</w:t>
            </w:r>
            <w:r w:rsidR="005E3E93">
              <w:rPr>
                <w:noProof/>
                <w:webHidden/>
              </w:rPr>
              <w:fldChar w:fldCharType="end"/>
            </w:r>
          </w:hyperlink>
        </w:p>
        <w:p w14:paraId="4E78CD5E"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51" w:history="1">
            <w:r w:rsidR="005E3E93" w:rsidRPr="003679A3">
              <w:rPr>
                <w:rStyle w:val="Hyperlink"/>
                <w:noProof/>
              </w:rPr>
              <w:t>5.1.3 Algae and aquatic plants</w:t>
            </w:r>
            <w:r w:rsidR="005E3E93">
              <w:rPr>
                <w:noProof/>
                <w:webHidden/>
              </w:rPr>
              <w:tab/>
            </w:r>
            <w:r w:rsidR="005E3E93">
              <w:rPr>
                <w:noProof/>
                <w:webHidden/>
              </w:rPr>
              <w:fldChar w:fldCharType="begin"/>
            </w:r>
            <w:r w:rsidR="005E3E93">
              <w:rPr>
                <w:noProof/>
                <w:webHidden/>
              </w:rPr>
              <w:instrText xml:space="preserve"> PAGEREF _Toc491810751 \h </w:instrText>
            </w:r>
            <w:r w:rsidR="005E3E93">
              <w:rPr>
                <w:noProof/>
                <w:webHidden/>
              </w:rPr>
            </w:r>
            <w:r w:rsidR="005E3E93">
              <w:rPr>
                <w:noProof/>
                <w:webHidden/>
              </w:rPr>
              <w:fldChar w:fldCharType="separate"/>
            </w:r>
            <w:r>
              <w:rPr>
                <w:noProof/>
                <w:webHidden/>
              </w:rPr>
              <w:t>21</w:t>
            </w:r>
            <w:r w:rsidR="005E3E93">
              <w:rPr>
                <w:noProof/>
                <w:webHidden/>
              </w:rPr>
              <w:fldChar w:fldCharType="end"/>
            </w:r>
          </w:hyperlink>
        </w:p>
        <w:p w14:paraId="0B6B5C1A"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52" w:history="1">
            <w:r w:rsidR="005E3E93" w:rsidRPr="003679A3">
              <w:rPr>
                <w:rStyle w:val="Hyperlink"/>
                <w:noProof/>
              </w:rPr>
              <w:t>5.1.4 Sediment organisms</w:t>
            </w:r>
            <w:r w:rsidR="005E3E93">
              <w:rPr>
                <w:noProof/>
                <w:webHidden/>
              </w:rPr>
              <w:tab/>
            </w:r>
            <w:r w:rsidR="005E3E93">
              <w:rPr>
                <w:noProof/>
                <w:webHidden/>
              </w:rPr>
              <w:fldChar w:fldCharType="begin"/>
            </w:r>
            <w:r w:rsidR="005E3E93">
              <w:rPr>
                <w:noProof/>
                <w:webHidden/>
              </w:rPr>
              <w:instrText xml:space="preserve"> PAGEREF _Toc491810752 \h </w:instrText>
            </w:r>
            <w:r w:rsidR="005E3E93">
              <w:rPr>
                <w:noProof/>
                <w:webHidden/>
              </w:rPr>
            </w:r>
            <w:r w:rsidR="005E3E93">
              <w:rPr>
                <w:noProof/>
                <w:webHidden/>
              </w:rPr>
              <w:fldChar w:fldCharType="separate"/>
            </w:r>
            <w:r>
              <w:rPr>
                <w:noProof/>
                <w:webHidden/>
              </w:rPr>
              <w:t>22</w:t>
            </w:r>
            <w:r w:rsidR="005E3E93">
              <w:rPr>
                <w:noProof/>
                <w:webHidden/>
              </w:rPr>
              <w:fldChar w:fldCharType="end"/>
            </w:r>
          </w:hyperlink>
        </w:p>
        <w:p w14:paraId="30B919D4"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53" w:history="1">
            <w:r w:rsidR="005E3E93" w:rsidRPr="003679A3">
              <w:rPr>
                <w:rStyle w:val="Hyperlink"/>
                <w:noProof/>
              </w:rPr>
              <w:t>5.1.5 Other aquatic organisms</w:t>
            </w:r>
            <w:r w:rsidR="005E3E93">
              <w:rPr>
                <w:noProof/>
                <w:webHidden/>
              </w:rPr>
              <w:tab/>
            </w:r>
            <w:r w:rsidR="005E3E93">
              <w:rPr>
                <w:noProof/>
                <w:webHidden/>
              </w:rPr>
              <w:fldChar w:fldCharType="begin"/>
            </w:r>
            <w:r w:rsidR="005E3E93">
              <w:rPr>
                <w:noProof/>
                <w:webHidden/>
              </w:rPr>
              <w:instrText xml:space="preserve"> PAGEREF _Toc491810753 \h </w:instrText>
            </w:r>
            <w:r w:rsidR="005E3E93">
              <w:rPr>
                <w:noProof/>
                <w:webHidden/>
              </w:rPr>
            </w:r>
            <w:r w:rsidR="005E3E93">
              <w:rPr>
                <w:noProof/>
                <w:webHidden/>
              </w:rPr>
              <w:fldChar w:fldCharType="separate"/>
            </w:r>
            <w:r>
              <w:rPr>
                <w:noProof/>
                <w:webHidden/>
              </w:rPr>
              <w:t>22</w:t>
            </w:r>
            <w:r w:rsidR="005E3E93">
              <w:rPr>
                <w:noProof/>
                <w:webHidden/>
              </w:rPr>
              <w:fldChar w:fldCharType="end"/>
            </w:r>
          </w:hyperlink>
        </w:p>
        <w:p w14:paraId="48209F53" w14:textId="77777777" w:rsidR="005E3E93" w:rsidRDefault="00B934DA">
          <w:pPr>
            <w:pStyle w:val="TOC2"/>
            <w:rPr>
              <w:rFonts w:asciiTheme="minorHAnsi" w:eastAsiaTheme="minorEastAsia" w:hAnsiTheme="minorHAnsi" w:cstheme="minorBidi"/>
              <w:noProof/>
              <w:sz w:val="22"/>
              <w:szCs w:val="22"/>
              <w:lang w:eastAsia="en-GB"/>
            </w:rPr>
          </w:pPr>
          <w:hyperlink w:anchor="_Toc491810754" w:history="1">
            <w:r w:rsidR="005E3E93" w:rsidRPr="003679A3">
              <w:rPr>
                <w:rStyle w:val="Hyperlink"/>
                <w:noProof/>
              </w:rPr>
              <w:t>5.2 Summary and discussion of the environmental hazard assessment</w:t>
            </w:r>
            <w:r w:rsidR="005E3E93">
              <w:rPr>
                <w:noProof/>
                <w:webHidden/>
              </w:rPr>
              <w:tab/>
            </w:r>
            <w:r w:rsidR="005E3E93">
              <w:rPr>
                <w:noProof/>
                <w:webHidden/>
              </w:rPr>
              <w:fldChar w:fldCharType="begin"/>
            </w:r>
            <w:r w:rsidR="005E3E93">
              <w:rPr>
                <w:noProof/>
                <w:webHidden/>
              </w:rPr>
              <w:instrText xml:space="preserve"> PAGEREF _Toc491810754 \h </w:instrText>
            </w:r>
            <w:r w:rsidR="005E3E93">
              <w:rPr>
                <w:noProof/>
                <w:webHidden/>
              </w:rPr>
            </w:r>
            <w:r w:rsidR="005E3E93">
              <w:rPr>
                <w:noProof/>
                <w:webHidden/>
              </w:rPr>
              <w:fldChar w:fldCharType="separate"/>
            </w:r>
            <w:r>
              <w:rPr>
                <w:noProof/>
                <w:webHidden/>
              </w:rPr>
              <w:t>22</w:t>
            </w:r>
            <w:r w:rsidR="005E3E93">
              <w:rPr>
                <w:noProof/>
                <w:webHidden/>
              </w:rPr>
              <w:fldChar w:fldCharType="end"/>
            </w:r>
          </w:hyperlink>
        </w:p>
        <w:p w14:paraId="268D0DAB"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55" w:history="1">
            <w:r w:rsidR="005E3E93" w:rsidRPr="003679A3">
              <w:rPr>
                <w:rStyle w:val="Hyperlink"/>
                <w:noProof/>
              </w:rPr>
              <w:t>6. Conclusions on the SVHC Properties</w:t>
            </w:r>
            <w:r w:rsidR="005E3E93">
              <w:rPr>
                <w:noProof/>
                <w:webHidden/>
              </w:rPr>
              <w:tab/>
            </w:r>
            <w:r w:rsidR="005E3E93">
              <w:rPr>
                <w:noProof/>
                <w:webHidden/>
              </w:rPr>
              <w:fldChar w:fldCharType="begin"/>
            </w:r>
            <w:r w:rsidR="005E3E93">
              <w:rPr>
                <w:noProof/>
                <w:webHidden/>
              </w:rPr>
              <w:instrText xml:space="preserve"> PAGEREF _Toc491810755 \h </w:instrText>
            </w:r>
            <w:r w:rsidR="005E3E93">
              <w:rPr>
                <w:noProof/>
                <w:webHidden/>
              </w:rPr>
            </w:r>
            <w:r w:rsidR="005E3E93">
              <w:rPr>
                <w:noProof/>
                <w:webHidden/>
              </w:rPr>
              <w:fldChar w:fldCharType="separate"/>
            </w:r>
            <w:r>
              <w:rPr>
                <w:noProof/>
                <w:webHidden/>
              </w:rPr>
              <w:t>24</w:t>
            </w:r>
            <w:r w:rsidR="005E3E93">
              <w:rPr>
                <w:noProof/>
                <w:webHidden/>
              </w:rPr>
              <w:fldChar w:fldCharType="end"/>
            </w:r>
          </w:hyperlink>
        </w:p>
        <w:p w14:paraId="0C521CC9" w14:textId="77777777" w:rsidR="005E3E93" w:rsidRDefault="00B934DA">
          <w:pPr>
            <w:pStyle w:val="TOC2"/>
            <w:rPr>
              <w:rFonts w:asciiTheme="minorHAnsi" w:eastAsiaTheme="minorEastAsia" w:hAnsiTheme="minorHAnsi" w:cstheme="minorBidi"/>
              <w:noProof/>
              <w:sz w:val="22"/>
              <w:szCs w:val="22"/>
              <w:lang w:eastAsia="en-GB"/>
            </w:rPr>
          </w:pPr>
          <w:hyperlink w:anchor="_Toc491810756" w:history="1">
            <w:r w:rsidR="005E3E93" w:rsidRPr="003679A3">
              <w:rPr>
                <w:rStyle w:val="Hyperlink"/>
                <w:noProof/>
              </w:rPr>
              <w:t>6.1 CMR assessment</w:t>
            </w:r>
            <w:r w:rsidR="005E3E93">
              <w:rPr>
                <w:noProof/>
                <w:webHidden/>
              </w:rPr>
              <w:tab/>
            </w:r>
            <w:r w:rsidR="005E3E93">
              <w:rPr>
                <w:noProof/>
                <w:webHidden/>
              </w:rPr>
              <w:fldChar w:fldCharType="begin"/>
            </w:r>
            <w:r w:rsidR="005E3E93">
              <w:rPr>
                <w:noProof/>
                <w:webHidden/>
              </w:rPr>
              <w:instrText xml:space="preserve"> PAGEREF _Toc491810756 \h </w:instrText>
            </w:r>
            <w:r w:rsidR="005E3E93">
              <w:rPr>
                <w:noProof/>
                <w:webHidden/>
              </w:rPr>
            </w:r>
            <w:r w:rsidR="005E3E93">
              <w:rPr>
                <w:noProof/>
                <w:webHidden/>
              </w:rPr>
              <w:fldChar w:fldCharType="separate"/>
            </w:r>
            <w:r>
              <w:rPr>
                <w:noProof/>
                <w:webHidden/>
              </w:rPr>
              <w:t>24</w:t>
            </w:r>
            <w:r w:rsidR="005E3E93">
              <w:rPr>
                <w:noProof/>
                <w:webHidden/>
              </w:rPr>
              <w:fldChar w:fldCharType="end"/>
            </w:r>
          </w:hyperlink>
        </w:p>
        <w:p w14:paraId="4526FF52" w14:textId="77777777" w:rsidR="005E3E93" w:rsidRDefault="00B934DA">
          <w:pPr>
            <w:pStyle w:val="TOC2"/>
            <w:rPr>
              <w:rFonts w:asciiTheme="minorHAnsi" w:eastAsiaTheme="minorEastAsia" w:hAnsiTheme="minorHAnsi" w:cstheme="minorBidi"/>
              <w:noProof/>
              <w:sz w:val="22"/>
              <w:szCs w:val="22"/>
              <w:lang w:eastAsia="en-GB"/>
            </w:rPr>
          </w:pPr>
          <w:hyperlink w:anchor="_Toc491810757" w:history="1">
            <w:r w:rsidR="005E3E93" w:rsidRPr="003679A3">
              <w:rPr>
                <w:rStyle w:val="Hyperlink"/>
                <w:noProof/>
              </w:rPr>
              <w:t>6.2 PBT and vPvB assessment</w:t>
            </w:r>
            <w:r w:rsidR="005E3E93">
              <w:rPr>
                <w:noProof/>
                <w:webHidden/>
              </w:rPr>
              <w:tab/>
            </w:r>
            <w:r w:rsidR="005E3E93">
              <w:rPr>
                <w:noProof/>
                <w:webHidden/>
              </w:rPr>
              <w:fldChar w:fldCharType="begin"/>
            </w:r>
            <w:r w:rsidR="005E3E93">
              <w:rPr>
                <w:noProof/>
                <w:webHidden/>
              </w:rPr>
              <w:instrText xml:space="preserve"> PAGEREF _Toc491810757 \h </w:instrText>
            </w:r>
            <w:r w:rsidR="005E3E93">
              <w:rPr>
                <w:noProof/>
                <w:webHidden/>
              </w:rPr>
            </w:r>
            <w:r w:rsidR="005E3E93">
              <w:rPr>
                <w:noProof/>
                <w:webHidden/>
              </w:rPr>
              <w:fldChar w:fldCharType="separate"/>
            </w:r>
            <w:r>
              <w:rPr>
                <w:noProof/>
                <w:webHidden/>
              </w:rPr>
              <w:t>24</w:t>
            </w:r>
            <w:r w:rsidR="005E3E93">
              <w:rPr>
                <w:noProof/>
                <w:webHidden/>
              </w:rPr>
              <w:fldChar w:fldCharType="end"/>
            </w:r>
          </w:hyperlink>
        </w:p>
        <w:p w14:paraId="041DBE64"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58" w:history="1">
            <w:r w:rsidR="005E3E93" w:rsidRPr="003679A3">
              <w:rPr>
                <w:rStyle w:val="Hyperlink"/>
                <w:noProof/>
              </w:rPr>
              <w:t>6.2.1 Assessment of PBT/vPvB properties</w:t>
            </w:r>
            <w:r w:rsidR="005E3E93">
              <w:rPr>
                <w:noProof/>
                <w:webHidden/>
              </w:rPr>
              <w:tab/>
            </w:r>
            <w:r w:rsidR="005E3E93">
              <w:rPr>
                <w:noProof/>
                <w:webHidden/>
              </w:rPr>
              <w:fldChar w:fldCharType="begin"/>
            </w:r>
            <w:r w:rsidR="005E3E93">
              <w:rPr>
                <w:noProof/>
                <w:webHidden/>
              </w:rPr>
              <w:instrText xml:space="preserve"> PAGEREF _Toc491810758 \h </w:instrText>
            </w:r>
            <w:r w:rsidR="005E3E93">
              <w:rPr>
                <w:noProof/>
                <w:webHidden/>
              </w:rPr>
            </w:r>
            <w:r w:rsidR="005E3E93">
              <w:rPr>
                <w:noProof/>
                <w:webHidden/>
              </w:rPr>
              <w:fldChar w:fldCharType="separate"/>
            </w:r>
            <w:r>
              <w:rPr>
                <w:noProof/>
                <w:webHidden/>
              </w:rPr>
              <w:t>24</w:t>
            </w:r>
            <w:r w:rsidR="005E3E93">
              <w:rPr>
                <w:noProof/>
                <w:webHidden/>
              </w:rPr>
              <w:fldChar w:fldCharType="end"/>
            </w:r>
          </w:hyperlink>
        </w:p>
        <w:p w14:paraId="041DAE64" w14:textId="77777777" w:rsidR="005E3E93" w:rsidRDefault="00B934DA">
          <w:pPr>
            <w:pStyle w:val="TOC3"/>
            <w:tabs>
              <w:tab w:val="right" w:leader="dot" w:pos="9017"/>
            </w:tabs>
            <w:rPr>
              <w:rFonts w:asciiTheme="minorHAnsi" w:eastAsiaTheme="minorEastAsia" w:hAnsiTheme="minorHAnsi" w:cstheme="minorBidi"/>
              <w:i w:val="0"/>
              <w:iCs w:val="0"/>
              <w:noProof/>
              <w:sz w:val="22"/>
              <w:szCs w:val="22"/>
              <w:lang w:eastAsia="en-GB"/>
            </w:rPr>
          </w:pPr>
          <w:hyperlink w:anchor="_Toc491810759" w:history="1">
            <w:r w:rsidR="005E3E93" w:rsidRPr="003679A3">
              <w:rPr>
                <w:rStyle w:val="Hyperlink"/>
                <w:noProof/>
              </w:rPr>
              <w:t>6.2.2 Summary and overall conclusions on the PBT and vPvB properties</w:t>
            </w:r>
            <w:r w:rsidR="005E3E93">
              <w:rPr>
                <w:noProof/>
                <w:webHidden/>
              </w:rPr>
              <w:tab/>
            </w:r>
            <w:r w:rsidR="005E3E93">
              <w:rPr>
                <w:noProof/>
                <w:webHidden/>
              </w:rPr>
              <w:fldChar w:fldCharType="begin"/>
            </w:r>
            <w:r w:rsidR="005E3E93">
              <w:rPr>
                <w:noProof/>
                <w:webHidden/>
              </w:rPr>
              <w:instrText xml:space="preserve"> PAGEREF _Toc491810759 \h </w:instrText>
            </w:r>
            <w:r w:rsidR="005E3E93">
              <w:rPr>
                <w:noProof/>
                <w:webHidden/>
              </w:rPr>
            </w:r>
            <w:r w:rsidR="005E3E93">
              <w:rPr>
                <w:noProof/>
                <w:webHidden/>
              </w:rPr>
              <w:fldChar w:fldCharType="separate"/>
            </w:r>
            <w:r>
              <w:rPr>
                <w:noProof/>
                <w:webHidden/>
              </w:rPr>
              <w:t>25</w:t>
            </w:r>
            <w:r w:rsidR="005E3E93">
              <w:rPr>
                <w:noProof/>
                <w:webHidden/>
              </w:rPr>
              <w:fldChar w:fldCharType="end"/>
            </w:r>
          </w:hyperlink>
        </w:p>
        <w:p w14:paraId="01B7DE51"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60" w:history="1">
            <w:r w:rsidR="005E3E93" w:rsidRPr="003679A3">
              <w:rPr>
                <w:rStyle w:val="Hyperlink"/>
                <w:noProof/>
              </w:rPr>
              <w:t>Part II</w:t>
            </w:r>
            <w:r w:rsidR="005E3E93">
              <w:rPr>
                <w:noProof/>
                <w:webHidden/>
              </w:rPr>
              <w:tab/>
            </w:r>
            <w:r w:rsidR="005E3E93">
              <w:rPr>
                <w:noProof/>
                <w:webHidden/>
              </w:rPr>
              <w:fldChar w:fldCharType="begin"/>
            </w:r>
            <w:r w:rsidR="005E3E93">
              <w:rPr>
                <w:noProof/>
                <w:webHidden/>
              </w:rPr>
              <w:instrText xml:space="preserve"> PAGEREF _Toc491810760 \h </w:instrText>
            </w:r>
            <w:r w:rsidR="005E3E93">
              <w:rPr>
                <w:noProof/>
                <w:webHidden/>
              </w:rPr>
            </w:r>
            <w:r w:rsidR="005E3E93">
              <w:rPr>
                <w:noProof/>
                <w:webHidden/>
              </w:rPr>
              <w:fldChar w:fldCharType="separate"/>
            </w:r>
            <w:r>
              <w:rPr>
                <w:noProof/>
                <w:webHidden/>
              </w:rPr>
              <w:t>26</w:t>
            </w:r>
            <w:r w:rsidR="005E3E93">
              <w:rPr>
                <w:noProof/>
                <w:webHidden/>
              </w:rPr>
              <w:fldChar w:fldCharType="end"/>
            </w:r>
          </w:hyperlink>
        </w:p>
        <w:p w14:paraId="05D86E72"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61" w:history="1">
            <w:r w:rsidR="005E3E93" w:rsidRPr="003679A3">
              <w:rPr>
                <w:rStyle w:val="Hyperlink"/>
                <w:noProof/>
              </w:rPr>
              <w:t>7. Registration and C&amp;L notification status</w:t>
            </w:r>
            <w:r w:rsidR="005E3E93">
              <w:rPr>
                <w:noProof/>
                <w:webHidden/>
              </w:rPr>
              <w:tab/>
            </w:r>
            <w:r w:rsidR="005E3E93">
              <w:rPr>
                <w:noProof/>
                <w:webHidden/>
              </w:rPr>
              <w:fldChar w:fldCharType="begin"/>
            </w:r>
            <w:r w:rsidR="005E3E93">
              <w:rPr>
                <w:noProof/>
                <w:webHidden/>
              </w:rPr>
              <w:instrText xml:space="preserve"> PAGEREF _Toc491810761 \h </w:instrText>
            </w:r>
            <w:r w:rsidR="005E3E93">
              <w:rPr>
                <w:noProof/>
                <w:webHidden/>
              </w:rPr>
            </w:r>
            <w:r w:rsidR="005E3E93">
              <w:rPr>
                <w:noProof/>
                <w:webHidden/>
              </w:rPr>
              <w:fldChar w:fldCharType="separate"/>
            </w:r>
            <w:r>
              <w:rPr>
                <w:noProof/>
                <w:webHidden/>
              </w:rPr>
              <w:t>26</w:t>
            </w:r>
            <w:r w:rsidR="005E3E93">
              <w:rPr>
                <w:noProof/>
                <w:webHidden/>
              </w:rPr>
              <w:fldChar w:fldCharType="end"/>
            </w:r>
          </w:hyperlink>
        </w:p>
        <w:p w14:paraId="5B11B48D" w14:textId="77777777" w:rsidR="005E3E93" w:rsidRDefault="00B934DA">
          <w:pPr>
            <w:pStyle w:val="TOC2"/>
            <w:tabs>
              <w:tab w:val="left" w:pos="800"/>
            </w:tabs>
            <w:rPr>
              <w:rFonts w:asciiTheme="minorHAnsi" w:eastAsiaTheme="minorEastAsia" w:hAnsiTheme="minorHAnsi" w:cstheme="minorBidi"/>
              <w:noProof/>
              <w:sz w:val="22"/>
              <w:szCs w:val="22"/>
              <w:lang w:eastAsia="en-GB"/>
            </w:rPr>
          </w:pPr>
          <w:hyperlink w:anchor="_Toc491810762" w:history="1">
            <w:r w:rsidR="005E3E93" w:rsidRPr="003679A3">
              <w:rPr>
                <w:rStyle w:val="Hyperlink"/>
                <w:rFonts w:cs="Times New Roman"/>
                <w:noProof/>
              </w:rPr>
              <w:t>7.1</w:t>
            </w:r>
            <w:r w:rsidR="005E3E93">
              <w:rPr>
                <w:rFonts w:asciiTheme="minorHAnsi" w:eastAsiaTheme="minorEastAsia" w:hAnsiTheme="minorHAnsi" w:cstheme="minorBidi"/>
                <w:noProof/>
                <w:sz w:val="22"/>
                <w:szCs w:val="22"/>
                <w:lang w:eastAsia="en-GB"/>
              </w:rPr>
              <w:tab/>
            </w:r>
            <w:r w:rsidR="005E3E93" w:rsidRPr="003679A3">
              <w:rPr>
                <w:rStyle w:val="Hyperlink"/>
                <w:noProof/>
              </w:rPr>
              <w:t>Registration status</w:t>
            </w:r>
            <w:r w:rsidR="005E3E93">
              <w:rPr>
                <w:noProof/>
                <w:webHidden/>
              </w:rPr>
              <w:tab/>
            </w:r>
            <w:r w:rsidR="005E3E93">
              <w:rPr>
                <w:noProof/>
                <w:webHidden/>
              </w:rPr>
              <w:fldChar w:fldCharType="begin"/>
            </w:r>
            <w:r w:rsidR="005E3E93">
              <w:rPr>
                <w:noProof/>
                <w:webHidden/>
              </w:rPr>
              <w:instrText xml:space="preserve"> PAGEREF _Toc491810762 \h </w:instrText>
            </w:r>
            <w:r w:rsidR="005E3E93">
              <w:rPr>
                <w:noProof/>
                <w:webHidden/>
              </w:rPr>
            </w:r>
            <w:r w:rsidR="005E3E93">
              <w:rPr>
                <w:noProof/>
                <w:webHidden/>
              </w:rPr>
              <w:fldChar w:fldCharType="separate"/>
            </w:r>
            <w:r>
              <w:rPr>
                <w:noProof/>
                <w:webHidden/>
              </w:rPr>
              <w:t>26</w:t>
            </w:r>
            <w:r w:rsidR="005E3E93">
              <w:rPr>
                <w:noProof/>
                <w:webHidden/>
              </w:rPr>
              <w:fldChar w:fldCharType="end"/>
            </w:r>
          </w:hyperlink>
        </w:p>
        <w:p w14:paraId="51486B57" w14:textId="77777777" w:rsidR="005E3E93" w:rsidRDefault="00B934DA">
          <w:pPr>
            <w:pStyle w:val="TOC2"/>
            <w:rPr>
              <w:rFonts w:asciiTheme="minorHAnsi" w:eastAsiaTheme="minorEastAsia" w:hAnsiTheme="minorHAnsi" w:cstheme="minorBidi"/>
              <w:noProof/>
              <w:sz w:val="22"/>
              <w:szCs w:val="22"/>
              <w:lang w:eastAsia="en-GB"/>
            </w:rPr>
          </w:pPr>
          <w:hyperlink w:anchor="_Toc491810763" w:history="1">
            <w:r w:rsidR="005E3E93" w:rsidRPr="003679A3">
              <w:rPr>
                <w:rStyle w:val="Hyperlink"/>
                <w:noProof/>
              </w:rPr>
              <w:t>7.2 CLP notification status</w:t>
            </w:r>
            <w:r w:rsidR="005E3E93">
              <w:rPr>
                <w:noProof/>
                <w:webHidden/>
              </w:rPr>
              <w:tab/>
            </w:r>
            <w:r w:rsidR="005E3E93">
              <w:rPr>
                <w:noProof/>
                <w:webHidden/>
              </w:rPr>
              <w:fldChar w:fldCharType="begin"/>
            </w:r>
            <w:r w:rsidR="005E3E93">
              <w:rPr>
                <w:noProof/>
                <w:webHidden/>
              </w:rPr>
              <w:instrText xml:space="preserve"> PAGEREF _Toc491810763 \h </w:instrText>
            </w:r>
            <w:r w:rsidR="005E3E93">
              <w:rPr>
                <w:noProof/>
                <w:webHidden/>
              </w:rPr>
            </w:r>
            <w:r w:rsidR="005E3E93">
              <w:rPr>
                <w:noProof/>
                <w:webHidden/>
              </w:rPr>
              <w:fldChar w:fldCharType="separate"/>
            </w:r>
            <w:r>
              <w:rPr>
                <w:noProof/>
                <w:webHidden/>
              </w:rPr>
              <w:t>26</w:t>
            </w:r>
            <w:r w:rsidR="005E3E93">
              <w:rPr>
                <w:noProof/>
                <w:webHidden/>
              </w:rPr>
              <w:fldChar w:fldCharType="end"/>
            </w:r>
          </w:hyperlink>
        </w:p>
        <w:p w14:paraId="624AC943"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64" w:history="1">
            <w:r w:rsidR="005E3E93" w:rsidRPr="003679A3">
              <w:rPr>
                <w:rStyle w:val="Hyperlink"/>
                <w:noProof/>
              </w:rPr>
              <w:t>8. Total tonnage of the substance</w:t>
            </w:r>
            <w:r w:rsidR="005E3E93">
              <w:rPr>
                <w:noProof/>
                <w:webHidden/>
              </w:rPr>
              <w:tab/>
            </w:r>
            <w:r w:rsidR="005E3E93">
              <w:rPr>
                <w:noProof/>
                <w:webHidden/>
              </w:rPr>
              <w:fldChar w:fldCharType="begin"/>
            </w:r>
            <w:r w:rsidR="005E3E93">
              <w:rPr>
                <w:noProof/>
                <w:webHidden/>
              </w:rPr>
              <w:instrText xml:space="preserve"> PAGEREF _Toc491810764 \h </w:instrText>
            </w:r>
            <w:r w:rsidR="005E3E93">
              <w:rPr>
                <w:noProof/>
                <w:webHidden/>
              </w:rPr>
            </w:r>
            <w:r w:rsidR="005E3E93">
              <w:rPr>
                <w:noProof/>
                <w:webHidden/>
              </w:rPr>
              <w:fldChar w:fldCharType="separate"/>
            </w:r>
            <w:r>
              <w:rPr>
                <w:noProof/>
                <w:webHidden/>
              </w:rPr>
              <w:t>26</w:t>
            </w:r>
            <w:r w:rsidR="005E3E93">
              <w:rPr>
                <w:noProof/>
                <w:webHidden/>
              </w:rPr>
              <w:fldChar w:fldCharType="end"/>
            </w:r>
          </w:hyperlink>
        </w:p>
        <w:p w14:paraId="6A17F551"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65" w:history="1">
            <w:r w:rsidR="005E3E93" w:rsidRPr="003679A3">
              <w:rPr>
                <w:rStyle w:val="Hyperlink"/>
                <w:noProof/>
              </w:rPr>
              <w:t>9. Information on uses of the substance</w:t>
            </w:r>
            <w:r w:rsidR="005E3E93">
              <w:rPr>
                <w:noProof/>
                <w:webHidden/>
              </w:rPr>
              <w:tab/>
            </w:r>
            <w:r w:rsidR="005E3E93">
              <w:rPr>
                <w:noProof/>
                <w:webHidden/>
              </w:rPr>
              <w:fldChar w:fldCharType="begin"/>
            </w:r>
            <w:r w:rsidR="005E3E93">
              <w:rPr>
                <w:noProof/>
                <w:webHidden/>
              </w:rPr>
              <w:instrText xml:space="preserve"> PAGEREF _Toc491810765 \h </w:instrText>
            </w:r>
            <w:r w:rsidR="005E3E93">
              <w:rPr>
                <w:noProof/>
                <w:webHidden/>
              </w:rPr>
            </w:r>
            <w:r w:rsidR="005E3E93">
              <w:rPr>
                <w:noProof/>
                <w:webHidden/>
              </w:rPr>
              <w:fldChar w:fldCharType="separate"/>
            </w:r>
            <w:r>
              <w:rPr>
                <w:noProof/>
                <w:webHidden/>
              </w:rPr>
              <w:t>26</w:t>
            </w:r>
            <w:r w:rsidR="005E3E93">
              <w:rPr>
                <w:noProof/>
                <w:webHidden/>
              </w:rPr>
              <w:fldChar w:fldCharType="end"/>
            </w:r>
          </w:hyperlink>
        </w:p>
        <w:p w14:paraId="342B066F"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66" w:history="1">
            <w:r w:rsidR="005E3E93" w:rsidRPr="003679A3">
              <w:rPr>
                <w:rStyle w:val="Hyperlink"/>
                <w:noProof/>
              </w:rPr>
              <w:t>10. Information on structure of the supply chain</w:t>
            </w:r>
            <w:r w:rsidR="005E3E93">
              <w:rPr>
                <w:noProof/>
                <w:webHidden/>
              </w:rPr>
              <w:tab/>
            </w:r>
            <w:r w:rsidR="005E3E93">
              <w:rPr>
                <w:noProof/>
                <w:webHidden/>
              </w:rPr>
              <w:fldChar w:fldCharType="begin"/>
            </w:r>
            <w:r w:rsidR="005E3E93">
              <w:rPr>
                <w:noProof/>
                <w:webHidden/>
              </w:rPr>
              <w:instrText xml:space="preserve"> PAGEREF _Toc491810766 \h </w:instrText>
            </w:r>
            <w:r w:rsidR="005E3E93">
              <w:rPr>
                <w:noProof/>
                <w:webHidden/>
              </w:rPr>
            </w:r>
            <w:r w:rsidR="005E3E93">
              <w:rPr>
                <w:noProof/>
                <w:webHidden/>
              </w:rPr>
              <w:fldChar w:fldCharType="separate"/>
            </w:r>
            <w:r>
              <w:rPr>
                <w:noProof/>
                <w:webHidden/>
              </w:rPr>
              <w:t>27</w:t>
            </w:r>
            <w:r w:rsidR="005E3E93">
              <w:rPr>
                <w:noProof/>
                <w:webHidden/>
              </w:rPr>
              <w:fldChar w:fldCharType="end"/>
            </w:r>
          </w:hyperlink>
        </w:p>
        <w:p w14:paraId="71A29A47"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67" w:history="1">
            <w:r w:rsidR="005E3E93" w:rsidRPr="003679A3">
              <w:rPr>
                <w:rStyle w:val="Hyperlink"/>
                <w:noProof/>
              </w:rPr>
              <w:t>11. Additional information</w:t>
            </w:r>
            <w:r w:rsidR="005E3E93">
              <w:rPr>
                <w:noProof/>
                <w:webHidden/>
              </w:rPr>
              <w:tab/>
            </w:r>
            <w:r w:rsidR="005E3E93">
              <w:rPr>
                <w:noProof/>
                <w:webHidden/>
              </w:rPr>
              <w:fldChar w:fldCharType="begin"/>
            </w:r>
            <w:r w:rsidR="005E3E93">
              <w:rPr>
                <w:noProof/>
                <w:webHidden/>
              </w:rPr>
              <w:instrText xml:space="preserve"> PAGEREF _Toc491810767 \h </w:instrText>
            </w:r>
            <w:r w:rsidR="005E3E93">
              <w:rPr>
                <w:noProof/>
                <w:webHidden/>
              </w:rPr>
            </w:r>
            <w:r w:rsidR="005E3E93">
              <w:rPr>
                <w:noProof/>
                <w:webHidden/>
              </w:rPr>
              <w:fldChar w:fldCharType="separate"/>
            </w:r>
            <w:r>
              <w:rPr>
                <w:noProof/>
                <w:webHidden/>
              </w:rPr>
              <w:t>27</w:t>
            </w:r>
            <w:r w:rsidR="005E3E93">
              <w:rPr>
                <w:noProof/>
                <w:webHidden/>
              </w:rPr>
              <w:fldChar w:fldCharType="end"/>
            </w:r>
          </w:hyperlink>
        </w:p>
        <w:p w14:paraId="06057A5A" w14:textId="77777777" w:rsidR="005E3E93" w:rsidRDefault="00B934DA">
          <w:pPr>
            <w:pStyle w:val="TOC2"/>
            <w:rPr>
              <w:rFonts w:asciiTheme="minorHAnsi" w:eastAsiaTheme="minorEastAsia" w:hAnsiTheme="minorHAnsi" w:cstheme="minorBidi"/>
              <w:noProof/>
              <w:sz w:val="22"/>
              <w:szCs w:val="22"/>
              <w:lang w:eastAsia="en-GB"/>
            </w:rPr>
          </w:pPr>
          <w:hyperlink w:anchor="_Toc491810768" w:history="1">
            <w:r w:rsidR="005E3E93" w:rsidRPr="003679A3">
              <w:rPr>
                <w:rStyle w:val="Hyperlink"/>
                <w:noProof/>
              </w:rPr>
              <w:t>11.1 Substances with similar hazard and use profiles on the Candidate List</w:t>
            </w:r>
            <w:r w:rsidR="005E3E93">
              <w:rPr>
                <w:noProof/>
                <w:webHidden/>
              </w:rPr>
              <w:tab/>
            </w:r>
            <w:r w:rsidR="005E3E93">
              <w:rPr>
                <w:noProof/>
                <w:webHidden/>
              </w:rPr>
              <w:fldChar w:fldCharType="begin"/>
            </w:r>
            <w:r w:rsidR="005E3E93">
              <w:rPr>
                <w:noProof/>
                <w:webHidden/>
              </w:rPr>
              <w:instrText xml:space="preserve"> PAGEREF _Toc491810768 \h </w:instrText>
            </w:r>
            <w:r w:rsidR="005E3E93">
              <w:rPr>
                <w:noProof/>
                <w:webHidden/>
              </w:rPr>
            </w:r>
            <w:r w:rsidR="005E3E93">
              <w:rPr>
                <w:noProof/>
                <w:webHidden/>
              </w:rPr>
              <w:fldChar w:fldCharType="separate"/>
            </w:r>
            <w:r>
              <w:rPr>
                <w:noProof/>
                <w:webHidden/>
              </w:rPr>
              <w:t>27</w:t>
            </w:r>
            <w:r w:rsidR="005E3E93">
              <w:rPr>
                <w:noProof/>
                <w:webHidden/>
              </w:rPr>
              <w:fldChar w:fldCharType="end"/>
            </w:r>
          </w:hyperlink>
        </w:p>
        <w:p w14:paraId="1B33792F" w14:textId="77777777" w:rsidR="005E3E93" w:rsidRDefault="00B934DA">
          <w:pPr>
            <w:pStyle w:val="TOC2"/>
            <w:rPr>
              <w:rFonts w:asciiTheme="minorHAnsi" w:eastAsiaTheme="minorEastAsia" w:hAnsiTheme="minorHAnsi" w:cstheme="minorBidi"/>
              <w:noProof/>
              <w:sz w:val="22"/>
              <w:szCs w:val="22"/>
              <w:lang w:eastAsia="en-GB"/>
            </w:rPr>
          </w:pPr>
          <w:hyperlink w:anchor="_Toc491810769" w:history="1">
            <w:r w:rsidR="005E3E93" w:rsidRPr="003679A3">
              <w:rPr>
                <w:rStyle w:val="Hyperlink"/>
                <w:noProof/>
              </w:rPr>
              <w:t>11.2 Alternatives</w:t>
            </w:r>
            <w:r w:rsidR="005E3E93">
              <w:rPr>
                <w:noProof/>
                <w:webHidden/>
              </w:rPr>
              <w:tab/>
            </w:r>
            <w:r w:rsidR="005E3E93">
              <w:rPr>
                <w:noProof/>
                <w:webHidden/>
              </w:rPr>
              <w:fldChar w:fldCharType="begin"/>
            </w:r>
            <w:r w:rsidR="005E3E93">
              <w:rPr>
                <w:noProof/>
                <w:webHidden/>
              </w:rPr>
              <w:instrText xml:space="preserve"> PAGEREF _Toc491810769 \h </w:instrText>
            </w:r>
            <w:r w:rsidR="005E3E93">
              <w:rPr>
                <w:noProof/>
                <w:webHidden/>
              </w:rPr>
            </w:r>
            <w:r w:rsidR="005E3E93">
              <w:rPr>
                <w:noProof/>
                <w:webHidden/>
              </w:rPr>
              <w:fldChar w:fldCharType="separate"/>
            </w:r>
            <w:r>
              <w:rPr>
                <w:noProof/>
                <w:webHidden/>
              </w:rPr>
              <w:t>27</w:t>
            </w:r>
            <w:r w:rsidR="005E3E93">
              <w:rPr>
                <w:noProof/>
                <w:webHidden/>
              </w:rPr>
              <w:fldChar w:fldCharType="end"/>
            </w:r>
          </w:hyperlink>
        </w:p>
        <w:p w14:paraId="20BCB32D" w14:textId="77777777" w:rsidR="005E3E93" w:rsidRDefault="00B934DA">
          <w:pPr>
            <w:pStyle w:val="TOC2"/>
            <w:rPr>
              <w:rFonts w:asciiTheme="minorHAnsi" w:eastAsiaTheme="minorEastAsia" w:hAnsiTheme="minorHAnsi" w:cstheme="minorBidi"/>
              <w:noProof/>
              <w:sz w:val="22"/>
              <w:szCs w:val="22"/>
              <w:lang w:eastAsia="en-GB"/>
            </w:rPr>
          </w:pPr>
          <w:hyperlink w:anchor="_Toc491810770" w:history="1">
            <w:r w:rsidR="005E3E93" w:rsidRPr="003679A3">
              <w:rPr>
                <w:rStyle w:val="Hyperlink"/>
                <w:noProof/>
              </w:rPr>
              <w:t>11.3 Existing EU legislation</w:t>
            </w:r>
            <w:r w:rsidR="005E3E93">
              <w:rPr>
                <w:noProof/>
                <w:webHidden/>
              </w:rPr>
              <w:tab/>
            </w:r>
            <w:r w:rsidR="005E3E93">
              <w:rPr>
                <w:noProof/>
                <w:webHidden/>
              </w:rPr>
              <w:fldChar w:fldCharType="begin"/>
            </w:r>
            <w:r w:rsidR="005E3E93">
              <w:rPr>
                <w:noProof/>
                <w:webHidden/>
              </w:rPr>
              <w:instrText xml:space="preserve"> PAGEREF _Toc491810770 \h </w:instrText>
            </w:r>
            <w:r w:rsidR="005E3E93">
              <w:rPr>
                <w:noProof/>
                <w:webHidden/>
              </w:rPr>
            </w:r>
            <w:r w:rsidR="005E3E93">
              <w:rPr>
                <w:noProof/>
                <w:webHidden/>
              </w:rPr>
              <w:fldChar w:fldCharType="separate"/>
            </w:r>
            <w:r>
              <w:rPr>
                <w:noProof/>
                <w:webHidden/>
              </w:rPr>
              <w:t>28</w:t>
            </w:r>
            <w:r w:rsidR="005E3E93">
              <w:rPr>
                <w:noProof/>
                <w:webHidden/>
              </w:rPr>
              <w:fldChar w:fldCharType="end"/>
            </w:r>
          </w:hyperlink>
        </w:p>
        <w:p w14:paraId="02329A8C" w14:textId="77777777" w:rsidR="005E3E93" w:rsidRDefault="00B934DA">
          <w:pPr>
            <w:pStyle w:val="TOC2"/>
            <w:rPr>
              <w:rFonts w:asciiTheme="minorHAnsi" w:eastAsiaTheme="minorEastAsia" w:hAnsiTheme="minorHAnsi" w:cstheme="minorBidi"/>
              <w:noProof/>
              <w:sz w:val="22"/>
              <w:szCs w:val="22"/>
              <w:lang w:eastAsia="en-GB"/>
            </w:rPr>
          </w:pPr>
          <w:hyperlink w:anchor="_Toc491810771" w:history="1">
            <w:r w:rsidR="005E3E93" w:rsidRPr="003679A3">
              <w:rPr>
                <w:rStyle w:val="Hyperlink"/>
                <w:noProof/>
              </w:rPr>
              <w:t>11.4 Previous assessments by other authorities</w:t>
            </w:r>
            <w:r w:rsidR="005E3E93">
              <w:rPr>
                <w:noProof/>
                <w:webHidden/>
              </w:rPr>
              <w:tab/>
            </w:r>
            <w:r w:rsidR="005E3E93">
              <w:rPr>
                <w:noProof/>
                <w:webHidden/>
              </w:rPr>
              <w:fldChar w:fldCharType="begin"/>
            </w:r>
            <w:r w:rsidR="005E3E93">
              <w:rPr>
                <w:noProof/>
                <w:webHidden/>
              </w:rPr>
              <w:instrText xml:space="preserve"> PAGEREF _Toc491810771 \h </w:instrText>
            </w:r>
            <w:r w:rsidR="005E3E93">
              <w:rPr>
                <w:noProof/>
                <w:webHidden/>
              </w:rPr>
            </w:r>
            <w:r w:rsidR="005E3E93">
              <w:rPr>
                <w:noProof/>
                <w:webHidden/>
              </w:rPr>
              <w:fldChar w:fldCharType="separate"/>
            </w:r>
            <w:r>
              <w:rPr>
                <w:noProof/>
                <w:webHidden/>
              </w:rPr>
              <w:t>28</w:t>
            </w:r>
            <w:r w:rsidR="005E3E93">
              <w:rPr>
                <w:noProof/>
                <w:webHidden/>
              </w:rPr>
              <w:fldChar w:fldCharType="end"/>
            </w:r>
          </w:hyperlink>
        </w:p>
        <w:p w14:paraId="6A5F8E20"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72" w:history="1">
            <w:r w:rsidR="005E3E93" w:rsidRPr="003679A3">
              <w:rPr>
                <w:rStyle w:val="Hyperlink"/>
                <w:noProof/>
              </w:rPr>
              <w:t>References for Part I</w:t>
            </w:r>
            <w:r w:rsidR="005E3E93">
              <w:rPr>
                <w:noProof/>
                <w:webHidden/>
              </w:rPr>
              <w:tab/>
            </w:r>
            <w:r w:rsidR="005E3E93">
              <w:rPr>
                <w:noProof/>
                <w:webHidden/>
              </w:rPr>
              <w:fldChar w:fldCharType="begin"/>
            </w:r>
            <w:r w:rsidR="005E3E93">
              <w:rPr>
                <w:noProof/>
                <w:webHidden/>
              </w:rPr>
              <w:instrText xml:space="preserve"> PAGEREF _Toc491810772 \h </w:instrText>
            </w:r>
            <w:r w:rsidR="005E3E93">
              <w:rPr>
                <w:noProof/>
                <w:webHidden/>
              </w:rPr>
            </w:r>
            <w:r w:rsidR="005E3E93">
              <w:rPr>
                <w:noProof/>
                <w:webHidden/>
              </w:rPr>
              <w:fldChar w:fldCharType="separate"/>
            </w:r>
            <w:r>
              <w:rPr>
                <w:noProof/>
                <w:webHidden/>
              </w:rPr>
              <w:t>29</w:t>
            </w:r>
            <w:r w:rsidR="005E3E93">
              <w:rPr>
                <w:noProof/>
                <w:webHidden/>
              </w:rPr>
              <w:fldChar w:fldCharType="end"/>
            </w:r>
          </w:hyperlink>
        </w:p>
        <w:p w14:paraId="6EDC5457" w14:textId="77777777" w:rsidR="005E3E93" w:rsidRDefault="00B934DA">
          <w:pPr>
            <w:pStyle w:val="TOC1"/>
            <w:rPr>
              <w:rFonts w:asciiTheme="minorHAnsi" w:eastAsiaTheme="minorEastAsia" w:hAnsiTheme="minorHAnsi" w:cstheme="minorBidi"/>
              <w:b w:val="0"/>
              <w:bCs w:val="0"/>
              <w:caps w:val="0"/>
              <w:noProof/>
              <w:sz w:val="22"/>
              <w:szCs w:val="22"/>
              <w:lang w:eastAsia="en-GB"/>
            </w:rPr>
          </w:pPr>
          <w:hyperlink w:anchor="_Toc491810773" w:history="1">
            <w:r w:rsidR="005E3E93" w:rsidRPr="003679A3">
              <w:rPr>
                <w:rStyle w:val="Hyperlink"/>
                <w:noProof/>
              </w:rPr>
              <w:t>References for Part II</w:t>
            </w:r>
            <w:r w:rsidR="005E3E93">
              <w:rPr>
                <w:noProof/>
                <w:webHidden/>
              </w:rPr>
              <w:tab/>
            </w:r>
            <w:r w:rsidR="005E3E93">
              <w:rPr>
                <w:noProof/>
                <w:webHidden/>
              </w:rPr>
              <w:fldChar w:fldCharType="begin"/>
            </w:r>
            <w:r w:rsidR="005E3E93">
              <w:rPr>
                <w:noProof/>
                <w:webHidden/>
              </w:rPr>
              <w:instrText xml:space="preserve"> PAGEREF _Toc491810773 \h </w:instrText>
            </w:r>
            <w:r w:rsidR="005E3E93">
              <w:rPr>
                <w:noProof/>
                <w:webHidden/>
              </w:rPr>
            </w:r>
            <w:r w:rsidR="005E3E93">
              <w:rPr>
                <w:noProof/>
                <w:webHidden/>
              </w:rPr>
              <w:fldChar w:fldCharType="separate"/>
            </w:r>
            <w:r>
              <w:rPr>
                <w:noProof/>
                <w:webHidden/>
              </w:rPr>
              <w:t>32</w:t>
            </w:r>
            <w:r w:rsidR="005E3E93">
              <w:rPr>
                <w:noProof/>
                <w:webHidden/>
              </w:rPr>
              <w:fldChar w:fldCharType="end"/>
            </w:r>
          </w:hyperlink>
        </w:p>
        <w:p w14:paraId="115C59E5" w14:textId="77777777" w:rsidR="004607CB" w:rsidRDefault="000721AD">
          <w:r>
            <w:rPr>
              <w:b/>
              <w:bCs/>
              <w:noProof/>
            </w:rPr>
            <w:fldChar w:fldCharType="end"/>
          </w:r>
        </w:p>
      </w:sdtContent>
    </w:sdt>
    <w:p w14:paraId="115C59E6" w14:textId="77777777" w:rsidR="00701920" w:rsidRDefault="00701920">
      <w:pPr>
        <w:pStyle w:val="TOC1"/>
      </w:pPr>
    </w:p>
    <w:p w14:paraId="115C59E7" w14:textId="77777777" w:rsidR="00DD36C7" w:rsidRDefault="00DD36C7"/>
    <w:p w14:paraId="115C59E8" w14:textId="77777777" w:rsidR="00B12C39" w:rsidRPr="00527E99" w:rsidRDefault="00B12C39" w:rsidP="00B12C39">
      <w:pPr>
        <w:rPr>
          <w:lang w:eastAsia="en-US"/>
        </w:rPr>
      </w:pPr>
      <w:r>
        <w:rPr>
          <w:lang w:eastAsia="en-US"/>
        </w:rPr>
        <w:br w:type="page"/>
      </w:r>
    </w:p>
    <w:p w14:paraId="115C59E9" w14:textId="77777777" w:rsidR="00B12C39" w:rsidRDefault="00B12C39" w:rsidP="00B12C39">
      <w:pPr>
        <w:pStyle w:val="Titleintro"/>
      </w:pPr>
      <w:bookmarkStart w:id="1" w:name="_Toc316637272"/>
      <w:r w:rsidRPr="00AC092B">
        <w:lastRenderedPageBreak/>
        <w:t>TABLES</w:t>
      </w:r>
      <w:r>
        <w:t xml:space="preserve"> </w:t>
      </w:r>
      <w:bookmarkEnd w:id="1"/>
    </w:p>
    <w:p w14:paraId="115C59EA" w14:textId="77777777" w:rsidR="00B12C39" w:rsidRPr="00672AA9" w:rsidRDefault="00B12C39" w:rsidP="00961C4C"/>
    <w:p w14:paraId="53DC5709" w14:textId="77777777" w:rsidR="00771635" w:rsidRPr="00771635" w:rsidRDefault="000721AD">
      <w:pPr>
        <w:pStyle w:val="TableofFigures"/>
        <w:tabs>
          <w:tab w:val="right" w:leader="dot" w:pos="8898"/>
        </w:tabs>
        <w:rPr>
          <w:rFonts w:asciiTheme="minorHAnsi" w:eastAsiaTheme="minorEastAsia" w:hAnsiTheme="minorHAnsi" w:cstheme="minorBidi"/>
          <w:noProof/>
          <w:sz w:val="22"/>
          <w:szCs w:val="22"/>
          <w:lang w:eastAsia="en-GB"/>
        </w:rPr>
      </w:pPr>
      <w:r>
        <w:fldChar w:fldCharType="begin"/>
      </w:r>
      <w:r w:rsidR="003215DB">
        <w:instrText xml:space="preserve"> TOC \h \z \c "Table" </w:instrText>
      </w:r>
      <w:r>
        <w:fldChar w:fldCharType="separate"/>
      </w:r>
      <w:hyperlink w:anchor="_Toc491875965" w:history="1">
        <w:r w:rsidR="00771635" w:rsidRPr="00771635">
          <w:rPr>
            <w:rStyle w:val="Hyperlink"/>
            <w:noProof/>
          </w:rPr>
          <w:t>Table 1: Substance identity</w:t>
        </w:r>
        <w:r w:rsidR="00771635" w:rsidRPr="00771635">
          <w:rPr>
            <w:noProof/>
            <w:webHidden/>
          </w:rPr>
          <w:tab/>
        </w:r>
        <w:r w:rsidR="00771635" w:rsidRPr="00771635">
          <w:rPr>
            <w:noProof/>
            <w:webHidden/>
          </w:rPr>
          <w:fldChar w:fldCharType="begin"/>
        </w:r>
        <w:r w:rsidR="00771635" w:rsidRPr="00771635">
          <w:rPr>
            <w:noProof/>
            <w:webHidden/>
          </w:rPr>
          <w:instrText xml:space="preserve"> PAGEREF _Toc491875965 \h </w:instrText>
        </w:r>
        <w:r w:rsidR="00771635" w:rsidRPr="00771635">
          <w:rPr>
            <w:noProof/>
            <w:webHidden/>
          </w:rPr>
        </w:r>
        <w:r w:rsidR="00771635" w:rsidRPr="00771635">
          <w:rPr>
            <w:noProof/>
            <w:webHidden/>
          </w:rPr>
          <w:fldChar w:fldCharType="separate"/>
        </w:r>
        <w:r w:rsidR="00B934DA">
          <w:rPr>
            <w:noProof/>
            <w:webHidden/>
          </w:rPr>
          <w:t>8</w:t>
        </w:r>
        <w:r w:rsidR="00771635" w:rsidRPr="00771635">
          <w:rPr>
            <w:noProof/>
            <w:webHidden/>
          </w:rPr>
          <w:fldChar w:fldCharType="end"/>
        </w:r>
      </w:hyperlink>
    </w:p>
    <w:p w14:paraId="4703CB1C" w14:textId="77777777" w:rsidR="00771635" w:rsidRPr="00771635" w:rsidRDefault="00771635">
      <w:pPr>
        <w:pStyle w:val="TableofFigures"/>
        <w:tabs>
          <w:tab w:val="right" w:leader="dot" w:pos="8898"/>
        </w:tabs>
        <w:rPr>
          <w:rFonts w:asciiTheme="minorHAnsi" w:eastAsiaTheme="minorEastAsia" w:hAnsiTheme="minorHAnsi" w:cstheme="minorBidi"/>
          <w:noProof/>
          <w:sz w:val="22"/>
          <w:szCs w:val="22"/>
          <w:lang w:eastAsia="en-GB"/>
        </w:rPr>
      </w:pPr>
      <w:hyperlink w:anchor="_Toc491875966" w:history="1">
        <w:r w:rsidRPr="00771635">
          <w:rPr>
            <w:rStyle w:val="Hyperlink"/>
            <w:noProof/>
          </w:rPr>
          <w:t>Table 2: Overview of physicochemical properties</w:t>
        </w:r>
        <w:r w:rsidRPr="00771635">
          <w:rPr>
            <w:noProof/>
            <w:webHidden/>
          </w:rPr>
          <w:tab/>
        </w:r>
        <w:r w:rsidRPr="00771635">
          <w:rPr>
            <w:noProof/>
            <w:webHidden/>
          </w:rPr>
          <w:fldChar w:fldCharType="begin"/>
        </w:r>
        <w:r w:rsidRPr="00771635">
          <w:rPr>
            <w:noProof/>
            <w:webHidden/>
          </w:rPr>
          <w:instrText xml:space="preserve"> PAGEREF _Toc491875966 \h </w:instrText>
        </w:r>
        <w:r w:rsidRPr="00771635">
          <w:rPr>
            <w:noProof/>
            <w:webHidden/>
          </w:rPr>
        </w:r>
        <w:r w:rsidRPr="00771635">
          <w:rPr>
            <w:noProof/>
            <w:webHidden/>
          </w:rPr>
          <w:fldChar w:fldCharType="separate"/>
        </w:r>
        <w:r w:rsidR="00B934DA">
          <w:rPr>
            <w:noProof/>
            <w:webHidden/>
          </w:rPr>
          <w:t>9</w:t>
        </w:r>
        <w:r w:rsidRPr="00771635">
          <w:rPr>
            <w:noProof/>
            <w:webHidden/>
          </w:rPr>
          <w:fldChar w:fldCharType="end"/>
        </w:r>
      </w:hyperlink>
    </w:p>
    <w:p w14:paraId="7793DF04" w14:textId="77777777" w:rsidR="00771635" w:rsidRPr="00771635" w:rsidRDefault="00771635" w:rsidP="00771635">
      <w:pPr>
        <w:pStyle w:val="TableofFigures"/>
        <w:tabs>
          <w:tab w:val="right" w:leader="dot" w:pos="8898"/>
        </w:tabs>
        <w:ind w:left="851" w:hanging="851"/>
        <w:rPr>
          <w:rFonts w:asciiTheme="minorHAnsi" w:eastAsiaTheme="minorEastAsia" w:hAnsiTheme="minorHAnsi" w:cstheme="minorBidi"/>
          <w:noProof/>
          <w:sz w:val="22"/>
          <w:szCs w:val="22"/>
          <w:lang w:eastAsia="en-GB"/>
        </w:rPr>
      </w:pPr>
      <w:hyperlink w:anchor="_Toc491875967" w:history="1">
        <w:r w:rsidRPr="00771635">
          <w:rPr>
            <w:rStyle w:val="Hyperlink"/>
            <w:noProof/>
          </w:rPr>
          <w:t>Table 3: Classification according to Annex VI, Table 3.1 (list of harmonised classification and labelling of hazardous substances) of Regulation (EC) No 1272/2008</w:t>
        </w:r>
        <w:r w:rsidRPr="00771635">
          <w:rPr>
            <w:noProof/>
            <w:webHidden/>
          </w:rPr>
          <w:tab/>
        </w:r>
        <w:r w:rsidRPr="00771635">
          <w:rPr>
            <w:noProof/>
            <w:webHidden/>
          </w:rPr>
          <w:fldChar w:fldCharType="begin"/>
        </w:r>
        <w:r w:rsidRPr="00771635">
          <w:rPr>
            <w:noProof/>
            <w:webHidden/>
          </w:rPr>
          <w:instrText xml:space="preserve"> PAGEREF _Toc491875967 \h </w:instrText>
        </w:r>
        <w:r w:rsidRPr="00771635">
          <w:rPr>
            <w:noProof/>
            <w:webHidden/>
          </w:rPr>
        </w:r>
        <w:r w:rsidRPr="00771635">
          <w:rPr>
            <w:noProof/>
            <w:webHidden/>
          </w:rPr>
          <w:fldChar w:fldCharType="separate"/>
        </w:r>
        <w:r w:rsidR="00B934DA">
          <w:rPr>
            <w:noProof/>
            <w:webHidden/>
          </w:rPr>
          <w:t>10</w:t>
        </w:r>
        <w:r w:rsidRPr="00771635">
          <w:rPr>
            <w:noProof/>
            <w:webHidden/>
          </w:rPr>
          <w:fldChar w:fldCharType="end"/>
        </w:r>
      </w:hyperlink>
    </w:p>
    <w:p w14:paraId="7EDF813A" w14:textId="77777777" w:rsidR="00771635" w:rsidRDefault="00771635">
      <w:pPr>
        <w:pStyle w:val="TableofFigures"/>
        <w:tabs>
          <w:tab w:val="right" w:leader="dot" w:pos="8898"/>
        </w:tabs>
        <w:rPr>
          <w:rFonts w:asciiTheme="minorHAnsi" w:eastAsiaTheme="minorEastAsia" w:hAnsiTheme="minorHAnsi" w:cstheme="minorBidi"/>
          <w:noProof/>
          <w:sz w:val="22"/>
          <w:szCs w:val="22"/>
          <w:lang w:eastAsia="en-GB"/>
        </w:rPr>
      </w:pPr>
      <w:hyperlink w:anchor="_Toc491875968" w:history="1">
        <w:r w:rsidRPr="008C6FCE">
          <w:rPr>
            <w:rStyle w:val="Hyperlink"/>
            <w:noProof/>
          </w:rPr>
          <w:t>Table 4: Fugacity Model calculation (EPI Suite, version 4.11) of BaA</w:t>
        </w:r>
        <w:r>
          <w:rPr>
            <w:noProof/>
            <w:webHidden/>
          </w:rPr>
          <w:tab/>
        </w:r>
        <w:r>
          <w:rPr>
            <w:noProof/>
            <w:webHidden/>
          </w:rPr>
          <w:fldChar w:fldCharType="begin"/>
        </w:r>
        <w:r>
          <w:rPr>
            <w:noProof/>
            <w:webHidden/>
          </w:rPr>
          <w:instrText xml:space="preserve"> PAGEREF _Toc491875968 \h </w:instrText>
        </w:r>
        <w:r>
          <w:rPr>
            <w:noProof/>
            <w:webHidden/>
          </w:rPr>
        </w:r>
        <w:r>
          <w:rPr>
            <w:noProof/>
            <w:webHidden/>
          </w:rPr>
          <w:fldChar w:fldCharType="separate"/>
        </w:r>
        <w:r w:rsidR="00B934DA">
          <w:rPr>
            <w:noProof/>
            <w:webHidden/>
          </w:rPr>
          <w:t>15</w:t>
        </w:r>
        <w:r>
          <w:rPr>
            <w:noProof/>
            <w:webHidden/>
          </w:rPr>
          <w:fldChar w:fldCharType="end"/>
        </w:r>
      </w:hyperlink>
    </w:p>
    <w:p w14:paraId="5F6D9A1C" w14:textId="77777777" w:rsidR="00771635" w:rsidRDefault="00771635">
      <w:pPr>
        <w:pStyle w:val="TableofFigures"/>
        <w:tabs>
          <w:tab w:val="right" w:leader="dot" w:pos="8898"/>
        </w:tabs>
        <w:rPr>
          <w:rFonts w:asciiTheme="minorHAnsi" w:eastAsiaTheme="minorEastAsia" w:hAnsiTheme="minorHAnsi" w:cstheme="minorBidi"/>
          <w:noProof/>
          <w:sz w:val="22"/>
          <w:szCs w:val="22"/>
          <w:lang w:eastAsia="en-GB"/>
        </w:rPr>
      </w:pPr>
      <w:hyperlink w:anchor="_Toc491875969" w:history="1">
        <w:r w:rsidRPr="008C6FCE">
          <w:rPr>
            <w:rStyle w:val="Hyperlink"/>
            <w:noProof/>
          </w:rPr>
          <w:t>Table 5: Experimentally obtained BCF values of BaA</w:t>
        </w:r>
        <w:r>
          <w:rPr>
            <w:noProof/>
            <w:webHidden/>
          </w:rPr>
          <w:tab/>
        </w:r>
        <w:r>
          <w:rPr>
            <w:noProof/>
            <w:webHidden/>
          </w:rPr>
          <w:fldChar w:fldCharType="begin"/>
        </w:r>
        <w:r>
          <w:rPr>
            <w:noProof/>
            <w:webHidden/>
          </w:rPr>
          <w:instrText xml:space="preserve"> PAGEREF _Toc491875969 \h </w:instrText>
        </w:r>
        <w:r>
          <w:rPr>
            <w:noProof/>
            <w:webHidden/>
          </w:rPr>
        </w:r>
        <w:r>
          <w:rPr>
            <w:noProof/>
            <w:webHidden/>
          </w:rPr>
          <w:fldChar w:fldCharType="separate"/>
        </w:r>
        <w:r w:rsidR="00B934DA">
          <w:rPr>
            <w:noProof/>
            <w:webHidden/>
          </w:rPr>
          <w:t>17</w:t>
        </w:r>
        <w:r>
          <w:rPr>
            <w:noProof/>
            <w:webHidden/>
          </w:rPr>
          <w:fldChar w:fldCharType="end"/>
        </w:r>
      </w:hyperlink>
    </w:p>
    <w:p w14:paraId="0ABE10BF" w14:textId="77777777" w:rsidR="00771635" w:rsidRDefault="00771635" w:rsidP="00771635">
      <w:pPr>
        <w:pStyle w:val="TableofFigures"/>
        <w:tabs>
          <w:tab w:val="right" w:leader="dot" w:pos="8898"/>
        </w:tabs>
        <w:ind w:left="851" w:hanging="851"/>
        <w:rPr>
          <w:rFonts w:asciiTheme="minorHAnsi" w:eastAsiaTheme="minorEastAsia" w:hAnsiTheme="minorHAnsi" w:cstheme="minorBidi"/>
          <w:noProof/>
          <w:sz w:val="22"/>
          <w:szCs w:val="22"/>
          <w:lang w:eastAsia="en-GB"/>
        </w:rPr>
      </w:pPr>
      <w:hyperlink w:anchor="_Toc491875970" w:history="1">
        <w:r w:rsidRPr="008C6FCE">
          <w:rPr>
            <w:rStyle w:val="Hyperlink"/>
            <w:noProof/>
          </w:rPr>
          <w:t>Table 6: Ecotoxicological experimental data on aquatic organism. Key study is marked in bold. Please note the aqueous solubility of BaA at 10 µg/L (Mackay, 2000)</w:t>
        </w:r>
        <w:r>
          <w:rPr>
            <w:noProof/>
            <w:webHidden/>
          </w:rPr>
          <w:tab/>
        </w:r>
        <w:r>
          <w:rPr>
            <w:noProof/>
            <w:webHidden/>
          </w:rPr>
          <w:fldChar w:fldCharType="begin"/>
        </w:r>
        <w:r>
          <w:rPr>
            <w:noProof/>
            <w:webHidden/>
          </w:rPr>
          <w:instrText xml:space="preserve"> PAGEREF _Toc491875970 \h </w:instrText>
        </w:r>
        <w:r>
          <w:rPr>
            <w:noProof/>
            <w:webHidden/>
          </w:rPr>
        </w:r>
        <w:r>
          <w:rPr>
            <w:noProof/>
            <w:webHidden/>
          </w:rPr>
          <w:fldChar w:fldCharType="separate"/>
        </w:r>
        <w:r w:rsidR="00B934DA">
          <w:rPr>
            <w:noProof/>
            <w:webHidden/>
          </w:rPr>
          <w:t>22</w:t>
        </w:r>
        <w:r>
          <w:rPr>
            <w:noProof/>
            <w:webHidden/>
          </w:rPr>
          <w:fldChar w:fldCharType="end"/>
        </w:r>
      </w:hyperlink>
    </w:p>
    <w:p w14:paraId="5F9D7896" w14:textId="526EC384" w:rsidR="00A96903" w:rsidRPr="00A96903" w:rsidRDefault="000721AD" w:rsidP="00A96903">
      <w:pPr>
        <w:pStyle w:val="TableofFigures"/>
        <w:tabs>
          <w:tab w:val="right" w:leader="dot" w:pos="9017"/>
        </w:tabs>
        <w:rPr>
          <w:rStyle w:val="Hyperlink"/>
          <w:color w:val="auto"/>
          <w:u w:val="none"/>
        </w:rPr>
      </w:pPr>
      <w:r>
        <w:fldChar w:fldCharType="end"/>
      </w:r>
      <w:hyperlink r:id="rId12" w:anchor="_Toc483920041" w:history="1">
        <w:r w:rsidR="00A96903" w:rsidRPr="00A96903">
          <w:rPr>
            <w:rStyle w:val="Hyperlink"/>
            <w:noProof/>
            <w:color w:val="auto"/>
            <w:u w:val="none"/>
          </w:rPr>
          <w:t>Table 7: CLP notifications</w:t>
        </w:r>
        <w:r w:rsidR="00A96903" w:rsidRPr="00A96903">
          <w:rPr>
            <w:rStyle w:val="Hyperlink"/>
            <w:webHidden/>
            <w:color w:val="auto"/>
            <w:u w:val="none"/>
          </w:rPr>
          <w:tab/>
        </w:r>
        <w:r w:rsidR="00CC694B">
          <w:rPr>
            <w:rStyle w:val="Hyperlink"/>
            <w:webHidden/>
            <w:color w:val="auto"/>
            <w:u w:val="none"/>
          </w:rPr>
          <w:t>2</w:t>
        </w:r>
      </w:hyperlink>
      <w:r w:rsidR="00B934DA">
        <w:rPr>
          <w:rStyle w:val="Hyperlink"/>
          <w:color w:val="auto"/>
          <w:u w:val="none"/>
        </w:rPr>
        <w:t>6</w:t>
      </w:r>
      <w:bookmarkStart w:id="2" w:name="_GoBack"/>
      <w:bookmarkEnd w:id="2"/>
    </w:p>
    <w:p w14:paraId="115C59FA" w14:textId="77777777" w:rsidR="009E3EE0" w:rsidRPr="00A96903" w:rsidRDefault="009E3EE0" w:rsidP="003215DB">
      <w:pPr>
        <w:pStyle w:val="Caption"/>
      </w:pPr>
    </w:p>
    <w:p w14:paraId="115C59FB" w14:textId="77777777" w:rsidR="009E3EE0" w:rsidRDefault="009E3EE0" w:rsidP="00B12C39">
      <w:pPr>
        <w:pStyle w:val="BodyText"/>
      </w:pPr>
    </w:p>
    <w:p w14:paraId="50C31373" w14:textId="77777777" w:rsidR="00151B1F" w:rsidRDefault="00B12C39" w:rsidP="00DD36C7">
      <w:pPr>
        <w:pStyle w:val="Title"/>
        <w:numPr>
          <w:ilvl w:val="0"/>
          <w:numId w:val="0"/>
        </w:numPr>
        <w:jc w:val="center"/>
      </w:pPr>
      <w:r>
        <w:br w:type="page"/>
      </w:r>
      <w:bookmarkStart w:id="3" w:name="_MailAutoSig"/>
      <w:bookmarkStart w:id="4" w:name="_Toc357185225"/>
      <w:bookmarkStart w:id="5" w:name="_Toc357186073"/>
      <w:bookmarkStart w:id="6" w:name="_Toc357186222"/>
      <w:bookmarkStart w:id="7" w:name="_Toc357437508"/>
      <w:bookmarkStart w:id="8" w:name="_Toc357590781"/>
      <w:bookmarkStart w:id="9" w:name="_Toc357692813"/>
      <w:bookmarkStart w:id="10" w:name="_Toc365649640"/>
      <w:bookmarkStart w:id="11" w:name="_Toc365649789"/>
      <w:bookmarkStart w:id="12" w:name="_Toc366489841"/>
      <w:bookmarkStart w:id="13" w:name="_Toc418498546"/>
      <w:bookmarkStart w:id="14" w:name="_Toc418505989"/>
    </w:p>
    <w:p w14:paraId="1936296F" w14:textId="029140C4" w:rsidR="00151B1F" w:rsidRPr="00FB588C" w:rsidRDefault="00151B1F" w:rsidP="00151B1F">
      <w:pPr>
        <w:pStyle w:val="Title"/>
        <w:numPr>
          <w:ilvl w:val="0"/>
          <w:numId w:val="0"/>
        </w:numPr>
        <w:jc w:val="center"/>
        <w:rPr>
          <w:sz w:val="32"/>
        </w:rPr>
      </w:pPr>
      <w:bookmarkStart w:id="15" w:name="_Toc491810721"/>
      <w:r w:rsidRPr="00FB588C">
        <w:rPr>
          <w:sz w:val="32"/>
        </w:rPr>
        <w:lastRenderedPageBreak/>
        <w:t>FOR</w:t>
      </w:r>
      <w:r w:rsidR="005B1405">
        <w:rPr>
          <w:sz w:val="32"/>
        </w:rPr>
        <w:t>E</w:t>
      </w:r>
      <w:r w:rsidRPr="00FB588C">
        <w:rPr>
          <w:sz w:val="32"/>
        </w:rPr>
        <w:t>WORD</w:t>
      </w:r>
      <w:bookmarkEnd w:id="15"/>
    </w:p>
    <w:p w14:paraId="116AD11F" w14:textId="4510A9DD" w:rsidR="00B072C1" w:rsidRPr="00D10FD9" w:rsidRDefault="009E1F6C" w:rsidP="00B072C1">
      <w:pPr>
        <w:jc w:val="both"/>
      </w:pPr>
      <w:r>
        <w:t>Benz[</w:t>
      </w:r>
      <w:r w:rsidRPr="00551770">
        <w:rPr>
          <w:i/>
        </w:rPr>
        <w:t>a</w:t>
      </w:r>
      <w:r>
        <w:t xml:space="preserve">]anthracene </w:t>
      </w:r>
      <w:r w:rsidR="00B072C1" w:rsidRPr="00D10FD9">
        <w:t>(</w:t>
      </w:r>
      <w:proofErr w:type="spellStart"/>
      <w:r w:rsidR="00B072C1" w:rsidRPr="00D10FD9">
        <w:t>BaA</w:t>
      </w:r>
      <w:proofErr w:type="spellEnd"/>
      <w:r w:rsidR="00B072C1" w:rsidRPr="00D10FD9">
        <w:t>) belongs to the substance group of Polycyclic Aromatic Hydrocarbons (PAHs)</w:t>
      </w:r>
      <w:r w:rsidR="009D1A61">
        <w:t xml:space="preserve">, of </w:t>
      </w:r>
      <w:r w:rsidR="00B072C1" w:rsidRPr="00D10FD9">
        <w:t xml:space="preserve">which </w:t>
      </w:r>
      <w:r w:rsidR="006B4B2E">
        <w:t>many</w:t>
      </w:r>
      <w:r w:rsidR="006B4B2E" w:rsidRPr="00D10FD9">
        <w:t xml:space="preserve"> </w:t>
      </w:r>
      <w:r w:rsidR="00B072C1" w:rsidRPr="00D10FD9">
        <w:t xml:space="preserve">are well-known to be hazardous for human health and the environment. Eight PAHs, including </w:t>
      </w:r>
      <w:proofErr w:type="spellStart"/>
      <w:r w:rsidR="00B072C1" w:rsidRPr="00D10FD9">
        <w:t>BaA</w:t>
      </w:r>
      <w:proofErr w:type="spellEnd"/>
      <w:r w:rsidR="00B072C1" w:rsidRPr="00D10FD9">
        <w:t xml:space="preserve">, have a harmonised classification as carcinogenic, mutagenic, and/or </w:t>
      </w:r>
      <w:proofErr w:type="spellStart"/>
      <w:r w:rsidR="00B072C1" w:rsidRPr="00D10FD9">
        <w:t>reprotoxic</w:t>
      </w:r>
      <w:proofErr w:type="spellEnd"/>
      <w:r w:rsidR="00B072C1" w:rsidRPr="00D10FD9">
        <w:t xml:space="preserve"> in the categories 1A, 1B, or 2 according to the CLP Regulation (EC 1272/2008).</w:t>
      </w:r>
    </w:p>
    <w:p w14:paraId="49E55E8A" w14:textId="77EF386C" w:rsidR="00B072C1" w:rsidRPr="00D10FD9" w:rsidRDefault="00B072C1" w:rsidP="00B072C1">
      <w:pPr>
        <w:jc w:val="both"/>
      </w:pPr>
      <w:r w:rsidRPr="00D10FD9">
        <w:t xml:space="preserve">Until now, several Annex XV dossiers for the identification of substances of very high concern (SVHC) were explicitly based on the properties of PAHs as constituents of concern in the identified substances, such as Anthracene, Anthracene Oils, </w:t>
      </w:r>
      <w:proofErr w:type="gramStart"/>
      <w:r w:rsidRPr="00D10FD9">
        <w:t>Coal</w:t>
      </w:r>
      <w:proofErr w:type="gramEnd"/>
      <w:r w:rsidRPr="00D10FD9">
        <w:t xml:space="preserve"> Tar Pitch High Temperature</w:t>
      </w:r>
      <w:r w:rsidR="009D1A61">
        <w:t xml:space="preserve"> (CTPHT)</w:t>
      </w:r>
      <w:r w:rsidRPr="00D10FD9">
        <w:t>.</w:t>
      </w:r>
    </w:p>
    <w:p w14:paraId="7F68AA86" w14:textId="77777777" w:rsidR="00B072C1" w:rsidRPr="00D10FD9" w:rsidRDefault="00B072C1" w:rsidP="00B072C1">
      <w:pPr>
        <w:jc w:val="both"/>
      </w:pPr>
    </w:p>
    <w:p w14:paraId="6D62C113" w14:textId="7A859FB2" w:rsidR="00B072C1" w:rsidRDefault="009D1A61" w:rsidP="00B072C1">
      <w:pPr>
        <w:jc w:val="both"/>
      </w:pPr>
      <w:proofErr w:type="spellStart"/>
      <w:r>
        <w:t>BaA</w:t>
      </w:r>
      <w:proofErr w:type="spellEnd"/>
      <w:r>
        <w:t xml:space="preserve"> is constituent</w:t>
      </w:r>
      <w:r w:rsidR="00823614">
        <w:t>, inter alia,</w:t>
      </w:r>
      <w:r>
        <w:t xml:space="preserve"> </w:t>
      </w:r>
      <w:r w:rsidR="00823614">
        <w:t xml:space="preserve">in </w:t>
      </w:r>
      <w:r>
        <w:t>CTPHT.</w:t>
      </w:r>
      <w:r w:rsidR="00A602A8" w:rsidRPr="00A602A8">
        <w:rPr>
          <w:rFonts w:cs="Verdana"/>
          <w:lang w:eastAsia="en-GB"/>
        </w:rPr>
        <w:t xml:space="preserve"> </w:t>
      </w:r>
      <w:r w:rsidR="00A602A8" w:rsidRPr="003E39C1">
        <w:rPr>
          <w:rFonts w:cs="Verdana"/>
          <w:lang w:eastAsia="en-GB"/>
        </w:rPr>
        <w:t xml:space="preserve">In the Support Document of Pitch, coal tar, high </w:t>
      </w:r>
      <w:r w:rsidR="00A602A8" w:rsidRPr="00212DCD">
        <w:rPr>
          <w:rFonts w:cs="Verdana"/>
          <w:lang w:eastAsia="en-GB"/>
        </w:rPr>
        <w:t xml:space="preserve">temp. (CTPHT) it has been concluded by the </w:t>
      </w:r>
      <w:r w:rsidR="00A602A8" w:rsidRPr="006D360C">
        <w:rPr>
          <w:rFonts w:cs="Verdana"/>
          <w:lang w:eastAsia="en-GB"/>
        </w:rPr>
        <w:t xml:space="preserve">Member State Committee (MSC) that </w:t>
      </w:r>
      <w:proofErr w:type="spellStart"/>
      <w:proofErr w:type="gramStart"/>
      <w:r w:rsidR="00A602A8">
        <w:rPr>
          <w:rFonts w:cs="Verdana"/>
          <w:lang w:eastAsia="en-GB"/>
        </w:rPr>
        <w:t>b</w:t>
      </w:r>
      <w:r w:rsidR="00A602A8" w:rsidRPr="00D10FD9">
        <w:t>enz</w:t>
      </w:r>
      <w:proofErr w:type="spellEnd"/>
      <w:r w:rsidR="00A602A8">
        <w:t>[</w:t>
      </w:r>
      <w:proofErr w:type="gramEnd"/>
      <w:r w:rsidR="00A602A8" w:rsidRPr="00551770">
        <w:rPr>
          <w:i/>
        </w:rPr>
        <w:t>a</w:t>
      </w:r>
      <w:r w:rsidR="00A602A8">
        <w:t>]</w:t>
      </w:r>
      <w:r w:rsidR="00A602A8" w:rsidRPr="00D10FD9">
        <w:t xml:space="preserve">anthracene </w:t>
      </w:r>
      <w:r w:rsidR="00A602A8" w:rsidRPr="00CB4EB5">
        <w:rPr>
          <w:rFonts w:cs="Verdana"/>
          <w:lang w:eastAsia="en-GB"/>
        </w:rPr>
        <w:t xml:space="preserve">fulfils the </w:t>
      </w:r>
      <w:r w:rsidR="00A602A8">
        <w:rPr>
          <w:rFonts w:cs="Verdana"/>
          <w:lang w:eastAsia="en-GB"/>
        </w:rPr>
        <w:t xml:space="preserve">PBT and </w:t>
      </w:r>
      <w:proofErr w:type="spellStart"/>
      <w:r w:rsidR="00A602A8">
        <w:rPr>
          <w:rFonts w:cs="Verdana"/>
          <w:lang w:eastAsia="en-GB"/>
        </w:rPr>
        <w:t>vPvB</w:t>
      </w:r>
      <w:proofErr w:type="spellEnd"/>
      <w:r w:rsidR="00A602A8">
        <w:rPr>
          <w:rFonts w:cs="Verdana"/>
          <w:lang w:eastAsia="en-GB"/>
        </w:rPr>
        <w:t xml:space="preserve"> criteria of Annex XIII to the REACH Regulation (</w:t>
      </w:r>
      <w:r w:rsidR="00A602A8" w:rsidRPr="00CB4EB5">
        <w:rPr>
          <w:rFonts w:cs="Verdana"/>
          <w:lang w:eastAsia="en-GB"/>
        </w:rPr>
        <w:t>ECHA, 2009)</w:t>
      </w:r>
      <w:r w:rsidR="00A602A8" w:rsidRPr="00CB4EB5">
        <w:t xml:space="preserve">. </w:t>
      </w:r>
      <w:r w:rsidR="006F2D87" w:rsidRPr="00D10FD9">
        <w:t>However,</w:t>
      </w:r>
      <w:r w:rsidR="006F2D87">
        <w:t xml:space="preserve"> </w:t>
      </w:r>
      <w:proofErr w:type="spellStart"/>
      <w:r w:rsidR="006F2D87" w:rsidRPr="00D10FD9">
        <w:t>BaA</w:t>
      </w:r>
      <w:proofErr w:type="spellEnd"/>
      <w:r w:rsidR="006F2D87" w:rsidRPr="00D10FD9">
        <w:t xml:space="preserve"> and further PAHs whose properties have already been agreed on by the MSC </w:t>
      </w:r>
      <w:r w:rsidR="00823614">
        <w:t>in the CTPHT SVHC identification process</w:t>
      </w:r>
      <w:r w:rsidR="00823614" w:rsidRPr="00D10FD9">
        <w:t xml:space="preserve"> </w:t>
      </w:r>
      <w:r w:rsidR="006F2D87" w:rsidRPr="00D10FD9">
        <w:t>have not yet been proposed for formal SVHC identification and inclusion in the Candidate List.</w:t>
      </w:r>
      <w:r w:rsidR="006F2D87">
        <w:t xml:space="preserve"> </w:t>
      </w:r>
    </w:p>
    <w:p w14:paraId="59F2CD60" w14:textId="77777777" w:rsidR="00F97B18" w:rsidRPr="00D10FD9" w:rsidRDefault="00F97B18" w:rsidP="00B072C1">
      <w:pPr>
        <w:jc w:val="both"/>
      </w:pPr>
    </w:p>
    <w:p w14:paraId="44491EC0" w14:textId="734C75A2" w:rsidR="007C1ED3" w:rsidRDefault="007C1ED3" w:rsidP="00F97B18">
      <w:pPr>
        <w:pStyle w:val="CommentText"/>
        <w:jc w:val="both"/>
      </w:pPr>
      <w:r>
        <w:t>The info</w:t>
      </w:r>
      <w:r w:rsidR="006F2D87">
        <w:t>rma</w:t>
      </w:r>
      <w:r w:rsidR="001F12EB">
        <w:t xml:space="preserve">tion which was available and led to the conclusion that </w:t>
      </w:r>
      <w:proofErr w:type="spellStart"/>
      <w:r w:rsidR="001F12EB">
        <w:t>BaA</w:t>
      </w:r>
      <w:proofErr w:type="spellEnd"/>
      <w:r w:rsidR="001F12EB">
        <w:t xml:space="preserve"> is a SVHC </w:t>
      </w:r>
      <w:r>
        <w:t>is summarized in the support document for CTPHT (ECHA, 2009).</w:t>
      </w:r>
      <w:r w:rsidR="006F2D87" w:rsidRPr="006F2D87">
        <w:t xml:space="preserve"> </w:t>
      </w:r>
      <w:r w:rsidR="00D54850">
        <w:t>This</w:t>
      </w:r>
      <w:r w:rsidR="00620B79">
        <w:t xml:space="preserve"> information is still valid and allow</w:t>
      </w:r>
      <w:r w:rsidR="00182588">
        <w:t>s</w:t>
      </w:r>
      <w:r w:rsidR="00620B79">
        <w:t xml:space="preserve"> compact review of the substance properties</w:t>
      </w:r>
      <w:r w:rsidR="00D54850">
        <w:t xml:space="preserve"> with a focus on PBT/</w:t>
      </w:r>
      <w:proofErr w:type="spellStart"/>
      <w:r w:rsidR="00D54850">
        <w:t>vPvB</w:t>
      </w:r>
      <w:proofErr w:type="spellEnd"/>
      <w:r w:rsidR="00620B79">
        <w:t xml:space="preserve">. </w:t>
      </w:r>
      <w:r w:rsidR="00A602A8">
        <w:t>T</w:t>
      </w:r>
      <w:r w:rsidR="00D54850">
        <w:t>herefore, t</w:t>
      </w:r>
      <w:r>
        <w:t xml:space="preserve">he SVHC identification of </w:t>
      </w:r>
      <w:proofErr w:type="spellStart"/>
      <w:r>
        <w:t>BaA</w:t>
      </w:r>
      <w:proofErr w:type="spellEnd"/>
      <w:r>
        <w:t xml:space="preserve"> in this current dossier is based on the info</w:t>
      </w:r>
      <w:r w:rsidR="006F2D87">
        <w:t>rmation provided in that support</w:t>
      </w:r>
      <w:r w:rsidR="001F12EB">
        <w:t xml:space="preserve"> document</w:t>
      </w:r>
      <w:r>
        <w:t>.</w:t>
      </w:r>
      <w:r w:rsidR="00D54850">
        <w:t xml:space="preserve"> </w:t>
      </w:r>
    </w:p>
    <w:p w14:paraId="52BDBB2F" w14:textId="77777777" w:rsidR="00F97B18" w:rsidRPr="00551346" w:rsidRDefault="00F97B18" w:rsidP="00F97B18">
      <w:pPr>
        <w:pStyle w:val="CommentText"/>
        <w:jc w:val="both"/>
        <w:rPr>
          <w:lang w:val="en-US"/>
        </w:rPr>
      </w:pPr>
    </w:p>
    <w:p w14:paraId="0095F369" w14:textId="4CB35E33" w:rsidR="00B072C1" w:rsidRPr="00D10FD9" w:rsidRDefault="00620B79" w:rsidP="00B072C1">
      <w:pPr>
        <w:jc w:val="both"/>
      </w:pPr>
      <w:r w:rsidRPr="00620B79">
        <w:t xml:space="preserve">In the following, the abbreviation </w:t>
      </w:r>
      <w:proofErr w:type="spellStart"/>
      <w:r w:rsidRPr="00620B79">
        <w:t>BaA</w:t>
      </w:r>
      <w:proofErr w:type="spellEnd"/>
      <w:r w:rsidRPr="00620B79">
        <w:t xml:space="preserve"> is used for</w:t>
      </w:r>
      <w:r>
        <w:t xml:space="preserve"> the substance </w:t>
      </w:r>
      <w:proofErr w:type="spellStart"/>
      <w:proofErr w:type="gramStart"/>
      <w:r>
        <w:t>benz</w:t>
      </w:r>
      <w:proofErr w:type="spellEnd"/>
      <w:r>
        <w:t>[</w:t>
      </w:r>
      <w:proofErr w:type="gramEnd"/>
      <w:r w:rsidRPr="00551770">
        <w:rPr>
          <w:i/>
        </w:rPr>
        <w:t>a</w:t>
      </w:r>
      <w:r>
        <w:t>]anthracene</w:t>
      </w:r>
      <w:r w:rsidRPr="00620B79">
        <w:t>.</w:t>
      </w:r>
    </w:p>
    <w:p w14:paraId="0A4C6973" w14:textId="77777777" w:rsidR="00151B1F" w:rsidRDefault="00151B1F" w:rsidP="00DD36C7">
      <w:pPr>
        <w:pStyle w:val="Title"/>
        <w:numPr>
          <w:ilvl w:val="0"/>
          <w:numId w:val="0"/>
        </w:numPr>
        <w:jc w:val="center"/>
      </w:pPr>
    </w:p>
    <w:p w14:paraId="5F795381" w14:textId="77777777" w:rsidR="007240CE" w:rsidRDefault="007240CE" w:rsidP="007240CE">
      <w:pPr>
        <w:pStyle w:val="BodyText"/>
      </w:pPr>
    </w:p>
    <w:p w14:paraId="4C855687" w14:textId="77777777" w:rsidR="007240CE" w:rsidRDefault="007240CE" w:rsidP="007240CE">
      <w:pPr>
        <w:pStyle w:val="BodyText"/>
      </w:pPr>
    </w:p>
    <w:p w14:paraId="375FFA59" w14:textId="77777777" w:rsidR="007240CE" w:rsidRDefault="007240CE" w:rsidP="007240CE">
      <w:pPr>
        <w:pStyle w:val="BodyText"/>
      </w:pPr>
    </w:p>
    <w:p w14:paraId="3AE2E899" w14:textId="77777777" w:rsidR="007240CE" w:rsidRDefault="007240CE" w:rsidP="007240CE">
      <w:pPr>
        <w:pStyle w:val="BodyText"/>
      </w:pPr>
    </w:p>
    <w:p w14:paraId="4D962700" w14:textId="77777777" w:rsidR="007240CE" w:rsidRDefault="007240CE" w:rsidP="007240CE">
      <w:pPr>
        <w:pStyle w:val="BodyText"/>
      </w:pPr>
    </w:p>
    <w:p w14:paraId="06CCC346" w14:textId="77777777" w:rsidR="007240CE" w:rsidRDefault="007240CE" w:rsidP="007240CE">
      <w:pPr>
        <w:pStyle w:val="BodyText"/>
      </w:pPr>
    </w:p>
    <w:p w14:paraId="41CEE607" w14:textId="77777777" w:rsidR="007240CE" w:rsidRDefault="007240CE" w:rsidP="007240CE">
      <w:pPr>
        <w:pStyle w:val="BodyText"/>
      </w:pPr>
    </w:p>
    <w:p w14:paraId="59C0EE36" w14:textId="77777777" w:rsidR="007240CE" w:rsidRDefault="007240CE" w:rsidP="007240CE">
      <w:pPr>
        <w:pStyle w:val="BodyText"/>
      </w:pPr>
    </w:p>
    <w:p w14:paraId="72494BA4" w14:textId="77777777" w:rsidR="007240CE" w:rsidRDefault="007240CE" w:rsidP="007240CE">
      <w:pPr>
        <w:pStyle w:val="BodyText"/>
      </w:pPr>
    </w:p>
    <w:p w14:paraId="22CD4564" w14:textId="77777777" w:rsidR="007240CE" w:rsidRDefault="007240CE" w:rsidP="007240CE">
      <w:pPr>
        <w:pStyle w:val="BodyText"/>
      </w:pPr>
    </w:p>
    <w:p w14:paraId="37EBBFAE" w14:textId="77777777" w:rsidR="007240CE" w:rsidRDefault="007240CE" w:rsidP="007240CE">
      <w:pPr>
        <w:pStyle w:val="BodyText"/>
      </w:pPr>
    </w:p>
    <w:p w14:paraId="6A255272" w14:textId="77777777" w:rsidR="007240CE" w:rsidRDefault="007240CE" w:rsidP="007240CE">
      <w:pPr>
        <w:pStyle w:val="BodyText"/>
      </w:pPr>
    </w:p>
    <w:p w14:paraId="34D8D042" w14:textId="77777777" w:rsidR="007240CE" w:rsidRPr="007240CE" w:rsidRDefault="007240CE" w:rsidP="007240CE">
      <w:pPr>
        <w:pStyle w:val="BodyText"/>
      </w:pPr>
    </w:p>
    <w:p w14:paraId="115C59FC" w14:textId="66CE1018" w:rsidR="003C419D" w:rsidRDefault="003C419D" w:rsidP="00DD36C7">
      <w:pPr>
        <w:pStyle w:val="Title"/>
        <w:numPr>
          <w:ilvl w:val="0"/>
          <w:numId w:val="0"/>
        </w:numPr>
        <w:jc w:val="center"/>
        <w:rPr>
          <w:rStyle w:val="Strong"/>
        </w:rPr>
      </w:pPr>
      <w:bookmarkStart w:id="16" w:name="_Toc491810722"/>
      <w:r w:rsidRPr="00DD36C7">
        <w:rPr>
          <w:sz w:val="32"/>
        </w:rPr>
        <w:lastRenderedPageBreak/>
        <w:t xml:space="preserve">PROPOSAL FOR IDENTIFICATION OF A </w:t>
      </w:r>
      <w:r w:rsidR="002B58B6" w:rsidRPr="00DD36C7">
        <w:rPr>
          <w:sz w:val="32"/>
        </w:rPr>
        <w:t>SUBSTANCE OF VERY HIGH CONCERN</w:t>
      </w:r>
      <w:r w:rsidRPr="00DD36C7">
        <w:rPr>
          <w:sz w:val="32"/>
        </w:rPr>
        <w:t xml:space="preserve"> ON THE BASIS OF </w:t>
      </w:r>
      <w:r w:rsidR="003909BD" w:rsidRPr="00DD36C7">
        <w:rPr>
          <w:sz w:val="32"/>
        </w:rPr>
        <w:t xml:space="preserve">THE </w:t>
      </w:r>
      <w:r w:rsidRPr="00DD36C7">
        <w:rPr>
          <w:sz w:val="32"/>
        </w:rPr>
        <w:t>CRITERIA SET OUT IN REACH ARTICLE 57</w:t>
      </w:r>
      <w:bookmarkEnd w:id="3"/>
      <w:bookmarkEnd w:id="4"/>
      <w:bookmarkEnd w:id="5"/>
      <w:bookmarkEnd w:id="6"/>
      <w:bookmarkEnd w:id="7"/>
      <w:bookmarkEnd w:id="8"/>
      <w:bookmarkEnd w:id="9"/>
      <w:bookmarkEnd w:id="10"/>
      <w:bookmarkEnd w:id="11"/>
      <w:bookmarkEnd w:id="12"/>
      <w:bookmarkEnd w:id="13"/>
      <w:bookmarkEnd w:id="14"/>
      <w:bookmarkEnd w:id="16"/>
    </w:p>
    <w:p w14:paraId="02E77C7B" w14:textId="77777777" w:rsidR="009C29CA" w:rsidRDefault="009C29CA" w:rsidP="00B12C39">
      <w:pPr>
        <w:widowControl/>
        <w:spacing w:after="180"/>
        <w:jc w:val="both"/>
        <w:rPr>
          <w:i/>
        </w:rPr>
      </w:pPr>
    </w:p>
    <w:p w14:paraId="115C59FF" w14:textId="433F21D6" w:rsidR="00B12C39" w:rsidRDefault="009C29CA" w:rsidP="00B12C39">
      <w:pPr>
        <w:widowControl/>
        <w:spacing w:after="180"/>
        <w:jc w:val="both"/>
        <w:rPr>
          <w:rStyle w:val="Strong"/>
          <w:bCs/>
        </w:rPr>
      </w:pPr>
      <w:r>
        <w:rPr>
          <w:rStyle w:val="Strong"/>
          <w:bCs/>
        </w:rPr>
        <w:t>Substance Name</w:t>
      </w:r>
      <w:r w:rsidR="00B12C39" w:rsidRPr="006F4B04">
        <w:rPr>
          <w:rStyle w:val="Strong"/>
          <w:bCs/>
        </w:rPr>
        <w:t xml:space="preserve">: </w:t>
      </w:r>
      <w:r w:rsidR="009E1F6C" w:rsidRPr="00F97B18">
        <w:t>Benz[</w:t>
      </w:r>
      <w:r w:rsidR="009E1F6C" w:rsidRPr="00F97B18">
        <w:rPr>
          <w:i/>
        </w:rPr>
        <w:t>a</w:t>
      </w:r>
      <w:r w:rsidR="009E1F6C" w:rsidRPr="00F97B18">
        <w:t>]anthracene</w:t>
      </w:r>
    </w:p>
    <w:p w14:paraId="115C5A00" w14:textId="231CE7E4" w:rsidR="00B12C39" w:rsidRPr="006F4B04" w:rsidRDefault="009C29CA" w:rsidP="00B12C39">
      <w:pPr>
        <w:widowControl/>
        <w:spacing w:after="180"/>
        <w:jc w:val="both"/>
        <w:rPr>
          <w:rStyle w:val="Strong"/>
          <w:bCs/>
        </w:rPr>
      </w:pPr>
      <w:r>
        <w:rPr>
          <w:rStyle w:val="Strong"/>
          <w:bCs/>
        </w:rPr>
        <w:t>EC Number</w:t>
      </w:r>
      <w:r w:rsidR="00B12C39" w:rsidRPr="006F4B04">
        <w:rPr>
          <w:rStyle w:val="Strong"/>
          <w:bCs/>
        </w:rPr>
        <w:t xml:space="preserve">: </w:t>
      </w:r>
      <w:r w:rsidR="00B66A06" w:rsidRPr="00F97B18">
        <w:t>200-280-6</w:t>
      </w:r>
    </w:p>
    <w:p w14:paraId="115C5A02" w14:textId="059F1FC7" w:rsidR="003909BD" w:rsidRPr="009C29CA" w:rsidRDefault="009C29CA" w:rsidP="003909BD">
      <w:pPr>
        <w:widowControl/>
        <w:spacing w:after="180"/>
        <w:jc w:val="both"/>
        <w:rPr>
          <w:b/>
          <w:bCs/>
        </w:rPr>
      </w:pPr>
      <w:r>
        <w:rPr>
          <w:rStyle w:val="Strong"/>
          <w:bCs/>
        </w:rPr>
        <w:t>CAS number</w:t>
      </w:r>
      <w:r w:rsidR="00B12C39" w:rsidRPr="006F4B04">
        <w:rPr>
          <w:rStyle w:val="Strong"/>
          <w:bCs/>
        </w:rPr>
        <w:t xml:space="preserve">: </w:t>
      </w:r>
      <w:r w:rsidR="00B66A06" w:rsidRPr="00F97B18">
        <w:t>56-55-3</w:t>
      </w:r>
    </w:p>
    <w:p w14:paraId="115C5A03" w14:textId="28CC792B" w:rsidR="003909BD" w:rsidRDefault="003909BD" w:rsidP="00891184">
      <w:pPr>
        <w:numPr>
          <w:ilvl w:val="0"/>
          <w:numId w:val="13"/>
        </w:numPr>
      </w:pPr>
      <w:r w:rsidRPr="003909BD">
        <w:t xml:space="preserve">The substance is proposed to be identified as a substance meeting the criteria of Article 57 (a) of Regulation (EC) </w:t>
      </w:r>
      <w:r w:rsidR="003D2CEA">
        <w:t xml:space="preserve">No </w:t>
      </w:r>
      <w:r w:rsidRPr="003909BD">
        <w:t xml:space="preserve">1907/2006 (REACH) owing to its classification </w:t>
      </w:r>
      <w:r w:rsidR="003D2CEA">
        <w:t>in the hazard class</w:t>
      </w:r>
      <w:r w:rsidR="003D2CEA" w:rsidRPr="003909BD">
        <w:t xml:space="preserve"> </w:t>
      </w:r>
      <w:r w:rsidRPr="003909BD">
        <w:t>carcinogenic</w:t>
      </w:r>
      <w:r w:rsidR="003D2CEA">
        <w:t>ity</w:t>
      </w:r>
      <w:r w:rsidRPr="003909BD">
        <w:t xml:space="preserve"> category </w:t>
      </w:r>
      <w:r w:rsidR="003D2CEA">
        <w:t>1</w:t>
      </w:r>
      <w:r w:rsidRPr="003909BD">
        <w:t>B</w:t>
      </w:r>
      <w:r w:rsidR="00A35A9F" w:rsidRPr="00A35A9F">
        <w:rPr>
          <w:rStyle w:val="FootnoteReference"/>
          <w:rFonts w:ascii="Verdana" w:hAnsi="Verdana"/>
          <w:sz w:val="20"/>
        </w:rPr>
        <w:footnoteReference w:id="1"/>
      </w:r>
      <w:r w:rsidRPr="003909BD">
        <w:t>.</w:t>
      </w:r>
    </w:p>
    <w:p w14:paraId="115C5A04" w14:textId="77777777" w:rsidR="003909BD" w:rsidRPr="003909BD" w:rsidRDefault="003909BD" w:rsidP="003909BD">
      <w:pPr>
        <w:ind w:left="720"/>
      </w:pPr>
    </w:p>
    <w:p w14:paraId="115C5A09" w14:textId="4F33679D" w:rsidR="00B12C39" w:rsidRDefault="00B12C39" w:rsidP="00891184">
      <w:pPr>
        <w:numPr>
          <w:ilvl w:val="0"/>
          <w:numId w:val="13"/>
        </w:numPr>
        <w:jc w:val="both"/>
        <w:rPr>
          <w:lang w:eastAsia="en-US"/>
        </w:rPr>
      </w:pPr>
      <w:r w:rsidRPr="00626669">
        <w:rPr>
          <w:lang w:eastAsia="en-US"/>
        </w:rPr>
        <w:t xml:space="preserve">It is proposed to identify the substance as </w:t>
      </w:r>
      <w:r w:rsidR="004D51BA">
        <w:rPr>
          <w:lang w:eastAsia="en-US"/>
        </w:rPr>
        <w:t xml:space="preserve">persistent, </w:t>
      </w:r>
      <w:proofErr w:type="spellStart"/>
      <w:r w:rsidR="004D51BA">
        <w:rPr>
          <w:lang w:eastAsia="en-US"/>
        </w:rPr>
        <w:t>bioaccumulative</w:t>
      </w:r>
      <w:proofErr w:type="spellEnd"/>
      <w:r w:rsidR="004D51BA">
        <w:rPr>
          <w:lang w:eastAsia="en-US"/>
        </w:rPr>
        <w:t xml:space="preserve"> and toxic (</w:t>
      </w:r>
      <w:r w:rsidR="003909BD">
        <w:rPr>
          <w:lang w:eastAsia="en-US"/>
        </w:rPr>
        <w:t>PBT</w:t>
      </w:r>
      <w:r w:rsidR="004D51BA">
        <w:rPr>
          <w:lang w:eastAsia="en-US"/>
        </w:rPr>
        <w:t>)</w:t>
      </w:r>
      <w:r w:rsidR="003909BD">
        <w:rPr>
          <w:lang w:eastAsia="en-US"/>
        </w:rPr>
        <w:t xml:space="preserve"> according to Article 57 (d)</w:t>
      </w:r>
      <w:r w:rsidR="00CE4DE5">
        <w:rPr>
          <w:lang w:eastAsia="en-US"/>
        </w:rPr>
        <w:t xml:space="preserve"> </w:t>
      </w:r>
      <w:r w:rsidR="00CE4DE5" w:rsidRPr="003909BD">
        <w:t xml:space="preserve">of Regulation (EC) </w:t>
      </w:r>
      <w:r w:rsidR="004D51BA">
        <w:t xml:space="preserve">No </w:t>
      </w:r>
      <w:r w:rsidR="00CE4DE5" w:rsidRPr="003909BD">
        <w:t>1907/2006 (REACH)</w:t>
      </w:r>
      <w:r w:rsidR="003909BD">
        <w:rPr>
          <w:lang w:eastAsia="en-US"/>
        </w:rPr>
        <w:t>.</w:t>
      </w:r>
    </w:p>
    <w:p w14:paraId="115C5A0A" w14:textId="77777777" w:rsidR="003909BD" w:rsidRPr="00626669" w:rsidRDefault="003909BD" w:rsidP="003909BD">
      <w:pPr>
        <w:jc w:val="both"/>
        <w:rPr>
          <w:lang w:eastAsia="en-US"/>
        </w:rPr>
      </w:pPr>
    </w:p>
    <w:p w14:paraId="115C5A0B" w14:textId="021ADED6" w:rsidR="00B12C39" w:rsidRDefault="00B12C39" w:rsidP="00891184">
      <w:pPr>
        <w:numPr>
          <w:ilvl w:val="0"/>
          <w:numId w:val="13"/>
        </w:numPr>
        <w:jc w:val="both"/>
        <w:rPr>
          <w:lang w:eastAsia="en-US"/>
        </w:rPr>
      </w:pPr>
      <w:r w:rsidRPr="00626669">
        <w:rPr>
          <w:lang w:eastAsia="en-US"/>
        </w:rPr>
        <w:t xml:space="preserve">It is proposed to identify the substance as </w:t>
      </w:r>
      <w:r w:rsidR="004D51BA">
        <w:rPr>
          <w:lang w:eastAsia="en-US"/>
        </w:rPr>
        <w:t xml:space="preserve">very persistent and very </w:t>
      </w:r>
      <w:proofErr w:type="spellStart"/>
      <w:r w:rsidR="004D51BA">
        <w:rPr>
          <w:lang w:eastAsia="en-US"/>
        </w:rPr>
        <w:t>bioaccumulative</w:t>
      </w:r>
      <w:proofErr w:type="spellEnd"/>
      <w:r w:rsidR="004D51BA">
        <w:rPr>
          <w:lang w:eastAsia="en-US"/>
        </w:rPr>
        <w:t xml:space="preserve"> (</w:t>
      </w:r>
      <w:proofErr w:type="spellStart"/>
      <w:r w:rsidRPr="00626669">
        <w:rPr>
          <w:lang w:eastAsia="en-US"/>
        </w:rPr>
        <w:t>v</w:t>
      </w:r>
      <w:r w:rsidR="003909BD">
        <w:rPr>
          <w:lang w:eastAsia="en-US"/>
        </w:rPr>
        <w:t>PvB</w:t>
      </w:r>
      <w:proofErr w:type="spellEnd"/>
      <w:r w:rsidR="004D51BA">
        <w:rPr>
          <w:lang w:eastAsia="en-US"/>
        </w:rPr>
        <w:t>)</w:t>
      </w:r>
      <w:r w:rsidR="003909BD">
        <w:rPr>
          <w:lang w:eastAsia="en-US"/>
        </w:rPr>
        <w:t xml:space="preserve"> according to Article 57 (e)</w:t>
      </w:r>
      <w:r w:rsidR="00CE4DE5">
        <w:rPr>
          <w:lang w:eastAsia="en-US"/>
        </w:rPr>
        <w:t xml:space="preserve"> </w:t>
      </w:r>
      <w:r w:rsidR="00CE4DE5" w:rsidRPr="003909BD">
        <w:t xml:space="preserve">of Regulation (EC) </w:t>
      </w:r>
      <w:r w:rsidR="004D51BA">
        <w:t xml:space="preserve">No </w:t>
      </w:r>
      <w:r w:rsidR="00CE4DE5" w:rsidRPr="003909BD">
        <w:t>1907/2006 (REACH)</w:t>
      </w:r>
      <w:r w:rsidR="003909BD">
        <w:rPr>
          <w:lang w:eastAsia="en-US"/>
        </w:rPr>
        <w:t>.</w:t>
      </w:r>
    </w:p>
    <w:p w14:paraId="115C5A0C" w14:textId="77777777" w:rsidR="003909BD" w:rsidRPr="00626669" w:rsidRDefault="003909BD" w:rsidP="003909BD">
      <w:pPr>
        <w:jc w:val="both"/>
        <w:rPr>
          <w:lang w:eastAsia="en-US"/>
        </w:rPr>
      </w:pPr>
    </w:p>
    <w:p w14:paraId="0BF5CC73" w14:textId="4492C566" w:rsidR="00D6166D" w:rsidRPr="009C29CA" w:rsidRDefault="00B12C39" w:rsidP="00C17668">
      <w:pPr>
        <w:widowControl/>
        <w:spacing w:after="180"/>
        <w:jc w:val="both"/>
        <w:rPr>
          <w:b/>
          <w:bCs/>
        </w:rPr>
      </w:pPr>
      <w:r w:rsidRPr="00127DF0">
        <w:rPr>
          <w:rStyle w:val="Strong"/>
          <w:bCs/>
        </w:rPr>
        <w:t xml:space="preserve">Summary of how the substance meets the criteria </w:t>
      </w:r>
      <w:r>
        <w:rPr>
          <w:rStyle w:val="Strong"/>
          <w:bCs/>
        </w:rPr>
        <w:t>set out in Article 57 of the REACH Regulation</w:t>
      </w:r>
    </w:p>
    <w:p w14:paraId="6FB10EC6" w14:textId="695E4302" w:rsidR="00D6166D" w:rsidRPr="006B4B2E" w:rsidRDefault="00B81C7C" w:rsidP="00C17668">
      <w:pPr>
        <w:widowControl/>
        <w:spacing w:after="180"/>
        <w:jc w:val="both"/>
        <w:rPr>
          <w:szCs w:val="24"/>
          <w:u w:val="single"/>
          <w:lang w:eastAsia="en-US"/>
        </w:rPr>
      </w:pPr>
      <w:r w:rsidRPr="006B4B2E">
        <w:rPr>
          <w:szCs w:val="24"/>
          <w:u w:val="single"/>
          <w:lang w:eastAsia="en-US"/>
        </w:rPr>
        <w:t>Art 57 (a):</w:t>
      </w:r>
    </w:p>
    <w:p w14:paraId="115C5A12" w14:textId="02595B80" w:rsidR="00C17668" w:rsidRDefault="009E1F6C" w:rsidP="00C17668">
      <w:pPr>
        <w:widowControl/>
        <w:spacing w:after="180"/>
        <w:jc w:val="both"/>
        <w:rPr>
          <w:szCs w:val="24"/>
          <w:lang w:eastAsia="en-US"/>
        </w:rPr>
      </w:pPr>
      <w:r>
        <w:rPr>
          <w:szCs w:val="24"/>
          <w:lang w:eastAsia="en-US"/>
        </w:rPr>
        <w:t>Benz[</w:t>
      </w:r>
      <w:r w:rsidRPr="00551770">
        <w:rPr>
          <w:i/>
          <w:szCs w:val="24"/>
          <w:lang w:eastAsia="en-US"/>
        </w:rPr>
        <w:t>a</w:t>
      </w:r>
      <w:r>
        <w:rPr>
          <w:szCs w:val="24"/>
          <w:lang w:eastAsia="en-US"/>
        </w:rPr>
        <w:t xml:space="preserve">]anthracene </w:t>
      </w:r>
      <w:r w:rsidR="00C17668" w:rsidRPr="00626669">
        <w:rPr>
          <w:szCs w:val="24"/>
          <w:lang w:eastAsia="en-US"/>
        </w:rPr>
        <w:t xml:space="preserve">is covered by index number </w:t>
      </w:r>
      <w:r w:rsidR="008C4DB8" w:rsidRPr="008C4DB8">
        <w:rPr>
          <w:szCs w:val="24"/>
          <w:lang w:eastAsia="en-US"/>
        </w:rPr>
        <w:t>601-033-00-9</w:t>
      </w:r>
      <w:r w:rsidR="00C17668" w:rsidRPr="00E40D52">
        <w:rPr>
          <w:lang w:eastAsia="en-US"/>
        </w:rPr>
        <w:t xml:space="preserve"> </w:t>
      </w:r>
      <w:r w:rsidR="003740C1">
        <w:t>of Regulation (EC) No 1272/2008 in Annex VI, part 3, Table 3.1 (the list of harmonised classification and labelling of hazardous substances) and</w:t>
      </w:r>
      <w:r w:rsidR="00C17668">
        <w:rPr>
          <w:szCs w:val="24"/>
          <w:lang w:eastAsia="en-US"/>
        </w:rPr>
        <w:t xml:space="preserve"> it is classified in</w:t>
      </w:r>
      <w:r w:rsidR="00C17668">
        <w:t xml:space="preserve"> the hazard class</w:t>
      </w:r>
      <w:r w:rsidR="00C17668" w:rsidRPr="003909BD">
        <w:t xml:space="preserve"> </w:t>
      </w:r>
      <w:r w:rsidR="00C17668" w:rsidRPr="00626669">
        <w:rPr>
          <w:szCs w:val="24"/>
          <w:lang w:eastAsia="en-US"/>
        </w:rPr>
        <w:t>carcinogen</w:t>
      </w:r>
      <w:r w:rsidR="00C17668">
        <w:rPr>
          <w:szCs w:val="24"/>
          <w:lang w:eastAsia="en-US"/>
        </w:rPr>
        <w:t>icity</w:t>
      </w:r>
      <w:r w:rsidR="00C17668" w:rsidRPr="00626669">
        <w:rPr>
          <w:szCs w:val="24"/>
          <w:lang w:eastAsia="en-US"/>
        </w:rPr>
        <w:t xml:space="preserve"> </w:t>
      </w:r>
      <w:r w:rsidR="00C17668">
        <w:t xml:space="preserve">category </w:t>
      </w:r>
      <w:r w:rsidR="00C17668" w:rsidRPr="00D10FD9">
        <w:rPr>
          <w:szCs w:val="24"/>
          <w:lang w:eastAsia="en-US"/>
        </w:rPr>
        <w:t>1B</w:t>
      </w:r>
      <w:r w:rsidR="00C17668" w:rsidRPr="00626669">
        <w:rPr>
          <w:szCs w:val="24"/>
          <w:lang w:eastAsia="en-US"/>
        </w:rPr>
        <w:t xml:space="preserve"> (</w:t>
      </w:r>
      <w:r w:rsidR="00C17668">
        <w:rPr>
          <w:szCs w:val="24"/>
          <w:lang w:eastAsia="en-US"/>
        </w:rPr>
        <w:t xml:space="preserve">hazard statement </w:t>
      </w:r>
      <w:r w:rsidR="00C17668" w:rsidRPr="00626669">
        <w:rPr>
          <w:szCs w:val="24"/>
          <w:lang w:eastAsia="en-US"/>
        </w:rPr>
        <w:t xml:space="preserve">H350: “May cause cancer”). </w:t>
      </w:r>
    </w:p>
    <w:p w14:paraId="115C5A15" w14:textId="00323616" w:rsidR="00B12C39" w:rsidRDefault="00B12C39" w:rsidP="00B12C39">
      <w:pPr>
        <w:jc w:val="both"/>
        <w:rPr>
          <w:lang w:eastAsia="en-US"/>
        </w:rPr>
      </w:pPr>
      <w:r w:rsidRPr="00626669">
        <w:rPr>
          <w:lang w:eastAsia="en-US"/>
        </w:rPr>
        <w:t xml:space="preserve">Therefore, this classification of the substance in Regulation (EC) No 1272/2008 shows that it meets the criteria for classification </w:t>
      </w:r>
      <w:r w:rsidR="00714842">
        <w:t>in the hazard class</w:t>
      </w:r>
      <w:r>
        <w:rPr>
          <w:lang w:eastAsia="en-US"/>
        </w:rPr>
        <w:t xml:space="preserve">: </w:t>
      </w:r>
    </w:p>
    <w:p w14:paraId="115C5A16" w14:textId="77777777" w:rsidR="002F18A1" w:rsidRDefault="002F18A1" w:rsidP="00B12C39">
      <w:pPr>
        <w:jc w:val="both"/>
        <w:rPr>
          <w:lang w:eastAsia="en-US"/>
        </w:rPr>
      </w:pPr>
    </w:p>
    <w:p w14:paraId="115C5A17" w14:textId="0FB8E7DB" w:rsidR="00B12C39" w:rsidRDefault="000634C2" w:rsidP="00891184">
      <w:pPr>
        <w:numPr>
          <w:ilvl w:val="0"/>
          <w:numId w:val="18"/>
        </w:numPr>
        <w:jc w:val="both"/>
        <w:rPr>
          <w:lang w:eastAsia="en-US"/>
        </w:rPr>
      </w:pPr>
      <w:r w:rsidRPr="00626669">
        <w:rPr>
          <w:lang w:eastAsia="en-US"/>
        </w:rPr>
        <w:t>C</w:t>
      </w:r>
      <w:r w:rsidR="00B12C39" w:rsidRPr="00626669">
        <w:rPr>
          <w:lang w:eastAsia="en-US"/>
        </w:rPr>
        <w:t>arcinogen</w:t>
      </w:r>
      <w:r>
        <w:rPr>
          <w:lang w:eastAsia="en-US"/>
        </w:rPr>
        <w:t xml:space="preserve">icity </w:t>
      </w:r>
      <w:r w:rsidRPr="003909BD">
        <w:t xml:space="preserve">category </w:t>
      </w:r>
      <w:r>
        <w:t>1</w:t>
      </w:r>
      <w:r w:rsidRPr="003909BD">
        <w:t>B</w:t>
      </w:r>
      <w:r w:rsidR="00B12C39" w:rsidRPr="00626669">
        <w:rPr>
          <w:lang w:eastAsia="en-US"/>
        </w:rPr>
        <w:t xml:space="preserve"> in accordance with Article 57 (a)</w:t>
      </w:r>
      <w:r w:rsidR="001723D9" w:rsidRPr="001723D9">
        <w:rPr>
          <w:lang w:eastAsia="en-US"/>
        </w:rPr>
        <w:t xml:space="preserve"> </w:t>
      </w:r>
      <w:r w:rsidR="001723D9" w:rsidRPr="00626669">
        <w:rPr>
          <w:lang w:eastAsia="en-US"/>
        </w:rPr>
        <w:t>of REACH</w:t>
      </w:r>
      <w:r w:rsidR="001723D9">
        <w:rPr>
          <w:lang w:eastAsia="en-US"/>
        </w:rPr>
        <w:t>.</w:t>
      </w:r>
    </w:p>
    <w:p w14:paraId="115C5A1A" w14:textId="77777777" w:rsidR="00B12C39" w:rsidRDefault="00B12C39" w:rsidP="00B12C39">
      <w:pPr>
        <w:jc w:val="both"/>
        <w:rPr>
          <w:lang w:eastAsia="en-US"/>
        </w:rPr>
      </w:pPr>
    </w:p>
    <w:p w14:paraId="115C5A1B" w14:textId="77777777" w:rsidR="00302930" w:rsidRDefault="00302930" w:rsidP="00B12C39">
      <w:pPr>
        <w:jc w:val="both"/>
        <w:rPr>
          <w:lang w:eastAsia="en-US"/>
        </w:rPr>
      </w:pPr>
    </w:p>
    <w:p w14:paraId="603D947E" w14:textId="10E165CA" w:rsidR="00B81C7C" w:rsidRPr="006B4B2E" w:rsidRDefault="00B81C7C" w:rsidP="00B12C39">
      <w:pPr>
        <w:jc w:val="both"/>
        <w:rPr>
          <w:rFonts w:cs="Verdana"/>
          <w:u w:val="single"/>
          <w:lang w:eastAsia="en-GB"/>
        </w:rPr>
      </w:pPr>
      <w:r w:rsidRPr="006B4B2E">
        <w:rPr>
          <w:rFonts w:cs="Verdana"/>
          <w:u w:val="single"/>
          <w:lang w:eastAsia="en-GB"/>
        </w:rPr>
        <w:t xml:space="preserve">Art 57 (d) and </w:t>
      </w:r>
      <w:r w:rsidR="00B343DF">
        <w:rPr>
          <w:rFonts w:cs="Verdana"/>
          <w:u w:val="single"/>
          <w:lang w:eastAsia="en-GB"/>
        </w:rPr>
        <w:t>(</w:t>
      </w:r>
      <w:r w:rsidR="00B343DF" w:rsidRPr="006B4B2E">
        <w:rPr>
          <w:rFonts w:cs="Verdana"/>
          <w:u w:val="single"/>
          <w:lang w:eastAsia="en-GB"/>
        </w:rPr>
        <w:t>e</w:t>
      </w:r>
      <w:r w:rsidRPr="006B4B2E">
        <w:rPr>
          <w:rFonts w:cs="Verdana"/>
          <w:u w:val="single"/>
          <w:lang w:eastAsia="en-GB"/>
        </w:rPr>
        <w:t>):</w:t>
      </w:r>
    </w:p>
    <w:p w14:paraId="35768DC6" w14:textId="77777777" w:rsidR="00B81C7C" w:rsidRDefault="00B81C7C" w:rsidP="00B12C39">
      <w:pPr>
        <w:jc w:val="both"/>
        <w:rPr>
          <w:rFonts w:cs="Verdana"/>
          <w:lang w:eastAsia="en-GB"/>
        </w:rPr>
      </w:pPr>
    </w:p>
    <w:p w14:paraId="5249A9B0" w14:textId="6453F1B6" w:rsidR="00B81C7C" w:rsidRDefault="00C66B93" w:rsidP="00B12C39">
      <w:pPr>
        <w:jc w:val="both"/>
        <w:rPr>
          <w:rFonts w:cs="Verdana"/>
          <w:lang w:eastAsia="en-GB"/>
        </w:rPr>
      </w:pPr>
      <w:r>
        <w:rPr>
          <w:rFonts w:cs="Verdana"/>
          <w:lang w:eastAsia="en-GB"/>
        </w:rPr>
        <w:t>An assessment of the PBT/</w:t>
      </w:r>
      <w:proofErr w:type="spellStart"/>
      <w:r>
        <w:rPr>
          <w:rFonts w:cs="Verdana"/>
          <w:lang w:eastAsia="en-GB"/>
        </w:rPr>
        <w:t>vPvB</w:t>
      </w:r>
      <w:proofErr w:type="spellEnd"/>
      <w:r>
        <w:rPr>
          <w:rFonts w:cs="Verdana"/>
          <w:lang w:eastAsia="en-GB"/>
        </w:rPr>
        <w:t xml:space="preserve"> properties of </w:t>
      </w:r>
      <w:proofErr w:type="spellStart"/>
      <w:proofErr w:type="gramStart"/>
      <w:r>
        <w:rPr>
          <w:rFonts w:cs="Verdana"/>
          <w:lang w:eastAsia="en-GB"/>
        </w:rPr>
        <w:t>benz</w:t>
      </w:r>
      <w:proofErr w:type="spellEnd"/>
      <w:r w:rsidR="009E1F6C">
        <w:rPr>
          <w:rFonts w:cs="Verdana"/>
          <w:lang w:eastAsia="en-GB"/>
        </w:rPr>
        <w:t>[</w:t>
      </w:r>
      <w:proofErr w:type="gramEnd"/>
      <w:r w:rsidRPr="00551770">
        <w:rPr>
          <w:rFonts w:cs="Verdana"/>
          <w:i/>
          <w:lang w:eastAsia="en-GB"/>
        </w:rPr>
        <w:t>a</w:t>
      </w:r>
      <w:r w:rsidR="009E1F6C">
        <w:rPr>
          <w:rFonts w:cs="Verdana"/>
          <w:lang w:eastAsia="en-GB"/>
        </w:rPr>
        <w:t>]</w:t>
      </w:r>
      <w:r>
        <w:rPr>
          <w:rFonts w:cs="Verdana"/>
          <w:lang w:eastAsia="en-GB"/>
        </w:rPr>
        <w:t xml:space="preserve">anthracene </w:t>
      </w:r>
      <w:r w:rsidR="005D6C3B">
        <w:rPr>
          <w:rFonts w:cs="Verdana"/>
          <w:lang w:eastAsia="en-GB"/>
        </w:rPr>
        <w:t>(</w:t>
      </w:r>
      <w:proofErr w:type="spellStart"/>
      <w:r w:rsidR="005D6C3B">
        <w:rPr>
          <w:rFonts w:cs="Verdana"/>
          <w:lang w:eastAsia="en-GB"/>
        </w:rPr>
        <w:t>BaA</w:t>
      </w:r>
      <w:proofErr w:type="spellEnd"/>
      <w:r w:rsidR="005D6C3B">
        <w:rPr>
          <w:rFonts w:cs="Verdana"/>
          <w:lang w:eastAsia="en-GB"/>
        </w:rPr>
        <w:t xml:space="preserve">) </w:t>
      </w:r>
      <w:r>
        <w:rPr>
          <w:rFonts w:cs="Verdana"/>
          <w:lang w:eastAsia="en-GB"/>
        </w:rPr>
        <w:t>was done by the MSC in the scope of the identification of CTPHT as SVHC (</w:t>
      </w:r>
      <w:r w:rsidRPr="00313560">
        <w:rPr>
          <w:rFonts w:cs="Verdana"/>
          <w:lang w:eastAsia="en-GB"/>
        </w:rPr>
        <w:t>ECHA, 2009</w:t>
      </w:r>
      <w:r>
        <w:rPr>
          <w:rFonts w:cs="Verdana"/>
          <w:lang w:eastAsia="en-GB"/>
        </w:rPr>
        <w:t xml:space="preserve">). </w:t>
      </w:r>
      <w:r w:rsidR="006A7AC3">
        <w:rPr>
          <w:rFonts w:cs="Verdana"/>
          <w:lang w:eastAsia="en-GB"/>
        </w:rPr>
        <w:t>The assessment of PBT/</w:t>
      </w:r>
      <w:proofErr w:type="spellStart"/>
      <w:r w:rsidR="006A7AC3">
        <w:rPr>
          <w:rFonts w:cs="Verdana"/>
          <w:lang w:eastAsia="en-GB"/>
        </w:rPr>
        <w:t>vPvB</w:t>
      </w:r>
      <w:proofErr w:type="spellEnd"/>
      <w:r w:rsidR="006A7AC3">
        <w:rPr>
          <w:rFonts w:cs="Verdana"/>
          <w:lang w:eastAsia="en-GB"/>
        </w:rPr>
        <w:t xml:space="preserve"> properties of </w:t>
      </w:r>
      <w:proofErr w:type="spellStart"/>
      <w:r w:rsidR="005D6C3B">
        <w:rPr>
          <w:rFonts w:cs="Verdana"/>
          <w:lang w:eastAsia="en-GB"/>
        </w:rPr>
        <w:t>BaA</w:t>
      </w:r>
      <w:proofErr w:type="spellEnd"/>
      <w:r w:rsidR="006A7AC3">
        <w:rPr>
          <w:rFonts w:cs="Verdana"/>
          <w:lang w:eastAsia="en-GB"/>
        </w:rPr>
        <w:t xml:space="preserve"> </w:t>
      </w:r>
      <w:r w:rsidR="00B81C7C">
        <w:rPr>
          <w:rFonts w:cs="Verdana"/>
          <w:lang w:eastAsia="en-GB"/>
        </w:rPr>
        <w:t xml:space="preserve">in this dossier </w:t>
      </w:r>
      <w:r w:rsidR="006A7AC3">
        <w:rPr>
          <w:rFonts w:cs="Verdana"/>
          <w:lang w:eastAsia="en-GB"/>
        </w:rPr>
        <w:t xml:space="preserve">is based on the </w:t>
      </w:r>
      <w:r w:rsidR="00B81C7C">
        <w:rPr>
          <w:rFonts w:cs="Verdana"/>
          <w:lang w:eastAsia="en-GB"/>
        </w:rPr>
        <w:t xml:space="preserve">information provided and analysed in the </w:t>
      </w:r>
      <w:r w:rsidR="006A7AC3">
        <w:rPr>
          <w:rFonts w:cs="Verdana"/>
          <w:lang w:eastAsia="en-GB"/>
        </w:rPr>
        <w:t xml:space="preserve">Support Document for the Identification of CTPHT as SVHC (ECHA, 2009). </w:t>
      </w:r>
    </w:p>
    <w:p w14:paraId="115C5A27" w14:textId="77777777" w:rsidR="00B12C39" w:rsidRPr="009A0757" w:rsidRDefault="00B12C39" w:rsidP="00B12C39">
      <w:pPr>
        <w:jc w:val="both"/>
        <w:rPr>
          <w:rFonts w:cs="Verdana"/>
          <w:i/>
          <w:lang w:eastAsia="en-GB"/>
        </w:rPr>
      </w:pPr>
    </w:p>
    <w:p w14:paraId="115C5A28" w14:textId="77777777" w:rsidR="00B12C39" w:rsidRPr="00D10FD9" w:rsidRDefault="00B12C39" w:rsidP="00B12C39">
      <w:pPr>
        <w:jc w:val="both"/>
        <w:rPr>
          <w:rFonts w:cs="Verdana"/>
          <w:u w:val="single"/>
          <w:lang w:val="en-US" w:eastAsia="en-GB"/>
        </w:rPr>
      </w:pPr>
      <w:r w:rsidRPr="00D10FD9">
        <w:rPr>
          <w:rFonts w:cs="Verdana"/>
          <w:u w:val="single"/>
          <w:lang w:val="en-US" w:eastAsia="en-GB"/>
        </w:rPr>
        <w:t>Persistence</w:t>
      </w:r>
    </w:p>
    <w:p w14:paraId="115C5A29" w14:textId="036CC17E" w:rsidR="00B12C39" w:rsidRPr="00D10FD9" w:rsidRDefault="00431E79" w:rsidP="00B12C39">
      <w:pPr>
        <w:jc w:val="both"/>
        <w:rPr>
          <w:rFonts w:cs="Verdana"/>
          <w:lang w:val="en-US" w:eastAsia="en-GB"/>
        </w:rPr>
      </w:pPr>
      <w:r w:rsidRPr="00A12C6E">
        <w:t xml:space="preserve">Based on the available information from </w:t>
      </w:r>
      <w:r w:rsidR="000611BD">
        <w:t>experimental and estimated data</w:t>
      </w:r>
      <w:r>
        <w:t>,</w:t>
      </w:r>
      <w:r w:rsidRPr="00A12C6E">
        <w:t xml:space="preserve"> </w:t>
      </w:r>
      <w:proofErr w:type="spellStart"/>
      <w:r>
        <w:t>BaA</w:t>
      </w:r>
      <w:proofErr w:type="spellEnd"/>
      <w:r w:rsidRPr="00A12C6E">
        <w:t xml:space="preserve"> degrades very slowly in soil with half-lives of &gt; 180 d.</w:t>
      </w:r>
      <w:r>
        <w:t xml:space="preserve"> </w:t>
      </w:r>
      <w:r w:rsidRPr="00A12C6E">
        <w:t xml:space="preserve">Thus, the P and the </w:t>
      </w:r>
      <w:proofErr w:type="spellStart"/>
      <w:proofErr w:type="gramStart"/>
      <w:r w:rsidRPr="00A12C6E">
        <w:t>vP</w:t>
      </w:r>
      <w:proofErr w:type="spellEnd"/>
      <w:proofErr w:type="gramEnd"/>
      <w:r w:rsidRPr="00A12C6E">
        <w:t xml:space="preserve"> criteria of REACH Annex XIII are fulfilled.</w:t>
      </w:r>
    </w:p>
    <w:p w14:paraId="37E9C079" w14:textId="77777777" w:rsidR="00120761" w:rsidRDefault="00120761" w:rsidP="00B12C39">
      <w:pPr>
        <w:jc w:val="both"/>
        <w:rPr>
          <w:rFonts w:cs="Verdana"/>
          <w:u w:val="single"/>
          <w:lang w:val="en-US" w:eastAsia="en-GB"/>
        </w:rPr>
      </w:pPr>
    </w:p>
    <w:p w14:paraId="1790D011" w14:textId="1D89AB2A" w:rsidR="00337164" w:rsidRPr="00D10FD9" w:rsidRDefault="00120761" w:rsidP="00B12C39">
      <w:pPr>
        <w:jc w:val="both"/>
        <w:rPr>
          <w:rFonts w:cs="Verdana"/>
          <w:u w:val="single"/>
          <w:lang w:val="en-US" w:eastAsia="en-GB"/>
        </w:rPr>
      </w:pPr>
      <w:r>
        <w:rPr>
          <w:rFonts w:cs="Verdana"/>
          <w:u w:val="single"/>
          <w:lang w:val="en-US" w:eastAsia="en-GB"/>
        </w:rPr>
        <w:t>Bioaccumulation</w:t>
      </w:r>
    </w:p>
    <w:p w14:paraId="1BAC0792" w14:textId="5062A292" w:rsidR="00E50651" w:rsidRPr="00D10FD9" w:rsidRDefault="00337164" w:rsidP="00E50651">
      <w:pPr>
        <w:jc w:val="both"/>
        <w:rPr>
          <w:rFonts w:cs="Verdana"/>
          <w:lang w:val="en-US" w:eastAsia="en-GB"/>
        </w:rPr>
      </w:pPr>
      <w:r w:rsidRPr="00A12C6E">
        <w:t xml:space="preserve">The bioaccumulation of </w:t>
      </w:r>
      <w:proofErr w:type="spellStart"/>
      <w:r w:rsidR="00B904D3">
        <w:t>BaA</w:t>
      </w:r>
      <w:proofErr w:type="spellEnd"/>
      <w:r w:rsidRPr="00A12C6E">
        <w:t xml:space="preserve"> in </w:t>
      </w:r>
      <w:r>
        <w:t xml:space="preserve">Crustacea were measured and </w:t>
      </w:r>
      <w:r w:rsidRPr="00A12C6E">
        <w:t>BCFs &gt;</w:t>
      </w:r>
      <w:r>
        <w:t xml:space="preserve"> </w:t>
      </w:r>
      <w:r w:rsidRPr="00A12C6E">
        <w:t xml:space="preserve">5000 </w:t>
      </w:r>
      <w:r>
        <w:t>obtained</w:t>
      </w:r>
      <w:r w:rsidRPr="00A12C6E">
        <w:t>.</w:t>
      </w:r>
      <w:r>
        <w:t xml:space="preserve"> </w:t>
      </w:r>
      <w:r w:rsidRPr="00A12C6E">
        <w:lastRenderedPageBreak/>
        <w:t xml:space="preserve">Thus, the B and the </w:t>
      </w:r>
      <w:proofErr w:type="spellStart"/>
      <w:r w:rsidRPr="00A12C6E">
        <w:t>vB</w:t>
      </w:r>
      <w:proofErr w:type="spellEnd"/>
      <w:r w:rsidRPr="00A12C6E">
        <w:t xml:space="preserve"> criteria of REACH Annex XIII are fulfilled.</w:t>
      </w:r>
    </w:p>
    <w:p w14:paraId="115C5A2B" w14:textId="77777777" w:rsidR="00B12C39" w:rsidRPr="00D10FD9" w:rsidRDefault="00B12C39" w:rsidP="00B12C39">
      <w:pPr>
        <w:jc w:val="both"/>
        <w:rPr>
          <w:rFonts w:cs="Verdana"/>
          <w:lang w:val="en-US" w:eastAsia="en-GB"/>
        </w:rPr>
      </w:pPr>
    </w:p>
    <w:p w14:paraId="115C5A2C" w14:textId="77777777" w:rsidR="00B12C39" w:rsidRPr="00475193" w:rsidRDefault="00B12C39" w:rsidP="00B12C39">
      <w:pPr>
        <w:jc w:val="both"/>
        <w:rPr>
          <w:rFonts w:cs="Verdana"/>
          <w:u w:val="single"/>
          <w:lang w:eastAsia="en-GB"/>
        </w:rPr>
      </w:pPr>
      <w:r w:rsidRPr="00475193">
        <w:rPr>
          <w:rFonts w:cs="Verdana"/>
          <w:u w:val="single"/>
          <w:lang w:eastAsia="en-GB"/>
        </w:rPr>
        <w:t>Toxicity</w:t>
      </w:r>
      <w:r>
        <w:rPr>
          <w:rFonts w:cs="Verdana"/>
          <w:u w:val="single"/>
          <w:lang w:eastAsia="en-GB"/>
        </w:rPr>
        <w:t xml:space="preserve"> (</w:t>
      </w:r>
      <w:r w:rsidR="008C6EE6">
        <w:rPr>
          <w:rFonts w:cs="Verdana"/>
          <w:u w:val="single"/>
          <w:lang w:eastAsia="en-GB"/>
        </w:rPr>
        <w:t>only relevant for PBT substances</w:t>
      </w:r>
      <w:r>
        <w:rPr>
          <w:rFonts w:cs="Verdana"/>
          <w:u w:val="single"/>
          <w:lang w:eastAsia="en-GB"/>
        </w:rPr>
        <w:t>)</w:t>
      </w:r>
    </w:p>
    <w:p w14:paraId="115C5A2D" w14:textId="1D019048" w:rsidR="00B12C39" w:rsidRDefault="00337164" w:rsidP="00B12C39">
      <w:pPr>
        <w:jc w:val="both"/>
      </w:pPr>
      <w:r>
        <w:t>Based on available data, the lowest chronic aquatic toxicity was observed for the alga</w:t>
      </w:r>
      <w:r w:rsidR="00B81C7C">
        <w:t>e</w:t>
      </w:r>
      <w:r>
        <w:t xml:space="preserve"> </w:t>
      </w:r>
      <w:proofErr w:type="spellStart"/>
      <w:r w:rsidRPr="00FC6639">
        <w:rPr>
          <w:rFonts w:cs="Courier New"/>
          <w:i/>
        </w:rPr>
        <w:t>Pseudokirchneriella</w:t>
      </w:r>
      <w:proofErr w:type="spellEnd"/>
      <w:r w:rsidRPr="00FC6639">
        <w:rPr>
          <w:rFonts w:cs="Courier New"/>
          <w:i/>
        </w:rPr>
        <w:t xml:space="preserve"> </w:t>
      </w:r>
      <w:proofErr w:type="spellStart"/>
      <w:r w:rsidRPr="00FC6639">
        <w:rPr>
          <w:rFonts w:cs="Courier New"/>
          <w:i/>
        </w:rPr>
        <w:t>subcapitata</w:t>
      </w:r>
      <w:proofErr w:type="spellEnd"/>
      <w:r w:rsidRPr="00FC6639">
        <w:rPr>
          <w:rFonts w:cs="Courier New"/>
          <w:i/>
        </w:rPr>
        <w:t xml:space="preserve"> </w:t>
      </w:r>
      <w:r w:rsidRPr="001606E1">
        <w:rPr>
          <w:rFonts w:cs="Courier New"/>
        </w:rPr>
        <w:t xml:space="preserve">with an EC10 of 1.2 </w:t>
      </w:r>
      <w:proofErr w:type="spellStart"/>
      <w:r w:rsidRPr="001606E1">
        <w:rPr>
          <w:rFonts w:cs="Courier New"/>
        </w:rPr>
        <w:t>μg</w:t>
      </w:r>
      <w:proofErr w:type="spellEnd"/>
      <w:r w:rsidRPr="001606E1">
        <w:rPr>
          <w:rFonts w:cs="Courier New"/>
        </w:rPr>
        <w:t>/l for growth inhibition.</w:t>
      </w:r>
      <w:r>
        <w:rPr>
          <w:rFonts w:cs="Courier New"/>
        </w:rPr>
        <w:t xml:space="preserve"> </w:t>
      </w:r>
      <w:r w:rsidRPr="00A12C6E">
        <w:t xml:space="preserve">Therefore, </w:t>
      </w:r>
      <w:proofErr w:type="spellStart"/>
      <w:r>
        <w:t>BaA</w:t>
      </w:r>
      <w:proofErr w:type="spellEnd"/>
      <w:r w:rsidRPr="00A12C6E">
        <w:t xml:space="preserve"> is a </w:t>
      </w:r>
      <w:r>
        <w:t>very</w:t>
      </w:r>
      <w:r w:rsidRPr="00A12C6E">
        <w:t xml:space="preserve"> toxic substance and fulfils the T criteria in accordance with the criteria and provisions set out in Annex XIII section 1.1.3 a) of REACH</w:t>
      </w:r>
      <w:r w:rsidRPr="00B072C1">
        <w:t>.</w:t>
      </w:r>
      <w:r w:rsidR="00B072C1" w:rsidRPr="00D10FD9">
        <w:t xml:space="preserve"> </w:t>
      </w:r>
      <w:r w:rsidR="00591FDF">
        <w:rPr>
          <w:rFonts w:cs="Verdana"/>
          <w:lang w:eastAsia="en-GB"/>
        </w:rPr>
        <w:t>Additionally, the criteria for toxicity of Annex XIII section 1.1.3 b) is fulfilled based on the classification of the substance as Carcinogenic category 1B (hazard statement H350: “May cause cancer”)</w:t>
      </w:r>
      <w:r w:rsidR="00B072C1" w:rsidRPr="00D10FD9">
        <w:rPr>
          <w:sz w:val="18"/>
          <w:szCs w:val="18"/>
        </w:rPr>
        <w:t>.</w:t>
      </w:r>
    </w:p>
    <w:p w14:paraId="4CB244F6" w14:textId="77777777" w:rsidR="00337164" w:rsidRPr="00475193" w:rsidRDefault="00337164" w:rsidP="00B12C39">
      <w:pPr>
        <w:jc w:val="both"/>
        <w:rPr>
          <w:rFonts w:cs="Verdana"/>
          <w:lang w:eastAsia="en-GB"/>
        </w:rPr>
      </w:pPr>
    </w:p>
    <w:p w14:paraId="115C5A2E" w14:textId="6008DC04" w:rsidR="00B12C39" w:rsidRPr="00475193" w:rsidRDefault="00A222DD" w:rsidP="00B12C39">
      <w:pPr>
        <w:jc w:val="both"/>
        <w:rPr>
          <w:rFonts w:cs="Verdana"/>
          <w:u w:val="single"/>
          <w:lang w:eastAsia="en-GB"/>
        </w:rPr>
      </w:pPr>
      <w:r>
        <w:rPr>
          <w:rFonts w:cs="Verdana"/>
          <w:u w:val="single"/>
          <w:lang w:eastAsia="en-GB"/>
        </w:rPr>
        <w:t>Overall c</w:t>
      </w:r>
      <w:r w:rsidR="00B12C39" w:rsidRPr="00475193">
        <w:rPr>
          <w:rFonts w:cs="Verdana"/>
          <w:u w:val="single"/>
          <w:lang w:eastAsia="en-GB"/>
        </w:rPr>
        <w:t>onclusion</w:t>
      </w:r>
    </w:p>
    <w:p w14:paraId="115C5A2F" w14:textId="77777777" w:rsidR="00B12C39" w:rsidRPr="00475193" w:rsidRDefault="00B12C39" w:rsidP="00B12C39">
      <w:pPr>
        <w:jc w:val="both"/>
        <w:rPr>
          <w:rFonts w:cs="Verdana"/>
          <w:lang w:eastAsia="en-GB"/>
        </w:rPr>
      </w:pPr>
    </w:p>
    <w:p w14:paraId="115C5A30" w14:textId="12A3C0AE" w:rsidR="00B12C39" w:rsidRPr="00FA6F76" w:rsidRDefault="00B12C39" w:rsidP="00B12C39">
      <w:pPr>
        <w:jc w:val="both"/>
        <w:rPr>
          <w:lang w:eastAsia="en-US"/>
        </w:rPr>
      </w:pPr>
      <w:r w:rsidRPr="009F2950">
        <w:rPr>
          <w:lang w:eastAsia="en-US"/>
        </w:rPr>
        <w:t xml:space="preserve">In conclusion, </w:t>
      </w:r>
      <w:proofErr w:type="spellStart"/>
      <w:proofErr w:type="gramStart"/>
      <w:r w:rsidR="00337164">
        <w:rPr>
          <w:szCs w:val="24"/>
          <w:lang w:eastAsia="en-US"/>
        </w:rPr>
        <w:t>benz</w:t>
      </w:r>
      <w:proofErr w:type="spellEnd"/>
      <w:r w:rsidR="00857C60">
        <w:rPr>
          <w:szCs w:val="24"/>
          <w:lang w:eastAsia="en-US"/>
        </w:rPr>
        <w:t>[</w:t>
      </w:r>
      <w:proofErr w:type="gramEnd"/>
      <w:r w:rsidR="00337164" w:rsidRPr="00551770">
        <w:rPr>
          <w:i/>
          <w:szCs w:val="24"/>
          <w:lang w:eastAsia="en-US"/>
        </w:rPr>
        <w:t>a</w:t>
      </w:r>
      <w:r w:rsidR="00857C60">
        <w:rPr>
          <w:szCs w:val="24"/>
          <w:lang w:eastAsia="en-US"/>
        </w:rPr>
        <w:t>]</w:t>
      </w:r>
      <w:r w:rsidR="00337164">
        <w:rPr>
          <w:szCs w:val="24"/>
          <w:lang w:eastAsia="en-US"/>
        </w:rPr>
        <w:t>anthracene</w:t>
      </w:r>
      <w:r w:rsidR="001B3789" w:rsidRPr="00626669">
        <w:rPr>
          <w:szCs w:val="24"/>
          <w:lang w:eastAsia="en-US"/>
        </w:rPr>
        <w:t xml:space="preserve"> </w:t>
      </w:r>
      <w:r w:rsidRPr="009A0757">
        <w:rPr>
          <w:lang w:eastAsia="en-US"/>
        </w:rPr>
        <w:t xml:space="preserve">meets the criteria for </w:t>
      </w:r>
      <w:r w:rsidRPr="00337164">
        <w:rPr>
          <w:lang w:eastAsia="en-US"/>
        </w:rPr>
        <w:t>a</w:t>
      </w:r>
      <w:r w:rsidRPr="00337164">
        <w:rPr>
          <w:i/>
          <w:lang w:eastAsia="en-US"/>
        </w:rPr>
        <w:t xml:space="preserve"> </w:t>
      </w:r>
      <w:r w:rsidRPr="00D10FD9">
        <w:rPr>
          <w:lang w:eastAsia="en-US"/>
        </w:rPr>
        <w:t>PBT and</w:t>
      </w:r>
      <w:r w:rsidR="00337164" w:rsidRPr="00D10FD9">
        <w:rPr>
          <w:lang w:eastAsia="en-US"/>
        </w:rPr>
        <w:t xml:space="preserve"> </w:t>
      </w:r>
      <w:proofErr w:type="spellStart"/>
      <w:r w:rsidRPr="00D10FD9">
        <w:rPr>
          <w:lang w:eastAsia="en-US"/>
        </w:rPr>
        <w:t>vPvB</w:t>
      </w:r>
      <w:proofErr w:type="spellEnd"/>
      <w:r w:rsidRPr="00FA6F76">
        <w:rPr>
          <w:i/>
          <w:lang w:eastAsia="en-US"/>
        </w:rPr>
        <w:t xml:space="preserve"> </w:t>
      </w:r>
      <w:r w:rsidRPr="00475193">
        <w:rPr>
          <w:lang w:eastAsia="en-US"/>
        </w:rPr>
        <w:t>substance</w:t>
      </w:r>
      <w:r w:rsidRPr="00FA6F76">
        <w:rPr>
          <w:lang w:eastAsia="en-US"/>
        </w:rPr>
        <w:t xml:space="preserve"> according to </w:t>
      </w:r>
      <w:r w:rsidRPr="00D10FD9">
        <w:rPr>
          <w:lang w:eastAsia="en-US"/>
        </w:rPr>
        <w:t>Article 57</w:t>
      </w:r>
      <w:r w:rsidR="00B072C1">
        <w:rPr>
          <w:lang w:eastAsia="en-US"/>
        </w:rPr>
        <w:t xml:space="preserve"> </w:t>
      </w:r>
      <w:r w:rsidRPr="00D10FD9">
        <w:rPr>
          <w:lang w:eastAsia="en-US"/>
        </w:rPr>
        <w:t>(d) and (e)</w:t>
      </w:r>
      <w:r w:rsidR="004F68C4">
        <w:rPr>
          <w:i/>
          <w:lang w:eastAsia="en-US"/>
        </w:rPr>
        <w:t xml:space="preserve"> </w:t>
      </w:r>
      <w:r w:rsidR="004F68C4" w:rsidRPr="00BD2574">
        <w:rPr>
          <w:lang w:eastAsia="en-US"/>
        </w:rPr>
        <w:t>REACH</w:t>
      </w:r>
      <w:r w:rsidR="000F4E5D">
        <w:rPr>
          <w:lang w:eastAsia="en-US"/>
        </w:rPr>
        <w:t xml:space="preserve"> based on </w:t>
      </w:r>
      <w:r w:rsidR="00DD6763">
        <w:rPr>
          <w:lang w:eastAsia="en-US"/>
        </w:rPr>
        <w:t>a weight-of-evidence determination</w:t>
      </w:r>
      <w:r w:rsidR="00B81C7C">
        <w:rPr>
          <w:lang w:eastAsia="en-US"/>
        </w:rPr>
        <w:t xml:space="preserve"> and the criteria for carcinogenicity according to Article 57 (a)</w:t>
      </w:r>
      <w:r w:rsidRPr="00475193">
        <w:rPr>
          <w:i/>
          <w:lang w:eastAsia="en-US"/>
        </w:rPr>
        <w:t>.</w:t>
      </w:r>
    </w:p>
    <w:p w14:paraId="115C5A31" w14:textId="77777777" w:rsidR="00B12C39" w:rsidRDefault="00B12C39" w:rsidP="00B12C39">
      <w:pPr>
        <w:widowControl/>
        <w:autoSpaceDE w:val="0"/>
        <w:autoSpaceDN w:val="0"/>
        <w:adjustRightInd w:val="0"/>
        <w:rPr>
          <w:rFonts w:cs="Verdana"/>
          <w:i/>
          <w:lang w:eastAsia="en-GB"/>
        </w:rPr>
      </w:pPr>
    </w:p>
    <w:p w14:paraId="115C5A32" w14:textId="77777777" w:rsidR="00B12C39" w:rsidRDefault="00B12C39" w:rsidP="00B12C39">
      <w:pPr>
        <w:widowControl/>
        <w:autoSpaceDE w:val="0"/>
        <w:autoSpaceDN w:val="0"/>
        <w:adjustRightInd w:val="0"/>
        <w:jc w:val="both"/>
        <w:rPr>
          <w:rFonts w:cs="Verdana"/>
          <w:i/>
          <w:lang w:eastAsia="en-GB"/>
        </w:rPr>
      </w:pPr>
    </w:p>
    <w:p w14:paraId="115C5A44" w14:textId="77777777" w:rsidR="00C07CEF" w:rsidRPr="002A61B5" w:rsidRDefault="00C07CEF" w:rsidP="00B12C39">
      <w:pPr>
        <w:jc w:val="both"/>
        <w:rPr>
          <w:rStyle w:val="Strong"/>
          <w:b w:val="0"/>
          <w:bCs/>
          <w:i/>
        </w:rPr>
      </w:pPr>
    </w:p>
    <w:p w14:paraId="115C5A45" w14:textId="77777777" w:rsidR="00B12C39" w:rsidRPr="00C42D6A" w:rsidRDefault="00B12C39" w:rsidP="00B12C39">
      <w:pPr>
        <w:jc w:val="both"/>
        <w:rPr>
          <w:rStyle w:val="Strong"/>
          <w:b w:val="0"/>
          <w:bCs/>
        </w:rPr>
      </w:pPr>
    </w:p>
    <w:p w14:paraId="115C5A46" w14:textId="23538D1D" w:rsidR="00B12C39" w:rsidRPr="00127DF0" w:rsidRDefault="00B12C39" w:rsidP="009C4BF4">
      <w:pPr>
        <w:widowControl/>
        <w:jc w:val="both"/>
        <w:rPr>
          <w:rStyle w:val="Strong"/>
          <w:bCs/>
        </w:rPr>
      </w:pPr>
      <w:r w:rsidRPr="00127DF0">
        <w:rPr>
          <w:rStyle w:val="Strong"/>
          <w:bCs/>
        </w:rPr>
        <w:t xml:space="preserve">Registration dossiers submitted for the substance? </w:t>
      </w:r>
      <w:r w:rsidRPr="00D10FD9">
        <w:rPr>
          <w:rStyle w:val="Strong"/>
          <w:bCs/>
        </w:rPr>
        <w:t>No</w:t>
      </w:r>
    </w:p>
    <w:p w14:paraId="115C5A47" w14:textId="77777777" w:rsidR="00B12C39" w:rsidRPr="00CD2F3D" w:rsidRDefault="00B12C39" w:rsidP="00CD2F3D">
      <w:pPr>
        <w:pStyle w:val="Title"/>
        <w:numPr>
          <w:ilvl w:val="0"/>
          <w:numId w:val="0"/>
        </w:numPr>
        <w:jc w:val="center"/>
        <w:rPr>
          <w:sz w:val="32"/>
        </w:rPr>
      </w:pPr>
      <w:r>
        <w:br w:type="page"/>
      </w:r>
      <w:bookmarkStart w:id="17" w:name="_Toc316637274"/>
      <w:bookmarkStart w:id="18" w:name="_Toc341888501"/>
      <w:bookmarkStart w:id="19" w:name="_Toc342400355"/>
      <w:bookmarkStart w:id="20" w:name="_Toc357184189"/>
      <w:bookmarkStart w:id="21" w:name="_Toc357184425"/>
      <w:bookmarkStart w:id="22" w:name="_Toc357185226"/>
      <w:bookmarkStart w:id="23" w:name="_Toc357186074"/>
      <w:bookmarkStart w:id="24" w:name="_Toc357186223"/>
      <w:bookmarkStart w:id="25" w:name="_Toc357437509"/>
      <w:bookmarkStart w:id="26" w:name="_Toc357590782"/>
      <w:bookmarkStart w:id="27" w:name="_Toc357692814"/>
      <w:bookmarkStart w:id="28" w:name="_Toc365649641"/>
      <w:bookmarkStart w:id="29" w:name="_Toc365649790"/>
      <w:bookmarkStart w:id="30" w:name="_Toc366489842"/>
      <w:bookmarkStart w:id="31" w:name="_Toc418498547"/>
      <w:bookmarkStart w:id="32" w:name="_Toc418505990"/>
      <w:bookmarkStart w:id="33" w:name="_Toc491810723"/>
      <w:r w:rsidRPr="00CD2F3D">
        <w:rPr>
          <w:sz w:val="32"/>
        </w:rPr>
        <w:lastRenderedPageBreak/>
        <w:t>PART I</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15C5A4E" w14:textId="77777777" w:rsidR="00B12C39" w:rsidRPr="00DD36C7" w:rsidRDefault="00B12C39" w:rsidP="00DD36C7">
      <w:pPr>
        <w:pStyle w:val="Title"/>
        <w:numPr>
          <w:ilvl w:val="0"/>
          <w:numId w:val="0"/>
        </w:numPr>
        <w:jc w:val="center"/>
        <w:rPr>
          <w:sz w:val="32"/>
        </w:rPr>
      </w:pPr>
      <w:bookmarkStart w:id="34" w:name="_Toc316637275"/>
      <w:bookmarkStart w:id="35" w:name="_Toc341888502"/>
      <w:bookmarkStart w:id="36" w:name="_Toc342400356"/>
      <w:bookmarkStart w:id="37" w:name="_Toc357185227"/>
      <w:bookmarkStart w:id="38" w:name="_Toc357186075"/>
      <w:bookmarkStart w:id="39" w:name="_Toc357186224"/>
      <w:bookmarkStart w:id="40" w:name="_Toc357437510"/>
      <w:bookmarkStart w:id="41" w:name="_Toc357590783"/>
      <w:bookmarkStart w:id="42" w:name="_Toc357692815"/>
      <w:bookmarkStart w:id="43" w:name="_Toc365649642"/>
      <w:bookmarkStart w:id="44" w:name="_Toc365649791"/>
      <w:bookmarkStart w:id="45" w:name="_Toc366489843"/>
      <w:bookmarkStart w:id="46" w:name="_Toc418498548"/>
      <w:bookmarkStart w:id="47" w:name="_Toc418505991"/>
      <w:bookmarkStart w:id="48" w:name="_Toc491810724"/>
      <w:r w:rsidRPr="00DD36C7">
        <w:rPr>
          <w:sz w:val="32"/>
        </w:rPr>
        <w:t>Justification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15C5A54" w14:textId="77777777" w:rsidR="00B12C39" w:rsidRDefault="00B12C39" w:rsidP="00C85A85">
      <w:pPr>
        <w:pStyle w:val="Heading1"/>
        <w:ind w:left="426" w:hanging="426"/>
      </w:pPr>
      <w:bookmarkStart w:id="49" w:name="_Toc341888503"/>
      <w:bookmarkStart w:id="50" w:name="_Toc342400357"/>
      <w:bookmarkStart w:id="51" w:name="_Toc354499568"/>
      <w:bookmarkStart w:id="52" w:name="_Toc357083641"/>
      <w:bookmarkStart w:id="53" w:name="_Toc357184190"/>
      <w:bookmarkStart w:id="54" w:name="_Toc357184426"/>
      <w:bookmarkStart w:id="55" w:name="_Toc357185228"/>
      <w:bookmarkStart w:id="56" w:name="_Toc357186076"/>
      <w:bookmarkStart w:id="57" w:name="_Toc357186225"/>
      <w:bookmarkStart w:id="58" w:name="_Toc357437511"/>
      <w:bookmarkStart w:id="59" w:name="_Toc357590784"/>
      <w:bookmarkStart w:id="60" w:name="_Toc357692816"/>
      <w:bookmarkStart w:id="61" w:name="_Toc365649643"/>
      <w:bookmarkStart w:id="62" w:name="_Toc365649792"/>
      <w:bookmarkStart w:id="63" w:name="_Toc366489844"/>
      <w:bookmarkStart w:id="64" w:name="_Toc418498549"/>
      <w:bookmarkStart w:id="65" w:name="_Toc418505992"/>
      <w:bookmarkStart w:id="66" w:name="_Toc491810725"/>
      <w:r w:rsidRPr="004C7600">
        <w:t>Identity of the substance and physical and chemical properties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115C5A5B" w14:textId="77777777" w:rsidR="00B12C39" w:rsidRDefault="00B12C39" w:rsidP="00BB6734">
      <w:pPr>
        <w:pStyle w:val="Heading2"/>
        <w:numPr>
          <w:ilvl w:val="1"/>
          <w:numId w:val="1"/>
        </w:numPr>
        <w:tabs>
          <w:tab w:val="clear" w:pos="360"/>
          <w:tab w:val="num" w:pos="0"/>
        </w:tabs>
      </w:pPr>
      <w:bookmarkStart w:id="67" w:name="_Toc479580238"/>
      <w:bookmarkStart w:id="68" w:name="_Toc479580385"/>
      <w:bookmarkStart w:id="69" w:name="_Toc479596765"/>
      <w:bookmarkStart w:id="70" w:name="_Toc479580239"/>
      <w:bookmarkStart w:id="71" w:name="_Toc479580386"/>
      <w:bookmarkStart w:id="72" w:name="_Toc479596766"/>
      <w:bookmarkStart w:id="73" w:name="_Toc479580241"/>
      <w:bookmarkStart w:id="74" w:name="_Toc479580388"/>
      <w:bookmarkStart w:id="75" w:name="_Toc479596768"/>
      <w:bookmarkStart w:id="76" w:name="_Toc341888504"/>
      <w:bookmarkStart w:id="77" w:name="_Toc342400358"/>
      <w:bookmarkStart w:id="78" w:name="_Toc354499569"/>
      <w:bookmarkStart w:id="79" w:name="_Toc357083642"/>
      <w:bookmarkStart w:id="80" w:name="_Toc357184191"/>
      <w:bookmarkStart w:id="81" w:name="_Toc357184427"/>
      <w:bookmarkStart w:id="82" w:name="_Toc357185229"/>
      <w:bookmarkStart w:id="83" w:name="_Toc357186077"/>
      <w:bookmarkStart w:id="84" w:name="_Toc357186226"/>
      <w:bookmarkStart w:id="85" w:name="_Toc357437512"/>
      <w:bookmarkStart w:id="86" w:name="_Toc357590785"/>
      <w:bookmarkStart w:id="87" w:name="_Toc357692817"/>
      <w:bookmarkStart w:id="88" w:name="_Toc365649644"/>
      <w:bookmarkStart w:id="89" w:name="_Toc365649793"/>
      <w:bookmarkStart w:id="90" w:name="_Toc366489845"/>
      <w:bookmarkStart w:id="91" w:name="_Toc418498550"/>
      <w:bookmarkStart w:id="92" w:name="_Toc418505993"/>
      <w:bookmarkStart w:id="93" w:name="_Toc491810726"/>
      <w:bookmarkEnd w:id="67"/>
      <w:bookmarkEnd w:id="68"/>
      <w:bookmarkEnd w:id="69"/>
      <w:bookmarkEnd w:id="70"/>
      <w:bookmarkEnd w:id="71"/>
      <w:bookmarkEnd w:id="72"/>
      <w:bookmarkEnd w:id="73"/>
      <w:bookmarkEnd w:id="74"/>
      <w:bookmarkEnd w:id="75"/>
      <w:r w:rsidRPr="007B2537">
        <w:t>Name and other identifiers of the substance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15C5A5E" w14:textId="77777777" w:rsidR="00B12C39" w:rsidRPr="008D0DBB" w:rsidRDefault="00B12C39" w:rsidP="00C86948">
      <w:pPr>
        <w:pStyle w:val="BodyText"/>
        <w:jc w:val="both"/>
        <w:rPr>
          <w:b/>
          <w:sz w:val="18"/>
          <w:szCs w:val="18"/>
        </w:rPr>
      </w:pPr>
      <w:bookmarkStart w:id="94" w:name="_Toc341889781"/>
      <w:bookmarkStart w:id="95" w:name="_Toc357184842"/>
      <w:bookmarkStart w:id="96" w:name="_Toc359563693"/>
      <w:bookmarkStart w:id="97" w:name="_Toc365030502"/>
      <w:bookmarkStart w:id="98" w:name="_Toc491875965"/>
      <w:r w:rsidRPr="008D0DBB">
        <w:rPr>
          <w:b/>
          <w:sz w:val="18"/>
          <w:szCs w:val="18"/>
        </w:rPr>
        <w:t xml:space="preserve">Table </w:t>
      </w:r>
      <w:r w:rsidR="000721AD" w:rsidRPr="008D0DBB">
        <w:rPr>
          <w:b/>
          <w:sz w:val="18"/>
          <w:szCs w:val="18"/>
        </w:rPr>
        <w:fldChar w:fldCharType="begin"/>
      </w:r>
      <w:r w:rsidRPr="008D0DBB">
        <w:rPr>
          <w:b/>
          <w:sz w:val="18"/>
          <w:szCs w:val="18"/>
        </w:rPr>
        <w:instrText xml:space="preserve"> SEQ Table \* ARABIC </w:instrText>
      </w:r>
      <w:r w:rsidR="000721AD" w:rsidRPr="008D0DBB">
        <w:rPr>
          <w:b/>
          <w:sz w:val="18"/>
          <w:szCs w:val="18"/>
        </w:rPr>
        <w:fldChar w:fldCharType="separate"/>
      </w:r>
      <w:r w:rsidR="00B934DA">
        <w:rPr>
          <w:b/>
          <w:noProof/>
          <w:sz w:val="18"/>
          <w:szCs w:val="18"/>
        </w:rPr>
        <w:t>1</w:t>
      </w:r>
      <w:r w:rsidR="000721AD" w:rsidRPr="008D0DBB">
        <w:rPr>
          <w:b/>
          <w:sz w:val="18"/>
          <w:szCs w:val="18"/>
        </w:rPr>
        <w:fldChar w:fldCharType="end"/>
      </w:r>
      <w:r w:rsidRPr="008D0DBB">
        <w:rPr>
          <w:b/>
          <w:sz w:val="18"/>
          <w:szCs w:val="18"/>
        </w:rPr>
        <w:t>: Substance identity</w:t>
      </w:r>
      <w:bookmarkEnd w:id="94"/>
      <w:bookmarkEnd w:id="95"/>
      <w:bookmarkEnd w:id="96"/>
      <w:bookmarkEnd w:id="97"/>
      <w:bookmarkEnd w:id="98"/>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B12C39" w:rsidRPr="00F026DE" w14:paraId="115C5A61" w14:textId="77777777">
        <w:trPr>
          <w:trHeight w:val="363"/>
        </w:trPr>
        <w:tc>
          <w:tcPr>
            <w:tcW w:w="4518" w:type="dxa"/>
            <w:tcMar>
              <w:top w:w="40" w:type="dxa"/>
              <w:left w:w="40" w:type="dxa"/>
              <w:bottom w:w="40" w:type="dxa"/>
              <w:right w:w="40" w:type="dxa"/>
            </w:tcMar>
          </w:tcPr>
          <w:p w14:paraId="115C5A5F" w14:textId="77777777" w:rsidR="00B12C39" w:rsidRPr="00F97B18" w:rsidRDefault="00B12C39" w:rsidP="00B12C39">
            <w:pPr>
              <w:pStyle w:val="TableRowHeader"/>
              <w:rPr>
                <w:sz w:val="18"/>
                <w:szCs w:val="18"/>
              </w:rPr>
            </w:pPr>
            <w:r w:rsidRPr="00F97B18">
              <w:rPr>
                <w:sz w:val="18"/>
                <w:szCs w:val="18"/>
              </w:rPr>
              <w:t>EC number:</w:t>
            </w:r>
          </w:p>
        </w:tc>
        <w:tc>
          <w:tcPr>
            <w:tcW w:w="5137" w:type="dxa"/>
            <w:tcMar>
              <w:top w:w="40" w:type="dxa"/>
              <w:left w:w="40" w:type="dxa"/>
              <w:bottom w:w="40" w:type="dxa"/>
              <w:right w:w="40" w:type="dxa"/>
            </w:tcMar>
          </w:tcPr>
          <w:p w14:paraId="115C5A60" w14:textId="57D3A655" w:rsidR="00B12C39" w:rsidRPr="00F97B18" w:rsidRDefault="003000E7" w:rsidP="00B12C39">
            <w:pPr>
              <w:keepNext/>
              <w:keepLines/>
              <w:widowControl/>
              <w:spacing w:before="54" w:after="54"/>
              <w:ind w:left="113"/>
              <w:jc w:val="both"/>
              <w:rPr>
                <w:sz w:val="18"/>
                <w:szCs w:val="18"/>
                <w:lang w:eastAsia="da-DK"/>
              </w:rPr>
            </w:pPr>
            <w:r w:rsidRPr="00F97B18">
              <w:rPr>
                <w:sz w:val="18"/>
                <w:szCs w:val="18"/>
                <w:lang w:eastAsia="da-DK"/>
              </w:rPr>
              <w:t>200-280-6</w:t>
            </w:r>
          </w:p>
        </w:tc>
      </w:tr>
      <w:tr w:rsidR="00B12C39" w:rsidRPr="00F026DE" w14:paraId="115C5A64" w14:textId="77777777">
        <w:trPr>
          <w:trHeight w:val="371"/>
        </w:trPr>
        <w:tc>
          <w:tcPr>
            <w:tcW w:w="4518" w:type="dxa"/>
            <w:tcMar>
              <w:top w:w="40" w:type="dxa"/>
              <w:left w:w="40" w:type="dxa"/>
              <w:bottom w:w="40" w:type="dxa"/>
              <w:right w:w="40" w:type="dxa"/>
            </w:tcMar>
          </w:tcPr>
          <w:p w14:paraId="115C5A62" w14:textId="77777777" w:rsidR="00B12C39" w:rsidRPr="00F97B18" w:rsidRDefault="00B12C39" w:rsidP="00B12C39">
            <w:pPr>
              <w:pStyle w:val="TableRowHeader"/>
              <w:rPr>
                <w:sz w:val="18"/>
                <w:szCs w:val="18"/>
              </w:rPr>
            </w:pPr>
            <w:r w:rsidRPr="00F97B18">
              <w:rPr>
                <w:sz w:val="18"/>
                <w:szCs w:val="18"/>
              </w:rPr>
              <w:t>EC name:</w:t>
            </w:r>
          </w:p>
        </w:tc>
        <w:tc>
          <w:tcPr>
            <w:tcW w:w="5137" w:type="dxa"/>
            <w:tcMar>
              <w:top w:w="40" w:type="dxa"/>
              <w:left w:w="40" w:type="dxa"/>
              <w:bottom w:w="40" w:type="dxa"/>
              <w:right w:w="40" w:type="dxa"/>
            </w:tcMar>
          </w:tcPr>
          <w:p w14:paraId="115C5A63" w14:textId="01F61015" w:rsidR="00B12C39" w:rsidRPr="00F97B18" w:rsidRDefault="003000E7" w:rsidP="00B12C39">
            <w:pPr>
              <w:keepNext/>
              <w:keepLines/>
              <w:widowControl/>
              <w:spacing w:before="54" w:after="54"/>
              <w:ind w:left="113"/>
              <w:jc w:val="both"/>
              <w:rPr>
                <w:sz w:val="18"/>
                <w:szCs w:val="18"/>
                <w:lang w:eastAsia="da-DK"/>
              </w:rPr>
            </w:pPr>
            <w:r w:rsidRPr="00F97B18">
              <w:rPr>
                <w:sz w:val="18"/>
                <w:szCs w:val="18"/>
              </w:rPr>
              <w:t>Benz[</w:t>
            </w:r>
            <w:r w:rsidRPr="00F97B18">
              <w:rPr>
                <w:i/>
                <w:sz w:val="18"/>
                <w:szCs w:val="18"/>
              </w:rPr>
              <w:t>a</w:t>
            </w:r>
            <w:r w:rsidRPr="00F97B18">
              <w:rPr>
                <w:sz w:val="18"/>
                <w:szCs w:val="18"/>
              </w:rPr>
              <w:t>]anthracene</w:t>
            </w:r>
          </w:p>
        </w:tc>
      </w:tr>
      <w:tr w:rsidR="00B12C39" w:rsidRPr="00F026DE" w14:paraId="115C5A67" w14:textId="77777777">
        <w:trPr>
          <w:trHeight w:val="393"/>
        </w:trPr>
        <w:tc>
          <w:tcPr>
            <w:tcW w:w="4518" w:type="dxa"/>
            <w:tcMar>
              <w:top w:w="40" w:type="dxa"/>
              <w:left w:w="40" w:type="dxa"/>
              <w:bottom w:w="40" w:type="dxa"/>
              <w:right w:w="40" w:type="dxa"/>
            </w:tcMar>
          </w:tcPr>
          <w:p w14:paraId="115C5A65" w14:textId="77777777" w:rsidR="00B12C39" w:rsidRPr="00F97B18" w:rsidRDefault="00B12C39" w:rsidP="00B12C39">
            <w:pPr>
              <w:pStyle w:val="TableRowHeader"/>
              <w:rPr>
                <w:sz w:val="18"/>
                <w:szCs w:val="18"/>
              </w:rPr>
            </w:pPr>
            <w:r w:rsidRPr="00F97B18">
              <w:rPr>
                <w:sz w:val="18"/>
                <w:szCs w:val="18"/>
              </w:rPr>
              <w:t>CAS number (in the EC inventory):</w:t>
            </w:r>
          </w:p>
        </w:tc>
        <w:tc>
          <w:tcPr>
            <w:tcW w:w="5137" w:type="dxa"/>
            <w:tcMar>
              <w:top w:w="40" w:type="dxa"/>
              <w:left w:w="40" w:type="dxa"/>
              <w:bottom w:w="40" w:type="dxa"/>
              <w:right w:w="40" w:type="dxa"/>
            </w:tcMar>
          </w:tcPr>
          <w:p w14:paraId="115C5A66" w14:textId="3946DD97" w:rsidR="00B12C39" w:rsidRPr="00F97B18" w:rsidRDefault="003000E7" w:rsidP="00B12C39">
            <w:pPr>
              <w:keepNext/>
              <w:keepLines/>
              <w:widowControl/>
              <w:spacing w:before="54" w:after="54"/>
              <w:ind w:left="113"/>
              <w:jc w:val="both"/>
              <w:rPr>
                <w:sz w:val="18"/>
                <w:szCs w:val="18"/>
                <w:lang w:eastAsia="da-DK"/>
              </w:rPr>
            </w:pPr>
            <w:r w:rsidRPr="00F97B18">
              <w:rPr>
                <w:sz w:val="18"/>
                <w:szCs w:val="18"/>
                <w:lang w:eastAsia="da-DK"/>
              </w:rPr>
              <w:t>56-55-3</w:t>
            </w:r>
          </w:p>
        </w:tc>
      </w:tr>
      <w:tr w:rsidR="00B12C39" w:rsidRPr="00F026DE" w14:paraId="115C5A6B" w14:textId="77777777">
        <w:trPr>
          <w:trHeight w:val="760"/>
        </w:trPr>
        <w:tc>
          <w:tcPr>
            <w:tcW w:w="4518" w:type="dxa"/>
            <w:tcMar>
              <w:top w:w="40" w:type="dxa"/>
              <w:left w:w="40" w:type="dxa"/>
              <w:bottom w:w="40" w:type="dxa"/>
              <w:right w:w="40" w:type="dxa"/>
            </w:tcMar>
          </w:tcPr>
          <w:p w14:paraId="115C5A68" w14:textId="77777777" w:rsidR="00B12C39" w:rsidRPr="00F97B18" w:rsidRDefault="00B12C39" w:rsidP="00B12C39">
            <w:pPr>
              <w:pStyle w:val="TableRowHeader"/>
              <w:rPr>
                <w:sz w:val="18"/>
                <w:szCs w:val="18"/>
              </w:rPr>
            </w:pPr>
            <w:r w:rsidRPr="00F97B18">
              <w:rPr>
                <w:sz w:val="18"/>
                <w:szCs w:val="18"/>
              </w:rPr>
              <w:t>CAS number:</w:t>
            </w:r>
          </w:p>
          <w:p w14:paraId="115C5A69" w14:textId="77777777" w:rsidR="00B12C39" w:rsidRPr="00F97B18" w:rsidRDefault="00B12C39" w:rsidP="00B12C39">
            <w:pPr>
              <w:pStyle w:val="TableRowHeader"/>
              <w:rPr>
                <w:sz w:val="18"/>
                <w:szCs w:val="18"/>
              </w:rPr>
            </w:pPr>
            <w:r w:rsidRPr="00F97B18">
              <w:rPr>
                <w:sz w:val="18"/>
                <w:szCs w:val="18"/>
              </w:rPr>
              <w:t>Deleted CAS numbers:</w:t>
            </w:r>
          </w:p>
        </w:tc>
        <w:tc>
          <w:tcPr>
            <w:tcW w:w="5137" w:type="dxa"/>
            <w:tcMar>
              <w:top w:w="40" w:type="dxa"/>
              <w:left w:w="40" w:type="dxa"/>
              <w:bottom w:w="40" w:type="dxa"/>
              <w:right w:w="40" w:type="dxa"/>
            </w:tcMar>
          </w:tcPr>
          <w:p w14:paraId="115C5A6A" w14:textId="4E94B96D" w:rsidR="00B12C39" w:rsidRPr="00F97B18" w:rsidRDefault="00B12C39" w:rsidP="00B12C39">
            <w:pPr>
              <w:keepNext/>
              <w:keepLines/>
              <w:widowControl/>
              <w:spacing w:before="54" w:after="54"/>
              <w:ind w:left="113"/>
              <w:jc w:val="both"/>
              <w:rPr>
                <w:sz w:val="18"/>
                <w:szCs w:val="18"/>
                <w:lang w:eastAsia="da-DK"/>
              </w:rPr>
            </w:pPr>
          </w:p>
        </w:tc>
      </w:tr>
      <w:tr w:rsidR="00B12C39" w:rsidRPr="00F026DE" w14:paraId="115C5A6E" w14:textId="77777777">
        <w:trPr>
          <w:trHeight w:val="30"/>
        </w:trPr>
        <w:tc>
          <w:tcPr>
            <w:tcW w:w="4518" w:type="dxa"/>
            <w:tcMar>
              <w:top w:w="40" w:type="dxa"/>
              <w:left w:w="40" w:type="dxa"/>
              <w:bottom w:w="40" w:type="dxa"/>
              <w:right w:w="40" w:type="dxa"/>
            </w:tcMar>
          </w:tcPr>
          <w:p w14:paraId="115C5A6C" w14:textId="77777777" w:rsidR="00B12C39" w:rsidRPr="00F97B18" w:rsidRDefault="00B12C39" w:rsidP="00B12C39">
            <w:pPr>
              <w:pStyle w:val="TableRowHeader"/>
              <w:rPr>
                <w:sz w:val="18"/>
                <w:szCs w:val="18"/>
              </w:rPr>
            </w:pPr>
            <w:r w:rsidRPr="00F97B18">
              <w:rPr>
                <w:sz w:val="18"/>
                <w:szCs w:val="18"/>
              </w:rPr>
              <w:t>CAS name:</w:t>
            </w:r>
          </w:p>
        </w:tc>
        <w:tc>
          <w:tcPr>
            <w:tcW w:w="5137" w:type="dxa"/>
            <w:tcMar>
              <w:top w:w="40" w:type="dxa"/>
              <w:left w:w="40" w:type="dxa"/>
              <w:bottom w:w="40" w:type="dxa"/>
              <w:right w:w="40" w:type="dxa"/>
            </w:tcMar>
          </w:tcPr>
          <w:p w14:paraId="115C5A6D" w14:textId="185E292C" w:rsidR="00B12C39" w:rsidRPr="00F97B18" w:rsidRDefault="00860AA3" w:rsidP="00B12C39">
            <w:pPr>
              <w:keepNext/>
              <w:keepLines/>
              <w:widowControl/>
              <w:spacing w:before="54" w:after="54"/>
              <w:ind w:left="113"/>
              <w:jc w:val="both"/>
              <w:rPr>
                <w:sz w:val="18"/>
                <w:szCs w:val="18"/>
                <w:lang w:eastAsia="da-DK"/>
              </w:rPr>
            </w:pPr>
            <w:r w:rsidRPr="00F97B18">
              <w:rPr>
                <w:sz w:val="18"/>
                <w:szCs w:val="18"/>
              </w:rPr>
              <w:t>Benz[</w:t>
            </w:r>
            <w:r w:rsidRPr="00F97B18">
              <w:rPr>
                <w:i/>
                <w:sz w:val="18"/>
                <w:szCs w:val="18"/>
              </w:rPr>
              <w:t>a</w:t>
            </w:r>
            <w:r w:rsidRPr="00F97B18">
              <w:rPr>
                <w:sz w:val="18"/>
                <w:szCs w:val="18"/>
              </w:rPr>
              <w:t>]anthracene</w:t>
            </w:r>
          </w:p>
        </w:tc>
      </w:tr>
      <w:tr w:rsidR="00B12C39" w:rsidRPr="00F026DE" w14:paraId="115C5A71" w14:textId="77777777">
        <w:tc>
          <w:tcPr>
            <w:tcW w:w="4518" w:type="dxa"/>
            <w:tcMar>
              <w:top w:w="40" w:type="dxa"/>
              <w:left w:w="40" w:type="dxa"/>
              <w:bottom w:w="40" w:type="dxa"/>
              <w:right w:w="40" w:type="dxa"/>
            </w:tcMar>
          </w:tcPr>
          <w:p w14:paraId="115C5A6F" w14:textId="77777777" w:rsidR="00B12C39" w:rsidRPr="00F97B18" w:rsidRDefault="00B12C39" w:rsidP="00B12C39">
            <w:pPr>
              <w:pStyle w:val="TableRowHeader"/>
              <w:rPr>
                <w:sz w:val="18"/>
                <w:szCs w:val="18"/>
              </w:rPr>
            </w:pPr>
            <w:r w:rsidRPr="00F97B18">
              <w:rPr>
                <w:sz w:val="18"/>
                <w:szCs w:val="18"/>
              </w:rPr>
              <w:t>IUPAC name:</w:t>
            </w:r>
          </w:p>
        </w:tc>
        <w:tc>
          <w:tcPr>
            <w:tcW w:w="5137" w:type="dxa"/>
            <w:tcMar>
              <w:top w:w="40" w:type="dxa"/>
              <w:left w:w="40" w:type="dxa"/>
              <w:bottom w:w="40" w:type="dxa"/>
              <w:right w:w="40" w:type="dxa"/>
            </w:tcMar>
          </w:tcPr>
          <w:p w14:paraId="115C5A70" w14:textId="6F537A04" w:rsidR="00B12C39" w:rsidRPr="00F97B18" w:rsidRDefault="00860AA3" w:rsidP="00895CFA">
            <w:pPr>
              <w:keepNext/>
              <w:keepLines/>
              <w:widowControl/>
              <w:spacing w:before="54" w:after="54"/>
              <w:ind w:left="113"/>
              <w:jc w:val="both"/>
              <w:rPr>
                <w:sz w:val="18"/>
                <w:szCs w:val="18"/>
                <w:lang w:eastAsia="da-DK"/>
              </w:rPr>
            </w:pPr>
            <w:r w:rsidRPr="00F97B18">
              <w:rPr>
                <w:sz w:val="18"/>
                <w:szCs w:val="18"/>
              </w:rPr>
              <w:t>Benz</w:t>
            </w:r>
            <w:r w:rsidR="00895CFA" w:rsidRPr="00F97B18">
              <w:rPr>
                <w:sz w:val="18"/>
                <w:szCs w:val="18"/>
              </w:rPr>
              <w:t>o[</w:t>
            </w:r>
            <w:r w:rsidRPr="00F97B18">
              <w:rPr>
                <w:i/>
                <w:sz w:val="18"/>
                <w:szCs w:val="18"/>
              </w:rPr>
              <w:t>a</w:t>
            </w:r>
            <w:r w:rsidR="00895CFA" w:rsidRPr="00F97B18">
              <w:rPr>
                <w:sz w:val="18"/>
                <w:szCs w:val="18"/>
              </w:rPr>
              <w:t>]</w:t>
            </w:r>
            <w:r w:rsidRPr="00F97B18">
              <w:rPr>
                <w:sz w:val="18"/>
                <w:szCs w:val="18"/>
              </w:rPr>
              <w:t>anthracene</w:t>
            </w:r>
          </w:p>
        </w:tc>
      </w:tr>
      <w:tr w:rsidR="00B12C39" w:rsidRPr="00F026DE" w14:paraId="115C5A74" w14:textId="77777777">
        <w:tc>
          <w:tcPr>
            <w:tcW w:w="4518" w:type="dxa"/>
            <w:tcMar>
              <w:top w:w="40" w:type="dxa"/>
              <w:left w:w="40" w:type="dxa"/>
              <w:bottom w:w="40" w:type="dxa"/>
              <w:right w:w="40" w:type="dxa"/>
            </w:tcMar>
          </w:tcPr>
          <w:p w14:paraId="115C5A72" w14:textId="77777777" w:rsidR="00B12C39" w:rsidRPr="00F97B18" w:rsidRDefault="00B12C39" w:rsidP="00B12C39">
            <w:pPr>
              <w:pStyle w:val="TableRowHeader"/>
              <w:rPr>
                <w:sz w:val="18"/>
                <w:szCs w:val="18"/>
              </w:rPr>
            </w:pPr>
            <w:r w:rsidRPr="00F97B18">
              <w:rPr>
                <w:sz w:val="18"/>
                <w:szCs w:val="18"/>
              </w:rPr>
              <w:t>Index number in Annex VI of the CLP Regulation</w:t>
            </w:r>
          </w:p>
        </w:tc>
        <w:tc>
          <w:tcPr>
            <w:tcW w:w="5137" w:type="dxa"/>
            <w:tcMar>
              <w:top w:w="40" w:type="dxa"/>
              <w:left w:w="40" w:type="dxa"/>
              <w:bottom w:w="40" w:type="dxa"/>
              <w:right w:w="40" w:type="dxa"/>
            </w:tcMar>
          </w:tcPr>
          <w:p w14:paraId="115C5A73" w14:textId="073C9A3F" w:rsidR="00B12C39" w:rsidRPr="00F97B18" w:rsidRDefault="003000E7" w:rsidP="00B12C39">
            <w:pPr>
              <w:keepNext/>
              <w:keepLines/>
              <w:widowControl/>
              <w:spacing w:before="54" w:after="54"/>
              <w:ind w:left="113"/>
              <w:jc w:val="both"/>
              <w:rPr>
                <w:sz w:val="18"/>
                <w:szCs w:val="18"/>
                <w:lang w:eastAsia="da-DK"/>
              </w:rPr>
            </w:pPr>
            <w:r w:rsidRPr="00F97B18">
              <w:rPr>
                <w:sz w:val="18"/>
                <w:szCs w:val="18"/>
                <w:lang w:eastAsia="en-US"/>
              </w:rPr>
              <w:t>601-033-00-9</w:t>
            </w:r>
          </w:p>
        </w:tc>
      </w:tr>
      <w:tr w:rsidR="00B12C39" w:rsidRPr="00F026DE" w14:paraId="115C5A77" w14:textId="77777777">
        <w:tc>
          <w:tcPr>
            <w:tcW w:w="4518" w:type="dxa"/>
            <w:tcMar>
              <w:top w:w="40" w:type="dxa"/>
              <w:left w:w="40" w:type="dxa"/>
              <w:bottom w:w="40" w:type="dxa"/>
              <w:right w:w="40" w:type="dxa"/>
            </w:tcMar>
          </w:tcPr>
          <w:p w14:paraId="115C5A75" w14:textId="77777777" w:rsidR="00B12C39" w:rsidRPr="00F97B18" w:rsidRDefault="00B12C39" w:rsidP="00B12C39">
            <w:pPr>
              <w:pStyle w:val="TableRowHeader"/>
              <w:rPr>
                <w:sz w:val="18"/>
                <w:szCs w:val="18"/>
              </w:rPr>
            </w:pPr>
            <w:r w:rsidRPr="00F97B18">
              <w:rPr>
                <w:sz w:val="18"/>
                <w:szCs w:val="18"/>
              </w:rPr>
              <w:t>Molecular formula:</w:t>
            </w:r>
          </w:p>
        </w:tc>
        <w:tc>
          <w:tcPr>
            <w:tcW w:w="5137" w:type="dxa"/>
            <w:tcMar>
              <w:top w:w="40" w:type="dxa"/>
              <w:left w:w="40" w:type="dxa"/>
              <w:bottom w:w="40" w:type="dxa"/>
              <w:right w:w="40" w:type="dxa"/>
            </w:tcMar>
          </w:tcPr>
          <w:p w14:paraId="115C5A76" w14:textId="6F5E4942" w:rsidR="00B12C39" w:rsidRPr="00F97B18" w:rsidRDefault="00860AA3" w:rsidP="00B12C39">
            <w:pPr>
              <w:keepNext/>
              <w:keepLines/>
              <w:widowControl/>
              <w:spacing w:before="54" w:after="54"/>
              <w:ind w:left="113"/>
              <w:jc w:val="both"/>
              <w:rPr>
                <w:sz w:val="18"/>
                <w:szCs w:val="18"/>
                <w:lang w:eastAsia="da-DK"/>
              </w:rPr>
            </w:pPr>
            <w:r w:rsidRPr="00F97B18">
              <w:rPr>
                <w:sz w:val="18"/>
                <w:szCs w:val="18"/>
                <w:lang w:eastAsia="da-DK"/>
              </w:rPr>
              <w:t>C18H12</w:t>
            </w:r>
          </w:p>
        </w:tc>
      </w:tr>
      <w:tr w:rsidR="00B12C39" w:rsidRPr="00F026DE" w14:paraId="115C5A7A" w14:textId="77777777">
        <w:trPr>
          <w:trHeight w:val="407"/>
        </w:trPr>
        <w:tc>
          <w:tcPr>
            <w:tcW w:w="4518" w:type="dxa"/>
            <w:tcMar>
              <w:top w:w="40" w:type="dxa"/>
              <w:left w:w="40" w:type="dxa"/>
              <w:bottom w:w="40" w:type="dxa"/>
              <w:right w:w="40" w:type="dxa"/>
            </w:tcMar>
          </w:tcPr>
          <w:p w14:paraId="115C5A78" w14:textId="77777777" w:rsidR="00B12C39" w:rsidRPr="00F97B18" w:rsidRDefault="00B12C39" w:rsidP="00B12C39">
            <w:pPr>
              <w:pStyle w:val="TableRowHeader"/>
              <w:rPr>
                <w:sz w:val="18"/>
                <w:szCs w:val="18"/>
              </w:rPr>
            </w:pPr>
            <w:r w:rsidRPr="00F97B18">
              <w:rPr>
                <w:sz w:val="18"/>
                <w:szCs w:val="18"/>
              </w:rPr>
              <w:t>Molecular weight range:</w:t>
            </w:r>
          </w:p>
        </w:tc>
        <w:tc>
          <w:tcPr>
            <w:tcW w:w="5137" w:type="dxa"/>
            <w:tcMar>
              <w:top w:w="40" w:type="dxa"/>
              <w:left w:w="40" w:type="dxa"/>
              <w:bottom w:w="40" w:type="dxa"/>
              <w:right w:w="40" w:type="dxa"/>
            </w:tcMar>
          </w:tcPr>
          <w:p w14:paraId="115C5A79" w14:textId="1357A0A1" w:rsidR="00B12C39" w:rsidRPr="00F97B18" w:rsidRDefault="00860AA3" w:rsidP="00B12C39">
            <w:pPr>
              <w:keepNext/>
              <w:keepLines/>
              <w:widowControl/>
              <w:spacing w:before="54" w:after="54"/>
              <w:ind w:left="113"/>
              <w:jc w:val="both"/>
              <w:rPr>
                <w:sz w:val="18"/>
                <w:szCs w:val="18"/>
                <w:lang w:eastAsia="da-DK"/>
              </w:rPr>
            </w:pPr>
            <w:r w:rsidRPr="00F97B18">
              <w:rPr>
                <w:sz w:val="18"/>
                <w:szCs w:val="18"/>
                <w:lang w:eastAsia="da-DK"/>
              </w:rPr>
              <w:t>228.29</w:t>
            </w:r>
            <w:r w:rsidR="00193FD2" w:rsidRPr="00F97B18">
              <w:rPr>
                <w:sz w:val="18"/>
                <w:szCs w:val="18"/>
                <w:lang w:eastAsia="da-DK"/>
              </w:rPr>
              <w:t xml:space="preserve"> g/mole</w:t>
            </w:r>
          </w:p>
        </w:tc>
      </w:tr>
      <w:tr w:rsidR="00B12C39" w:rsidRPr="00F026DE" w14:paraId="115C5A7D" w14:textId="77777777" w:rsidTr="009E0412">
        <w:trPr>
          <w:trHeight w:val="680"/>
        </w:trPr>
        <w:tc>
          <w:tcPr>
            <w:tcW w:w="4518" w:type="dxa"/>
            <w:tcMar>
              <w:top w:w="40" w:type="dxa"/>
              <w:left w:w="40" w:type="dxa"/>
              <w:bottom w:w="40" w:type="dxa"/>
              <w:right w:w="40" w:type="dxa"/>
            </w:tcMar>
          </w:tcPr>
          <w:p w14:paraId="115C5A7B" w14:textId="77777777" w:rsidR="00B12C39" w:rsidRPr="00F97B18" w:rsidRDefault="00B12C39" w:rsidP="00B12C39">
            <w:pPr>
              <w:pStyle w:val="TableRowHeader"/>
              <w:rPr>
                <w:sz w:val="18"/>
                <w:szCs w:val="18"/>
              </w:rPr>
            </w:pPr>
            <w:r w:rsidRPr="00F97B18">
              <w:rPr>
                <w:sz w:val="18"/>
                <w:szCs w:val="18"/>
              </w:rPr>
              <w:t>Synonyms:</w:t>
            </w:r>
          </w:p>
        </w:tc>
        <w:tc>
          <w:tcPr>
            <w:tcW w:w="5137" w:type="dxa"/>
            <w:tcMar>
              <w:top w:w="40" w:type="dxa"/>
              <w:left w:w="40" w:type="dxa"/>
              <w:bottom w:w="40" w:type="dxa"/>
              <w:right w:w="40" w:type="dxa"/>
            </w:tcMar>
          </w:tcPr>
          <w:p w14:paraId="5F8FA3E9" w14:textId="77777777" w:rsidR="00860AA3" w:rsidRPr="00F97B18" w:rsidRDefault="00860AA3" w:rsidP="00860AA3">
            <w:pPr>
              <w:rPr>
                <w:sz w:val="18"/>
                <w:szCs w:val="18"/>
              </w:rPr>
            </w:pPr>
            <w:r w:rsidRPr="00F97B18">
              <w:rPr>
                <w:sz w:val="18"/>
                <w:szCs w:val="18"/>
              </w:rPr>
              <w:t>Benzo[a]anthracene (</w:t>
            </w:r>
            <w:proofErr w:type="spellStart"/>
            <w:r w:rsidRPr="00F97B18">
              <w:rPr>
                <w:sz w:val="18"/>
                <w:szCs w:val="18"/>
              </w:rPr>
              <w:t>BaA</w:t>
            </w:r>
            <w:proofErr w:type="spellEnd"/>
            <w:r w:rsidRPr="00F97B18">
              <w:rPr>
                <w:sz w:val="18"/>
                <w:szCs w:val="18"/>
              </w:rPr>
              <w:t>)</w:t>
            </w:r>
          </w:p>
          <w:p w14:paraId="248FF80A" w14:textId="77777777" w:rsidR="00860AA3" w:rsidRPr="00F97B18" w:rsidRDefault="00860AA3" w:rsidP="00860AA3">
            <w:pPr>
              <w:rPr>
                <w:sz w:val="18"/>
                <w:szCs w:val="18"/>
              </w:rPr>
            </w:pPr>
            <w:proofErr w:type="spellStart"/>
            <w:r w:rsidRPr="00F97B18">
              <w:rPr>
                <w:sz w:val="18"/>
                <w:szCs w:val="18"/>
              </w:rPr>
              <w:t>tetraphene</w:t>
            </w:r>
            <w:proofErr w:type="spellEnd"/>
          </w:p>
          <w:p w14:paraId="14688644" w14:textId="77777777" w:rsidR="00860AA3" w:rsidRPr="00F97B18" w:rsidRDefault="00860AA3" w:rsidP="00860AA3">
            <w:pPr>
              <w:rPr>
                <w:sz w:val="18"/>
                <w:szCs w:val="18"/>
              </w:rPr>
            </w:pPr>
            <w:r w:rsidRPr="00F97B18">
              <w:rPr>
                <w:sz w:val="18"/>
                <w:szCs w:val="18"/>
              </w:rPr>
              <w:t>Benz[</w:t>
            </w:r>
            <w:r w:rsidRPr="00F97B18">
              <w:rPr>
                <w:i/>
                <w:sz w:val="18"/>
                <w:szCs w:val="18"/>
              </w:rPr>
              <w:t>a</w:t>
            </w:r>
            <w:r w:rsidRPr="00F97B18">
              <w:rPr>
                <w:sz w:val="18"/>
                <w:szCs w:val="18"/>
              </w:rPr>
              <w:t>]anthracene</w:t>
            </w:r>
          </w:p>
          <w:p w14:paraId="08F39BB3" w14:textId="77777777" w:rsidR="00860AA3" w:rsidRPr="00F97B18" w:rsidRDefault="00860AA3" w:rsidP="00860AA3">
            <w:pPr>
              <w:rPr>
                <w:sz w:val="18"/>
                <w:szCs w:val="18"/>
              </w:rPr>
            </w:pPr>
            <w:proofErr w:type="spellStart"/>
            <w:r w:rsidRPr="00F97B18">
              <w:rPr>
                <w:sz w:val="18"/>
                <w:szCs w:val="18"/>
              </w:rPr>
              <w:t>Tetraphene</w:t>
            </w:r>
            <w:proofErr w:type="spellEnd"/>
          </w:p>
          <w:p w14:paraId="04A8CFF6" w14:textId="77777777" w:rsidR="00860AA3" w:rsidRPr="00F97B18" w:rsidRDefault="00860AA3" w:rsidP="00860AA3">
            <w:pPr>
              <w:rPr>
                <w:sz w:val="18"/>
                <w:szCs w:val="18"/>
              </w:rPr>
            </w:pPr>
            <w:r w:rsidRPr="00F97B18">
              <w:rPr>
                <w:sz w:val="18"/>
                <w:szCs w:val="18"/>
              </w:rPr>
              <w:t>1,2-Benz[</w:t>
            </w:r>
            <w:r w:rsidRPr="00F97B18">
              <w:rPr>
                <w:i/>
                <w:sz w:val="18"/>
                <w:szCs w:val="18"/>
              </w:rPr>
              <w:t>a</w:t>
            </w:r>
            <w:r w:rsidRPr="00F97B18">
              <w:rPr>
                <w:sz w:val="18"/>
                <w:szCs w:val="18"/>
              </w:rPr>
              <w:t>]anthracene</w:t>
            </w:r>
          </w:p>
          <w:p w14:paraId="5B3ED11B" w14:textId="77777777" w:rsidR="00860AA3" w:rsidRPr="00F97B18" w:rsidRDefault="00860AA3" w:rsidP="00860AA3">
            <w:pPr>
              <w:rPr>
                <w:sz w:val="18"/>
                <w:szCs w:val="18"/>
              </w:rPr>
            </w:pPr>
            <w:proofErr w:type="spellStart"/>
            <w:r w:rsidRPr="00F97B18">
              <w:rPr>
                <w:sz w:val="18"/>
                <w:szCs w:val="18"/>
              </w:rPr>
              <w:t>Benzanthracene</w:t>
            </w:r>
            <w:proofErr w:type="spellEnd"/>
          </w:p>
          <w:p w14:paraId="13E8D041" w14:textId="77777777" w:rsidR="00860AA3" w:rsidRPr="00F97B18" w:rsidRDefault="00860AA3" w:rsidP="00860AA3">
            <w:pPr>
              <w:rPr>
                <w:sz w:val="18"/>
                <w:szCs w:val="18"/>
              </w:rPr>
            </w:pPr>
            <w:r w:rsidRPr="00F97B18">
              <w:rPr>
                <w:sz w:val="18"/>
                <w:szCs w:val="18"/>
              </w:rPr>
              <w:t>1,2-Benzanthrene</w:t>
            </w:r>
          </w:p>
          <w:p w14:paraId="658A001D" w14:textId="77777777" w:rsidR="00860AA3" w:rsidRPr="00F97B18" w:rsidRDefault="00860AA3" w:rsidP="00860AA3">
            <w:pPr>
              <w:rPr>
                <w:sz w:val="18"/>
                <w:szCs w:val="18"/>
              </w:rPr>
            </w:pPr>
            <w:r w:rsidRPr="00F97B18">
              <w:rPr>
                <w:sz w:val="18"/>
                <w:szCs w:val="18"/>
              </w:rPr>
              <w:t>1,2-Benzanthracene</w:t>
            </w:r>
          </w:p>
          <w:p w14:paraId="7A3342B5" w14:textId="77777777" w:rsidR="00860AA3" w:rsidRPr="00F97B18" w:rsidRDefault="00860AA3" w:rsidP="00860AA3">
            <w:pPr>
              <w:rPr>
                <w:sz w:val="18"/>
                <w:szCs w:val="18"/>
              </w:rPr>
            </w:pPr>
            <w:proofErr w:type="spellStart"/>
            <w:r w:rsidRPr="00F97B18">
              <w:rPr>
                <w:sz w:val="18"/>
                <w:szCs w:val="18"/>
              </w:rPr>
              <w:t>Benzanthrene</w:t>
            </w:r>
            <w:proofErr w:type="spellEnd"/>
          </w:p>
          <w:p w14:paraId="1B93025B" w14:textId="77777777" w:rsidR="00860AA3" w:rsidRPr="00F97B18" w:rsidRDefault="00860AA3" w:rsidP="00860AA3">
            <w:pPr>
              <w:rPr>
                <w:sz w:val="18"/>
                <w:szCs w:val="18"/>
              </w:rPr>
            </w:pPr>
            <w:proofErr w:type="spellStart"/>
            <w:r w:rsidRPr="00F97B18">
              <w:rPr>
                <w:sz w:val="18"/>
                <w:szCs w:val="18"/>
              </w:rPr>
              <w:t>Benzoanthracene</w:t>
            </w:r>
            <w:proofErr w:type="spellEnd"/>
          </w:p>
          <w:p w14:paraId="71CE2669" w14:textId="77777777" w:rsidR="00860AA3" w:rsidRPr="00F97B18" w:rsidRDefault="00860AA3" w:rsidP="00860AA3">
            <w:pPr>
              <w:rPr>
                <w:sz w:val="18"/>
                <w:szCs w:val="18"/>
              </w:rPr>
            </w:pPr>
            <w:r w:rsidRPr="00F97B18">
              <w:rPr>
                <w:sz w:val="18"/>
                <w:szCs w:val="18"/>
              </w:rPr>
              <w:t>1,2-Benzoanthrancene</w:t>
            </w:r>
          </w:p>
          <w:p w14:paraId="0CA483AF" w14:textId="77777777" w:rsidR="00860AA3" w:rsidRPr="00F97B18" w:rsidRDefault="00860AA3" w:rsidP="00860AA3">
            <w:pPr>
              <w:rPr>
                <w:sz w:val="18"/>
                <w:szCs w:val="18"/>
              </w:rPr>
            </w:pPr>
            <w:r w:rsidRPr="00F97B18">
              <w:rPr>
                <w:sz w:val="18"/>
                <w:szCs w:val="18"/>
              </w:rPr>
              <w:t>Benzo[b]</w:t>
            </w:r>
            <w:proofErr w:type="spellStart"/>
            <w:r w:rsidRPr="00F97B18">
              <w:rPr>
                <w:sz w:val="18"/>
                <w:szCs w:val="18"/>
              </w:rPr>
              <w:t>phenanthrene</w:t>
            </w:r>
            <w:proofErr w:type="spellEnd"/>
          </w:p>
          <w:p w14:paraId="1E5C75AB" w14:textId="77777777" w:rsidR="00860AA3" w:rsidRPr="00F97B18" w:rsidRDefault="00860AA3" w:rsidP="00860AA3">
            <w:pPr>
              <w:rPr>
                <w:sz w:val="18"/>
                <w:szCs w:val="18"/>
              </w:rPr>
            </w:pPr>
            <w:r w:rsidRPr="00F97B18">
              <w:rPr>
                <w:sz w:val="18"/>
                <w:szCs w:val="18"/>
              </w:rPr>
              <w:t>2,3-Benzophenanthrene</w:t>
            </w:r>
          </w:p>
          <w:p w14:paraId="115C5A7C" w14:textId="5C1AD139" w:rsidR="00B12C39" w:rsidRPr="00F97B18" w:rsidRDefault="00860AA3" w:rsidP="00860AA3">
            <w:pPr>
              <w:pStyle w:val="StyleTabletextItalic"/>
              <w:jc w:val="left"/>
              <w:rPr>
                <w:i w:val="0"/>
                <w:iCs w:val="0"/>
                <w:sz w:val="18"/>
                <w:szCs w:val="18"/>
              </w:rPr>
            </w:pPr>
            <w:r w:rsidRPr="00F97B18">
              <w:rPr>
                <w:sz w:val="18"/>
                <w:szCs w:val="18"/>
              </w:rPr>
              <w:t>Benz(a)</w:t>
            </w:r>
            <w:proofErr w:type="spellStart"/>
            <w:r w:rsidRPr="00F97B18">
              <w:rPr>
                <w:sz w:val="18"/>
                <w:szCs w:val="18"/>
              </w:rPr>
              <w:t>anthracen</w:t>
            </w:r>
            <w:proofErr w:type="spellEnd"/>
          </w:p>
        </w:tc>
      </w:tr>
    </w:tbl>
    <w:p w14:paraId="66FD8789" w14:textId="77777777" w:rsidR="00F97B18" w:rsidRDefault="00F97B18" w:rsidP="00B12C39">
      <w:pPr>
        <w:widowControl/>
        <w:spacing w:after="180"/>
        <w:jc w:val="both"/>
        <w:rPr>
          <w:rStyle w:val="Strong"/>
          <w:bCs/>
        </w:rPr>
      </w:pPr>
    </w:p>
    <w:p w14:paraId="30294869" w14:textId="77777777" w:rsidR="00F97B18" w:rsidRDefault="00B12C39" w:rsidP="00B12C39">
      <w:pPr>
        <w:widowControl/>
        <w:spacing w:after="180"/>
        <w:jc w:val="both"/>
        <w:rPr>
          <w:rStyle w:val="Strong"/>
          <w:bCs/>
        </w:rPr>
      </w:pPr>
      <w:r w:rsidRPr="00127DF0">
        <w:rPr>
          <w:rStyle w:val="Strong"/>
          <w:bCs/>
        </w:rPr>
        <w:t>Structural formula:</w:t>
      </w:r>
    </w:p>
    <w:p w14:paraId="115C5A7F" w14:textId="3ACBB01F" w:rsidR="00B12C39" w:rsidRDefault="00F97B18" w:rsidP="00B12C39">
      <w:pPr>
        <w:widowControl/>
        <w:spacing w:after="180"/>
        <w:jc w:val="both"/>
        <w:rPr>
          <w:rStyle w:val="Strong"/>
          <w:bCs/>
        </w:rPr>
      </w:pPr>
      <w:r w:rsidRPr="00F97B18">
        <w:rPr>
          <w:b/>
          <w:noProof/>
          <w:lang w:eastAsia="en-GB"/>
        </w:rPr>
        <w:t xml:space="preserve"> </w:t>
      </w:r>
      <w:r w:rsidRPr="00D10FD9">
        <w:rPr>
          <w:b/>
          <w:noProof/>
          <w:lang w:eastAsia="en-GB"/>
        </w:rPr>
        <w:drawing>
          <wp:anchor distT="0" distB="0" distL="114300" distR="114300" simplePos="0" relativeHeight="251658240" behindDoc="0" locked="0" layoutInCell="1" allowOverlap="1" wp14:anchorId="0691DB86" wp14:editId="538854C7">
            <wp:simplePos x="0" y="0"/>
            <wp:positionH relativeFrom="column">
              <wp:posOffset>1410970</wp:posOffset>
            </wp:positionH>
            <wp:positionV relativeFrom="paragraph">
              <wp:posOffset>3175</wp:posOffset>
            </wp:positionV>
            <wp:extent cx="2267585" cy="1348105"/>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raphene_200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7585" cy="1348105"/>
                    </a:xfrm>
                    <a:prstGeom prst="rect">
                      <a:avLst/>
                    </a:prstGeom>
                  </pic:spPr>
                </pic:pic>
              </a:graphicData>
            </a:graphic>
          </wp:anchor>
        </w:drawing>
      </w:r>
    </w:p>
    <w:p w14:paraId="115C5A80" w14:textId="10E95595" w:rsidR="00BB0C44" w:rsidRDefault="00BB0C44" w:rsidP="00D10FD9">
      <w:pPr>
        <w:widowControl/>
        <w:spacing w:after="180"/>
        <w:jc w:val="center"/>
        <w:rPr>
          <w:rStyle w:val="Strong"/>
          <w:bCs/>
        </w:rPr>
      </w:pPr>
    </w:p>
    <w:p w14:paraId="115C5A81" w14:textId="77777777" w:rsidR="00BB0C44" w:rsidRDefault="00BB0C44" w:rsidP="00B12C39">
      <w:pPr>
        <w:widowControl/>
        <w:spacing w:after="180"/>
        <w:jc w:val="both"/>
        <w:rPr>
          <w:rStyle w:val="Strong"/>
          <w:bCs/>
        </w:rPr>
      </w:pPr>
    </w:p>
    <w:p w14:paraId="115C5A82" w14:textId="77777777" w:rsidR="00DC47F5" w:rsidRDefault="00DC47F5" w:rsidP="00B12C39">
      <w:pPr>
        <w:widowControl/>
        <w:spacing w:after="180"/>
        <w:jc w:val="both"/>
        <w:rPr>
          <w:rStyle w:val="Strong"/>
          <w:bCs/>
        </w:rPr>
      </w:pPr>
    </w:p>
    <w:p w14:paraId="115C5A83" w14:textId="77777777" w:rsidR="00B12C39" w:rsidRDefault="00BB6734" w:rsidP="00BB6734">
      <w:pPr>
        <w:pStyle w:val="Heading2"/>
      </w:pPr>
      <w:bookmarkStart w:id="99" w:name="_Toc341888505"/>
      <w:bookmarkStart w:id="100" w:name="_Toc342400359"/>
      <w:bookmarkStart w:id="101" w:name="_Toc354499570"/>
      <w:bookmarkStart w:id="102" w:name="_Toc357083643"/>
      <w:bookmarkStart w:id="103" w:name="_Toc357184192"/>
      <w:bookmarkStart w:id="104" w:name="_Toc357184428"/>
      <w:bookmarkStart w:id="105" w:name="_Toc357185230"/>
      <w:bookmarkStart w:id="106" w:name="_Toc357186078"/>
      <w:bookmarkStart w:id="107" w:name="_Toc357186227"/>
      <w:bookmarkStart w:id="108" w:name="_Toc357437513"/>
      <w:bookmarkStart w:id="109" w:name="_Toc357590786"/>
      <w:bookmarkStart w:id="110" w:name="_Toc357692818"/>
      <w:bookmarkStart w:id="111" w:name="_Toc365649645"/>
      <w:bookmarkStart w:id="112" w:name="_Toc365649794"/>
      <w:bookmarkStart w:id="113" w:name="_Toc366489846"/>
      <w:bookmarkStart w:id="114" w:name="_Toc418498551"/>
      <w:bookmarkStart w:id="115" w:name="_Toc418505994"/>
      <w:bookmarkStart w:id="116" w:name="_Toc491810727"/>
      <w:r>
        <w:lastRenderedPageBreak/>
        <w:t xml:space="preserve">1.2 </w:t>
      </w:r>
      <w:r w:rsidR="00B12C39" w:rsidRPr="003F2F19">
        <w:t>Composition</w:t>
      </w:r>
      <w:r w:rsidR="00B12C39">
        <w:t xml:space="preserve"> </w:t>
      </w:r>
      <w:r w:rsidR="00B12C39" w:rsidRPr="003F2F19">
        <w:t>of the substance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15C5A89" w14:textId="33A0D270" w:rsidR="00B12C39" w:rsidRPr="002957E7" w:rsidRDefault="00B12C39" w:rsidP="003B1B52">
      <w:pPr>
        <w:widowControl/>
        <w:tabs>
          <w:tab w:val="left" w:pos="3261"/>
        </w:tabs>
        <w:spacing w:after="180"/>
        <w:jc w:val="both"/>
        <w:rPr>
          <w:rStyle w:val="Strong"/>
          <w:bCs/>
        </w:rPr>
      </w:pPr>
      <w:r w:rsidRPr="002957E7">
        <w:rPr>
          <w:rStyle w:val="Strong"/>
          <w:bCs/>
        </w:rPr>
        <w:t xml:space="preserve">Name: </w:t>
      </w:r>
      <w:r w:rsidR="009E1F6C">
        <w:rPr>
          <w:rStyle w:val="Strong"/>
          <w:b w:val="0"/>
          <w:bCs/>
        </w:rPr>
        <w:t>B</w:t>
      </w:r>
      <w:r w:rsidR="009E1F6C" w:rsidRPr="00225A95">
        <w:rPr>
          <w:rStyle w:val="Strong"/>
          <w:b w:val="0"/>
          <w:bCs/>
        </w:rPr>
        <w:t>enz</w:t>
      </w:r>
      <w:r w:rsidR="009E1F6C">
        <w:rPr>
          <w:rStyle w:val="Strong"/>
          <w:b w:val="0"/>
          <w:bCs/>
        </w:rPr>
        <w:t>[</w:t>
      </w:r>
      <w:r w:rsidR="00B1276A" w:rsidRPr="00551770">
        <w:rPr>
          <w:rStyle w:val="Strong"/>
          <w:b w:val="0"/>
          <w:bCs/>
          <w:i/>
        </w:rPr>
        <w:t>a</w:t>
      </w:r>
      <w:r w:rsidR="009E1F6C">
        <w:rPr>
          <w:rStyle w:val="Strong"/>
          <w:b w:val="0"/>
          <w:bCs/>
        </w:rPr>
        <w:t>]</w:t>
      </w:r>
      <w:r w:rsidR="00B1276A" w:rsidRPr="00225A95">
        <w:rPr>
          <w:rStyle w:val="Strong"/>
          <w:b w:val="0"/>
          <w:bCs/>
        </w:rPr>
        <w:t>anthracene</w:t>
      </w:r>
    </w:p>
    <w:p w14:paraId="115C5A8A" w14:textId="4DF200B2" w:rsidR="00B12C39" w:rsidRPr="003D3036" w:rsidRDefault="00B12C39" w:rsidP="003B1B52">
      <w:pPr>
        <w:widowControl/>
        <w:tabs>
          <w:tab w:val="left" w:pos="3261"/>
        </w:tabs>
        <w:spacing w:after="180"/>
        <w:jc w:val="both"/>
        <w:rPr>
          <w:rStyle w:val="Strong"/>
          <w:b w:val="0"/>
          <w:bCs/>
        </w:rPr>
      </w:pPr>
      <w:r w:rsidRPr="002957E7">
        <w:rPr>
          <w:rStyle w:val="Strong"/>
          <w:bCs/>
        </w:rPr>
        <w:t xml:space="preserve">Description: </w:t>
      </w:r>
      <w:r w:rsidR="009E1F6C">
        <w:rPr>
          <w:rStyle w:val="Strong"/>
          <w:b w:val="0"/>
          <w:bCs/>
        </w:rPr>
        <w:t>Benz[</w:t>
      </w:r>
      <w:r w:rsidR="009E1F6C" w:rsidRPr="00551770">
        <w:rPr>
          <w:rStyle w:val="Strong"/>
          <w:b w:val="0"/>
          <w:bCs/>
          <w:i/>
        </w:rPr>
        <w:t>a</w:t>
      </w:r>
      <w:r w:rsidR="009E1F6C">
        <w:rPr>
          <w:rStyle w:val="Strong"/>
          <w:b w:val="0"/>
          <w:bCs/>
        </w:rPr>
        <w:t xml:space="preserve">]anthracene </w:t>
      </w:r>
      <w:r w:rsidR="00B1276A" w:rsidRPr="00225A95">
        <w:rPr>
          <w:rStyle w:val="Strong"/>
          <w:b w:val="0"/>
          <w:bCs/>
        </w:rPr>
        <w:t>(</w:t>
      </w:r>
      <w:proofErr w:type="spellStart"/>
      <w:r w:rsidR="00B1276A" w:rsidRPr="00225A95">
        <w:rPr>
          <w:rStyle w:val="Strong"/>
          <w:b w:val="0"/>
          <w:bCs/>
        </w:rPr>
        <w:t>BaA</w:t>
      </w:r>
      <w:proofErr w:type="spellEnd"/>
      <w:r w:rsidR="00B1276A" w:rsidRPr="00225A95">
        <w:rPr>
          <w:rStyle w:val="Strong"/>
          <w:b w:val="0"/>
          <w:bCs/>
        </w:rPr>
        <w:t>) belongs to the group of Polycyclic Aromatic Hydrocarbons (PAH</w:t>
      </w:r>
      <w:r w:rsidR="003A67B1" w:rsidRPr="00225A95">
        <w:rPr>
          <w:rStyle w:val="Strong"/>
          <w:b w:val="0"/>
          <w:bCs/>
        </w:rPr>
        <w:t>s</w:t>
      </w:r>
      <w:r w:rsidR="00B1276A" w:rsidRPr="00225A95">
        <w:rPr>
          <w:rStyle w:val="Strong"/>
          <w:b w:val="0"/>
          <w:bCs/>
        </w:rPr>
        <w:t xml:space="preserve">). </w:t>
      </w:r>
      <w:proofErr w:type="spellStart"/>
      <w:r w:rsidR="00B1276A" w:rsidRPr="00225A95">
        <w:rPr>
          <w:rStyle w:val="Strong"/>
          <w:b w:val="0"/>
          <w:bCs/>
        </w:rPr>
        <w:t>BaA</w:t>
      </w:r>
      <w:proofErr w:type="spellEnd"/>
      <w:r w:rsidR="00B1276A" w:rsidRPr="00225A95">
        <w:rPr>
          <w:rStyle w:val="Strong"/>
          <w:b w:val="0"/>
          <w:bCs/>
        </w:rPr>
        <w:t xml:space="preserve"> is not produced intentionally </w:t>
      </w:r>
      <w:r w:rsidR="000F4E5D">
        <w:rPr>
          <w:rStyle w:val="Strong"/>
          <w:b w:val="0"/>
          <w:bCs/>
        </w:rPr>
        <w:t>but</w:t>
      </w:r>
      <w:r w:rsidR="000F4E5D" w:rsidRPr="00225A95">
        <w:rPr>
          <w:rStyle w:val="Strong"/>
          <w:b w:val="0"/>
          <w:bCs/>
        </w:rPr>
        <w:t xml:space="preserve"> </w:t>
      </w:r>
      <w:r w:rsidR="00B1276A" w:rsidRPr="00225A95">
        <w:rPr>
          <w:rStyle w:val="Strong"/>
          <w:b w:val="0"/>
          <w:bCs/>
        </w:rPr>
        <w:t xml:space="preserve">does occur as constituent in </w:t>
      </w:r>
      <w:r w:rsidR="00AF65C3" w:rsidRPr="00225A95">
        <w:rPr>
          <w:rStyle w:val="Strong"/>
          <w:b w:val="0"/>
          <w:bCs/>
        </w:rPr>
        <w:t>UVCB</w:t>
      </w:r>
      <w:r w:rsidR="000F5601" w:rsidRPr="00193FD2">
        <w:rPr>
          <w:rStyle w:val="FootnoteReference"/>
          <w:rFonts w:ascii="Verdana" w:hAnsi="Verdana"/>
          <w:b/>
          <w:bCs/>
          <w:sz w:val="20"/>
          <w:lang w:val="fr-FR"/>
        </w:rPr>
        <w:footnoteReference w:id="2"/>
      </w:r>
      <w:r w:rsidR="00AF65C3" w:rsidRPr="00225A95">
        <w:rPr>
          <w:rStyle w:val="Strong"/>
          <w:b w:val="0"/>
          <w:bCs/>
        </w:rPr>
        <w:t xml:space="preserve"> </w:t>
      </w:r>
      <w:r w:rsidR="003A67B1" w:rsidRPr="00225A95">
        <w:rPr>
          <w:rStyle w:val="Strong"/>
          <w:b w:val="0"/>
          <w:bCs/>
        </w:rPr>
        <w:t xml:space="preserve">-often with other PAHs - </w:t>
      </w:r>
      <w:r w:rsidR="00AF65C3" w:rsidRPr="00225A95">
        <w:rPr>
          <w:rStyle w:val="Strong"/>
          <w:b w:val="0"/>
          <w:bCs/>
        </w:rPr>
        <w:t xml:space="preserve">mainly derived from the coal and petroleum stream. The dossier addresses the substance </w:t>
      </w:r>
      <w:proofErr w:type="spellStart"/>
      <w:r w:rsidR="00AF65C3" w:rsidRPr="00225A95">
        <w:rPr>
          <w:rStyle w:val="Strong"/>
          <w:b w:val="0"/>
          <w:bCs/>
        </w:rPr>
        <w:t>BaA</w:t>
      </w:r>
      <w:proofErr w:type="spellEnd"/>
      <w:r w:rsidR="00AF65C3" w:rsidRPr="00225A95">
        <w:rPr>
          <w:rStyle w:val="Strong"/>
          <w:b w:val="0"/>
          <w:bCs/>
        </w:rPr>
        <w:t xml:space="preserve"> as a substance itself and not in the context of its original occurrence </w:t>
      </w:r>
      <w:r w:rsidR="000F5601" w:rsidRPr="00536CEE">
        <w:rPr>
          <w:rStyle w:val="Strong"/>
          <w:b w:val="0"/>
          <w:bCs/>
        </w:rPr>
        <w:t>in UVCB</w:t>
      </w:r>
      <w:r w:rsidR="00AF65C3" w:rsidRPr="00536CEE">
        <w:rPr>
          <w:rStyle w:val="Strong"/>
          <w:b w:val="0"/>
          <w:bCs/>
        </w:rPr>
        <w:t>.</w:t>
      </w:r>
    </w:p>
    <w:p w14:paraId="115C5A8B" w14:textId="1CA1A002" w:rsidR="00B12C39" w:rsidRDefault="003B7B69" w:rsidP="00B12C39">
      <w:pPr>
        <w:widowControl/>
        <w:spacing w:after="180"/>
        <w:jc w:val="both"/>
        <w:rPr>
          <w:rStyle w:val="Strong"/>
          <w:b w:val="0"/>
          <w:bCs/>
        </w:rPr>
      </w:pPr>
      <w:r w:rsidRPr="002957E7">
        <w:rPr>
          <w:rStyle w:val="Strong"/>
          <w:bCs/>
        </w:rPr>
        <w:t>Substance type</w:t>
      </w:r>
      <w:r w:rsidR="00B12C39" w:rsidRPr="002957E7">
        <w:rPr>
          <w:rStyle w:val="Strong"/>
          <w:bCs/>
        </w:rPr>
        <w:t xml:space="preserve">: </w:t>
      </w:r>
      <w:r w:rsidRPr="002957E7">
        <w:rPr>
          <w:rStyle w:val="Strong"/>
          <w:b w:val="0"/>
          <w:bCs/>
        </w:rPr>
        <w:t>mono-constituent</w:t>
      </w:r>
    </w:p>
    <w:p w14:paraId="33307625" w14:textId="77777777" w:rsidR="00F97B18" w:rsidRPr="002957E7" w:rsidRDefault="00F97B18" w:rsidP="00B12C39">
      <w:pPr>
        <w:widowControl/>
        <w:spacing w:after="180"/>
        <w:jc w:val="both"/>
        <w:rPr>
          <w:rStyle w:val="Strong"/>
          <w:bCs/>
        </w:rPr>
      </w:pPr>
    </w:p>
    <w:p w14:paraId="115C5B4E" w14:textId="1D5C8F37" w:rsidR="00B12C39" w:rsidRDefault="00BB6734" w:rsidP="00C748EF">
      <w:pPr>
        <w:pStyle w:val="Heading2"/>
      </w:pPr>
      <w:bookmarkStart w:id="117" w:name="_Toc341888506"/>
      <w:bookmarkStart w:id="118" w:name="_Toc342400360"/>
      <w:bookmarkStart w:id="119" w:name="_Toc354499571"/>
      <w:bookmarkStart w:id="120" w:name="_Toc357083646"/>
      <w:bookmarkStart w:id="121" w:name="_Toc357184195"/>
      <w:bookmarkStart w:id="122" w:name="_Toc357184431"/>
      <w:bookmarkStart w:id="123" w:name="_Toc357185233"/>
      <w:bookmarkStart w:id="124" w:name="_Toc357186081"/>
      <w:bookmarkStart w:id="125" w:name="_Toc357186230"/>
      <w:bookmarkStart w:id="126" w:name="_Toc357437516"/>
      <w:bookmarkStart w:id="127" w:name="_Toc357590789"/>
      <w:bookmarkStart w:id="128" w:name="_Toc357692821"/>
      <w:bookmarkStart w:id="129" w:name="_Toc365649648"/>
      <w:bookmarkStart w:id="130" w:name="_Toc365649797"/>
      <w:bookmarkStart w:id="131" w:name="_Toc366489849"/>
      <w:bookmarkStart w:id="132" w:name="_Toc418498554"/>
      <w:bookmarkStart w:id="133" w:name="_Toc418505997"/>
      <w:bookmarkStart w:id="134" w:name="_Toc491810728"/>
      <w:r>
        <w:t>1.</w:t>
      </w:r>
      <w:r w:rsidR="00C71F2F">
        <w:t>3</w:t>
      </w:r>
      <w:r>
        <w:t xml:space="preserve"> </w:t>
      </w:r>
      <w:r w:rsidR="00B12C39" w:rsidRPr="003F2F19">
        <w:t>Physicochemical properties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15C5B57" w14:textId="4D86A44D" w:rsidR="00B12C39" w:rsidRPr="00AA1BF2" w:rsidRDefault="00FC5D4E" w:rsidP="00FC5D4E">
      <w:pPr>
        <w:pStyle w:val="Caption"/>
        <w:rPr>
          <w:b/>
          <w:sz w:val="18"/>
          <w:szCs w:val="18"/>
        </w:rPr>
      </w:pPr>
      <w:bookmarkStart w:id="135" w:name="_Toc297618127"/>
      <w:bookmarkStart w:id="136" w:name="_Toc316637461"/>
      <w:bookmarkStart w:id="137" w:name="_Toc341889785"/>
      <w:bookmarkStart w:id="138" w:name="_Toc357184846"/>
      <w:bookmarkStart w:id="139" w:name="_Toc359563697"/>
      <w:bookmarkStart w:id="140" w:name="_Toc491875966"/>
      <w:r w:rsidRPr="00AA1BF2">
        <w:rPr>
          <w:b/>
          <w:sz w:val="18"/>
          <w:szCs w:val="18"/>
        </w:rPr>
        <w:t xml:space="preserve">Table </w:t>
      </w:r>
      <w:r w:rsidR="000721AD" w:rsidRPr="00AA1BF2">
        <w:rPr>
          <w:b/>
          <w:sz w:val="18"/>
          <w:szCs w:val="18"/>
        </w:rPr>
        <w:fldChar w:fldCharType="begin"/>
      </w:r>
      <w:r w:rsidRPr="00AA1BF2">
        <w:rPr>
          <w:b/>
          <w:sz w:val="18"/>
          <w:szCs w:val="18"/>
        </w:rPr>
        <w:instrText xml:space="preserve"> SEQ Table \* ARABIC </w:instrText>
      </w:r>
      <w:r w:rsidR="000721AD" w:rsidRPr="00AA1BF2">
        <w:rPr>
          <w:b/>
          <w:sz w:val="18"/>
          <w:szCs w:val="18"/>
        </w:rPr>
        <w:fldChar w:fldCharType="separate"/>
      </w:r>
      <w:r w:rsidR="00B934DA">
        <w:rPr>
          <w:b/>
          <w:noProof/>
          <w:sz w:val="18"/>
          <w:szCs w:val="18"/>
        </w:rPr>
        <w:t>2</w:t>
      </w:r>
      <w:r w:rsidR="000721AD" w:rsidRPr="00AA1BF2">
        <w:rPr>
          <w:b/>
          <w:sz w:val="18"/>
          <w:szCs w:val="18"/>
        </w:rPr>
        <w:fldChar w:fldCharType="end"/>
      </w:r>
      <w:r w:rsidR="00BA03FB" w:rsidRPr="00AA1BF2">
        <w:rPr>
          <w:b/>
          <w:sz w:val="18"/>
          <w:szCs w:val="18"/>
        </w:rPr>
        <w:t>:</w:t>
      </w:r>
      <w:r w:rsidR="00B12C39" w:rsidRPr="00AA1BF2">
        <w:rPr>
          <w:b/>
          <w:sz w:val="18"/>
          <w:szCs w:val="18"/>
        </w:rPr>
        <w:t xml:space="preserve"> Overview of physicochemical properties</w:t>
      </w:r>
      <w:bookmarkEnd w:id="135"/>
      <w:bookmarkEnd w:id="136"/>
      <w:bookmarkEnd w:id="137"/>
      <w:bookmarkEnd w:id="138"/>
      <w:bookmarkEnd w:id="139"/>
      <w:bookmarkEnd w:id="1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315"/>
        <w:gridCol w:w="1951"/>
        <w:gridCol w:w="2280"/>
      </w:tblGrid>
      <w:tr w:rsidR="00AF09C4" w:rsidRPr="008D261F" w14:paraId="115C5B5C" w14:textId="77777777" w:rsidTr="00816268">
        <w:tc>
          <w:tcPr>
            <w:tcW w:w="2322" w:type="dxa"/>
          </w:tcPr>
          <w:p w14:paraId="115C5B58" w14:textId="77777777" w:rsidR="00AF09C4" w:rsidRPr="008D0DBB" w:rsidRDefault="00AF09C4" w:rsidP="00B12C39">
            <w:pPr>
              <w:pStyle w:val="TableColumnHeader"/>
              <w:rPr>
                <w:sz w:val="18"/>
                <w:szCs w:val="18"/>
              </w:rPr>
            </w:pPr>
            <w:r w:rsidRPr="008D0DBB">
              <w:rPr>
                <w:sz w:val="18"/>
                <w:szCs w:val="18"/>
              </w:rPr>
              <w:t>Property</w:t>
            </w:r>
          </w:p>
        </w:tc>
        <w:tc>
          <w:tcPr>
            <w:tcW w:w="2612" w:type="dxa"/>
          </w:tcPr>
          <w:p w14:paraId="115C5B59" w14:textId="77777777" w:rsidR="00AF09C4" w:rsidRPr="008D0DBB" w:rsidRDefault="00AF09C4" w:rsidP="00B12C39">
            <w:pPr>
              <w:pStyle w:val="TableColumnHeader"/>
              <w:rPr>
                <w:sz w:val="18"/>
                <w:szCs w:val="18"/>
              </w:rPr>
            </w:pPr>
            <w:r w:rsidRPr="008D0DBB">
              <w:rPr>
                <w:sz w:val="18"/>
                <w:szCs w:val="18"/>
              </w:rPr>
              <w:t>Description of key information</w:t>
            </w:r>
          </w:p>
        </w:tc>
        <w:tc>
          <w:tcPr>
            <w:tcW w:w="2257" w:type="dxa"/>
          </w:tcPr>
          <w:p w14:paraId="115C5B5A" w14:textId="77777777" w:rsidR="00AF09C4" w:rsidRPr="008D0DBB" w:rsidRDefault="00AF09C4" w:rsidP="00B12C39">
            <w:pPr>
              <w:pStyle w:val="TableColumnHeader"/>
              <w:rPr>
                <w:sz w:val="18"/>
                <w:szCs w:val="18"/>
              </w:rPr>
            </w:pPr>
            <w:r w:rsidRPr="008D0DBB">
              <w:rPr>
                <w:sz w:val="18"/>
                <w:szCs w:val="18"/>
              </w:rPr>
              <w:t>Value</w:t>
            </w:r>
            <w:r w:rsidR="009B2360">
              <w:rPr>
                <w:sz w:val="18"/>
                <w:szCs w:val="18"/>
              </w:rPr>
              <w:t xml:space="preserve"> [Unit]</w:t>
            </w:r>
          </w:p>
        </w:tc>
        <w:tc>
          <w:tcPr>
            <w:tcW w:w="2330" w:type="dxa"/>
          </w:tcPr>
          <w:p w14:paraId="115C5B5B" w14:textId="77777777" w:rsidR="00AF09C4" w:rsidRPr="008D0DBB" w:rsidRDefault="00AF09C4" w:rsidP="00B12C39">
            <w:pPr>
              <w:pStyle w:val="TableColumnHeader"/>
              <w:rPr>
                <w:sz w:val="18"/>
                <w:szCs w:val="18"/>
              </w:rPr>
            </w:pPr>
            <w:r w:rsidRPr="008D0DBB">
              <w:rPr>
                <w:sz w:val="18"/>
                <w:szCs w:val="18"/>
              </w:rPr>
              <w:t>Reference/source of information</w:t>
            </w:r>
          </w:p>
        </w:tc>
      </w:tr>
      <w:tr w:rsidR="00AF09C4" w:rsidRPr="00AC092B" w14:paraId="115C5B61" w14:textId="77777777" w:rsidTr="00816268">
        <w:tc>
          <w:tcPr>
            <w:tcW w:w="2322" w:type="dxa"/>
          </w:tcPr>
          <w:p w14:paraId="115C5B5D" w14:textId="77777777" w:rsidR="00AF09C4" w:rsidRPr="008D0DBB" w:rsidRDefault="00AF09C4" w:rsidP="00EE43A1">
            <w:pPr>
              <w:pStyle w:val="TableRowHeader"/>
              <w:jc w:val="left"/>
              <w:rPr>
                <w:sz w:val="18"/>
                <w:szCs w:val="18"/>
              </w:rPr>
            </w:pPr>
            <w:r w:rsidRPr="008D0DBB">
              <w:rPr>
                <w:sz w:val="18"/>
                <w:szCs w:val="18"/>
              </w:rPr>
              <w:t xml:space="preserve">Physical state at 20°C and 101.3 </w:t>
            </w:r>
            <w:proofErr w:type="spellStart"/>
            <w:r w:rsidRPr="008D0DBB">
              <w:rPr>
                <w:sz w:val="18"/>
                <w:szCs w:val="18"/>
              </w:rPr>
              <w:t>kPa</w:t>
            </w:r>
            <w:proofErr w:type="spellEnd"/>
          </w:p>
        </w:tc>
        <w:tc>
          <w:tcPr>
            <w:tcW w:w="2612" w:type="dxa"/>
          </w:tcPr>
          <w:p w14:paraId="115C5B5E" w14:textId="730AD43A" w:rsidR="00AF09C4" w:rsidRPr="008D0DBB" w:rsidRDefault="00AF09C4" w:rsidP="00EE43A1">
            <w:pPr>
              <w:pStyle w:val="StyleTabletextItalic"/>
              <w:jc w:val="left"/>
              <w:rPr>
                <w:sz w:val="18"/>
                <w:szCs w:val="18"/>
              </w:rPr>
            </w:pPr>
          </w:p>
        </w:tc>
        <w:tc>
          <w:tcPr>
            <w:tcW w:w="2257" w:type="dxa"/>
          </w:tcPr>
          <w:p w14:paraId="115C5B5F" w14:textId="017CA518" w:rsidR="00AF09C4" w:rsidRPr="008D0DBB" w:rsidRDefault="00C700E3" w:rsidP="00EE43A1">
            <w:pPr>
              <w:pStyle w:val="StyleTabletextItalic"/>
              <w:jc w:val="left"/>
              <w:rPr>
                <w:sz w:val="18"/>
                <w:szCs w:val="18"/>
              </w:rPr>
            </w:pPr>
            <w:r>
              <w:rPr>
                <w:sz w:val="18"/>
                <w:szCs w:val="18"/>
              </w:rPr>
              <w:t>solid</w:t>
            </w:r>
          </w:p>
        </w:tc>
        <w:tc>
          <w:tcPr>
            <w:tcW w:w="2330" w:type="dxa"/>
          </w:tcPr>
          <w:p w14:paraId="115C5B60" w14:textId="61543226" w:rsidR="00AF09C4" w:rsidRPr="008D0DBB" w:rsidRDefault="00C700E3" w:rsidP="00EE43A1">
            <w:pPr>
              <w:pStyle w:val="StyleTabletextItalic"/>
              <w:jc w:val="left"/>
              <w:rPr>
                <w:sz w:val="18"/>
                <w:szCs w:val="18"/>
              </w:rPr>
            </w:pPr>
            <w:r>
              <w:rPr>
                <w:sz w:val="18"/>
                <w:szCs w:val="18"/>
              </w:rPr>
              <w:t>GSBL database, accessed at Mar-20-2017</w:t>
            </w:r>
          </w:p>
        </w:tc>
      </w:tr>
      <w:tr w:rsidR="00AF09C4" w:rsidRPr="00AC092B" w14:paraId="115C5B66" w14:textId="77777777" w:rsidTr="00816268">
        <w:tc>
          <w:tcPr>
            <w:tcW w:w="2322" w:type="dxa"/>
          </w:tcPr>
          <w:p w14:paraId="115C5B62" w14:textId="77777777" w:rsidR="00AF09C4" w:rsidRPr="008D0DBB" w:rsidRDefault="00AF09C4" w:rsidP="00EE43A1">
            <w:pPr>
              <w:pStyle w:val="TableRowHeader"/>
              <w:jc w:val="left"/>
              <w:rPr>
                <w:sz w:val="18"/>
                <w:szCs w:val="18"/>
              </w:rPr>
            </w:pPr>
            <w:r w:rsidRPr="008D0DBB">
              <w:rPr>
                <w:sz w:val="18"/>
                <w:szCs w:val="18"/>
              </w:rPr>
              <w:t>Melting/freezing point</w:t>
            </w:r>
          </w:p>
        </w:tc>
        <w:tc>
          <w:tcPr>
            <w:tcW w:w="2612" w:type="dxa"/>
          </w:tcPr>
          <w:p w14:paraId="115C5B63" w14:textId="24671653" w:rsidR="00AF09C4" w:rsidRPr="008D0DBB" w:rsidRDefault="00AF09C4" w:rsidP="00EE43A1">
            <w:pPr>
              <w:pStyle w:val="StyleTabletextItalic"/>
              <w:jc w:val="left"/>
              <w:rPr>
                <w:sz w:val="18"/>
                <w:szCs w:val="18"/>
              </w:rPr>
            </w:pPr>
          </w:p>
        </w:tc>
        <w:tc>
          <w:tcPr>
            <w:tcW w:w="2257" w:type="dxa"/>
          </w:tcPr>
          <w:p w14:paraId="115C5B64" w14:textId="4D234B7E" w:rsidR="00AF09C4" w:rsidRPr="008D0DBB" w:rsidRDefault="00816268" w:rsidP="00EE43A1">
            <w:pPr>
              <w:pStyle w:val="StyleTabletextItalic"/>
              <w:jc w:val="left"/>
              <w:rPr>
                <w:sz w:val="18"/>
                <w:szCs w:val="18"/>
              </w:rPr>
            </w:pPr>
            <w:r>
              <w:rPr>
                <w:sz w:val="18"/>
                <w:szCs w:val="18"/>
              </w:rPr>
              <w:t>160.5 °C</w:t>
            </w:r>
          </w:p>
        </w:tc>
        <w:tc>
          <w:tcPr>
            <w:tcW w:w="2330" w:type="dxa"/>
          </w:tcPr>
          <w:p w14:paraId="115C5B65" w14:textId="528C0503" w:rsidR="00AF09C4" w:rsidRPr="00D10FD9" w:rsidRDefault="00263C82" w:rsidP="00EE43A1">
            <w:pPr>
              <w:pStyle w:val="StyleTabletextItalic"/>
              <w:jc w:val="left"/>
              <w:rPr>
                <w:i w:val="0"/>
                <w:sz w:val="18"/>
                <w:szCs w:val="18"/>
              </w:rPr>
            </w:pPr>
            <w:r w:rsidRPr="00D10FD9">
              <w:rPr>
                <w:i w:val="0"/>
                <w:sz w:val="18"/>
                <w:szCs w:val="18"/>
              </w:rPr>
              <w:t>Mackay, 2006</w:t>
            </w:r>
          </w:p>
        </w:tc>
      </w:tr>
      <w:tr w:rsidR="00816268" w:rsidRPr="00AC092B" w14:paraId="115C5B6B" w14:textId="77777777" w:rsidTr="00816268">
        <w:tc>
          <w:tcPr>
            <w:tcW w:w="2322" w:type="dxa"/>
          </w:tcPr>
          <w:p w14:paraId="115C5B67" w14:textId="77777777" w:rsidR="00816268" w:rsidRPr="008D0DBB" w:rsidRDefault="00816268" w:rsidP="00816268">
            <w:pPr>
              <w:pStyle w:val="TableRowHeader"/>
              <w:jc w:val="left"/>
              <w:rPr>
                <w:sz w:val="18"/>
                <w:szCs w:val="18"/>
              </w:rPr>
            </w:pPr>
            <w:r w:rsidRPr="008D0DBB">
              <w:rPr>
                <w:sz w:val="18"/>
                <w:szCs w:val="18"/>
              </w:rPr>
              <w:t>Boiling point</w:t>
            </w:r>
          </w:p>
        </w:tc>
        <w:tc>
          <w:tcPr>
            <w:tcW w:w="2612" w:type="dxa"/>
          </w:tcPr>
          <w:p w14:paraId="115C5B68" w14:textId="5E14109A" w:rsidR="00816268" w:rsidRPr="008D0DBB" w:rsidRDefault="00816268" w:rsidP="00816268">
            <w:pPr>
              <w:pStyle w:val="StyleTabletextItalic"/>
              <w:jc w:val="left"/>
              <w:rPr>
                <w:sz w:val="18"/>
                <w:szCs w:val="18"/>
              </w:rPr>
            </w:pPr>
          </w:p>
        </w:tc>
        <w:tc>
          <w:tcPr>
            <w:tcW w:w="2257" w:type="dxa"/>
          </w:tcPr>
          <w:p w14:paraId="115C5B69" w14:textId="42CDD4CA" w:rsidR="00816268" w:rsidRPr="008D0DBB" w:rsidRDefault="00816268" w:rsidP="00816268">
            <w:pPr>
              <w:pStyle w:val="StyleTabletextItalic"/>
              <w:jc w:val="left"/>
              <w:rPr>
                <w:sz w:val="18"/>
                <w:szCs w:val="18"/>
              </w:rPr>
            </w:pPr>
            <w:r>
              <w:rPr>
                <w:sz w:val="18"/>
                <w:szCs w:val="18"/>
              </w:rPr>
              <w:t>438 °C</w:t>
            </w:r>
          </w:p>
        </w:tc>
        <w:tc>
          <w:tcPr>
            <w:tcW w:w="2330" w:type="dxa"/>
          </w:tcPr>
          <w:p w14:paraId="115C5B6A" w14:textId="1980603F" w:rsidR="00816268" w:rsidRPr="00D10FD9" w:rsidRDefault="00816268" w:rsidP="00816268">
            <w:pPr>
              <w:pStyle w:val="StyleTabletextItalic"/>
              <w:jc w:val="left"/>
              <w:rPr>
                <w:i w:val="0"/>
                <w:sz w:val="18"/>
                <w:szCs w:val="18"/>
              </w:rPr>
            </w:pPr>
            <w:r w:rsidRPr="00AA6F29">
              <w:rPr>
                <w:i w:val="0"/>
                <w:sz w:val="18"/>
                <w:szCs w:val="18"/>
              </w:rPr>
              <w:t>Mackay, 2006</w:t>
            </w:r>
          </w:p>
        </w:tc>
      </w:tr>
      <w:tr w:rsidR="00D9065F" w:rsidRPr="00AC092B" w14:paraId="115C5B70" w14:textId="77777777" w:rsidTr="00816268">
        <w:tc>
          <w:tcPr>
            <w:tcW w:w="2322" w:type="dxa"/>
          </w:tcPr>
          <w:p w14:paraId="115C5B6C" w14:textId="77777777" w:rsidR="00D9065F" w:rsidRPr="008D0DBB" w:rsidRDefault="00D9065F" w:rsidP="00D9065F">
            <w:pPr>
              <w:pStyle w:val="TableRowHeader"/>
              <w:jc w:val="left"/>
              <w:rPr>
                <w:sz w:val="18"/>
                <w:szCs w:val="18"/>
              </w:rPr>
            </w:pPr>
            <w:r w:rsidRPr="008D0DBB">
              <w:rPr>
                <w:sz w:val="18"/>
                <w:szCs w:val="18"/>
              </w:rPr>
              <w:t xml:space="preserve">Vapour pressure </w:t>
            </w:r>
          </w:p>
        </w:tc>
        <w:tc>
          <w:tcPr>
            <w:tcW w:w="2612" w:type="dxa"/>
          </w:tcPr>
          <w:p w14:paraId="115C5B6D" w14:textId="6D6911FC" w:rsidR="00D9065F" w:rsidRPr="008D0DBB" w:rsidRDefault="008F7D9F">
            <w:pPr>
              <w:pStyle w:val="StyleTabletextItalic"/>
              <w:jc w:val="left"/>
              <w:rPr>
                <w:sz w:val="18"/>
                <w:szCs w:val="18"/>
              </w:rPr>
            </w:pPr>
            <w:r>
              <w:rPr>
                <w:i w:val="0"/>
                <w:sz w:val="18"/>
                <w:szCs w:val="18"/>
              </w:rPr>
              <w:t>reported v</w:t>
            </w:r>
            <w:r w:rsidR="00D9065F">
              <w:rPr>
                <w:i w:val="0"/>
                <w:sz w:val="18"/>
                <w:szCs w:val="18"/>
              </w:rPr>
              <w:t xml:space="preserve">apour pressure values are </w:t>
            </w:r>
            <w:r>
              <w:rPr>
                <w:i w:val="0"/>
                <w:sz w:val="18"/>
                <w:szCs w:val="18"/>
              </w:rPr>
              <w:t>within the range between of the two indicated values (3</w:t>
            </w:r>
            <w:r w:rsidRPr="00D10FD9">
              <w:rPr>
                <w:i w:val="0"/>
                <w:sz w:val="18"/>
                <w:szCs w:val="18"/>
                <w:vertAlign w:val="superscript"/>
              </w:rPr>
              <w:t>rd</w:t>
            </w:r>
            <w:r>
              <w:rPr>
                <w:i w:val="0"/>
                <w:sz w:val="18"/>
                <w:szCs w:val="18"/>
              </w:rPr>
              <w:t xml:space="preserve"> column)</w:t>
            </w:r>
          </w:p>
        </w:tc>
        <w:tc>
          <w:tcPr>
            <w:tcW w:w="2257" w:type="dxa"/>
          </w:tcPr>
          <w:p w14:paraId="028EB662" w14:textId="2777603D" w:rsidR="00D9065F" w:rsidRDefault="00D9065F">
            <w:pPr>
              <w:pStyle w:val="StyleTabletextItalic"/>
              <w:jc w:val="left"/>
              <w:rPr>
                <w:i w:val="0"/>
                <w:sz w:val="18"/>
                <w:szCs w:val="18"/>
              </w:rPr>
            </w:pPr>
            <w:r w:rsidRPr="00D10FD9">
              <w:rPr>
                <w:i w:val="0"/>
                <w:sz w:val="18"/>
                <w:szCs w:val="18"/>
              </w:rPr>
              <w:t>6.67 x 10</w:t>
            </w:r>
            <w:r w:rsidRPr="00D10FD9">
              <w:rPr>
                <w:i w:val="0"/>
                <w:sz w:val="18"/>
                <w:szCs w:val="18"/>
                <w:vertAlign w:val="superscript"/>
              </w:rPr>
              <w:t>-7</w:t>
            </w:r>
            <w:r w:rsidRPr="00D10FD9">
              <w:rPr>
                <w:i w:val="0"/>
                <w:sz w:val="18"/>
                <w:szCs w:val="18"/>
              </w:rPr>
              <w:t xml:space="preserve"> Pa at 20°C </w:t>
            </w:r>
            <w:r>
              <w:rPr>
                <w:i w:val="0"/>
                <w:sz w:val="18"/>
                <w:szCs w:val="18"/>
              </w:rPr>
              <w:t>(</w:t>
            </w:r>
            <w:r w:rsidRPr="00D10FD9">
              <w:rPr>
                <w:i w:val="0"/>
                <w:sz w:val="18"/>
                <w:szCs w:val="18"/>
              </w:rPr>
              <w:t>effusion method</w:t>
            </w:r>
            <w:r>
              <w:rPr>
                <w:i w:val="0"/>
                <w:sz w:val="18"/>
                <w:szCs w:val="18"/>
              </w:rPr>
              <w:t xml:space="preserve">) </w:t>
            </w:r>
          </w:p>
          <w:p w14:paraId="58D414CC" w14:textId="77777777" w:rsidR="008F7D9F" w:rsidRDefault="008F7D9F">
            <w:pPr>
              <w:pStyle w:val="StyleTabletextItalic"/>
              <w:jc w:val="left"/>
              <w:rPr>
                <w:i w:val="0"/>
                <w:sz w:val="18"/>
                <w:szCs w:val="18"/>
              </w:rPr>
            </w:pPr>
          </w:p>
          <w:p w14:paraId="115C5B6E" w14:textId="63667089" w:rsidR="00D9065F" w:rsidRPr="00D10FD9" w:rsidRDefault="00D9065F">
            <w:pPr>
              <w:pStyle w:val="StyleTabletextItalic"/>
              <w:jc w:val="left"/>
              <w:rPr>
                <w:i w:val="0"/>
                <w:sz w:val="18"/>
                <w:szCs w:val="18"/>
              </w:rPr>
            </w:pPr>
            <w:r>
              <w:rPr>
                <w:i w:val="0"/>
                <w:sz w:val="18"/>
                <w:szCs w:val="18"/>
              </w:rPr>
              <w:t>1.47 x10</w:t>
            </w:r>
            <w:r w:rsidRPr="00D10FD9">
              <w:rPr>
                <w:i w:val="0"/>
                <w:sz w:val="18"/>
                <w:szCs w:val="18"/>
                <w:vertAlign w:val="superscript"/>
              </w:rPr>
              <w:t>-5</w:t>
            </w:r>
            <w:r>
              <w:rPr>
                <w:i w:val="0"/>
                <w:sz w:val="18"/>
                <w:szCs w:val="18"/>
              </w:rPr>
              <w:t xml:space="preserve"> Pa at 25°C (effusion method) </w:t>
            </w:r>
          </w:p>
        </w:tc>
        <w:tc>
          <w:tcPr>
            <w:tcW w:w="2330" w:type="dxa"/>
          </w:tcPr>
          <w:p w14:paraId="115C5B6F" w14:textId="44A7DB51" w:rsidR="00D9065F" w:rsidRPr="00D10FD9" w:rsidRDefault="00D9065F" w:rsidP="00D9065F">
            <w:pPr>
              <w:pStyle w:val="StyleTabletextItalic"/>
              <w:jc w:val="left"/>
              <w:rPr>
                <w:i w:val="0"/>
                <w:sz w:val="18"/>
                <w:szCs w:val="18"/>
              </w:rPr>
            </w:pPr>
            <w:r w:rsidRPr="00AA6F29">
              <w:rPr>
                <w:i w:val="0"/>
                <w:sz w:val="18"/>
                <w:szCs w:val="18"/>
              </w:rPr>
              <w:t>Mackay, 2006</w:t>
            </w:r>
          </w:p>
        </w:tc>
      </w:tr>
      <w:tr w:rsidR="008F7D9F" w:rsidRPr="00AC092B" w14:paraId="115C5B75" w14:textId="77777777" w:rsidTr="00816268">
        <w:tc>
          <w:tcPr>
            <w:tcW w:w="2322" w:type="dxa"/>
          </w:tcPr>
          <w:p w14:paraId="115C5B71" w14:textId="77777777" w:rsidR="008F7D9F" w:rsidRPr="008D0DBB" w:rsidRDefault="008F7D9F" w:rsidP="008F7D9F">
            <w:pPr>
              <w:pStyle w:val="TableRowHeader"/>
              <w:jc w:val="left"/>
              <w:rPr>
                <w:sz w:val="18"/>
                <w:szCs w:val="18"/>
              </w:rPr>
            </w:pPr>
            <w:r w:rsidRPr="008D0DBB">
              <w:rPr>
                <w:sz w:val="18"/>
                <w:szCs w:val="18"/>
              </w:rPr>
              <w:t>Density</w:t>
            </w:r>
          </w:p>
        </w:tc>
        <w:tc>
          <w:tcPr>
            <w:tcW w:w="2612" w:type="dxa"/>
          </w:tcPr>
          <w:p w14:paraId="115C5B72" w14:textId="29B3BA2F" w:rsidR="008F7D9F" w:rsidRPr="008D0DBB" w:rsidRDefault="008F7D9F" w:rsidP="008F7D9F">
            <w:pPr>
              <w:pStyle w:val="StyleTabletextItalic"/>
              <w:jc w:val="left"/>
              <w:rPr>
                <w:sz w:val="18"/>
                <w:szCs w:val="18"/>
              </w:rPr>
            </w:pPr>
          </w:p>
        </w:tc>
        <w:tc>
          <w:tcPr>
            <w:tcW w:w="2257" w:type="dxa"/>
          </w:tcPr>
          <w:p w14:paraId="115C5B73" w14:textId="333DF7C5" w:rsidR="008F7D9F" w:rsidRPr="00D10FD9" w:rsidRDefault="008F7D9F">
            <w:pPr>
              <w:pStyle w:val="StyleTabletextItalic"/>
              <w:jc w:val="left"/>
              <w:rPr>
                <w:i w:val="0"/>
                <w:sz w:val="18"/>
                <w:szCs w:val="18"/>
              </w:rPr>
            </w:pPr>
            <w:r w:rsidRPr="00D10FD9">
              <w:rPr>
                <w:i w:val="0"/>
                <w:sz w:val="18"/>
                <w:szCs w:val="18"/>
              </w:rPr>
              <w:t>1.2544 g/m</w:t>
            </w:r>
            <w:r w:rsidRPr="00D10FD9">
              <w:rPr>
                <w:i w:val="0"/>
                <w:sz w:val="18"/>
                <w:szCs w:val="18"/>
                <w:vertAlign w:val="superscript"/>
              </w:rPr>
              <w:t>3</w:t>
            </w:r>
            <w:r w:rsidRPr="00D10FD9">
              <w:rPr>
                <w:i w:val="0"/>
                <w:sz w:val="18"/>
                <w:szCs w:val="18"/>
              </w:rPr>
              <w:t xml:space="preserve"> at 20°C</w:t>
            </w:r>
          </w:p>
        </w:tc>
        <w:tc>
          <w:tcPr>
            <w:tcW w:w="2330" w:type="dxa"/>
          </w:tcPr>
          <w:p w14:paraId="115C5B74" w14:textId="785B03A0" w:rsidR="008F7D9F" w:rsidRPr="00D10FD9" w:rsidRDefault="008F7D9F" w:rsidP="008F7D9F">
            <w:pPr>
              <w:pStyle w:val="StyleTabletextItalic"/>
              <w:jc w:val="left"/>
              <w:rPr>
                <w:i w:val="0"/>
                <w:sz w:val="18"/>
                <w:szCs w:val="18"/>
              </w:rPr>
            </w:pPr>
            <w:r w:rsidRPr="00AA6F29">
              <w:rPr>
                <w:i w:val="0"/>
                <w:sz w:val="18"/>
                <w:szCs w:val="18"/>
              </w:rPr>
              <w:t>Mackay, 2006</w:t>
            </w:r>
          </w:p>
        </w:tc>
      </w:tr>
      <w:tr w:rsidR="008F7D9F" w:rsidRPr="00AC092B" w14:paraId="115C5B7A" w14:textId="77777777" w:rsidTr="00816268">
        <w:tc>
          <w:tcPr>
            <w:tcW w:w="2322" w:type="dxa"/>
          </w:tcPr>
          <w:p w14:paraId="115C5B76" w14:textId="77777777" w:rsidR="008F7D9F" w:rsidRPr="008D0DBB" w:rsidRDefault="008F7D9F" w:rsidP="008F7D9F">
            <w:pPr>
              <w:pStyle w:val="TableRowHeader"/>
              <w:jc w:val="left"/>
              <w:rPr>
                <w:sz w:val="18"/>
                <w:szCs w:val="18"/>
              </w:rPr>
            </w:pPr>
            <w:r w:rsidRPr="008D0DBB">
              <w:rPr>
                <w:sz w:val="18"/>
                <w:szCs w:val="18"/>
              </w:rPr>
              <w:t>Water solubility</w:t>
            </w:r>
          </w:p>
        </w:tc>
        <w:tc>
          <w:tcPr>
            <w:tcW w:w="2612" w:type="dxa"/>
          </w:tcPr>
          <w:p w14:paraId="115C5B77" w14:textId="6B56FC5B" w:rsidR="008F7D9F" w:rsidRPr="00D10FD9" w:rsidRDefault="008F7D9F">
            <w:pPr>
              <w:pStyle w:val="StyleTabletextItalic"/>
              <w:jc w:val="left"/>
              <w:rPr>
                <w:i w:val="0"/>
                <w:sz w:val="18"/>
                <w:szCs w:val="18"/>
              </w:rPr>
            </w:pPr>
            <w:r>
              <w:rPr>
                <w:i w:val="0"/>
                <w:sz w:val="18"/>
                <w:szCs w:val="18"/>
              </w:rPr>
              <w:t>reported water solubility values are within the range of the two indicated values (3</w:t>
            </w:r>
            <w:r w:rsidRPr="00D10FD9">
              <w:rPr>
                <w:i w:val="0"/>
                <w:sz w:val="18"/>
                <w:szCs w:val="18"/>
                <w:vertAlign w:val="superscript"/>
              </w:rPr>
              <w:t>rd</w:t>
            </w:r>
            <w:r>
              <w:rPr>
                <w:i w:val="0"/>
                <w:sz w:val="18"/>
                <w:szCs w:val="18"/>
              </w:rPr>
              <w:t xml:space="preserve"> column)</w:t>
            </w:r>
          </w:p>
        </w:tc>
        <w:tc>
          <w:tcPr>
            <w:tcW w:w="2257" w:type="dxa"/>
          </w:tcPr>
          <w:p w14:paraId="42580AD8" w14:textId="58119317" w:rsidR="008F7D9F" w:rsidRPr="00D10FD9" w:rsidRDefault="00A75A83">
            <w:pPr>
              <w:pStyle w:val="StyleTabletextItalic"/>
              <w:jc w:val="left"/>
              <w:rPr>
                <w:i w:val="0"/>
                <w:sz w:val="18"/>
                <w:szCs w:val="18"/>
              </w:rPr>
            </w:pPr>
            <w:r w:rsidRPr="00D10FD9">
              <w:rPr>
                <w:i w:val="0"/>
                <w:sz w:val="18"/>
                <w:szCs w:val="18"/>
              </w:rPr>
              <w:t xml:space="preserve">0.00837 </w:t>
            </w:r>
            <w:r w:rsidR="008F7D9F" w:rsidRPr="00D10FD9">
              <w:rPr>
                <w:i w:val="0"/>
                <w:sz w:val="18"/>
                <w:szCs w:val="18"/>
              </w:rPr>
              <w:t>mg/</w:t>
            </w:r>
            <w:r w:rsidR="00225A95">
              <w:rPr>
                <w:i w:val="0"/>
                <w:sz w:val="18"/>
                <w:szCs w:val="18"/>
              </w:rPr>
              <w:t>L</w:t>
            </w:r>
            <w:r w:rsidR="008F7D9F" w:rsidRPr="00D10FD9">
              <w:rPr>
                <w:i w:val="0"/>
                <w:sz w:val="18"/>
                <w:szCs w:val="18"/>
              </w:rPr>
              <w:t xml:space="preserve"> at </w:t>
            </w:r>
            <w:r w:rsidRPr="00D10FD9">
              <w:rPr>
                <w:i w:val="0"/>
                <w:sz w:val="18"/>
                <w:szCs w:val="18"/>
              </w:rPr>
              <w:t>25</w:t>
            </w:r>
            <w:r w:rsidR="008F7D9F" w:rsidRPr="00D10FD9">
              <w:rPr>
                <w:i w:val="0"/>
                <w:sz w:val="18"/>
                <w:szCs w:val="18"/>
              </w:rPr>
              <w:t>°C</w:t>
            </w:r>
          </w:p>
          <w:p w14:paraId="46A4C9C0" w14:textId="77777777" w:rsidR="00A75A83" w:rsidRPr="00D10FD9" w:rsidRDefault="00A75A83">
            <w:pPr>
              <w:pStyle w:val="StyleTabletextItalic"/>
              <w:tabs>
                <w:tab w:val="left" w:pos="4536"/>
                <w:tab w:val="left" w:pos="7088"/>
                <w:tab w:val="left" w:pos="8789"/>
              </w:tabs>
              <w:jc w:val="left"/>
              <w:rPr>
                <w:i w:val="0"/>
                <w:sz w:val="18"/>
                <w:szCs w:val="18"/>
              </w:rPr>
            </w:pPr>
          </w:p>
          <w:p w14:paraId="115C5B78" w14:textId="3544BECF" w:rsidR="00A75A83" w:rsidRPr="008D0DBB" w:rsidRDefault="00A75A83" w:rsidP="00225A95">
            <w:pPr>
              <w:pStyle w:val="StyleTabletextItalic"/>
              <w:jc w:val="left"/>
              <w:rPr>
                <w:sz w:val="18"/>
                <w:szCs w:val="18"/>
              </w:rPr>
            </w:pPr>
            <w:r w:rsidRPr="00D10FD9">
              <w:rPr>
                <w:i w:val="0"/>
                <w:sz w:val="18"/>
                <w:szCs w:val="18"/>
              </w:rPr>
              <w:t>0,0168 mg/</w:t>
            </w:r>
            <w:r w:rsidR="00225A95">
              <w:rPr>
                <w:i w:val="0"/>
                <w:sz w:val="18"/>
                <w:szCs w:val="18"/>
              </w:rPr>
              <w:t>L</w:t>
            </w:r>
            <w:r w:rsidR="00225A95" w:rsidRPr="00D10FD9">
              <w:rPr>
                <w:i w:val="0"/>
                <w:sz w:val="18"/>
                <w:szCs w:val="18"/>
              </w:rPr>
              <w:t xml:space="preserve"> </w:t>
            </w:r>
            <w:r w:rsidRPr="00D10FD9">
              <w:rPr>
                <w:i w:val="0"/>
                <w:sz w:val="18"/>
                <w:szCs w:val="18"/>
              </w:rPr>
              <w:t>at 25°C</w:t>
            </w:r>
          </w:p>
        </w:tc>
        <w:tc>
          <w:tcPr>
            <w:tcW w:w="2330" w:type="dxa"/>
          </w:tcPr>
          <w:p w14:paraId="115C5B79" w14:textId="414665A5" w:rsidR="008F7D9F" w:rsidRPr="008D0DBB" w:rsidRDefault="00A75A83" w:rsidP="008F7D9F">
            <w:pPr>
              <w:pStyle w:val="StyleTabletextItalic"/>
              <w:jc w:val="left"/>
              <w:rPr>
                <w:sz w:val="18"/>
                <w:szCs w:val="18"/>
              </w:rPr>
            </w:pPr>
            <w:r w:rsidRPr="00AA6F29">
              <w:rPr>
                <w:i w:val="0"/>
                <w:sz w:val="18"/>
                <w:szCs w:val="18"/>
              </w:rPr>
              <w:t>Mackay, 2006</w:t>
            </w:r>
          </w:p>
        </w:tc>
      </w:tr>
      <w:tr w:rsidR="00CC622E" w:rsidRPr="00AC092B" w14:paraId="115C5B7F" w14:textId="77777777" w:rsidTr="00816268">
        <w:tc>
          <w:tcPr>
            <w:tcW w:w="2322" w:type="dxa"/>
          </w:tcPr>
          <w:p w14:paraId="115C5B7B" w14:textId="77777777" w:rsidR="00CC622E" w:rsidRPr="008D0DBB" w:rsidRDefault="00CC622E" w:rsidP="00CC622E">
            <w:pPr>
              <w:pStyle w:val="TableRowHeader"/>
              <w:jc w:val="left"/>
              <w:rPr>
                <w:sz w:val="18"/>
                <w:szCs w:val="18"/>
              </w:rPr>
            </w:pPr>
            <w:r w:rsidRPr="008D0DBB">
              <w:rPr>
                <w:sz w:val="18"/>
                <w:szCs w:val="18"/>
              </w:rPr>
              <w:t>Partition coefficient n-octanol/water (log value)</w:t>
            </w:r>
          </w:p>
        </w:tc>
        <w:tc>
          <w:tcPr>
            <w:tcW w:w="2612" w:type="dxa"/>
          </w:tcPr>
          <w:p w14:paraId="115C5B7C" w14:textId="1B65DB9C" w:rsidR="00CC622E" w:rsidRPr="008D0DBB" w:rsidRDefault="00CC622E" w:rsidP="00CC622E">
            <w:pPr>
              <w:pStyle w:val="StyleTabletextItalic"/>
              <w:jc w:val="left"/>
              <w:rPr>
                <w:sz w:val="18"/>
                <w:szCs w:val="18"/>
              </w:rPr>
            </w:pPr>
          </w:p>
        </w:tc>
        <w:tc>
          <w:tcPr>
            <w:tcW w:w="2257" w:type="dxa"/>
          </w:tcPr>
          <w:p w14:paraId="115C5B7D" w14:textId="2958E2CB" w:rsidR="00CC622E" w:rsidRPr="00D10FD9" w:rsidRDefault="00CC622E" w:rsidP="00620B79">
            <w:pPr>
              <w:pStyle w:val="StyleTabletextItalic"/>
              <w:jc w:val="left"/>
              <w:rPr>
                <w:i w:val="0"/>
                <w:sz w:val="18"/>
                <w:szCs w:val="18"/>
              </w:rPr>
            </w:pPr>
            <w:r w:rsidRPr="00D10FD9">
              <w:rPr>
                <w:i w:val="0"/>
                <w:sz w:val="18"/>
                <w:szCs w:val="18"/>
              </w:rPr>
              <w:t xml:space="preserve">log </w:t>
            </w:r>
            <w:proofErr w:type="spellStart"/>
            <w:r w:rsidRPr="00D10FD9">
              <w:rPr>
                <w:i w:val="0"/>
                <w:sz w:val="18"/>
                <w:szCs w:val="18"/>
              </w:rPr>
              <w:t>Kow</w:t>
            </w:r>
            <w:proofErr w:type="spellEnd"/>
            <w:r w:rsidRPr="00D10FD9">
              <w:rPr>
                <w:i w:val="0"/>
                <w:sz w:val="18"/>
                <w:szCs w:val="18"/>
              </w:rPr>
              <w:t xml:space="preserve"> 5.</w:t>
            </w:r>
            <w:r w:rsidR="00620B79">
              <w:rPr>
                <w:i w:val="0"/>
                <w:sz w:val="18"/>
                <w:szCs w:val="18"/>
              </w:rPr>
              <w:t>91</w:t>
            </w:r>
            <w:r w:rsidR="00620B79" w:rsidRPr="00D10FD9">
              <w:rPr>
                <w:i w:val="0"/>
                <w:sz w:val="18"/>
                <w:szCs w:val="18"/>
              </w:rPr>
              <w:t xml:space="preserve"> </w:t>
            </w:r>
            <w:r w:rsidRPr="00D10FD9">
              <w:rPr>
                <w:i w:val="0"/>
                <w:sz w:val="18"/>
                <w:szCs w:val="18"/>
              </w:rPr>
              <w:t>at 25°C</w:t>
            </w:r>
          </w:p>
        </w:tc>
        <w:tc>
          <w:tcPr>
            <w:tcW w:w="2330" w:type="dxa"/>
          </w:tcPr>
          <w:p w14:paraId="115C5B7E" w14:textId="5201462F" w:rsidR="00CC622E" w:rsidRPr="008D0DBB" w:rsidRDefault="00620B79" w:rsidP="00CC622E">
            <w:pPr>
              <w:pStyle w:val="StyleTabletextItalic"/>
              <w:jc w:val="left"/>
              <w:rPr>
                <w:sz w:val="18"/>
                <w:szCs w:val="18"/>
              </w:rPr>
            </w:pPr>
            <w:r>
              <w:rPr>
                <w:i w:val="0"/>
                <w:sz w:val="18"/>
                <w:szCs w:val="18"/>
              </w:rPr>
              <w:t>ECHA, 2009</w:t>
            </w:r>
          </w:p>
        </w:tc>
      </w:tr>
    </w:tbl>
    <w:p w14:paraId="115C5B85" w14:textId="77777777" w:rsidR="00B12C39" w:rsidRDefault="00B12C39" w:rsidP="00B12C39"/>
    <w:p w14:paraId="115C5B86" w14:textId="77777777" w:rsidR="00B12C39" w:rsidRDefault="00B12C39" w:rsidP="00B12C39">
      <w:pPr>
        <w:pStyle w:val="Heading1"/>
      </w:pPr>
      <w:r>
        <w:br w:type="page"/>
      </w:r>
      <w:bookmarkStart w:id="141" w:name="_Toc341888507"/>
      <w:bookmarkStart w:id="142" w:name="_Toc342400361"/>
      <w:bookmarkStart w:id="143" w:name="_Toc354499572"/>
      <w:bookmarkStart w:id="144" w:name="_Toc357083647"/>
      <w:bookmarkStart w:id="145" w:name="_Toc357184196"/>
      <w:bookmarkStart w:id="146" w:name="_Toc357184432"/>
      <w:bookmarkStart w:id="147" w:name="_Toc357185234"/>
      <w:bookmarkStart w:id="148" w:name="_Toc357186082"/>
      <w:bookmarkStart w:id="149" w:name="_Toc357186231"/>
      <w:bookmarkStart w:id="150" w:name="_Toc357437517"/>
      <w:bookmarkStart w:id="151" w:name="_Toc357590790"/>
      <w:bookmarkStart w:id="152" w:name="_Toc357692822"/>
      <w:bookmarkStart w:id="153" w:name="_Toc365649649"/>
      <w:bookmarkStart w:id="154" w:name="_Toc365649798"/>
      <w:bookmarkStart w:id="155" w:name="_Toc366489850"/>
      <w:bookmarkStart w:id="156" w:name="_Toc418498555"/>
      <w:bookmarkStart w:id="157" w:name="_Toc418505998"/>
      <w:bookmarkStart w:id="158" w:name="_Toc491810729"/>
      <w:r w:rsidRPr="003F2F19">
        <w:lastRenderedPageBreak/>
        <w:t>Harmonised classification and labelling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635A9A76" w14:textId="77777777" w:rsidR="009C29CA" w:rsidRDefault="009C29CA" w:rsidP="00B12C39">
      <w:pPr>
        <w:widowControl/>
        <w:spacing w:after="180"/>
        <w:jc w:val="both"/>
        <w:rPr>
          <w:szCs w:val="24"/>
          <w:lang w:eastAsia="en-US"/>
        </w:rPr>
      </w:pPr>
      <w:bookmarkStart w:id="159" w:name="_Toc265748360"/>
      <w:bookmarkStart w:id="160" w:name="_Toc277236424"/>
      <w:bookmarkStart w:id="161" w:name="_Toc284425462"/>
    </w:p>
    <w:p w14:paraId="115C5B8D" w14:textId="74261EB6" w:rsidR="00B12C39" w:rsidRPr="00A05A55" w:rsidRDefault="009E1F6C" w:rsidP="00B12C39">
      <w:pPr>
        <w:widowControl/>
        <w:spacing w:after="180"/>
        <w:jc w:val="both"/>
        <w:rPr>
          <w:szCs w:val="24"/>
          <w:lang w:eastAsia="en-US"/>
        </w:rPr>
      </w:pPr>
      <w:r>
        <w:rPr>
          <w:szCs w:val="24"/>
          <w:lang w:eastAsia="en-US"/>
        </w:rPr>
        <w:t>Benz[</w:t>
      </w:r>
      <w:r w:rsidRPr="00551770">
        <w:rPr>
          <w:i/>
          <w:szCs w:val="24"/>
          <w:lang w:eastAsia="en-US"/>
        </w:rPr>
        <w:t>a</w:t>
      </w:r>
      <w:r>
        <w:rPr>
          <w:szCs w:val="24"/>
          <w:lang w:eastAsia="en-US"/>
        </w:rPr>
        <w:t xml:space="preserve">]anthracene </w:t>
      </w:r>
      <w:r w:rsidR="00B12C39" w:rsidRPr="00A05A55">
        <w:rPr>
          <w:szCs w:val="24"/>
          <w:lang w:eastAsia="en-US"/>
        </w:rPr>
        <w:t xml:space="preserve">is covered by Index number </w:t>
      </w:r>
      <w:r w:rsidR="00467EF2" w:rsidRPr="0065661B">
        <w:rPr>
          <w:sz w:val="18"/>
          <w:szCs w:val="18"/>
        </w:rPr>
        <w:t>601-033-00-9</w:t>
      </w:r>
      <w:r w:rsidR="00B12C39" w:rsidRPr="00A05A55">
        <w:rPr>
          <w:szCs w:val="24"/>
          <w:lang w:eastAsia="en-US"/>
        </w:rPr>
        <w:t xml:space="preserve"> in </w:t>
      </w:r>
      <w:r w:rsidR="002243E0" w:rsidRPr="00A05A55">
        <w:rPr>
          <w:szCs w:val="24"/>
          <w:lang w:eastAsia="en-US"/>
        </w:rPr>
        <w:t xml:space="preserve">part 3 </w:t>
      </w:r>
      <w:r w:rsidR="002243E0">
        <w:rPr>
          <w:szCs w:val="24"/>
          <w:lang w:eastAsia="en-US"/>
        </w:rPr>
        <w:t xml:space="preserve">of </w:t>
      </w:r>
      <w:r w:rsidR="00B12C39" w:rsidRPr="00A05A55">
        <w:rPr>
          <w:szCs w:val="24"/>
          <w:lang w:eastAsia="en-US"/>
        </w:rPr>
        <w:t xml:space="preserve">Annex VI </w:t>
      </w:r>
      <w:r w:rsidR="002243E0">
        <w:rPr>
          <w:szCs w:val="24"/>
          <w:lang w:eastAsia="en-US"/>
        </w:rPr>
        <w:t xml:space="preserve">to </w:t>
      </w:r>
      <w:r w:rsidR="00D21FF5">
        <w:rPr>
          <w:szCs w:val="24"/>
          <w:lang w:eastAsia="en-US"/>
        </w:rPr>
        <w:t xml:space="preserve">the </w:t>
      </w:r>
      <w:r w:rsidR="002243E0">
        <w:rPr>
          <w:szCs w:val="24"/>
          <w:lang w:eastAsia="en-US"/>
        </w:rPr>
        <w:t xml:space="preserve">CLP </w:t>
      </w:r>
      <w:r w:rsidR="00B12C39" w:rsidRPr="00A05A55">
        <w:rPr>
          <w:szCs w:val="24"/>
          <w:lang w:eastAsia="en-US"/>
        </w:rPr>
        <w:t>Regulation as follows:</w:t>
      </w:r>
    </w:p>
    <w:p w14:paraId="115C5B8E" w14:textId="3F479699" w:rsidR="00B12C39" w:rsidRPr="008D0DBB" w:rsidRDefault="00FC5D4E" w:rsidP="00C94560">
      <w:pPr>
        <w:pStyle w:val="Caption"/>
        <w:ind w:left="0"/>
        <w:rPr>
          <w:b/>
          <w:sz w:val="18"/>
          <w:szCs w:val="18"/>
        </w:rPr>
      </w:pPr>
      <w:bookmarkStart w:id="162" w:name="_Toc316637462"/>
      <w:bookmarkStart w:id="163" w:name="_Toc341889786"/>
      <w:bookmarkStart w:id="164" w:name="_Toc357184847"/>
      <w:bookmarkStart w:id="165" w:name="_Toc359563698"/>
      <w:bookmarkStart w:id="166" w:name="_Toc272312460"/>
      <w:bookmarkStart w:id="167" w:name="_Toc284316797"/>
      <w:bookmarkStart w:id="168" w:name="_Toc491875967"/>
      <w:r w:rsidRPr="009849AE">
        <w:rPr>
          <w:b/>
          <w:sz w:val="18"/>
          <w:szCs w:val="18"/>
        </w:rPr>
        <w:t xml:space="preserve">Table </w:t>
      </w:r>
      <w:r w:rsidR="000721AD" w:rsidRPr="009849AE">
        <w:rPr>
          <w:b/>
          <w:sz w:val="18"/>
          <w:szCs w:val="18"/>
        </w:rPr>
        <w:fldChar w:fldCharType="begin"/>
      </w:r>
      <w:r w:rsidRPr="009849AE">
        <w:rPr>
          <w:b/>
          <w:sz w:val="18"/>
          <w:szCs w:val="18"/>
        </w:rPr>
        <w:instrText xml:space="preserve"> SEQ Table \* ARABIC </w:instrText>
      </w:r>
      <w:r w:rsidR="000721AD" w:rsidRPr="009849AE">
        <w:rPr>
          <w:b/>
          <w:sz w:val="18"/>
          <w:szCs w:val="18"/>
        </w:rPr>
        <w:fldChar w:fldCharType="separate"/>
      </w:r>
      <w:r w:rsidR="00B934DA">
        <w:rPr>
          <w:b/>
          <w:noProof/>
          <w:sz w:val="18"/>
          <w:szCs w:val="18"/>
        </w:rPr>
        <w:t>3</w:t>
      </w:r>
      <w:r w:rsidR="000721AD" w:rsidRPr="009849AE">
        <w:rPr>
          <w:b/>
          <w:sz w:val="18"/>
          <w:szCs w:val="18"/>
        </w:rPr>
        <w:fldChar w:fldCharType="end"/>
      </w:r>
      <w:r w:rsidR="00B12C39" w:rsidRPr="009849AE">
        <w:rPr>
          <w:b/>
          <w:sz w:val="18"/>
          <w:szCs w:val="18"/>
        </w:rPr>
        <w:t xml:space="preserve">: Classification according to Annex VI, Table 3.1 (list of harmonised classification and </w:t>
      </w:r>
      <w:r w:rsidR="00B12C39" w:rsidRPr="008D0DBB">
        <w:rPr>
          <w:b/>
          <w:sz w:val="18"/>
          <w:szCs w:val="18"/>
        </w:rPr>
        <w:t>labelling of hazardous substances) of Regulation (EC) No 1272/2008</w:t>
      </w:r>
      <w:bookmarkEnd w:id="162"/>
      <w:bookmarkEnd w:id="163"/>
      <w:bookmarkEnd w:id="164"/>
      <w:bookmarkEnd w:id="165"/>
      <w:bookmarkEnd w:id="168"/>
    </w:p>
    <w:tbl>
      <w:tblPr>
        <w:tblW w:w="9858" w:type="dxa"/>
        <w:jc w:val="center"/>
        <w:tblLayout w:type="fixed"/>
        <w:tblCellMar>
          <w:top w:w="28" w:type="dxa"/>
          <w:left w:w="28" w:type="dxa"/>
          <w:bottom w:w="28" w:type="dxa"/>
          <w:right w:w="28" w:type="dxa"/>
        </w:tblCellMar>
        <w:tblLook w:val="0000" w:firstRow="0" w:lastRow="0" w:firstColumn="0" w:lastColumn="0" w:noHBand="0" w:noVBand="0"/>
      </w:tblPr>
      <w:tblGrid>
        <w:gridCol w:w="677"/>
        <w:gridCol w:w="1418"/>
        <w:gridCol w:w="567"/>
        <w:gridCol w:w="567"/>
        <w:gridCol w:w="992"/>
        <w:gridCol w:w="992"/>
        <w:gridCol w:w="1134"/>
        <w:gridCol w:w="993"/>
        <w:gridCol w:w="1101"/>
        <w:gridCol w:w="774"/>
        <w:gridCol w:w="643"/>
      </w:tblGrid>
      <w:tr w:rsidR="00B12C39" w:rsidRPr="008D0DBB" w14:paraId="115C5B97" w14:textId="77777777" w:rsidTr="00D10FD9">
        <w:trPr>
          <w:cantSplit/>
          <w:trHeight w:val="98"/>
          <w:jc w:val="center"/>
        </w:trPr>
        <w:tc>
          <w:tcPr>
            <w:tcW w:w="677" w:type="dxa"/>
            <w:vMerge w:val="restart"/>
            <w:tcBorders>
              <w:top w:val="single" w:sz="2" w:space="0" w:color="auto"/>
              <w:left w:val="single" w:sz="2" w:space="0" w:color="auto"/>
              <w:right w:val="single" w:sz="2" w:space="0" w:color="auto"/>
            </w:tcBorders>
          </w:tcPr>
          <w:bookmarkEnd w:id="166"/>
          <w:bookmarkEnd w:id="167"/>
          <w:p w14:paraId="115C5B8F" w14:textId="77777777" w:rsidR="00B12C39" w:rsidRPr="006B5A7C" w:rsidRDefault="00B12C39" w:rsidP="00B12C39">
            <w:pPr>
              <w:pStyle w:val="TableColumnHeader"/>
              <w:ind w:left="0"/>
              <w:rPr>
                <w:sz w:val="16"/>
                <w:szCs w:val="18"/>
              </w:rPr>
            </w:pPr>
            <w:r w:rsidRPr="006B5A7C">
              <w:rPr>
                <w:sz w:val="16"/>
                <w:szCs w:val="18"/>
              </w:rPr>
              <w:t>Index No</w:t>
            </w:r>
          </w:p>
        </w:tc>
        <w:tc>
          <w:tcPr>
            <w:tcW w:w="1418" w:type="dxa"/>
            <w:vMerge w:val="restart"/>
            <w:tcBorders>
              <w:top w:val="single" w:sz="2" w:space="0" w:color="auto"/>
              <w:left w:val="single" w:sz="2" w:space="0" w:color="auto"/>
              <w:right w:val="single" w:sz="2" w:space="0" w:color="auto"/>
            </w:tcBorders>
          </w:tcPr>
          <w:p w14:paraId="115C5B90" w14:textId="77777777" w:rsidR="00B12C39" w:rsidRPr="006B5A7C" w:rsidRDefault="00B12C39" w:rsidP="00B12C39">
            <w:pPr>
              <w:pStyle w:val="TableColumnHeader"/>
              <w:ind w:left="0"/>
              <w:rPr>
                <w:sz w:val="16"/>
                <w:szCs w:val="18"/>
              </w:rPr>
            </w:pPr>
            <w:r w:rsidRPr="006B5A7C">
              <w:rPr>
                <w:sz w:val="16"/>
                <w:szCs w:val="18"/>
              </w:rPr>
              <w:t>International Chemical Identification</w:t>
            </w:r>
          </w:p>
        </w:tc>
        <w:tc>
          <w:tcPr>
            <w:tcW w:w="567" w:type="dxa"/>
            <w:vMerge w:val="restart"/>
            <w:tcBorders>
              <w:top w:val="single" w:sz="2" w:space="0" w:color="auto"/>
              <w:left w:val="single" w:sz="2" w:space="0" w:color="auto"/>
              <w:right w:val="single" w:sz="2" w:space="0" w:color="auto"/>
            </w:tcBorders>
          </w:tcPr>
          <w:p w14:paraId="115C5B91" w14:textId="77777777" w:rsidR="00B12C39" w:rsidRPr="006B5A7C" w:rsidRDefault="00B12C39" w:rsidP="00B12C39">
            <w:pPr>
              <w:pStyle w:val="TableColumnHeader"/>
              <w:ind w:left="0"/>
              <w:rPr>
                <w:sz w:val="16"/>
                <w:szCs w:val="18"/>
              </w:rPr>
            </w:pPr>
            <w:r w:rsidRPr="006B5A7C">
              <w:rPr>
                <w:sz w:val="16"/>
                <w:szCs w:val="18"/>
              </w:rPr>
              <w:t>EC No</w:t>
            </w:r>
          </w:p>
        </w:tc>
        <w:tc>
          <w:tcPr>
            <w:tcW w:w="567" w:type="dxa"/>
            <w:vMerge w:val="restart"/>
            <w:tcBorders>
              <w:top w:val="single" w:sz="2" w:space="0" w:color="auto"/>
              <w:left w:val="single" w:sz="2" w:space="0" w:color="auto"/>
              <w:right w:val="single" w:sz="2" w:space="0" w:color="auto"/>
            </w:tcBorders>
          </w:tcPr>
          <w:p w14:paraId="115C5B92" w14:textId="77777777" w:rsidR="00B12C39" w:rsidRPr="006B5A7C" w:rsidRDefault="00B12C39" w:rsidP="00B12C39">
            <w:pPr>
              <w:pStyle w:val="TableColumnHeader"/>
              <w:ind w:left="0"/>
              <w:rPr>
                <w:sz w:val="16"/>
                <w:szCs w:val="18"/>
              </w:rPr>
            </w:pPr>
            <w:r w:rsidRPr="006B5A7C">
              <w:rPr>
                <w:sz w:val="16"/>
                <w:szCs w:val="18"/>
              </w:rPr>
              <w:t>CAS No</w:t>
            </w:r>
          </w:p>
        </w:tc>
        <w:tc>
          <w:tcPr>
            <w:tcW w:w="1984" w:type="dxa"/>
            <w:gridSpan w:val="2"/>
            <w:tcBorders>
              <w:top w:val="single" w:sz="2" w:space="0" w:color="auto"/>
              <w:left w:val="single" w:sz="2" w:space="0" w:color="auto"/>
              <w:bottom w:val="single" w:sz="4" w:space="0" w:color="auto"/>
              <w:right w:val="single" w:sz="2" w:space="0" w:color="auto"/>
            </w:tcBorders>
          </w:tcPr>
          <w:p w14:paraId="115C5B93" w14:textId="77777777" w:rsidR="00B12C39" w:rsidRPr="006B5A7C" w:rsidRDefault="00B12C39" w:rsidP="00B12C39">
            <w:pPr>
              <w:pStyle w:val="TableColumnHeader"/>
              <w:ind w:left="0"/>
              <w:rPr>
                <w:sz w:val="16"/>
                <w:szCs w:val="18"/>
              </w:rPr>
            </w:pPr>
            <w:r w:rsidRPr="006B5A7C">
              <w:rPr>
                <w:sz w:val="16"/>
                <w:szCs w:val="18"/>
              </w:rPr>
              <w:t>Classification</w:t>
            </w:r>
          </w:p>
        </w:tc>
        <w:tc>
          <w:tcPr>
            <w:tcW w:w="3228" w:type="dxa"/>
            <w:gridSpan w:val="3"/>
            <w:tcBorders>
              <w:top w:val="single" w:sz="2" w:space="0" w:color="auto"/>
              <w:left w:val="single" w:sz="2" w:space="0" w:color="auto"/>
              <w:bottom w:val="single" w:sz="4" w:space="0" w:color="auto"/>
              <w:right w:val="single" w:sz="2" w:space="0" w:color="auto"/>
            </w:tcBorders>
          </w:tcPr>
          <w:p w14:paraId="115C5B94" w14:textId="77777777" w:rsidR="00B12C39" w:rsidRPr="006B5A7C" w:rsidRDefault="00B12C39" w:rsidP="00B12C39">
            <w:pPr>
              <w:pStyle w:val="TableColumnHeader"/>
              <w:ind w:left="0"/>
              <w:rPr>
                <w:sz w:val="16"/>
                <w:szCs w:val="18"/>
              </w:rPr>
            </w:pPr>
            <w:r w:rsidRPr="006B5A7C">
              <w:rPr>
                <w:sz w:val="16"/>
                <w:szCs w:val="18"/>
              </w:rPr>
              <w:t>Labelling</w:t>
            </w:r>
          </w:p>
        </w:tc>
        <w:tc>
          <w:tcPr>
            <w:tcW w:w="774" w:type="dxa"/>
            <w:vMerge w:val="restart"/>
            <w:tcBorders>
              <w:top w:val="single" w:sz="2" w:space="0" w:color="auto"/>
              <w:left w:val="single" w:sz="2" w:space="0" w:color="auto"/>
              <w:right w:val="single" w:sz="2" w:space="0" w:color="auto"/>
            </w:tcBorders>
          </w:tcPr>
          <w:p w14:paraId="115C5B95" w14:textId="77777777" w:rsidR="00B12C39" w:rsidRPr="006B5A7C" w:rsidRDefault="00B12C39" w:rsidP="00B12C39">
            <w:pPr>
              <w:pStyle w:val="TableColumnHeader"/>
              <w:ind w:left="0"/>
              <w:rPr>
                <w:sz w:val="16"/>
                <w:szCs w:val="18"/>
              </w:rPr>
            </w:pPr>
            <w:r w:rsidRPr="006B5A7C">
              <w:rPr>
                <w:sz w:val="16"/>
                <w:szCs w:val="18"/>
              </w:rPr>
              <w:t>Spec. Conc. Limits, M-factors</w:t>
            </w:r>
          </w:p>
        </w:tc>
        <w:tc>
          <w:tcPr>
            <w:tcW w:w="643" w:type="dxa"/>
            <w:vMerge w:val="restart"/>
            <w:tcBorders>
              <w:top w:val="single" w:sz="2" w:space="0" w:color="auto"/>
              <w:left w:val="single" w:sz="2" w:space="0" w:color="auto"/>
              <w:right w:val="single" w:sz="2" w:space="0" w:color="auto"/>
            </w:tcBorders>
          </w:tcPr>
          <w:p w14:paraId="115C5B96" w14:textId="77777777" w:rsidR="00B12C39" w:rsidRPr="006B5A7C" w:rsidRDefault="00B12C39" w:rsidP="00B12C39">
            <w:pPr>
              <w:pStyle w:val="TableColumnHeader"/>
              <w:ind w:left="0"/>
              <w:rPr>
                <w:sz w:val="16"/>
                <w:szCs w:val="18"/>
              </w:rPr>
            </w:pPr>
            <w:r w:rsidRPr="006B5A7C">
              <w:rPr>
                <w:sz w:val="16"/>
                <w:szCs w:val="18"/>
              </w:rPr>
              <w:t>Notes</w:t>
            </w:r>
          </w:p>
        </w:tc>
      </w:tr>
      <w:tr w:rsidR="00B12C39" w:rsidRPr="00A05A55" w14:paraId="115C5BA3" w14:textId="77777777" w:rsidTr="00D10FD9">
        <w:trPr>
          <w:cantSplit/>
          <w:trHeight w:val="880"/>
          <w:jc w:val="center"/>
        </w:trPr>
        <w:tc>
          <w:tcPr>
            <w:tcW w:w="677" w:type="dxa"/>
            <w:vMerge/>
            <w:tcBorders>
              <w:left w:val="single" w:sz="2" w:space="0" w:color="auto"/>
              <w:bottom w:val="single" w:sz="2" w:space="0" w:color="auto"/>
              <w:right w:val="single" w:sz="2" w:space="0" w:color="auto"/>
            </w:tcBorders>
          </w:tcPr>
          <w:p w14:paraId="115C5B98" w14:textId="77777777" w:rsidR="00B12C39" w:rsidRPr="00A05A55" w:rsidRDefault="00B12C39" w:rsidP="00B12C39">
            <w:pPr>
              <w:keepNext/>
              <w:keepLines/>
              <w:widowControl/>
              <w:spacing w:before="54" w:after="54"/>
              <w:ind w:left="113"/>
              <w:jc w:val="center"/>
              <w:rPr>
                <w:b/>
                <w:bCs/>
                <w:szCs w:val="22"/>
                <w:lang w:eastAsia="da-DK"/>
              </w:rPr>
            </w:pPr>
          </w:p>
        </w:tc>
        <w:tc>
          <w:tcPr>
            <w:tcW w:w="1418" w:type="dxa"/>
            <w:vMerge/>
            <w:tcBorders>
              <w:left w:val="single" w:sz="2" w:space="0" w:color="auto"/>
              <w:bottom w:val="single" w:sz="2" w:space="0" w:color="auto"/>
              <w:right w:val="single" w:sz="2" w:space="0" w:color="auto"/>
            </w:tcBorders>
          </w:tcPr>
          <w:p w14:paraId="115C5B99" w14:textId="77777777" w:rsidR="00B12C39" w:rsidRPr="00C85A85" w:rsidRDefault="00B12C39" w:rsidP="00B12C39">
            <w:pPr>
              <w:keepNext/>
              <w:keepLines/>
              <w:widowControl/>
              <w:spacing w:before="54" w:after="54"/>
              <w:ind w:left="113"/>
              <w:jc w:val="center"/>
              <w:rPr>
                <w:b/>
                <w:bCs/>
                <w:sz w:val="16"/>
                <w:szCs w:val="16"/>
                <w:lang w:eastAsia="da-DK"/>
              </w:rPr>
            </w:pPr>
          </w:p>
        </w:tc>
        <w:tc>
          <w:tcPr>
            <w:tcW w:w="567" w:type="dxa"/>
            <w:vMerge/>
            <w:tcBorders>
              <w:left w:val="single" w:sz="2" w:space="0" w:color="auto"/>
              <w:bottom w:val="single" w:sz="2" w:space="0" w:color="auto"/>
              <w:right w:val="single" w:sz="2" w:space="0" w:color="auto"/>
            </w:tcBorders>
          </w:tcPr>
          <w:p w14:paraId="115C5B9A" w14:textId="77777777" w:rsidR="00B12C39" w:rsidRPr="00C85A85" w:rsidRDefault="00B12C39" w:rsidP="00B12C39">
            <w:pPr>
              <w:keepNext/>
              <w:keepLines/>
              <w:widowControl/>
              <w:spacing w:before="54" w:after="54"/>
              <w:ind w:left="113"/>
              <w:jc w:val="center"/>
              <w:rPr>
                <w:b/>
                <w:bCs/>
                <w:sz w:val="16"/>
                <w:szCs w:val="16"/>
                <w:lang w:eastAsia="da-DK"/>
              </w:rPr>
            </w:pPr>
          </w:p>
        </w:tc>
        <w:tc>
          <w:tcPr>
            <w:tcW w:w="567" w:type="dxa"/>
            <w:vMerge/>
            <w:tcBorders>
              <w:left w:val="single" w:sz="2" w:space="0" w:color="auto"/>
              <w:bottom w:val="single" w:sz="2" w:space="0" w:color="auto"/>
              <w:right w:val="single" w:sz="2" w:space="0" w:color="auto"/>
            </w:tcBorders>
          </w:tcPr>
          <w:p w14:paraId="115C5B9B" w14:textId="77777777" w:rsidR="00B12C39" w:rsidRPr="00C85A85" w:rsidRDefault="00B12C39" w:rsidP="00B12C39">
            <w:pPr>
              <w:keepNext/>
              <w:keepLines/>
              <w:widowControl/>
              <w:spacing w:before="54" w:after="54"/>
              <w:ind w:left="113"/>
              <w:jc w:val="center"/>
              <w:rPr>
                <w:b/>
                <w:bCs/>
                <w:sz w:val="16"/>
                <w:szCs w:val="16"/>
                <w:lang w:eastAsia="da-DK"/>
              </w:rPr>
            </w:pPr>
          </w:p>
        </w:tc>
        <w:tc>
          <w:tcPr>
            <w:tcW w:w="992" w:type="dxa"/>
            <w:tcBorders>
              <w:top w:val="single" w:sz="4" w:space="0" w:color="auto"/>
              <w:left w:val="single" w:sz="2" w:space="0" w:color="auto"/>
              <w:bottom w:val="single" w:sz="2" w:space="0" w:color="auto"/>
              <w:right w:val="single" w:sz="2" w:space="0" w:color="auto"/>
            </w:tcBorders>
          </w:tcPr>
          <w:p w14:paraId="115C5B9C" w14:textId="77777777" w:rsidR="00B12C39" w:rsidRPr="00C85A85" w:rsidRDefault="00B12C39" w:rsidP="00B12C39">
            <w:pPr>
              <w:pStyle w:val="TableColumnHeader"/>
              <w:ind w:left="0"/>
              <w:rPr>
                <w:sz w:val="16"/>
                <w:szCs w:val="16"/>
              </w:rPr>
            </w:pPr>
            <w:r w:rsidRPr="00C85A85">
              <w:rPr>
                <w:sz w:val="16"/>
                <w:szCs w:val="16"/>
              </w:rPr>
              <w:t>Hazard Class and Category Code(s)</w:t>
            </w:r>
          </w:p>
        </w:tc>
        <w:tc>
          <w:tcPr>
            <w:tcW w:w="992" w:type="dxa"/>
            <w:tcBorders>
              <w:top w:val="single" w:sz="4" w:space="0" w:color="auto"/>
              <w:left w:val="single" w:sz="2" w:space="0" w:color="auto"/>
              <w:bottom w:val="single" w:sz="2" w:space="0" w:color="auto"/>
              <w:right w:val="single" w:sz="2" w:space="0" w:color="auto"/>
            </w:tcBorders>
          </w:tcPr>
          <w:p w14:paraId="115C5B9D" w14:textId="77777777" w:rsidR="00B12C39" w:rsidRPr="00C85A85" w:rsidRDefault="00B12C39" w:rsidP="00B12C39">
            <w:pPr>
              <w:pStyle w:val="TableColumnHeader"/>
              <w:ind w:left="0"/>
              <w:rPr>
                <w:sz w:val="16"/>
                <w:szCs w:val="16"/>
              </w:rPr>
            </w:pPr>
            <w:r w:rsidRPr="00C85A85">
              <w:rPr>
                <w:sz w:val="16"/>
                <w:szCs w:val="16"/>
              </w:rPr>
              <w:t>Hazard statement code(s)</w:t>
            </w:r>
          </w:p>
        </w:tc>
        <w:tc>
          <w:tcPr>
            <w:tcW w:w="1134" w:type="dxa"/>
            <w:tcBorders>
              <w:top w:val="single" w:sz="4" w:space="0" w:color="auto"/>
              <w:left w:val="single" w:sz="2" w:space="0" w:color="auto"/>
              <w:bottom w:val="single" w:sz="2" w:space="0" w:color="auto"/>
              <w:right w:val="single" w:sz="2" w:space="0" w:color="auto"/>
            </w:tcBorders>
          </w:tcPr>
          <w:p w14:paraId="115C5B9E" w14:textId="77777777" w:rsidR="00B12C39" w:rsidRPr="00C85A85" w:rsidRDefault="00B12C39" w:rsidP="00B12C39">
            <w:pPr>
              <w:pStyle w:val="TableColumnHeader"/>
              <w:ind w:left="0"/>
              <w:rPr>
                <w:sz w:val="16"/>
                <w:szCs w:val="16"/>
              </w:rPr>
            </w:pPr>
            <w:r w:rsidRPr="00C85A85">
              <w:rPr>
                <w:sz w:val="16"/>
                <w:szCs w:val="16"/>
              </w:rPr>
              <w:t>Pictogram, Signal Word Code(s)</w:t>
            </w:r>
          </w:p>
        </w:tc>
        <w:tc>
          <w:tcPr>
            <w:tcW w:w="993" w:type="dxa"/>
            <w:tcBorders>
              <w:top w:val="single" w:sz="4" w:space="0" w:color="auto"/>
              <w:left w:val="single" w:sz="2" w:space="0" w:color="auto"/>
              <w:bottom w:val="single" w:sz="2" w:space="0" w:color="auto"/>
              <w:right w:val="single" w:sz="2" w:space="0" w:color="auto"/>
            </w:tcBorders>
          </w:tcPr>
          <w:p w14:paraId="115C5B9F" w14:textId="77777777" w:rsidR="00B12C39" w:rsidRPr="00C85A85" w:rsidRDefault="00B12C39" w:rsidP="00B12C39">
            <w:pPr>
              <w:pStyle w:val="TableColumnHeader"/>
              <w:ind w:left="0"/>
              <w:rPr>
                <w:sz w:val="16"/>
                <w:szCs w:val="16"/>
              </w:rPr>
            </w:pPr>
            <w:r w:rsidRPr="00C85A85">
              <w:rPr>
                <w:sz w:val="16"/>
                <w:szCs w:val="16"/>
              </w:rPr>
              <w:t>Hazard statement code(s)</w:t>
            </w:r>
          </w:p>
        </w:tc>
        <w:tc>
          <w:tcPr>
            <w:tcW w:w="1101" w:type="dxa"/>
            <w:tcBorders>
              <w:top w:val="single" w:sz="4" w:space="0" w:color="auto"/>
              <w:left w:val="single" w:sz="2" w:space="0" w:color="auto"/>
              <w:bottom w:val="single" w:sz="2" w:space="0" w:color="auto"/>
              <w:right w:val="single" w:sz="2" w:space="0" w:color="auto"/>
            </w:tcBorders>
          </w:tcPr>
          <w:p w14:paraId="115C5BA0" w14:textId="77777777" w:rsidR="00B12C39" w:rsidRPr="00C85A85" w:rsidRDefault="00B12C39" w:rsidP="00B12C39">
            <w:pPr>
              <w:pStyle w:val="TableColumnHeader"/>
              <w:ind w:left="0"/>
              <w:rPr>
                <w:sz w:val="16"/>
                <w:szCs w:val="16"/>
              </w:rPr>
            </w:pPr>
            <w:r w:rsidRPr="00C85A85">
              <w:rPr>
                <w:sz w:val="16"/>
                <w:szCs w:val="16"/>
              </w:rPr>
              <w:t>Suppl. Hazard statement code(s)</w:t>
            </w:r>
          </w:p>
        </w:tc>
        <w:tc>
          <w:tcPr>
            <w:tcW w:w="774" w:type="dxa"/>
            <w:vMerge/>
            <w:tcBorders>
              <w:left w:val="single" w:sz="2" w:space="0" w:color="auto"/>
              <w:bottom w:val="single" w:sz="2" w:space="0" w:color="auto"/>
              <w:right w:val="single" w:sz="2" w:space="0" w:color="auto"/>
            </w:tcBorders>
          </w:tcPr>
          <w:p w14:paraId="115C5BA1" w14:textId="77777777" w:rsidR="00B12C39" w:rsidRPr="00A05A55" w:rsidRDefault="00B12C39" w:rsidP="00B12C39">
            <w:pPr>
              <w:widowControl/>
              <w:spacing w:before="60" w:after="60"/>
              <w:jc w:val="both"/>
              <w:rPr>
                <w:b/>
                <w:sz w:val="16"/>
                <w:szCs w:val="16"/>
                <w:lang w:eastAsia="en-US"/>
              </w:rPr>
            </w:pPr>
          </w:p>
        </w:tc>
        <w:tc>
          <w:tcPr>
            <w:tcW w:w="643" w:type="dxa"/>
            <w:vMerge/>
            <w:tcBorders>
              <w:left w:val="single" w:sz="2" w:space="0" w:color="auto"/>
              <w:bottom w:val="single" w:sz="2" w:space="0" w:color="auto"/>
              <w:right w:val="single" w:sz="2" w:space="0" w:color="auto"/>
            </w:tcBorders>
          </w:tcPr>
          <w:p w14:paraId="115C5BA2" w14:textId="77777777" w:rsidR="00B12C39" w:rsidRPr="00A05A55" w:rsidRDefault="00B12C39" w:rsidP="00B12C39">
            <w:pPr>
              <w:widowControl/>
              <w:spacing w:before="60" w:after="60"/>
              <w:jc w:val="both"/>
              <w:rPr>
                <w:b/>
                <w:sz w:val="16"/>
                <w:szCs w:val="16"/>
                <w:lang w:eastAsia="en-US"/>
              </w:rPr>
            </w:pPr>
          </w:p>
        </w:tc>
      </w:tr>
      <w:tr w:rsidR="00B12C39" w:rsidRPr="00A05A55" w14:paraId="115C5BAF" w14:textId="77777777" w:rsidTr="00D10FD9">
        <w:trPr>
          <w:cantSplit/>
          <w:jc w:val="center"/>
        </w:trPr>
        <w:tc>
          <w:tcPr>
            <w:tcW w:w="677" w:type="dxa"/>
            <w:tcBorders>
              <w:top w:val="single" w:sz="2" w:space="0" w:color="auto"/>
              <w:left w:val="single" w:sz="2" w:space="0" w:color="auto"/>
              <w:bottom w:val="single" w:sz="2" w:space="0" w:color="auto"/>
              <w:right w:val="single" w:sz="2" w:space="0" w:color="auto"/>
            </w:tcBorders>
          </w:tcPr>
          <w:p w14:paraId="115C5BA4" w14:textId="3E75A4DE" w:rsidR="00B12C39" w:rsidRPr="00A05A55" w:rsidRDefault="00467EF2" w:rsidP="00B12C39">
            <w:pPr>
              <w:keepNext/>
              <w:keepLines/>
              <w:widowControl/>
              <w:spacing w:before="54" w:after="54"/>
              <w:ind w:left="113"/>
              <w:jc w:val="both"/>
              <w:rPr>
                <w:szCs w:val="24"/>
                <w:lang w:eastAsia="da-DK"/>
              </w:rPr>
            </w:pPr>
            <w:r w:rsidRPr="0065661B">
              <w:rPr>
                <w:sz w:val="18"/>
                <w:szCs w:val="18"/>
              </w:rPr>
              <w:t>601-033-00-9</w:t>
            </w:r>
          </w:p>
        </w:tc>
        <w:tc>
          <w:tcPr>
            <w:tcW w:w="1418" w:type="dxa"/>
            <w:tcBorders>
              <w:top w:val="single" w:sz="2" w:space="0" w:color="auto"/>
              <w:left w:val="single" w:sz="2" w:space="0" w:color="auto"/>
              <w:bottom w:val="single" w:sz="2" w:space="0" w:color="auto"/>
              <w:right w:val="single" w:sz="2" w:space="0" w:color="auto"/>
            </w:tcBorders>
          </w:tcPr>
          <w:p w14:paraId="115C5BA5" w14:textId="147177A7" w:rsidR="00B12C39" w:rsidRPr="00A05A55" w:rsidRDefault="00467EF2" w:rsidP="00D10FD9">
            <w:pPr>
              <w:keepNext/>
              <w:keepLines/>
              <w:widowControl/>
              <w:spacing w:before="54" w:after="54"/>
              <w:ind w:left="113"/>
              <w:jc w:val="center"/>
              <w:rPr>
                <w:szCs w:val="24"/>
                <w:lang w:eastAsia="da-DK"/>
              </w:rPr>
            </w:pPr>
            <w:r w:rsidRPr="0065661B">
              <w:rPr>
                <w:sz w:val="18"/>
                <w:szCs w:val="18"/>
              </w:rPr>
              <w:t>Benz(a)</w:t>
            </w:r>
            <w:r>
              <w:rPr>
                <w:sz w:val="18"/>
                <w:szCs w:val="18"/>
              </w:rPr>
              <w:t>-</w:t>
            </w:r>
            <w:r w:rsidRPr="0065661B">
              <w:rPr>
                <w:sz w:val="18"/>
                <w:szCs w:val="18"/>
              </w:rPr>
              <w:t>anthracene</w:t>
            </w:r>
          </w:p>
        </w:tc>
        <w:tc>
          <w:tcPr>
            <w:tcW w:w="567" w:type="dxa"/>
            <w:tcBorders>
              <w:top w:val="single" w:sz="2" w:space="0" w:color="auto"/>
              <w:left w:val="single" w:sz="2" w:space="0" w:color="auto"/>
              <w:bottom w:val="single" w:sz="2" w:space="0" w:color="auto"/>
              <w:right w:val="single" w:sz="2" w:space="0" w:color="auto"/>
            </w:tcBorders>
          </w:tcPr>
          <w:p w14:paraId="115C5BA6" w14:textId="4140E702" w:rsidR="00B12C39" w:rsidRPr="00A05A55" w:rsidRDefault="00467EF2" w:rsidP="00B12C39">
            <w:pPr>
              <w:keepNext/>
              <w:keepLines/>
              <w:widowControl/>
              <w:spacing w:before="54" w:after="54"/>
              <w:ind w:left="113"/>
              <w:jc w:val="both"/>
              <w:rPr>
                <w:szCs w:val="24"/>
                <w:lang w:eastAsia="da-DK"/>
              </w:rPr>
            </w:pPr>
            <w:r w:rsidRPr="0065661B">
              <w:rPr>
                <w:sz w:val="18"/>
                <w:szCs w:val="18"/>
              </w:rPr>
              <w:t>200-280-6</w:t>
            </w:r>
          </w:p>
        </w:tc>
        <w:tc>
          <w:tcPr>
            <w:tcW w:w="567" w:type="dxa"/>
            <w:tcBorders>
              <w:top w:val="single" w:sz="2" w:space="0" w:color="auto"/>
              <w:left w:val="single" w:sz="2" w:space="0" w:color="auto"/>
              <w:bottom w:val="single" w:sz="2" w:space="0" w:color="auto"/>
              <w:right w:val="single" w:sz="2" w:space="0" w:color="auto"/>
            </w:tcBorders>
          </w:tcPr>
          <w:p w14:paraId="115C5BA7" w14:textId="534F269B" w:rsidR="00B12C39" w:rsidRPr="00A05A55" w:rsidRDefault="00467EF2" w:rsidP="00B12C39">
            <w:pPr>
              <w:keepNext/>
              <w:keepLines/>
              <w:widowControl/>
              <w:spacing w:before="54" w:after="54"/>
              <w:ind w:left="113"/>
              <w:jc w:val="both"/>
              <w:rPr>
                <w:szCs w:val="24"/>
                <w:lang w:eastAsia="da-DK"/>
              </w:rPr>
            </w:pPr>
            <w:r w:rsidRPr="0065661B">
              <w:rPr>
                <w:sz w:val="18"/>
                <w:szCs w:val="18"/>
              </w:rPr>
              <w:t>56-55-3</w:t>
            </w:r>
          </w:p>
        </w:tc>
        <w:tc>
          <w:tcPr>
            <w:tcW w:w="992" w:type="dxa"/>
            <w:tcBorders>
              <w:top w:val="single" w:sz="2" w:space="0" w:color="auto"/>
              <w:left w:val="single" w:sz="2" w:space="0" w:color="auto"/>
              <w:bottom w:val="single" w:sz="2" w:space="0" w:color="auto"/>
              <w:right w:val="single" w:sz="2" w:space="0" w:color="auto"/>
            </w:tcBorders>
          </w:tcPr>
          <w:p w14:paraId="1E88F987" w14:textId="0559A8DD" w:rsidR="00B12C39" w:rsidRPr="00B8044B" w:rsidRDefault="00467EF2" w:rsidP="00B12C39">
            <w:pPr>
              <w:keepNext/>
              <w:keepLines/>
              <w:widowControl/>
              <w:spacing w:before="54" w:after="54"/>
              <w:ind w:left="113"/>
              <w:jc w:val="both"/>
              <w:rPr>
                <w:sz w:val="18"/>
                <w:szCs w:val="18"/>
                <w:lang w:eastAsia="da-DK"/>
              </w:rPr>
            </w:pPr>
            <w:proofErr w:type="spellStart"/>
            <w:r w:rsidRPr="00B8044B">
              <w:rPr>
                <w:sz w:val="18"/>
                <w:szCs w:val="18"/>
                <w:lang w:eastAsia="da-DK"/>
              </w:rPr>
              <w:t>Carc</w:t>
            </w:r>
            <w:proofErr w:type="spellEnd"/>
            <w:r w:rsidRPr="00B8044B">
              <w:rPr>
                <w:sz w:val="18"/>
                <w:szCs w:val="18"/>
                <w:lang w:eastAsia="da-DK"/>
              </w:rPr>
              <w:t xml:space="preserve">. </w:t>
            </w:r>
            <w:r w:rsidR="00761E84" w:rsidRPr="00B8044B">
              <w:rPr>
                <w:sz w:val="18"/>
                <w:szCs w:val="18"/>
                <w:lang w:eastAsia="da-DK"/>
              </w:rPr>
              <w:t>1B</w:t>
            </w:r>
          </w:p>
          <w:p w14:paraId="3C6F3899" w14:textId="77777777" w:rsidR="00467EF2" w:rsidRPr="00B8044B" w:rsidRDefault="00467EF2" w:rsidP="00B12C39">
            <w:pPr>
              <w:keepNext/>
              <w:keepLines/>
              <w:widowControl/>
              <w:spacing w:before="54" w:after="54"/>
              <w:ind w:left="113"/>
              <w:jc w:val="both"/>
              <w:rPr>
                <w:sz w:val="18"/>
                <w:szCs w:val="18"/>
                <w:lang w:eastAsia="da-DK"/>
              </w:rPr>
            </w:pPr>
            <w:r w:rsidRPr="00B8044B">
              <w:rPr>
                <w:sz w:val="18"/>
                <w:szCs w:val="18"/>
                <w:lang w:eastAsia="da-DK"/>
              </w:rPr>
              <w:t>Aquatic Acute 1</w:t>
            </w:r>
          </w:p>
          <w:p w14:paraId="115C5BA8" w14:textId="1CD8B4DA" w:rsidR="00467EF2" w:rsidRPr="00B8044B" w:rsidRDefault="00467EF2" w:rsidP="00B12C39">
            <w:pPr>
              <w:keepNext/>
              <w:keepLines/>
              <w:widowControl/>
              <w:spacing w:before="54" w:after="54"/>
              <w:ind w:left="113"/>
              <w:jc w:val="both"/>
              <w:rPr>
                <w:sz w:val="18"/>
                <w:szCs w:val="18"/>
                <w:lang w:eastAsia="da-DK"/>
              </w:rPr>
            </w:pPr>
            <w:r w:rsidRPr="00B8044B">
              <w:rPr>
                <w:sz w:val="18"/>
                <w:szCs w:val="18"/>
                <w:lang w:eastAsia="da-DK"/>
              </w:rPr>
              <w:t>Aquatic Chronic 1</w:t>
            </w:r>
          </w:p>
        </w:tc>
        <w:tc>
          <w:tcPr>
            <w:tcW w:w="992" w:type="dxa"/>
            <w:tcBorders>
              <w:top w:val="single" w:sz="2" w:space="0" w:color="auto"/>
              <w:left w:val="single" w:sz="2" w:space="0" w:color="auto"/>
              <w:bottom w:val="single" w:sz="2" w:space="0" w:color="auto"/>
              <w:right w:val="single" w:sz="2" w:space="0" w:color="auto"/>
            </w:tcBorders>
          </w:tcPr>
          <w:p w14:paraId="409EC4FE" w14:textId="77777777" w:rsidR="00B12C39" w:rsidRPr="00B8044B" w:rsidRDefault="00467EF2" w:rsidP="00B12C39">
            <w:pPr>
              <w:keepNext/>
              <w:keepLines/>
              <w:widowControl/>
              <w:spacing w:before="54" w:after="54"/>
              <w:ind w:left="113"/>
              <w:jc w:val="both"/>
              <w:rPr>
                <w:sz w:val="18"/>
                <w:szCs w:val="18"/>
                <w:lang w:eastAsia="da-DK"/>
              </w:rPr>
            </w:pPr>
            <w:r w:rsidRPr="00B8044B">
              <w:rPr>
                <w:sz w:val="18"/>
                <w:szCs w:val="18"/>
                <w:lang w:eastAsia="da-DK"/>
              </w:rPr>
              <w:t>H350</w:t>
            </w:r>
          </w:p>
          <w:p w14:paraId="3D0F3488" w14:textId="77777777" w:rsidR="00467EF2" w:rsidRPr="00B8044B" w:rsidRDefault="00467EF2" w:rsidP="00B12C39">
            <w:pPr>
              <w:keepNext/>
              <w:keepLines/>
              <w:widowControl/>
              <w:spacing w:before="54" w:after="54"/>
              <w:ind w:left="113"/>
              <w:jc w:val="both"/>
              <w:rPr>
                <w:sz w:val="18"/>
                <w:szCs w:val="18"/>
                <w:lang w:eastAsia="da-DK"/>
              </w:rPr>
            </w:pPr>
          </w:p>
          <w:p w14:paraId="0B5F1F40" w14:textId="77777777" w:rsidR="00467EF2" w:rsidRPr="00B8044B" w:rsidRDefault="00467EF2" w:rsidP="00B12C39">
            <w:pPr>
              <w:keepNext/>
              <w:keepLines/>
              <w:widowControl/>
              <w:spacing w:before="54" w:after="54"/>
              <w:ind w:left="113"/>
              <w:jc w:val="both"/>
              <w:rPr>
                <w:sz w:val="18"/>
                <w:szCs w:val="18"/>
                <w:lang w:eastAsia="da-DK"/>
              </w:rPr>
            </w:pPr>
            <w:r w:rsidRPr="00B8044B">
              <w:rPr>
                <w:sz w:val="18"/>
                <w:szCs w:val="18"/>
                <w:lang w:eastAsia="da-DK"/>
              </w:rPr>
              <w:t>H400</w:t>
            </w:r>
          </w:p>
          <w:p w14:paraId="08969858" w14:textId="77777777" w:rsidR="00467EF2" w:rsidRPr="00B8044B" w:rsidRDefault="00467EF2" w:rsidP="00B12C39">
            <w:pPr>
              <w:keepNext/>
              <w:keepLines/>
              <w:widowControl/>
              <w:spacing w:before="54" w:after="54"/>
              <w:ind w:left="113"/>
              <w:jc w:val="both"/>
              <w:rPr>
                <w:sz w:val="18"/>
                <w:szCs w:val="18"/>
                <w:lang w:eastAsia="da-DK"/>
              </w:rPr>
            </w:pPr>
          </w:p>
          <w:p w14:paraId="115C5BA9" w14:textId="145F0FD5" w:rsidR="00467EF2" w:rsidRPr="00B8044B" w:rsidRDefault="00467EF2" w:rsidP="00B12C39">
            <w:pPr>
              <w:keepNext/>
              <w:keepLines/>
              <w:widowControl/>
              <w:spacing w:before="54" w:after="54"/>
              <w:ind w:left="113"/>
              <w:jc w:val="both"/>
              <w:rPr>
                <w:sz w:val="18"/>
                <w:szCs w:val="18"/>
                <w:lang w:eastAsia="da-DK"/>
              </w:rPr>
            </w:pPr>
            <w:r w:rsidRPr="00B8044B">
              <w:rPr>
                <w:sz w:val="18"/>
                <w:szCs w:val="18"/>
                <w:lang w:eastAsia="da-DK"/>
              </w:rPr>
              <w:t>H410</w:t>
            </w:r>
          </w:p>
        </w:tc>
        <w:tc>
          <w:tcPr>
            <w:tcW w:w="1134" w:type="dxa"/>
            <w:tcBorders>
              <w:top w:val="single" w:sz="2" w:space="0" w:color="auto"/>
              <w:left w:val="single" w:sz="2" w:space="0" w:color="auto"/>
              <w:bottom w:val="single" w:sz="2" w:space="0" w:color="auto"/>
              <w:right w:val="single" w:sz="2" w:space="0" w:color="auto"/>
            </w:tcBorders>
          </w:tcPr>
          <w:p w14:paraId="1C7C7E9B" w14:textId="77777777" w:rsidR="00536CEE" w:rsidRPr="00B8044B" w:rsidRDefault="00536CEE" w:rsidP="00536CEE">
            <w:pPr>
              <w:keepNext/>
              <w:keepLines/>
              <w:widowControl/>
              <w:spacing w:before="54" w:after="54"/>
              <w:ind w:left="113"/>
              <w:jc w:val="both"/>
              <w:rPr>
                <w:sz w:val="18"/>
                <w:szCs w:val="18"/>
                <w:lang w:eastAsia="da-DK"/>
              </w:rPr>
            </w:pPr>
            <w:r w:rsidRPr="00B8044B">
              <w:rPr>
                <w:sz w:val="18"/>
                <w:szCs w:val="18"/>
                <w:lang w:eastAsia="da-DK"/>
              </w:rPr>
              <w:t xml:space="preserve">GHS08 </w:t>
            </w:r>
          </w:p>
          <w:p w14:paraId="19EDC0DC" w14:textId="77777777" w:rsidR="00536CEE" w:rsidRPr="00B8044B" w:rsidRDefault="00536CEE" w:rsidP="00536CEE">
            <w:pPr>
              <w:keepNext/>
              <w:keepLines/>
              <w:widowControl/>
              <w:spacing w:before="54" w:after="54"/>
              <w:ind w:left="113"/>
              <w:jc w:val="both"/>
              <w:rPr>
                <w:sz w:val="18"/>
                <w:szCs w:val="18"/>
                <w:lang w:eastAsia="da-DK"/>
              </w:rPr>
            </w:pPr>
          </w:p>
          <w:p w14:paraId="510C7C7B" w14:textId="77777777" w:rsidR="00536CEE" w:rsidRPr="00B8044B" w:rsidRDefault="00536CEE" w:rsidP="00536CEE">
            <w:pPr>
              <w:keepNext/>
              <w:keepLines/>
              <w:widowControl/>
              <w:spacing w:before="54" w:after="54"/>
              <w:ind w:left="113"/>
              <w:jc w:val="both"/>
              <w:rPr>
                <w:sz w:val="18"/>
                <w:szCs w:val="18"/>
                <w:lang w:eastAsia="da-DK"/>
              </w:rPr>
            </w:pPr>
          </w:p>
          <w:p w14:paraId="6521E11A" w14:textId="77777777" w:rsidR="00536CEE" w:rsidRPr="00B8044B" w:rsidRDefault="00536CEE" w:rsidP="00536CEE">
            <w:pPr>
              <w:keepNext/>
              <w:keepLines/>
              <w:widowControl/>
              <w:spacing w:before="54" w:after="54"/>
              <w:ind w:left="113"/>
              <w:jc w:val="both"/>
              <w:rPr>
                <w:sz w:val="18"/>
                <w:szCs w:val="18"/>
                <w:lang w:eastAsia="da-DK"/>
              </w:rPr>
            </w:pPr>
            <w:r w:rsidRPr="00B8044B">
              <w:rPr>
                <w:sz w:val="18"/>
                <w:szCs w:val="18"/>
                <w:lang w:eastAsia="da-DK"/>
              </w:rPr>
              <w:t xml:space="preserve">GHS09 </w:t>
            </w:r>
          </w:p>
          <w:p w14:paraId="380F793E" w14:textId="77777777" w:rsidR="00536CEE" w:rsidRPr="00B8044B" w:rsidRDefault="00536CEE" w:rsidP="00536CEE">
            <w:pPr>
              <w:keepNext/>
              <w:keepLines/>
              <w:widowControl/>
              <w:spacing w:before="54" w:after="54"/>
              <w:ind w:left="113"/>
              <w:jc w:val="both"/>
              <w:rPr>
                <w:sz w:val="18"/>
                <w:szCs w:val="18"/>
                <w:lang w:eastAsia="da-DK"/>
              </w:rPr>
            </w:pPr>
          </w:p>
          <w:p w14:paraId="115C5BAA" w14:textId="5FC5886C" w:rsidR="00B12C39" w:rsidRPr="00B8044B" w:rsidRDefault="00536CEE" w:rsidP="00536CEE">
            <w:pPr>
              <w:keepNext/>
              <w:keepLines/>
              <w:widowControl/>
              <w:spacing w:before="54" w:after="54"/>
              <w:ind w:left="113"/>
              <w:jc w:val="both"/>
              <w:rPr>
                <w:sz w:val="18"/>
                <w:szCs w:val="18"/>
                <w:lang w:eastAsia="da-DK"/>
              </w:rPr>
            </w:pPr>
            <w:proofErr w:type="spellStart"/>
            <w:r w:rsidRPr="00B8044B">
              <w:rPr>
                <w:sz w:val="18"/>
                <w:szCs w:val="18"/>
                <w:lang w:eastAsia="da-DK"/>
              </w:rPr>
              <w:t>Dgr</w:t>
            </w:r>
            <w:proofErr w:type="spellEnd"/>
          </w:p>
        </w:tc>
        <w:tc>
          <w:tcPr>
            <w:tcW w:w="993" w:type="dxa"/>
            <w:tcBorders>
              <w:top w:val="single" w:sz="2" w:space="0" w:color="auto"/>
              <w:left w:val="single" w:sz="2" w:space="0" w:color="auto"/>
              <w:bottom w:val="single" w:sz="2" w:space="0" w:color="auto"/>
              <w:right w:val="single" w:sz="2" w:space="0" w:color="auto"/>
            </w:tcBorders>
          </w:tcPr>
          <w:p w14:paraId="7B302653" w14:textId="77777777" w:rsidR="00B12C39" w:rsidRPr="00B8044B" w:rsidRDefault="00467EF2" w:rsidP="00B12C39">
            <w:pPr>
              <w:keepNext/>
              <w:keepLines/>
              <w:widowControl/>
              <w:spacing w:before="54" w:after="54"/>
              <w:ind w:left="113"/>
              <w:jc w:val="both"/>
              <w:rPr>
                <w:sz w:val="18"/>
                <w:szCs w:val="18"/>
                <w:lang w:eastAsia="da-DK"/>
              </w:rPr>
            </w:pPr>
            <w:r w:rsidRPr="00B8044B">
              <w:rPr>
                <w:sz w:val="18"/>
                <w:szCs w:val="18"/>
                <w:lang w:eastAsia="da-DK"/>
              </w:rPr>
              <w:t>H350</w:t>
            </w:r>
          </w:p>
          <w:p w14:paraId="013B4567" w14:textId="77777777" w:rsidR="00467EF2" w:rsidRPr="00B8044B" w:rsidRDefault="00467EF2" w:rsidP="00B12C39">
            <w:pPr>
              <w:keepNext/>
              <w:keepLines/>
              <w:widowControl/>
              <w:spacing w:before="54" w:after="54"/>
              <w:ind w:left="113"/>
              <w:jc w:val="both"/>
              <w:rPr>
                <w:sz w:val="18"/>
                <w:szCs w:val="18"/>
                <w:lang w:eastAsia="da-DK"/>
              </w:rPr>
            </w:pPr>
          </w:p>
          <w:p w14:paraId="552472EB" w14:textId="757514CA" w:rsidR="00467EF2" w:rsidRPr="00B8044B" w:rsidRDefault="00536CEE" w:rsidP="00B12C39">
            <w:pPr>
              <w:keepNext/>
              <w:keepLines/>
              <w:widowControl/>
              <w:spacing w:before="54" w:after="54"/>
              <w:ind w:left="113"/>
              <w:jc w:val="both"/>
              <w:rPr>
                <w:sz w:val="18"/>
                <w:szCs w:val="18"/>
                <w:lang w:eastAsia="da-DK"/>
              </w:rPr>
            </w:pPr>
            <w:r w:rsidRPr="00B8044B">
              <w:rPr>
                <w:sz w:val="18"/>
                <w:szCs w:val="18"/>
                <w:lang w:eastAsia="da-DK"/>
              </w:rPr>
              <w:t>H410</w:t>
            </w:r>
          </w:p>
          <w:p w14:paraId="115C5BAB" w14:textId="27AB8025" w:rsidR="00467EF2" w:rsidRPr="00B8044B" w:rsidRDefault="00467EF2" w:rsidP="00B12C39">
            <w:pPr>
              <w:keepNext/>
              <w:keepLines/>
              <w:widowControl/>
              <w:spacing w:before="54" w:after="54"/>
              <w:ind w:left="113"/>
              <w:jc w:val="both"/>
              <w:rPr>
                <w:sz w:val="18"/>
                <w:szCs w:val="18"/>
                <w:lang w:eastAsia="da-DK"/>
              </w:rPr>
            </w:pPr>
          </w:p>
        </w:tc>
        <w:tc>
          <w:tcPr>
            <w:tcW w:w="1101" w:type="dxa"/>
            <w:tcBorders>
              <w:top w:val="single" w:sz="2" w:space="0" w:color="auto"/>
              <w:left w:val="single" w:sz="2" w:space="0" w:color="auto"/>
              <w:bottom w:val="single" w:sz="2" w:space="0" w:color="auto"/>
              <w:right w:val="single" w:sz="2" w:space="0" w:color="auto"/>
            </w:tcBorders>
          </w:tcPr>
          <w:p w14:paraId="115C5BAC" w14:textId="5D5D0BDF" w:rsidR="00467EF2" w:rsidRPr="00B8044B" w:rsidRDefault="00467EF2" w:rsidP="00B12C39">
            <w:pPr>
              <w:keepNext/>
              <w:keepLines/>
              <w:widowControl/>
              <w:spacing w:before="54" w:after="54"/>
              <w:ind w:left="113"/>
              <w:jc w:val="both"/>
              <w:rPr>
                <w:sz w:val="18"/>
                <w:szCs w:val="18"/>
                <w:lang w:eastAsia="da-DK"/>
              </w:rPr>
            </w:pPr>
          </w:p>
        </w:tc>
        <w:tc>
          <w:tcPr>
            <w:tcW w:w="774" w:type="dxa"/>
            <w:tcBorders>
              <w:top w:val="single" w:sz="2" w:space="0" w:color="auto"/>
              <w:left w:val="single" w:sz="2" w:space="0" w:color="auto"/>
              <w:bottom w:val="single" w:sz="2" w:space="0" w:color="auto"/>
              <w:right w:val="single" w:sz="2" w:space="0" w:color="auto"/>
            </w:tcBorders>
          </w:tcPr>
          <w:p w14:paraId="115C5BAD" w14:textId="06A0C8E1" w:rsidR="00B12C39" w:rsidRPr="00B8044B" w:rsidRDefault="00467EF2" w:rsidP="00B12C39">
            <w:pPr>
              <w:keepNext/>
              <w:keepLines/>
              <w:widowControl/>
              <w:spacing w:before="54" w:after="54"/>
              <w:ind w:left="113"/>
              <w:jc w:val="both"/>
              <w:rPr>
                <w:sz w:val="18"/>
                <w:szCs w:val="18"/>
                <w:lang w:eastAsia="da-DK"/>
              </w:rPr>
            </w:pPr>
            <w:r w:rsidRPr="00B8044B">
              <w:rPr>
                <w:sz w:val="18"/>
                <w:szCs w:val="18"/>
                <w:lang w:eastAsia="da-DK"/>
              </w:rPr>
              <w:t>M=100</w:t>
            </w:r>
          </w:p>
        </w:tc>
        <w:tc>
          <w:tcPr>
            <w:tcW w:w="643" w:type="dxa"/>
            <w:tcBorders>
              <w:top w:val="single" w:sz="2" w:space="0" w:color="auto"/>
              <w:left w:val="single" w:sz="2" w:space="0" w:color="auto"/>
              <w:bottom w:val="single" w:sz="2" w:space="0" w:color="auto"/>
              <w:right w:val="single" w:sz="2" w:space="0" w:color="auto"/>
            </w:tcBorders>
          </w:tcPr>
          <w:p w14:paraId="115C5BAE" w14:textId="77777777" w:rsidR="00B12C39" w:rsidRPr="00A05A55" w:rsidRDefault="00B12C39" w:rsidP="00B12C39">
            <w:pPr>
              <w:keepNext/>
              <w:keepLines/>
              <w:widowControl/>
              <w:spacing w:before="54" w:after="54"/>
              <w:ind w:left="113"/>
              <w:jc w:val="both"/>
              <w:rPr>
                <w:sz w:val="16"/>
                <w:szCs w:val="16"/>
                <w:lang w:eastAsia="da-DK"/>
              </w:rPr>
            </w:pPr>
          </w:p>
        </w:tc>
      </w:tr>
    </w:tbl>
    <w:p w14:paraId="115C5BB0" w14:textId="6BCAA003" w:rsidR="00B12C39" w:rsidRPr="00A05A55" w:rsidRDefault="00B12C39" w:rsidP="00B12C39">
      <w:pPr>
        <w:widowControl/>
        <w:spacing w:after="180"/>
        <w:jc w:val="both"/>
        <w:rPr>
          <w:rFonts w:eastAsia="SimSun"/>
          <w:szCs w:val="24"/>
          <w:lang w:eastAsia="zh-CN"/>
        </w:rPr>
      </w:pPr>
    </w:p>
    <w:bookmarkEnd w:id="159"/>
    <w:bookmarkEnd w:id="160"/>
    <w:bookmarkEnd w:id="161"/>
    <w:p w14:paraId="115C5BB1" w14:textId="77777777" w:rsidR="00B12C39" w:rsidRDefault="00B12C39" w:rsidP="00B12C39">
      <w:pPr>
        <w:widowControl/>
        <w:autoSpaceDE w:val="0"/>
        <w:autoSpaceDN w:val="0"/>
        <w:adjustRightInd w:val="0"/>
        <w:rPr>
          <w:rFonts w:cs="Verdana"/>
          <w:sz w:val="19"/>
          <w:szCs w:val="19"/>
          <w:lang w:eastAsia="en-GB"/>
        </w:rPr>
      </w:pPr>
    </w:p>
    <w:p w14:paraId="115C5BB2" w14:textId="77777777" w:rsidR="00B12C39" w:rsidRPr="00096A9A" w:rsidRDefault="00B12C39" w:rsidP="00B12C39">
      <w:pPr>
        <w:pStyle w:val="Heading1"/>
      </w:pPr>
      <w:r>
        <w:br w:type="page"/>
      </w:r>
      <w:bookmarkStart w:id="169" w:name="_Toc341888508"/>
      <w:bookmarkStart w:id="170" w:name="_Toc342400362"/>
      <w:bookmarkStart w:id="171" w:name="_Toc354499573"/>
      <w:bookmarkStart w:id="172" w:name="_Toc357083648"/>
      <w:bookmarkStart w:id="173" w:name="_Toc357184197"/>
      <w:bookmarkStart w:id="174" w:name="_Toc357184433"/>
      <w:bookmarkStart w:id="175" w:name="_Toc357185235"/>
      <w:bookmarkStart w:id="176" w:name="_Toc357186083"/>
      <w:bookmarkStart w:id="177" w:name="_Toc357186232"/>
      <w:bookmarkStart w:id="178" w:name="_Toc357437518"/>
      <w:bookmarkStart w:id="179" w:name="_Toc357590791"/>
      <w:bookmarkStart w:id="180" w:name="_Toc357692823"/>
      <w:bookmarkStart w:id="181" w:name="_Toc365649650"/>
      <w:bookmarkStart w:id="182" w:name="_Toc365649799"/>
      <w:bookmarkStart w:id="183" w:name="_Toc366489851"/>
      <w:bookmarkStart w:id="184" w:name="_Toc418498556"/>
      <w:bookmarkStart w:id="185" w:name="_Toc418505999"/>
      <w:bookmarkStart w:id="186" w:name="_Toc491810730"/>
      <w:r w:rsidRPr="00096A9A">
        <w:lastRenderedPageBreak/>
        <w:t>Environmental fate properties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5A07306" w14:textId="77777777" w:rsidR="00C71F2F" w:rsidRPr="00803871" w:rsidRDefault="00C71F2F" w:rsidP="00C71F2F">
      <w:pPr>
        <w:pStyle w:val="Heading2"/>
        <w:keepNext w:val="0"/>
      </w:pPr>
      <w:bookmarkStart w:id="187" w:name="_Toc437012579"/>
      <w:bookmarkStart w:id="188" w:name="_Toc491810731"/>
      <w:r>
        <w:t xml:space="preserve">3.1 </w:t>
      </w:r>
      <w:r w:rsidRPr="00DC47F5">
        <w:t>Degradation</w:t>
      </w:r>
      <w:bookmarkEnd w:id="187"/>
      <w:bookmarkEnd w:id="188"/>
      <w:r w:rsidRPr="00803871">
        <w:t xml:space="preserve"> </w:t>
      </w:r>
    </w:p>
    <w:p w14:paraId="65ECF6C1" w14:textId="559D4BF1" w:rsidR="004F4368" w:rsidRDefault="004F4368" w:rsidP="00803AED">
      <w:pPr>
        <w:pStyle w:val="CommentText"/>
        <w:jc w:val="both"/>
      </w:pPr>
      <w:r>
        <w:t xml:space="preserve">The data provided on degradation of </w:t>
      </w:r>
      <w:proofErr w:type="spellStart"/>
      <w:r>
        <w:t>BaA</w:t>
      </w:r>
      <w:proofErr w:type="spellEnd"/>
      <w:r>
        <w:t xml:space="preserve"> in the Support Document for identification of CTPHT as SVHC (ECHA, 2009) are not assessed or discussed again in this dossier but included for convenience (flagged by </w:t>
      </w:r>
      <w:r w:rsidRPr="0098451D">
        <w:rPr>
          <w:i/>
        </w:rPr>
        <w:t>italic print</w:t>
      </w:r>
      <w:r>
        <w:t xml:space="preserve">). </w:t>
      </w:r>
      <w:r w:rsidR="00803AED" w:rsidRPr="007E2A19">
        <w:rPr>
          <w:lang w:val="en-US"/>
        </w:rPr>
        <w:t>Additional information available in the EU risk assessment report on CTPHT (</w:t>
      </w:r>
      <w:r w:rsidR="00D32798">
        <w:t>EC</w:t>
      </w:r>
      <w:r w:rsidR="00803AED" w:rsidRPr="007E2A19">
        <w:rPr>
          <w:lang w:val="en-US"/>
        </w:rPr>
        <w:t>, 2008)</w:t>
      </w:r>
      <w:r w:rsidR="00E63A04" w:rsidRPr="007E2A19">
        <w:rPr>
          <w:lang w:val="en-US"/>
        </w:rPr>
        <w:t xml:space="preserve"> and the Annex XV Transitional Dossier </w:t>
      </w:r>
      <w:r w:rsidR="007620DE" w:rsidRPr="007E2A19">
        <w:rPr>
          <w:lang w:val="en-US"/>
        </w:rPr>
        <w:t>for CTPHT (The Netherlands, 2008)</w:t>
      </w:r>
      <w:r w:rsidR="00803AED" w:rsidRPr="007E2A19">
        <w:rPr>
          <w:lang w:val="en-US"/>
        </w:rPr>
        <w:t xml:space="preserve"> but not discussed in the support </w:t>
      </w:r>
      <w:r w:rsidR="00E63A04" w:rsidRPr="007E2A19">
        <w:rPr>
          <w:lang w:val="en-US"/>
        </w:rPr>
        <w:t>document</w:t>
      </w:r>
      <w:r w:rsidR="00803AED" w:rsidRPr="007E2A19">
        <w:rPr>
          <w:lang w:val="en-US"/>
        </w:rPr>
        <w:t xml:space="preserve"> was included.</w:t>
      </w:r>
    </w:p>
    <w:p w14:paraId="115C5BC3" w14:textId="77777777" w:rsidR="00B12C39" w:rsidRPr="00256AC2" w:rsidRDefault="00B12C39" w:rsidP="00B12C39">
      <w:pPr>
        <w:pStyle w:val="BodyText"/>
        <w:jc w:val="both"/>
      </w:pPr>
    </w:p>
    <w:p w14:paraId="115C5BC4" w14:textId="77777777" w:rsidR="00B12C39" w:rsidRPr="00096A9A" w:rsidRDefault="00852117" w:rsidP="00852117">
      <w:pPr>
        <w:pStyle w:val="Heading3"/>
        <w:tabs>
          <w:tab w:val="clear" w:pos="360"/>
          <w:tab w:val="num" w:pos="0"/>
        </w:tabs>
      </w:pPr>
      <w:bookmarkStart w:id="189" w:name="_Toc341888510"/>
      <w:bookmarkStart w:id="190" w:name="_Toc342400364"/>
      <w:bookmarkStart w:id="191" w:name="_Toc354499575"/>
      <w:bookmarkStart w:id="192" w:name="_Toc357083650"/>
      <w:bookmarkStart w:id="193" w:name="_Toc357184199"/>
      <w:bookmarkStart w:id="194" w:name="_Toc357184435"/>
      <w:bookmarkStart w:id="195" w:name="_Toc357185237"/>
      <w:bookmarkStart w:id="196" w:name="_Toc357186085"/>
      <w:bookmarkStart w:id="197" w:name="_Toc357186234"/>
      <w:bookmarkStart w:id="198" w:name="_Toc357437520"/>
      <w:bookmarkStart w:id="199" w:name="_Toc357590793"/>
      <w:bookmarkStart w:id="200" w:name="_Toc357692825"/>
      <w:bookmarkStart w:id="201" w:name="_Toc365649652"/>
      <w:bookmarkStart w:id="202" w:name="_Toc365649801"/>
      <w:bookmarkStart w:id="203" w:name="_Toc366489853"/>
      <w:bookmarkStart w:id="204" w:name="_Toc418498558"/>
      <w:bookmarkStart w:id="205" w:name="_Toc418506001"/>
      <w:bookmarkStart w:id="206" w:name="_Toc491810732"/>
      <w:r w:rsidRPr="00096A9A">
        <w:t xml:space="preserve">3.1.1 </w:t>
      </w:r>
      <w:r w:rsidR="00B12C39" w:rsidRPr="00096A9A">
        <w:t>Abiotic degradation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15C5BC5" w14:textId="77777777" w:rsidR="00B12C39" w:rsidRDefault="00852117" w:rsidP="00264345">
      <w:pPr>
        <w:pStyle w:val="Heading4"/>
        <w:tabs>
          <w:tab w:val="num" w:pos="284"/>
        </w:tabs>
      </w:pPr>
      <w:bookmarkStart w:id="207" w:name="_Toc341888511"/>
      <w:bookmarkStart w:id="208" w:name="_Toc342400365"/>
      <w:r w:rsidRPr="00096A9A">
        <w:t xml:space="preserve">3.1.1.2 </w:t>
      </w:r>
      <w:r w:rsidR="00B12C39" w:rsidRPr="00096A9A">
        <w:t>Hydrolysis</w:t>
      </w:r>
      <w:bookmarkEnd w:id="207"/>
      <w:bookmarkEnd w:id="208"/>
    </w:p>
    <w:p w14:paraId="7B6E75C4" w14:textId="77777777" w:rsidR="004F4368" w:rsidRDefault="004F4368" w:rsidP="004F4368">
      <w:pPr>
        <w:widowControl/>
        <w:autoSpaceDE w:val="0"/>
        <w:autoSpaceDN w:val="0"/>
        <w:adjustRightInd w:val="0"/>
        <w:jc w:val="both"/>
        <w:rPr>
          <w:i/>
          <w:lang w:eastAsia="de-DE"/>
        </w:rPr>
      </w:pPr>
      <w:r w:rsidRPr="00A12C6E">
        <w:t xml:space="preserve">As </w:t>
      </w:r>
      <w:r>
        <w:t>assessed</w:t>
      </w:r>
      <w:r w:rsidRPr="00A12C6E">
        <w:t xml:space="preserve"> before in the Support Document for identification of </w:t>
      </w:r>
      <w:r>
        <w:t>CTPHT</w:t>
      </w:r>
      <w:r w:rsidRPr="00A12C6E">
        <w:t xml:space="preserve"> as </w:t>
      </w:r>
      <w:r>
        <w:t>SVHC</w:t>
      </w:r>
      <w:r w:rsidRPr="00A12C6E">
        <w:t xml:space="preserve"> (ECHA</w:t>
      </w:r>
      <w:r>
        <w:t>,</w:t>
      </w:r>
      <w:r w:rsidRPr="00A12C6E">
        <w:t xml:space="preserve"> 2009)</w:t>
      </w:r>
      <w:r>
        <w:t xml:space="preserve">, </w:t>
      </w:r>
      <w:r w:rsidRPr="0038482C">
        <w:rPr>
          <w:i/>
        </w:rPr>
        <w:t>PAHs are hydrolytically stable in aqueous systems</w:t>
      </w:r>
      <w:r w:rsidRPr="00A12C6E">
        <w:t xml:space="preserve">. </w:t>
      </w:r>
      <w:r>
        <w:t>The Support Document</w:t>
      </w:r>
      <w:r w:rsidRPr="00A12C6E">
        <w:t xml:space="preserve"> furthermore states as a result</w:t>
      </w:r>
      <w:r>
        <w:t xml:space="preserve"> </w:t>
      </w:r>
      <w:r w:rsidRPr="00A12C6E">
        <w:t xml:space="preserve">that </w:t>
      </w:r>
      <w:r w:rsidRPr="0038482C">
        <w:rPr>
          <w:i/>
        </w:rPr>
        <w:t>hydrolysis does not contribute to the degradation of PAHs under environmental conditions</w:t>
      </w:r>
      <w:r>
        <w:rPr>
          <w:i/>
          <w:lang w:eastAsia="de-DE"/>
        </w:rPr>
        <w:t>.</w:t>
      </w:r>
    </w:p>
    <w:p w14:paraId="6573E84A" w14:textId="77777777" w:rsidR="00DC25AF" w:rsidRDefault="00DC25AF" w:rsidP="004F4368">
      <w:pPr>
        <w:widowControl/>
        <w:autoSpaceDE w:val="0"/>
        <w:autoSpaceDN w:val="0"/>
        <w:adjustRightInd w:val="0"/>
        <w:jc w:val="both"/>
        <w:rPr>
          <w:i/>
          <w:lang w:eastAsia="de-DE"/>
        </w:rPr>
      </w:pPr>
    </w:p>
    <w:p w14:paraId="2AA3489C" w14:textId="2AC28882" w:rsidR="00DC25AF" w:rsidRPr="00A12C6E" w:rsidRDefault="00DC25AF" w:rsidP="004F4368">
      <w:pPr>
        <w:widowControl/>
        <w:autoSpaceDE w:val="0"/>
        <w:autoSpaceDN w:val="0"/>
        <w:adjustRightInd w:val="0"/>
        <w:jc w:val="both"/>
      </w:pPr>
      <w:r w:rsidRPr="00A12C6E">
        <w:t xml:space="preserve">Thus, it is concluded that </w:t>
      </w:r>
      <w:proofErr w:type="spellStart"/>
      <w:r w:rsidR="00D771B4">
        <w:t>BaA</w:t>
      </w:r>
      <w:proofErr w:type="spellEnd"/>
      <w:r w:rsidRPr="00A12C6E">
        <w:t xml:space="preserve"> is hydrolytically stable.</w:t>
      </w:r>
    </w:p>
    <w:p w14:paraId="5E6FA088" w14:textId="77777777" w:rsidR="004F4368" w:rsidRPr="0090336D" w:rsidRDefault="004F4368" w:rsidP="00D10FD9">
      <w:pPr>
        <w:pStyle w:val="BodyText"/>
      </w:pPr>
    </w:p>
    <w:p w14:paraId="115C5BC6" w14:textId="77777777" w:rsidR="00B12C39" w:rsidRDefault="00852117" w:rsidP="00264345">
      <w:pPr>
        <w:pStyle w:val="Heading4"/>
        <w:tabs>
          <w:tab w:val="num" w:pos="284"/>
        </w:tabs>
      </w:pPr>
      <w:r w:rsidRPr="00096A9A">
        <w:t xml:space="preserve">3.1.1.3 </w:t>
      </w:r>
      <w:r w:rsidR="00B12C39" w:rsidRPr="00096A9A">
        <w:t>Oxidation</w:t>
      </w:r>
    </w:p>
    <w:p w14:paraId="4BAC6A2E" w14:textId="627FEBB2" w:rsidR="00F95ABD" w:rsidRPr="00A12C6E" w:rsidRDefault="00F95ABD" w:rsidP="00F95ABD">
      <w:pPr>
        <w:widowControl/>
        <w:autoSpaceDE w:val="0"/>
        <w:autoSpaceDN w:val="0"/>
        <w:adjustRightInd w:val="0"/>
        <w:jc w:val="both"/>
      </w:pPr>
      <w:r>
        <w:t xml:space="preserve">The oxidation of </w:t>
      </w:r>
      <w:r w:rsidR="005D3576">
        <w:t xml:space="preserve">PAHs </w:t>
      </w:r>
      <w:r>
        <w:t xml:space="preserve">was summarized and discussed in the </w:t>
      </w:r>
      <w:r w:rsidRPr="00A12C6E">
        <w:t xml:space="preserve">Support Document for identification of </w:t>
      </w:r>
      <w:r>
        <w:t>CTPHT</w:t>
      </w:r>
      <w:r w:rsidRPr="00A12C6E">
        <w:t xml:space="preserve"> as </w:t>
      </w:r>
      <w:r>
        <w:t>SVHC</w:t>
      </w:r>
      <w:r w:rsidRPr="00A12C6E">
        <w:t xml:space="preserve"> (ECHA</w:t>
      </w:r>
      <w:r>
        <w:t>,</w:t>
      </w:r>
      <w:r w:rsidRPr="00A12C6E">
        <w:t xml:space="preserve"> 2009)</w:t>
      </w:r>
      <w:r>
        <w:t xml:space="preserve"> as follows</w:t>
      </w:r>
      <w:r w:rsidRPr="00A12C6E">
        <w:t>:</w:t>
      </w:r>
    </w:p>
    <w:p w14:paraId="30723CF4" w14:textId="77777777" w:rsidR="00F95ABD" w:rsidRPr="00A12C6E" w:rsidRDefault="00F95ABD" w:rsidP="00F95ABD">
      <w:pPr>
        <w:widowControl/>
        <w:autoSpaceDE w:val="0"/>
        <w:autoSpaceDN w:val="0"/>
        <w:adjustRightInd w:val="0"/>
        <w:jc w:val="both"/>
        <w:rPr>
          <w:rFonts w:ascii="Times New Roman" w:hAnsi="Times New Roman"/>
          <w:i/>
          <w:sz w:val="23"/>
          <w:szCs w:val="23"/>
          <w:lang w:eastAsia="de-DE"/>
        </w:rPr>
      </w:pPr>
    </w:p>
    <w:p w14:paraId="7871E138" w14:textId="464CD057" w:rsidR="00DE439F" w:rsidRPr="00D10FD9" w:rsidRDefault="00F95ABD" w:rsidP="00D10FD9">
      <w:pPr>
        <w:pStyle w:val="BodyText"/>
        <w:rPr>
          <w:i/>
        </w:rPr>
      </w:pPr>
      <w:r w:rsidRPr="00D10FD9">
        <w:rPr>
          <w:i/>
        </w:rPr>
        <w:t>In the atmosphere, the PAHs are either gas phase or particle-associated. It has been shown that the</w:t>
      </w:r>
      <w:r w:rsidR="0088780E">
        <w:rPr>
          <w:i/>
        </w:rPr>
        <w:t xml:space="preserve"> </w:t>
      </w:r>
      <w:r w:rsidRPr="00D10FD9">
        <w:rPr>
          <w:i/>
        </w:rPr>
        <w:t>2-4 ring PAHs with vapour pressure higher than or equal to 10</w:t>
      </w:r>
      <w:r w:rsidRPr="000505F6">
        <w:rPr>
          <w:i/>
          <w:vertAlign w:val="superscript"/>
        </w:rPr>
        <w:t>-4</w:t>
      </w:r>
      <w:r w:rsidRPr="00D10FD9">
        <w:rPr>
          <w:i/>
        </w:rPr>
        <w:t xml:space="preserve"> Pa are mostly gas phase-related and PAHs of 4 rings or more with vapour pressure below 10</w:t>
      </w:r>
      <w:r w:rsidRPr="000505F6">
        <w:rPr>
          <w:i/>
          <w:vertAlign w:val="superscript"/>
        </w:rPr>
        <w:t>-4</w:t>
      </w:r>
      <w:r w:rsidRPr="00D10FD9">
        <w:rPr>
          <w:i/>
        </w:rPr>
        <w:t xml:space="preserve"> Pa are particle-associated. In the gas phase PAHs are oxidized by atmospheric hydroxyl (OH) and nitrate radicals and ozone, whereas the particle-associated PAHs are expected to be degraded by direct photolysis and by reaction with ozone (The Netherlands, 2008).</w:t>
      </w:r>
    </w:p>
    <w:p w14:paraId="31C48D74" w14:textId="77B1B8BD" w:rsidR="00F95ABD" w:rsidRDefault="00F95ABD" w:rsidP="00F97B18">
      <w:pPr>
        <w:jc w:val="both"/>
      </w:pPr>
      <w:bookmarkStart w:id="209" w:name="_Toc341888512"/>
      <w:bookmarkStart w:id="210" w:name="_Toc342400366"/>
      <w:proofErr w:type="spellStart"/>
      <w:r w:rsidRPr="00D10FD9">
        <w:t>BaA</w:t>
      </w:r>
      <w:proofErr w:type="spellEnd"/>
      <w:r w:rsidRPr="00D10FD9">
        <w:t xml:space="preserve"> has 4 aromatic rings and a reported vapour </w:t>
      </w:r>
      <w:r w:rsidR="00B00FC2">
        <w:t>pres</w:t>
      </w:r>
      <w:r w:rsidRPr="00D10FD9">
        <w:t>sure below 10</w:t>
      </w:r>
      <w:r w:rsidRPr="00D10FD9">
        <w:rPr>
          <w:vertAlign w:val="superscript"/>
        </w:rPr>
        <w:t>-4</w:t>
      </w:r>
      <w:r w:rsidRPr="00D10FD9">
        <w:t xml:space="preserve"> Pa</w:t>
      </w:r>
      <w:r w:rsidR="00B358A4" w:rsidRPr="00D10FD9">
        <w:t xml:space="preserve">. Therefore it is assumed that </w:t>
      </w:r>
      <w:proofErr w:type="spellStart"/>
      <w:r w:rsidR="00B358A4" w:rsidRPr="00D10FD9">
        <w:t>BaA</w:t>
      </w:r>
      <w:proofErr w:type="spellEnd"/>
      <w:r w:rsidR="00B358A4" w:rsidRPr="00D10FD9">
        <w:t xml:space="preserve"> is mainly particle associated and is degraded by photolysis instead of oxidization. </w:t>
      </w:r>
    </w:p>
    <w:p w14:paraId="4FB93E02" w14:textId="77777777" w:rsidR="00873BA1" w:rsidRPr="00D10FD9" w:rsidRDefault="00873BA1" w:rsidP="00D10FD9"/>
    <w:p w14:paraId="115C5BC7" w14:textId="7C64D6CA" w:rsidR="00B12C39" w:rsidRDefault="00852117" w:rsidP="00264345">
      <w:pPr>
        <w:pStyle w:val="Heading4"/>
        <w:tabs>
          <w:tab w:val="num" w:pos="284"/>
        </w:tabs>
      </w:pPr>
      <w:r w:rsidRPr="00096A9A">
        <w:t xml:space="preserve">3.1.1.3 </w:t>
      </w:r>
      <w:proofErr w:type="spellStart"/>
      <w:r w:rsidR="00B12C39" w:rsidRPr="00096A9A">
        <w:t>Phototransformation</w:t>
      </w:r>
      <w:proofErr w:type="spellEnd"/>
      <w:r w:rsidR="00B12C39" w:rsidRPr="00096A9A">
        <w:t>/photolysis</w:t>
      </w:r>
      <w:bookmarkEnd w:id="209"/>
      <w:bookmarkEnd w:id="210"/>
    </w:p>
    <w:p w14:paraId="115C5BC8" w14:textId="77777777" w:rsidR="00B12C39" w:rsidRPr="007240CE" w:rsidRDefault="00852117" w:rsidP="00264345">
      <w:pPr>
        <w:pStyle w:val="Heading5"/>
        <w:tabs>
          <w:tab w:val="num" w:pos="284"/>
        </w:tabs>
        <w:rPr>
          <w:sz w:val="22"/>
          <w:szCs w:val="22"/>
        </w:rPr>
      </w:pPr>
      <w:bookmarkStart w:id="211" w:name="_Toc341888513"/>
      <w:bookmarkStart w:id="212" w:name="_Toc342400367"/>
      <w:r w:rsidRPr="007240CE">
        <w:rPr>
          <w:sz w:val="22"/>
          <w:szCs w:val="22"/>
        </w:rPr>
        <w:t xml:space="preserve">3.1.1.3.1 </w:t>
      </w:r>
      <w:proofErr w:type="spellStart"/>
      <w:r w:rsidR="00B12C39" w:rsidRPr="007240CE">
        <w:rPr>
          <w:sz w:val="22"/>
          <w:szCs w:val="22"/>
        </w:rPr>
        <w:t>Phototransformation</w:t>
      </w:r>
      <w:proofErr w:type="spellEnd"/>
      <w:r w:rsidR="00B12C39" w:rsidRPr="007240CE">
        <w:rPr>
          <w:sz w:val="22"/>
          <w:szCs w:val="22"/>
        </w:rPr>
        <w:t xml:space="preserve"> in air</w:t>
      </w:r>
      <w:bookmarkEnd w:id="211"/>
      <w:bookmarkEnd w:id="212"/>
    </w:p>
    <w:p w14:paraId="3394F9DE" w14:textId="7A273599" w:rsidR="00FF20CF" w:rsidRDefault="00FF20CF" w:rsidP="00D10FD9">
      <w:pPr>
        <w:pStyle w:val="BodyText"/>
      </w:pPr>
      <w:r>
        <w:t>Photolysis of PAH</w:t>
      </w:r>
      <w:r w:rsidR="005F6B11">
        <w:t>s</w:t>
      </w:r>
      <w:r>
        <w:t xml:space="preserve"> at the atmosphere was assessed </w:t>
      </w:r>
      <w:r w:rsidR="001F0302">
        <w:t>in the EU risk assessment report (</w:t>
      </w:r>
      <w:r w:rsidR="002B6B27">
        <w:t xml:space="preserve">EC, </w:t>
      </w:r>
      <w:r w:rsidR="001F0302">
        <w:t>2008) as following:</w:t>
      </w:r>
    </w:p>
    <w:p w14:paraId="65313DF5" w14:textId="77777777" w:rsidR="00F97B18" w:rsidRDefault="001F0302" w:rsidP="00D10FD9">
      <w:pPr>
        <w:pStyle w:val="BodyText"/>
        <w:rPr>
          <w:i/>
        </w:rPr>
      </w:pPr>
      <w:r w:rsidRPr="00D10FD9">
        <w:rPr>
          <w:i/>
        </w:rPr>
        <w:t>Photolysis in the troposphere results in the formation of reactive hydroxyl and nitrate (NO</w:t>
      </w:r>
      <w:r w:rsidRPr="00D10FD9">
        <w:rPr>
          <w:i/>
          <w:vertAlign w:val="subscript"/>
        </w:rPr>
        <w:t>3</w:t>
      </w:r>
      <w:r w:rsidRPr="00D10FD9">
        <w:rPr>
          <w:i/>
        </w:rPr>
        <w:t>) radicals and ozone (O</w:t>
      </w:r>
      <w:r w:rsidRPr="00D10FD9">
        <w:rPr>
          <w:i/>
          <w:vertAlign w:val="subscript"/>
        </w:rPr>
        <w:t>3</w:t>
      </w:r>
      <w:r w:rsidRPr="00D10FD9">
        <w:rPr>
          <w:i/>
        </w:rPr>
        <w:t>), which reacts as oxidizing agent with organic compounds, like PAHs.</w:t>
      </w:r>
      <w:r w:rsidR="00F55E9F">
        <w:rPr>
          <w:i/>
        </w:rPr>
        <w:t xml:space="preserve"> </w:t>
      </w:r>
      <w:r w:rsidRPr="00D10FD9">
        <w:rPr>
          <w:i/>
        </w:rPr>
        <w:t>These radical and ozone reactions comprise mainly degrada</w:t>
      </w:r>
      <w:r w:rsidR="004F5AE1">
        <w:rPr>
          <w:i/>
        </w:rPr>
        <w:t xml:space="preserve">tion of gas-phase PAHs (Calvert </w:t>
      </w:r>
      <w:r w:rsidRPr="00D10FD9">
        <w:rPr>
          <w:i/>
        </w:rPr>
        <w:t>et al., 2002). Particle-associated PAHs are expected to degrade in air predominantly via direct</w:t>
      </w:r>
      <w:r w:rsidR="00F55E9F">
        <w:rPr>
          <w:i/>
        </w:rPr>
        <w:t xml:space="preserve"> </w:t>
      </w:r>
      <w:r w:rsidRPr="00D10FD9">
        <w:rPr>
          <w:i/>
        </w:rPr>
        <w:t>photolysis by light with a wavelength &lt; 290 nm (</w:t>
      </w:r>
      <w:proofErr w:type="spellStart"/>
      <w:r w:rsidRPr="00D10FD9">
        <w:rPr>
          <w:i/>
        </w:rPr>
        <w:t>Kamens</w:t>
      </w:r>
      <w:proofErr w:type="spellEnd"/>
      <w:r w:rsidRPr="00D10FD9">
        <w:rPr>
          <w:i/>
        </w:rPr>
        <w:t xml:space="preserve"> et al., 1988), although reaction with</w:t>
      </w:r>
      <w:r w:rsidR="00F55E9F">
        <w:rPr>
          <w:i/>
        </w:rPr>
        <w:t xml:space="preserve"> </w:t>
      </w:r>
      <w:r w:rsidRPr="00D10FD9">
        <w:rPr>
          <w:i/>
        </w:rPr>
        <w:t xml:space="preserve">ozone will also occur (Peters and Seifert, 1980; </w:t>
      </w:r>
      <w:proofErr w:type="spellStart"/>
      <w:r w:rsidRPr="00D10FD9">
        <w:rPr>
          <w:i/>
        </w:rPr>
        <w:t>Grosjean</w:t>
      </w:r>
      <w:proofErr w:type="spellEnd"/>
      <w:r w:rsidRPr="00D10FD9">
        <w:rPr>
          <w:i/>
        </w:rPr>
        <w:t xml:space="preserve"> et al., 1983; Pitts et al., 1986;Coutant et al., 1988).</w:t>
      </w:r>
      <w:r>
        <w:rPr>
          <w:i/>
        </w:rPr>
        <w:t xml:space="preserve"> </w:t>
      </w:r>
    </w:p>
    <w:p w14:paraId="2D5F2A2B" w14:textId="77777777" w:rsidR="00F97B18" w:rsidRDefault="008E52EF" w:rsidP="00F97B18">
      <w:pPr>
        <w:pStyle w:val="BodyText"/>
        <w:jc w:val="both"/>
      </w:pPr>
      <w:r>
        <w:rPr>
          <w:i/>
        </w:rPr>
        <w:lastRenderedPageBreak/>
        <w:br/>
      </w:r>
      <w:r w:rsidR="00B00FC2" w:rsidRPr="0090336D">
        <w:t xml:space="preserve">As stated earlier, </w:t>
      </w:r>
      <w:proofErr w:type="spellStart"/>
      <w:r w:rsidR="00B00FC2" w:rsidRPr="0090336D">
        <w:t>BaA</w:t>
      </w:r>
      <w:proofErr w:type="spellEnd"/>
      <w:r w:rsidR="00B00FC2" w:rsidRPr="0090336D">
        <w:t xml:space="preserve"> is mainly particle associated.</w:t>
      </w:r>
      <w:r w:rsidR="00B00FC2">
        <w:t xml:space="preserve"> </w:t>
      </w:r>
      <w:r w:rsidR="0072381F">
        <w:t>The degradation rate of PAH</w:t>
      </w:r>
      <w:r w:rsidR="005F6B11">
        <w:t>s</w:t>
      </w:r>
      <w:r w:rsidR="0072381F">
        <w:t xml:space="preserve">, and therefore of </w:t>
      </w:r>
      <w:proofErr w:type="spellStart"/>
      <w:r w:rsidR="0072381F">
        <w:t>BaA</w:t>
      </w:r>
      <w:proofErr w:type="spellEnd"/>
      <w:r w:rsidR="0072381F">
        <w:t>, depends on the type of particle to which they are bound (</w:t>
      </w:r>
      <w:proofErr w:type="spellStart"/>
      <w:r w:rsidR="0072381F">
        <w:t>Behymer</w:t>
      </w:r>
      <w:proofErr w:type="spellEnd"/>
      <w:r w:rsidR="0072381F">
        <w:t xml:space="preserve"> &amp; </w:t>
      </w:r>
      <w:proofErr w:type="spellStart"/>
      <w:r w:rsidR="0072381F">
        <w:t>Hites</w:t>
      </w:r>
      <w:proofErr w:type="spellEnd"/>
      <w:r w:rsidR="0072381F">
        <w:t xml:space="preserve">, 1988, cited in </w:t>
      </w:r>
      <w:r w:rsidR="001E4374" w:rsidRPr="00D10FD9">
        <w:t>The Netherlands</w:t>
      </w:r>
      <w:r w:rsidR="0072381F" w:rsidRPr="0024492A">
        <w:t>, 2008</w:t>
      </w:r>
      <w:r w:rsidR="0072381F">
        <w:t>).</w:t>
      </w:r>
      <w:r w:rsidR="000E720E">
        <w:t xml:space="preserve"> </w:t>
      </w:r>
      <w:r w:rsidR="003807E8">
        <w:t>While half-lives for direct photolysis of PAH</w:t>
      </w:r>
      <w:r w:rsidR="005F6B11">
        <w:t>s</w:t>
      </w:r>
      <w:r w:rsidR="003807E8">
        <w:t xml:space="preserve"> are in the range of </w:t>
      </w:r>
      <w:r w:rsidR="003807E8" w:rsidRPr="00C27B96">
        <w:t xml:space="preserve">hours (Vu </w:t>
      </w:r>
      <w:proofErr w:type="spellStart"/>
      <w:r w:rsidR="003807E8" w:rsidRPr="00C27B96">
        <w:t>Duc</w:t>
      </w:r>
      <w:proofErr w:type="spellEnd"/>
      <w:r w:rsidR="003807E8" w:rsidRPr="00C27B96">
        <w:t xml:space="preserve"> &amp; Huynh, 1991, cited in </w:t>
      </w:r>
      <w:r w:rsidR="001E4374" w:rsidRPr="00C27B96">
        <w:t>The Netherlands</w:t>
      </w:r>
      <w:r w:rsidR="003807E8" w:rsidRPr="00C27B96">
        <w:t>, 2008),</w:t>
      </w:r>
      <w:r w:rsidR="003807E8">
        <w:t xml:space="preserve"> </w:t>
      </w:r>
      <w:r w:rsidR="00B56C71">
        <w:t xml:space="preserve">it was demonstrated by </w:t>
      </w:r>
      <w:proofErr w:type="spellStart"/>
      <w:r w:rsidR="00B56C71">
        <w:t>Beh</w:t>
      </w:r>
      <w:r w:rsidR="00A301EA">
        <w:t>ymer</w:t>
      </w:r>
      <w:proofErr w:type="spellEnd"/>
      <w:r w:rsidR="00A301EA">
        <w:t xml:space="preserve"> &amp; </w:t>
      </w:r>
      <w:proofErr w:type="spellStart"/>
      <w:r w:rsidR="00A301EA">
        <w:t>Hites</w:t>
      </w:r>
      <w:proofErr w:type="spellEnd"/>
      <w:r w:rsidR="00A301EA">
        <w:t xml:space="preserve"> (1988) (cited in </w:t>
      </w:r>
      <w:r w:rsidR="001E4374">
        <w:t>The Netherlands</w:t>
      </w:r>
      <w:r w:rsidR="00A301EA">
        <w:t xml:space="preserve"> (2008</w:t>
      </w:r>
      <w:r w:rsidR="00B56C71">
        <w:t>)</w:t>
      </w:r>
      <w:r w:rsidR="00A301EA">
        <w:t xml:space="preserve">), that particle surface-adsorbed </w:t>
      </w:r>
      <w:proofErr w:type="spellStart"/>
      <w:r w:rsidR="00A301EA">
        <w:t>BaA</w:t>
      </w:r>
      <w:proofErr w:type="spellEnd"/>
      <w:r w:rsidR="00A301EA">
        <w:t xml:space="preserve"> does have representative lifetimes between 1</w:t>
      </w:r>
      <w:r w:rsidR="00B45271">
        <w:t>5</w:t>
      </w:r>
      <w:r w:rsidR="00A301EA">
        <w:t> </w:t>
      </w:r>
      <w:r w:rsidR="00A26EF9">
        <w:t>min</w:t>
      </w:r>
      <w:r w:rsidR="00A301EA">
        <w:t xml:space="preserve"> and 7.8 days under natural conditions. </w:t>
      </w:r>
      <w:r w:rsidR="003E3BE8">
        <w:t xml:space="preserve">According to </w:t>
      </w:r>
      <w:r w:rsidR="003E3BE8" w:rsidRPr="007E2A19">
        <w:rPr>
          <w:lang w:val="en-US"/>
        </w:rPr>
        <w:t>the Annex XV Transitional Dossier for CTPHT (The Netherlands, 2008)</w:t>
      </w:r>
      <w:r w:rsidR="003E3BE8">
        <w:rPr>
          <w:lang w:val="en-US"/>
        </w:rPr>
        <w:t>, the photolysis of PAHs is as follows</w:t>
      </w:r>
      <w:r w:rsidR="00C364F6">
        <w:t>:</w:t>
      </w:r>
    </w:p>
    <w:p w14:paraId="27BCB857" w14:textId="36E18D9C" w:rsidR="001F0302" w:rsidRPr="004F5AE1" w:rsidRDefault="00C364F6" w:rsidP="00D10FD9">
      <w:pPr>
        <w:pStyle w:val="BodyText"/>
        <w:rPr>
          <w:i/>
        </w:rPr>
      </w:pPr>
      <w:r>
        <w:br/>
      </w:r>
      <w:r w:rsidRPr="00D10FD9">
        <w:rPr>
          <w:i/>
        </w:rPr>
        <w:t xml:space="preserve">A two layer model has been proposed for the behaviour of naturally occurring PAH on airborne particulate matter, in which photo oxidation takes place in the outer layer, and much slower, ‘dark’ oxidation takes place in the inner layer (Valerio et al., 1987). This model is in line with the results of </w:t>
      </w:r>
      <w:proofErr w:type="spellStart"/>
      <w:r w:rsidRPr="00D10FD9">
        <w:rPr>
          <w:i/>
        </w:rPr>
        <w:t>Kamens</w:t>
      </w:r>
      <w:proofErr w:type="spellEnd"/>
      <w:r w:rsidRPr="00D10FD9">
        <w:rPr>
          <w:i/>
        </w:rPr>
        <w:t xml:space="preserve"> et al.</w:t>
      </w:r>
      <w:r w:rsidR="004F5AE1">
        <w:rPr>
          <w:i/>
        </w:rPr>
        <w:t xml:space="preserve"> </w:t>
      </w:r>
      <w:r w:rsidRPr="00D10FD9">
        <w:rPr>
          <w:i/>
        </w:rPr>
        <w:t>(1991), who reported that PAH on highly loaded particles degrade more slowly than those on particles with low loads. As PAH occur mainly on particulate matter with a high carbon content, their degradation in the atmosphere is slower than that of PAH in the vapour phase under laboratory conditions or adsorbed on synthetic material.</w:t>
      </w:r>
    </w:p>
    <w:p w14:paraId="115C5BC9" w14:textId="0309DC16" w:rsidR="0016056A" w:rsidRPr="007240CE" w:rsidRDefault="00852117">
      <w:pPr>
        <w:pStyle w:val="Heading5"/>
        <w:tabs>
          <w:tab w:val="num" w:pos="284"/>
        </w:tabs>
        <w:rPr>
          <w:sz w:val="22"/>
          <w:szCs w:val="22"/>
        </w:rPr>
      </w:pPr>
      <w:bookmarkStart w:id="213" w:name="_Toc341888514"/>
      <w:bookmarkStart w:id="214" w:name="_Toc342400368"/>
      <w:r w:rsidRPr="007240CE">
        <w:rPr>
          <w:sz w:val="22"/>
          <w:szCs w:val="22"/>
        </w:rPr>
        <w:t>3.1.1.3.</w:t>
      </w:r>
      <w:r w:rsidR="006D6A68" w:rsidRPr="007240CE">
        <w:rPr>
          <w:sz w:val="22"/>
          <w:szCs w:val="22"/>
        </w:rPr>
        <w:t xml:space="preserve">2 </w:t>
      </w:r>
      <w:proofErr w:type="spellStart"/>
      <w:r w:rsidR="00B12C39" w:rsidRPr="007240CE">
        <w:rPr>
          <w:sz w:val="22"/>
          <w:szCs w:val="22"/>
        </w:rPr>
        <w:t>Phototransformation</w:t>
      </w:r>
      <w:proofErr w:type="spellEnd"/>
      <w:r w:rsidR="00B12C39" w:rsidRPr="007240CE">
        <w:rPr>
          <w:sz w:val="22"/>
          <w:szCs w:val="22"/>
        </w:rPr>
        <w:t xml:space="preserve"> in water</w:t>
      </w:r>
      <w:bookmarkEnd w:id="213"/>
      <w:bookmarkEnd w:id="214"/>
    </w:p>
    <w:p w14:paraId="521A5CDF" w14:textId="2AFC6D31" w:rsidR="00C364F6" w:rsidRPr="00D10FD9" w:rsidRDefault="004608B0" w:rsidP="00D10FD9">
      <w:pPr>
        <w:pStyle w:val="BodyText"/>
        <w:rPr>
          <w:i/>
        </w:rPr>
      </w:pPr>
      <w:r w:rsidRPr="00A12C6E">
        <w:t xml:space="preserve">As </w:t>
      </w:r>
      <w:r>
        <w:t>assessed</w:t>
      </w:r>
      <w:r w:rsidRPr="00A12C6E">
        <w:t xml:space="preserve"> before in the Support Document for</w:t>
      </w:r>
      <w:r w:rsidR="00487E92">
        <w:t xml:space="preserve"> </w:t>
      </w:r>
      <w:r w:rsidRPr="00A12C6E">
        <w:t xml:space="preserve">identification of </w:t>
      </w:r>
      <w:r>
        <w:t>CTPHT</w:t>
      </w:r>
      <w:r w:rsidRPr="00A12C6E">
        <w:t xml:space="preserve"> as </w:t>
      </w:r>
      <w:r>
        <w:t>SVHC</w:t>
      </w:r>
      <w:r w:rsidRPr="00A12C6E">
        <w:t xml:space="preserve"> (ECHA</w:t>
      </w:r>
      <w:r>
        <w:t>,</w:t>
      </w:r>
      <w:r w:rsidRPr="00A12C6E">
        <w:t xml:space="preserve"> 2009)</w:t>
      </w:r>
      <w:r>
        <w:t xml:space="preserve">, </w:t>
      </w:r>
      <w:proofErr w:type="spellStart"/>
      <w:r w:rsidRPr="00D10FD9">
        <w:rPr>
          <w:i/>
        </w:rPr>
        <w:t>Photodegradation</w:t>
      </w:r>
      <w:proofErr w:type="spellEnd"/>
      <w:r w:rsidRPr="00D10FD9">
        <w:rPr>
          <w:i/>
        </w:rPr>
        <w:t xml:space="preserve"> in natural waters takes normally place only in the upper few centimetres of the</w:t>
      </w:r>
      <w:r>
        <w:rPr>
          <w:i/>
        </w:rPr>
        <w:t xml:space="preserve"> </w:t>
      </w:r>
      <w:r w:rsidRPr="00D10FD9">
        <w:rPr>
          <w:i/>
        </w:rPr>
        <w:t>water-column and is therefore not considered to have significant impact on the overall persistency</w:t>
      </w:r>
      <w:r>
        <w:rPr>
          <w:i/>
        </w:rPr>
        <w:t xml:space="preserve"> </w:t>
      </w:r>
      <w:r w:rsidRPr="00D10FD9">
        <w:rPr>
          <w:i/>
        </w:rPr>
        <w:t>of PAHs in the aquatic environment.</w:t>
      </w:r>
    </w:p>
    <w:p w14:paraId="115C5BCA" w14:textId="77777777" w:rsidR="001F5783" w:rsidRPr="007240CE" w:rsidRDefault="00852117" w:rsidP="00264345">
      <w:pPr>
        <w:pStyle w:val="Heading5"/>
        <w:tabs>
          <w:tab w:val="num" w:pos="284"/>
        </w:tabs>
        <w:rPr>
          <w:sz w:val="22"/>
          <w:szCs w:val="22"/>
        </w:rPr>
      </w:pPr>
      <w:bookmarkStart w:id="215" w:name="_Toc341888515"/>
      <w:bookmarkStart w:id="216" w:name="_Toc342400369"/>
      <w:r w:rsidRPr="007240CE">
        <w:rPr>
          <w:sz w:val="22"/>
          <w:szCs w:val="22"/>
        </w:rPr>
        <w:t xml:space="preserve">3.1.1.3.3 </w:t>
      </w:r>
      <w:proofErr w:type="spellStart"/>
      <w:r w:rsidR="00B12C39" w:rsidRPr="007240CE">
        <w:rPr>
          <w:sz w:val="22"/>
          <w:szCs w:val="22"/>
        </w:rPr>
        <w:t>Phototransformation</w:t>
      </w:r>
      <w:proofErr w:type="spellEnd"/>
      <w:r w:rsidR="00B12C39" w:rsidRPr="007240CE">
        <w:rPr>
          <w:sz w:val="22"/>
          <w:szCs w:val="22"/>
        </w:rPr>
        <w:t xml:space="preserve"> in soil</w:t>
      </w:r>
      <w:bookmarkStart w:id="217" w:name="_Toc341888516"/>
      <w:bookmarkStart w:id="218" w:name="_Toc342400370"/>
      <w:bookmarkStart w:id="219" w:name="_Toc354499576"/>
      <w:bookmarkEnd w:id="215"/>
      <w:bookmarkEnd w:id="216"/>
    </w:p>
    <w:p w14:paraId="719702F0" w14:textId="296BFEAA" w:rsidR="004608B0" w:rsidRDefault="004608B0" w:rsidP="00D10FD9">
      <w:pPr>
        <w:pStyle w:val="BodyText"/>
        <w:rPr>
          <w:i/>
        </w:rPr>
      </w:pPr>
      <w:r w:rsidRPr="00A12C6E">
        <w:t xml:space="preserve">As </w:t>
      </w:r>
      <w:r>
        <w:t>assessed</w:t>
      </w:r>
      <w:r w:rsidRPr="00A12C6E">
        <w:t xml:space="preserve"> before in the Support Document for identification of </w:t>
      </w:r>
      <w:r>
        <w:t>CTPHT</w:t>
      </w:r>
      <w:r w:rsidRPr="00A12C6E">
        <w:t xml:space="preserve"> as </w:t>
      </w:r>
      <w:r>
        <w:t>SVHC</w:t>
      </w:r>
      <w:r w:rsidRPr="00A12C6E">
        <w:t xml:space="preserve"> (ECHA</w:t>
      </w:r>
      <w:r>
        <w:t>,</w:t>
      </w:r>
      <w:r w:rsidRPr="00A12C6E">
        <w:t xml:space="preserve"> 2009)</w:t>
      </w:r>
      <w:r>
        <w:t>,</w:t>
      </w:r>
      <w:r w:rsidRPr="004608B0">
        <w:t xml:space="preserve"> </w:t>
      </w:r>
      <w:r w:rsidRPr="00D10FD9">
        <w:rPr>
          <w:i/>
        </w:rPr>
        <w:t xml:space="preserve">exposure to light is even more limited in soils, </w:t>
      </w:r>
      <w:proofErr w:type="spellStart"/>
      <w:proofErr w:type="gramStart"/>
      <w:r w:rsidRPr="00D10FD9">
        <w:rPr>
          <w:i/>
        </w:rPr>
        <w:t>photodegradation</w:t>
      </w:r>
      <w:proofErr w:type="spellEnd"/>
      <w:proofErr w:type="gramEnd"/>
      <w:r w:rsidRPr="00D10FD9">
        <w:rPr>
          <w:i/>
        </w:rPr>
        <w:t xml:space="preserve"> is as well not considered a relevant degradation process in terrestrial environments.</w:t>
      </w:r>
    </w:p>
    <w:p w14:paraId="115C5BCB" w14:textId="77777777" w:rsidR="001F5783" w:rsidRPr="00096A9A" w:rsidRDefault="00852117" w:rsidP="00264345">
      <w:pPr>
        <w:pStyle w:val="Heading4"/>
        <w:tabs>
          <w:tab w:val="num" w:pos="284"/>
        </w:tabs>
      </w:pPr>
      <w:r w:rsidRPr="00096A9A">
        <w:t xml:space="preserve">3.1.1.4 </w:t>
      </w:r>
      <w:r w:rsidR="001F5783" w:rsidRPr="00096A9A">
        <w:t>Summary on abiotic degradation</w:t>
      </w:r>
    </w:p>
    <w:p w14:paraId="5EE391B3" w14:textId="511768B8" w:rsidR="00140B01" w:rsidRDefault="00063DED" w:rsidP="00F97B18">
      <w:pPr>
        <w:widowControl/>
        <w:autoSpaceDE w:val="0"/>
        <w:autoSpaceDN w:val="0"/>
        <w:adjustRightInd w:val="0"/>
        <w:jc w:val="both"/>
        <w:rPr>
          <w:rFonts w:cs="Verdana"/>
          <w:lang w:eastAsia="en-GB"/>
        </w:rPr>
      </w:pPr>
      <w:r>
        <w:rPr>
          <w:rFonts w:cs="Verdana"/>
          <w:lang w:eastAsia="en-GB"/>
        </w:rPr>
        <w:t xml:space="preserve">It is concluded that in the atmosphere, free </w:t>
      </w:r>
      <w:proofErr w:type="spellStart"/>
      <w:r>
        <w:rPr>
          <w:rFonts w:cs="Verdana"/>
          <w:lang w:eastAsia="en-GB"/>
        </w:rPr>
        <w:t>BaA</w:t>
      </w:r>
      <w:proofErr w:type="spellEnd"/>
      <w:r>
        <w:rPr>
          <w:rFonts w:cs="Verdana"/>
          <w:lang w:eastAsia="en-GB"/>
        </w:rPr>
        <w:t xml:space="preserve"> degrades within periods of 15 min to 7.8 days by direct photolysis. The substance is however mostly particle-associated and when adsorbed onto fine particles, </w:t>
      </w:r>
      <w:proofErr w:type="spellStart"/>
      <w:r>
        <w:rPr>
          <w:rFonts w:cs="Verdana"/>
          <w:lang w:eastAsia="en-GB"/>
        </w:rPr>
        <w:t>BaA</w:t>
      </w:r>
      <w:proofErr w:type="spellEnd"/>
      <w:r>
        <w:rPr>
          <w:rFonts w:cs="Verdana"/>
          <w:lang w:eastAsia="en-GB"/>
        </w:rPr>
        <w:t xml:space="preserve"> may be more stable in the atmosphere. In water, </w:t>
      </w:r>
      <w:proofErr w:type="spellStart"/>
      <w:r>
        <w:rPr>
          <w:rFonts w:cs="Verdana"/>
          <w:lang w:eastAsia="en-GB"/>
        </w:rPr>
        <w:t>BaA</w:t>
      </w:r>
      <w:proofErr w:type="spellEnd"/>
      <w:r>
        <w:rPr>
          <w:rFonts w:cs="Verdana"/>
          <w:lang w:eastAsia="en-GB"/>
        </w:rPr>
        <w:t xml:space="preserve"> is not hydrolysed but can be photo-degraded. However, this only appears at the upper few centimetres of a water-column and is therefore not considered having a significant impact on the overall persistence of </w:t>
      </w:r>
      <w:proofErr w:type="spellStart"/>
      <w:r>
        <w:rPr>
          <w:rFonts w:cs="Verdana"/>
          <w:lang w:eastAsia="en-GB"/>
        </w:rPr>
        <w:t>BaA</w:t>
      </w:r>
      <w:proofErr w:type="spellEnd"/>
      <w:r>
        <w:rPr>
          <w:rFonts w:cs="Verdana"/>
          <w:lang w:eastAsia="en-GB"/>
        </w:rPr>
        <w:t xml:space="preserve"> in the aquatic environment. In soil, exposure to light is even more limited. Thus, </w:t>
      </w:r>
      <w:proofErr w:type="spellStart"/>
      <w:r>
        <w:rPr>
          <w:rFonts w:cs="Verdana"/>
          <w:lang w:eastAsia="en-GB"/>
        </w:rPr>
        <w:t>photodegradation</w:t>
      </w:r>
      <w:proofErr w:type="spellEnd"/>
      <w:r>
        <w:rPr>
          <w:rFonts w:cs="Verdana"/>
          <w:lang w:eastAsia="en-GB"/>
        </w:rPr>
        <w:t xml:space="preserve"> is not considered as relevant degradation process in water and terrestrial environments. </w:t>
      </w:r>
      <w:proofErr w:type="spellStart"/>
      <w:r>
        <w:rPr>
          <w:rFonts w:cs="Verdana"/>
          <w:lang w:eastAsia="en-GB"/>
        </w:rPr>
        <w:t>BaA</w:t>
      </w:r>
      <w:proofErr w:type="spellEnd"/>
      <w:r>
        <w:rPr>
          <w:rFonts w:cs="Verdana"/>
          <w:lang w:eastAsia="en-GB"/>
        </w:rPr>
        <w:t xml:space="preserve"> is hydrolytically stable under environmental conditions.</w:t>
      </w:r>
    </w:p>
    <w:p w14:paraId="06027949" w14:textId="77777777" w:rsidR="00F97B18" w:rsidRPr="00074F8D" w:rsidRDefault="00F97B18" w:rsidP="00F97B18">
      <w:pPr>
        <w:widowControl/>
        <w:autoSpaceDE w:val="0"/>
        <w:autoSpaceDN w:val="0"/>
        <w:adjustRightInd w:val="0"/>
        <w:jc w:val="both"/>
      </w:pPr>
    </w:p>
    <w:p w14:paraId="26F4B93D" w14:textId="15B14645" w:rsidR="00140B01" w:rsidRPr="00D10FD9" w:rsidRDefault="00140B01" w:rsidP="00D10FD9">
      <w:pPr>
        <w:widowControl/>
        <w:autoSpaceDE w:val="0"/>
        <w:autoSpaceDN w:val="0"/>
        <w:adjustRightInd w:val="0"/>
        <w:rPr>
          <w:i/>
          <w:lang w:val="en-US" w:eastAsia="en-GB"/>
        </w:rPr>
      </w:pPr>
      <w:r w:rsidRPr="00074F8D">
        <w:t>This conclusion was already drawn in the Support Document for identification of CTPHT as SVHC (ECHA, 2009).</w:t>
      </w:r>
    </w:p>
    <w:p w14:paraId="45893E3C" w14:textId="77777777" w:rsidR="00B3293D" w:rsidRPr="00074F8D" w:rsidRDefault="00B3293D" w:rsidP="00D10FD9">
      <w:pPr>
        <w:widowControl/>
        <w:autoSpaceDE w:val="0"/>
        <w:autoSpaceDN w:val="0"/>
        <w:adjustRightInd w:val="0"/>
      </w:pPr>
    </w:p>
    <w:p w14:paraId="115C5BCD" w14:textId="77777777" w:rsidR="00B12C39" w:rsidRPr="00096A9A" w:rsidRDefault="00852117" w:rsidP="00B76533">
      <w:pPr>
        <w:pStyle w:val="Heading3"/>
        <w:tabs>
          <w:tab w:val="clear" w:pos="360"/>
          <w:tab w:val="num" w:pos="0"/>
        </w:tabs>
      </w:pPr>
      <w:bookmarkStart w:id="220" w:name="_Toc357083651"/>
      <w:bookmarkStart w:id="221" w:name="_Toc357184200"/>
      <w:bookmarkStart w:id="222" w:name="_Toc357184436"/>
      <w:bookmarkStart w:id="223" w:name="_Toc357185238"/>
      <w:bookmarkStart w:id="224" w:name="_Toc357186086"/>
      <w:bookmarkStart w:id="225" w:name="_Toc357186235"/>
      <w:bookmarkStart w:id="226" w:name="_Toc357437521"/>
      <w:bookmarkStart w:id="227" w:name="_Toc357590794"/>
      <w:bookmarkStart w:id="228" w:name="_Toc357692826"/>
      <w:bookmarkStart w:id="229" w:name="_Toc365649653"/>
      <w:bookmarkStart w:id="230" w:name="_Toc365649802"/>
      <w:bookmarkStart w:id="231" w:name="_Toc366489854"/>
      <w:bookmarkStart w:id="232" w:name="_Toc418498559"/>
      <w:bookmarkStart w:id="233" w:name="_Toc418506002"/>
      <w:bookmarkStart w:id="234" w:name="_Toc491810733"/>
      <w:r w:rsidRPr="00096A9A">
        <w:t xml:space="preserve">3.1.2 </w:t>
      </w:r>
      <w:r w:rsidR="00B12C39" w:rsidRPr="00096A9A">
        <w:t>Biodegradation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15C5BCE" w14:textId="43854C5F" w:rsidR="00B12C39" w:rsidRDefault="00852117" w:rsidP="00264345">
      <w:pPr>
        <w:pStyle w:val="Heading4"/>
        <w:keepNext w:val="0"/>
        <w:tabs>
          <w:tab w:val="num" w:pos="284"/>
        </w:tabs>
      </w:pPr>
      <w:bookmarkStart w:id="235" w:name="_Toc341888517"/>
      <w:bookmarkStart w:id="236" w:name="_Toc342400371"/>
      <w:r w:rsidRPr="00096A9A">
        <w:t xml:space="preserve">3.1.2.1 </w:t>
      </w:r>
      <w:r w:rsidR="00B12C39" w:rsidRPr="00096A9A">
        <w:t>Biodegradation in water</w:t>
      </w:r>
      <w:bookmarkEnd w:id="235"/>
      <w:bookmarkEnd w:id="236"/>
      <w:r w:rsidR="002040AA">
        <w:t xml:space="preserve"> and sediments</w:t>
      </w:r>
    </w:p>
    <w:p w14:paraId="74204350" w14:textId="77777777" w:rsidR="00F13EBB" w:rsidRDefault="002040AA" w:rsidP="002040AA">
      <w:pPr>
        <w:pStyle w:val="BodyText"/>
      </w:pPr>
      <w:r>
        <w:t>The biodegradation in water was already assessed in the Support Document for identification of CTPHT as SVHC (ECHA, 2009) and will not be assessed again within this dossier.</w:t>
      </w:r>
    </w:p>
    <w:p w14:paraId="734E257E" w14:textId="77777777" w:rsidR="00F13EBB" w:rsidRDefault="00F13EBB" w:rsidP="00F13EBB">
      <w:pPr>
        <w:pStyle w:val="BodyText"/>
      </w:pPr>
      <w:r>
        <w:t xml:space="preserve">Tests for biodegradation in water have demonstrated that PAHs with up to four </w:t>
      </w:r>
      <w:r>
        <w:lastRenderedPageBreak/>
        <w:t>aromatic rings are biodegradable under aerobic conditions, but that biodegradation rates of PAHs with more aromatic rings are very low (The Netherlands, 2008).</w:t>
      </w:r>
    </w:p>
    <w:p w14:paraId="1801378E" w14:textId="77777777" w:rsidR="00F13EBB" w:rsidRDefault="00F13EBB" w:rsidP="00F13EBB">
      <w:pPr>
        <w:pStyle w:val="BodyText"/>
      </w:pPr>
      <w:r>
        <w:t>As assessed in the Support Document for identification of CTPHT as SVHC (ECHA, 2009):</w:t>
      </w:r>
    </w:p>
    <w:p w14:paraId="01BD01E8" w14:textId="77777777" w:rsidR="00F13EBB" w:rsidRPr="00F97B18" w:rsidRDefault="00F13EBB" w:rsidP="00F13EBB">
      <w:pPr>
        <w:pStyle w:val="BodyText"/>
        <w:rPr>
          <w:i/>
        </w:rPr>
      </w:pPr>
      <w:r w:rsidRPr="00F97B18">
        <w:rPr>
          <w:i/>
        </w:rPr>
        <w:t>In general, the biodegradation rates decrease with increasing number of aromatic rings. This correlation has been attributed to factors like the bacterial uptake rate and the bioavailability. The bacterial uptake rate has been shown to be lower for the higher molecular weight PAHs as compared to the PAHs of lower molecular weight. This may be due to the size of high molecular weight members, which limits their ability to cross cellular membranes. In addition, bioavailability is lower for higher molecular PAHs due to adsorption to organic matter in water and sediment. It has further been shown that half-lives of PAHs in estuarine sediment are proportionally related to the octanol-water partition coefficient (</w:t>
      </w:r>
      <w:proofErr w:type="spellStart"/>
      <w:r w:rsidRPr="00F97B18">
        <w:rPr>
          <w:i/>
        </w:rPr>
        <w:t>Kow</w:t>
      </w:r>
      <w:proofErr w:type="spellEnd"/>
      <w:r w:rsidRPr="00F97B18">
        <w:rPr>
          <w:i/>
        </w:rPr>
        <w:t>) (Durant et al, (1995) cited in The Netherlands, 2008).</w:t>
      </w:r>
    </w:p>
    <w:p w14:paraId="4AFEC10D" w14:textId="77777777" w:rsidR="00F13EBB" w:rsidRDefault="00F13EBB" w:rsidP="00F13EBB">
      <w:pPr>
        <w:pStyle w:val="BodyText"/>
      </w:pPr>
      <w:r>
        <w:t>[…]</w:t>
      </w:r>
    </w:p>
    <w:p w14:paraId="20E1305B" w14:textId="2A40EA2A" w:rsidR="00F13EBB" w:rsidRDefault="00F13EBB" w:rsidP="00F97B18">
      <w:pPr>
        <w:pStyle w:val="BodyText"/>
        <w:jc w:val="both"/>
      </w:pPr>
      <w:r>
        <w:t xml:space="preserve">In general, PAHs are considered to be persistent under anaerobic conditions (Neff (1979); </w:t>
      </w:r>
      <w:proofErr w:type="spellStart"/>
      <w:r>
        <w:t>Volkering</w:t>
      </w:r>
      <w:proofErr w:type="spellEnd"/>
      <w:r>
        <w:t xml:space="preserve"> and </w:t>
      </w:r>
      <w:proofErr w:type="spellStart"/>
      <w:r>
        <w:t>Breure</w:t>
      </w:r>
      <w:proofErr w:type="spellEnd"/>
      <w:r>
        <w:t xml:space="preserve"> (2003) cited in The Netherlands, 2008). Aquatic sediments are often anaerobic with the exception of a few millimetre thick surface layer at the sediment-water interface, which may be dominated by aerobic conditions. The degradation of PAHs in aquatic sediments is therefore expected to be very slow.</w:t>
      </w:r>
    </w:p>
    <w:p w14:paraId="3C09D36B" w14:textId="4DF12730" w:rsidR="00957A9D" w:rsidRPr="0012411C" w:rsidRDefault="002040AA" w:rsidP="00D10FD9">
      <w:pPr>
        <w:pStyle w:val="BodyText"/>
      </w:pPr>
      <w:r>
        <w:t xml:space="preserve"> </w:t>
      </w:r>
    </w:p>
    <w:p w14:paraId="115C5BCF" w14:textId="77777777" w:rsidR="001F5783" w:rsidRPr="007240CE" w:rsidRDefault="00852117" w:rsidP="00264345">
      <w:pPr>
        <w:pStyle w:val="Heading5"/>
        <w:keepNext w:val="0"/>
        <w:tabs>
          <w:tab w:val="num" w:pos="284"/>
        </w:tabs>
        <w:rPr>
          <w:sz w:val="22"/>
          <w:szCs w:val="22"/>
        </w:rPr>
      </w:pPr>
      <w:r w:rsidRPr="007240CE">
        <w:rPr>
          <w:sz w:val="22"/>
          <w:szCs w:val="22"/>
        </w:rPr>
        <w:t xml:space="preserve">3.1.2.1.1 </w:t>
      </w:r>
      <w:r w:rsidR="001F5783" w:rsidRPr="007240CE">
        <w:rPr>
          <w:sz w:val="22"/>
          <w:szCs w:val="22"/>
        </w:rPr>
        <w:t>Estimated data</w:t>
      </w:r>
    </w:p>
    <w:p w14:paraId="2A5C1917" w14:textId="1F251B35" w:rsidR="00BA5DB2" w:rsidRPr="0090336D" w:rsidRDefault="005C66A2" w:rsidP="00D10FD9">
      <w:pPr>
        <w:pStyle w:val="BodyText"/>
      </w:pPr>
      <w:r>
        <w:t xml:space="preserve">As assessed in the Support Document for identification of CTPHT as SVHC (ECHA, 2009): </w:t>
      </w:r>
      <w:r w:rsidRPr="007E35CE">
        <w:rPr>
          <w:i/>
        </w:rPr>
        <w:t>Mackay et al. (1992)</w:t>
      </w:r>
      <w:r w:rsidRPr="0038482C">
        <w:rPr>
          <w:i/>
        </w:rPr>
        <w:t xml:space="preserve"> estimated half-lives in the different environmental compartments based on model calculations and literature research. The calculated half-lives of </w:t>
      </w:r>
      <w:proofErr w:type="spellStart"/>
      <w:r>
        <w:rPr>
          <w:i/>
        </w:rPr>
        <w:t>BaA</w:t>
      </w:r>
      <w:proofErr w:type="spellEnd"/>
      <w:r w:rsidRPr="0038482C">
        <w:rPr>
          <w:i/>
        </w:rPr>
        <w:t xml:space="preserve"> in water and sediments are in the range of 42 to 125 days and </w:t>
      </w:r>
      <w:r>
        <w:rPr>
          <w:i/>
        </w:rPr>
        <w:t>longer than 1250 days</w:t>
      </w:r>
      <w:r w:rsidRPr="0038482C">
        <w:rPr>
          <w:i/>
        </w:rPr>
        <w:t xml:space="preserve"> respectively</w:t>
      </w:r>
      <w:r>
        <w:t>.</w:t>
      </w:r>
    </w:p>
    <w:p w14:paraId="115C5BD2" w14:textId="77777777" w:rsidR="00B12C39" w:rsidRDefault="00852117" w:rsidP="00264345">
      <w:pPr>
        <w:pStyle w:val="Heading4"/>
        <w:tabs>
          <w:tab w:val="num" w:pos="284"/>
        </w:tabs>
      </w:pPr>
      <w:bookmarkStart w:id="237" w:name="_Toc341888522"/>
      <w:bookmarkStart w:id="238" w:name="_Toc342400374"/>
      <w:r w:rsidRPr="00096A9A">
        <w:t xml:space="preserve">3.1.2.2 </w:t>
      </w:r>
      <w:r w:rsidR="00B12C39" w:rsidRPr="00096A9A">
        <w:t>Biodegradation in soil</w:t>
      </w:r>
      <w:bookmarkEnd w:id="237"/>
      <w:bookmarkEnd w:id="238"/>
    </w:p>
    <w:p w14:paraId="0456EBAA" w14:textId="77777777" w:rsidR="007F2C3D" w:rsidRDefault="007F2C3D" w:rsidP="00D10FD9">
      <w:pPr>
        <w:pStyle w:val="BodyText"/>
      </w:pPr>
      <w:r>
        <w:t xml:space="preserve">Biodegradation in soil was assessed in the Support Document for identification of CTPHT as SVHC (ECHA, 2009) as follows: </w:t>
      </w:r>
    </w:p>
    <w:p w14:paraId="07B84E50" w14:textId="403A66D0" w:rsidR="007A3497" w:rsidRDefault="007F2C3D" w:rsidP="00D10FD9">
      <w:pPr>
        <w:pStyle w:val="BodyText"/>
        <w:rPr>
          <w:i/>
        </w:rPr>
      </w:pPr>
      <w:r w:rsidRPr="00D10FD9">
        <w:rPr>
          <w:i/>
        </w:rPr>
        <w:t>Biodegradation rates of PAHs in soil depend on several factors related to the soil type, including pH, moisture content, nutrients, oxygen, and the diversity of the soil microbial population. Various species (bacteria, fungi, yeasts and algae) are known to degrade PAHs in soil (The Netherlands, 2008). It has been shown that the number of PAH-degrading microorganisms and the degradation capacity is higher in PAH-contaminated soils than in pristine soils, something explained by the development of an adapted soil microbial community. Several studies have also demonstrated enhanced PAH-degradation rates when the soil had been enriched with isolated PAH-degrading microorganisms (</w:t>
      </w:r>
      <w:r w:rsidR="00F31BCA">
        <w:rPr>
          <w:i/>
        </w:rPr>
        <w:t xml:space="preserve">[…] </w:t>
      </w:r>
      <w:r w:rsidRPr="00D10FD9">
        <w:rPr>
          <w:i/>
        </w:rPr>
        <w:t>The Netherlands, 2008). On the basis of a comparison between two studies (Wild et al. 1991 and Wild and Jones, 1993) it</w:t>
      </w:r>
      <w:r w:rsidR="00687BF3" w:rsidRPr="00D10FD9">
        <w:rPr>
          <w:i/>
        </w:rPr>
        <w:t xml:space="preserve"> </w:t>
      </w:r>
      <w:r w:rsidRPr="00D10FD9">
        <w:rPr>
          <w:i/>
        </w:rPr>
        <w:t>was illustrated that the half-lives observed under laboratory conditions can be much shorter than</w:t>
      </w:r>
      <w:r w:rsidR="00687BF3" w:rsidRPr="00D10FD9">
        <w:rPr>
          <w:i/>
        </w:rPr>
        <w:t xml:space="preserve"> </w:t>
      </w:r>
      <w:r w:rsidRPr="00D10FD9">
        <w:rPr>
          <w:i/>
        </w:rPr>
        <w:t>those obtained from long-term field studies. This was attributed by the authors to the more optimal</w:t>
      </w:r>
      <w:r w:rsidR="00687BF3" w:rsidRPr="00D10FD9">
        <w:rPr>
          <w:i/>
        </w:rPr>
        <w:t xml:space="preserve"> </w:t>
      </w:r>
      <w:r w:rsidRPr="00D10FD9">
        <w:rPr>
          <w:i/>
        </w:rPr>
        <w:t>conditions (temperature, moisture content, nutrient and oxygen supply) applied in the laboratory</w:t>
      </w:r>
      <w:r w:rsidR="00687BF3" w:rsidRPr="00D10FD9">
        <w:rPr>
          <w:i/>
        </w:rPr>
        <w:t xml:space="preserve"> </w:t>
      </w:r>
      <w:r w:rsidRPr="00D10FD9">
        <w:rPr>
          <w:i/>
        </w:rPr>
        <w:t xml:space="preserve">tests. </w:t>
      </w:r>
    </w:p>
    <w:p w14:paraId="21E4AC6C" w14:textId="4C543299" w:rsidR="00687BF3" w:rsidRDefault="00687BF3" w:rsidP="00D10FD9">
      <w:pPr>
        <w:pStyle w:val="BodyText"/>
      </w:pPr>
      <w:r w:rsidRPr="0024492A">
        <w:rPr>
          <w:i/>
        </w:rPr>
        <w:t>Wild and Jones (1993)</w:t>
      </w:r>
      <w:r w:rsidRPr="00687BF3">
        <w:rPr>
          <w:i/>
        </w:rPr>
        <w:t xml:space="preserve"> and Wild et al. (1991) studied the biodegradation of PAHs in soil amended</w:t>
      </w:r>
      <w:r>
        <w:rPr>
          <w:i/>
        </w:rPr>
        <w:t xml:space="preserve"> </w:t>
      </w:r>
      <w:r w:rsidRPr="00687BF3">
        <w:rPr>
          <w:i/>
        </w:rPr>
        <w:t>with sewage sludge under laboratory and field conditions, respectively.</w:t>
      </w:r>
      <w:r w:rsidR="00D11C4D">
        <w:rPr>
          <w:i/>
        </w:rPr>
        <w:t xml:space="preserve"> </w:t>
      </w:r>
      <w:r w:rsidR="00D11C4D" w:rsidRPr="0012411C">
        <w:t>They</w:t>
      </w:r>
      <w:r w:rsidR="00D11C4D">
        <w:t xml:space="preserve"> </w:t>
      </w:r>
      <w:r>
        <w:t xml:space="preserve">determined </w:t>
      </w:r>
      <w:r w:rsidR="00225E85">
        <w:t xml:space="preserve">dissipation </w:t>
      </w:r>
      <w:r>
        <w:t>half-li</w:t>
      </w:r>
      <w:r w:rsidR="00D11C4D">
        <w:t>ves</w:t>
      </w:r>
      <w:r>
        <w:t xml:space="preserve"> for </w:t>
      </w:r>
      <w:proofErr w:type="spellStart"/>
      <w:r>
        <w:t>BaA</w:t>
      </w:r>
      <w:proofErr w:type="spellEnd"/>
      <w:r>
        <w:t xml:space="preserve"> </w:t>
      </w:r>
      <w:r w:rsidR="00D11C4D">
        <w:t xml:space="preserve">in the range </w:t>
      </w:r>
      <w:r>
        <w:t>of 1</w:t>
      </w:r>
      <w:r w:rsidR="00D047E2">
        <w:t>0</w:t>
      </w:r>
      <w:r>
        <w:t xml:space="preserve">6 to 313 days in laboratory </w:t>
      </w:r>
      <w:r>
        <w:lastRenderedPageBreak/>
        <w:t>soil microcosms and under fi</w:t>
      </w:r>
      <w:r w:rsidR="000811F3">
        <w:t xml:space="preserve">eld condition a half-life of 8.1 years. </w:t>
      </w:r>
    </w:p>
    <w:p w14:paraId="465D61C7" w14:textId="7CA8F499" w:rsidR="000811F3" w:rsidRDefault="00BB007B" w:rsidP="00F97B18">
      <w:pPr>
        <w:pStyle w:val="BodyText"/>
        <w:jc w:val="both"/>
      </w:pPr>
      <w:r>
        <w:t xml:space="preserve">In addition Mackay </w:t>
      </w:r>
      <w:r w:rsidRPr="0012411C">
        <w:rPr>
          <w:i/>
        </w:rPr>
        <w:t>et al.</w:t>
      </w:r>
      <w:r>
        <w:t xml:space="preserve"> (1992) as summarized </w:t>
      </w:r>
      <w:r w:rsidR="00A3592C">
        <w:t xml:space="preserve">by </w:t>
      </w:r>
      <w:r w:rsidR="00B3465D">
        <w:t>The Netherlands (</w:t>
      </w:r>
      <w:r>
        <w:t xml:space="preserve">2008) </w:t>
      </w:r>
      <w:r w:rsidR="000530C4">
        <w:t xml:space="preserve">predicted </w:t>
      </w:r>
      <w:r>
        <w:t>half-li</w:t>
      </w:r>
      <w:r w:rsidR="00D11C4D">
        <w:t>ves</w:t>
      </w:r>
      <w:r>
        <w:t xml:space="preserve"> for </w:t>
      </w:r>
      <w:proofErr w:type="spellStart"/>
      <w:r>
        <w:t>BaA</w:t>
      </w:r>
      <w:proofErr w:type="spellEnd"/>
      <w:r>
        <w:t xml:space="preserve"> </w:t>
      </w:r>
      <w:r w:rsidR="00D11C4D">
        <w:t xml:space="preserve">in the range </w:t>
      </w:r>
      <w:r>
        <w:t>of 420 to 1250 days</w:t>
      </w:r>
      <w:r w:rsidR="00D11C4D">
        <w:t xml:space="preserve"> in soil</w:t>
      </w:r>
      <w:r>
        <w:t>.</w:t>
      </w:r>
      <w:r w:rsidR="000530C4">
        <w:t xml:space="preserve"> These predictions are in line with half-lives observed under laboratory conditions or under environmental conditions (field data).</w:t>
      </w:r>
    </w:p>
    <w:p w14:paraId="0EBDEE05" w14:textId="2BB62402" w:rsidR="001F03EB" w:rsidRDefault="001F03EB" w:rsidP="00D10FD9">
      <w:pPr>
        <w:pStyle w:val="BodyText"/>
      </w:pPr>
      <w:r>
        <w:t xml:space="preserve">Further the Support Document for identification of CTPHT as SVHC (ECHA, 2009) discusses “aging” for PAHs as following: </w:t>
      </w:r>
    </w:p>
    <w:p w14:paraId="77ECCC72" w14:textId="77777777" w:rsidR="001F03EB" w:rsidRPr="009B0DE8" w:rsidRDefault="001F03EB" w:rsidP="001F03EB">
      <w:pPr>
        <w:widowControl/>
        <w:autoSpaceDE w:val="0"/>
        <w:autoSpaceDN w:val="0"/>
        <w:adjustRightInd w:val="0"/>
        <w:jc w:val="both"/>
      </w:pPr>
      <w:r w:rsidRPr="009B0DE8">
        <w:rPr>
          <w:i/>
          <w:lang w:eastAsia="de-DE"/>
        </w:rPr>
        <w:t>“‘Aging’ is a phenomenon associated with increased residence time of PAHs in soil, which can further decrease the bioavailability of PAHs in the terrestrial environment. Freshly spiked PAHs are more readily desorbed and thus more bioavailable than PAHs that have been in soil or sediment for a longer period of time (The Netherlands, 2008). This means that studies involving artificially added PAHs (e.g. 14C-labelled) often result in biodegradation rates much higher than rates observed for the same substances present in soil as part of a contamination by coal tar.</w:t>
      </w:r>
      <w:r w:rsidRPr="009B0DE8">
        <w:t>”</w:t>
      </w:r>
    </w:p>
    <w:p w14:paraId="5A7C91A8" w14:textId="77777777" w:rsidR="001F03EB" w:rsidRPr="0090336D" w:rsidRDefault="001F03EB" w:rsidP="00D10FD9">
      <w:pPr>
        <w:pStyle w:val="BodyText"/>
      </w:pPr>
    </w:p>
    <w:p w14:paraId="115C5BD3" w14:textId="77777777" w:rsidR="001F5783" w:rsidRPr="00096A9A" w:rsidRDefault="00852117" w:rsidP="00264345">
      <w:pPr>
        <w:pStyle w:val="Heading4"/>
        <w:tabs>
          <w:tab w:val="num" w:pos="284"/>
        </w:tabs>
      </w:pPr>
      <w:r w:rsidRPr="00096A9A">
        <w:t xml:space="preserve">3.1.2.4 </w:t>
      </w:r>
      <w:r w:rsidR="001F5783" w:rsidRPr="00096A9A">
        <w:t>Summary and discussion on biodegradation</w:t>
      </w:r>
    </w:p>
    <w:p w14:paraId="36731E8C" w14:textId="77777777" w:rsidR="00BB007B" w:rsidRPr="00A12C6E" w:rsidRDefault="00BB007B" w:rsidP="00BB007B">
      <w:pPr>
        <w:widowControl/>
        <w:autoSpaceDE w:val="0"/>
        <w:autoSpaceDN w:val="0"/>
        <w:adjustRightInd w:val="0"/>
        <w:jc w:val="both"/>
      </w:pPr>
    </w:p>
    <w:p w14:paraId="4DF86070" w14:textId="6510F4CD" w:rsidR="00BA5DB2" w:rsidRDefault="00BB007B" w:rsidP="00BB007B">
      <w:pPr>
        <w:pStyle w:val="BodyText"/>
        <w:jc w:val="both"/>
      </w:pPr>
      <w:r w:rsidRPr="00D10FD9">
        <w:t xml:space="preserve">The </w:t>
      </w:r>
      <w:r w:rsidR="0037500D">
        <w:t xml:space="preserve">half-life </w:t>
      </w:r>
      <w:r w:rsidR="000530C4">
        <w:t xml:space="preserve">predicted </w:t>
      </w:r>
      <w:r w:rsidRPr="00D10FD9">
        <w:t xml:space="preserve">by </w:t>
      </w:r>
      <w:r w:rsidRPr="00D10FD9">
        <w:rPr>
          <w:noProof/>
        </w:rPr>
        <w:t>Mackay et al. (1992)</w:t>
      </w:r>
      <w:r w:rsidRPr="00D10FD9">
        <w:t xml:space="preserve"> indicate that </w:t>
      </w:r>
      <w:proofErr w:type="spellStart"/>
      <w:r w:rsidR="00E33D51" w:rsidRPr="00D10FD9">
        <w:t>BaA</w:t>
      </w:r>
      <w:proofErr w:type="spellEnd"/>
      <w:r w:rsidRPr="00D10FD9">
        <w:t xml:space="preserve"> </w:t>
      </w:r>
      <w:r w:rsidR="007A22C5" w:rsidRPr="000961D8">
        <w:t xml:space="preserve">persists in sediment </w:t>
      </w:r>
      <w:r w:rsidRPr="00D10FD9">
        <w:t xml:space="preserve">with half-lives </w:t>
      </w:r>
      <w:r w:rsidR="00FB56C1">
        <w:t>higher</w:t>
      </w:r>
      <w:r w:rsidR="007A22C5" w:rsidRPr="000961D8">
        <w:t xml:space="preserve"> than </w:t>
      </w:r>
      <w:r w:rsidRPr="00D10FD9">
        <w:t xml:space="preserve">1250 days. </w:t>
      </w:r>
      <w:r w:rsidR="00A3592C">
        <w:t>For water degradation</w:t>
      </w:r>
      <w:r w:rsidR="00765E72">
        <w:t xml:space="preserve">, Mackay </w:t>
      </w:r>
      <w:r w:rsidR="00765E72" w:rsidRPr="0012411C">
        <w:rPr>
          <w:i/>
        </w:rPr>
        <w:t>et al.</w:t>
      </w:r>
      <w:r w:rsidR="00765E72">
        <w:t xml:space="preserve"> (1992)</w:t>
      </w:r>
      <w:r w:rsidR="00A3592C">
        <w:t xml:space="preserve"> </w:t>
      </w:r>
      <w:r w:rsidR="00765E72">
        <w:t xml:space="preserve">predicted </w:t>
      </w:r>
      <w:r w:rsidR="003A3416">
        <w:t xml:space="preserve">long elimination </w:t>
      </w:r>
      <w:r w:rsidR="00A3592C">
        <w:t>half</w:t>
      </w:r>
      <w:r w:rsidR="00765E72">
        <w:t>-</w:t>
      </w:r>
      <w:r w:rsidR="00A3592C">
        <w:t>li</w:t>
      </w:r>
      <w:r w:rsidR="00940D7D">
        <w:t>v</w:t>
      </w:r>
      <w:r w:rsidR="00B32789">
        <w:t>es</w:t>
      </w:r>
      <w:r w:rsidR="007A22C5" w:rsidRPr="000961D8">
        <w:t xml:space="preserve"> between </w:t>
      </w:r>
      <w:r w:rsidR="009E329B" w:rsidRPr="00D10FD9">
        <w:t>42 and 125 days</w:t>
      </w:r>
      <w:r w:rsidR="006841DA">
        <w:t>. However,</w:t>
      </w:r>
      <w:r w:rsidR="00765E72">
        <w:t xml:space="preserve"> considering the chemical structure of </w:t>
      </w:r>
      <w:proofErr w:type="spellStart"/>
      <w:r w:rsidR="00765E72">
        <w:t>BaA</w:t>
      </w:r>
      <w:proofErr w:type="spellEnd"/>
      <w:r w:rsidR="00765E72">
        <w:t xml:space="preserve"> that consists of four aromatic rings, standard tests for biodegradation in water</w:t>
      </w:r>
      <w:r w:rsidR="003A3416">
        <w:t xml:space="preserve"> demonstrated that </w:t>
      </w:r>
      <w:proofErr w:type="spellStart"/>
      <w:r w:rsidR="003A3416">
        <w:t>BaA</w:t>
      </w:r>
      <w:proofErr w:type="spellEnd"/>
      <w:r w:rsidR="003A3416">
        <w:t xml:space="preserve"> is biodegradable under aerobic conditions</w:t>
      </w:r>
      <w:r w:rsidR="009E329B" w:rsidRPr="00D10FD9">
        <w:t>.</w:t>
      </w:r>
      <w:r w:rsidR="007A22C5" w:rsidRPr="000961D8">
        <w:t xml:space="preserve"> </w:t>
      </w:r>
      <w:r w:rsidR="003A3416">
        <w:t xml:space="preserve">Biodegradation studies in </w:t>
      </w:r>
      <w:r w:rsidR="006841DA">
        <w:t>laboratory soil microcosms</w:t>
      </w:r>
      <w:r w:rsidR="003A3416">
        <w:t xml:space="preserve"> show dissipation half-lives between 106 and 313 days (Wild and Jones, 1993). </w:t>
      </w:r>
      <w:r w:rsidR="009E329B" w:rsidRPr="00D10FD9">
        <w:t>Biode</w:t>
      </w:r>
      <w:r w:rsidR="00BA5DB2" w:rsidRPr="000961D8">
        <w:t xml:space="preserve">gradation studies </w:t>
      </w:r>
      <w:r w:rsidR="009E329B" w:rsidRPr="00D10FD9">
        <w:t xml:space="preserve">on soil </w:t>
      </w:r>
      <w:r w:rsidR="00BA5DB2" w:rsidRPr="000961D8">
        <w:t xml:space="preserve">done by Wild </w:t>
      </w:r>
      <w:r w:rsidR="00BA5DB2" w:rsidRPr="0012411C">
        <w:rPr>
          <w:i/>
        </w:rPr>
        <w:t>et al.</w:t>
      </w:r>
      <w:r w:rsidR="00BA5DB2" w:rsidRPr="000961D8">
        <w:t xml:space="preserve"> (1991) revealed a </w:t>
      </w:r>
      <w:r w:rsidR="00624017" w:rsidRPr="00D10FD9">
        <w:t xml:space="preserve">half-life of </w:t>
      </w:r>
      <w:proofErr w:type="spellStart"/>
      <w:r w:rsidR="00624017" w:rsidRPr="00D10FD9">
        <w:t>BaA</w:t>
      </w:r>
      <w:proofErr w:type="spellEnd"/>
      <w:r w:rsidR="00624017" w:rsidRPr="00D10FD9">
        <w:t xml:space="preserve"> of mor</w:t>
      </w:r>
      <w:r w:rsidR="000961D8" w:rsidRPr="00D10FD9">
        <w:t>e</w:t>
      </w:r>
      <w:r w:rsidR="00624017" w:rsidRPr="00D10FD9">
        <w:t xml:space="preserve"> than 8.1</w:t>
      </w:r>
      <w:r w:rsidR="00BA5DB2" w:rsidRPr="000961D8">
        <w:t xml:space="preserve"> years under field conditions.</w:t>
      </w:r>
      <w:r w:rsidR="00BA5DB2">
        <w:t xml:space="preserve"> </w:t>
      </w:r>
    </w:p>
    <w:p w14:paraId="5B110146" w14:textId="5F4287BF" w:rsidR="00BB007B" w:rsidRPr="00A12C6E" w:rsidRDefault="00BB007B" w:rsidP="00BB007B">
      <w:pPr>
        <w:pStyle w:val="BodyText"/>
        <w:jc w:val="both"/>
      </w:pPr>
      <w:r w:rsidRPr="00A12C6E">
        <w:t xml:space="preserve">Hence, </w:t>
      </w:r>
      <w:proofErr w:type="spellStart"/>
      <w:proofErr w:type="gramStart"/>
      <w:r>
        <w:t>B</w:t>
      </w:r>
      <w:r w:rsidR="00BA5DB2">
        <w:t>aA</w:t>
      </w:r>
      <w:proofErr w:type="spellEnd"/>
      <w:proofErr w:type="gramEnd"/>
      <w:r w:rsidRPr="00A12C6E">
        <w:t xml:space="preserve"> biodegrades very slowly in sediment</w:t>
      </w:r>
      <w:r w:rsidR="006841DA">
        <w:t>s</w:t>
      </w:r>
      <w:r w:rsidRPr="00A12C6E">
        <w:t xml:space="preserve"> and soil</w:t>
      </w:r>
      <w:r w:rsidR="006841DA">
        <w:t>s</w:t>
      </w:r>
      <w:r w:rsidRPr="00A12C6E">
        <w:t>.</w:t>
      </w:r>
    </w:p>
    <w:p w14:paraId="366ABD56" w14:textId="590CA538" w:rsidR="00BB007B" w:rsidRDefault="00BB007B" w:rsidP="00BB007B">
      <w:pPr>
        <w:pStyle w:val="BodyText"/>
        <w:spacing w:after="0"/>
        <w:jc w:val="both"/>
      </w:pPr>
      <w:r>
        <w:t>This conclusion was already drawn in the Support Document for identification of CTPHT as SVHC (ECHA, 2009).</w:t>
      </w:r>
      <w:r w:rsidR="0037500D">
        <w:t xml:space="preserve"> </w:t>
      </w:r>
    </w:p>
    <w:p w14:paraId="115C5BD4" w14:textId="77777777" w:rsidR="00B76614" w:rsidRPr="00096A9A" w:rsidRDefault="00B76614" w:rsidP="00B76614">
      <w:pPr>
        <w:pStyle w:val="BodyText"/>
      </w:pPr>
    </w:p>
    <w:p w14:paraId="115C5BD7" w14:textId="6055D0B7" w:rsidR="00B12C39" w:rsidRDefault="00B25391" w:rsidP="00B76533">
      <w:pPr>
        <w:pStyle w:val="Heading3"/>
        <w:tabs>
          <w:tab w:val="clear" w:pos="360"/>
          <w:tab w:val="num" w:pos="0"/>
        </w:tabs>
      </w:pPr>
      <w:bookmarkStart w:id="239" w:name="_Toc341888523"/>
      <w:bookmarkStart w:id="240" w:name="_Toc342400375"/>
      <w:bookmarkStart w:id="241" w:name="_Toc354499577"/>
      <w:bookmarkStart w:id="242" w:name="_Toc357083652"/>
      <w:bookmarkStart w:id="243" w:name="_Toc357184201"/>
      <w:bookmarkStart w:id="244" w:name="_Toc357184437"/>
      <w:bookmarkStart w:id="245" w:name="_Toc357185239"/>
      <w:bookmarkStart w:id="246" w:name="_Toc357186087"/>
      <w:bookmarkStart w:id="247" w:name="_Toc357186236"/>
      <w:bookmarkStart w:id="248" w:name="_Toc357437522"/>
      <w:bookmarkStart w:id="249" w:name="_Toc357590795"/>
      <w:bookmarkStart w:id="250" w:name="_Toc357692827"/>
      <w:bookmarkStart w:id="251" w:name="_Toc365649655"/>
      <w:bookmarkStart w:id="252" w:name="_Toc365649804"/>
      <w:bookmarkStart w:id="253" w:name="_Toc366489856"/>
      <w:bookmarkStart w:id="254" w:name="_Toc418498561"/>
      <w:bookmarkStart w:id="255" w:name="_Toc418506004"/>
      <w:bookmarkStart w:id="256" w:name="_Toc491810734"/>
      <w:r w:rsidRPr="00096A9A">
        <w:t>3.1.</w:t>
      </w:r>
      <w:r w:rsidR="00113C4F">
        <w:t>3</w:t>
      </w:r>
      <w:r w:rsidR="00113C4F" w:rsidRPr="00096A9A">
        <w:t xml:space="preserve"> </w:t>
      </w:r>
      <w:r w:rsidR="00B12C39" w:rsidRPr="00096A9A">
        <w:t>Summary and discussion of degradation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2DC6BF5C" w14:textId="77777777" w:rsidR="003D3036" w:rsidRDefault="003D3036" w:rsidP="00F97B18">
      <w:pPr>
        <w:pStyle w:val="BodyText"/>
        <w:jc w:val="both"/>
      </w:pPr>
      <w:proofErr w:type="spellStart"/>
      <w:r w:rsidRPr="0043167A">
        <w:t>B</w:t>
      </w:r>
      <w:r>
        <w:t>aA</w:t>
      </w:r>
      <w:proofErr w:type="spellEnd"/>
      <w:r w:rsidRPr="0043167A">
        <w:t xml:space="preserve"> has a low water solubility and shows a high tendency to adsorb to particles and organic matter in the environment. The resulting low bioavailability is one of the limiting factors of its biodegradation.</w:t>
      </w:r>
    </w:p>
    <w:p w14:paraId="538B877D" w14:textId="739F1568" w:rsidR="0004513D" w:rsidRDefault="00802085" w:rsidP="00F97B18">
      <w:pPr>
        <w:widowControl/>
        <w:autoSpaceDE w:val="0"/>
        <w:autoSpaceDN w:val="0"/>
        <w:adjustRightInd w:val="0"/>
        <w:jc w:val="both"/>
      </w:pPr>
      <w:r>
        <w:rPr>
          <w:rFonts w:cs="Verdana"/>
          <w:lang w:eastAsia="en-GB"/>
        </w:rPr>
        <w:t xml:space="preserve">For assessing the persistence of </w:t>
      </w:r>
      <w:proofErr w:type="spellStart"/>
      <w:r>
        <w:rPr>
          <w:rFonts w:cs="Verdana"/>
          <w:lang w:eastAsia="en-GB"/>
        </w:rPr>
        <w:t>BaA</w:t>
      </w:r>
      <w:proofErr w:type="spellEnd"/>
      <w:r>
        <w:rPr>
          <w:rFonts w:cs="Verdana"/>
          <w:lang w:eastAsia="en-GB"/>
        </w:rPr>
        <w:t>, half-lives obtained under realistic conditions, such as</w:t>
      </w:r>
      <w:r w:rsidR="003B5DF2">
        <w:rPr>
          <w:rFonts w:cs="Verdana"/>
          <w:lang w:eastAsia="en-GB"/>
        </w:rPr>
        <w:t xml:space="preserve"> </w:t>
      </w:r>
      <w:r>
        <w:rPr>
          <w:rFonts w:cs="Verdana"/>
          <w:lang w:eastAsia="en-GB"/>
        </w:rPr>
        <w:t xml:space="preserve">field conditions, are given higher weight. </w:t>
      </w:r>
      <w:r w:rsidR="00071318">
        <w:rPr>
          <w:rFonts w:cs="Verdana"/>
          <w:lang w:eastAsia="en-GB"/>
        </w:rPr>
        <w:t>Selected studies report dissipation half-lives in soil in the range from 106 to 313 days (Wild and Jones, 1993). Additionally, t</w:t>
      </w:r>
      <w:r w:rsidR="0004513D" w:rsidRPr="0012411C">
        <w:t xml:space="preserve">he study by Wild </w:t>
      </w:r>
      <w:r w:rsidR="0004513D" w:rsidRPr="00802085">
        <w:rPr>
          <w:i/>
        </w:rPr>
        <w:t>et al.</w:t>
      </w:r>
      <w:r w:rsidR="0004513D" w:rsidRPr="0012411C">
        <w:t xml:space="preserve"> (1991) </w:t>
      </w:r>
      <w:r w:rsidR="00CF367D">
        <w:t xml:space="preserve">reports a half-life for </w:t>
      </w:r>
      <w:proofErr w:type="spellStart"/>
      <w:r w:rsidR="00CF367D">
        <w:t>BaA</w:t>
      </w:r>
      <w:proofErr w:type="spellEnd"/>
      <w:r w:rsidR="00CF367D">
        <w:t xml:space="preserve"> of 8.1 years</w:t>
      </w:r>
      <w:r w:rsidR="00DE22A5">
        <w:t xml:space="preserve"> in soil</w:t>
      </w:r>
      <w:r w:rsidR="00CF367D">
        <w:t xml:space="preserve">, obtained in a long term field experiment. </w:t>
      </w:r>
    </w:p>
    <w:p w14:paraId="27F3904E" w14:textId="77777777" w:rsidR="00F97B18" w:rsidRPr="00CF367D" w:rsidRDefault="00F97B18" w:rsidP="00F97B18">
      <w:pPr>
        <w:widowControl/>
        <w:autoSpaceDE w:val="0"/>
        <w:autoSpaceDN w:val="0"/>
        <w:adjustRightInd w:val="0"/>
        <w:jc w:val="both"/>
      </w:pPr>
    </w:p>
    <w:p w14:paraId="0F9BE3BE" w14:textId="40D0013F" w:rsidR="00071318" w:rsidRDefault="0004513D" w:rsidP="00071318">
      <w:pPr>
        <w:pStyle w:val="BodyText"/>
        <w:spacing w:after="0"/>
        <w:jc w:val="both"/>
      </w:pPr>
      <w:r>
        <w:t xml:space="preserve">Therefore, </w:t>
      </w:r>
      <w:r w:rsidR="00071318">
        <w:t xml:space="preserve">it is concluded that </w:t>
      </w:r>
      <w:proofErr w:type="spellStart"/>
      <w:r>
        <w:t>BaA</w:t>
      </w:r>
      <w:proofErr w:type="spellEnd"/>
      <w:r>
        <w:t xml:space="preserve"> </w:t>
      </w:r>
      <w:r w:rsidR="00071318">
        <w:t xml:space="preserve">is a </w:t>
      </w:r>
      <w:r>
        <w:t xml:space="preserve">very persistent </w:t>
      </w:r>
      <w:r w:rsidR="00071318">
        <w:t xml:space="preserve">substance. </w:t>
      </w:r>
    </w:p>
    <w:p w14:paraId="115C5BD8" w14:textId="77777777" w:rsidR="00B12C39" w:rsidRPr="00096A9A" w:rsidRDefault="00B12C39" w:rsidP="00775002">
      <w:pPr>
        <w:pStyle w:val="BodyText"/>
        <w:ind w:hanging="2127"/>
      </w:pPr>
    </w:p>
    <w:p w14:paraId="115C5BD9" w14:textId="77777777" w:rsidR="00B76533" w:rsidRPr="00096A9A" w:rsidRDefault="00B25391" w:rsidP="00B76533">
      <w:pPr>
        <w:pStyle w:val="Heading2"/>
      </w:pPr>
      <w:bookmarkStart w:id="257" w:name="_Toc341888525"/>
      <w:bookmarkStart w:id="258" w:name="_Toc342400377"/>
      <w:bookmarkStart w:id="259" w:name="_Toc354499578"/>
      <w:bookmarkStart w:id="260" w:name="_Toc357083653"/>
      <w:bookmarkStart w:id="261" w:name="_Toc357184202"/>
      <w:bookmarkStart w:id="262" w:name="_Toc357184438"/>
      <w:bookmarkStart w:id="263" w:name="_Toc357185240"/>
      <w:bookmarkStart w:id="264" w:name="_Toc357186088"/>
      <w:bookmarkStart w:id="265" w:name="_Toc357186237"/>
      <w:bookmarkStart w:id="266" w:name="_Toc357437523"/>
      <w:bookmarkStart w:id="267" w:name="_Toc357590796"/>
      <w:bookmarkStart w:id="268" w:name="_Toc357692828"/>
      <w:bookmarkStart w:id="269" w:name="_Toc365649656"/>
      <w:bookmarkStart w:id="270" w:name="_Toc365649805"/>
      <w:bookmarkStart w:id="271" w:name="_Toc366489857"/>
      <w:bookmarkStart w:id="272" w:name="_Toc418498562"/>
      <w:bookmarkStart w:id="273" w:name="_Toc418506005"/>
      <w:bookmarkStart w:id="274" w:name="_Toc491810735"/>
      <w:r w:rsidRPr="00096A9A">
        <w:t xml:space="preserve">3.2 </w:t>
      </w:r>
      <w:r w:rsidR="00B12C39" w:rsidRPr="00096A9A">
        <w:t>Environmental distribution</w:t>
      </w:r>
      <w:bookmarkStart w:id="275" w:name="_Toc341888526"/>
      <w:bookmarkStart w:id="276" w:name="_Toc342400378"/>
      <w:bookmarkStart w:id="277" w:name="_Toc354499579"/>
      <w:bookmarkStart w:id="278" w:name="_Toc357083654"/>
      <w:bookmarkStart w:id="279" w:name="_Toc357184203"/>
      <w:bookmarkStart w:id="280" w:name="_Toc357184439"/>
      <w:bookmarkStart w:id="281" w:name="_Toc357185241"/>
      <w:bookmarkStart w:id="282" w:name="_Toc357186089"/>
      <w:bookmarkStart w:id="283" w:name="_Toc357186238"/>
      <w:bookmarkStart w:id="284" w:name="_Toc357437524"/>
      <w:bookmarkStart w:id="285" w:name="_Toc357590797"/>
      <w:bookmarkStart w:id="286" w:name="_Toc357692829"/>
      <w:bookmarkStart w:id="287" w:name="_Toc365649657"/>
      <w:bookmarkStart w:id="288" w:name="_Toc365649806"/>
      <w:bookmarkStart w:id="289" w:name="_Toc366489858"/>
      <w:bookmarkStart w:id="290" w:name="_Toc41849856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115C5BDA" w14:textId="77777777" w:rsidR="00B76533" w:rsidRDefault="00264345" w:rsidP="00B76533">
      <w:pPr>
        <w:pStyle w:val="Heading3"/>
        <w:tabs>
          <w:tab w:val="clear" w:pos="360"/>
          <w:tab w:val="num" w:pos="284"/>
        </w:tabs>
      </w:pPr>
      <w:bookmarkStart w:id="291" w:name="_Toc418506006"/>
      <w:bookmarkStart w:id="292" w:name="_Toc491810736"/>
      <w:r w:rsidRPr="00096A9A">
        <w:t xml:space="preserve">3.2.1 </w:t>
      </w:r>
      <w:r w:rsidR="00B12C39" w:rsidRPr="00096A9A">
        <w:t>Adsorption/desorption</w:t>
      </w:r>
      <w:bookmarkStart w:id="293" w:name="_Toc341888527"/>
      <w:bookmarkStart w:id="294" w:name="_Toc342400379"/>
      <w:bookmarkStart w:id="295" w:name="_Toc354499580"/>
      <w:bookmarkStart w:id="296" w:name="_Toc357083655"/>
      <w:bookmarkStart w:id="297" w:name="_Toc357184204"/>
      <w:bookmarkStart w:id="298" w:name="_Toc357184440"/>
      <w:bookmarkStart w:id="299" w:name="_Toc357185242"/>
      <w:bookmarkStart w:id="300" w:name="_Toc357186090"/>
      <w:bookmarkStart w:id="301" w:name="_Toc357186239"/>
      <w:bookmarkStart w:id="302" w:name="_Toc357437525"/>
      <w:bookmarkStart w:id="303" w:name="_Toc357590798"/>
      <w:bookmarkStart w:id="304" w:name="_Toc357692830"/>
      <w:bookmarkStart w:id="305" w:name="_Toc365649658"/>
      <w:bookmarkStart w:id="306" w:name="_Toc365649807"/>
      <w:bookmarkStart w:id="307" w:name="_Toc366489859"/>
      <w:bookmarkStart w:id="308" w:name="_Toc41849856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51507DF6" w14:textId="1E91942A" w:rsidR="0004513D" w:rsidRDefault="00C37C68" w:rsidP="00D10FD9">
      <w:pPr>
        <w:pStyle w:val="BodyText"/>
      </w:pPr>
      <w:r>
        <w:t xml:space="preserve">In the Support Document for identification of CTPHT as SVHC (ECHA, 2009) the </w:t>
      </w:r>
      <w:r>
        <w:lastRenderedPageBreak/>
        <w:t>adsorption properties of PAH</w:t>
      </w:r>
      <w:r w:rsidR="005F6B11">
        <w:t>s</w:t>
      </w:r>
      <w:r>
        <w:t xml:space="preserve"> are described as follows:</w:t>
      </w:r>
    </w:p>
    <w:p w14:paraId="4224BA1B" w14:textId="222B091F" w:rsidR="00C37C68" w:rsidRDefault="00C37C68" w:rsidP="00D10FD9">
      <w:pPr>
        <w:pStyle w:val="BodyText"/>
        <w:rPr>
          <w:i/>
        </w:rPr>
      </w:pPr>
      <w:r>
        <w:t>“</w:t>
      </w:r>
      <w:r w:rsidRPr="00D10FD9">
        <w:rPr>
          <w:i/>
        </w:rPr>
        <w:t xml:space="preserve">A linear relationship between </w:t>
      </w:r>
      <w:proofErr w:type="spellStart"/>
      <w:r w:rsidRPr="00D10FD9">
        <w:rPr>
          <w:i/>
        </w:rPr>
        <w:t>Kow</w:t>
      </w:r>
      <w:proofErr w:type="spellEnd"/>
      <w:r w:rsidRPr="00D10FD9">
        <w:rPr>
          <w:i/>
        </w:rPr>
        <w:t xml:space="preserve"> and the organic carbon-water partitioning coefficient </w:t>
      </w:r>
      <w:proofErr w:type="spellStart"/>
      <w:r w:rsidRPr="00D10FD9">
        <w:rPr>
          <w:i/>
        </w:rPr>
        <w:t>Koc</w:t>
      </w:r>
      <w:proofErr w:type="spellEnd"/>
      <w:r w:rsidRPr="00D10FD9">
        <w:rPr>
          <w:i/>
        </w:rPr>
        <w:t xml:space="preserve"> has been demonstrated for PAHs in sediments and soil. The Log </w:t>
      </w:r>
      <w:proofErr w:type="spellStart"/>
      <w:r w:rsidRPr="00D10FD9">
        <w:rPr>
          <w:i/>
        </w:rPr>
        <w:t>Kow</w:t>
      </w:r>
      <w:proofErr w:type="spellEnd"/>
      <w:r w:rsidRPr="00D10FD9">
        <w:rPr>
          <w:i/>
        </w:rPr>
        <w:t xml:space="preserve"> values from 4.6 to 6.6 can be translated as a high potential for partitioning to soils and sediments. Partitioning processes like adsorption to airborne particulate matter, as well as accumulation in sludge during wastewater treatment, have been demonstrated especially for high molecular weight PAHs (The Netherlands, 2008).”</w:t>
      </w:r>
    </w:p>
    <w:p w14:paraId="6809B2A4" w14:textId="3E8192C1" w:rsidR="00C37C68" w:rsidRPr="0090336D" w:rsidRDefault="00857D8C" w:rsidP="00D10FD9">
      <w:pPr>
        <w:pStyle w:val="BodyText"/>
      </w:pPr>
      <w:proofErr w:type="spellStart"/>
      <w:r>
        <w:t>BaA</w:t>
      </w:r>
      <w:proofErr w:type="spellEnd"/>
      <w:r>
        <w:t xml:space="preserve"> has a Log </w:t>
      </w:r>
      <w:proofErr w:type="spellStart"/>
      <w:r>
        <w:t>Kow</w:t>
      </w:r>
      <w:proofErr w:type="spellEnd"/>
      <w:r>
        <w:t xml:space="preserve"> value of 5.</w:t>
      </w:r>
      <w:r w:rsidR="00C37C68">
        <w:t xml:space="preserve">91. It is therefore concluded that </w:t>
      </w:r>
      <w:proofErr w:type="spellStart"/>
      <w:r w:rsidR="00C37C68">
        <w:t>BaA</w:t>
      </w:r>
      <w:proofErr w:type="spellEnd"/>
      <w:r w:rsidR="00C37C68">
        <w:t xml:space="preserve"> has a high potential to adsorb </w:t>
      </w:r>
      <w:r>
        <w:t>to particles</w:t>
      </w:r>
      <w:r w:rsidR="00B718A5">
        <w:t xml:space="preserve"> in the environment</w:t>
      </w:r>
      <w:r>
        <w:t>.</w:t>
      </w:r>
    </w:p>
    <w:p w14:paraId="115C5BDB" w14:textId="77777777" w:rsidR="00B76533" w:rsidRDefault="00264345" w:rsidP="00B76533">
      <w:pPr>
        <w:pStyle w:val="Heading3"/>
        <w:tabs>
          <w:tab w:val="clear" w:pos="360"/>
          <w:tab w:val="num" w:pos="284"/>
        </w:tabs>
      </w:pPr>
      <w:bookmarkStart w:id="309" w:name="_Toc418506007"/>
      <w:bookmarkStart w:id="310" w:name="_Toc491810737"/>
      <w:r w:rsidRPr="00096A9A">
        <w:t xml:space="preserve">3.2.2 </w:t>
      </w:r>
      <w:r w:rsidR="00B12C39" w:rsidRPr="00096A9A">
        <w:t>Volatilisation</w:t>
      </w:r>
      <w:bookmarkStart w:id="311" w:name="_Toc341888528"/>
      <w:bookmarkStart w:id="312" w:name="_Toc342400380"/>
      <w:bookmarkStart w:id="313" w:name="_Toc354499581"/>
      <w:bookmarkStart w:id="314" w:name="_Toc357083656"/>
      <w:bookmarkStart w:id="315" w:name="_Toc357184205"/>
      <w:bookmarkStart w:id="316" w:name="_Toc357184441"/>
      <w:bookmarkStart w:id="317" w:name="_Toc357185243"/>
      <w:bookmarkStart w:id="318" w:name="_Toc357186091"/>
      <w:bookmarkStart w:id="319" w:name="_Toc357186240"/>
      <w:bookmarkStart w:id="320" w:name="_Toc357437526"/>
      <w:bookmarkStart w:id="321" w:name="_Toc357590799"/>
      <w:bookmarkStart w:id="322" w:name="_Toc357692831"/>
      <w:bookmarkStart w:id="323" w:name="_Toc365649659"/>
      <w:bookmarkStart w:id="324" w:name="_Toc365649808"/>
      <w:bookmarkStart w:id="325" w:name="_Toc366489860"/>
      <w:bookmarkStart w:id="326" w:name="_Toc41849856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7B689ABC" w14:textId="27D677FD" w:rsidR="00CC611F" w:rsidRDefault="00CC611F" w:rsidP="00F97B18">
      <w:pPr>
        <w:pStyle w:val="BodyText"/>
        <w:jc w:val="both"/>
      </w:pPr>
      <w:proofErr w:type="spellStart"/>
      <w:r>
        <w:t>BaA</w:t>
      </w:r>
      <w:proofErr w:type="spellEnd"/>
      <w:r>
        <w:t xml:space="preserve"> has reported </w:t>
      </w:r>
      <w:r w:rsidR="00857D8C">
        <w:t xml:space="preserve">vapour pressure </w:t>
      </w:r>
      <w:r>
        <w:t>values between</w:t>
      </w:r>
      <w:r w:rsidR="00857D8C">
        <w:t xml:space="preserve"> </w:t>
      </w:r>
      <w:r>
        <w:t>6.67 x 10</w:t>
      </w:r>
      <w:r w:rsidRPr="00D10FD9">
        <w:rPr>
          <w:vertAlign w:val="superscript"/>
        </w:rPr>
        <w:t>-7</w:t>
      </w:r>
      <w:r>
        <w:t xml:space="preserve"> Pa at 20°C and </w:t>
      </w:r>
      <w:r w:rsidRPr="00CC611F">
        <w:t>1.47 x10</w:t>
      </w:r>
      <w:r w:rsidRPr="00D10FD9">
        <w:rPr>
          <w:vertAlign w:val="superscript"/>
        </w:rPr>
        <w:t>-5</w:t>
      </w:r>
      <w:r w:rsidRPr="00CC611F">
        <w:t xml:space="preserve"> Pa at 25°C</w:t>
      </w:r>
      <w:r>
        <w:t xml:space="preserve"> (</w:t>
      </w:r>
      <w:r w:rsidRPr="00714F82">
        <w:t>Mackay</w:t>
      </w:r>
      <w:r w:rsidR="00DD5F36">
        <w:t xml:space="preserve"> et al.</w:t>
      </w:r>
      <w:r w:rsidRPr="00714F82">
        <w:t>, 2006)</w:t>
      </w:r>
      <w:r>
        <w:t xml:space="preserve">.It is therefore concluded that </w:t>
      </w:r>
      <w:proofErr w:type="spellStart"/>
      <w:r>
        <w:t>BaA</w:t>
      </w:r>
      <w:proofErr w:type="spellEnd"/>
      <w:r>
        <w:t xml:space="preserve"> is expected to volatilise very slowly. Further The Netherlands (2008) concluded </w:t>
      </w:r>
      <w:r w:rsidR="00426653">
        <w:t>that “</w:t>
      </w:r>
      <w:r w:rsidR="00426653" w:rsidRPr="00D10FD9">
        <w:rPr>
          <w:i/>
        </w:rPr>
        <w:t>volatilisation of PAHs is insignificant</w:t>
      </w:r>
      <w:r w:rsidR="00426653">
        <w:rPr>
          <w:i/>
        </w:rPr>
        <w:t>”</w:t>
      </w:r>
      <w:r w:rsidR="00426653">
        <w:t>.</w:t>
      </w:r>
    </w:p>
    <w:p w14:paraId="115C5BDC" w14:textId="77777777" w:rsidR="00B12C39" w:rsidRDefault="00264345" w:rsidP="00B76533">
      <w:pPr>
        <w:pStyle w:val="Heading3"/>
        <w:tabs>
          <w:tab w:val="clear" w:pos="360"/>
          <w:tab w:val="num" w:pos="284"/>
        </w:tabs>
      </w:pPr>
      <w:bookmarkStart w:id="327" w:name="_Toc418506008"/>
      <w:bookmarkStart w:id="328" w:name="_Toc491810738"/>
      <w:r w:rsidRPr="00096A9A">
        <w:t xml:space="preserve">3.2.3 </w:t>
      </w:r>
      <w:r w:rsidR="00B12C39" w:rsidRPr="00096A9A">
        <w:t>Distribution modellin</w:t>
      </w:r>
      <w:bookmarkEnd w:id="311"/>
      <w:r w:rsidR="00B12C39" w:rsidRPr="00096A9A">
        <w:t>g</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B12C39" w:rsidRPr="00096A9A">
        <w:t xml:space="preserve"> </w:t>
      </w:r>
    </w:p>
    <w:p w14:paraId="73D08AE3" w14:textId="3EFFEAA2" w:rsidR="004A662F" w:rsidRDefault="00457AFA" w:rsidP="00D10FD9">
      <w:pPr>
        <w:pStyle w:val="BodyText"/>
      </w:pPr>
      <w:r>
        <w:t xml:space="preserve">Mackay Level III fugacity modelling was done using EPI Suite (version 4.11) </w:t>
      </w:r>
      <w:r w:rsidR="00A06EF4">
        <w:t>with default values of environmental emission rates</w:t>
      </w:r>
      <w:r w:rsidR="00846BFA">
        <w:t xml:space="preserve"> (it is assumed that </w:t>
      </w:r>
      <w:proofErr w:type="spellStart"/>
      <w:r w:rsidR="00846BFA">
        <w:t>BaA</w:t>
      </w:r>
      <w:proofErr w:type="spellEnd"/>
      <w:r w:rsidR="00846BFA">
        <w:t xml:space="preserve"> is released at equal rates to air, water, soil and sediment) and default values of </w:t>
      </w:r>
      <w:proofErr w:type="spellStart"/>
      <w:r w:rsidR="00846BFA">
        <w:t>physico</w:t>
      </w:r>
      <w:proofErr w:type="spellEnd"/>
      <w:r w:rsidR="00846BFA">
        <w:t xml:space="preserve">-chemical properties </w:t>
      </w:r>
      <w:r w:rsidR="00A06EF4">
        <w:t xml:space="preserve"> (done in </w:t>
      </w:r>
      <w:r>
        <w:t>February 2017</w:t>
      </w:r>
      <w:r w:rsidR="00A06EF4">
        <w:t>)</w:t>
      </w:r>
      <w:r>
        <w:t xml:space="preserve">. Calculation revealed a distribution </w:t>
      </w:r>
      <w:r w:rsidR="009265C6">
        <w:t xml:space="preserve">of </w:t>
      </w:r>
      <w:proofErr w:type="spellStart"/>
      <w:r w:rsidR="009265C6">
        <w:t>BaA</w:t>
      </w:r>
      <w:proofErr w:type="spellEnd"/>
      <w:r w:rsidR="009265C6">
        <w:t xml:space="preserve"> </w:t>
      </w:r>
      <w:r>
        <w:t xml:space="preserve">to </w:t>
      </w:r>
      <w:r w:rsidR="009265C6">
        <w:t>soil and sediment phase (</w:t>
      </w:r>
      <w:r w:rsidR="00CD3779">
        <w:t xml:space="preserve">table </w:t>
      </w:r>
      <w:r w:rsidR="00A6035E">
        <w:t>4</w:t>
      </w:r>
      <w:r w:rsidR="009265C6">
        <w:t>).</w:t>
      </w:r>
    </w:p>
    <w:p w14:paraId="658AF252" w14:textId="69C5EA4B" w:rsidR="00CD3779" w:rsidRPr="00D10FD9" w:rsidRDefault="00CD3779" w:rsidP="00D10FD9">
      <w:pPr>
        <w:pStyle w:val="Caption"/>
        <w:rPr>
          <w:sz w:val="20"/>
          <w:szCs w:val="20"/>
        </w:rPr>
      </w:pPr>
      <w:bookmarkStart w:id="329" w:name="_Toc491875968"/>
      <w:r w:rsidRPr="00D10FD9">
        <w:rPr>
          <w:sz w:val="20"/>
          <w:szCs w:val="20"/>
        </w:rPr>
        <w:t xml:space="preserve">Table </w:t>
      </w:r>
      <w:r w:rsidRPr="00D10FD9">
        <w:rPr>
          <w:sz w:val="20"/>
          <w:szCs w:val="20"/>
        </w:rPr>
        <w:fldChar w:fldCharType="begin"/>
      </w:r>
      <w:r w:rsidRPr="00D10FD9">
        <w:rPr>
          <w:sz w:val="20"/>
          <w:szCs w:val="20"/>
        </w:rPr>
        <w:instrText xml:space="preserve"> SEQ Table \* ARABIC </w:instrText>
      </w:r>
      <w:r w:rsidRPr="00D10FD9">
        <w:rPr>
          <w:sz w:val="20"/>
          <w:szCs w:val="20"/>
        </w:rPr>
        <w:fldChar w:fldCharType="separate"/>
      </w:r>
      <w:r w:rsidR="00B934DA">
        <w:rPr>
          <w:noProof/>
          <w:sz w:val="20"/>
          <w:szCs w:val="20"/>
        </w:rPr>
        <w:t>4</w:t>
      </w:r>
      <w:r w:rsidRPr="00D10FD9">
        <w:rPr>
          <w:sz w:val="20"/>
          <w:szCs w:val="20"/>
        </w:rPr>
        <w:fldChar w:fldCharType="end"/>
      </w:r>
      <w:r w:rsidRPr="00D10FD9">
        <w:rPr>
          <w:sz w:val="20"/>
          <w:szCs w:val="20"/>
        </w:rPr>
        <w:t xml:space="preserve">: Fugacity Model calculation (EPI Suite, version 4.11) of </w:t>
      </w:r>
      <w:proofErr w:type="spellStart"/>
      <w:r w:rsidRPr="00D10FD9">
        <w:rPr>
          <w:sz w:val="20"/>
          <w:szCs w:val="20"/>
        </w:rPr>
        <w:t>Ba</w:t>
      </w:r>
      <w:r w:rsidR="006D4D85">
        <w:rPr>
          <w:sz w:val="20"/>
          <w:szCs w:val="20"/>
        </w:rPr>
        <w:t>A</w:t>
      </w:r>
      <w:bookmarkEnd w:id="329"/>
      <w:proofErr w:type="spellEnd"/>
    </w:p>
    <w:tbl>
      <w:tblPr>
        <w:tblStyle w:val="TableGrid"/>
        <w:tblW w:w="0" w:type="auto"/>
        <w:tblLook w:val="04A0" w:firstRow="1" w:lastRow="0" w:firstColumn="1" w:lastColumn="0" w:noHBand="0" w:noVBand="1"/>
      </w:tblPr>
      <w:tblGrid>
        <w:gridCol w:w="4460"/>
        <w:gridCol w:w="4438"/>
      </w:tblGrid>
      <w:tr w:rsidR="000F4D68" w14:paraId="76018425" w14:textId="77777777" w:rsidTr="000F4D68">
        <w:tc>
          <w:tcPr>
            <w:tcW w:w="4814" w:type="dxa"/>
          </w:tcPr>
          <w:p w14:paraId="74C52A01" w14:textId="443BF027" w:rsidR="000F4D68" w:rsidRDefault="000F4D68" w:rsidP="004A662F">
            <w:pPr>
              <w:pStyle w:val="BodyText"/>
            </w:pPr>
            <w:r>
              <w:t>Distribution to:</w:t>
            </w:r>
          </w:p>
        </w:tc>
        <w:tc>
          <w:tcPr>
            <w:tcW w:w="4815" w:type="dxa"/>
          </w:tcPr>
          <w:p w14:paraId="4AE95F80" w14:textId="29BC9DF2" w:rsidR="000F4D68" w:rsidRDefault="000F4D68" w:rsidP="004A662F">
            <w:pPr>
              <w:pStyle w:val="BodyText"/>
            </w:pPr>
            <w:r>
              <w:t>Mass amount (percent)</w:t>
            </w:r>
          </w:p>
        </w:tc>
      </w:tr>
      <w:tr w:rsidR="000F4D68" w14:paraId="092D9894" w14:textId="77777777" w:rsidTr="000F4D68">
        <w:tc>
          <w:tcPr>
            <w:tcW w:w="4814" w:type="dxa"/>
          </w:tcPr>
          <w:p w14:paraId="333766B2" w14:textId="4A78D771" w:rsidR="000F4D68" w:rsidRDefault="000F4D68" w:rsidP="004A662F">
            <w:pPr>
              <w:pStyle w:val="BodyText"/>
            </w:pPr>
            <w:r>
              <w:t>Air</w:t>
            </w:r>
          </w:p>
        </w:tc>
        <w:tc>
          <w:tcPr>
            <w:tcW w:w="4815" w:type="dxa"/>
          </w:tcPr>
          <w:p w14:paraId="6F6B79D3" w14:textId="68BA20BA" w:rsidR="000F4D68" w:rsidRDefault="000F4D68" w:rsidP="006D4D85">
            <w:pPr>
              <w:pStyle w:val="BodyText"/>
            </w:pPr>
            <w:r>
              <w:t>0.</w:t>
            </w:r>
            <w:r w:rsidR="006D4D85">
              <w:t>0728</w:t>
            </w:r>
          </w:p>
        </w:tc>
      </w:tr>
      <w:tr w:rsidR="000F4D68" w14:paraId="6D69C76E" w14:textId="77777777" w:rsidTr="000F4D68">
        <w:tc>
          <w:tcPr>
            <w:tcW w:w="4814" w:type="dxa"/>
          </w:tcPr>
          <w:p w14:paraId="3543223C" w14:textId="6E5282A8" w:rsidR="000F4D68" w:rsidRDefault="000F4D68" w:rsidP="004A662F">
            <w:pPr>
              <w:pStyle w:val="BodyText"/>
            </w:pPr>
            <w:r>
              <w:t>Water</w:t>
            </w:r>
          </w:p>
        </w:tc>
        <w:tc>
          <w:tcPr>
            <w:tcW w:w="4815" w:type="dxa"/>
          </w:tcPr>
          <w:p w14:paraId="6B8521AD" w14:textId="47866579" w:rsidR="000F4D68" w:rsidRDefault="000F4D68" w:rsidP="006D4D85">
            <w:pPr>
              <w:pStyle w:val="BodyText"/>
            </w:pPr>
            <w:r>
              <w:t>4.</w:t>
            </w:r>
            <w:r w:rsidR="006D4D85">
              <w:t>52</w:t>
            </w:r>
          </w:p>
        </w:tc>
      </w:tr>
      <w:tr w:rsidR="000F4D68" w14:paraId="376081F0" w14:textId="77777777" w:rsidTr="000F4D68">
        <w:tc>
          <w:tcPr>
            <w:tcW w:w="4814" w:type="dxa"/>
          </w:tcPr>
          <w:p w14:paraId="0E14C239" w14:textId="7A4F27DB" w:rsidR="000F4D68" w:rsidRDefault="000F4D68" w:rsidP="004A662F">
            <w:pPr>
              <w:pStyle w:val="BodyText"/>
            </w:pPr>
            <w:r>
              <w:t>Soil</w:t>
            </w:r>
          </w:p>
        </w:tc>
        <w:tc>
          <w:tcPr>
            <w:tcW w:w="4815" w:type="dxa"/>
          </w:tcPr>
          <w:p w14:paraId="4D6BB08A" w14:textId="09EFAE00" w:rsidR="000F4D68" w:rsidRDefault="000F4D68" w:rsidP="004A662F">
            <w:pPr>
              <w:pStyle w:val="BodyText"/>
            </w:pPr>
            <w:r>
              <w:t>4</w:t>
            </w:r>
            <w:r w:rsidR="006D4D85">
              <w:t>6</w:t>
            </w:r>
          </w:p>
        </w:tc>
      </w:tr>
      <w:tr w:rsidR="000F4D68" w14:paraId="0DAAC66F" w14:textId="77777777" w:rsidTr="000F4D68">
        <w:tc>
          <w:tcPr>
            <w:tcW w:w="4814" w:type="dxa"/>
          </w:tcPr>
          <w:p w14:paraId="0C65ABEF" w14:textId="49B9090D" w:rsidR="000F4D68" w:rsidRDefault="000F4D68" w:rsidP="004A662F">
            <w:pPr>
              <w:pStyle w:val="BodyText"/>
            </w:pPr>
            <w:r>
              <w:t>Sediment</w:t>
            </w:r>
          </w:p>
        </w:tc>
        <w:tc>
          <w:tcPr>
            <w:tcW w:w="4815" w:type="dxa"/>
          </w:tcPr>
          <w:p w14:paraId="338197D6" w14:textId="4AF2DDB6" w:rsidR="000F4D68" w:rsidRDefault="006D4D85" w:rsidP="004A662F">
            <w:pPr>
              <w:pStyle w:val="BodyText"/>
            </w:pPr>
            <w:r>
              <w:t>49.4</w:t>
            </w:r>
          </w:p>
        </w:tc>
      </w:tr>
    </w:tbl>
    <w:p w14:paraId="45B2A770" w14:textId="77777777" w:rsidR="009265C6" w:rsidRPr="0090336D" w:rsidRDefault="009265C6" w:rsidP="00D10FD9">
      <w:pPr>
        <w:pStyle w:val="BodyText"/>
      </w:pPr>
    </w:p>
    <w:p w14:paraId="115C5BDE" w14:textId="77B55E1E" w:rsidR="00B12C39" w:rsidRPr="00096A9A" w:rsidRDefault="00264345" w:rsidP="00B76533">
      <w:pPr>
        <w:pStyle w:val="Heading3"/>
        <w:tabs>
          <w:tab w:val="clear" w:pos="360"/>
          <w:tab w:val="num" w:pos="284"/>
        </w:tabs>
      </w:pPr>
      <w:bookmarkStart w:id="330" w:name="_Toc342400381"/>
      <w:bookmarkStart w:id="331" w:name="_Toc354499582"/>
      <w:bookmarkStart w:id="332" w:name="_Toc357083657"/>
      <w:bookmarkStart w:id="333" w:name="_Toc357184206"/>
      <w:bookmarkStart w:id="334" w:name="_Toc357184442"/>
      <w:bookmarkStart w:id="335" w:name="_Toc357185244"/>
      <w:bookmarkStart w:id="336" w:name="_Toc357186092"/>
      <w:bookmarkStart w:id="337" w:name="_Toc357186241"/>
      <w:bookmarkStart w:id="338" w:name="_Toc357437527"/>
      <w:bookmarkStart w:id="339" w:name="_Toc357590800"/>
      <w:bookmarkStart w:id="340" w:name="_Toc357692832"/>
      <w:bookmarkStart w:id="341" w:name="_Toc365649661"/>
      <w:bookmarkStart w:id="342" w:name="_Toc365649810"/>
      <w:bookmarkStart w:id="343" w:name="_Toc366489862"/>
      <w:bookmarkStart w:id="344" w:name="_Toc418498567"/>
      <w:bookmarkStart w:id="345" w:name="_Toc418506010"/>
      <w:bookmarkStart w:id="346" w:name="_Toc491810739"/>
      <w:r w:rsidRPr="00096A9A">
        <w:t>3.2.</w:t>
      </w:r>
      <w:r w:rsidR="006363DC">
        <w:t>4</w:t>
      </w:r>
      <w:r w:rsidRPr="00096A9A">
        <w:t xml:space="preserve"> </w:t>
      </w:r>
      <w:r w:rsidR="00B12C39" w:rsidRPr="00096A9A">
        <w:t>Summary and discussion of environmental distribution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115C5BDF" w14:textId="2D103DF2" w:rsidR="00B12C39" w:rsidRPr="00157ADA" w:rsidRDefault="0069168F" w:rsidP="00B12C39">
      <w:pPr>
        <w:pStyle w:val="BodyText"/>
      </w:pPr>
      <w:proofErr w:type="spellStart"/>
      <w:r>
        <w:t>BaA</w:t>
      </w:r>
      <w:proofErr w:type="spellEnd"/>
      <w:r>
        <w:t xml:space="preserve"> has a high potential to adsorb to particles and volatilisation </w:t>
      </w:r>
      <w:r w:rsidR="00502F35">
        <w:t xml:space="preserve">of </w:t>
      </w:r>
      <w:proofErr w:type="spellStart"/>
      <w:r w:rsidR="00502F35">
        <w:t>B</w:t>
      </w:r>
      <w:r w:rsidR="004B363B">
        <w:t>a</w:t>
      </w:r>
      <w:r w:rsidR="00502F35">
        <w:t>A</w:t>
      </w:r>
      <w:proofErr w:type="spellEnd"/>
      <w:r w:rsidR="00502F35">
        <w:t xml:space="preserve"> </w:t>
      </w:r>
      <w:r>
        <w:t xml:space="preserve">is </w:t>
      </w:r>
      <w:r w:rsidR="00502F35">
        <w:t xml:space="preserve">insignificant. Further modelling </w:t>
      </w:r>
      <w:r w:rsidR="003D6053">
        <w:t xml:space="preserve">the fugacity </w:t>
      </w:r>
      <w:r w:rsidR="00A06EF4">
        <w:t xml:space="preserve">reveals that </w:t>
      </w:r>
      <w:proofErr w:type="spellStart"/>
      <w:r w:rsidR="00A06EF4">
        <w:t>BaA</w:t>
      </w:r>
      <w:proofErr w:type="spellEnd"/>
      <w:r w:rsidR="00A06EF4">
        <w:t xml:space="preserve"> is mainly distributed in soil and sediment. </w:t>
      </w:r>
    </w:p>
    <w:p w14:paraId="115C5BE0" w14:textId="77777777" w:rsidR="007F219F" w:rsidRDefault="003B1B52" w:rsidP="00C748EF">
      <w:pPr>
        <w:pStyle w:val="Heading2"/>
        <w:keepNext w:val="0"/>
      </w:pPr>
      <w:bookmarkStart w:id="347" w:name="_Toc365649662"/>
      <w:bookmarkStart w:id="348" w:name="_Toc365649811"/>
      <w:bookmarkStart w:id="349" w:name="_Toc366489863"/>
      <w:bookmarkStart w:id="350" w:name="_Toc418498568"/>
      <w:bookmarkStart w:id="351" w:name="_Toc418506011"/>
      <w:bookmarkStart w:id="352" w:name="_Toc491810740"/>
      <w:bookmarkStart w:id="353" w:name="_Toc354499583"/>
      <w:bookmarkStart w:id="354" w:name="_Toc357083658"/>
      <w:bookmarkStart w:id="355" w:name="_Toc357184207"/>
      <w:bookmarkStart w:id="356" w:name="_Toc357184443"/>
      <w:bookmarkStart w:id="357" w:name="_Toc357185245"/>
      <w:bookmarkStart w:id="358" w:name="_Toc357186093"/>
      <w:bookmarkStart w:id="359" w:name="_Toc357186242"/>
      <w:bookmarkStart w:id="360" w:name="_Toc357437528"/>
      <w:bookmarkStart w:id="361" w:name="_Toc357590801"/>
      <w:bookmarkStart w:id="362" w:name="_Toc357692833"/>
      <w:bookmarkStart w:id="363" w:name="_Toc341888529"/>
      <w:bookmarkStart w:id="364" w:name="_Toc342400382"/>
      <w:r>
        <w:t xml:space="preserve">3.3 </w:t>
      </w:r>
      <w:r w:rsidR="007F219F" w:rsidRPr="007F219F">
        <w:t>Data indicating potential for long-range transport</w:t>
      </w:r>
      <w:bookmarkEnd w:id="347"/>
      <w:bookmarkEnd w:id="348"/>
      <w:bookmarkEnd w:id="349"/>
      <w:bookmarkEnd w:id="350"/>
      <w:bookmarkEnd w:id="351"/>
      <w:bookmarkEnd w:id="352"/>
      <w:r w:rsidR="007F219F" w:rsidRPr="007F219F" w:rsidDel="007F219F">
        <w:t xml:space="preserve"> </w:t>
      </w:r>
    </w:p>
    <w:bookmarkEnd w:id="353"/>
    <w:bookmarkEnd w:id="354"/>
    <w:bookmarkEnd w:id="355"/>
    <w:bookmarkEnd w:id="356"/>
    <w:bookmarkEnd w:id="357"/>
    <w:bookmarkEnd w:id="358"/>
    <w:bookmarkEnd w:id="359"/>
    <w:bookmarkEnd w:id="360"/>
    <w:bookmarkEnd w:id="361"/>
    <w:bookmarkEnd w:id="362"/>
    <w:p w14:paraId="115C5BE1" w14:textId="5A52FADB" w:rsidR="008B1AC8" w:rsidRPr="00C86948" w:rsidRDefault="00F2634C" w:rsidP="00F87EF5">
      <w:pPr>
        <w:pStyle w:val="BodyText"/>
        <w:snapToGrid w:val="0"/>
        <w:jc w:val="both"/>
      </w:pPr>
      <w:r w:rsidRPr="00D10FD9">
        <w:t xml:space="preserve">No data indicating potential for long-range transport are reviewed in the scope of this dossier. </w:t>
      </w:r>
    </w:p>
    <w:p w14:paraId="115C5BE2" w14:textId="77777777" w:rsidR="000322E6" w:rsidRPr="001B06FB" w:rsidRDefault="000322E6" w:rsidP="00F87EF5">
      <w:pPr>
        <w:pStyle w:val="BodyText"/>
        <w:snapToGrid w:val="0"/>
        <w:jc w:val="both"/>
        <w:rPr>
          <w:i/>
        </w:rPr>
      </w:pPr>
    </w:p>
    <w:p w14:paraId="115C5BE3" w14:textId="77777777" w:rsidR="00B12C39" w:rsidRDefault="003B1B52" w:rsidP="00C748EF">
      <w:pPr>
        <w:pStyle w:val="Heading2"/>
        <w:keepNext w:val="0"/>
      </w:pPr>
      <w:bookmarkStart w:id="365" w:name="_Toc354499584"/>
      <w:bookmarkStart w:id="366" w:name="_Toc357083659"/>
      <w:bookmarkStart w:id="367" w:name="_Toc357184208"/>
      <w:bookmarkStart w:id="368" w:name="_Toc357184444"/>
      <w:bookmarkStart w:id="369" w:name="_Toc357185246"/>
      <w:bookmarkStart w:id="370" w:name="_Toc357186094"/>
      <w:bookmarkStart w:id="371" w:name="_Toc357186243"/>
      <w:bookmarkStart w:id="372" w:name="_Toc357437529"/>
      <w:bookmarkStart w:id="373" w:name="_Toc357590802"/>
      <w:bookmarkStart w:id="374" w:name="_Toc357692834"/>
      <w:bookmarkStart w:id="375" w:name="_Toc365649663"/>
      <w:bookmarkStart w:id="376" w:name="_Toc365649812"/>
      <w:bookmarkStart w:id="377" w:name="_Toc366489864"/>
      <w:bookmarkStart w:id="378" w:name="_Toc418498569"/>
      <w:bookmarkStart w:id="379" w:name="_Toc418506012"/>
      <w:bookmarkStart w:id="380" w:name="_Toc491810741"/>
      <w:r>
        <w:t xml:space="preserve">3.4 </w:t>
      </w:r>
      <w:r w:rsidR="00B12C39">
        <w:t>Bioaccumulation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115C5BEA" w14:textId="77777777" w:rsidR="00B12C39" w:rsidRDefault="00264345" w:rsidP="00B76614">
      <w:pPr>
        <w:pStyle w:val="Heading3"/>
        <w:tabs>
          <w:tab w:val="clear" w:pos="360"/>
          <w:tab w:val="num" w:pos="284"/>
        </w:tabs>
        <w:ind w:left="284"/>
      </w:pPr>
      <w:bookmarkStart w:id="381" w:name="_Toc341888530"/>
      <w:bookmarkStart w:id="382" w:name="_Toc342400383"/>
      <w:bookmarkStart w:id="383" w:name="_Toc354499585"/>
      <w:bookmarkStart w:id="384" w:name="_Toc357083660"/>
      <w:bookmarkStart w:id="385" w:name="_Toc357184209"/>
      <w:bookmarkStart w:id="386" w:name="_Toc357184445"/>
      <w:bookmarkStart w:id="387" w:name="_Toc357185247"/>
      <w:bookmarkStart w:id="388" w:name="_Toc357186095"/>
      <w:bookmarkStart w:id="389" w:name="_Toc357186244"/>
      <w:bookmarkStart w:id="390" w:name="_Toc357437530"/>
      <w:bookmarkStart w:id="391" w:name="_Toc357590803"/>
      <w:bookmarkStart w:id="392" w:name="_Toc357692835"/>
      <w:bookmarkStart w:id="393" w:name="_Toc365649664"/>
      <w:bookmarkStart w:id="394" w:name="_Toc365649813"/>
      <w:bookmarkStart w:id="395" w:name="_Toc366489865"/>
      <w:bookmarkStart w:id="396" w:name="_Toc418498570"/>
      <w:bookmarkStart w:id="397" w:name="_Toc418506013"/>
      <w:bookmarkStart w:id="398" w:name="_Toc491810742"/>
      <w:r>
        <w:lastRenderedPageBreak/>
        <w:t xml:space="preserve">3.4.1 </w:t>
      </w:r>
      <w:r w:rsidR="00D3264A" w:rsidRPr="00D3264A">
        <w:t xml:space="preserve">Bioaccumulation in aquatic organisms (pelagic </w:t>
      </w:r>
      <w:r w:rsidR="00B76533">
        <w:t>&amp;</w:t>
      </w:r>
      <w:r w:rsidR="00B76533" w:rsidRPr="00D3264A">
        <w:t xml:space="preserve"> </w:t>
      </w:r>
      <w:r w:rsidR="00D3264A" w:rsidRPr="00D3264A">
        <w:t>sediment organisms)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2D87B654" w14:textId="74EB0610" w:rsidR="00E13205" w:rsidRPr="00463B8D" w:rsidRDefault="009407F4" w:rsidP="0012411C">
      <w:pPr>
        <w:widowControl/>
        <w:autoSpaceDE w:val="0"/>
        <w:autoSpaceDN w:val="0"/>
        <w:adjustRightInd w:val="0"/>
        <w:jc w:val="both"/>
        <w:rPr>
          <w:rFonts w:cs="Courier New"/>
        </w:rPr>
      </w:pPr>
      <w:r>
        <w:rPr>
          <w:rFonts w:cs="Verdana"/>
          <w:lang w:eastAsia="en-GB"/>
        </w:rPr>
        <w:t xml:space="preserve">The data provided on bioaccumulation of </w:t>
      </w:r>
      <w:proofErr w:type="spellStart"/>
      <w:r>
        <w:rPr>
          <w:rFonts w:cs="Verdana"/>
          <w:lang w:eastAsia="en-GB"/>
        </w:rPr>
        <w:t>BaA</w:t>
      </w:r>
      <w:proofErr w:type="spellEnd"/>
      <w:r>
        <w:rPr>
          <w:rFonts w:cs="Verdana"/>
          <w:lang w:eastAsia="en-GB"/>
        </w:rPr>
        <w:t xml:space="preserve"> in the Support Document for identification of CTPHT as SVHC (ECHA, 2009) are not assessed or discussed again in this document but included for convenience (flagged by </w:t>
      </w:r>
      <w:r w:rsidRPr="0012411C">
        <w:rPr>
          <w:rFonts w:cs="Verdana"/>
          <w:i/>
          <w:lang w:eastAsia="en-GB"/>
        </w:rPr>
        <w:t>italic print</w:t>
      </w:r>
      <w:r>
        <w:rPr>
          <w:rFonts w:cs="Verdana"/>
          <w:lang w:eastAsia="en-GB"/>
        </w:rPr>
        <w:t>).</w:t>
      </w:r>
      <w:r w:rsidDel="009407F4">
        <w:t xml:space="preserve"> </w:t>
      </w:r>
      <w:r w:rsidR="009F6259">
        <w:t>Additional information is taken from t</w:t>
      </w:r>
      <w:r w:rsidR="00AE5A4E">
        <w:t xml:space="preserve">he European Union </w:t>
      </w:r>
      <w:r w:rsidR="00B636E0">
        <w:t>Risk Assessment Report on CTPHT</w:t>
      </w:r>
      <w:r w:rsidR="00AE5A4E">
        <w:t xml:space="preserve"> (</w:t>
      </w:r>
      <w:r w:rsidR="00B636E0">
        <w:t>EC</w:t>
      </w:r>
      <w:r w:rsidR="00AE5A4E">
        <w:t>, 2008)</w:t>
      </w:r>
      <w:r w:rsidR="00771D09">
        <w:t xml:space="preserve"> and text cited from this report is </w:t>
      </w:r>
      <w:r>
        <w:t>flagged by</w:t>
      </w:r>
      <w:r w:rsidR="00771D09">
        <w:t xml:space="preserve"> </w:t>
      </w:r>
      <w:r w:rsidR="00422F7A" w:rsidRPr="00463B8D">
        <w:rPr>
          <w:rFonts w:ascii="Courier New" w:hAnsi="Courier New" w:cs="Courier New"/>
        </w:rPr>
        <w:t>Courier New</w:t>
      </w:r>
      <w:r>
        <w:rPr>
          <w:rFonts w:ascii="Courier New" w:hAnsi="Courier New" w:cs="Courier New"/>
        </w:rPr>
        <w:t xml:space="preserve"> </w:t>
      </w:r>
      <w:r w:rsidRPr="0012411C">
        <w:t>print</w:t>
      </w:r>
      <w:r w:rsidR="00422F7A">
        <w:rPr>
          <w:rFonts w:cs="Courier New"/>
        </w:rPr>
        <w:t>.</w:t>
      </w:r>
    </w:p>
    <w:p w14:paraId="4DA76DB7" w14:textId="7EB1F73E" w:rsidR="0063598A" w:rsidRDefault="00307DCB" w:rsidP="00D10FD9">
      <w:pPr>
        <w:pStyle w:val="BodyText"/>
      </w:pPr>
      <w:r>
        <w:t xml:space="preserve">Bioaccumulation has been tested in different aquatic organisms. </w:t>
      </w:r>
    </w:p>
    <w:p w14:paraId="7BBF97EE" w14:textId="73C50AB9" w:rsidR="00C11B26" w:rsidRPr="00D10FD9" w:rsidRDefault="00C11B26" w:rsidP="00D10FD9">
      <w:pPr>
        <w:pStyle w:val="BodyText"/>
        <w:rPr>
          <w:rFonts w:ascii="Courier New" w:hAnsi="Courier New" w:cs="Courier New"/>
        </w:rPr>
      </w:pPr>
      <w:r w:rsidRPr="00D10FD9">
        <w:rPr>
          <w:rFonts w:ascii="Courier New" w:hAnsi="Courier New" w:cs="Courier New"/>
        </w:rPr>
        <w:t>The bioaccumulation of 5 PAHs in fathead minnows (</w:t>
      </w:r>
      <w:proofErr w:type="spellStart"/>
      <w:r w:rsidRPr="00D10FD9">
        <w:rPr>
          <w:rFonts w:ascii="Courier New" w:hAnsi="Courier New" w:cs="Courier New"/>
          <w:i/>
        </w:rPr>
        <w:t>Pimephales</w:t>
      </w:r>
      <w:proofErr w:type="spellEnd"/>
      <w:r w:rsidRPr="00D10FD9">
        <w:rPr>
          <w:rFonts w:ascii="Courier New" w:hAnsi="Courier New" w:cs="Courier New"/>
          <w:i/>
        </w:rPr>
        <w:t xml:space="preserve"> </w:t>
      </w:r>
      <w:proofErr w:type="spellStart"/>
      <w:r w:rsidRPr="00D10FD9">
        <w:rPr>
          <w:rFonts w:ascii="Courier New" w:hAnsi="Courier New" w:cs="Courier New"/>
          <w:i/>
        </w:rPr>
        <w:t>promeals</w:t>
      </w:r>
      <w:proofErr w:type="spellEnd"/>
      <w:r w:rsidRPr="00D10FD9">
        <w:rPr>
          <w:rFonts w:ascii="Courier New" w:hAnsi="Courier New" w:cs="Courier New"/>
        </w:rPr>
        <w:t xml:space="preserve">) was studied in a static experimental set-up according to the so-called ‘adjusted Banerjee method’ (De </w:t>
      </w:r>
      <w:proofErr w:type="spellStart"/>
      <w:r w:rsidRPr="00D10FD9">
        <w:rPr>
          <w:rFonts w:ascii="Courier New" w:hAnsi="Courier New" w:cs="Courier New"/>
        </w:rPr>
        <w:t>Maagd</w:t>
      </w:r>
      <w:proofErr w:type="spellEnd"/>
      <w:r w:rsidRPr="00D10FD9">
        <w:rPr>
          <w:rFonts w:ascii="Courier New" w:hAnsi="Courier New" w:cs="Courier New"/>
        </w:rPr>
        <w:t xml:space="preserve">, 1996; chapter 4). This study was designed to quantify the role of biotransformation in the bioaccumulation process. PAHs were added to tap water by a generator column. […] The concentrations of the parent compounds in both water and fish in the static systems were </w:t>
      </w:r>
      <w:proofErr w:type="spellStart"/>
      <w:r w:rsidRPr="00D10FD9">
        <w:rPr>
          <w:rFonts w:ascii="Courier New" w:hAnsi="Courier New" w:cs="Courier New"/>
        </w:rPr>
        <w:t>analyzed</w:t>
      </w:r>
      <w:proofErr w:type="spellEnd"/>
      <w:r w:rsidRPr="00D10FD9">
        <w:rPr>
          <w:rFonts w:ascii="Courier New" w:hAnsi="Courier New" w:cs="Courier New"/>
        </w:rPr>
        <w:t xml:space="preserve"> using HPLC during 48 hours on 7 to 11 points in time. Fish were fed daily until two days prior to the experiment. […]</w:t>
      </w:r>
      <w:r w:rsidR="00F23EE5" w:rsidRPr="00D10FD9">
        <w:rPr>
          <w:rFonts w:ascii="Courier New" w:hAnsi="Courier New" w:cs="Courier New"/>
        </w:rPr>
        <w:t xml:space="preserve"> </w:t>
      </w:r>
      <w:r w:rsidRPr="00D10FD9">
        <w:rPr>
          <w:rFonts w:ascii="Courier New" w:hAnsi="Courier New" w:cs="Courier New"/>
        </w:rPr>
        <w:t xml:space="preserve">The bioaccumulation with and without biotransformation was determined by running parallel tests with and without the addition of </w:t>
      </w:r>
      <w:proofErr w:type="spellStart"/>
      <w:r w:rsidRPr="00D10FD9">
        <w:rPr>
          <w:rFonts w:ascii="Courier New" w:hAnsi="Courier New" w:cs="Courier New"/>
        </w:rPr>
        <w:t>piperonyl</w:t>
      </w:r>
      <w:proofErr w:type="spellEnd"/>
      <w:r w:rsidRPr="00D10FD9">
        <w:rPr>
          <w:rFonts w:ascii="Courier New" w:hAnsi="Courier New" w:cs="Courier New"/>
        </w:rPr>
        <w:t xml:space="preserve"> </w:t>
      </w:r>
      <w:proofErr w:type="spellStart"/>
      <w:r w:rsidRPr="00D10FD9">
        <w:rPr>
          <w:rFonts w:ascii="Courier New" w:hAnsi="Courier New" w:cs="Courier New"/>
        </w:rPr>
        <w:t>butoxide</w:t>
      </w:r>
      <w:proofErr w:type="spellEnd"/>
      <w:r w:rsidRPr="00D10FD9">
        <w:rPr>
          <w:rFonts w:ascii="Courier New" w:hAnsi="Courier New" w:cs="Courier New"/>
        </w:rPr>
        <w:t xml:space="preserve"> (PBO), a known biotransformation inhibitor for substrates binding to the site of cytochrome P450-isoenzymes. To distinguish between loss due to abiotic processes and biotransformation controls without fish were used as well.</w:t>
      </w:r>
      <w:r w:rsidR="00F23EE5" w:rsidRPr="00D10FD9">
        <w:rPr>
          <w:rFonts w:ascii="Courier New" w:hAnsi="Courier New" w:cs="Courier New"/>
        </w:rPr>
        <w:t xml:space="preserve"> […] For </w:t>
      </w:r>
      <w:proofErr w:type="spellStart"/>
      <w:proofErr w:type="gramStart"/>
      <w:r w:rsidR="00F23EE5" w:rsidRPr="00D10FD9">
        <w:rPr>
          <w:rFonts w:ascii="Courier New" w:hAnsi="Courier New" w:cs="Courier New"/>
        </w:rPr>
        <w:t>benz</w:t>
      </w:r>
      <w:proofErr w:type="spellEnd"/>
      <w:r w:rsidR="00F23EE5" w:rsidRPr="00D10FD9">
        <w:rPr>
          <w:rFonts w:ascii="Courier New" w:hAnsi="Courier New" w:cs="Courier New"/>
        </w:rPr>
        <w:t>(</w:t>
      </w:r>
      <w:proofErr w:type="gramEnd"/>
      <w:r w:rsidR="00F23EE5" w:rsidRPr="00D10FD9">
        <w:rPr>
          <w:rFonts w:ascii="Courier New" w:hAnsi="Courier New" w:cs="Courier New"/>
        </w:rPr>
        <w:t xml:space="preserve">a)anthracene this adjustment of the recovery did not result in an good fit of the data and therefore the uptake was also estimated on the concentration in the fish only. </w:t>
      </w:r>
      <w:r w:rsidR="00771D09" w:rsidRPr="00D10FD9">
        <w:rPr>
          <w:rFonts w:ascii="Courier New" w:hAnsi="Courier New" w:cs="Courier New"/>
        </w:rPr>
        <w:t xml:space="preserve">[…] </w:t>
      </w:r>
      <w:r w:rsidR="00F23EE5" w:rsidRPr="00D10FD9">
        <w:rPr>
          <w:rFonts w:ascii="Courier New" w:hAnsi="Courier New" w:cs="Courier New"/>
        </w:rPr>
        <w:t xml:space="preserve">The calculated BCF values in the absence of PBO were </w:t>
      </w:r>
      <w:r w:rsidR="00012233">
        <w:rPr>
          <w:rFonts w:ascii="Courier New" w:hAnsi="Courier New" w:cs="Courier New"/>
        </w:rPr>
        <w:t>[…]</w:t>
      </w:r>
      <w:r w:rsidR="00F23EE5" w:rsidRPr="00D10FD9">
        <w:rPr>
          <w:rFonts w:ascii="Courier New" w:hAnsi="Courier New" w:cs="Courier New"/>
        </w:rPr>
        <w:t xml:space="preserve"> 200 L/kg for </w:t>
      </w:r>
      <w:proofErr w:type="spellStart"/>
      <w:proofErr w:type="gramStart"/>
      <w:r w:rsidR="00F23EE5" w:rsidRPr="00D10FD9">
        <w:rPr>
          <w:rFonts w:ascii="Courier New" w:hAnsi="Courier New" w:cs="Courier New"/>
        </w:rPr>
        <w:t>benz</w:t>
      </w:r>
      <w:proofErr w:type="spellEnd"/>
      <w:r w:rsidR="00F23EE5" w:rsidRPr="00D10FD9">
        <w:rPr>
          <w:rFonts w:ascii="Courier New" w:hAnsi="Courier New" w:cs="Courier New"/>
        </w:rPr>
        <w:t>(</w:t>
      </w:r>
      <w:proofErr w:type="gramEnd"/>
      <w:r w:rsidR="00F23EE5" w:rsidRPr="00D10FD9">
        <w:rPr>
          <w:rFonts w:ascii="Courier New" w:hAnsi="Courier New" w:cs="Courier New"/>
        </w:rPr>
        <w:t>a)anthracene</w:t>
      </w:r>
      <w:r w:rsidR="00F23EE5" w:rsidRPr="00DA724E">
        <w:rPr>
          <w:rFonts w:ascii="Courier New" w:hAnsi="Courier New" w:cs="Courier New"/>
        </w:rPr>
        <w:t xml:space="preserve">. </w:t>
      </w:r>
      <w:r w:rsidR="00987B69" w:rsidRPr="00DA724E">
        <w:rPr>
          <w:rFonts w:ascii="Courier New" w:hAnsi="Courier New" w:cs="Courier New"/>
        </w:rPr>
        <w:t>F</w:t>
      </w:r>
      <w:r w:rsidR="00F23EE5" w:rsidRPr="00DA724E">
        <w:rPr>
          <w:rFonts w:ascii="Courier New" w:hAnsi="Courier New" w:cs="Courier New"/>
        </w:rPr>
        <w:t xml:space="preserve">or </w:t>
      </w:r>
      <w:proofErr w:type="spellStart"/>
      <w:proofErr w:type="gramStart"/>
      <w:r w:rsidR="00F23EE5" w:rsidRPr="00DA724E">
        <w:rPr>
          <w:rFonts w:ascii="Courier New" w:hAnsi="Courier New" w:cs="Courier New"/>
        </w:rPr>
        <w:t>benz</w:t>
      </w:r>
      <w:proofErr w:type="spellEnd"/>
      <w:r w:rsidR="00F23EE5" w:rsidRPr="00DA724E">
        <w:rPr>
          <w:rFonts w:ascii="Courier New" w:hAnsi="Courier New" w:cs="Courier New"/>
        </w:rPr>
        <w:t>(</w:t>
      </w:r>
      <w:proofErr w:type="gramEnd"/>
      <w:r w:rsidR="00F23EE5" w:rsidRPr="00DA724E">
        <w:rPr>
          <w:rFonts w:ascii="Courier New" w:hAnsi="Courier New" w:cs="Courier New"/>
        </w:rPr>
        <w:t>a)anthracene, biotransformation, which was not completely inhibited by PBO, significantly influenced the bioaccumulation process.</w:t>
      </w:r>
      <w:r w:rsidR="00771D09" w:rsidRPr="00D10FD9">
        <w:rPr>
          <w:rFonts w:ascii="Courier New" w:hAnsi="Courier New" w:cs="Courier New"/>
        </w:rPr>
        <w:t xml:space="preserve"> </w:t>
      </w:r>
      <w:r w:rsidR="00B23824" w:rsidRPr="0012411C">
        <w:rPr>
          <w:rFonts w:cs="Courier New"/>
        </w:rPr>
        <w:t>The validity (</w:t>
      </w:r>
      <w:proofErr w:type="spellStart"/>
      <w:r w:rsidR="00B23824" w:rsidRPr="0012411C">
        <w:rPr>
          <w:rFonts w:cs="Courier New"/>
        </w:rPr>
        <w:t>Klimisch</w:t>
      </w:r>
      <w:proofErr w:type="spellEnd"/>
      <w:r w:rsidR="00B23824" w:rsidRPr="0012411C">
        <w:rPr>
          <w:rFonts w:cs="Courier New"/>
        </w:rPr>
        <w:t xml:space="preserve"> score) of this study is 2 (ECHA, 2009). </w:t>
      </w:r>
    </w:p>
    <w:p w14:paraId="7B6D9EDA" w14:textId="69395F88" w:rsidR="00771D09" w:rsidRPr="00D10FD9" w:rsidRDefault="00771D09" w:rsidP="00D10FD9">
      <w:pPr>
        <w:pStyle w:val="BodyText"/>
        <w:rPr>
          <w:rFonts w:ascii="Courier New" w:hAnsi="Courier New" w:cs="Courier New"/>
        </w:rPr>
      </w:pPr>
      <w:r w:rsidRPr="00D10FD9">
        <w:rPr>
          <w:rFonts w:ascii="Courier New" w:hAnsi="Courier New" w:cs="Courier New"/>
        </w:rPr>
        <w:t xml:space="preserve">In a second study by de </w:t>
      </w:r>
      <w:proofErr w:type="spellStart"/>
      <w:r w:rsidRPr="00D10FD9">
        <w:rPr>
          <w:rFonts w:ascii="Courier New" w:hAnsi="Courier New" w:cs="Courier New"/>
        </w:rPr>
        <w:t>Maagd</w:t>
      </w:r>
      <w:proofErr w:type="spellEnd"/>
      <w:r w:rsidRPr="00D10FD9">
        <w:rPr>
          <w:rFonts w:ascii="Courier New" w:hAnsi="Courier New" w:cs="Courier New"/>
        </w:rPr>
        <w:t xml:space="preserve"> et al. (1998) with fathead minnows </w:t>
      </w:r>
      <w:proofErr w:type="spellStart"/>
      <w:proofErr w:type="gramStart"/>
      <w:r w:rsidRPr="00D10FD9">
        <w:rPr>
          <w:rFonts w:ascii="Courier New" w:hAnsi="Courier New" w:cs="Courier New"/>
        </w:rPr>
        <w:t>benz</w:t>
      </w:r>
      <w:proofErr w:type="spellEnd"/>
      <w:r w:rsidRPr="00D10FD9">
        <w:rPr>
          <w:rFonts w:ascii="Courier New" w:hAnsi="Courier New" w:cs="Courier New"/>
        </w:rPr>
        <w:t>(</w:t>
      </w:r>
      <w:proofErr w:type="gramEnd"/>
      <w:r w:rsidRPr="00D10FD9">
        <w:rPr>
          <w:rFonts w:ascii="Courier New" w:hAnsi="Courier New" w:cs="Courier New"/>
        </w:rPr>
        <w:t xml:space="preserve">a)anthracene was tested in a flow-through study. In this study fish were exposed to a constant concentration of about 8.7 ± 3.4 </w:t>
      </w:r>
      <w:proofErr w:type="spellStart"/>
      <w:r w:rsidRPr="00D10FD9">
        <w:rPr>
          <w:rFonts w:ascii="Courier New" w:hAnsi="Courier New" w:cs="Courier New"/>
        </w:rPr>
        <w:t>μg</w:t>
      </w:r>
      <w:proofErr w:type="spellEnd"/>
      <w:r w:rsidRPr="00D10FD9">
        <w:rPr>
          <w:rFonts w:ascii="Courier New" w:hAnsi="Courier New" w:cs="Courier New"/>
        </w:rPr>
        <w:t>/L. […]The BCF study determined in this flow-through study is comparable to the value that was determined in the static test according to the “adjusted Banerjee method”. (Validity = 2)</w:t>
      </w:r>
    </w:p>
    <w:p w14:paraId="3773FD78" w14:textId="41412FBA" w:rsidR="00771D09" w:rsidRDefault="00331511" w:rsidP="00D10FD9">
      <w:pPr>
        <w:pStyle w:val="BodyText"/>
      </w:pPr>
      <w:proofErr w:type="spellStart"/>
      <w:r w:rsidRPr="00D10FD9">
        <w:rPr>
          <w:rFonts w:ascii="Courier New" w:hAnsi="Courier New" w:cs="Courier New"/>
        </w:rPr>
        <w:t>Freitag</w:t>
      </w:r>
      <w:proofErr w:type="spellEnd"/>
      <w:r w:rsidRPr="00D10FD9">
        <w:rPr>
          <w:rFonts w:ascii="Courier New" w:hAnsi="Courier New" w:cs="Courier New"/>
        </w:rPr>
        <w:t xml:space="preserve"> et al. (1985) determined concentration factors in activated sludge, algae and fish. Experimental protocols are described in detail in other publications (</w:t>
      </w:r>
      <w:proofErr w:type="spellStart"/>
      <w:r w:rsidRPr="00D10FD9">
        <w:rPr>
          <w:rFonts w:ascii="Courier New" w:hAnsi="Courier New" w:cs="Courier New"/>
        </w:rPr>
        <w:t>Freitag</w:t>
      </w:r>
      <w:proofErr w:type="spellEnd"/>
      <w:r w:rsidRPr="00D10FD9">
        <w:rPr>
          <w:rFonts w:ascii="Courier New" w:hAnsi="Courier New" w:cs="Courier New"/>
        </w:rPr>
        <w:t xml:space="preserve"> et al, 1982; </w:t>
      </w:r>
      <w:proofErr w:type="spellStart"/>
      <w:r w:rsidRPr="00D10FD9">
        <w:rPr>
          <w:rFonts w:ascii="Courier New" w:hAnsi="Courier New" w:cs="Courier New"/>
        </w:rPr>
        <w:t>Korte</w:t>
      </w:r>
      <w:proofErr w:type="spellEnd"/>
      <w:r w:rsidRPr="00D10FD9">
        <w:rPr>
          <w:rFonts w:ascii="Courier New" w:hAnsi="Courier New" w:cs="Courier New"/>
        </w:rPr>
        <w:t xml:space="preserve"> et al., 1978). Golden ide (</w:t>
      </w:r>
      <w:proofErr w:type="spellStart"/>
      <w:r w:rsidRPr="00D10FD9">
        <w:rPr>
          <w:rFonts w:ascii="Courier New" w:hAnsi="Courier New" w:cs="Courier New"/>
          <w:i/>
        </w:rPr>
        <w:t>Leuciscus</w:t>
      </w:r>
      <w:proofErr w:type="spellEnd"/>
      <w:r w:rsidRPr="00D10FD9">
        <w:rPr>
          <w:rFonts w:ascii="Courier New" w:hAnsi="Courier New" w:cs="Courier New"/>
          <w:i/>
        </w:rPr>
        <w:t xml:space="preserve"> </w:t>
      </w:r>
      <w:proofErr w:type="spellStart"/>
      <w:r w:rsidRPr="00D10FD9">
        <w:rPr>
          <w:rFonts w:ascii="Courier New" w:hAnsi="Courier New" w:cs="Courier New"/>
          <w:i/>
        </w:rPr>
        <w:t>idus</w:t>
      </w:r>
      <w:proofErr w:type="spellEnd"/>
      <w:r w:rsidRPr="00D10FD9">
        <w:rPr>
          <w:rFonts w:ascii="Courier New" w:hAnsi="Courier New" w:cs="Courier New"/>
          <w:i/>
        </w:rPr>
        <w:t xml:space="preserve"> </w:t>
      </w:r>
      <w:proofErr w:type="spellStart"/>
      <w:r w:rsidRPr="00D10FD9">
        <w:rPr>
          <w:rFonts w:ascii="Courier New" w:hAnsi="Courier New" w:cs="Courier New"/>
          <w:i/>
        </w:rPr>
        <w:t>melanotus</w:t>
      </w:r>
      <w:proofErr w:type="spellEnd"/>
      <w:r w:rsidRPr="00D10FD9">
        <w:rPr>
          <w:rFonts w:ascii="Courier New" w:hAnsi="Courier New" w:cs="Courier New"/>
        </w:rPr>
        <w:t>; 1.5g) were exposed to 14C labelled PAHs for 3 days, with a constant concentration of 0.05 mg/L. […]</w:t>
      </w:r>
      <w:r>
        <w:t xml:space="preserve"> </w:t>
      </w:r>
      <w:r w:rsidR="00593C45">
        <w:br/>
      </w:r>
      <w:r w:rsidR="006B13C2">
        <w:t xml:space="preserve">According to the EU risk assessment report on CTPHT (EC, 2008): </w:t>
      </w:r>
      <w:r w:rsidR="00593C45">
        <w:t xml:space="preserve"> </w:t>
      </w:r>
      <w:r w:rsidR="00593C45">
        <w:br/>
      </w:r>
      <w:r w:rsidR="00593C45" w:rsidRPr="002213FA">
        <w:rPr>
          <w:rFonts w:ascii="Courier New" w:hAnsi="Courier New" w:cs="Courier New"/>
        </w:rPr>
        <w:t>[…]</w:t>
      </w:r>
      <w:r w:rsidR="00593C45">
        <w:rPr>
          <w:rFonts w:ascii="Courier New" w:hAnsi="Courier New" w:cs="Courier New"/>
        </w:rPr>
        <w:t xml:space="preserve"> </w:t>
      </w:r>
      <w:r w:rsidR="00593C45" w:rsidRPr="00D10FD9">
        <w:rPr>
          <w:rFonts w:ascii="Courier New" w:hAnsi="Courier New" w:cs="Courier New"/>
        </w:rPr>
        <w:t xml:space="preserve">The test is not performed in the dark (so breakdown may have occurred), no controls are mentioned. Fish were not fed during the test. Water concentrations are measured daily for total 14C activity using LSC. Transformation products were determined with undefined chromatography techniques, but it is unclear if and how these results were used. </w:t>
      </w:r>
      <w:proofErr w:type="spellStart"/>
      <w:r w:rsidR="00593C45" w:rsidRPr="00D10FD9">
        <w:rPr>
          <w:rFonts w:ascii="Courier New" w:hAnsi="Courier New" w:cs="Courier New"/>
        </w:rPr>
        <w:t>Bioconcentration</w:t>
      </w:r>
      <w:proofErr w:type="spellEnd"/>
      <w:r w:rsidR="00593C45" w:rsidRPr="00D10FD9">
        <w:rPr>
          <w:rFonts w:ascii="Courier New" w:hAnsi="Courier New" w:cs="Courier New"/>
        </w:rPr>
        <w:t xml:space="preserve"> is calculated using the average aquatic exposure to the chemicals. Because the 14C method in this case does not distinguish between the parent compound and its metabolites, the accumulation factor is a measure of both (ergo, the BCF for the parent compound is overestimated).</w:t>
      </w:r>
      <w:r w:rsidR="00593C45">
        <w:rPr>
          <w:rFonts w:ascii="Courier New" w:hAnsi="Courier New" w:cs="Courier New"/>
        </w:rPr>
        <w:t xml:space="preserve"> </w:t>
      </w:r>
      <w:r w:rsidR="00593C45" w:rsidRPr="002213FA">
        <w:rPr>
          <w:rFonts w:ascii="Courier New" w:hAnsi="Courier New" w:cs="Courier New"/>
        </w:rPr>
        <w:t>[…]</w:t>
      </w:r>
      <w:r w:rsidR="00593C45" w:rsidRPr="00593C45">
        <w:rPr>
          <w:rFonts w:ascii="Courier New" w:hAnsi="Courier New" w:cs="Courier New"/>
        </w:rPr>
        <w:t>(Validity = 4)</w:t>
      </w:r>
    </w:p>
    <w:p w14:paraId="77595F11" w14:textId="15774ECE" w:rsidR="006B358C" w:rsidRDefault="006B358C" w:rsidP="00D10FD9">
      <w:pPr>
        <w:pStyle w:val="BodyText"/>
        <w:rPr>
          <w:rFonts w:cs="Courier New"/>
        </w:rPr>
      </w:pPr>
      <w:r w:rsidRPr="00D10FD9">
        <w:rPr>
          <w:rFonts w:ascii="Courier New" w:hAnsi="Courier New" w:cs="Courier New"/>
        </w:rPr>
        <w:t xml:space="preserve">Remarkably highest BCF values were measured for </w:t>
      </w:r>
      <w:proofErr w:type="spellStart"/>
      <w:r w:rsidRPr="00D10FD9">
        <w:rPr>
          <w:rFonts w:ascii="Courier New" w:hAnsi="Courier New" w:cs="Courier New"/>
        </w:rPr>
        <w:t>phenanthrene</w:t>
      </w:r>
      <w:proofErr w:type="spellEnd"/>
      <w:r w:rsidRPr="00D10FD9">
        <w:rPr>
          <w:rFonts w:ascii="Courier New" w:hAnsi="Courier New" w:cs="Courier New"/>
        </w:rPr>
        <w:t xml:space="preserve">, anthracene, pyrene, B(a)A and B(a)P in the amphipod </w:t>
      </w:r>
      <w:proofErr w:type="spellStart"/>
      <w:r w:rsidRPr="00D10FD9">
        <w:rPr>
          <w:rFonts w:ascii="Courier New" w:hAnsi="Courier New" w:cs="Courier New"/>
          <w:i/>
        </w:rPr>
        <w:t>Pontopereia</w:t>
      </w:r>
      <w:proofErr w:type="spellEnd"/>
      <w:r w:rsidRPr="00D10FD9">
        <w:rPr>
          <w:rFonts w:ascii="Courier New" w:hAnsi="Courier New" w:cs="Courier New"/>
          <w:i/>
        </w:rPr>
        <w:t xml:space="preserve"> </w:t>
      </w:r>
      <w:proofErr w:type="spellStart"/>
      <w:r w:rsidRPr="00D10FD9">
        <w:rPr>
          <w:rFonts w:ascii="Courier New" w:hAnsi="Courier New" w:cs="Courier New"/>
          <w:i/>
        </w:rPr>
        <w:t>hoyi</w:t>
      </w:r>
      <w:proofErr w:type="spellEnd"/>
      <w:r w:rsidRPr="00D10FD9">
        <w:rPr>
          <w:rFonts w:ascii="Courier New" w:hAnsi="Courier New" w:cs="Courier New"/>
        </w:rPr>
        <w:t xml:space="preserve">, which has a 20-50% lipid content by wet weight and no capacity for biotransformation (Landrum, 1988). It is however also obvious that for all PAHs a large variation within the different taxonomic groups was observed, fish </w:t>
      </w:r>
      <w:r w:rsidRPr="00D10FD9">
        <w:rPr>
          <w:rFonts w:ascii="Courier New" w:hAnsi="Courier New" w:cs="Courier New"/>
        </w:rPr>
        <w:lastRenderedPageBreak/>
        <w:t xml:space="preserve">included. In view of the high BCF values of molluscs, it is considered relevant not only to assess the risk for fish eating birds and mammals but for mollusc eating birds and mammals as well. Thus, molluscs may be an important species in determining bioaccumulation potential of PAHs. Because they do not metabolise PAHs, their BCF values may be higher than BCF values for fish. Consequently, mollusc-eating birds may therefore be at higher risk than fish-eating birds. </w:t>
      </w:r>
      <w:r>
        <w:rPr>
          <w:rFonts w:cs="Courier New"/>
        </w:rPr>
        <w:t xml:space="preserve">However, for </w:t>
      </w:r>
      <w:proofErr w:type="spellStart"/>
      <w:r>
        <w:rPr>
          <w:rFonts w:cs="Courier New"/>
        </w:rPr>
        <w:t>BaA</w:t>
      </w:r>
      <w:proofErr w:type="spellEnd"/>
      <w:r>
        <w:rPr>
          <w:rFonts w:cs="Courier New"/>
        </w:rPr>
        <w:t xml:space="preserve"> no study analysing the BCF in mussels is available yet. </w:t>
      </w:r>
    </w:p>
    <w:p w14:paraId="14A9E1EA" w14:textId="735551C2" w:rsidR="006B358C" w:rsidRDefault="0089071E" w:rsidP="00D10FD9">
      <w:pPr>
        <w:pStyle w:val="BodyText"/>
        <w:rPr>
          <w:rFonts w:cs="Courier New"/>
        </w:rPr>
      </w:pPr>
      <w:r>
        <w:rPr>
          <w:rFonts w:cs="Courier New"/>
        </w:rPr>
        <w:t>According to t</w:t>
      </w:r>
      <w:r w:rsidR="000601BB">
        <w:rPr>
          <w:rFonts w:cs="Courier New"/>
        </w:rPr>
        <w:t>he Support Document for the identification of CTPHT as SVHC</w:t>
      </w:r>
      <w:r w:rsidR="00D0076A">
        <w:rPr>
          <w:rFonts w:cs="Courier New"/>
        </w:rPr>
        <w:t xml:space="preserve"> (</w:t>
      </w:r>
      <w:r>
        <w:rPr>
          <w:rFonts w:cs="Courier New"/>
        </w:rPr>
        <w:t>ECHA, 2009),</w:t>
      </w:r>
    </w:p>
    <w:p w14:paraId="5479C0A2" w14:textId="77777777" w:rsidR="0051175C" w:rsidRPr="00463B8D" w:rsidRDefault="000601BB" w:rsidP="00D10FD9">
      <w:pPr>
        <w:pStyle w:val="BodyText"/>
        <w:rPr>
          <w:rFonts w:cs="Courier New"/>
          <w:i/>
        </w:rPr>
      </w:pPr>
      <w:r w:rsidRPr="00D10FD9">
        <w:rPr>
          <w:rFonts w:cs="Courier New"/>
          <w:i/>
        </w:rPr>
        <w:t xml:space="preserve">Potential for biotransformation of substances in exposed species is also an important factor in assessing bioaccumulation. BCF values may be higher in early life stages of an organism than in the adult stage. Whereas fish, and to some extent also molluscs, have the ability to metabolise PAHs, no evidence of metabolism of PAHs has been observed in algae, or </w:t>
      </w:r>
      <w:proofErr w:type="spellStart"/>
      <w:r w:rsidRPr="00D10FD9">
        <w:rPr>
          <w:rFonts w:cs="Courier New"/>
          <w:i/>
        </w:rPr>
        <w:t>oligochaeta</w:t>
      </w:r>
      <w:proofErr w:type="spellEnd"/>
      <w:r w:rsidRPr="00D10FD9">
        <w:rPr>
          <w:rFonts w:cs="Courier New"/>
          <w:i/>
        </w:rPr>
        <w:t>.</w:t>
      </w:r>
    </w:p>
    <w:p w14:paraId="4B167AD0" w14:textId="5DDFF30C" w:rsidR="000601BB" w:rsidRPr="00D10FD9" w:rsidRDefault="0051175C" w:rsidP="00D10FD9">
      <w:pPr>
        <w:pStyle w:val="BodyText"/>
        <w:rPr>
          <w:rFonts w:cs="Courier New"/>
          <w:i/>
        </w:rPr>
      </w:pPr>
      <w:r>
        <w:rPr>
          <w:rFonts w:cs="Courier New"/>
          <w:i/>
        </w:rPr>
        <w:t>[…]</w:t>
      </w:r>
    </w:p>
    <w:p w14:paraId="52C32413" w14:textId="31F08771" w:rsidR="0051175C" w:rsidRPr="00D10FD9" w:rsidRDefault="0051175C" w:rsidP="0051175C">
      <w:pPr>
        <w:pStyle w:val="BodyText"/>
        <w:rPr>
          <w:rFonts w:cs="Courier New"/>
          <w:i/>
        </w:rPr>
      </w:pPr>
      <w:r w:rsidRPr="00D10FD9">
        <w:rPr>
          <w:rFonts w:cs="Courier New"/>
          <w:i/>
        </w:rPr>
        <w:t xml:space="preserve">Bioaccumulation in Daphnia magna has been studied by McCarthy et al (1985) and </w:t>
      </w:r>
      <w:proofErr w:type="spellStart"/>
      <w:r w:rsidRPr="00D10FD9">
        <w:rPr>
          <w:rFonts w:cs="Courier New"/>
          <w:i/>
        </w:rPr>
        <w:t>Newsted</w:t>
      </w:r>
      <w:proofErr w:type="spellEnd"/>
      <w:r w:rsidRPr="00D10FD9">
        <w:rPr>
          <w:rFonts w:cs="Courier New"/>
          <w:i/>
        </w:rPr>
        <w:t xml:space="preserve"> &amp; </w:t>
      </w:r>
      <w:proofErr w:type="spellStart"/>
      <w:r w:rsidRPr="00D10FD9">
        <w:rPr>
          <w:rFonts w:cs="Courier New"/>
          <w:i/>
        </w:rPr>
        <w:t>Giesy</w:t>
      </w:r>
      <w:proofErr w:type="spellEnd"/>
      <w:r w:rsidRPr="00D10FD9">
        <w:rPr>
          <w:rFonts w:cs="Courier New"/>
          <w:i/>
        </w:rPr>
        <w:t xml:space="preserve"> (1987). In the study by McCarthy the BCF value for </w:t>
      </w:r>
      <w:proofErr w:type="spellStart"/>
      <w:proofErr w:type="gramStart"/>
      <w:r w:rsidR="009E1F6C">
        <w:rPr>
          <w:rFonts w:cs="Courier New"/>
          <w:i/>
        </w:rPr>
        <w:t>benz</w:t>
      </w:r>
      <w:proofErr w:type="spellEnd"/>
      <w:r w:rsidR="009E1F6C">
        <w:rPr>
          <w:rFonts w:cs="Courier New"/>
          <w:i/>
        </w:rPr>
        <w:t>[</w:t>
      </w:r>
      <w:proofErr w:type="gramEnd"/>
      <w:r w:rsidR="009E1F6C">
        <w:rPr>
          <w:rFonts w:cs="Courier New"/>
          <w:i/>
        </w:rPr>
        <w:t>a]anthracene</w:t>
      </w:r>
      <w:r w:rsidRPr="00D10FD9">
        <w:rPr>
          <w:rFonts w:cs="Courier New"/>
          <w:i/>
        </w:rPr>
        <w:t xml:space="preserve"> was reported as 2,920, determined as the ratio between uptake rate and depuration rate. In the study by </w:t>
      </w:r>
      <w:proofErr w:type="spellStart"/>
      <w:r w:rsidRPr="00D10FD9">
        <w:rPr>
          <w:rFonts w:cs="Courier New"/>
          <w:i/>
        </w:rPr>
        <w:t>Newsted</w:t>
      </w:r>
      <w:proofErr w:type="spellEnd"/>
      <w:r w:rsidRPr="00D10FD9">
        <w:rPr>
          <w:rFonts w:cs="Courier New"/>
          <w:i/>
        </w:rPr>
        <w:t xml:space="preserve"> &amp; </w:t>
      </w:r>
      <w:proofErr w:type="spellStart"/>
      <w:r w:rsidRPr="00D10FD9">
        <w:rPr>
          <w:rFonts w:cs="Courier New"/>
          <w:i/>
        </w:rPr>
        <w:t>Giesy</w:t>
      </w:r>
      <w:proofErr w:type="spellEnd"/>
      <w:r w:rsidRPr="00D10FD9">
        <w:rPr>
          <w:rFonts w:cs="Courier New"/>
          <w:i/>
        </w:rPr>
        <w:t xml:space="preserve"> (1987) the BCF was determined at steady state in a static system. </w:t>
      </w:r>
      <w:proofErr w:type="spellStart"/>
      <w:r w:rsidRPr="00D10FD9">
        <w:rPr>
          <w:rFonts w:cs="Courier New"/>
          <w:i/>
        </w:rPr>
        <w:t>Bioconcentration</w:t>
      </w:r>
      <w:proofErr w:type="spellEnd"/>
      <w:r w:rsidRPr="00D10FD9">
        <w:rPr>
          <w:rFonts w:cs="Courier New"/>
          <w:i/>
        </w:rPr>
        <w:t xml:space="preserve"> was determined for a range of PAHs, with the resulting BCFs being </w:t>
      </w:r>
      <w:r w:rsidR="00776250">
        <w:rPr>
          <w:rFonts w:cs="Courier New"/>
          <w:i/>
        </w:rPr>
        <w:t>[…]</w:t>
      </w:r>
      <w:r w:rsidRPr="00D10FD9">
        <w:rPr>
          <w:rFonts w:cs="Courier New"/>
          <w:i/>
        </w:rPr>
        <w:t xml:space="preserve"> above 2,000 for </w:t>
      </w:r>
      <w:r w:rsidR="00776250">
        <w:rPr>
          <w:rFonts w:cs="Courier New"/>
          <w:i/>
        </w:rPr>
        <w:t>[…]</w:t>
      </w:r>
      <w:r w:rsidRPr="00D10FD9">
        <w:rPr>
          <w:rFonts w:cs="Courier New"/>
          <w:i/>
        </w:rPr>
        <w:t xml:space="preserve"> </w:t>
      </w:r>
      <w:proofErr w:type="spellStart"/>
      <w:proofErr w:type="gramStart"/>
      <w:r w:rsidR="009E1F6C">
        <w:rPr>
          <w:rFonts w:cs="Courier New"/>
          <w:i/>
        </w:rPr>
        <w:t>benz</w:t>
      </w:r>
      <w:proofErr w:type="spellEnd"/>
      <w:r w:rsidR="009E1F6C">
        <w:rPr>
          <w:rFonts w:cs="Courier New"/>
          <w:i/>
        </w:rPr>
        <w:t>[</w:t>
      </w:r>
      <w:proofErr w:type="gramEnd"/>
      <w:r w:rsidR="009E1F6C">
        <w:rPr>
          <w:rFonts w:cs="Courier New"/>
          <w:i/>
        </w:rPr>
        <w:t>a]anthracene</w:t>
      </w:r>
      <w:r w:rsidRPr="00D10FD9">
        <w:rPr>
          <w:rFonts w:cs="Courier New"/>
          <w:i/>
        </w:rPr>
        <w:t xml:space="preserve">, </w:t>
      </w:r>
      <w:r w:rsidR="00776250">
        <w:rPr>
          <w:rFonts w:cs="Courier New"/>
          <w:i/>
        </w:rPr>
        <w:t>[…]</w:t>
      </w:r>
      <w:r w:rsidRPr="00D10FD9">
        <w:rPr>
          <w:rFonts w:cs="Courier New"/>
          <w:i/>
        </w:rPr>
        <w:t>.</w:t>
      </w:r>
    </w:p>
    <w:p w14:paraId="6E816A81" w14:textId="61B754B3" w:rsidR="000601BB" w:rsidRPr="00D10FD9" w:rsidRDefault="0051175C" w:rsidP="00D10FD9">
      <w:pPr>
        <w:pStyle w:val="BodyText"/>
        <w:rPr>
          <w:rFonts w:cs="Courier New"/>
          <w:i/>
        </w:rPr>
      </w:pPr>
      <w:r w:rsidRPr="00D10FD9">
        <w:rPr>
          <w:rFonts w:cs="Courier New"/>
          <w:i/>
        </w:rPr>
        <w:t xml:space="preserve">In a study by Southworth (1978) the potential for bioaccumulation in Daphnia </w:t>
      </w:r>
      <w:proofErr w:type="spellStart"/>
      <w:r w:rsidRPr="00D10FD9">
        <w:rPr>
          <w:rFonts w:cs="Courier New"/>
          <w:i/>
        </w:rPr>
        <w:t>pulex</w:t>
      </w:r>
      <w:proofErr w:type="spellEnd"/>
      <w:r w:rsidRPr="00D10FD9">
        <w:rPr>
          <w:rFonts w:cs="Courier New"/>
          <w:i/>
        </w:rPr>
        <w:t xml:space="preserve"> was studied for PAHs in a static system. The </w:t>
      </w:r>
      <w:proofErr w:type="spellStart"/>
      <w:r w:rsidRPr="00D10FD9">
        <w:rPr>
          <w:rFonts w:cs="Courier New"/>
          <w:i/>
        </w:rPr>
        <w:t>bioconcentration</w:t>
      </w:r>
      <w:proofErr w:type="spellEnd"/>
      <w:r w:rsidRPr="00D10FD9">
        <w:rPr>
          <w:rFonts w:cs="Courier New"/>
          <w:i/>
        </w:rPr>
        <w:t xml:space="preserve"> factor was determined at steady state conditions and as the ratio between the rates of uptake and elimination at non steady state conditions. The study indicated that the PAH content of Daphnia lipid was in equilibrium with the aqueous PAH concentration. The reported BCF was above 2,000 for pyrene and </w:t>
      </w:r>
      <w:proofErr w:type="spellStart"/>
      <w:proofErr w:type="gramStart"/>
      <w:r w:rsidR="009E1F6C">
        <w:rPr>
          <w:rFonts w:cs="Courier New"/>
          <w:i/>
        </w:rPr>
        <w:t>benz</w:t>
      </w:r>
      <w:proofErr w:type="spellEnd"/>
      <w:r w:rsidR="009E1F6C">
        <w:rPr>
          <w:rFonts w:cs="Courier New"/>
          <w:i/>
        </w:rPr>
        <w:t>[</w:t>
      </w:r>
      <w:proofErr w:type="gramEnd"/>
      <w:r w:rsidR="009E1F6C">
        <w:rPr>
          <w:rFonts w:cs="Courier New"/>
          <w:i/>
        </w:rPr>
        <w:t>a]anthracene</w:t>
      </w:r>
      <w:r w:rsidR="00461C70">
        <w:rPr>
          <w:rFonts w:cs="Courier New"/>
          <w:i/>
        </w:rPr>
        <w:t xml:space="preserve"> […]</w:t>
      </w:r>
    </w:p>
    <w:p w14:paraId="77AB5717" w14:textId="0A0EDA35" w:rsidR="00C11B26" w:rsidRPr="0090336D" w:rsidRDefault="0051175C" w:rsidP="00D10FD9">
      <w:pPr>
        <w:pStyle w:val="Caption"/>
      </w:pPr>
      <w:bookmarkStart w:id="399" w:name="_Toc491875969"/>
      <w:r>
        <w:t xml:space="preserve">Table </w:t>
      </w:r>
      <w:fldSimple w:instr=" SEQ Table \* ARABIC ">
        <w:r w:rsidR="00B934DA">
          <w:rPr>
            <w:noProof/>
          </w:rPr>
          <w:t>5</w:t>
        </w:r>
      </w:fldSimple>
      <w:r>
        <w:t xml:space="preserve">: Experimentally obtained BCF values of </w:t>
      </w:r>
      <w:proofErr w:type="spellStart"/>
      <w:r>
        <w:t>BaA</w:t>
      </w:r>
      <w:bookmarkEnd w:id="399"/>
      <w:proofErr w:type="spellEnd"/>
      <w:r>
        <w:t xml:space="preserve"> </w:t>
      </w:r>
    </w:p>
    <w:tbl>
      <w:tblPr>
        <w:tblStyle w:val="TableGrid"/>
        <w:tblW w:w="9072" w:type="dxa"/>
        <w:tblInd w:w="-5" w:type="dxa"/>
        <w:tblLayout w:type="fixed"/>
        <w:tblLook w:val="04A0" w:firstRow="1" w:lastRow="0" w:firstColumn="1" w:lastColumn="0" w:noHBand="0" w:noVBand="1"/>
      </w:tblPr>
      <w:tblGrid>
        <w:gridCol w:w="1701"/>
        <w:gridCol w:w="1134"/>
        <w:gridCol w:w="1276"/>
        <w:gridCol w:w="1418"/>
        <w:gridCol w:w="1559"/>
        <w:gridCol w:w="567"/>
        <w:gridCol w:w="1417"/>
      </w:tblGrid>
      <w:tr w:rsidR="00E13205" w:rsidRPr="00E13205" w14:paraId="4C51DC13" w14:textId="77777777" w:rsidTr="00F33564">
        <w:tc>
          <w:tcPr>
            <w:tcW w:w="1701" w:type="dxa"/>
          </w:tcPr>
          <w:p w14:paraId="79A996D5" w14:textId="604249A2" w:rsidR="00E13205" w:rsidRPr="00D10FD9" w:rsidRDefault="00E13205" w:rsidP="00D10FD9">
            <w:r w:rsidRPr="00D10FD9">
              <w:t>Species</w:t>
            </w:r>
          </w:p>
        </w:tc>
        <w:tc>
          <w:tcPr>
            <w:tcW w:w="1134" w:type="dxa"/>
          </w:tcPr>
          <w:p w14:paraId="7A0C5725" w14:textId="6A0FB606" w:rsidR="00E13205" w:rsidRPr="00D10FD9" w:rsidRDefault="00E13205" w:rsidP="00D10FD9">
            <w:r w:rsidRPr="00D10FD9">
              <w:t>BCF</w:t>
            </w:r>
          </w:p>
        </w:tc>
        <w:tc>
          <w:tcPr>
            <w:tcW w:w="1276" w:type="dxa"/>
          </w:tcPr>
          <w:p w14:paraId="46782AB1" w14:textId="77C6ECC7" w:rsidR="00E13205" w:rsidRPr="00D10FD9" w:rsidRDefault="00E13205" w:rsidP="00D10FD9">
            <w:r w:rsidRPr="00D10FD9">
              <w:t>Temp.</w:t>
            </w:r>
          </w:p>
        </w:tc>
        <w:tc>
          <w:tcPr>
            <w:tcW w:w="1418" w:type="dxa"/>
          </w:tcPr>
          <w:p w14:paraId="0B0A92B5" w14:textId="3D43918E" w:rsidR="00E13205" w:rsidRPr="00D10FD9" w:rsidRDefault="00E13205" w:rsidP="00D10FD9">
            <w:r w:rsidRPr="00D10FD9">
              <w:t xml:space="preserve">Test </w:t>
            </w:r>
            <w:proofErr w:type="spellStart"/>
            <w:r w:rsidRPr="00D10FD9">
              <w:t>type</w:t>
            </w:r>
            <w:r w:rsidRPr="00D10FD9">
              <w:rPr>
                <w:vertAlign w:val="superscript"/>
              </w:rPr>
              <w:t>a</w:t>
            </w:r>
            <w:proofErr w:type="spellEnd"/>
            <w:r w:rsidRPr="00D10FD9">
              <w:rPr>
                <w:vertAlign w:val="superscript"/>
              </w:rPr>
              <w:t>)</w:t>
            </w:r>
          </w:p>
        </w:tc>
        <w:tc>
          <w:tcPr>
            <w:tcW w:w="1559" w:type="dxa"/>
          </w:tcPr>
          <w:p w14:paraId="2FAAEB64" w14:textId="438E1835" w:rsidR="00E13205" w:rsidRPr="00D10FD9" w:rsidRDefault="00E13205" w:rsidP="00D10FD9">
            <w:proofErr w:type="spellStart"/>
            <w:r w:rsidRPr="00D10FD9">
              <w:t>Calculation</w:t>
            </w:r>
            <w:r w:rsidRPr="00D10FD9">
              <w:rPr>
                <w:vertAlign w:val="superscript"/>
              </w:rPr>
              <w:t>b</w:t>
            </w:r>
            <w:proofErr w:type="spellEnd"/>
            <w:r w:rsidRPr="00D10FD9">
              <w:rPr>
                <w:vertAlign w:val="superscript"/>
              </w:rPr>
              <w:t>)</w:t>
            </w:r>
          </w:p>
        </w:tc>
        <w:tc>
          <w:tcPr>
            <w:tcW w:w="567" w:type="dxa"/>
          </w:tcPr>
          <w:p w14:paraId="4B1539AA" w14:textId="703A0233" w:rsidR="00E13205" w:rsidRPr="00D10FD9" w:rsidRDefault="00E13205" w:rsidP="00D10FD9">
            <w:proofErr w:type="spellStart"/>
            <w:r w:rsidRPr="00D10FD9">
              <w:t>R</w:t>
            </w:r>
            <w:r w:rsidRPr="00D10FD9">
              <w:rPr>
                <w:vertAlign w:val="superscript"/>
              </w:rPr>
              <w:t>c</w:t>
            </w:r>
            <w:proofErr w:type="spellEnd"/>
            <w:r w:rsidRPr="00D10FD9">
              <w:rPr>
                <w:vertAlign w:val="superscript"/>
              </w:rPr>
              <w:t>)</w:t>
            </w:r>
          </w:p>
        </w:tc>
        <w:tc>
          <w:tcPr>
            <w:tcW w:w="1417" w:type="dxa"/>
          </w:tcPr>
          <w:p w14:paraId="0851FC89" w14:textId="7C735B81" w:rsidR="00E13205" w:rsidRPr="00D10FD9" w:rsidRDefault="00E13205" w:rsidP="00D10FD9">
            <w:r w:rsidRPr="00D10FD9">
              <w:t>Reference</w:t>
            </w:r>
            <w:r>
              <w:t>s</w:t>
            </w:r>
          </w:p>
        </w:tc>
      </w:tr>
      <w:tr w:rsidR="008F799B" w:rsidRPr="00E13205" w14:paraId="05A41433" w14:textId="77777777" w:rsidTr="00F33564">
        <w:tc>
          <w:tcPr>
            <w:tcW w:w="9072" w:type="dxa"/>
            <w:gridSpan w:val="7"/>
          </w:tcPr>
          <w:p w14:paraId="75D84A37" w14:textId="4A9CB59B" w:rsidR="008F799B" w:rsidRPr="00F33564" w:rsidRDefault="008F799B" w:rsidP="00D10FD9">
            <w:pPr>
              <w:rPr>
                <w:sz w:val="18"/>
              </w:rPr>
            </w:pPr>
            <w:r w:rsidRPr="00F33564">
              <w:rPr>
                <w:sz w:val="18"/>
              </w:rPr>
              <w:t>Fish:</w:t>
            </w:r>
          </w:p>
        </w:tc>
      </w:tr>
      <w:tr w:rsidR="00E13205" w:rsidRPr="00E13205" w14:paraId="5AA3FD89" w14:textId="77777777" w:rsidTr="00F33564">
        <w:tc>
          <w:tcPr>
            <w:tcW w:w="1701" w:type="dxa"/>
          </w:tcPr>
          <w:p w14:paraId="02A79184" w14:textId="78EFD73E" w:rsidR="00E13205" w:rsidRPr="00F33564" w:rsidRDefault="008F799B" w:rsidP="00D10FD9">
            <w:pPr>
              <w:rPr>
                <w:i/>
                <w:sz w:val="18"/>
              </w:rPr>
            </w:pPr>
            <w:r w:rsidRPr="00F33564">
              <w:rPr>
                <w:i/>
                <w:sz w:val="18"/>
              </w:rPr>
              <w:t xml:space="preserve">P. </w:t>
            </w:r>
            <w:proofErr w:type="spellStart"/>
            <w:r w:rsidRPr="00F33564">
              <w:rPr>
                <w:i/>
                <w:sz w:val="18"/>
              </w:rPr>
              <w:t>promelas</w:t>
            </w:r>
            <w:proofErr w:type="spellEnd"/>
          </w:p>
        </w:tc>
        <w:tc>
          <w:tcPr>
            <w:tcW w:w="1134" w:type="dxa"/>
          </w:tcPr>
          <w:p w14:paraId="71863623" w14:textId="37E6D342" w:rsidR="008F799B" w:rsidRPr="00F33564" w:rsidRDefault="008F799B" w:rsidP="00D10FD9">
            <w:pPr>
              <w:rPr>
                <w:sz w:val="18"/>
              </w:rPr>
            </w:pPr>
            <w:r w:rsidRPr="00F33564">
              <w:rPr>
                <w:sz w:val="18"/>
              </w:rPr>
              <w:t>200-265</w:t>
            </w:r>
          </w:p>
        </w:tc>
        <w:tc>
          <w:tcPr>
            <w:tcW w:w="1276" w:type="dxa"/>
          </w:tcPr>
          <w:p w14:paraId="44D7DDF8" w14:textId="77777777" w:rsidR="00E13205" w:rsidRPr="00F33564" w:rsidRDefault="00E13205" w:rsidP="00D10FD9">
            <w:pPr>
              <w:rPr>
                <w:sz w:val="18"/>
              </w:rPr>
            </w:pPr>
          </w:p>
        </w:tc>
        <w:tc>
          <w:tcPr>
            <w:tcW w:w="1418" w:type="dxa"/>
          </w:tcPr>
          <w:p w14:paraId="286B4A3D" w14:textId="4AAB889E" w:rsidR="00E13205" w:rsidRPr="00F33564" w:rsidRDefault="00463BDC" w:rsidP="00D10FD9">
            <w:pPr>
              <w:rPr>
                <w:sz w:val="18"/>
              </w:rPr>
            </w:pPr>
            <w:r w:rsidRPr="00F33564">
              <w:rPr>
                <w:sz w:val="18"/>
              </w:rPr>
              <w:t>S</w:t>
            </w:r>
            <w:r w:rsidR="00771D09" w:rsidRPr="00F33564">
              <w:rPr>
                <w:sz w:val="18"/>
              </w:rPr>
              <w:t>, F</w:t>
            </w:r>
          </w:p>
        </w:tc>
        <w:tc>
          <w:tcPr>
            <w:tcW w:w="1559" w:type="dxa"/>
          </w:tcPr>
          <w:p w14:paraId="370BC327" w14:textId="7A4F1B47" w:rsidR="00E13205" w:rsidRPr="00F33564" w:rsidRDefault="00463BDC" w:rsidP="00D10FD9">
            <w:pPr>
              <w:rPr>
                <w:sz w:val="18"/>
              </w:rPr>
            </w:pPr>
            <w:r w:rsidRPr="00F33564">
              <w:rPr>
                <w:sz w:val="18"/>
              </w:rPr>
              <w:t>k1/k2 (parent)</w:t>
            </w:r>
          </w:p>
        </w:tc>
        <w:tc>
          <w:tcPr>
            <w:tcW w:w="567" w:type="dxa"/>
          </w:tcPr>
          <w:p w14:paraId="594A8376" w14:textId="5B5F0FFE" w:rsidR="00E13205" w:rsidRPr="00F33564" w:rsidRDefault="00463BDC" w:rsidP="00D10FD9">
            <w:pPr>
              <w:rPr>
                <w:sz w:val="18"/>
              </w:rPr>
            </w:pPr>
            <w:r w:rsidRPr="00F33564">
              <w:rPr>
                <w:sz w:val="18"/>
              </w:rPr>
              <w:t>2</w:t>
            </w:r>
          </w:p>
        </w:tc>
        <w:tc>
          <w:tcPr>
            <w:tcW w:w="1417" w:type="dxa"/>
          </w:tcPr>
          <w:p w14:paraId="1AA22CF9" w14:textId="68F563DB" w:rsidR="00E13205" w:rsidRPr="00F33564" w:rsidRDefault="00463BDC" w:rsidP="00D10FD9">
            <w:pPr>
              <w:rPr>
                <w:sz w:val="18"/>
              </w:rPr>
            </w:pPr>
            <w:r w:rsidRPr="00F33564">
              <w:rPr>
                <w:sz w:val="18"/>
              </w:rPr>
              <w:t xml:space="preserve">De </w:t>
            </w:r>
            <w:proofErr w:type="spellStart"/>
            <w:r w:rsidRPr="00F33564">
              <w:rPr>
                <w:sz w:val="18"/>
              </w:rPr>
              <w:t>Maagd</w:t>
            </w:r>
            <w:proofErr w:type="spellEnd"/>
            <w:r w:rsidRPr="00F33564">
              <w:rPr>
                <w:sz w:val="18"/>
              </w:rPr>
              <w:t xml:space="preserve"> </w:t>
            </w:r>
            <w:r w:rsidRPr="00F33564">
              <w:rPr>
                <w:i/>
                <w:sz w:val="18"/>
              </w:rPr>
              <w:t>et al.</w:t>
            </w:r>
            <w:r w:rsidRPr="00F33564">
              <w:rPr>
                <w:sz w:val="18"/>
              </w:rPr>
              <w:t xml:space="preserve"> (1996, 1998)</w:t>
            </w:r>
          </w:p>
        </w:tc>
      </w:tr>
      <w:tr w:rsidR="00463BDC" w:rsidRPr="00E13205" w14:paraId="700AD96E" w14:textId="77777777" w:rsidTr="00F33564">
        <w:tc>
          <w:tcPr>
            <w:tcW w:w="1701" w:type="dxa"/>
          </w:tcPr>
          <w:p w14:paraId="759ECC59" w14:textId="1A4EC818" w:rsidR="00463BDC" w:rsidRPr="00F33564" w:rsidRDefault="00463BDC" w:rsidP="00D10FD9">
            <w:pPr>
              <w:rPr>
                <w:i/>
                <w:sz w:val="18"/>
              </w:rPr>
            </w:pPr>
            <w:r w:rsidRPr="00F33564">
              <w:rPr>
                <w:b/>
                <w:i/>
                <w:sz w:val="18"/>
              </w:rPr>
              <w:t xml:space="preserve">L. </w:t>
            </w:r>
            <w:proofErr w:type="spellStart"/>
            <w:r w:rsidRPr="00F33564">
              <w:rPr>
                <w:b/>
                <w:i/>
                <w:sz w:val="18"/>
              </w:rPr>
              <w:t>melanotus</w:t>
            </w:r>
            <w:proofErr w:type="spellEnd"/>
          </w:p>
        </w:tc>
        <w:tc>
          <w:tcPr>
            <w:tcW w:w="1134" w:type="dxa"/>
          </w:tcPr>
          <w:p w14:paraId="681279BA" w14:textId="49AA0356" w:rsidR="00463BDC" w:rsidRPr="00F33564" w:rsidRDefault="00463BDC" w:rsidP="00D10FD9">
            <w:pPr>
              <w:rPr>
                <w:sz w:val="18"/>
              </w:rPr>
            </w:pPr>
            <w:r w:rsidRPr="00F33564">
              <w:rPr>
                <w:sz w:val="18"/>
              </w:rPr>
              <w:t>350</w:t>
            </w:r>
          </w:p>
        </w:tc>
        <w:tc>
          <w:tcPr>
            <w:tcW w:w="1276" w:type="dxa"/>
          </w:tcPr>
          <w:p w14:paraId="27D4B71A" w14:textId="733DEA98" w:rsidR="00463BDC" w:rsidRPr="00F33564" w:rsidRDefault="00463BDC" w:rsidP="00D10FD9">
            <w:pPr>
              <w:rPr>
                <w:sz w:val="18"/>
              </w:rPr>
            </w:pPr>
            <w:r w:rsidRPr="00F33564">
              <w:rPr>
                <w:sz w:val="18"/>
              </w:rPr>
              <w:t>2</w:t>
            </w:r>
            <w:r w:rsidR="00611F67" w:rsidRPr="00F33564">
              <w:rPr>
                <w:sz w:val="18"/>
              </w:rPr>
              <w:t>0</w:t>
            </w:r>
            <w:r w:rsidRPr="00F33564">
              <w:rPr>
                <w:sz w:val="18"/>
              </w:rPr>
              <w:t xml:space="preserve"> -25 °C</w:t>
            </w:r>
          </w:p>
        </w:tc>
        <w:tc>
          <w:tcPr>
            <w:tcW w:w="1418" w:type="dxa"/>
          </w:tcPr>
          <w:p w14:paraId="268134D1" w14:textId="58E9C3B9" w:rsidR="00463BDC" w:rsidRPr="00F33564" w:rsidRDefault="00463BDC" w:rsidP="00D10FD9">
            <w:pPr>
              <w:rPr>
                <w:sz w:val="18"/>
              </w:rPr>
            </w:pPr>
            <w:r w:rsidRPr="00F33564">
              <w:rPr>
                <w:sz w:val="18"/>
              </w:rPr>
              <w:t>S</w:t>
            </w:r>
          </w:p>
        </w:tc>
        <w:tc>
          <w:tcPr>
            <w:tcW w:w="1559" w:type="dxa"/>
          </w:tcPr>
          <w:p w14:paraId="45D3FDA2" w14:textId="54E03D07" w:rsidR="00463BDC" w:rsidRPr="00F33564" w:rsidRDefault="00463BDC" w:rsidP="00D10FD9">
            <w:pPr>
              <w:rPr>
                <w:sz w:val="18"/>
              </w:rPr>
            </w:pPr>
            <w:r w:rsidRPr="00F33564">
              <w:rPr>
                <w:sz w:val="18"/>
              </w:rPr>
              <w:t>NS (unclear)</w:t>
            </w:r>
          </w:p>
        </w:tc>
        <w:tc>
          <w:tcPr>
            <w:tcW w:w="567" w:type="dxa"/>
          </w:tcPr>
          <w:p w14:paraId="70B6032B" w14:textId="3992081D" w:rsidR="00463BDC" w:rsidRPr="00F33564" w:rsidRDefault="00463BDC" w:rsidP="00D10FD9">
            <w:pPr>
              <w:rPr>
                <w:sz w:val="18"/>
              </w:rPr>
            </w:pPr>
            <w:r w:rsidRPr="00F33564">
              <w:rPr>
                <w:sz w:val="18"/>
              </w:rPr>
              <w:t>4</w:t>
            </w:r>
          </w:p>
        </w:tc>
        <w:tc>
          <w:tcPr>
            <w:tcW w:w="1417" w:type="dxa"/>
          </w:tcPr>
          <w:p w14:paraId="11A4883A" w14:textId="6D7F59EE" w:rsidR="00463BDC" w:rsidRPr="00F33564" w:rsidRDefault="00463BDC" w:rsidP="00D10FD9">
            <w:pPr>
              <w:rPr>
                <w:sz w:val="18"/>
              </w:rPr>
            </w:pPr>
            <w:proofErr w:type="spellStart"/>
            <w:r w:rsidRPr="00F33564">
              <w:rPr>
                <w:sz w:val="18"/>
              </w:rPr>
              <w:t>Freitag</w:t>
            </w:r>
            <w:proofErr w:type="spellEnd"/>
            <w:r w:rsidRPr="00F33564">
              <w:rPr>
                <w:sz w:val="18"/>
              </w:rPr>
              <w:t xml:space="preserve"> </w:t>
            </w:r>
            <w:r w:rsidRPr="00F33564">
              <w:rPr>
                <w:i/>
                <w:sz w:val="18"/>
              </w:rPr>
              <w:t>et al.</w:t>
            </w:r>
            <w:r w:rsidRPr="00F33564">
              <w:rPr>
                <w:sz w:val="18"/>
              </w:rPr>
              <w:t xml:space="preserve"> (1985)</w:t>
            </w:r>
          </w:p>
        </w:tc>
      </w:tr>
      <w:tr w:rsidR="00612F86" w:rsidRPr="00E13205" w14:paraId="6F272F82" w14:textId="77777777" w:rsidTr="00F33564">
        <w:tc>
          <w:tcPr>
            <w:tcW w:w="9072" w:type="dxa"/>
            <w:gridSpan w:val="7"/>
          </w:tcPr>
          <w:p w14:paraId="12A56BD9" w14:textId="790D2C65" w:rsidR="00612F86" w:rsidRPr="00F33564" w:rsidRDefault="000652C9" w:rsidP="00D10FD9">
            <w:pPr>
              <w:rPr>
                <w:sz w:val="18"/>
              </w:rPr>
            </w:pPr>
            <w:r w:rsidRPr="00F33564">
              <w:rPr>
                <w:sz w:val="18"/>
              </w:rPr>
              <w:t>Crustacea</w:t>
            </w:r>
          </w:p>
        </w:tc>
      </w:tr>
      <w:tr w:rsidR="00612F86" w:rsidRPr="00E13205" w14:paraId="645F3956" w14:textId="77777777" w:rsidTr="00F33564">
        <w:tc>
          <w:tcPr>
            <w:tcW w:w="1701" w:type="dxa"/>
          </w:tcPr>
          <w:p w14:paraId="38A62194" w14:textId="26D227BB" w:rsidR="00612F86" w:rsidRPr="00F33564" w:rsidRDefault="00612F86" w:rsidP="00D10FD9">
            <w:pPr>
              <w:rPr>
                <w:i/>
                <w:sz w:val="18"/>
              </w:rPr>
            </w:pPr>
            <w:proofErr w:type="spellStart"/>
            <w:r w:rsidRPr="00F33564">
              <w:rPr>
                <w:b/>
                <w:i/>
                <w:sz w:val="18"/>
              </w:rPr>
              <w:t>Pontopereia</w:t>
            </w:r>
            <w:proofErr w:type="spellEnd"/>
            <w:r w:rsidRPr="00F33564">
              <w:rPr>
                <w:b/>
                <w:i/>
                <w:sz w:val="18"/>
              </w:rPr>
              <w:t xml:space="preserve"> </w:t>
            </w:r>
            <w:proofErr w:type="spellStart"/>
            <w:r w:rsidRPr="00F33564">
              <w:rPr>
                <w:b/>
                <w:i/>
                <w:sz w:val="18"/>
              </w:rPr>
              <w:t>hoyi</w:t>
            </w:r>
            <w:proofErr w:type="spellEnd"/>
          </w:p>
        </w:tc>
        <w:tc>
          <w:tcPr>
            <w:tcW w:w="1134" w:type="dxa"/>
          </w:tcPr>
          <w:p w14:paraId="5862FBE9" w14:textId="15466A60" w:rsidR="00612F86" w:rsidRPr="00F33564" w:rsidRDefault="000652C9" w:rsidP="00D10FD9">
            <w:pPr>
              <w:rPr>
                <w:sz w:val="18"/>
              </w:rPr>
            </w:pPr>
            <w:r w:rsidRPr="00F33564">
              <w:rPr>
                <w:sz w:val="18"/>
              </w:rPr>
              <w:t>63,000</w:t>
            </w:r>
          </w:p>
        </w:tc>
        <w:tc>
          <w:tcPr>
            <w:tcW w:w="1276" w:type="dxa"/>
          </w:tcPr>
          <w:p w14:paraId="68670EFB" w14:textId="1E215E3F" w:rsidR="00612F86" w:rsidRPr="00F33564" w:rsidRDefault="000652C9" w:rsidP="00D10FD9">
            <w:pPr>
              <w:rPr>
                <w:sz w:val="18"/>
              </w:rPr>
            </w:pPr>
            <w:r w:rsidRPr="00F33564">
              <w:rPr>
                <w:sz w:val="18"/>
              </w:rPr>
              <w:t>4°C</w:t>
            </w:r>
          </w:p>
        </w:tc>
        <w:tc>
          <w:tcPr>
            <w:tcW w:w="1418" w:type="dxa"/>
          </w:tcPr>
          <w:p w14:paraId="54B69E41" w14:textId="496B98F3" w:rsidR="00612F86" w:rsidRPr="00F33564" w:rsidRDefault="000652C9" w:rsidP="00D10FD9">
            <w:pPr>
              <w:rPr>
                <w:sz w:val="18"/>
              </w:rPr>
            </w:pPr>
            <w:r w:rsidRPr="00F33564">
              <w:rPr>
                <w:sz w:val="18"/>
              </w:rPr>
              <w:t>S</w:t>
            </w:r>
          </w:p>
        </w:tc>
        <w:tc>
          <w:tcPr>
            <w:tcW w:w="1559" w:type="dxa"/>
          </w:tcPr>
          <w:p w14:paraId="7CE2131A" w14:textId="0372B36A" w:rsidR="00612F86" w:rsidRPr="00F33564" w:rsidRDefault="000652C9" w:rsidP="00D10FD9">
            <w:pPr>
              <w:rPr>
                <w:sz w:val="18"/>
              </w:rPr>
            </w:pPr>
            <w:r w:rsidRPr="00F33564">
              <w:rPr>
                <w:sz w:val="18"/>
              </w:rPr>
              <w:t>k1/k2</w:t>
            </w:r>
          </w:p>
        </w:tc>
        <w:tc>
          <w:tcPr>
            <w:tcW w:w="567" w:type="dxa"/>
          </w:tcPr>
          <w:p w14:paraId="0803D771" w14:textId="77777777" w:rsidR="00612F86" w:rsidRPr="00F33564" w:rsidRDefault="00612F86" w:rsidP="00D10FD9">
            <w:pPr>
              <w:rPr>
                <w:sz w:val="18"/>
              </w:rPr>
            </w:pPr>
          </w:p>
        </w:tc>
        <w:tc>
          <w:tcPr>
            <w:tcW w:w="1417" w:type="dxa"/>
          </w:tcPr>
          <w:p w14:paraId="2F93551D" w14:textId="77777777" w:rsidR="00612F86" w:rsidRPr="00F33564" w:rsidRDefault="00612F86" w:rsidP="00D10FD9">
            <w:pPr>
              <w:rPr>
                <w:sz w:val="18"/>
              </w:rPr>
            </w:pPr>
            <w:r w:rsidRPr="00F33564">
              <w:rPr>
                <w:sz w:val="18"/>
              </w:rPr>
              <w:t>Landrum,</w:t>
            </w:r>
          </w:p>
          <w:p w14:paraId="166CBB6E" w14:textId="4235127A" w:rsidR="00612F86" w:rsidRPr="00F33564" w:rsidRDefault="00612F86" w:rsidP="00D10FD9">
            <w:pPr>
              <w:rPr>
                <w:sz w:val="18"/>
              </w:rPr>
            </w:pPr>
            <w:r w:rsidRPr="00F33564">
              <w:rPr>
                <w:sz w:val="18"/>
              </w:rPr>
              <w:t>1988</w:t>
            </w:r>
          </w:p>
        </w:tc>
      </w:tr>
      <w:tr w:rsidR="00612F86" w:rsidRPr="00E13205" w14:paraId="461EAB4E" w14:textId="77777777" w:rsidTr="00F33564">
        <w:tc>
          <w:tcPr>
            <w:tcW w:w="1701" w:type="dxa"/>
          </w:tcPr>
          <w:p w14:paraId="57417D75" w14:textId="096D2544" w:rsidR="00612F86" w:rsidRPr="00F33564" w:rsidRDefault="000652C9" w:rsidP="00D10FD9">
            <w:pPr>
              <w:rPr>
                <w:i/>
                <w:sz w:val="18"/>
              </w:rPr>
            </w:pPr>
            <w:r w:rsidRPr="00F33564">
              <w:rPr>
                <w:b/>
                <w:i/>
                <w:sz w:val="18"/>
              </w:rPr>
              <w:t>D. magna</w:t>
            </w:r>
          </w:p>
        </w:tc>
        <w:tc>
          <w:tcPr>
            <w:tcW w:w="1134" w:type="dxa"/>
          </w:tcPr>
          <w:p w14:paraId="67E5F99F" w14:textId="77777777" w:rsidR="000652C9" w:rsidRPr="00F33564" w:rsidRDefault="000652C9" w:rsidP="00D10FD9">
            <w:pPr>
              <w:rPr>
                <w:sz w:val="18"/>
              </w:rPr>
            </w:pPr>
            <w:r w:rsidRPr="00F33564">
              <w:rPr>
                <w:sz w:val="18"/>
              </w:rPr>
              <w:t>2,920</w:t>
            </w:r>
          </w:p>
          <w:p w14:paraId="0676D41D" w14:textId="78DAC17F" w:rsidR="00376560" w:rsidRPr="00F33564" w:rsidRDefault="00376560" w:rsidP="00D10FD9">
            <w:pPr>
              <w:rPr>
                <w:sz w:val="18"/>
              </w:rPr>
            </w:pPr>
            <w:r w:rsidRPr="00F33564">
              <w:rPr>
                <w:sz w:val="18"/>
              </w:rPr>
              <w:t>10,226</w:t>
            </w:r>
          </w:p>
        </w:tc>
        <w:tc>
          <w:tcPr>
            <w:tcW w:w="1276" w:type="dxa"/>
          </w:tcPr>
          <w:p w14:paraId="7B3E2E41" w14:textId="370AE38C" w:rsidR="00612F86" w:rsidRPr="00F33564" w:rsidRDefault="005705E2" w:rsidP="00D10FD9">
            <w:pPr>
              <w:rPr>
                <w:sz w:val="18"/>
              </w:rPr>
            </w:pPr>
            <w:r w:rsidRPr="00F33564">
              <w:rPr>
                <w:sz w:val="18"/>
              </w:rPr>
              <w:t>Not reported</w:t>
            </w:r>
          </w:p>
          <w:p w14:paraId="17B41183" w14:textId="14C08E3D" w:rsidR="00376560" w:rsidRPr="00F33564" w:rsidRDefault="005705E2" w:rsidP="00D10FD9">
            <w:pPr>
              <w:rPr>
                <w:sz w:val="18"/>
              </w:rPr>
            </w:pPr>
            <w:r w:rsidRPr="00F33564">
              <w:rPr>
                <w:sz w:val="18"/>
              </w:rPr>
              <w:t xml:space="preserve">not reported </w:t>
            </w:r>
          </w:p>
        </w:tc>
        <w:tc>
          <w:tcPr>
            <w:tcW w:w="1418" w:type="dxa"/>
          </w:tcPr>
          <w:p w14:paraId="1B815D0A" w14:textId="77777777" w:rsidR="00612F86" w:rsidRPr="00F33564" w:rsidRDefault="007B508D" w:rsidP="00D10FD9">
            <w:pPr>
              <w:rPr>
                <w:sz w:val="18"/>
              </w:rPr>
            </w:pPr>
            <w:r w:rsidRPr="00F33564">
              <w:rPr>
                <w:sz w:val="18"/>
              </w:rPr>
              <w:t>S</w:t>
            </w:r>
          </w:p>
          <w:p w14:paraId="7210922C" w14:textId="4CDB11FD" w:rsidR="00376560" w:rsidRPr="00F33564" w:rsidRDefault="00376560" w:rsidP="00D10FD9">
            <w:pPr>
              <w:rPr>
                <w:sz w:val="18"/>
              </w:rPr>
            </w:pPr>
            <w:r w:rsidRPr="00F33564">
              <w:rPr>
                <w:sz w:val="18"/>
              </w:rPr>
              <w:t>S</w:t>
            </w:r>
          </w:p>
        </w:tc>
        <w:tc>
          <w:tcPr>
            <w:tcW w:w="1559" w:type="dxa"/>
          </w:tcPr>
          <w:p w14:paraId="0B4DEA16" w14:textId="77777777" w:rsidR="00612F86" w:rsidRPr="00F33564" w:rsidRDefault="007B508D" w:rsidP="00D10FD9">
            <w:pPr>
              <w:rPr>
                <w:sz w:val="18"/>
              </w:rPr>
            </w:pPr>
            <w:r w:rsidRPr="00F33564">
              <w:rPr>
                <w:sz w:val="18"/>
              </w:rPr>
              <w:t>k1/k2</w:t>
            </w:r>
          </w:p>
          <w:p w14:paraId="00C49C0C" w14:textId="4719F2EF" w:rsidR="00376560" w:rsidRPr="00F33564" w:rsidRDefault="00376560" w:rsidP="00D10FD9">
            <w:pPr>
              <w:rPr>
                <w:sz w:val="18"/>
              </w:rPr>
            </w:pPr>
            <w:proofErr w:type="spellStart"/>
            <w:r w:rsidRPr="00F33564">
              <w:rPr>
                <w:sz w:val="18"/>
              </w:rPr>
              <w:t>Equi</w:t>
            </w:r>
            <w:proofErr w:type="spellEnd"/>
          </w:p>
        </w:tc>
        <w:tc>
          <w:tcPr>
            <w:tcW w:w="567" w:type="dxa"/>
          </w:tcPr>
          <w:p w14:paraId="11A327CB" w14:textId="77777777" w:rsidR="00612F86" w:rsidRPr="00F33564" w:rsidRDefault="00612F86" w:rsidP="00D10FD9">
            <w:pPr>
              <w:rPr>
                <w:sz w:val="18"/>
              </w:rPr>
            </w:pPr>
          </w:p>
        </w:tc>
        <w:tc>
          <w:tcPr>
            <w:tcW w:w="1417" w:type="dxa"/>
          </w:tcPr>
          <w:p w14:paraId="4989835B" w14:textId="77777777" w:rsidR="00612F86" w:rsidRPr="00F33564" w:rsidRDefault="007B508D" w:rsidP="00D10FD9">
            <w:pPr>
              <w:rPr>
                <w:sz w:val="18"/>
              </w:rPr>
            </w:pPr>
            <w:r w:rsidRPr="00F33564">
              <w:rPr>
                <w:sz w:val="18"/>
              </w:rPr>
              <w:t xml:space="preserve">McCarty </w:t>
            </w:r>
            <w:r w:rsidRPr="00F33564">
              <w:rPr>
                <w:i/>
                <w:sz w:val="18"/>
              </w:rPr>
              <w:t>et al</w:t>
            </w:r>
            <w:r w:rsidRPr="00F33564">
              <w:rPr>
                <w:sz w:val="18"/>
              </w:rPr>
              <w:t>., 1985</w:t>
            </w:r>
          </w:p>
          <w:p w14:paraId="3B3A4966" w14:textId="5020026A" w:rsidR="00376560" w:rsidRPr="00F33564" w:rsidRDefault="00376560" w:rsidP="00D10FD9">
            <w:pPr>
              <w:rPr>
                <w:sz w:val="18"/>
              </w:rPr>
            </w:pPr>
            <w:proofErr w:type="spellStart"/>
            <w:r w:rsidRPr="00F33564">
              <w:rPr>
                <w:b/>
                <w:sz w:val="18"/>
              </w:rPr>
              <w:t>Newsted</w:t>
            </w:r>
            <w:proofErr w:type="spellEnd"/>
            <w:r w:rsidRPr="00F33564">
              <w:rPr>
                <w:b/>
                <w:sz w:val="18"/>
              </w:rPr>
              <w:t xml:space="preserve"> &amp; </w:t>
            </w:r>
            <w:proofErr w:type="spellStart"/>
            <w:r w:rsidRPr="00F33564">
              <w:rPr>
                <w:b/>
                <w:sz w:val="18"/>
              </w:rPr>
              <w:t>Giesy</w:t>
            </w:r>
            <w:proofErr w:type="spellEnd"/>
            <w:r w:rsidRPr="00F33564">
              <w:rPr>
                <w:b/>
                <w:sz w:val="18"/>
              </w:rPr>
              <w:t>, 1987</w:t>
            </w:r>
          </w:p>
        </w:tc>
      </w:tr>
      <w:tr w:rsidR="00612F86" w:rsidRPr="00E13205" w14:paraId="64868902" w14:textId="77777777" w:rsidTr="00F33564">
        <w:tc>
          <w:tcPr>
            <w:tcW w:w="1701" w:type="dxa"/>
          </w:tcPr>
          <w:p w14:paraId="5E1ABD1D" w14:textId="3C452592" w:rsidR="00612F86" w:rsidRPr="00F33564" w:rsidRDefault="007B508D" w:rsidP="00D10FD9">
            <w:pPr>
              <w:rPr>
                <w:i/>
                <w:sz w:val="18"/>
              </w:rPr>
            </w:pPr>
            <w:r w:rsidRPr="00F33564">
              <w:rPr>
                <w:b/>
                <w:i/>
                <w:sz w:val="18"/>
              </w:rPr>
              <w:t xml:space="preserve">D. </w:t>
            </w:r>
            <w:proofErr w:type="spellStart"/>
            <w:r w:rsidRPr="00F33564">
              <w:rPr>
                <w:b/>
                <w:i/>
                <w:sz w:val="18"/>
              </w:rPr>
              <w:t>pulex</w:t>
            </w:r>
            <w:proofErr w:type="spellEnd"/>
          </w:p>
        </w:tc>
        <w:tc>
          <w:tcPr>
            <w:tcW w:w="1134" w:type="dxa"/>
          </w:tcPr>
          <w:p w14:paraId="42D5E544" w14:textId="43BF1DF1" w:rsidR="00612F86" w:rsidRPr="00F33564" w:rsidRDefault="007B508D" w:rsidP="00D10FD9">
            <w:pPr>
              <w:rPr>
                <w:sz w:val="18"/>
              </w:rPr>
            </w:pPr>
            <w:r w:rsidRPr="00F33564">
              <w:rPr>
                <w:sz w:val="18"/>
              </w:rPr>
              <w:t>10,109</w:t>
            </w:r>
          </w:p>
        </w:tc>
        <w:tc>
          <w:tcPr>
            <w:tcW w:w="1276" w:type="dxa"/>
          </w:tcPr>
          <w:p w14:paraId="22C9327A" w14:textId="066E1CC8" w:rsidR="00612F86" w:rsidRPr="00F33564" w:rsidRDefault="007B508D" w:rsidP="00D10FD9">
            <w:pPr>
              <w:rPr>
                <w:sz w:val="18"/>
              </w:rPr>
            </w:pPr>
            <w:r w:rsidRPr="00F33564">
              <w:rPr>
                <w:sz w:val="18"/>
              </w:rPr>
              <w:t>25°C</w:t>
            </w:r>
          </w:p>
        </w:tc>
        <w:tc>
          <w:tcPr>
            <w:tcW w:w="1418" w:type="dxa"/>
          </w:tcPr>
          <w:p w14:paraId="1BA244D2" w14:textId="15EC8BEF" w:rsidR="00612F86" w:rsidRPr="00F33564" w:rsidRDefault="007B508D" w:rsidP="00D10FD9">
            <w:pPr>
              <w:rPr>
                <w:sz w:val="18"/>
              </w:rPr>
            </w:pPr>
            <w:r w:rsidRPr="00F33564">
              <w:rPr>
                <w:sz w:val="18"/>
              </w:rPr>
              <w:t>S</w:t>
            </w:r>
          </w:p>
        </w:tc>
        <w:tc>
          <w:tcPr>
            <w:tcW w:w="1559" w:type="dxa"/>
          </w:tcPr>
          <w:p w14:paraId="3B36DF3E" w14:textId="1BACB3F5" w:rsidR="00612F86" w:rsidRPr="00F33564" w:rsidRDefault="009A44E8" w:rsidP="00D10FD9">
            <w:pPr>
              <w:rPr>
                <w:sz w:val="18"/>
              </w:rPr>
            </w:pPr>
            <w:proofErr w:type="spellStart"/>
            <w:r w:rsidRPr="00F33564">
              <w:rPr>
                <w:sz w:val="18"/>
              </w:rPr>
              <w:t>Equi</w:t>
            </w:r>
            <w:proofErr w:type="spellEnd"/>
          </w:p>
        </w:tc>
        <w:tc>
          <w:tcPr>
            <w:tcW w:w="567" w:type="dxa"/>
          </w:tcPr>
          <w:p w14:paraId="431F14C8" w14:textId="77777777" w:rsidR="00612F86" w:rsidRPr="00F33564" w:rsidRDefault="00612F86" w:rsidP="00D10FD9">
            <w:pPr>
              <w:rPr>
                <w:sz w:val="18"/>
              </w:rPr>
            </w:pPr>
          </w:p>
        </w:tc>
        <w:tc>
          <w:tcPr>
            <w:tcW w:w="1417" w:type="dxa"/>
          </w:tcPr>
          <w:p w14:paraId="1A6D0C88" w14:textId="56DB4A05" w:rsidR="00612F86" w:rsidRPr="00F33564" w:rsidRDefault="007B508D" w:rsidP="00D10FD9">
            <w:pPr>
              <w:rPr>
                <w:sz w:val="18"/>
              </w:rPr>
            </w:pPr>
            <w:r w:rsidRPr="00F33564">
              <w:rPr>
                <w:sz w:val="18"/>
              </w:rPr>
              <w:t>Southwor</w:t>
            </w:r>
            <w:r w:rsidR="00BF63DB" w:rsidRPr="00F33564">
              <w:rPr>
                <w:sz w:val="18"/>
              </w:rPr>
              <w:t xml:space="preserve">th </w:t>
            </w:r>
            <w:r w:rsidR="00BF63DB" w:rsidRPr="00F33564">
              <w:rPr>
                <w:i/>
                <w:sz w:val="18"/>
              </w:rPr>
              <w:t xml:space="preserve">et al. </w:t>
            </w:r>
            <w:r w:rsidR="00BF63DB" w:rsidRPr="00F33564">
              <w:rPr>
                <w:sz w:val="18"/>
              </w:rPr>
              <w:t>(1978)</w:t>
            </w:r>
          </w:p>
        </w:tc>
      </w:tr>
    </w:tbl>
    <w:p w14:paraId="714190A1" w14:textId="7AA5FC56" w:rsidR="00461C70" w:rsidRPr="00F33564" w:rsidRDefault="005705E2" w:rsidP="00F33564">
      <w:pPr>
        <w:ind w:left="567" w:hanging="567"/>
        <w:rPr>
          <w:sz w:val="18"/>
        </w:rPr>
      </w:pPr>
      <w:r w:rsidRPr="00F33564">
        <w:rPr>
          <w:sz w:val="18"/>
        </w:rPr>
        <w:t xml:space="preserve">bold: </w:t>
      </w:r>
      <w:r w:rsidR="008824FD" w:rsidRPr="00F33564">
        <w:rPr>
          <w:sz w:val="18"/>
        </w:rPr>
        <w:t xml:space="preserve">The study by </w:t>
      </w:r>
      <w:proofErr w:type="spellStart"/>
      <w:r w:rsidR="008824FD" w:rsidRPr="00F33564">
        <w:rPr>
          <w:sz w:val="18"/>
        </w:rPr>
        <w:t>Newsted</w:t>
      </w:r>
      <w:proofErr w:type="spellEnd"/>
      <w:r w:rsidR="008824FD" w:rsidRPr="00F33564">
        <w:rPr>
          <w:sz w:val="18"/>
        </w:rPr>
        <w:t xml:space="preserve"> &amp; </w:t>
      </w:r>
      <w:proofErr w:type="spellStart"/>
      <w:r w:rsidR="008824FD" w:rsidRPr="00F33564">
        <w:rPr>
          <w:sz w:val="18"/>
        </w:rPr>
        <w:t>Giesy</w:t>
      </w:r>
      <w:proofErr w:type="spellEnd"/>
      <w:r w:rsidR="00461C70" w:rsidRPr="00F33564">
        <w:rPr>
          <w:sz w:val="18"/>
        </w:rPr>
        <w:t xml:space="preserve"> (</w:t>
      </w:r>
      <w:r w:rsidR="008824FD" w:rsidRPr="00F33564">
        <w:rPr>
          <w:sz w:val="18"/>
        </w:rPr>
        <w:t>1987</w:t>
      </w:r>
      <w:r w:rsidR="00461C70" w:rsidRPr="00F33564">
        <w:rPr>
          <w:sz w:val="18"/>
        </w:rPr>
        <w:t>)</w:t>
      </w:r>
      <w:r w:rsidR="008824FD" w:rsidRPr="00F33564">
        <w:rPr>
          <w:sz w:val="18"/>
        </w:rPr>
        <w:t xml:space="preserve"> was chosen </w:t>
      </w:r>
      <w:r w:rsidR="008E6CC4" w:rsidRPr="00F33564">
        <w:rPr>
          <w:sz w:val="18"/>
        </w:rPr>
        <w:t xml:space="preserve">in the Support Document for Identification of CTPHT as SVHC </w:t>
      </w:r>
      <w:r w:rsidR="008824FD" w:rsidRPr="00F33564">
        <w:rPr>
          <w:sz w:val="18"/>
        </w:rPr>
        <w:t>as the study</w:t>
      </w:r>
      <w:r w:rsidR="00461C70" w:rsidRPr="00F33564">
        <w:rPr>
          <w:sz w:val="18"/>
        </w:rPr>
        <w:t xml:space="preserve"> having the highest weight</w:t>
      </w:r>
      <w:r w:rsidR="008824FD" w:rsidRPr="00F33564">
        <w:rPr>
          <w:sz w:val="18"/>
        </w:rPr>
        <w:t xml:space="preserve"> for </w:t>
      </w:r>
      <w:proofErr w:type="spellStart"/>
      <w:r w:rsidR="009E1F6C" w:rsidRPr="00F33564">
        <w:rPr>
          <w:sz w:val="18"/>
        </w:rPr>
        <w:t>benz</w:t>
      </w:r>
      <w:proofErr w:type="spellEnd"/>
      <w:r w:rsidR="009E1F6C" w:rsidRPr="00F33564">
        <w:rPr>
          <w:sz w:val="18"/>
        </w:rPr>
        <w:t>[</w:t>
      </w:r>
      <w:r w:rsidR="009E1F6C" w:rsidRPr="00F33564">
        <w:rPr>
          <w:i/>
          <w:sz w:val="18"/>
        </w:rPr>
        <w:t>a</w:t>
      </w:r>
      <w:r w:rsidR="009E1F6C" w:rsidRPr="00F33564">
        <w:rPr>
          <w:sz w:val="18"/>
        </w:rPr>
        <w:t xml:space="preserve">]anthracene </w:t>
      </w:r>
      <w:r w:rsidR="008824FD" w:rsidRPr="00F33564">
        <w:rPr>
          <w:sz w:val="18"/>
        </w:rPr>
        <w:t>, chrysene, benzo(k)</w:t>
      </w:r>
      <w:proofErr w:type="spellStart"/>
      <w:r w:rsidR="008824FD" w:rsidRPr="00F33564">
        <w:rPr>
          <w:sz w:val="18"/>
        </w:rPr>
        <w:t>fluoranthene</w:t>
      </w:r>
      <w:proofErr w:type="spellEnd"/>
      <w:r w:rsidR="008824FD" w:rsidRPr="00F33564">
        <w:rPr>
          <w:sz w:val="18"/>
        </w:rPr>
        <w:t>, benzo(</w:t>
      </w:r>
      <w:proofErr w:type="spellStart"/>
      <w:r w:rsidR="008824FD" w:rsidRPr="00F33564">
        <w:rPr>
          <w:sz w:val="18"/>
        </w:rPr>
        <w:t>ghi</w:t>
      </w:r>
      <w:proofErr w:type="spellEnd"/>
      <w:r w:rsidR="008824FD" w:rsidRPr="00F33564">
        <w:rPr>
          <w:sz w:val="18"/>
        </w:rPr>
        <w:t>)</w:t>
      </w:r>
      <w:proofErr w:type="spellStart"/>
      <w:r w:rsidR="008824FD" w:rsidRPr="00F33564">
        <w:rPr>
          <w:sz w:val="18"/>
        </w:rPr>
        <w:t>perylene</w:t>
      </w:r>
      <w:proofErr w:type="spellEnd"/>
      <w:r w:rsidR="008824FD" w:rsidRPr="00F33564">
        <w:rPr>
          <w:sz w:val="18"/>
        </w:rPr>
        <w:t xml:space="preserve"> and </w:t>
      </w:r>
      <w:proofErr w:type="spellStart"/>
      <w:r w:rsidR="008824FD" w:rsidRPr="00F33564">
        <w:rPr>
          <w:sz w:val="18"/>
        </w:rPr>
        <w:t>dibenzo</w:t>
      </w:r>
      <w:proofErr w:type="spellEnd"/>
      <w:r w:rsidR="008824FD" w:rsidRPr="00F33564">
        <w:rPr>
          <w:sz w:val="18"/>
        </w:rPr>
        <w:t>(</w:t>
      </w:r>
      <w:proofErr w:type="spellStart"/>
      <w:r w:rsidR="008824FD" w:rsidRPr="00F33564">
        <w:rPr>
          <w:sz w:val="18"/>
        </w:rPr>
        <w:t>a,h</w:t>
      </w:r>
      <w:proofErr w:type="spellEnd"/>
      <w:r w:rsidR="008824FD" w:rsidRPr="00F33564">
        <w:rPr>
          <w:sz w:val="18"/>
        </w:rPr>
        <w:t>)</w:t>
      </w:r>
      <w:proofErr w:type="spellStart"/>
      <w:r w:rsidR="008824FD" w:rsidRPr="00F33564">
        <w:rPr>
          <w:sz w:val="18"/>
        </w:rPr>
        <w:t>anthrancene</w:t>
      </w:r>
      <w:proofErr w:type="spellEnd"/>
      <w:r w:rsidR="008824FD" w:rsidRPr="00F33564">
        <w:rPr>
          <w:sz w:val="18"/>
        </w:rPr>
        <w:t xml:space="preserve"> as the most reliable equilibrium study with BCF &gt;2000.</w:t>
      </w:r>
      <w:r w:rsidR="00F32199" w:rsidRPr="00F33564">
        <w:rPr>
          <w:sz w:val="18"/>
        </w:rPr>
        <w:t xml:space="preserve"> </w:t>
      </w:r>
    </w:p>
    <w:p w14:paraId="3E56463D" w14:textId="77777777" w:rsidR="00461C70" w:rsidRPr="00F33564" w:rsidRDefault="00F32199" w:rsidP="00F33564">
      <w:pPr>
        <w:ind w:left="284" w:hanging="284"/>
        <w:rPr>
          <w:sz w:val="18"/>
        </w:rPr>
      </w:pPr>
      <w:r w:rsidRPr="00F33564">
        <w:rPr>
          <w:sz w:val="18"/>
        </w:rPr>
        <w:t xml:space="preserve">a) F: flow-through system, S: static exposure system, SR: static renewal, FD: organisms collected from the field; </w:t>
      </w:r>
    </w:p>
    <w:p w14:paraId="114063A9" w14:textId="77777777" w:rsidR="00461C70" w:rsidRPr="00F33564" w:rsidRDefault="00F32199" w:rsidP="00F33564">
      <w:pPr>
        <w:ind w:left="284" w:hanging="284"/>
        <w:rPr>
          <w:sz w:val="18"/>
        </w:rPr>
      </w:pPr>
      <w:r w:rsidRPr="00F33564">
        <w:rPr>
          <w:sz w:val="18"/>
        </w:rPr>
        <w:t xml:space="preserve">b) k1/k2: kinetic: uptake rate/depuration rate, total: total compound concentration (including transformation products), parent: parent compound concentration; </w:t>
      </w:r>
    </w:p>
    <w:p w14:paraId="115C5BEB" w14:textId="6E3C0775" w:rsidR="006B4E3C" w:rsidRPr="00F33564" w:rsidRDefault="00F32199" w:rsidP="00F33564">
      <w:pPr>
        <w:ind w:left="284" w:hanging="284"/>
        <w:rPr>
          <w:sz w:val="18"/>
        </w:rPr>
      </w:pPr>
      <w:r w:rsidRPr="00F33564">
        <w:rPr>
          <w:sz w:val="18"/>
        </w:rPr>
        <w:lastRenderedPageBreak/>
        <w:t>c) Reliability score: 1-reliable without restrictions, 2-reliable w</w:t>
      </w:r>
      <w:r w:rsidR="00D9218B" w:rsidRPr="00F33564">
        <w:rPr>
          <w:sz w:val="18"/>
        </w:rPr>
        <w:t>ith restrictions, 3-unreliable,</w:t>
      </w:r>
      <w:r w:rsidRPr="00F33564">
        <w:rPr>
          <w:sz w:val="18"/>
        </w:rPr>
        <w:t xml:space="preserve"> 4-not assignable</w:t>
      </w:r>
    </w:p>
    <w:p w14:paraId="323DD4A5" w14:textId="77777777" w:rsidR="005705E2" w:rsidRPr="00463B8D" w:rsidRDefault="005705E2" w:rsidP="00D10FD9">
      <w:pPr>
        <w:pStyle w:val="BodyText"/>
      </w:pPr>
    </w:p>
    <w:p w14:paraId="115C5BEC" w14:textId="77777777" w:rsidR="00B12C39" w:rsidRPr="00D3264A" w:rsidRDefault="00264345" w:rsidP="00B76614">
      <w:pPr>
        <w:pStyle w:val="Heading3"/>
        <w:tabs>
          <w:tab w:val="clear" w:pos="360"/>
          <w:tab w:val="num" w:pos="284"/>
        </w:tabs>
        <w:ind w:left="284"/>
      </w:pPr>
      <w:bookmarkStart w:id="400" w:name="_Toc341888531"/>
      <w:bookmarkStart w:id="401" w:name="_Toc342400384"/>
      <w:bookmarkStart w:id="402" w:name="_Toc354499586"/>
      <w:bookmarkStart w:id="403" w:name="_Toc357083661"/>
      <w:bookmarkStart w:id="404" w:name="_Toc357184210"/>
      <w:bookmarkStart w:id="405" w:name="_Toc357184446"/>
      <w:bookmarkStart w:id="406" w:name="_Toc357185248"/>
      <w:bookmarkStart w:id="407" w:name="_Toc357186096"/>
      <w:bookmarkStart w:id="408" w:name="_Toc357186245"/>
      <w:bookmarkStart w:id="409" w:name="_Toc357437531"/>
      <w:bookmarkStart w:id="410" w:name="_Toc357590804"/>
      <w:bookmarkStart w:id="411" w:name="_Toc357692836"/>
      <w:bookmarkStart w:id="412" w:name="_Toc365649665"/>
      <w:bookmarkStart w:id="413" w:name="_Toc365649814"/>
      <w:bookmarkStart w:id="414" w:name="_Toc366489866"/>
      <w:bookmarkStart w:id="415" w:name="_Toc418498571"/>
      <w:bookmarkStart w:id="416" w:name="_Toc418506014"/>
      <w:bookmarkStart w:id="417" w:name="_Toc491810743"/>
      <w:r>
        <w:t xml:space="preserve">3.4.2 </w:t>
      </w:r>
      <w:r w:rsidR="00D3264A" w:rsidRPr="00D3264A">
        <w:t>Bioaccumulation in terrestrial organisms (soil dwelling organisms, vertebrates)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2D4FF3F0" w14:textId="252B7A24" w:rsidR="00B3016D" w:rsidRPr="00D10FD9" w:rsidRDefault="0026441C" w:rsidP="00F33564">
      <w:pPr>
        <w:pStyle w:val="BodyText"/>
        <w:jc w:val="both"/>
        <w:rPr>
          <w:b/>
        </w:rPr>
      </w:pPr>
      <w:r w:rsidRPr="00B3016D">
        <w:rPr>
          <w:bCs/>
        </w:rPr>
        <w:t xml:space="preserve">The </w:t>
      </w:r>
      <w:r w:rsidR="008A0605" w:rsidRPr="00D10FD9">
        <w:t>European Union Risk Assessment Report on CTPH</w:t>
      </w:r>
      <w:r w:rsidR="007C3B9E" w:rsidRPr="00B3016D">
        <w:rPr>
          <w:bCs/>
        </w:rPr>
        <w:t>T</w:t>
      </w:r>
      <w:r w:rsidR="008A0605" w:rsidRPr="00D10FD9">
        <w:t xml:space="preserve"> (</w:t>
      </w:r>
      <w:r w:rsidR="007C3B9E" w:rsidRPr="00B3016D">
        <w:rPr>
          <w:bCs/>
        </w:rPr>
        <w:t>EC</w:t>
      </w:r>
      <w:r w:rsidR="008A0605" w:rsidRPr="00D10FD9">
        <w:t xml:space="preserve">, 2008) </w:t>
      </w:r>
      <w:r w:rsidRPr="00B3016D">
        <w:rPr>
          <w:bCs/>
        </w:rPr>
        <w:t xml:space="preserve">reports a </w:t>
      </w:r>
      <w:r w:rsidR="00312410">
        <w:rPr>
          <w:bCs/>
        </w:rPr>
        <w:t xml:space="preserve">calculated </w:t>
      </w:r>
      <w:r w:rsidRPr="00B3016D">
        <w:rPr>
          <w:bCs/>
        </w:rPr>
        <w:t xml:space="preserve">BCF value for </w:t>
      </w:r>
      <w:proofErr w:type="spellStart"/>
      <w:r w:rsidRPr="00B3016D">
        <w:rPr>
          <w:bCs/>
        </w:rPr>
        <w:t>BaA</w:t>
      </w:r>
      <w:proofErr w:type="spellEnd"/>
      <w:r w:rsidRPr="00B3016D">
        <w:rPr>
          <w:bCs/>
        </w:rPr>
        <w:t xml:space="preserve"> </w:t>
      </w:r>
      <w:r w:rsidR="003C63A3">
        <w:rPr>
          <w:bCs/>
        </w:rPr>
        <w:t xml:space="preserve">in </w:t>
      </w:r>
      <w:proofErr w:type="spellStart"/>
      <w:r w:rsidR="003C63A3" w:rsidRPr="003C63A3">
        <w:rPr>
          <w:bCs/>
          <w:i/>
        </w:rPr>
        <w:t>Eisenia</w:t>
      </w:r>
      <w:proofErr w:type="spellEnd"/>
      <w:r w:rsidR="003C63A3" w:rsidRPr="003C63A3">
        <w:rPr>
          <w:bCs/>
          <w:i/>
        </w:rPr>
        <w:t xml:space="preserve"> </w:t>
      </w:r>
      <w:proofErr w:type="spellStart"/>
      <w:r w:rsidR="003C63A3">
        <w:rPr>
          <w:bCs/>
          <w:i/>
        </w:rPr>
        <w:t>a</w:t>
      </w:r>
      <w:r w:rsidR="003C63A3" w:rsidRPr="003C63A3">
        <w:rPr>
          <w:bCs/>
          <w:i/>
        </w:rPr>
        <w:t>ndrei</w:t>
      </w:r>
      <w:proofErr w:type="spellEnd"/>
      <w:r w:rsidR="003C63A3">
        <w:rPr>
          <w:bCs/>
        </w:rPr>
        <w:t xml:space="preserve"> </w:t>
      </w:r>
      <w:r w:rsidR="005830B4">
        <w:rPr>
          <w:bCs/>
        </w:rPr>
        <w:t xml:space="preserve">of 9800 and this value is considered to represent a reasonable worst case. </w:t>
      </w:r>
    </w:p>
    <w:p w14:paraId="115C5BEE" w14:textId="77777777" w:rsidR="00160086" w:rsidRDefault="00264345" w:rsidP="00264345">
      <w:pPr>
        <w:pStyle w:val="Heading3"/>
        <w:tabs>
          <w:tab w:val="clear" w:pos="360"/>
          <w:tab w:val="num" w:pos="284"/>
        </w:tabs>
      </w:pPr>
      <w:bookmarkStart w:id="418" w:name="_Toc365649666"/>
      <w:bookmarkStart w:id="419" w:name="_Toc365649815"/>
      <w:bookmarkStart w:id="420" w:name="_Toc366489867"/>
      <w:bookmarkStart w:id="421" w:name="_Toc418498572"/>
      <w:bookmarkStart w:id="422" w:name="_Toc418506015"/>
      <w:bookmarkStart w:id="423" w:name="_Toc491810744"/>
      <w:bookmarkStart w:id="424" w:name="_Toc341888532"/>
      <w:bookmarkStart w:id="425" w:name="_Toc342400385"/>
      <w:bookmarkStart w:id="426" w:name="_Toc354499587"/>
      <w:bookmarkStart w:id="427" w:name="_Toc357083662"/>
      <w:bookmarkStart w:id="428" w:name="_Toc357184211"/>
      <w:bookmarkStart w:id="429" w:name="_Toc357184447"/>
      <w:bookmarkStart w:id="430" w:name="_Toc357185249"/>
      <w:bookmarkStart w:id="431" w:name="_Toc357186097"/>
      <w:bookmarkStart w:id="432" w:name="_Toc357186246"/>
      <w:bookmarkStart w:id="433" w:name="_Toc357437532"/>
      <w:bookmarkStart w:id="434" w:name="_Toc357590805"/>
      <w:bookmarkStart w:id="435" w:name="_Toc357692837"/>
      <w:r>
        <w:t xml:space="preserve">3.4.3 </w:t>
      </w:r>
      <w:r w:rsidR="00160086">
        <w:t>Field data</w:t>
      </w:r>
      <w:bookmarkEnd w:id="418"/>
      <w:bookmarkEnd w:id="419"/>
      <w:bookmarkEnd w:id="420"/>
      <w:bookmarkEnd w:id="421"/>
      <w:bookmarkEnd w:id="422"/>
      <w:bookmarkEnd w:id="423"/>
    </w:p>
    <w:p w14:paraId="115C5BEF" w14:textId="26F34756" w:rsidR="00160086" w:rsidRPr="00D10FD9" w:rsidRDefault="002A0A96" w:rsidP="00D10FD9">
      <w:r>
        <w:t>Field data have not been assessed for the assessment of bioaccumulation of this dossier</w:t>
      </w:r>
      <w:r w:rsidR="0086312B" w:rsidRPr="00D10FD9">
        <w:t>.</w:t>
      </w:r>
    </w:p>
    <w:p w14:paraId="554C0C5B" w14:textId="77777777" w:rsidR="0086312B" w:rsidRPr="00325320" w:rsidRDefault="0086312B" w:rsidP="00D10FD9">
      <w:pPr>
        <w:pStyle w:val="BodyText"/>
      </w:pPr>
    </w:p>
    <w:p w14:paraId="115C5BF0" w14:textId="77777777" w:rsidR="00B12C39" w:rsidRDefault="00264345" w:rsidP="00264345">
      <w:pPr>
        <w:pStyle w:val="Heading3"/>
        <w:tabs>
          <w:tab w:val="clear" w:pos="360"/>
          <w:tab w:val="num" w:pos="284"/>
        </w:tabs>
      </w:pPr>
      <w:bookmarkStart w:id="436" w:name="_Toc365649667"/>
      <w:bookmarkStart w:id="437" w:name="_Toc365649816"/>
      <w:bookmarkStart w:id="438" w:name="_Toc366489868"/>
      <w:bookmarkStart w:id="439" w:name="_Toc418498573"/>
      <w:bookmarkStart w:id="440" w:name="_Toc418506016"/>
      <w:bookmarkStart w:id="441" w:name="_Toc491810745"/>
      <w:r>
        <w:t xml:space="preserve">3.4.4 </w:t>
      </w:r>
      <w:r w:rsidR="00B12C39">
        <w:t>Summary and discussion of bioaccumulation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115C5BF1" w14:textId="08DA6761" w:rsidR="00B12C39" w:rsidRDefault="00A22B91" w:rsidP="00F33564">
      <w:pPr>
        <w:pStyle w:val="BodyText"/>
        <w:jc w:val="both"/>
      </w:pPr>
      <w:r>
        <w:t xml:space="preserve">Bioaccumulation potential of </w:t>
      </w:r>
      <w:proofErr w:type="spellStart"/>
      <w:r>
        <w:t>BaA</w:t>
      </w:r>
      <w:proofErr w:type="spellEnd"/>
      <w:r>
        <w:t xml:space="preserve"> differs between </w:t>
      </w:r>
      <w:r w:rsidR="00FD14D0">
        <w:t xml:space="preserve">the </w:t>
      </w:r>
      <w:r>
        <w:t xml:space="preserve">organisms due to </w:t>
      </w:r>
      <w:r w:rsidR="00FD14D0" w:rsidRPr="00A12C6E">
        <w:t xml:space="preserve">the organism´s </w:t>
      </w:r>
      <w:r w:rsidR="00FD14D0">
        <w:t>ability</w:t>
      </w:r>
      <w:r w:rsidR="00FD14D0" w:rsidRPr="00A12C6E">
        <w:t xml:space="preserve"> </w:t>
      </w:r>
      <w:r w:rsidR="00FD14D0">
        <w:t>to</w:t>
      </w:r>
      <w:r w:rsidR="00FD14D0" w:rsidRPr="00A12C6E">
        <w:t xml:space="preserve"> metabolis</w:t>
      </w:r>
      <w:r w:rsidR="00FD14D0">
        <w:t>e</w:t>
      </w:r>
      <w:r w:rsidR="00FD14D0" w:rsidRPr="00A12C6E">
        <w:t xml:space="preserve"> PAH</w:t>
      </w:r>
      <w:r w:rsidR="00FD14D0">
        <w:t>s (biotransformation)</w:t>
      </w:r>
      <w:r>
        <w:t xml:space="preserve">. </w:t>
      </w:r>
      <w:proofErr w:type="spellStart"/>
      <w:r w:rsidR="001B0ECF">
        <w:t>BaA</w:t>
      </w:r>
      <w:proofErr w:type="spellEnd"/>
      <w:r w:rsidR="001B0ECF">
        <w:t xml:space="preserve"> is transformed </w:t>
      </w:r>
      <w:r w:rsidR="00FD3482">
        <w:t>in fish, and to some extent also</w:t>
      </w:r>
      <w:r w:rsidR="00E366CD">
        <w:t xml:space="preserve"> in</w:t>
      </w:r>
      <w:r w:rsidR="00FD3482">
        <w:t xml:space="preserve"> molluscs</w:t>
      </w:r>
      <w:r w:rsidR="00E366CD">
        <w:t xml:space="preserve">, </w:t>
      </w:r>
      <w:r w:rsidR="001B0ECF">
        <w:t>using enzymes belonging to the Cytochrome P450 enzymes (</w:t>
      </w:r>
      <w:proofErr w:type="spellStart"/>
      <w:r w:rsidR="001B0ECF">
        <w:t>Cyt</w:t>
      </w:r>
      <w:proofErr w:type="spellEnd"/>
      <w:r w:rsidR="001B0ECF">
        <w:t xml:space="preserve"> P450)</w:t>
      </w:r>
      <w:r w:rsidR="00D1402F">
        <w:t xml:space="preserve"> </w:t>
      </w:r>
      <w:r w:rsidR="001B0ECF">
        <w:t xml:space="preserve">and other mechanism. </w:t>
      </w:r>
      <w:r w:rsidR="008F4233">
        <w:t>Biotransformation contributes to detoxification of fish and molluscs, but no evidence for transformation processes of PAH</w:t>
      </w:r>
      <w:r w:rsidR="005F6B11">
        <w:t>s</w:t>
      </w:r>
      <w:r w:rsidR="008F4233">
        <w:t xml:space="preserve"> in algae and </w:t>
      </w:r>
      <w:proofErr w:type="spellStart"/>
      <w:r w:rsidR="008F4233">
        <w:t>oligochaeta</w:t>
      </w:r>
      <w:proofErr w:type="spellEnd"/>
      <w:r w:rsidR="008F4233">
        <w:t xml:space="preserve"> exist. Bioaccumulation of </w:t>
      </w:r>
      <w:proofErr w:type="spellStart"/>
      <w:r w:rsidR="008F4233">
        <w:t>BaA</w:t>
      </w:r>
      <w:proofErr w:type="spellEnd"/>
      <w:r w:rsidR="008F4233">
        <w:t xml:space="preserve"> </w:t>
      </w:r>
      <w:r w:rsidR="00C840F4">
        <w:t xml:space="preserve">in </w:t>
      </w:r>
      <w:r w:rsidR="00F27C70">
        <w:t>those organism of</w:t>
      </w:r>
      <w:r w:rsidR="00376560">
        <w:t xml:space="preserve"> </w:t>
      </w:r>
      <w:r w:rsidR="00376560" w:rsidRPr="00376560">
        <w:t>low</w:t>
      </w:r>
      <w:r w:rsidR="008F4233" w:rsidRPr="00376560">
        <w:t xml:space="preserve"> </w:t>
      </w:r>
      <w:r w:rsidR="00AD7852" w:rsidRPr="00D10FD9">
        <w:t>t</w:t>
      </w:r>
      <w:r w:rsidR="00376560" w:rsidRPr="00D10FD9">
        <w:t>r</w:t>
      </w:r>
      <w:r w:rsidR="008F4233" w:rsidRPr="00376560">
        <w:t>ophic level</w:t>
      </w:r>
      <w:r w:rsidR="008F4233">
        <w:t xml:space="preserve"> could contribute to a constant </w:t>
      </w:r>
      <w:r w:rsidR="00AD7852">
        <w:t>expos</w:t>
      </w:r>
      <w:r w:rsidR="00450B6F">
        <w:t>ur</w:t>
      </w:r>
      <w:r w:rsidR="00AD7852">
        <w:t xml:space="preserve">e of predators and therefore hamper the integrity of aquatic ecosystems. </w:t>
      </w:r>
    </w:p>
    <w:p w14:paraId="186A16F4" w14:textId="5E046C95" w:rsidR="00810C14" w:rsidRDefault="002C6C32" w:rsidP="00B12C39">
      <w:pPr>
        <w:pStyle w:val="BodyText"/>
      </w:pPr>
      <w:r>
        <w:t xml:space="preserve">For Daphnia and earthworm experimental </w:t>
      </w:r>
      <w:r w:rsidR="00FD3482">
        <w:t xml:space="preserve">and predicted </w:t>
      </w:r>
      <w:r>
        <w:t>dat</w:t>
      </w:r>
      <w:r w:rsidR="009C45DA">
        <w:t>a</w:t>
      </w:r>
      <w:r w:rsidR="00FD3482">
        <w:t xml:space="preserve"> </w:t>
      </w:r>
      <w:r>
        <w:t xml:space="preserve">for </w:t>
      </w:r>
      <w:proofErr w:type="spellStart"/>
      <w:r>
        <w:t>BaA</w:t>
      </w:r>
      <w:proofErr w:type="spellEnd"/>
      <w:r>
        <w:t xml:space="preserve"> indicate BCF values above 5000. </w:t>
      </w:r>
      <w:r w:rsidR="00810C14">
        <w:t xml:space="preserve">Thus, it is concluded that </w:t>
      </w:r>
      <w:proofErr w:type="spellStart"/>
      <w:r w:rsidR="00810C14">
        <w:t>BaA</w:t>
      </w:r>
      <w:proofErr w:type="spellEnd"/>
      <w:r w:rsidR="00810C14">
        <w:t xml:space="preserve"> is a</w:t>
      </w:r>
      <w:r w:rsidR="00E65017">
        <w:t xml:space="preserve"> </w:t>
      </w:r>
      <w:proofErr w:type="spellStart"/>
      <w:r w:rsidR="00C840F4">
        <w:t>bioaccumulative</w:t>
      </w:r>
      <w:proofErr w:type="spellEnd"/>
      <w:r w:rsidR="00C840F4">
        <w:t xml:space="preserve"> and</w:t>
      </w:r>
      <w:r w:rsidR="00810C14">
        <w:t xml:space="preserve"> </w:t>
      </w:r>
      <w:r>
        <w:t xml:space="preserve">very </w:t>
      </w:r>
      <w:proofErr w:type="spellStart"/>
      <w:r w:rsidR="00810C14">
        <w:t>bioaccumulative</w:t>
      </w:r>
      <w:proofErr w:type="spellEnd"/>
      <w:r w:rsidR="00810C14">
        <w:t xml:space="preserve"> substance.</w:t>
      </w:r>
    </w:p>
    <w:p w14:paraId="1210FF5A" w14:textId="4AF91018" w:rsidR="00810C14" w:rsidRPr="00FA7C56" w:rsidRDefault="00810C14" w:rsidP="00B12C39">
      <w:pPr>
        <w:pStyle w:val="BodyText"/>
      </w:pPr>
      <w:r w:rsidRPr="00810C14">
        <w:t>This conclusion was already drawn in the Support Document for identification of CTPHT as SVHC (ECHA, 2009).</w:t>
      </w:r>
    </w:p>
    <w:p w14:paraId="115C5BF2" w14:textId="77777777" w:rsidR="00B12C39" w:rsidRDefault="00B12C39" w:rsidP="00B12C39">
      <w:pPr>
        <w:pStyle w:val="Heading1"/>
      </w:pPr>
      <w:r>
        <w:br w:type="page"/>
      </w:r>
      <w:bookmarkStart w:id="442" w:name="_Toc341888534"/>
      <w:bookmarkStart w:id="443" w:name="_Toc342400387"/>
      <w:bookmarkStart w:id="444" w:name="_Toc354499589"/>
      <w:bookmarkStart w:id="445" w:name="_Toc357083664"/>
      <w:bookmarkStart w:id="446" w:name="_Toc357184213"/>
      <w:bookmarkStart w:id="447" w:name="_Toc357184449"/>
      <w:bookmarkStart w:id="448" w:name="_Toc357185251"/>
      <w:bookmarkStart w:id="449" w:name="_Toc357186099"/>
      <w:bookmarkStart w:id="450" w:name="_Toc357186248"/>
      <w:bookmarkStart w:id="451" w:name="_Toc357437534"/>
      <w:bookmarkStart w:id="452" w:name="_Toc357590807"/>
      <w:bookmarkStart w:id="453" w:name="_Toc357692839"/>
      <w:bookmarkStart w:id="454" w:name="_Toc365649668"/>
      <w:bookmarkStart w:id="455" w:name="_Toc365649817"/>
      <w:bookmarkStart w:id="456" w:name="_Toc366489869"/>
      <w:bookmarkStart w:id="457" w:name="_Toc418498574"/>
      <w:bookmarkStart w:id="458" w:name="_Toc418506017"/>
      <w:bookmarkStart w:id="459" w:name="_Toc491810746"/>
      <w:r>
        <w:lastRenderedPageBreak/>
        <w:t>Human health hazard assessment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115C5BF5" w14:textId="4254EB5A" w:rsidR="00295E9B" w:rsidRDefault="003414B7" w:rsidP="00295E9B">
      <w:pPr>
        <w:pStyle w:val="NormalItalic"/>
        <w:rPr>
          <w:i w:val="0"/>
        </w:rPr>
      </w:pPr>
      <w:r>
        <w:rPr>
          <w:i w:val="0"/>
        </w:rPr>
        <w:t xml:space="preserve">Information on hazard to human health </w:t>
      </w:r>
      <w:r w:rsidR="00295E9B" w:rsidRPr="00163684">
        <w:rPr>
          <w:i w:val="0"/>
        </w:rPr>
        <w:t>relevant for the identification of the substance as SVHC in accordance with Article 57</w:t>
      </w:r>
      <w:r w:rsidR="00306E7A">
        <w:rPr>
          <w:i w:val="0"/>
        </w:rPr>
        <w:t xml:space="preserve"> points </w:t>
      </w:r>
      <w:r w:rsidR="003D36EB" w:rsidRPr="00566790">
        <w:rPr>
          <w:i w:val="0"/>
        </w:rPr>
        <w:t xml:space="preserve">(a) to </w:t>
      </w:r>
      <w:r w:rsidR="009024CD" w:rsidRPr="00566790">
        <w:rPr>
          <w:i w:val="0"/>
        </w:rPr>
        <w:t xml:space="preserve">(c) </w:t>
      </w:r>
      <w:r>
        <w:rPr>
          <w:i w:val="0"/>
        </w:rPr>
        <w:t>of the</w:t>
      </w:r>
      <w:r w:rsidR="003D36EB">
        <w:rPr>
          <w:i w:val="0"/>
        </w:rPr>
        <w:t xml:space="preserve"> </w:t>
      </w:r>
      <w:r>
        <w:rPr>
          <w:i w:val="0"/>
        </w:rPr>
        <w:t xml:space="preserve">REACH Regulation is provided in Section 2 of this report </w:t>
      </w:r>
      <w:r w:rsidR="00566790">
        <w:rPr>
          <w:i w:val="0"/>
        </w:rPr>
        <w:t xml:space="preserve">(see harmonised classification and labelling in Section 2 </w:t>
      </w:r>
      <w:r>
        <w:rPr>
          <w:i w:val="0"/>
        </w:rPr>
        <w:t>:</w:t>
      </w:r>
      <w:r w:rsidR="00566790">
        <w:rPr>
          <w:i w:val="0"/>
        </w:rPr>
        <w:t xml:space="preserve">as </w:t>
      </w:r>
      <w:proofErr w:type="spellStart"/>
      <w:r w:rsidR="00566790">
        <w:rPr>
          <w:i w:val="0"/>
        </w:rPr>
        <w:t>Carc</w:t>
      </w:r>
      <w:proofErr w:type="spellEnd"/>
      <w:r w:rsidR="00566790">
        <w:rPr>
          <w:i w:val="0"/>
        </w:rPr>
        <w:t>. 1B, H350)</w:t>
      </w:r>
      <w:r w:rsidR="00295E9B" w:rsidRPr="00163684">
        <w:rPr>
          <w:i w:val="0"/>
        </w:rPr>
        <w:t>.</w:t>
      </w:r>
    </w:p>
    <w:p w14:paraId="115C5BFA" w14:textId="27429058" w:rsidR="009E0108" w:rsidRDefault="009E0108" w:rsidP="00295E9B">
      <w:pPr>
        <w:pStyle w:val="NormalItalic"/>
        <w:rPr>
          <w:b/>
        </w:rPr>
      </w:pPr>
      <w:r w:rsidRPr="009E0108">
        <w:rPr>
          <w:b/>
        </w:rPr>
        <w:t>PBT considerations</w:t>
      </w:r>
      <w:r w:rsidR="005A762F">
        <w:rPr>
          <w:b/>
        </w:rPr>
        <w:t xml:space="preserve"> regarding human health hazard assessment</w:t>
      </w:r>
      <w:r w:rsidRPr="009E0108">
        <w:rPr>
          <w:b/>
        </w:rPr>
        <w:t>:</w:t>
      </w:r>
    </w:p>
    <w:p w14:paraId="0279B13C" w14:textId="74AE1C74" w:rsidR="007677BC" w:rsidRPr="009E0108" w:rsidRDefault="007677BC" w:rsidP="00295E9B">
      <w:pPr>
        <w:pStyle w:val="NormalItalic"/>
        <w:rPr>
          <w:b/>
        </w:rPr>
      </w:pPr>
      <w:r>
        <w:rPr>
          <w:rFonts w:cs="Courier New"/>
        </w:rPr>
        <w:t>Benz</w:t>
      </w:r>
      <w:r w:rsidR="003414B7">
        <w:rPr>
          <w:rFonts w:cs="Courier New"/>
        </w:rPr>
        <w:t>[</w:t>
      </w:r>
      <w:r>
        <w:rPr>
          <w:rFonts w:cs="Courier New"/>
        </w:rPr>
        <w:t>a</w:t>
      </w:r>
      <w:r w:rsidR="003414B7">
        <w:rPr>
          <w:rFonts w:cs="Courier New"/>
        </w:rPr>
        <w:t>]</w:t>
      </w:r>
      <w:r>
        <w:rPr>
          <w:rFonts w:cs="Courier New"/>
        </w:rPr>
        <w:t xml:space="preserve">anthracene is classified in hazard carcinogenicity category 1B according to EU Regulation 1272/2008. </w:t>
      </w:r>
      <w:r w:rsidRPr="00F34121">
        <w:rPr>
          <w:rFonts w:cs="Courier New"/>
        </w:rPr>
        <w:t xml:space="preserve">Thus, the T criterion of REACH is fulfilled according to </w:t>
      </w:r>
      <w:r w:rsidR="003414B7">
        <w:rPr>
          <w:rFonts w:cs="Courier New"/>
        </w:rPr>
        <w:t xml:space="preserve">the provision of </w:t>
      </w:r>
      <w:r w:rsidRPr="00F34121">
        <w:rPr>
          <w:rFonts w:cs="Courier New"/>
        </w:rPr>
        <w:t xml:space="preserve">Annex XIII </w:t>
      </w:r>
      <w:r w:rsidR="0005484E">
        <w:rPr>
          <w:rFonts w:cs="Courier New"/>
        </w:rPr>
        <w:t xml:space="preserve">Section </w:t>
      </w:r>
      <w:r w:rsidRPr="00F34121">
        <w:rPr>
          <w:rFonts w:cs="Courier New"/>
        </w:rPr>
        <w:t>1.1.3 b).</w:t>
      </w:r>
    </w:p>
    <w:p w14:paraId="115C5C60" w14:textId="77777777" w:rsidR="00B12C39" w:rsidRPr="00E45915" w:rsidRDefault="00B12C39" w:rsidP="00E45915">
      <w:pPr>
        <w:pStyle w:val="Heading1"/>
      </w:pPr>
      <w:r>
        <w:br w:type="page"/>
      </w:r>
      <w:bookmarkStart w:id="460" w:name="_Toc341888586"/>
      <w:bookmarkStart w:id="461" w:name="_Toc342400447"/>
      <w:bookmarkStart w:id="462" w:name="_Toc354499624"/>
      <w:bookmarkStart w:id="463" w:name="_Toc357083699"/>
      <w:bookmarkStart w:id="464" w:name="_Toc357184248"/>
      <w:bookmarkStart w:id="465" w:name="_Toc357184484"/>
      <w:bookmarkStart w:id="466" w:name="_Toc357185286"/>
      <w:bookmarkStart w:id="467" w:name="_Toc357186134"/>
      <w:bookmarkStart w:id="468" w:name="_Toc357186283"/>
      <w:bookmarkStart w:id="469" w:name="_Toc357437569"/>
      <w:bookmarkStart w:id="470" w:name="_Toc357590842"/>
      <w:bookmarkStart w:id="471" w:name="_Toc357692874"/>
      <w:bookmarkStart w:id="472" w:name="_Toc365649702"/>
      <w:bookmarkStart w:id="473" w:name="_Toc365649851"/>
      <w:bookmarkStart w:id="474" w:name="_Toc366489903"/>
      <w:bookmarkStart w:id="475" w:name="_Toc418506055"/>
      <w:bookmarkStart w:id="476" w:name="_Toc491810747"/>
      <w:r w:rsidRPr="00E45915">
        <w:rPr>
          <w:rStyle w:val="Heading1Char"/>
          <w:b/>
        </w:rPr>
        <w:lastRenderedPageBreak/>
        <w:t>Environmental hazard assessment</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115C5C6C" w14:textId="77777777" w:rsidR="00B12C39" w:rsidRPr="00156D5E" w:rsidRDefault="00B12C39" w:rsidP="001F1F11">
      <w:pPr>
        <w:pStyle w:val="BodyText"/>
        <w:jc w:val="both"/>
      </w:pPr>
    </w:p>
    <w:p w14:paraId="115C5C6D" w14:textId="77777777" w:rsidR="00B12C39" w:rsidRDefault="009454D6" w:rsidP="00100AB6">
      <w:pPr>
        <w:pStyle w:val="Heading2"/>
        <w:keepLines w:val="0"/>
        <w:ind w:left="567" w:hanging="567"/>
      </w:pPr>
      <w:bookmarkStart w:id="477" w:name="_Toc341888587"/>
      <w:bookmarkStart w:id="478" w:name="_Toc342400448"/>
      <w:bookmarkStart w:id="479" w:name="_Toc354499625"/>
      <w:bookmarkStart w:id="480" w:name="_Toc357083700"/>
      <w:bookmarkStart w:id="481" w:name="_Toc357184249"/>
      <w:bookmarkStart w:id="482" w:name="_Toc357184485"/>
      <w:bookmarkStart w:id="483" w:name="_Toc357185287"/>
      <w:bookmarkStart w:id="484" w:name="_Toc357186135"/>
      <w:bookmarkStart w:id="485" w:name="_Toc357186284"/>
      <w:bookmarkStart w:id="486" w:name="_Toc357437570"/>
      <w:bookmarkStart w:id="487" w:name="_Toc357590843"/>
      <w:bookmarkStart w:id="488" w:name="_Toc357692875"/>
      <w:bookmarkStart w:id="489" w:name="_Toc365649703"/>
      <w:bookmarkStart w:id="490" w:name="_Toc365649852"/>
      <w:bookmarkStart w:id="491" w:name="_Toc366489904"/>
      <w:bookmarkStart w:id="492" w:name="_Toc418498608"/>
      <w:bookmarkStart w:id="493" w:name="_Toc418506056"/>
      <w:bookmarkStart w:id="494" w:name="_Toc491810748"/>
      <w:r>
        <w:t xml:space="preserve">5.1 </w:t>
      </w:r>
      <w:r w:rsidR="00B12C39">
        <w:t>Aquatic compartment (including sediment)</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4C942D7C" w14:textId="24E15881" w:rsidR="00070DAB" w:rsidRDefault="00A5576C" w:rsidP="00551ADB">
      <w:pPr>
        <w:rPr>
          <w:rFonts w:cs="Courier New"/>
        </w:rPr>
      </w:pPr>
      <w:r>
        <w:rPr>
          <w:rFonts w:cs="Courier New"/>
        </w:rPr>
        <w:t>According to t</w:t>
      </w:r>
      <w:r w:rsidR="00070DAB">
        <w:rPr>
          <w:rFonts w:cs="Courier New"/>
        </w:rPr>
        <w:t xml:space="preserve">he Support Document for the identification of CTPHT as SVHC </w:t>
      </w:r>
      <w:r w:rsidR="00E123EE">
        <w:rPr>
          <w:rFonts w:cs="Courier New"/>
        </w:rPr>
        <w:t>(ECHA, 2009):</w:t>
      </w:r>
      <w:r>
        <w:rPr>
          <w:rFonts w:cs="Courier New"/>
        </w:rPr>
        <w:t xml:space="preserve"> </w:t>
      </w:r>
    </w:p>
    <w:p w14:paraId="057A6B84" w14:textId="77777777" w:rsidR="0006668D" w:rsidRPr="00D10FD9" w:rsidRDefault="0006668D" w:rsidP="00551ADB"/>
    <w:p w14:paraId="0DD0C0A9" w14:textId="77777777" w:rsidR="00551ADB" w:rsidRPr="00D10FD9" w:rsidRDefault="00551ADB" w:rsidP="00551ADB">
      <w:pPr>
        <w:rPr>
          <w:i/>
        </w:rPr>
      </w:pPr>
      <w:r w:rsidRPr="00D10FD9">
        <w:rPr>
          <w:i/>
        </w:rPr>
        <w:t xml:space="preserve">PAHs can be toxic via different modes of action, such as non-polar narcosis and </w:t>
      </w:r>
      <w:proofErr w:type="spellStart"/>
      <w:r w:rsidRPr="00D10FD9">
        <w:rPr>
          <w:i/>
        </w:rPr>
        <w:t>phototoxicity</w:t>
      </w:r>
      <w:proofErr w:type="spellEnd"/>
      <w:r w:rsidRPr="00D10FD9">
        <w:rPr>
          <w:i/>
        </w:rPr>
        <w:t xml:space="preserve">. </w:t>
      </w:r>
      <w:proofErr w:type="spellStart"/>
      <w:r w:rsidRPr="00D10FD9">
        <w:rPr>
          <w:i/>
        </w:rPr>
        <w:t>Phototoxicity</w:t>
      </w:r>
      <w:proofErr w:type="spellEnd"/>
      <w:r w:rsidRPr="00D10FD9">
        <w:rPr>
          <w:i/>
        </w:rPr>
        <w:t xml:space="preserve"> is caused by the ability of PAHs to absorb UVA radiation, UVB radiation, and in some instances, visible light. It may occur as the result of the production of singlet oxygen, which is highly damaging to biological material, or as result of the formation of new, more toxic compounds from the </w:t>
      </w:r>
      <w:proofErr w:type="spellStart"/>
      <w:r w:rsidRPr="00D10FD9">
        <w:rPr>
          <w:i/>
        </w:rPr>
        <w:t>photomodification</w:t>
      </w:r>
      <w:proofErr w:type="spellEnd"/>
      <w:r w:rsidRPr="00D10FD9">
        <w:rPr>
          <w:i/>
        </w:rPr>
        <w:t xml:space="preserve"> (usually oxidation) of PAHs (</w:t>
      </w:r>
      <w:proofErr w:type="spellStart"/>
      <w:r w:rsidRPr="00D10FD9">
        <w:rPr>
          <w:i/>
        </w:rPr>
        <w:t>Lampi</w:t>
      </w:r>
      <w:proofErr w:type="spellEnd"/>
      <w:r w:rsidRPr="00D10FD9">
        <w:rPr>
          <w:i/>
        </w:rPr>
        <w:t xml:space="preserve"> et al., 2006). Phototoxic effects can be observed after a short period of exposure, which explains why for PAHs like anthracene, </w:t>
      </w:r>
      <w:proofErr w:type="spellStart"/>
      <w:r w:rsidRPr="00D10FD9">
        <w:rPr>
          <w:i/>
        </w:rPr>
        <w:t>fluoranthene</w:t>
      </w:r>
      <w:proofErr w:type="spellEnd"/>
      <w:r w:rsidRPr="00D10FD9">
        <w:rPr>
          <w:i/>
        </w:rPr>
        <w:t xml:space="preserve"> and pyrene, where </w:t>
      </w:r>
      <w:proofErr w:type="spellStart"/>
      <w:r w:rsidRPr="00D10FD9">
        <w:rPr>
          <w:i/>
        </w:rPr>
        <w:t>phototoxicity</w:t>
      </w:r>
      <w:proofErr w:type="spellEnd"/>
      <w:r w:rsidRPr="00D10FD9">
        <w:rPr>
          <w:i/>
        </w:rPr>
        <w:t xml:space="preserve"> is most evident, the acute toxicity values under simulated solar radiation may be lower than the chronic toxicity values determined under less harsh radiation.</w:t>
      </w:r>
    </w:p>
    <w:p w14:paraId="75106392" w14:textId="04F00CEF" w:rsidR="00551ADB" w:rsidRDefault="00551ADB" w:rsidP="00D10FD9">
      <w:pPr>
        <w:rPr>
          <w:i/>
        </w:rPr>
      </w:pPr>
      <w:r w:rsidRPr="00D10FD9">
        <w:rPr>
          <w:i/>
        </w:rPr>
        <w:t xml:space="preserve">The </w:t>
      </w:r>
      <w:proofErr w:type="spellStart"/>
      <w:r w:rsidRPr="00D10FD9">
        <w:rPr>
          <w:i/>
        </w:rPr>
        <w:t>phototoxicity</w:t>
      </w:r>
      <w:proofErr w:type="spellEnd"/>
      <w:r w:rsidRPr="00D10FD9">
        <w:rPr>
          <w:i/>
        </w:rPr>
        <w:t xml:space="preserve"> of PAHs is relevant where the PAHs are exposed to light and UV radiation, and considered to be most important for upper layers of aquatic and terrestrial environments. Although UV penetration depths may vary among PAH-contaminated sites, it is not unlikely that significant portions of the aquatic community may be exposed to UV levels sufficient to induce </w:t>
      </w:r>
      <w:proofErr w:type="spellStart"/>
      <w:r w:rsidRPr="00D10FD9">
        <w:rPr>
          <w:i/>
        </w:rPr>
        <w:t>phototoxicity</w:t>
      </w:r>
      <w:proofErr w:type="spellEnd"/>
      <w:r w:rsidRPr="00D10FD9">
        <w:rPr>
          <w:i/>
        </w:rPr>
        <w:t xml:space="preserve">, as UV levels occurring under normal sun light conditions have been shown to elicit these effects. There is growing evidence which suggests that phototoxic PAHs may be degrading aquatic habitats, particularly those in highly contaminated areas with shallow or clear water. Photo-induced chronic effects have been reported for anthracene at UV intensities occurring at depths of 10-12 m in Lake Michigan (Holst &amp; </w:t>
      </w:r>
      <w:proofErr w:type="spellStart"/>
      <w:r w:rsidRPr="00D10FD9">
        <w:rPr>
          <w:i/>
        </w:rPr>
        <w:t>Giesy</w:t>
      </w:r>
      <w:proofErr w:type="spellEnd"/>
      <w:r w:rsidRPr="00D10FD9">
        <w:rPr>
          <w:i/>
        </w:rPr>
        <w:t xml:space="preserve">, 1989). </w:t>
      </w:r>
      <w:proofErr w:type="spellStart"/>
      <w:r w:rsidRPr="00D10FD9">
        <w:rPr>
          <w:i/>
        </w:rPr>
        <w:t>Phototoxicity</w:t>
      </w:r>
      <w:proofErr w:type="spellEnd"/>
      <w:r w:rsidRPr="00D10FD9">
        <w:rPr>
          <w:i/>
        </w:rPr>
        <w:t xml:space="preserve"> of PAHs may also be initiated in aquatic organisms which have accumulated PAHs from the sediment and subsequently are exposed to sun light closer to the surface (The Netherlands, 2008). Phototoxic effects of PAHs are therefore considered relevant in thi</w:t>
      </w:r>
      <w:r w:rsidR="0028323F">
        <w:rPr>
          <w:i/>
        </w:rPr>
        <w:t>s hazard, respectively T-</w:t>
      </w:r>
      <w:r w:rsidRPr="00D10FD9">
        <w:rPr>
          <w:i/>
        </w:rPr>
        <w:t>assessment.</w:t>
      </w:r>
      <w:r>
        <w:rPr>
          <w:i/>
        </w:rPr>
        <w:t xml:space="preserve"> </w:t>
      </w:r>
    </w:p>
    <w:p w14:paraId="558313EC" w14:textId="77777777" w:rsidR="00551ADB" w:rsidRPr="00325320" w:rsidRDefault="00551ADB" w:rsidP="00D10FD9"/>
    <w:p w14:paraId="115C5C6E" w14:textId="77777777" w:rsidR="00B12C39" w:rsidRPr="009454D6" w:rsidRDefault="00B12C39" w:rsidP="000423CE">
      <w:pPr>
        <w:pStyle w:val="Heading3"/>
        <w:tabs>
          <w:tab w:val="clear" w:pos="360"/>
          <w:tab w:val="num" w:pos="284"/>
        </w:tabs>
      </w:pPr>
      <w:r>
        <w:t xml:space="preserve"> </w:t>
      </w:r>
      <w:bookmarkStart w:id="495" w:name="_Toc341888589"/>
      <w:bookmarkStart w:id="496" w:name="_Toc342400450"/>
      <w:bookmarkStart w:id="497" w:name="_Toc354499626"/>
      <w:bookmarkStart w:id="498" w:name="_Toc357083701"/>
      <w:bookmarkStart w:id="499" w:name="_Toc357184250"/>
      <w:bookmarkStart w:id="500" w:name="_Toc357184486"/>
      <w:bookmarkStart w:id="501" w:name="_Toc357185288"/>
      <w:bookmarkStart w:id="502" w:name="_Toc357186136"/>
      <w:bookmarkStart w:id="503" w:name="_Toc357186285"/>
      <w:bookmarkStart w:id="504" w:name="_Toc357437571"/>
      <w:bookmarkStart w:id="505" w:name="_Toc357590844"/>
      <w:bookmarkStart w:id="506" w:name="_Toc357692876"/>
      <w:bookmarkStart w:id="507" w:name="_Toc365649704"/>
      <w:bookmarkStart w:id="508" w:name="_Toc365649853"/>
      <w:bookmarkStart w:id="509" w:name="_Toc366489905"/>
      <w:bookmarkStart w:id="510" w:name="_Toc418498609"/>
      <w:bookmarkStart w:id="511" w:name="_Toc418506057"/>
      <w:bookmarkStart w:id="512" w:name="_Toc491810749"/>
      <w:r w:rsidR="000423CE">
        <w:t xml:space="preserve">5.1.1 </w:t>
      </w:r>
      <w:r w:rsidRPr="009454D6">
        <w:t>Fish</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115C5C6F" w14:textId="77777777" w:rsidR="00B12C39" w:rsidRDefault="000423CE" w:rsidP="000423CE">
      <w:pPr>
        <w:pStyle w:val="Heading4"/>
        <w:tabs>
          <w:tab w:val="num" w:pos="284"/>
        </w:tabs>
      </w:pPr>
      <w:bookmarkStart w:id="513" w:name="_Toc341888590"/>
      <w:bookmarkStart w:id="514" w:name="_Toc342400451"/>
      <w:r>
        <w:t xml:space="preserve">5.1.1.1 </w:t>
      </w:r>
      <w:r w:rsidR="00B12C39" w:rsidRPr="009454D6">
        <w:t>Short-term toxicity to fish</w:t>
      </w:r>
      <w:bookmarkEnd w:id="513"/>
      <w:bookmarkEnd w:id="514"/>
    </w:p>
    <w:p w14:paraId="1C2D0BA5" w14:textId="7EAB80C4" w:rsidR="00551ADB" w:rsidRDefault="00E15C32" w:rsidP="00D10FD9">
      <w:pPr>
        <w:pStyle w:val="BodyText"/>
      </w:pPr>
      <w:r>
        <w:t xml:space="preserve">No </w:t>
      </w:r>
      <w:r w:rsidR="007A17A9">
        <w:t xml:space="preserve">standard </w:t>
      </w:r>
      <w:r>
        <w:t xml:space="preserve">data on short-term toxicity to fish are available (search done March </w:t>
      </w:r>
      <w:r w:rsidR="00E60F33">
        <w:t>20</w:t>
      </w:r>
      <w:r>
        <w:t>17).</w:t>
      </w:r>
    </w:p>
    <w:p w14:paraId="018FAA12" w14:textId="265784A2" w:rsidR="007A17A9" w:rsidRDefault="007A17A9" w:rsidP="00D10FD9">
      <w:pPr>
        <w:pStyle w:val="BodyText"/>
      </w:pPr>
      <w:r w:rsidRPr="007F1516">
        <w:t xml:space="preserve">The </w:t>
      </w:r>
      <w:r w:rsidR="00934DDD" w:rsidRPr="007F1516">
        <w:t>Netherlands</w:t>
      </w:r>
      <w:r w:rsidRPr="007F1516">
        <w:t xml:space="preserve"> </w:t>
      </w:r>
      <w:r w:rsidR="00934DDD" w:rsidRPr="007F1516">
        <w:t>(</w:t>
      </w:r>
      <w:r w:rsidRPr="007F1516">
        <w:t>2008)</w:t>
      </w:r>
      <w:r>
        <w:t xml:space="preserve"> summarizes acute </w:t>
      </w:r>
      <w:r w:rsidR="002B13C7">
        <w:t xml:space="preserve">toxicity on </w:t>
      </w:r>
      <w:r>
        <w:t>fish tests as following:</w:t>
      </w:r>
    </w:p>
    <w:p w14:paraId="0A2EE2B8" w14:textId="1594E472" w:rsidR="007A17A9" w:rsidRPr="00D10FD9" w:rsidRDefault="007A17A9" w:rsidP="00D10FD9">
      <w:pPr>
        <w:pStyle w:val="BodyText"/>
        <w:rPr>
          <w:rFonts w:cs="Courier New"/>
          <w:i/>
        </w:rPr>
      </w:pPr>
      <w:r w:rsidRPr="00D10FD9">
        <w:rPr>
          <w:rFonts w:cs="Courier New"/>
          <w:i/>
        </w:rPr>
        <w:t xml:space="preserve">For fish, no standard acute toxicity data are available. In a study with larvae of </w:t>
      </w:r>
      <w:proofErr w:type="spellStart"/>
      <w:r w:rsidRPr="00D10FD9">
        <w:rPr>
          <w:rFonts w:cs="Courier New"/>
          <w:i/>
        </w:rPr>
        <w:t>Pimephales</w:t>
      </w:r>
      <w:proofErr w:type="spellEnd"/>
      <w:r w:rsidRPr="00D10FD9">
        <w:rPr>
          <w:rFonts w:cs="Courier New"/>
          <w:i/>
        </w:rPr>
        <w:t xml:space="preserve"> </w:t>
      </w:r>
      <w:proofErr w:type="spellStart"/>
      <w:r w:rsidRPr="00D10FD9">
        <w:rPr>
          <w:rFonts w:cs="Courier New"/>
          <w:i/>
        </w:rPr>
        <w:t>promelas</w:t>
      </w:r>
      <w:proofErr w:type="spellEnd"/>
      <w:r w:rsidRPr="00D10FD9">
        <w:rPr>
          <w:rFonts w:cs="Courier New"/>
          <w:i/>
        </w:rPr>
        <w:t xml:space="preserve"> the median lethal time was determined (</w:t>
      </w:r>
      <w:proofErr w:type="spellStart"/>
      <w:r w:rsidRPr="00D10FD9">
        <w:rPr>
          <w:rFonts w:cs="Courier New"/>
          <w:i/>
        </w:rPr>
        <w:t>Oris</w:t>
      </w:r>
      <w:proofErr w:type="spellEnd"/>
      <w:r w:rsidRPr="00D10FD9">
        <w:rPr>
          <w:rFonts w:cs="Courier New"/>
          <w:i/>
        </w:rPr>
        <w:t xml:space="preserve"> &amp; </w:t>
      </w:r>
      <w:proofErr w:type="spellStart"/>
      <w:r w:rsidRPr="00D10FD9">
        <w:rPr>
          <w:rFonts w:cs="Courier New"/>
          <w:i/>
        </w:rPr>
        <w:t>Giesy</w:t>
      </w:r>
      <w:proofErr w:type="spellEnd"/>
      <w:r w:rsidRPr="00D10FD9">
        <w:rPr>
          <w:rFonts w:cs="Courier New"/>
          <w:i/>
        </w:rPr>
        <w:t xml:space="preserve">, 1987). 7-d old larvae were exposed to a measured concentrations of 1.8 </w:t>
      </w:r>
      <w:proofErr w:type="spellStart"/>
      <w:r w:rsidRPr="00D10FD9">
        <w:rPr>
          <w:rFonts w:cs="Courier New"/>
          <w:i/>
        </w:rPr>
        <w:t>μg</w:t>
      </w:r>
      <w:proofErr w:type="spellEnd"/>
      <w:r w:rsidRPr="00D10FD9">
        <w:rPr>
          <w:rFonts w:cs="Courier New"/>
          <w:i/>
        </w:rPr>
        <w:t xml:space="preserve">/L </w:t>
      </w:r>
      <w:proofErr w:type="spellStart"/>
      <w:r w:rsidR="009E1F6C">
        <w:rPr>
          <w:rFonts w:cs="Courier New"/>
          <w:i/>
        </w:rPr>
        <w:t>benz</w:t>
      </w:r>
      <w:proofErr w:type="spellEnd"/>
      <w:r w:rsidR="009E1F6C">
        <w:rPr>
          <w:rFonts w:cs="Courier New"/>
          <w:i/>
        </w:rPr>
        <w:t>[a]anthracene</w:t>
      </w:r>
      <w:r w:rsidRPr="00D10FD9">
        <w:rPr>
          <w:rFonts w:cs="Courier New"/>
          <w:i/>
        </w:rPr>
        <w:t xml:space="preserve"> for an incubation period of 24 hour in the absence of UV-radiation and thereafter exposed to UV-light with an intensity of 20 </w:t>
      </w:r>
      <w:proofErr w:type="spellStart"/>
      <w:r w:rsidRPr="00D10FD9">
        <w:rPr>
          <w:rFonts w:cs="Courier New"/>
          <w:i/>
        </w:rPr>
        <w:t>μW</w:t>
      </w:r>
      <w:proofErr w:type="spellEnd"/>
      <w:r w:rsidRPr="00D10FD9">
        <w:rPr>
          <w:rFonts w:cs="Courier New"/>
          <w:i/>
        </w:rPr>
        <w:t xml:space="preserve">/cm2 UV-B (290-336 nm), 95 </w:t>
      </w:r>
      <w:proofErr w:type="spellStart"/>
      <w:r w:rsidRPr="00D10FD9">
        <w:rPr>
          <w:rFonts w:cs="Courier New"/>
          <w:i/>
        </w:rPr>
        <w:t>μW</w:t>
      </w:r>
      <w:proofErr w:type="spellEnd"/>
      <w:r w:rsidRPr="00D10FD9">
        <w:rPr>
          <w:rFonts w:cs="Courier New"/>
          <w:i/>
        </w:rPr>
        <w:t xml:space="preserve">/cm2 UV-A (336-400 nm). After the incubation time of 24 hours, the medium was renewed every 12 hours. The median lethal time after UV-radiation started was 65 hours. Thus, after 89 hours, of which the last 65 hours were with UV radiation, 50% mortality of the fish larvae occurred at 1.8 </w:t>
      </w:r>
      <w:proofErr w:type="spellStart"/>
      <w:r w:rsidRPr="00D10FD9">
        <w:rPr>
          <w:rFonts w:cs="Courier New"/>
          <w:i/>
        </w:rPr>
        <w:t>μg</w:t>
      </w:r>
      <w:proofErr w:type="spellEnd"/>
      <w:r w:rsidRPr="00D10FD9">
        <w:rPr>
          <w:rFonts w:cs="Courier New"/>
          <w:i/>
        </w:rPr>
        <w:t>/L.</w:t>
      </w:r>
    </w:p>
    <w:p w14:paraId="115C5C70" w14:textId="77777777" w:rsidR="00B12C39" w:rsidRDefault="000423CE" w:rsidP="000423CE">
      <w:pPr>
        <w:pStyle w:val="Heading4"/>
        <w:tabs>
          <w:tab w:val="num" w:pos="284"/>
        </w:tabs>
      </w:pPr>
      <w:bookmarkStart w:id="515" w:name="_Toc341888591"/>
      <w:bookmarkStart w:id="516" w:name="_Toc342400452"/>
      <w:r>
        <w:t xml:space="preserve">5.1.1.2 </w:t>
      </w:r>
      <w:r w:rsidR="00B12C39" w:rsidRPr="000423CE">
        <w:t>Long-term toxicity to fish</w:t>
      </w:r>
      <w:bookmarkEnd w:id="515"/>
      <w:bookmarkEnd w:id="516"/>
    </w:p>
    <w:p w14:paraId="115C5C71" w14:textId="09025CB8" w:rsidR="000423CE" w:rsidRPr="007626B4" w:rsidRDefault="00E15C32" w:rsidP="000423CE">
      <w:pPr>
        <w:pStyle w:val="BodyText"/>
      </w:pPr>
      <w:r>
        <w:t xml:space="preserve">No data on </w:t>
      </w:r>
      <w:r w:rsidR="007626B4">
        <w:t>long</w:t>
      </w:r>
      <w:r>
        <w:t>-term toxicity to fish are available (search done March 17).</w:t>
      </w:r>
    </w:p>
    <w:p w14:paraId="115C5C72" w14:textId="77777777" w:rsidR="00B12C39" w:rsidRPr="009454D6" w:rsidRDefault="000423CE" w:rsidP="000423CE">
      <w:pPr>
        <w:pStyle w:val="Heading3"/>
        <w:tabs>
          <w:tab w:val="clear" w:pos="360"/>
          <w:tab w:val="num" w:pos="284"/>
        </w:tabs>
      </w:pPr>
      <w:bookmarkStart w:id="517" w:name="_Toc341888592"/>
      <w:bookmarkStart w:id="518" w:name="_Toc342400453"/>
      <w:bookmarkStart w:id="519" w:name="_Toc354499627"/>
      <w:bookmarkStart w:id="520" w:name="_Toc357083702"/>
      <w:bookmarkStart w:id="521" w:name="_Toc357184251"/>
      <w:bookmarkStart w:id="522" w:name="_Toc357184487"/>
      <w:bookmarkStart w:id="523" w:name="_Toc357185289"/>
      <w:bookmarkStart w:id="524" w:name="_Toc357186137"/>
      <w:bookmarkStart w:id="525" w:name="_Toc357186286"/>
      <w:bookmarkStart w:id="526" w:name="_Toc357437572"/>
      <w:bookmarkStart w:id="527" w:name="_Toc357590845"/>
      <w:bookmarkStart w:id="528" w:name="_Toc357692877"/>
      <w:bookmarkStart w:id="529" w:name="_Toc365649705"/>
      <w:bookmarkStart w:id="530" w:name="_Toc365649854"/>
      <w:bookmarkStart w:id="531" w:name="_Toc366489906"/>
      <w:bookmarkStart w:id="532" w:name="_Toc418498610"/>
      <w:bookmarkStart w:id="533" w:name="_Toc418506058"/>
      <w:bookmarkStart w:id="534" w:name="_Toc491810750"/>
      <w:r>
        <w:lastRenderedPageBreak/>
        <w:t xml:space="preserve">5.1.2 </w:t>
      </w:r>
      <w:r w:rsidR="00B12C39" w:rsidRPr="009454D6">
        <w:t>Aquatic invertebrates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115C5C73" w14:textId="77777777" w:rsidR="00B12C39" w:rsidRDefault="000423CE" w:rsidP="00BC1D62">
      <w:pPr>
        <w:pStyle w:val="Heading4"/>
        <w:tabs>
          <w:tab w:val="num" w:pos="284"/>
        </w:tabs>
      </w:pPr>
      <w:bookmarkStart w:id="535" w:name="_Toc341888593"/>
      <w:bookmarkStart w:id="536" w:name="_Toc342400454"/>
      <w:r>
        <w:t xml:space="preserve">5.1.2.1 </w:t>
      </w:r>
      <w:r w:rsidR="00B12C39" w:rsidRPr="009454D6">
        <w:t>Short-term toxicity to aquatic invertebrates</w:t>
      </w:r>
      <w:bookmarkEnd w:id="535"/>
      <w:bookmarkEnd w:id="536"/>
    </w:p>
    <w:p w14:paraId="3CDA72B9" w14:textId="42C326F5" w:rsidR="002B13C7" w:rsidRPr="00325320" w:rsidRDefault="00934DDD" w:rsidP="00D10FD9">
      <w:pPr>
        <w:pStyle w:val="BodyText"/>
      </w:pPr>
      <w:r>
        <w:t xml:space="preserve">The Netherlands (2008) summarizes </w:t>
      </w:r>
      <w:r w:rsidR="002B13C7">
        <w:t>acute toxicity on invertebrates as following:</w:t>
      </w:r>
    </w:p>
    <w:p w14:paraId="524F8A56" w14:textId="0C0CAA15" w:rsidR="008F3F36" w:rsidRPr="00D10FD9" w:rsidRDefault="008F3F36" w:rsidP="008F3F36">
      <w:pPr>
        <w:rPr>
          <w:rFonts w:cs="Courier New"/>
          <w:i/>
        </w:rPr>
      </w:pPr>
      <w:r w:rsidRPr="00D10FD9">
        <w:rPr>
          <w:rFonts w:cs="Courier New"/>
          <w:i/>
        </w:rPr>
        <w:t xml:space="preserve">Data on acute toxicity of </w:t>
      </w:r>
      <w:proofErr w:type="spellStart"/>
      <w:proofErr w:type="gramStart"/>
      <w:r w:rsidR="009E1F6C">
        <w:rPr>
          <w:rFonts w:cs="Courier New"/>
          <w:i/>
        </w:rPr>
        <w:t>benz</w:t>
      </w:r>
      <w:proofErr w:type="spellEnd"/>
      <w:r w:rsidR="009E1F6C">
        <w:rPr>
          <w:rFonts w:cs="Courier New"/>
          <w:i/>
        </w:rPr>
        <w:t>[</w:t>
      </w:r>
      <w:proofErr w:type="gramEnd"/>
      <w:r w:rsidR="009E1F6C">
        <w:rPr>
          <w:rFonts w:cs="Courier New"/>
          <w:i/>
        </w:rPr>
        <w:t>a]anthracene</w:t>
      </w:r>
      <w:r w:rsidRPr="00D10FD9">
        <w:rPr>
          <w:rFonts w:cs="Courier New"/>
          <w:i/>
        </w:rPr>
        <w:t xml:space="preserve"> are available for algae, crustaceans and amphibians. </w:t>
      </w:r>
    </w:p>
    <w:p w14:paraId="45990BE8" w14:textId="5CE591BD" w:rsidR="002B13C7" w:rsidRPr="00D10FD9" w:rsidRDefault="002B13C7" w:rsidP="002B13C7">
      <w:pPr>
        <w:pStyle w:val="BodyText"/>
        <w:rPr>
          <w:rFonts w:cs="Courier New"/>
          <w:i/>
        </w:rPr>
      </w:pPr>
      <w:r w:rsidRPr="00D10FD9">
        <w:rPr>
          <w:rFonts w:cs="Courier New"/>
          <w:i/>
        </w:rPr>
        <w:t xml:space="preserve">The 96-h LC50 of Daphnia </w:t>
      </w:r>
      <w:proofErr w:type="spellStart"/>
      <w:r w:rsidRPr="00D10FD9">
        <w:rPr>
          <w:rFonts w:cs="Courier New"/>
          <w:i/>
        </w:rPr>
        <w:t>pulex</w:t>
      </w:r>
      <w:proofErr w:type="spellEnd"/>
      <w:r w:rsidRPr="00D10FD9">
        <w:rPr>
          <w:rFonts w:cs="Courier New"/>
          <w:i/>
        </w:rPr>
        <w:t xml:space="preserve"> exposed under a 12:12 h photoperiod to mixed fluorescent and natural light was 10 </w:t>
      </w:r>
      <w:proofErr w:type="spellStart"/>
      <w:r w:rsidRPr="00D10FD9">
        <w:rPr>
          <w:rFonts w:cs="Courier New"/>
          <w:i/>
        </w:rPr>
        <w:t>μg</w:t>
      </w:r>
      <w:proofErr w:type="spellEnd"/>
      <w:r w:rsidRPr="00D10FD9">
        <w:rPr>
          <w:rFonts w:cs="Courier New"/>
          <w:i/>
        </w:rPr>
        <w:t>/L (</w:t>
      </w:r>
      <w:proofErr w:type="spellStart"/>
      <w:r w:rsidRPr="00D10FD9">
        <w:rPr>
          <w:rFonts w:cs="Courier New"/>
          <w:i/>
        </w:rPr>
        <w:t>Trucco</w:t>
      </w:r>
      <w:proofErr w:type="spellEnd"/>
      <w:r w:rsidRPr="00D10FD9">
        <w:rPr>
          <w:rFonts w:cs="Courier New"/>
          <w:i/>
        </w:rPr>
        <w:t xml:space="preserve"> et al., 1983). The 48-h LC50 of Daphnia magna from a test in the dark was higher than 9.1 </w:t>
      </w:r>
      <w:proofErr w:type="spellStart"/>
      <w:r w:rsidRPr="00D10FD9">
        <w:rPr>
          <w:rFonts w:cs="Courier New"/>
          <w:i/>
        </w:rPr>
        <w:t>μg</w:t>
      </w:r>
      <w:proofErr w:type="spellEnd"/>
      <w:r w:rsidRPr="00D10FD9">
        <w:rPr>
          <w:rFonts w:cs="Courier New"/>
          <w:i/>
        </w:rPr>
        <w:t xml:space="preserve">/L (Bisson et al., 2000). Also under artificial light with a photoperiod of 16:8 h </w:t>
      </w:r>
      <w:proofErr w:type="spellStart"/>
      <w:r w:rsidRPr="00D10FD9">
        <w:rPr>
          <w:rFonts w:cs="Courier New"/>
          <w:i/>
        </w:rPr>
        <w:t>light</w:t>
      </w:r>
      <w:proofErr w:type="gramStart"/>
      <w:r w:rsidRPr="00D10FD9">
        <w:rPr>
          <w:rFonts w:cs="Courier New"/>
          <w:i/>
        </w:rPr>
        <w:t>:dark</w:t>
      </w:r>
      <w:proofErr w:type="spellEnd"/>
      <w:proofErr w:type="gramEnd"/>
      <w:r w:rsidRPr="00D10FD9">
        <w:rPr>
          <w:rFonts w:cs="Courier New"/>
          <w:i/>
        </w:rPr>
        <w:t xml:space="preserve"> 50% mortality was not reached in the highest concentration when Daphnia magna was exposed for 24 hour. The same test followed by irradiation with UV (295-365 nm; peak 340 nm) with an intensity of 370 ± 20 </w:t>
      </w:r>
      <w:proofErr w:type="spellStart"/>
      <w:r w:rsidRPr="00D10FD9">
        <w:rPr>
          <w:rFonts w:cs="Courier New"/>
          <w:i/>
        </w:rPr>
        <w:t>μW</w:t>
      </w:r>
      <w:proofErr w:type="spellEnd"/>
      <w:r w:rsidRPr="00D10FD9">
        <w:rPr>
          <w:rFonts w:cs="Courier New"/>
          <w:i/>
        </w:rPr>
        <w:t xml:space="preserve">/cm2 for 2 hours and 1 hour of recovery in the test medium lead to an LC50 of 3.4 </w:t>
      </w:r>
      <w:proofErr w:type="spellStart"/>
      <w:r w:rsidRPr="00D10FD9">
        <w:rPr>
          <w:rFonts w:cs="Courier New"/>
          <w:i/>
        </w:rPr>
        <w:t>μg</w:t>
      </w:r>
      <w:proofErr w:type="spellEnd"/>
      <w:r w:rsidRPr="00D10FD9">
        <w:rPr>
          <w:rFonts w:cs="Courier New"/>
          <w:i/>
        </w:rPr>
        <w:t xml:space="preserve">/L. UV-radiation thus increases the toxicity of </w:t>
      </w:r>
      <w:proofErr w:type="spellStart"/>
      <w:r w:rsidR="009E1F6C">
        <w:rPr>
          <w:rFonts w:cs="Courier New"/>
          <w:i/>
        </w:rPr>
        <w:t>benz</w:t>
      </w:r>
      <w:proofErr w:type="spellEnd"/>
      <w:r w:rsidR="009E1F6C">
        <w:rPr>
          <w:rFonts w:cs="Courier New"/>
          <w:i/>
        </w:rPr>
        <w:t>[a]anthracene</w:t>
      </w:r>
      <w:r w:rsidRPr="00D10FD9">
        <w:rPr>
          <w:rFonts w:cs="Courier New"/>
          <w:i/>
        </w:rPr>
        <w:t>.</w:t>
      </w:r>
    </w:p>
    <w:p w14:paraId="3AABBB16" w14:textId="61997CC6" w:rsidR="007626B4" w:rsidRPr="00D10FD9" w:rsidRDefault="002B13C7" w:rsidP="00D10FD9">
      <w:pPr>
        <w:pStyle w:val="BodyText"/>
        <w:rPr>
          <w:rFonts w:cs="Courier New"/>
          <w:i/>
        </w:rPr>
      </w:pPr>
      <w:r w:rsidRPr="00D10FD9">
        <w:rPr>
          <w:rFonts w:cs="Courier New"/>
          <w:i/>
        </w:rPr>
        <w:t>Of the mentioned studies, only in the study with Daphnia magna from Bisson et al. (2000) concentrations were determined.</w:t>
      </w:r>
    </w:p>
    <w:p w14:paraId="115C5C74" w14:textId="77777777" w:rsidR="00B12C39" w:rsidRDefault="000423CE" w:rsidP="00BC1D62">
      <w:pPr>
        <w:pStyle w:val="Heading4"/>
        <w:tabs>
          <w:tab w:val="num" w:pos="284"/>
        </w:tabs>
      </w:pPr>
      <w:bookmarkStart w:id="537" w:name="_Toc341888594"/>
      <w:bookmarkStart w:id="538" w:name="_Toc342400455"/>
      <w:r>
        <w:t xml:space="preserve">5.1.2.2 </w:t>
      </w:r>
      <w:r w:rsidR="00B12C39" w:rsidRPr="000423CE">
        <w:t>Long-term toxicity to aquatic invertebrates</w:t>
      </w:r>
      <w:bookmarkEnd w:id="537"/>
      <w:bookmarkEnd w:id="538"/>
    </w:p>
    <w:p w14:paraId="5D57BA87" w14:textId="6A0549BD" w:rsidR="005275A0" w:rsidRDefault="00934DDD" w:rsidP="005275A0">
      <w:pPr>
        <w:pStyle w:val="BodyText"/>
      </w:pPr>
      <w:r>
        <w:t>The Netherlands (2008) summarizes</w:t>
      </w:r>
      <w:r w:rsidR="005275A0">
        <w:t xml:space="preserve"> chronic toxicity on invertebrates as following:</w:t>
      </w:r>
    </w:p>
    <w:p w14:paraId="691D4B69" w14:textId="0CA0CF2C" w:rsidR="005275A0" w:rsidRPr="00D10FD9" w:rsidRDefault="005275A0" w:rsidP="005275A0">
      <w:pPr>
        <w:pStyle w:val="BodyText"/>
        <w:rPr>
          <w:rFonts w:cs="Courier New"/>
          <w:i/>
        </w:rPr>
      </w:pPr>
      <w:r w:rsidRPr="00D10FD9">
        <w:rPr>
          <w:rFonts w:cs="Courier New"/>
          <w:i/>
        </w:rPr>
        <w:t xml:space="preserve">Chronic toxicity data are available for algae, </w:t>
      </w:r>
      <w:proofErr w:type="spellStart"/>
      <w:r w:rsidRPr="00D10FD9">
        <w:rPr>
          <w:rFonts w:cs="Courier New"/>
          <w:i/>
        </w:rPr>
        <w:t>cyanophyta</w:t>
      </w:r>
      <w:proofErr w:type="spellEnd"/>
      <w:r w:rsidRPr="00D10FD9">
        <w:rPr>
          <w:rFonts w:cs="Courier New"/>
          <w:i/>
        </w:rPr>
        <w:t>, aquatic plants and crustaceans.</w:t>
      </w:r>
    </w:p>
    <w:p w14:paraId="00941A46" w14:textId="2730C1A5" w:rsidR="00386097" w:rsidRPr="00D10FD9" w:rsidRDefault="00386097" w:rsidP="005275A0">
      <w:pPr>
        <w:pStyle w:val="BodyText"/>
        <w:rPr>
          <w:rFonts w:cs="Courier New"/>
          <w:i/>
        </w:rPr>
      </w:pPr>
      <w:r w:rsidRPr="00D10FD9">
        <w:rPr>
          <w:rFonts w:cs="Courier New"/>
          <w:i/>
        </w:rPr>
        <w:t>[…]</w:t>
      </w:r>
    </w:p>
    <w:p w14:paraId="1481A997" w14:textId="434539E0" w:rsidR="00386097" w:rsidRPr="00D10FD9" w:rsidRDefault="00386097" w:rsidP="005275A0">
      <w:pPr>
        <w:pStyle w:val="BodyText"/>
        <w:rPr>
          <w:rFonts w:cs="Courier New"/>
          <w:i/>
        </w:rPr>
      </w:pPr>
      <w:r w:rsidRPr="00D10FD9">
        <w:rPr>
          <w:rFonts w:cs="Courier New"/>
          <w:i/>
        </w:rPr>
        <w:t xml:space="preserve">For </w:t>
      </w:r>
      <w:proofErr w:type="spellStart"/>
      <w:r w:rsidRPr="00D10FD9">
        <w:rPr>
          <w:rFonts w:cs="Courier New"/>
          <w:i/>
        </w:rPr>
        <w:t>Ceriodaphnia</w:t>
      </w:r>
      <w:proofErr w:type="spellEnd"/>
      <w:r w:rsidRPr="00D10FD9">
        <w:rPr>
          <w:rFonts w:cs="Courier New"/>
          <w:i/>
        </w:rPr>
        <w:t xml:space="preserve"> </w:t>
      </w:r>
      <w:proofErr w:type="spellStart"/>
      <w:r w:rsidRPr="00D10FD9">
        <w:rPr>
          <w:rFonts w:cs="Courier New"/>
          <w:i/>
        </w:rPr>
        <w:t>dubia</w:t>
      </w:r>
      <w:proofErr w:type="spellEnd"/>
      <w:r w:rsidRPr="00D10FD9">
        <w:rPr>
          <w:rFonts w:cs="Courier New"/>
          <w:i/>
        </w:rPr>
        <w:t xml:space="preserve"> no effects were observed in a 7-d study at concentrations up to 8.7 </w:t>
      </w:r>
      <w:proofErr w:type="spellStart"/>
      <w:r w:rsidRPr="00D10FD9">
        <w:rPr>
          <w:rFonts w:cs="Courier New"/>
          <w:i/>
        </w:rPr>
        <w:t>μg</w:t>
      </w:r>
      <w:proofErr w:type="spellEnd"/>
      <w:r w:rsidRPr="00D10FD9">
        <w:rPr>
          <w:rFonts w:cs="Courier New"/>
          <w:i/>
        </w:rPr>
        <w:t>/L (Bisson et al., 2000).</w:t>
      </w:r>
    </w:p>
    <w:p w14:paraId="47FDBDB2" w14:textId="77777777" w:rsidR="00AB6A25" w:rsidRPr="00D10FD9" w:rsidRDefault="00AB6A25" w:rsidP="005275A0">
      <w:pPr>
        <w:pStyle w:val="BodyText"/>
        <w:rPr>
          <w:rFonts w:cs="Courier New"/>
          <w:i/>
        </w:rPr>
      </w:pPr>
    </w:p>
    <w:p w14:paraId="115C5C76" w14:textId="77777777" w:rsidR="00B12C39" w:rsidRDefault="000423CE" w:rsidP="000423CE">
      <w:pPr>
        <w:pStyle w:val="Heading3"/>
        <w:tabs>
          <w:tab w:val="clear" w:pos="360"/>
          <w:tab w:val="num" w:pos="284"/>
        </w:tabs>
      </w:pPr>
      <w:bookmarkStart w:id="539" w:name="_Toc341888595"/>
      <w:bookmarkStart w:id="540" w:name="_Toc342400456"/>
      <w:bookmarkStart w:id="541" w:name="_Toc354499628"/>
      <w:bookmarkStart w:id="542" w:name="_Toc357083703"/>
      <w:bookmarkStart w:id="543" w:name="_Toc357184252"/>
      <w:bookmarkStart w:id="544" w:name="_Toc357184488"/>
      <w:bookmarkStart w:id="545" w:name="_Toc357185290"/>
      <w:bookmarkStart w:id="546" w:name="_Toc357186138"/>
      <w:bookmarkStart w:id="547" w:name="_Toc357186287"/>
      <w:bookmarkStart w:id="548" w:name="_Toc357437573"/>
      <w:bookmarkStart w:id="549" w:name="_Toc357590846"/>
      <w:bookmarkStart w:id="550" w:name="_Toc357692878"/>
      <w:bookmarkStart w:id="551" w:name="_Toc365649706"/>
      <w:bookmarkStart w:id="552" w:name="_Toc365649855"/>
      <w:bookmarkStart w:id="553" w:name="_Toc366489907"/>
      <w:bookmarkStart w:id="554" w:name="_Toc418498611"/>
      <w:bookmarkStart w:id="555" w:name="_Toc418506059"/>
      <w:bookmarkStart w:id="556" w:name="_Toc491810751"/>
      <w:r>
        <w:t xml:space="preserve">5.1.3 </w:t>
      </w:r>
      <w:r w:rsidR="00B12C39" w:rsidRPr="009454D6">
        <w:t>Algae and aquatic plants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74E77CFB" w14:textId="074C6BF6" w:rsidR="00934DDD" w:rsidRPr="00D10FD9" w:rsidRDefault="00934DDD" w:rsidP="00D10FD9">
      <w:pPr>
        <w:pStyle w:val="BodyText"/>
        <w:rPr>
          <w:rFonts w:cs="Courier New"/>
        </w:rPr>
      </w:pPr>
      <w:r>
        <w:t xml:space="preserve">The Netherlands (2008) summarizes toxicity on </w:t>
      </w:r>
      <w:r w:rsidR="00195A6B">
        <w:t>algae and aquatic plants</w:t>
      </w:r>
      <w:r>
        <w:t xml:space="preserve"> as following:</w:t>
      </w:r>
    </w:p>
    <w:p w14:paraId="61538E91" w14:textId="2A03E2FB" w:rsidR="002B13C7" w:rsidRPr="00D10FD9" w:rsidRDefault="002B13C7" w:rsidP="00D10FD9">
      <w:pPr>
        <w:pStyle w:val="BodyText"/>
        <w:rPr>
          <w:rFonts w:cs="Courier New"/>
          <w:i/>
        </w:rPr>
      </w:pPr>
      <w:r w:rsidRPr="00D10FD9">
        <w:rPr>
          <w:rFonts w:cs="Courier New"/>
          <w:i/>
        </w:rPr>
        <w:t xml:space="preserve">The growth of </w:t>
      </w:r>
      <w:proofErr w:type="spellStart"/>
      <w:r w:rsidRPr="00D10FD9">
        <w:rPr>
          <w:rFonts w:cs="Courier New"/>
          <w:i/>
        </w:rPr>
        <w:t>Pseudokirchneriella</w:t>
      </w:r>
      <w:proofErr w:type="spellEnd"/>
      <w:r w:rsidRPr="00D10FD9">
        <w:rPr>
          <w:rFonts w:cs="Courier New"/>
          <w:i/>
        </w:rPr>
        <w:t xml:space="preserve"> </w:t>
      </w:r>
      <w:proofErr w:type="spellStart"/>
      <w:r w:rsidRPr="00D10FD9">
        <w:rPr>
          <w:rFonts w:cs="Courier New"/>
          <w:i/>
        </w:rPr>
        <w:t>subcapitata</w:t>
      </w:r>
      <w:proofErr w:type="spellEnd"/>
      <w:r w:rsidRPr="00D10FD9">
        <w:rPr>
          <w:rFonts w:cs="Courier New"/>
          <w:i/>
        </w:rPr>
        <w:t xml:space="preserve">, exposed to concentrations far above the aqueous solubility, was not inhibited by 50% when illuminated with a 16:8 h </w:t>
      </w:r>
      <w:proofErr w:type="spellStart"/>
      <w:r w:rsidRPr="00D10FD9">
        <w:rPr>
          <w:rFonts w:cs="Courier New"/>
          <w:i/>
        </w:rPr>
        <w:t>light</w:t>
      </w:r>
      <w:proofErr w:type="gramStart"/>
      <w:r w:rsidRPr="00D10FD9">
        <w:rPr>
          <w:rFonts w:cs="Courier New"/>
          <w:i/>
        </w:rPr>
        <w:t>:dark</w:t>
      </w:r>
      <w:proofErr w:type="spellEnd"/>
      <w:proofErr w:type="gramEnd"/>
      <w:r w:rsidRPr="00D10FD9">
        <w:rPr>
          <w:rFonts w:cs="Courier New"/>
          <w:i/>
        </w:rPr>
        <w:t xml:space="preserve"> photoperiod with cool white fluorescent light (Cody et al., 1984).</w:t>
      </w:r>
    </w:p>
    <w:p w14:paraId="23E2EBFD" w14:textId="31618FBE" w:rsidR="005275A0" w:rsidRPr="00D10FD9" w:rsidRDefault="00386097" w:rsidP="00D10FD9">
      <w:pPr>
        <w:pStyle w:val="BodyText"/>
        <w:rPr>
          <w:rFonts w:cs="Courier New"/>
          <w:i/>
        </w:rPr>
      </w:pPr>
      <w:r w:rsidRPr="00D10FD9">
        <w:rPr>
          <w:rFonts w:cs="Courier New"/>
          <w:i/>
        </w:rPr>
        <w:t xml:space="preserve">The 72-h EC10 for inhibition of growth of </w:t>
      </w:r>
      <w:proofErr w:type="spellStart"/>
      <w:r w:rsidRPr="00D10FD9">
        <w:rPr>
          <w:rFonts w:cs="Courier New"/>
          <w:i/>
        </w:rPr>
        <w:t>Pseudokirchneriella</w:t>
      </w:r>
      <w:proofErr w:type="spellEnd"/>
      <w:r w:rsidRPr="00D10FD9">
        <w:rPr>
          <w:rFonts w:cs="Courier New"/>
          <w:i/>
        </w:rPr>
        <w:t xml:space="preserve"> </w:t>
      </w:r>
      <w:proofErr w:type="spellStart"/>
      <w:r w:rsidRPr="00D10FD9">
        <w:rPr>
          <w:rFonts w:cs="Courier New"/>
          <w:i/>
        </w:rPr>
        <w:t>subcapitata</w:t>
      </w:r>
      <w:proofErr w:type="spellEnd"/>
      <w:r w:rsidRPr="00D10FD9">
        <w:rPr>
          <w:rFonts w:cs="Courier New"/>
          <w:i/>
        </w:rPr>
        <w:t xml:space="preserve"> from a study with measured concentrations is 1.2 </w:t>
      </w:r>
      <w:proofErr w:type="spellStart"/>
      <w:r w:rsidRPr="00D10FD9">
        <w:rPr>
          <w:rFonts w:cs="Courier New"/>
          <w:i/>
        </w:rPr>
        <w:t>μg</w:t>
      </w:r>
      <w:proofErr w:type="spellEnd"/>
      <w:r w:rsidRPr="00D10FD9">
        <w:rPr>
          <w:rFonts w:cs="Courier New"/>
          <w:i/>
        </w:rPr>
        <w:t xml:space="preserve">/L (Bisson et al., 2000). For the same algae species Cody et al. (1984) presented a dose-effect relationship. From the data in the figure, a 96-h EC10 of 18 </w:t>
      </w:r>
      <w:proofErr w:type="spellStart"/>
      <w:r w:rsidRPr="00D10FD9">
        <w:rPr>
          <w:rFonts w:cs="Courier New"/>
          <w:i/>
        </w:rPr>
        <w:t>μg</w:t>
      </w:r>
      <w:proofErr w:type="spellEnd"/>
      <w:r w:rsidRPr="00D10FD9">
        <w:rPr>
          <w:rFonts w:cs="Courier New"/>
          <w:i/>
        </w:rPr>
        <w:t xml:space="preserve">/L can be estimated with a log-logistic relationship. However, the uncertainty in this estimate is substantial due to the flatness of the dose-response curve, probably as a result of solubility limitations: the aqueous solubility of </w:t>
      </w:r>
      <w:proofErr w:type="spellStart"/>
      <w:proofErr w:type="gramStart"/>
      <w:r w:rsidR="009E1F6C">
        <w:rPr>
          <w:rFonts w:cs="Courier New"/>
          <w:i/>
        </w:rPr>
        <w:t>benz</w:t>
      </w:r>
      <w:proofErr w:type="spellEnd"/>
      <w:r w:rsidR="009E1F6C">
        <w:rPr>
          <w:rFonts w:cs="Courier New"/>
          <w:i/>
        </w:rPr>
        <w:t>[</w:t>
      </w:r>
      <w:proofErr w:type="gramEnd"/>
      <w:r w:rsidR="009E1F6C">
        <w:rPr>
          <w:rFonts w:cs="Courier New"/>
          <w:i/>
        </w:rPr>
        <w:t>a]anthracene</w:t>
      </w:r>
      <w:r w:rsidRPr="00D10FD9">
        <w:rPr>
          <w:rFonts w:cs="Courier New"/>
          <w:i/>
        </w:rPr>
        <w:t xml:space="preserve"> is around 10 </w:t>
      </w:r>
      <w:proofErr w:type="spellStart"/>
      <w:r w:rsidRPr="00D10FD9">
        <w:rPr>
          <w:rFonts w:cs="Courier New"/>
          <w:i/>
        </w:rPr>
        <w:t>μg</w:t>
      </w:r>
      <w:proofErr w:type="spellEnd"/>
      <w:r w:rsidRPr="00D10FD9">
        <w:rPr>
          <w:rFonts w:cs="Courier New"/>
          <w:i/>
        </w:rPr>
        <w:t xml:space="preserve">/L (Mackay et al., 2000). Further, this value is based on nominal concentrations. Probably most important, from the presented spectra it is estimated that the total light intensity is less than 50 </w:t>
      </w:r>
      <w:proofErr w:type="spellStart"/>
      <w:r w:rsidRPr="00D10FD9">
        <w:rPr>
          <w:rFonts w:cs="Courier New"/>
          <w:i/>
        </w:rPr>
        <w:t>μW</w:t>
      </w:r>
      <w:proofErr w:type="spellEnd"/>
      <w:r w:rsidRPr="00D10FD9">
        <w:rPr>
          <w:rFonts w:cs="Courier New"/>
          <w:i/>
        </w:rPr>
        <w:t xml:space="preserve">/cm2, although the light intensities are given at single wavelengths (Cody et al., 1984). The light intensity may play an important role in the lower EC10 from the study by Bisson et al. (2000). Therefore, the aforementioned values of 1.2 </w:t>
      </w:r>
      <w:proofErr w:type="spellStart"/>
      <w:r w:rsidRPr="00D10FD9">
        <w:rPr>
          <w:rFonts w:cs="Courier New"/>
          <w:i/>
        </w:rPr>
        <w:t>μg</w:t>
      </w:r>
      <w:proofErr w:type="spellEnd"/>
      <w:r w:rsidRPr="00D10FD9">
        <w:rPr>
          <w:rFonts w:cs="Courier New"/>
          <w:i/>
        </w:rPr>
        <w:t xml:space="preserve">/L is considered to be more realistic than this value of 18 </w:t>
      </w:r>
      <w:proofErr w:type="spellStart"/>
      <w:r w:rsidRPr="00D10FD9">
        <w:rPr>
          <w:rFonts w:cs="Courier New"/>
          <w:i/>
        </w:rPr>
        <w:t>μg</w:t>
      </w:r>
      <w:proofErr w:type="spellEnd"/>
      <w:r w:rsidRPr="00D10FD9">
        <w:rPr>
          <w:rFonts w:cs="Courier New"/>
          <w:i/>
        </w:rPr>
        <w:t xml:space="preserve">/L, due to the low light intensity. For the </w:t>
      </w:r>
      <w:proofErr w:type="spellStart"/>
      <w:r w:rsidRPr="00D10FD9">
        <w:rPr>
          <w:rFonts w:cs="Courier New"/>
          <w:i/>
        </w:rPr>
        <w:t>cyanophyte</w:t>
      </w:r>
      <w:proofErr w:type="spellEnd"/>
      <w:r w:rsidRPr="00D10FD9">
        <w:rPr>
          <w:rFonts w:cs="Courier New"/>
          <w:i/>
        </w:rPr>
        <w:t xml:space="preserve"> Anabaena </w:t>
      </w:r>
      <w:proofErr w:type="spellStart"/>
      <w:r w:rsidRPr="00D10FD9">
        <w:rPr>
          <w:rFonts w:cs="Courier New"/>
          <w:i/>
        </w:rPr>
        <w:t>flos-aqua</w:t>
      </w:r>
      <w:r w:rsidR="004D1AD8">
        <w:rPr>
          <w:rFonts w:cs="Courier New"/>
          <w:i/>
        </w:rPr>
        <w:t>e</w:t>
      </w:r>
      <w:proofErr w:type="spellEnd"/>
      <w:r w:rsidRPr="00D10FD9">
        <w:rPr>
          <w:rFonts w:cs="Courier New"/>
          <w:i/>
        </w:rPr>
        <w:t xml:space="preserve"> the NOEC for after two weeks of exposure was 8.3 </w:t>
      </w:r>
      <w:proofErr w:type="spellStart"/>
      <w:r w:rsidRPr="00D10FD9">
        <w:rPr>
          <w:rFonts w:cs="Courier New"/>
          <w:i/>
        </w:rPr>
        <w:t>μg</w:t>
      </w:r>
      <w:proofErr w:type="spellEnd"/>
      <w:r w:rsidRPr="00D10FD9">
        <w:rPr>
          <w:rFonts w:cs="Courier New"/>
          <w:i/>
        </w:rPr>
        <w:t xml:space="preserve">/L although at 5 </w:t>
      </w:r>
      <w:proofErr w:type="spellStart"/>
      <w:r w:rsidRPr="00D10FD9">
        <w:rPr>
          <w:rFonts w:cs="Courier New"/>
          <w:i/>
        </w:rPr>
        <w:t>μg</w:t>
      </w:r>
      <w:proofErr w:type="spellEnd"/>
      <w:r w:rsidRPr="00D10FD9">
        <w:rPr>
          <w:rFonts w:cs="Courier New"/>
          <w:i/>
        </w:rPr>
        <w:t xml:space="preserve">/L </w:t>
      </w:r>
      <w:r w:rsidRPr="00D10FD9">
        <w:rPr>
          <w:rFonts w:cs="Courier New"/>
          <w:i/>
        </w:rPr>
        <w:lastRenderedPageBreak/>
        <w:t xml:space="preserve">also significant effects were observed (Bastian &amp; </w:t>
      </w:r>
      <w:proofErr w:type="spellStart"/>
      <w:r w:rsidRPr="00D10FD9">
        <w:rPr>
          <w:rFonts w:cs="Courier New"/>
          <w:i/>
        </w:rPr>
        <w:t>Toetz</w:t>
      </w:r>
      <w:proofErr w:type="spellEnd"/>
      <w:r w:rsidRPr="00D10FD9">
        <w:rPr>
          <w:rFonts w:cs="Courier New"/>
          <w:i/>
        </w:rPr>
        <w:t>, 19</w:t>
      </w:r>
      <w:r w:rsidR="004D1AD8">
        <w:rPr>
          <w:rFonts w:cs="Courier New"/>
          <w:i/>
        </w:rPr>
        <w:t>8</w:t>
      </w:r>
      <w:r w:rsidRPr="00D10FD9">
        <w:rPr>
          <w:rFonts w:cs="Courier New"/>
          <w:i/>
        </w:rPr>
        <w:t xml:space="preserve">2). Therefore, no clear dose-response relationship was observed. The light regime was continuous light at 951-1903 </w:t>
      </w:r>
      <w:proofErr w:type="spellStart"/>
      <w:r w:rsidRPr="00D10FD9">
        <w:rPr>
          <w:rFonts w:cs="Courier New"/>
          <w:i/>
        </w:rPr>
        <w:t>μW</w:t>
      </w:r>
      <w:proofErr w:type="spellEnd"/>
      <w:r w:rsidRPr="00D10FD9">
        <w:rPr>
          <w:rFonts w:cs="Courier New"/>
          <w:i/>
        </w:rPr>
        <w:t xml:space="preserve">/cm2 (200-400 foot candles). The concentration of </w:t>
      </w:r>
      <w:proofErr w:type="spellStart"/>
      <w:proofErr w:type="gramStart"/>
      <w:r w:rsidRPr="00D10FD9">
        <w:rPr>
          <w:rFonts w:cs="Courier New"/>
          <w:i/>
        </w:rPr>
        <w:t>benz</w:t>
      </w:r>
      <w:proofErr w:type="spellEnd"/>
      <w:r w:rsidRPr="00D10FD9">
        <w:rPr>
          <w:rFonts w:cs="Courier New"/>
          <w:i/>
        </w:rPr>
        <w:t>(</w:t>
      </w:r>
      <w:proofErr w:type="gramEnd"/>
      <w:r w:rsidRPr="00D10FD9">
        <w:rPr>
          <w:rFonts w:cs="Courier New"/>
          <w:i/>
        </w:rPr>
        <w:t>a)anthracene declined by 85% in 14 days. The real effect concentration is therefore overestimated. Not the growth rate was determined in this study, but the biomass after 14 days.</w:t>
      </w:r>
    </w:p>
    <w:p w14:paraId="39FD120F" w14:textId="102188E7" w:rsidR="00386097" w:rsidRPr="00D10FD9" w:rsidRDefault="00386097" w:rsidP="00D10FD9">
      <w:pPr>
        <w:pStyle w:val="BodyText"/>
        <w:tabs>
          <w:tab w:val="left" w:pos="8807"/>
        </w:tabs>
        <w:rPr>
          <w:rFonts w:cs="Courier New"/>
          <w:i/>
        </w:rPr>
      </w:pPr>
      <w:r w:rsidRPr="00D10FD9">
        <w:rPr>
          <w:rFonts w:cs="Courier New"/>
          <w:i/>
        </w:rPr>
        <w:t>[…]</w:t>
      </w:r>
      <w:r w:rsidR="00934DDD" w:rsidRPr="00D10FD9">
        <w:rPr>
          <w:rFonts w:cs="Courier New"/>
          <w:i/>
        </w:rPr>
        <w:tab/>
      </w:r>
    </w:p>
    <w:p w14:paraId="5ADEAC44" w14:textId="195F8A9D" w:rsidR="00AB6A25" w:rsidRPr="00D10FD9" w:rsidRDefault="00AB6A25" w:rsidP="00D10FD9">
      <w:pPr>
        <w:pStyle w:val="BodyText"/>
        <w:rPr>
          <w:rFonts w:cs="Courier New"/>
          <w:i/>
        </w:rPr>
      </w:pPr>
      <w:r w:rsidRPr="00D10FD9">
        <w:rPr>
          <w:rFonts w:cs="Courier New"/>
          <w:i/>
        </w:rPr>
        <w:t xml:space="preserve">In the study with the duckweed </w:t>
      </w:r>
      <w:proofErr w:type="spellStart"/>
      <w:r w:rsidRPr="00D10FD9">
        <w:rPr>
          <w:rFonts w:cs="Courier New"/>
          <w:i/>
        </w:rPr>
        <w:t>Lemna</w:t>
      </w:r>
      <w:proofErr w:type="spellEnd"/>
      <w:r w:rsidRPr="00D10FD9">
        <w:rPr>
          <w:rFonts w:cs="Courier New"/>
          <w:i/>
        </w:rPr>
        <w:t xml:space="preserve"> </w:t>
      </w:r>
      <w:proofErr w:type="spellStart"/>
      <w:r w:rsidRPr="00D10FD9">
        <w:rPr>
          <w:rFonts w:cs="Courier New"/>
          <w:i/>
        </w:rPr>
        <w:t>gibba</w:t>
      </w:r>
      <w:proofErr w:type="spellEnd"/>
      <w:r w:rsidRPr="00D10FD9">
        <w:rPr>
          <w:rFonts w:cs="Courier New"/>
          <w:i/>
        </w:rPr>
        <w:t xml:space="preserve"> only concentrations far above the aqueous solubility are reported (Huang et al., 1997ab).</w:t>
      </w:r>
    </w:p>
    <w:p w14:paraId="5461ADD9" w14:textId="740D1EC2" w:rsidR="00386097" w:rsidRPr="00D10FD9" w:rsidRDefault="00E60F33" w:rsidP="00D10FD9">
      <w:pPr>
        <w:pStyle w:val="BodyText"/>
        <w:rPr>
          <w:rFonts w:cs="Courier New"/>
          <w:i/>
        </w:rPr>
      </w:pPr>
      <w:r>
        <w:rPr>
          <w:rFonts w:cs="Courier New"/>
        </w:rPr>
        <w:t>According to t</w:t>
      </w:r>
      <w:r w:rsidR="00386097">
        <w:rPr>
          <w:rFonts w:cs="Courier New"/>
        </w:rPr>
        <w:t xml:space="preserve">he Support Document for </w:t>
      </w:r>
      <w:r w:rsidR="00195A6B">
        <w:rPr>
          <w:rFonts w:cs="Courier New"/>
        </w:rPr>
        <w:t>i</w:t>
      </w:r>
      <w:r w:rsidR="00386097">
        <w:rPr>
          <w:rFonts w:cs="Courier New"/>
        </w:rPr>
        <w:t xml:space="preserve">dentification of CTPHT as SVHC </w:t>
      </w:r>
      <w:r w:rsidR="00195A6B">
        <w:rPr>
          <w:rFonts w:cs="Courier New"/>
        </w:rPr>
        <w:t>(ECHA, 2009)</w:t>
      </w:r>
      <w:r>
        <w:rPr>
          <w:rFonts w:cs="Courier New"/>
        </w:rPr>
        <w:t>,</w:t>
      </w:r>
      <w:r w:rsidR="00195A6B">
        <w:rPr>
          <w:rFonts w:cs="Courier New"/>
        </w:rPr>
        <w:t xml:space="preserve"> </w:t>
      </w:r>
      <w:r>
        <w:rPr>
          <w:rFonts w:cs="Courier New"/>
          <w:i/>
        </w:rPr>
        <w:t>t</w:t>
      </w:r>
      <w:r w:rsidR="00386097" w:rsidRPr="00D10FD9">
        <w:rPr>
          <w:rFonts w:cs="Courier New"/>
          <w:i/>
        </w:rPr>
        <w:t xml:space="preserve">he lowest chronic toxicity has been observed for the alga </w:t>
      </w:r>
      <w:proofErr w:type="spellStart"/>
      <w:r w:rsidR="00386097" w:rsidRPr="00D10FD9">
        <w:rPr>
          <w:rFonts w:cs="Courier New"/>
          <w:i/>
        </w:rPr>
        <w:t>Pseudokirchneriella</w:t>
      </w:r>
      <w:proofErr w:type="spellEnd"/>
      <w:r w:rsidR="00386097" w:rsidRPr="00D10FD9">
        <w:rPr>
          <w:rFonts w:cs="Courier New"/>
          <w:i/>
        </w:rPr>
        <w:t xml:space="preserve"> </w:t>
      </w:r>
      <w:proofErr w:type="spellStart"/>
      <w:r w:rsidR="00386097" w:rsidRPr="00D10FD9">
        <w:rPr>
          <w:rFonts w:cs="Courier New"/>
          <w:i/>
        </w:rPr>
        <w:t>subcapitata</w:t>
      </w:r>
      <w:proofErr w:type="spellEnd"/>
      <w:r w:rsidR="00386097" w:rsidRPr="00D10FD9">
        <w:rPr>
          <w:rFonts w:cs="Courier New"/>
          <w:i/>
        </w:rPr>
        <w:t xml:space="preserve"> with an EC10 of 1.2 </w:t>
      </w:r>
      <w:proofErr w:type="spellStart"/>
      <w:r w:rsidR="00386097" w:rsidRPr="00D10FD9">
        <w:rPr>
          <w:rFonts w:cs="Courier New"/>
          <w:i/>
        </w:rPr>
        <w:t>μg</w:t>
      </w:r>
      <w:proofErr w:type="spellEnd"/>
      <w:r w:rsidR="00386097" w:rsidRPr="00D10FD9">
        <w:rPr>
          <w:rFonts w:cs="Courier New"/>
          <w:i/>
        </w:rPr>
        <w:t>/l for growth inhibition. This study was therefore chosen as study</w:t>
      </w:r>
      <w:r>
        <w:rPr>
          <w:rFonts w:cs="Courier New"/>
          <w:i/>
        </w:rPr>
        <w:t xml:space="preserve"> </w:t>
      </w:r>
      <w:r w:rsidRPr="0012411C">
        <w:rPr>
          <w:rFonts w:cs="Courier New"/>
        </w:rPr>
        <w:t xml:space="preserve">having the </w:t>
      </w:r>
      <w:r w:rsidRPr="00E60F33">
        <w:rPr>
          <w:rFonts w:cs="Courier New"/>
        </w:rPr>
        <w:t>highest</w:t>
      </w:r>
      <w:r w:rsidRPr="0012411C">
        <w:rPr>
          <w:rFonts w:cs="Courier New"/>
        </w:rPr>
        <w:t xml:space="preserve"> weight for the T assessment of </w:t>
      </w:r>
      <w:proofErr w:type="spellStart"/>
      <w:r w:rsidRPr="0012411C">
        <w:rPr>
          <w:rFonts w:cs="Courier New"/>
        </w:rPr>
        <w:t>BaA</w:t>
      </w:r>
      <w:proofErr w:type="spellEnd"/>
      <w:r w:rsidR="00386097" w:rsidRPr="00D10FD9">
        <w:rPr>
          <w:rFonts w:cs="Courier New"/>
          <w:i/>
        </w:rPr>
        <w:t>.</w:t>
      </w:r>
    </w:p>
    <w:p w14:paraId="115C5C77" w14:textId="77777777" w:rsidR="00B12C39" w:rsidRDefault="000423CE" w:rsidP="000423CE">
      <w:pPr>
        <w:pStyle w:val="Heading3"/>
        <w:tabs>
          <w:tab w:val="clear" w:pos="360"/>
          <w:tab w:val="num" w:pos="284"/>
        </w:tabs>
      </w:pPr>
      <w:bookmarkStart w:id="557" w:name="_Toc341888596"/>
      <w:bookmarkStart w:id="558" w:name="_Toc342400458"/>
      <w:bookmarkStart w:id="559" w:name="_Toc354499629"/>
      <w:bookmarkStart w:id="560" w:name="_Toc357083704"/>
      <w:bookmarkStart w:id="561" w:name="_Toc357184253"/>
      <w:bookmarkStart w:id="562" w:name="_Toc357184489"/>
      <w:bookmarkStart w:id="563" w:name="_Toc357185291"/>
      <w:bookmarkStart w:id="564" w:name="_Toc357186139"/>
      <w:bookmarkStart w:id="565" w:name="_Toc357186288"/>
      <w:bookmarkStart w:id="566" w:name="_Toc357437574"/>
      <w:bookmarkStart w:id="567" w:name="_Toc357590847"/>
      <w:bookmarkStart w:id="568" w:name="_Toc357692879"/>
      <w:bookmarkStart w:id="569" w:name="_Toc365649707"/>
      <w:bookmarkStart w:id="570" w:name="_Toc365649856"/>
      <w:bookmarkStart w:id="571" w:name="_Toc366489908"/>
      <w:bookmarkStart w:id="572" w:name="_Toc418498612"/>
      <w:bookmarkStart w:id="573" w:name="_Toc418506060"/>
      <w:bookmarkStart w:id="574" w:name="_Toc491810752"/>
      <w:r>
        <w:t xml:space="preserve">5.1.4 </w:t>
      </w:r>
      <w:r w:rsidR="00B12C39" w:rsidRPr="000423CE">
        <w:t>Sediment organisms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0F2FA91A" w14:textId="19D67132" w:rsidR="00AB6A25" w:rsidRPr="00325320" w:rsidRDefault="00190C8A" w:rsidP="00D10FD9">
      <w:pPr>
        <w:pStyle w:val="BodyText"/>
      </w:pPr>
      <w:r>
        <w:t xml:space="preserve">No data on toxicity to sediment organisms are available (search done March </w:t>
      </w:r>
      <w:r w:rsidR="00195A6B">
        <w:t>20</w:t>
      </w:r>
      <w:r>
        <w:t>17).</w:t>
      </w:r>
    </w:p>
    <w:p w14:paraId="115C5C78" w14:textId="77777777" w:rsidR="00B12C39" w:rsidRPr="000423CE" w:rsidRDefault="000423CE" w:rsidP="000423CE">
      <w:pPr>
        <w:pStyle w:val="Heading3"/>
        <w:tabs>
          <w:tab w:val="clear" w:pos="360"/>
          <w:tab w:val="num" w:pos="284"/>
        </w:tabs>
      </w:pPr>
      <w:bookmarkStart w:id="575" w:name="_Toc341888597"/>
      <w:bookmarkStart w:id="576" w:name="_Toc342400459"/>
      <w:bookmarkStart w:id="577" w:name="_Toc354499630"/>
      <w:bookmarkStart w:id="578" w:name="_Toc357083705"/>
      <w:bookmarkStart w:id="579" w:name="_Toc357184254"/>
      <w:bookmarkStart w:id="580" w:name="_Toc357184490"/>
      <w:bookmarkStart w:id="581" w:name="_Toc357185292"/>
      <w:bookmarkStart w:id="582" w:name="_Toc357186140"/>
      <w:bookmarkStart w:id="583" w:name="_Toc357186289"/>
      <w:bookmarkStart w:id="584" w:name="_Toc357437575"/>
      <w:bookmarkStart w:id="585" w:name="_Toc357590848"/>
      <w:bookmarkStart w:id="586" w:name="_Toc357692880"/>
      <w:bookmarkStart w:id="587" w:name="_Toc365649708"/>
      <w:bookmarkStart w:id="588" w:name="_Toc365649857"/>
      <w:bookmarkStart w:id="589" w:name="_Toc366489909"/>
      <w:bookmarkStart w:id="590" w:name="_Toc418498613"/>
      <w:bookmarkStart w:id="591" w:name="_Toc418506061"/>
      <w:bookmarkStart w:id="592" w:name="_Toc491810753"/>
      <w:r>
        <w:t xml:space="preserve">5.1.5 </w:t>
      </w:r>
      <w:r w:rsidR="00B12C39" w:rsidRPr="000423CE">
        <w:t>Other aquatic organisms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115C5C79" w14:textId="71B16EE5" w:rsidR="00B12C39" w:rsidRPr="0007332F" w:rsidRDefault="00922EF7" w:rsidP="00B12C39">
      <w:pPr>
        <w:pStyle w:val="BodyText"/>
      </w:pPr>
      <w:r>
        <w:t>A</w:t>
      </w:r>
      <w:r w:rsidRPr="00922EF7">
        <w:t xml:space="preserve">cute toxicity studies with the marine bacterium </w:t>
      </w:r>
      <w:r w:rsidRPr="00D10FD9">
        <w:rPr>
          <w:i/>
        </w:rPr>
        <w:t xml:space="preserve">Vibrio </w:t>
      </w:r>
      <w:proofErr w:type="spellStart"/>
      <w:r w:rsidRPr="00D10FD9">
        <w:rPr>
          <w:i/>
        </w:rPr>
        <w:t>fischeri</w:t>
      </w:r>
      <w:proofErr w:type="spellEnd"/>
      <w:r w:rsidRPr="00D10FD9">
        <w:rPr>
          <w:i/>
        </w:rPr>
        <w:t xml:space="preserve"> </w:t>
      </w:r>
      <w:r>
        <w:t>reported concentrations above the a</w:t>
      </w:r>
      <w:r w:rsidR="00195A6B">
        <w:t>q</w:t>
      </w:r>
      <w:r>
        <w:t xml:space="preserve">ueous solubility </w:t>
      </w:r>
      <w:r w:rsidRPr="00FE2A3B">
        <w:t>(El-Alawi et al., 2002; Johnson &amp; Long, 1998</w:t>
      </w:r>
      <w:r w:rsidR="00341D4B">
        <w:t xml:space="preserve"> cited in the Netherlands (2008)</w:t>
      </w:r>
      <w:r w:rsidRPr="00FE2A3B">
        <w:t>).</w:t>
      </w:r>
    </w:p>
    <w:p w14:paraId="115C5C95" w14:textId="64DEFBCA" w:rsidR="00B12C39" w:rsidRDefault="009454D6" w:rsidP="00F87EF5">
      <w:pPr>
        <w:pStyle w:val="Heading2"/>
      </w:pPr>
      <w:bookmarkStart w:id="593" w:name="_Toc354499641"/>
      <w:bookmarkStart w:id="594" w:name="_Toc357083716"/>
      <w:bookmarkStart w:id="595" w:name="_Toc357184265"/>
      <w:bookmarkStart w:id="596" w:name="_Toc357184501"/>
      <w:bookmarkStart w:id="597" w:name="_Toc357185303"/>
      <w:bookmarkStart w:id="598" w:name="_Toc357186151"/>
      <w:bookmarkStart w:id="599" w:name="_Toc357186300"/>
      <w:bookmarkStart w:id="600" w:name="_Toc357437586"/>
      <w:bookmarkStart w:id="601" w:name="_Toc357590859"/>
      <w:bookmarkStart w:id="602" w:name="_Toc357692891"/>
      <w:bookmarkStart w:id="603" w:name="_Toc365649717"/>
      <w:bookmarkStart w:id="604" w:name="_Toc365649866"/>
      <w:bookmarkStart w:id="605" w:name="_Toc366489918"/>
      <w:bookmarkStart w:id="606" w:name="_Toc418498622"/>
      <w:bookmarkStart w:id="607" w:name="_Toc418506077"/>
      <w:bookmarkStart w:id="608" w:name="_Toc491810754"/>
      <w:r>
        <w:t>5.</w:t>
      </w:r>
      <w:r w:rsidR="00E123EE">
        <w:t>2</w:t>
      </w:r>
      <w:r w:rsidR="00C86948">
        <w:t xml:space="preserve"> </w:t>
      </w:r>
      <w:r w:rsidR="00B12C39">
        <w:t xml:space="preserve">Summary and discussion of </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001A7031">
        <w:t>the environmental hazard assessment</w:t>
      </w:r>
      <w:bookmarkEnd w:id="608"/>
    </w:p>
    <w:p w14:paraId="3A78E2FB" w14:textId="5FFFCEC2" w:rsidR="00BD0639" w:rsidRDefault="00BD0639" w:rsidP="00BD0639">
      <w:pPr>
        <w:widowControl/>
        <w:autoSpaceDE w:val="0"/>
        <w:autoSpaceDN w:val="0"/>
        <w:adjustRightInd w:val="0"/>
        <w:jc w:val="both"/>
      </w:pPr>
      <w:r>
        <w:t xml:space="preserve">In the Support Document for </w:t>
      </w:r>
      <w:r w:rsidR="00195A6B">
        <w:t>i</w:t>
      </w:r>
      <w:r w:rsidRPr="00A12C6E">
        <w:t xml:space="preserve">dentification of </w:t>
      </w:r>
      <w:r>
        <w:t>CTPHT</w:t>
      </w:r>
      <w:r w:rsidRPr="00A12C6E">
        <w:t xml:space="preserve"> as </w:t>
      </w:r>
      <w:r>
        <w:t>SVHC</w:t>
      </w:r>
      <w:r w:rsidRPr="00A12C6E">
        <w:t xml:space="preserve"> (ECHA</w:t>
      </w:r>
      <w:r>
        <w:t>,</w:t>
      </w:r>
      <w:r w:rsidRPr="00A12C6E">
        <w:t xml:space="preserve"> 2009)</w:t>
      </w:r>
      <w:r>
        <w:t>, the issue has already been summarized and discussed as follows</w:t>
      </w:r>
      <w:r w:rsidRPr="00A12C6E">
        <w:t>:</w:t>
      </w:r>
    </w:p>
    <w:p w14:paraId="6FFD51DC" w14:textId="77777777" w:rsidR="00BD0639" w:rsidRDefault="00BD0639" w:rsidP="00BD0639">
      <w:pPr>
        <w:widowControl/>
        <w:autoSpaceDE w:val="0"/>
        <w:autoSpaceDN w:val="0"/>
        <w:adjustRightInd w:val="0"/>
        <w:jc w:val="both"/>
        <w:rPr>
          <w:i/>
        </w:rPr>
      </w:pPr>
    </w:p>
    <w:p w14:paraId="115C5C96" w14:textId="6886C858" w:rsidR="00B12C39" w:rsidRDefault="00BD0639" w:rsidP="00D10FD9">
      <w:pPr>
        <w:widowControl/>
        <w:autoSpaceDE w:val="0"/>
        <w:autoSpaceDN w:val="0"/>
        <w:adjustRightInd w:val="0"/>
        <w:jc w:val="both"/>
        <w:rPr>
          <w:i/>
        </w:rPr>
      </w:pPr>
      <w:r w:rsidRPr="00D10FD9">
        <w:rPr>
          <w:i/>
        </w:rPr>
        <w:t xml:space="preserve">The experimental data indicate a high chronic and acute toxicity of the PAH </w:t>
      </w:r>
      <w:r w:rsidR="00195A6B" w:rsidRPr="00BD0639">
        <w:rPr>
          <w:i/>
        </w:rPr>
        <w:t>constituents</w:t>
      </w:r>
      <w:r w:rsidRPr="00D10FD9">
        <w:rPr>
          <w:i/>
        </w:rPr>
        <w:t xml:space="preserve"> of</w:t>
      </w:r>
      <w:r w:rsidR="00195A6B">
        <w:rPr>
          <w:i/>
        </w:rPr>
        <w:t xml:space="preserve"> </w:t>
      </w:r>
      <w:r w:rsidRPr="00D10FD9">
        <w:rPr>
          <w:i/>
        </w:rPr>
        <w:t>CTPHT for aquatic organisms.</w:t>
      </w:r>
      <w:r w:rsidRPr="00D10FD9" w:rsidDel="00A409D2">
        <w:rPr>
          <w:i/>
        </w:rPr>
        <w:t xml:space="preserve"> </w:t>
      </w:r>
    </w:p>
    <w:p w14:paraId="49610718" w14:textId="7F3474F4" w:rsidR="006638E6" w:rsidRPr="00FB7726" w:rsidRDefault="00CA4261" w:rsidP="00D10FD9">
      <w:pPr>
        <w:pStyle w:val="Caption"/>
      </w:pPr>
      <w:bookmarkStart w:id="609" w:name="_Toc491875970"/>
      <w:r w:rsidRPr="00D10FD9">
        <w:rPr>
          <w:sz w:val="20"/>
          <w:szCs w:val="20"/>
        </w:rPr>
        <w:t xml:space="preserve">Table </w:t>
      </w:r>
      <w:r w:rsidRPr="00D10FD9">
        <w:rPr>
          <w:sz w:val="20"/>
          <w:szCs w:val="20"/>
        </w:rPr>
        <w:fldChar w:fldCharType="begin"/>
      </w:r>
      <w:r w:rsidRPr="00D10FD9">
        <w:rPr>
          <w:sz w:val="20"/>
          <w:szCs w:val="20"/>
        </w:rPr>
        <w:instrText xml:space="preserve"> SEQ Table \* ARABIC </w:instrText>
      </w:r>
      <w:r w:rsidRPr="00D10FD9">
        <w:rPr>
          <w:sz w:val="20"/>
          <w:szCs w:val="20"/>
        </w:rPr>
        <w:fldChar w:fldCharType="separate"/>
      </w:r>
      <w:r w:rsidR="00B934DA">
        <w:rPr>
          <w:noProof/>
          <w:sz w:val="20"/>
          <w:szCs w:val="20"/>
        </w:rPr>
        <w:t>6</w:t>
      </w:r>
      <w:r w:rsidRPr="00D10FD9">
        <w:rPr>
          <w:sz w:val="20"/>
          <w:szCs w:val="20"/>
        </w:rPr>
        <w:fldChar w:fldCharType="end"/>
      </w:r>
      <w:r w:rsidRPr="00D10FD9">
        <w:rPr>
          <w:sz w:val="20"/>
          <w:szCs w:val="20"/>
        </w:rPr>
        <w:t xml:space="preserve">: </w:t>
      </w:r>
      <w:proofErr w:type="spellStart"/>
      <w:r w:rsidRPr="00D10FD9">
        <w:rPr>
          <w:sz w:val="20"/>
          <w:szCs w:val="20"/>
        </w:rPr>
        <w:t>Ecotoxicological</w:t>
      </w:r>
      <w:proofErr w:type="spellEnd"/>
      <w:r w:rsidRPr="00D10FD9">
        <w:rPr>
          <w:sz w:val="20"/>
          <w:szCs w:val="20"/>
        </w:rPr>
        <w:t xml:space="preserve"> </w:t>
      </w:r>
      <w:r w:rsidR="00965397" w:rsidRPr="00D10FD9">
        <w:rPr>
          <w:sz w:val="20"/>
          <w:szCs w:val="20"/>
        </w:rPr>
        <w:t>e</w:t>
      </w:r>
      <w:r w:rsidRPr="00D10FD9">
        <w:rPr>
          <w:sz w:val="20"/>
          <w:szCs w:val="20"/>
        </w:rPr>
        <w:t xml:space="preserve">xperimental data </w:t>
      </w:r>
      <w:r w:rsidR="00965397" w:rsidRPr="00D10FD9">
        <w:rPr>
          <w:sz w:val="20"/>
          <w:szCs w:val="20"/>
        </w:rPr>
        <w:t xml:space="preserve">on aquatic organism. Key study is marked in bold. Please note the aqueous solubility of </w:t>
      </w:r>
      <w:proofErr w:type="spellStart"/>
      <w:r w:rsidR="00965397" w:rsidRPr="00D10FD9">
        <w:rPr>
          <w:sz w:val="20"/>
          <w:szCs w:val="20"/>
        </w:rPr>
        <w:t>BaA</w:t>
      </w:r>
      <w:proofErr w:type="spellEnd"/>
      <w:r w:rsidR="00965397" w:rsidRPr="00D10FD9">
        <w:rPr>
          <w:sz w:val="20"/>
          <w:szCs w:val="20"/>
        </w:rPr>
        <w:t xml:space="preserve"> at 10 µg/L (Mack</w:t>
      </w:r>
      <w:r w:rsidR="00B063B7">
        <w:rPr>
          <w:sz w:val="20"/>
          <w:szCs w:val="20"/>
        </w:rPr>
        <w:t>a</w:t>
      </w:r>
      <w:r w:rsidR="00965397" w:rsidRPr="00D10FD9">
        <w:rPr>
          <w:sz w:val="20"/>
          <w:szCs w:val="20"/>
        </w:rPr>
        <w:t>y, 2000)</w:t>
      </w:r>
      <w:bookmarkEnd w:id="609"/>
    </w:p>
    <w:p w14:paraId="370A147E" w14:textId="77777777" w:rsidR="008827A9" w:rsidRDefault="008827A9" w:rsidP="00D10FD9">
      <w:pPr>
        <w:widowControl/>
        <w:autoSpaceDE w:val="0"/>
        <w:autoSpaceDN w:val="0"/>
        <w:adjustRightInd w:val="0"/>
        <w:jc w:val="both"/>
      </w:pPr>
    </w:p>
    <w:tbl>
      <w:tblPr>
        <w:tblStyle w:val="TableGrid"/>
        <w:tblW w:w="9209" w:type="dxa"/>
        <w:tblLayout w:type="fixed"/>
        <w:tblLook w:val="04A0" w:firstRow="1" w:lastRow="0" w:firstColumn="1" w:lastColumn="0" w:noHBand="0" w:noVBand="1"/>
      </w:tblPr>
      <w:tblGrid>
        <w:gridCol w:w="1271"/>
        <w:gridCol w:w="1134"/>
        <w:gridCol w:w="1276"/>
        <w:gridCol w:w="992"/>
        <w:gridCol w:w="1134"/>
        <w:gridCol w:w="1559"/>
        <w:gridCol w:w="1843"/>
      </w:tblGrid>
      <w:tr w:rsidR="00FD5B5A" w14:paraId="0FF2E885" w14:textId="77777777" w:rsidTr="00F33564">
        <w:tc>
          <w:tcPr>
            <w:tcW w:w="1271" w:type="dxa"/>
          </w:tcPr>
          <w:p w14:paraId="3EB5F86F" w14:textId="74CF0237" w:rsidR="00F80F2A" w:rsidRPr="005E0A42" w:rsidRDefault="00F80F2A" w:rsidP="00D10FD9">
            <w:pPr>
              <w:widowControl/>
              <w:autoSpaceDE w:val="0"/>
              <w:autoSpaceDN w:val="0"/>
              <w:adjustRightInd w:val="0"/>
              <w:jc w:val="both"/>
              <w:rPr>
                <w:b/>
              </w:rPr>
            </w:pPr>
            <w:r w:rsidRPr="005E0A42">
              <w:rPr>
                <w:b/>
              </w:rPr>
              <w:t>Species</w:t>
            </w:r>
          </w:p>
        </w:tc>
        <w:tc>
          <w:tcPr>
            <w:tcW w:w="1134" w:type="dxa"/>
          </w:tcPr>
          <w:p w14:paraId="66089044" w14:textId="4494F842" w:rsidR="00F80F2A" w:rsidRPr="005E0A42" w:rsidRDefault="00F80F2A" w:rsidP="00D10FD9">
            <w:pPr>
              <w:widowControl/>
              <w:autoSpaceDE w:val="0"/>
              <w:autoSpaceDN w:val="0"/>
              <w:adjustRightInd w:val="0"/>
              <w:jc w:val="both"/>
              <w:rPr>
                <w:b/>
              </w:rPr>
            </w:pPr>
            <w:r w:rsidRPr="005E0A42">
              <w:rPr>
                <w:b/>
              </w:rPr>
              <w:t>Duration</w:t>
            </w:r>
          </w:p>
        </w:tc>
        <w:tc>
          <w:tcPr>
            <w:tcW w:w="1276" w:type="dxa"/>
          </w:tcPr>
          <w:p w14:paraId="719367A7" w14:textId="2204D49E" w:rsidR="00F80F2A" w:rsidRPr="005E0A42" w:rsidRDefault="00F80F2A" w:rsidP="00D10FD9">
            <w:pPr>
              <w:widowControl/>
              <w:autoSpaceDE w:val="0"/>
              <w:autoSpaceDN w:val="0"/>
              <w:adjustRightInd w:val="0"/>
              <w:jc w:val="both"/>
              <w:rPr>
                <w:b/>
              </w:rPr>
            </w:pPr>
            <w:r w:rsidRPr="005E0A42">
              <w:rPr>
                <w:b/>
              </w:rPr>
              <w:t>Endpoint</w:t>
            </w:r>
          </w:p>
        </w:tc>
        <w:tc>
          <w:tcPr>
            <w:tcW w:w="992" w:type="dxa"/>
          </w:tcPr>
          <w:p w14:paraId="3EFC6189" w14:textId="2E5D86AB" w:rsidR="00F80F2A" w:rsidRPr="005E0A42" w:rsidRDefault="00F80F2A" w:rsidP="00D10FD9">
            <w:pPr>
              <w:widowControl/>
              <w:autoSpaceDE w:val="0"/>
              <w:autoSpaceDN w:val="0"/>
              <w:adjustRightInd w:val="0"/>
              <w:jc w:val="both"/>
              <w:rPr>
                <w:b/>
              </w:rPr>
            </w:pPr>
            <w:r w:rsidRPr="005E0A42">
              <w:rPr>
                <w:b/>
              </w:rPr>
              <w:t>Effect level</w:t>
            </w:r>
          </w:p>
        </w:tc>
        <w:tc>
          <w:tcPr>
            <w:tcW w:w="1134" w:type="dxa"/>
          </w:tcPr>
          <w:p w14:paraId="7336A5F3" w14:textId="55041CB8" w:rsidR="00F80F2A" w:rsidRPr="005E0A42" w:rsidRDefault="00F80F2A" w:rsidP="00D10FD9">
            <w:pPr>
              <w:widowControl/>
              <w:autoSpaceDE w:val="0"/>
              <w:autoSpaceDN w:val="0"/>
              <w:adjustRightInd w:val="0"/>
              <w:jc w:val="both"/>
              <w:rPr>
                <w:b/>
              </w:rPr>
            </w:pPr>
            <w:r w:rsidRPr="005E0A42">
              <w:rPr>
                <w:b/>
              </w:rPr>
              <w:t>Conc.</w:t>
            </w:r>
          </w:p>
        </w:tc>
        <w:tc>
          <w:tcPr>
            <w:tcW w:w="1559" w:type="dxa"/>
          </w:tcPr>
          <w:p w14:paraId="12894BAC" w14:textId="19CEAD71" w:rsidR="00F80F2A" w:rsidRPr="005E0A42" w:rsidRDefault="00F80F2A" w:rsidP="00D10FD9">
            <w:pPr>
              <w:widowControl/>
              <w:autoSpaceDE w:val="0"/>
              <w:autoSpaceDN w:val="0"/>
              <w:adjustRightInd w:val="0"/>
              <w:jc w:val="both"/>
              <w:rPr>
                <w:b/>
              </w:rPr>
            </w:pPr>
            <w:r w:rsidRPr="005E0A42">
              <w:rPr>
                <w:b/>
              </w:rPr>
              <w:t>Comment</w:t>
            </w:r>
          </w:p>
        </w:tc>
        <w:tc>
          <w:tcPr>
            <w:tcW w:w="1843" w:type="dxa"/>
          </w:tcPr>
          <w:p w14:paraId="3828CAA5" w14:textId="28E07F6D" w:rsidR="00F80F2A" w:rsidRPr="005E0A42" w:rsidRDefault="00F80F2A" w:rsidP="00D10FD9">
            <w:pPr>
              <w:widowControl/>
              <w:autoSpaceDE w:val="0"/>
              <w:autoSpaceDN w:val="0"/>
              <w:adjustRightInd w:val="0"/>
              <w:jc w:val="both"/>
              <w:rPr>
                <w:b/>
              </w:rPr>
            </w:pPr>
            <w:r w:rsidRPr="005E0A42">
              <w:rPr>
                <w:b/>
              </w:rPr>
              <w:t>References</w:t>
            </w:r>
          </w:p>
        </w:tc>
      </w:tr>
      <w:tr w:rsidR="00FD5B5A" w14:paraId="2136887D" w14:textId="77777777" w:rsidTr="00F33564">
        <w:tc>
          <w:tcPr>
            <w:tcW w:w="1271" w:type="dxa"/>
          </w:tcPr>
          <w:p w14:paraId="35D72086" w14:textId="71E571C7" w:rsidR="00F80F2A" w:rsidRPr="00F33564" w:rsidRDefault="00F80F2A" w:rsidP="00F80F2A">
            <w:pPr>
              <w:widowControl/>
              <w:autoSpaceDE w:val="0"/>
              <w:autoSpaceDN w:val="0"/>
              <w:adjustRightInd w:val="0"/>
              <w:jc w:val="both"/>
              <w:rPr>
                <w:sz w:val="18"/>
                <w:szCs w:val="18"/>
              </w:rPr>
            </w:pPr>
            <w:proofErr w:type="spellStart"/>
            <w:r w:rsidRPr="00F33564">
              <w:rPr>
                <w:rFonts w:cs="Courier New"/>
                <w:i/>
                <w:sz w:val="18"/>
                <w:szCs w:val="18"/>
              </w:rPr>
              <w:t>Pimephales</w:t>
            </w:r>
            <w:proofErr w:type="spellEnd"/>
            <w:r w:rsidRPr="00F33564">
              <w:rPr>
                <w:rFonts w:cs="Courier New"/>
                <w:i/>
                <w:sz w:val="18"/>
                <w:szCs w:val="18"/>
              </w:rPr>
              <w:t xml:space="preserve"> </w:t>
            </w:r>
            <w:proofErr w:type="spellStart"/>
            <w:r w:rsidRPr="00F33564">
              <w:rPr>
                <w:rFonts w:cs="Courier New"/>
                <w:i/>
                <w:sz w:val="18"/>
                <w:szCs w:val="18"/>
              </w:rPr>
              <w:t>promelas</w:t>
            </w:r>
            <w:proofErr w:type="spellEnd"/>
          </w:p>
        </w:tc>
        <w:tc>
          <w:tcPr>
            <w:tcW w:w="1134" w:type="dxa"/>
          </w:tcPr>
          <w:p w14:paraId="0754437E" w14:textId="1A3F2DE3" w:rsidR="005E3464" w:rsidRPr="00F33564" w:rsidRDefault="005E3464" w:rsidP="005E3464">
            <w:pPr>
              <w:widowControl/>
              <w:autoSpaceDE w:val="0"/>
              <w:autoSpaceDN w:val="0"/>
              <w:adjustRightInd w:val="0"/>
              <w:jc w:val="both"/>
              <w:rPr>
                <w:sz w:val="18"/>
                <w:szCs w:val="18"/>
              </w:rPr>
            </w:pPr>
            <w:r w:rsidRPr="00F33564">
              <w:rPr>
                <w:sz w:val="18"/>
                <w:szCs w:val="18"/>
              </w:rPr>
              <w:t>89 h (65 h with UV radiation)</w:t>
            </w:r>
          </w:p>
          <w:p w14:paraId="19079112" w14:textId="006F2499" w:rsidR="00BA7A03" w:rsidRPr="00F33564" w:rsidRDefault="00BA7A03" w:rsidP="005E3464">
            <w:pPr>
              <w:widowControl/>
              <w:autoSpaceDE w:val="0"/>
              <w:autoSpaceDN w:val="0"/>
              <w:adjustRightInd w:val="0"/>
              <w:jc w:val="both"/>
              <w:rPr>
                <w:sz w:val="18"/>
                <w:szCs w:val="18"/>
              </w:rPr>
            </w:pPr>
          </w:p>
        </w:tc>
        <w:tc>
          <w:tcPr>
            <w:tcW w:w="1276" w:type="dxa"/>
          </w:tcPr>
          <w:p w14:paraId="52551197" w14:textId="5872135E" w:rsidR="00F80F2A" w:rsidRPr="00F33564" w:rsidRDefault="0099133B" w:rsidP="00D97B11">
            <w:pPr>
              <w:widowControl/>
              <w:autoSpaceDE w:val="0"/>
              <w:autoSpaceDN w:val="0"/>
              <w:adjustRightInd w:val="0"/>
              <w:jc w:val="both"/>
              <w:rPr>
                <w:sz w:val="18"/>
                <w:szCs w:val="18"/>
              </w:rPr>
            </w:pPr>
            <w:r w:rsidRPr="00F33564">
              <w:rPr>
                <w:sz w:val="18"/>
                <w:szCs w:val="18"/>
              </w:rPr>
              <w:t>Mortality</w:t>
            </w:r>
          </w:p>
        </w:tc>
        <w:tc>
          <w:tcPr>
            <w:tcW w:w="992" w:type="dxa"/>
          </w:tcPr>
          <w:p w14:paraId="2490B496" w14:textId="42564E20" w:rsidR="00F80F2A" w:rsidRPr="00F33564" w:rsidRDefault="001E2FAA" w:rsidP="00F80F2A">
            <w:pPr>
              <w:widowControl/>
              <w:autoSpaceDE w:val="0"/>
              <w:autoSpaceDN w:val="0"/>
              <w:adjustRightInd w:val="0"/>
              <w:jc w:val="both"/>
              <w:rPr>
                <w:sz w:val="18"/>
                <w:szCs w:val="18"/>
              </w:rPr>
            </w:pPr>
            <w:r w:rsidRPr="00F33564">
              <w:rPr>
                <w:sz w:val="18"/>
                <w:szCs w:val="18"/>
              </w:rPr>
              <w:t>LC</w:t>
            </w:r>
            <w:r w:rsidR="001B0340" w:rsidRPr="00F33564">
              <w:rPr>
                <w:sz w:val="18"/>
                <w:szCs w:val="18"/>
                <w:vertAlign w:val="subscript"/>
              </w:rPr>
              <w:t>50</w:t>
            </w:r>
          </w:p>
        </w:tc>
        <w:tc>
          <w:tcPr>
            <w:tcW w:w="1134" w:type="dxa"/>
          </w:tcPr>
          <w:p w14:paraId="2B5DF124" w14:textId="77777777" w:rsidR="00F80F2A" w:rsidRPr="00F33564" w:rsidRDefault="00F80F2A" w:rsidP="00F80F2A">
            <w:pPr>
              <w:widowControl/>
              <w:autoSpaceDE w:val="0"/>
              <w:autoSpaceDN w:val="0"/>
              <w:adjustRightInd w:val="0"/>
              <w:jc w:val="both"/>
              <w:rPr>
                <w:sz w:val="18"/>
                <w:szCs w:val="18"/>
              </w:rPr>
            </w:pPr>
            <w:r w:rsidRPr="00F33564">
              <w:rPr>
                <w:sz w:val="18"/>
                <w:szCs w:val="18"/>
              </w:rPr>
              <w:t>1.8 µg/L</w:t>
            </w:r>
          </w:p>
          <w:p w14:paraId="5E6C9317" w14:textId="190C4D0C" w:rsidR="0099133B" w:rsidRPr="00F33564" w:rsidRDefault="0099133B" w:rsidP="00F80F2A">
            <w:pPr>
              <w:widowControl/>
              <w:autoSpaceDE w:val="0"/>
              <w:autoSpaceDN w:val="0"/>
              <w:adjustRightInd w:val="0"/>
              <w:jc w:val="both"/>
              <w:rPr>
                <w:sz w:val="18"/>
                <w:szCs w:val="18"/>
              </w:rPr>
            </w:pPr>
          </w:p>
        </w:tc>
        <w:tc>
          <w:tcPr>
            <w:tcW w:w="1559" w:type="dxa"/>
          </w:tcPr>
          <w:p w14:paraId="5B8D98F8" w14:textId="77777777" w:rsidR="00BA7A03" w:rsidRPr="00F33564" w:rsidRDefault="00BA7A03" w:rsidP="00BA7A03">
            <w:pPr>
              <w:widowControl/>
              <w:autoSpaceDE w:val="0"/>
              <w:autoSpaceDN w:val="0"/>
              <w:adjustRightInd w:val="0"/>
              <w:jc w:val="both"/>
              <w:rPr>
                <w:sz w:val="18"/>
                <w:szCs w:val="18"/>
              </w:rPr>
            </w:pPr>
            <w:r w:rsidRPr="00F33564">
              <w:rPr>
                <w:sz w:val="18"/>
                <w:szCs w:val="18"/>
              </w:rPr>
              <w:t xml:space="preserve">with simulated natural sunlight </w:t>
            </w:r>
          </w:p>
          <w:p w14:paraId="0B6857DB" w14:textId="77777777" w:rsidR="00BA7A03" w:rsidRPr="00F33564" w:rsidRDefault="00BA7A03" w:rsidP="00BA7A03">
            <w:pPr>
              <w:widowControl/>
              <w:autoSpaceDE w:val="0"/>
              <w:autoSpaceDN w:val="0"/>
              <w:adjustRightInd w:val="0"/>
              <w:jc w:val="both"/>
              <w:rPr>
                <w:sz w:val="18"/>
                <w:szCs w:val="18"/>
              </w:rPr>
            </w:pPr>
          </w:p>
          <w:p w14:paraId="0653C6D4" w14:textId="3CFF21AF" w:rsidR="00F80F2A" w:rsidRPr="00F33564" w:rsidRDefault="0099133B" w:rsidP="00BA7A03">
            <w:pPr>
              <w:widowControl/>
              <w:autoSpaceDE w:val="0"/>
              <w:autoSpaceDN w:val="0"/>
              <w:adjustRightInd w:val="0"/>
              <w:jc w:val="both"/>
              <w:rPr>
                <w:sz w:val="18"/>
                <w:szCs w:val="18"/>
              </w:rPr>
            </w:pPr>
            <w:r w:rsidRPr="00F33564">
              <w:rPr>
                <w:sz w:val="18"/>
                <w:szCs w:val="18"/>
              </w:rPr>
              <w:t xml:space="preserve">24 h </w:t>
            </w:r>
            <w:proofErr w:type="spellStart"/>
            <w:r w:rsidRPr="00F33564">
              <w:rPr>
                <w:sz w:val="18"/>
                <w:szCs w:val="18"/>
              </w:rPr>
              <w:t>prein</w:t>
            </w:r>
            <w:r w:rsidR="00BA7A03" w:rsidRPr="00F33564">
              <w:rPr>
                <w:sz w:val="18"/>
                <w:szCs w:val="18"/>
              </w:rPr>
              <w:t>-</w:t>
            </w:r>
            <w:r w:rsidRPr="00F33564">
              <w:rPr>
                <w:sz w:val="18"/>
                <w:szCs w:val="18"/>
              </w:rPr>
              <w:t>cubation</w:t>
            </w:r>
            <w:proofErr w:type="spellEnd"/>
            <w:r w:rsidRPr="00F33564">
              <w:rPr>
                <w:sz w:val="18"/>
                <w:szCs w:val="18"/>
              </w:rPr>
              <w:t xml:space="preserve"> </w:t>
            </w:r>
            <w:r w:rsidR="00BA7A03" w:rsidRPr="00F33564">
              <w:rPr>
                <w:sz w:val="18"/>
                <w:szCs w:val="18"/>
              </w:rPr>
              <w:t>without simulated natural sunlight</w:t>
            </w:r>
          </w:p>
        </w:tc>
        <w:tc>
          <w:tcPr>
            <w:tcW w:w="1843" w:type="dxa"/>
          </w:tcPr>
          <w:p w14:paraId="56FF74F4" w14:textId="65FE6F8A" w:rsidR="00F80F2A" w:rsidRPr="00F33564" w:rsidRDefault="00F80F2A" w:rsidP="00F80F2A">
            <w:pPr>
              <w:widowControl/>
              <w:autoSpaceDE w:val="0"/>
              <w:autoSpaceDN w:val="0"/>
              <w:adjustRightInd w:val="0"/>
              <w:jc w:val="both"/>
              <w:rPr>
                <w:sz w:val="18"/>
                <w:szCs w:val="18"/>
              </w:rPr>
            </w:pPr>
            <w:proofErr w:type="spellStart"/>
            <w:r w:rsidRPr="00F33564">
              <w:rPr>
                <w:rFonts w:cs="Courier New"/>
                <w:sz w:val="18"/>
                <w:szCs w:val="18"/>
              </w:rPr>
              <w:t>Oris</w:t>
            </w:r>
            <w:proofErr w:type="spellEnd"/>
            <w:r w:rsidRPr="00F33564">
              <w:rPr>
                <w:rFonts w:cs="Courier New"/>
                <w:sz w:val="18"/>
                <w:szCs w:val="18"/>
              </w:rPr>
              <w:t xml:space="preserve"> &amp; </w:t>
            </w:r>
            <w:proofErr w:type="spellStart"/>
            <w:r w:rsidRPr="00F33564">
              <w:rPr>
                <w:rFonts w:cs="Courier New"/>
                <w:sz w:val="18"/>
                <w:szCs w:val="18"/>
              </w:rPr>
              <w:t>Giesy</w:t>
            </w:r>
            <w:proofErr w:type="spellEnd"/>
            <w:r w:rsidRPr="00F33564">
              <w:rPr>
                <w:rFonts w:cs="Courier New"/>
                <w:sz w:val="18"/>
                <w:szCs w:val="18"/>
              </w:rPr>
              <w:t>, 1987</w:t>
            </w:r>
          </w:p>
        </w:tc>
      </w:tr>
      <w:tr w:rsidR="00FD5B5A" w14:paraId="2A4D57F5" w14:textId="77777777" w:rsidTr="00F33564">
        <w:tc>
          <w:tcPr>
            <w:tcW w:w="1271" w:type="dxa"/>
          </w:tcPr>
          <w:p w14:paraId="441EE0B4" w14:textId="0A4AE38C" w:rsidR="00F80F2A" w:rsidRPr="00F33564" w:rsidRDefault="00F80F2A" w:rsidP="00F80F2A">
            <w:pPr>
              <w:widowControl/>
              <w:autoSpaceDE w:val="0"/>
              <w:autoSpaceDN w:val="0"/>
              <w:adjustRightInd w:val="0"/>
              <w:jc w:val="both"/>
              <w:rPr>
                <w:sz w:val="18"/>
                <w:szCs w:val="18"/>
              </w:rPr>
            </w:pPr>
            <w:r w:rsidRPr="00F33564">
              <w:rPr>
                <w:rFonts w:cs="Courier New"/>
                <w:i/>
                <w:sz w:val="18"/>
                <w:szCs w:val="18"/>
              </w:rPr>
              <w:t xml:space="preserve">Daphnia </w:t>
            </w:r>
            <w:proofErr w:type="spellStart"/>
            <w:r w:rsidRPr="00F33564">
              <w:rPr>
                <w:rFonts w:cs="Courier New"/>
                <w:i/>
                <w:sz w:val="18"/>
                <w:szCs w:val="18"/>
              </w:rPr>
              <w:t>pulex</w:t>
            </w:r>
            <w:proofErr w:type="spellEnd"/>
          </w:p>
        </w:tc>
        <w:tc>
          <w:tcPr>
            <w:tcW w:w="1134" w:type="dxa"/>
          </w:tcPr>
          <w:p w14:paraId="6F9F2331" w14:textId="35362DC4" w:rsidR="00F80F2A" w:rsidRPr="00F33564" w:rsidRDefault="00FD5B5A" w:rsidP="00F80F2A">
            <w:pPr>
              <w:widowControl/>
              <w:autoSpaceDE w:val="0"/>
              <w:autoSpaceDN w:val="0"/>
              <w:adjustRightInd w:val="0"/>
              <w:jc w:val="both"/>
              <w:rPr>
                <w:sz w:val="18"/>
                <w:szCs w:val="18"/>
              </w:rPr>
            </w:pPr>
            <w:r w:rsidRPr="00F33564">
              <w:rPr>
                <w:sz w:val="18"/>
                <w:szCs w:val="18"/>
              </w:rPr>
              <w:t>96</w:t>
            </w:r>
            <w:r w:rsidR="00F80F2A" w:rsidRPr="00F33564">
              <w:rPr>
                <w:sz w:val="18"/>
                <w:szCs w:val="18"/>
              </w:rPr>
              <w:t xml:space="preserve"> h</w:t>
            </w:r>
          </w:p>
        </w:tc>
        <w:tc>
          <w:tcPr>
            <w:tcW w:w="1276" w:type="dxa"/>
          </w:tcPr>
          <w:p w14:paraId="47160BC8" w14:textId="6A93981C" w:rsidR="00F80F2A" w:rsidRPr="00F33564" w:rsidRDefault="005F74E3" w:rsidP="00F80F2A">
            <w:pPr>
              <w:widowControl/>
              <w:autoSpaceDE w:val="0"/>
              <w:autoSpaceDN w:val="0"/>
              <w:adjustRightInd w:val="0"/>
              <w:jc w:val="both"/>
              <w:rPr>
                <w:sz w:val="18"/>
                <w:szCs w:val="18"/>
              </w:rPr>
            </w:pPr>
            <w:r w:rsidRPr="00F33564">
              <w:rPr>
                <w:sz w:val="18"/>
                <w:szCs w:val="18"/>
              </w:rPr>
              <w:t>Mortality</w:t>
            </w:r>
          </w:p>
        </w:tc>
        <w:tc>
          <w:tcPr>
            <w:tcW w:w="992" w:type="dxa"/>
          </w:tcPr>
          <w:p w14:paraId="33CED099" w14:textId="172FBCE1" w:rsidR="00F80F2A" w:rsidRPr="00F33564" w:rsidRDefault="00F80F2A" w:rsidP="00F80F2A">
            <w:pPr>
              <w:widowControl/>
              <w:autoSpaceDE w:val="0"/>
              <w:autoSpaceDN w:val="0"/>
              <w:adjustRightInd w:val="0"/>
              <w:jc w:val="both"/>
              <w:rPr>
                <w:sz w:val="18"/>
                <w:szCs w:val="18"/>
              </w:rPr>
            </w:pPr>
            <w:r w:rsidRPr="00F33564">
              <w:rPr>
                <w:sz w:val="18"/>
                <w:szCs w:val="18"/>
              </w:rPr>
              <w:t>LC</w:t>
            </w:r>
            <w:r w:rsidRPr="00F33564">
              <w:rPr>
                <w:sz w:val="18"/>
                <w:szCs w:val="18"/>
                <w:vertAlign w:val="subscript"/>
              </w:rPr>
              <w:t>50</w:t>
            </w:r>
          </w:p>
        </w:tc>
        <w:tc>
          <w:tcPr>
            <w:tcW w:w="1134" w:type="dxa"/>
          </w:tcPr>
          <w:p w14:paraId="2025485D" w14:textId="45BB5CC8" w:rsidR="00F80F2A" w:rsidRPr="00F33564" w:rsidRDefault="00F80F2A" w:rsidP="00F80F2A">
            <w:pPr>
              <w:widowControl/>
              <w:autoSpaceDE w:val="0"/>
              <w:autoSpaceDN w:val="0"/>
              <w:adjustRightInd w:val="0"/>
              <w:jc w:val="both"/>
              <w:rPr>
                <w:sz w:val="18"/>
                <w:szCs w:val="18"/>
              </w:rPr>
            </w:pPr>
            <w:r w:rsidRPr="00F33564">
              <w:rPr>
                <w:sz w:val="18"/>
                <w:szCs w:val="18"/>
              </w:rPr>
              <w:t>10 µg/L</w:t>
            </w:r>
          </w:p>
        </w:tc>
        <w:tc>
          <w:tcPr>
            <w:tcW w:w="1559" w:type="dxa"/>
          </w:tcPr>
          <w:p w14:paraId="5155D5E6" w14:textId="1727A6F9" w:rsidR="00F80F2A" w:rsidRPr="00F33564" w:rsidRDefault="00FD5B5A" w:rsidP="00F80F2A">
            <w:pPr>
              <w:widowControl/>
              <w:autoSpaceDE w:val="0"/>
              <w:autoSpaceDN w:val="0"/>
              <w:adjustRightInd w:val="0"/>
              <w:jc w:val="both"/>
              <w:rPr>
                <w:sz w:val="18"/>
                <w:szCs w:val="18"/>
              </w:rPr>
            </w:pPr>
            <w:r w:rsidRPr="00F33564">
              <w:rPr>
                <w:sz w:val="18"/>
                <w:szCs w:val="18"/>
              </w:rPr>
              <w:t>12:12 h photo-period</w:t>
            </w:r>
          </w:p>
        </w:tc>
        <w:tc>
          <w:tcPr>
            <w:tcW w:w="1843" w:type="dxa"/>
          </w:tcPr>
          <w:p w14:paraId="64FBC8A5" w14:textId="6D09FB43" w:rsidR="00F80F2A" w:rsidRPr="00F33564" w:rsidRDefault="00F80F2A" w:rsidP="00F80F2A">
            <w:pPr>
              <w:widowControl/>
              <w:autoSpaceDE w:val="0"/>
              <w:autoSpaceDN w:val="0"/>
              <w:adjustRightInd w:val="0"/>
              <w:jc w:val="both"/>
              <w:rPr>
                <w:sz w:val="18"/>
                <w:szCs w:val="18"/>
              </w:rPr>
            </w:pPr>
            <w:proofErr w:type="spellStart"/>
            <w:r w:rsidRPr="00F33564">
              <w:rPr>
                <w:rFonts w:cs="Courier New"/>
                <w:sz w:val="18"/>
                <w:szCs w:val="18"/>
              </w:rPr>
              <w:t>Trucco</w:t>
            </w:r>
            <w:proofErr w:type="spellEnd"/>
            <w:r w:rsidRPr="00F33564">
              <w:rPr>
                <w:rFonts w:cs="Courier New"/>
                <w:sz w:val="18"/>
                <w:szCs w:val="18"/>
              </w:rPr>
              <w:t xml:space="preserve"> </w:t>
            </w:r>
            <w:r w:rsidRPr="00F33564">
              <w:rPr>
                <w:rFonts w:cs="Courier New"/>
                <w:i/>
                <w:sz w:val="18"/>
                <w:szCs w:val="18"/>
              </w:rPr>
              <w:t>et al.</w:t>
            </w:r>
            <w:r w:rsidRPr="00F33564">
              <w:rPr>
                <w:rFonts w:cs="Courier New"/>
                <w:sz w:val="18"/>
                <w:szCs w:val="18"/>
              </w:rPr>
              <w:t>, 1983</w:t>
            </w:r>
          </w:p>
        </w:tc>
      </w:tr>
      <w:tr w:rsidR="00FD5B5A" w14:paraId="1D34F13A" w14:textId="77777777" w:rsidTr="00F33564">
        <w:tc>
          <w:tcPr>
            <w:tcW w:w="1271" w:type="dxa"/>
          </w:tcPr>
          <w:p w14:paraId="3DBD79B3" w14:textId="306F6F2E" w:rsidR="00FD5B5A" w:rsidRPr="00F33564" w:rsidRDefault="00FD5B5A" w:rsidP="00F80F2A">
            <w:pPr>
              <w:widowControl/>
              <w:autoSpaceDE w:val="0"/>
              <w:autoSpaceDN w:val="0"/>
              <w:adjustRightInd w:val="0"/>
              <w:jc w:val="both"/>
              <w:rPr>
                <w:rFonts w:cs="Courier New"/>
                <w:i/>
                <w:sz w:val="18"/>
                <w:szCs w:val="18"/>
              </w:rPr>
            </w:pPr>
            <w:r w:rsidRPr="00F33564">
              <w:rPr>
                <w:rFonts w:cs="Courier New"/>
                <w:i/>
                <w:sz w:val="18"/>
                <w:szCs w:val="18"/>
              </w:rPr>
              <w:t>Daphnia magna</w:t>
            </w:r>
          </w:p>
        </w:tc>
        <w:tc>
          <w:tcPr>
            <w:tcW w:w="1134" w:type="dxa"/>
          </w:tcPr>
          <w:p w14:paraId="28F2A949" w14:textId="0722874A" w:rsidR="00FD5B5A" w:rsidRPr="00F33564" w:rsidRDefault="00FD5B5A" w:rsidP="00F80F2A">
            <w:pPr>
              <w:widowControl/>
              <w:autoSpaceDE w:val="0"/>
              <w:autoSpaceDN w:val="0"/>
              <w:adjustRightInd w:val="0"/>
              <w:jc w:val="both"/>
              <w:rPr>
                <w:sz w:val="18"/>
                <w:szCs w:val="18"/>
              </w:rPr>
            </w:pPr>
            <w:r w:rsidRPr="00F33564">
              <w:rPr>
                <w:sz w:val="18"/>
                <w:szCs w:val="18"/>
              </w:rPr>
              <w:t>48 h</w:t>
            </w:r>
          </w:p>
        </w:tc>
        <w:tc>
          <w:tcPr>
            <w:tcW w:w="1276" w:type="dxa"/>
          </w:tcPr>
          <w:p w14:paraId="00552685" w14:textId="70566A30" w:rsidR="00FD5B5A" w:rsidRPr="00F33564" w:rsidRDefault="005F74E3" w:rsidP="00F80F2A">
            <w:pPr>
              <w:widowControl/>
              <w:autoSpaceDE w:val="0"/>
              <w:autoSpaceDN w:val="0"/>
              <w:adjustRightInd w:val="0"/>
              <w:jc w:val="both"/>
              <w:rPr>
                <w:sz w:val="18"/>
                <w:szCs w:val="18"/>
              </w:rPr>
            </w:pPr>
            <w:r w:rsidRPr="00F33564">
              <w:rPr>
                <w:sz w:val="18"/>
                <w:szCs w:val="18"/>
              </w:rPr>
              <w:t>Mortality</w:t>
            </w:r>
          </w:p>
        </w:tc>
        <w:tc>
          <w:tcPr>
            <w:tcW w:w="992" w:type="dxa"/>
          </w:tcPr>
          <w:p w14:paraId="5DB37D5A" w14:textId="66C7EB89" w:rsidR="00FD5B5A" w:rsidRPr="00F33564" w:rsidRDefault="00FD5B5A" w:rsidP="00F80F2A">
            <w:pPr>
              <w:widowControl/>
              <w:autoSpaceDE w:val="0"/>
              <w:autoSpaceDN w:val="0"/>
              <w:adjustRightInd w:val="0"/>
              <w:jc w:val="both"/>
              <w:rPr>
                <w:sz w:val="18"/>
                <w:szCs w:val="18"/>
              </w:rPr>
            </w:pPr>
            <w:r w:rsidRPr="00F33564">
              <w:rPr>
                <w:sz w:val="18"/>
                <w:szCs w:val="18"/>
              </w:rPr>
              <w:t>LC</w:t>
            </w:r>
            <w:r w:rsidRPr="00F33564">
              <w:rPr>
                <w:sz w:val="18"/>
                <w:szCs w:val="18"/>
                <w:vertAlign w:val="subscript"/>
              </w:rPr>
              <w:t>50</w:t>
            </w:r>
          </w:p>
        </w:tc>
        <w:tc>
          <w:tcPr>
            <w:tcW w:w="1134" w:type="dxa"/>
          </w:tcPr>
          <w:p w14:paraId="49DCD903" w14:textId="56BBAEA5" w:rsidR="00FD5B5A" w:rsidRPr="00F33564" w:rsidRDefault="00FD5B5A" w:rsidP="00FD5B5A">
            <w:pPr>
              <w:widowControl/>
              <w:autoSpaceDE w:val="0"/>
              <w:autoSpaceDN w:val="0"/>
              <w:adjustRightInd w:val="0"/>
              <w:jc w:val="both"/>
              <w:rPr>
                <w:sz w:val="18"/>
                <w:szCs w:val="18"/>
              </w:rPr>
            </w:pPr>
            <w:r w:rsidRPr="00F33564">
              <w:rPr>
                <w:sz w:val="18"/>
                <w:szCs w:val="18"/>
              </w:rPr>
              <w:t>&gt; 9.1 µg/L</w:t>
            </w:r>
          </w:p>
        </w:tc>
        <w:tc>
          <w:tcPr>
            <w:tcW w:w="1559" w:type="dxa"/>
          </w:tcPr>
          <w:p w14:paraId="387E1EDC" w14:textId="1EA3DEA8" w:rsidR="00FD5B5A" w:rsidRPr="00F33564" w:rsidRDefault="00FD5B5A" w:rsidP="00F80F2A">
            <w:pPr>
              <w:widowControl/>
              <w:autoSpaceDE w:val="0"/>
              <w:autoSpaceDN w:val="0"/>
              <w:adjustRightInd w:val="0"/>
              <w:jc w:val="both"/>
              <w:rPr>
                <w:sz w:val="18"/>
                <w:szCs w:val="18"/>
              </w:rPr>
            </w:pPr>
            <w:r w:rsidRPr="00F33564">
              <w:rPr>
                <w:sz w:val="18"/>
                <w:szCs w:val="18"/>
              </w:rPr>
              <w:t>dark</w:t>
            </w:r>
          </w:p>
        </w:tc>
        <w:tc>
          <w:tcPr>
            <w:tcW w:w="1843" w:type="dxa"/>
          </w:tcPr>
          <w:p w14:paraId="59729E6F" w14:textId="6D77950F" w:rsidR="00FD5B5A" w:rsidRPr="00F33564" w:rsidRDefault="00FD5B5A" w:rsidP="00F80F2A">
            <w:pPr>
              <w:widowControl/>
              <w:autoSpaceDE w:val="0"/>
              <w:autoSpaceDN w:val="0"/>
              <w:adjustRightInd w:val="0"/>
              <w:jc w:val="both"/>
              <w:rPr>
                <w:rFonts w:cs="Courier New"/>
                <w:sz w:val="18"/>
                <w:szCs w:val="18"/>
              </w:rPr>
            </w:pPr>
            <w:r w:rsidRPr="00F33564">
              <w:rPr>
                <w:rFonts w:cs="Courier New"/>
                <w:sz w:val="18"/>
                <w:szCs w:val="18"/>
              </w:rPr>
              <w:t xml:space="preserve">Bisson </w:t>
            </w:r>
            <w:r w:rsidRPr="00F33564">
              <w:rPr>
                <w:rFonts w:cs="Courier New"/>
                <w:i/>
                <w:sz w:val="18"/>
                <w:szCs w:val="18"/>
              </w:rPr>
              <w:t>et al.</w:t>
            </w:r>
            <w:r w:rsidRPr="00F33564">
              <w:rPr>
                <w:rFonts w:cs="Courier New"/>
                <w:sz w:val="18"/>
                <w:szCs w:val="18"/>
              </w:rPr>
              <w:t>, 2000</w:t>
            </w:r>
          </w:p>
        </w:tc>
      </w:tr>
      <w:tr w:rsidR="00FD5B5A" w14:paraId="120882A9" w14:textId="77777777" w:rsidTr="00F33564">
        <w:tc>
          <w:tcPr>
            <w:tcW w:w="1271" w:type="dxa"/>
          </w:tcPr>
          <w:p w14:paraId="59CDB28F" w14:textId="5B1C592D" w:rsidR="00FD5B5A" w:rsidRPr="00F33564" w:rsidRDefault="00FD5B5A" w:rsidP="00F80F2A">
            <w:pPr>
              <w:widowControl/>
              <w:autoSpaceDE w:val="0"/>
              <w:autoSpaceDN w:val="0"/>
              <w:adjustRightInd w:val="0"/>
              <w:jc w:val="both"/>
              <w:rPr>
                <w:rFonts w:cs="Courier New"/>
                <w:i/>
                <w:sz w:val="18"/>
                <w:szCs w:val="18"/>
              </w:rPr>
            </w:pPr>
            <w:r w:rsidRPr="00F33564">
              <w:rPr>
                <w:rFonts w:cs="Courier New"/>
                <w:i/>
                <w:sz w:val="18"/>
                <w:szCs w:val="18"/>
              </w:rPr>
              <w:t>Daphnia magna</w:t>
            </w:r>
          </w:p>
        </w:tc>
        <w:tc>
          <w:tcPr>
            <w:tcW w:w="1134" w:type="dxa"/>
          </w:tcPr>
          <w:p w14:paraId="4347F0AA" w14:textId="2D54C628" w:rsidR="00FD5B5A" w:rsidRPr="00F33564" w:rsidRDefault="00FD5B5A" w:rsidP="00F80F2A">
            <w:pPr>
              <w:widowControl/>
              <w:autoSpaceDE w:val="0"/>
              <w:autoSpaceDN w:val="0"/>
              <w:adjustRightInd w:val="0"/>
              <w:jc w:val="both"/>
              <w:rPr>
                <w:sz w:val="18"/>
                <w:szCs w:val="18"/>
              </w:rPr>
            </w:pPr>
            <w:r w:rsidRPr="00F33564">
              <w:rPr>
                <w:sz w:val="18"/>
                <w:szCs w:val="18"/>
              </w:rPr>
              <w:t>24 h</w:t>
            </w:r>
            <w:r w:rsidR="001E2FAA" w:rsidRPr="00F33564">
              <w:rPr>
                <w:sz w:val="18"/>
                <w:szCs w:val="18"/>
              </w:rPr>
              <w:t xml:space="preserve"> + 3 h</w:t>
            </w:r>
          </w:p>
        </w:tc>
        <w:tc>
          <w:tcPr>
            <w:tcW w:w="1276" w:type="dxa"/>
          </w:tcPr>
          <w:p w14:paraId="39E885FF" w14:textId="3E34991E" w:rsidR="00FD5B5A" w:rsidRPr="00F33564" w:rsidRDefault="005F74E3" w:rsidP="00F80F2A">
            <w:pPr>
              <w:widowControl/>
              <w:autoSpaceDE w:val="0"/>
              <w:autoSpaceDN w:val="0"/>
              <w:adjustRightInd w:val="0"/>
              <w:jc w:val="both"/>
              <w:rPr>
                <w:sz w:val="18"/>
                <w:szCs w:val="18"/>
              </w:rPr>
            </w:pPr>
            <w:r w:rsidRPr="00F33564">
              <w:rPr>
                <w:sz w:val="18"/>
                <w:szCs w:val="18"/>
              </w:rPr>
              <w:t>Mortality</w:t>
            </w:r>
          </w:p>
        </w:tc>
        <w:tc>
          <w:tcPr>
            <w:tcW w:w="992" w:type="dxa"/>
          </w:tcPr>
          <w:p w14:paraId="6CEAE5CF" w14:textId="77777777" w:rsidR="00FD5B5A" w:rsidRPr="00F33564" w:rsidRDefault="001E2FAA" w:rsidP="00F80F2A">
            <w:pPr>
              <w:widowControl/>
              <w:autoSpaceDE w:val="0"/>
              <w:autoSpaceDN w:val="0"/>
              <w:adjustRightInd w:val="0"/>
              <w:jc w:val="both"/>
              <w:rPr>
                <w:sz w:val="18"/>
                <w:szCs w:val="18"/>
                <w:vertAlign w:val="subscript"/>
              </w:rPr>
            </w:pPr>
            <w:r w:rsidRPr="00F33564">
              <w:rPr>
                <w:sz w:val="18"/>
                <w:szCs w:val="18"/>
              </w:rPr>
              <w:t>24h-</w:t>
            </w:r>
            <w:r w:rsidR="005F74E3" w:rsidRPr="00F33564">
              <w:rPr>
                <w:sz w:val="18"/>
                <w:szCs w:val="18"/>
              </w:rPr>
              <w:t>LC</w:t>
            </w:r>
            <w:r w:rsidR="005F74E3" w:rsidRPr="00F33564">
              <w:rPr>
                <w:sz w:val="18"/>
                <w:szCs w:val="18"/>
                <w:vertAlign w:val="subscript"/>
              </w:rPr>
              <w:t>50</w:t>
            </w:r>
          </w:p>
          <w:p w14:paraId="0A7F3522" w14:textId="77777777" w:rsidR="001E2FAA" w:rsidRPr="00F33564" w:rsidRDefault="001E2FAA" w:rsidP="00F80F2A">
            <w:pPr>
              <w:widowControl/>
              <w:autoSpaceDE w:val="0"/>
              <w:autoSpaceDN w:val="0"/>
              <w:adjustRightInd w:val="0"/>
              <w:jc w:val="both"/>
              <w:rPr>
                <w:sz w:val="18"/>
                <w:szCs w:val="18"/>
                <w:vertAlign w:val="subscript"/>
              </w:rPr>
            </w:pPr>
          </w:p>
          <w:p w14:paraId="4D260170" w14:textId="77777777" w:rsidR="001E2FAA" w:rsidRPr="00F33564" w:rsidRDefault="001E2FAA" w:rsidP="00F80F2A">
            <w:pPr>
              <w:widowControl/>
              <w:autoSpaceDE w:val="0"/>
              <w:autoSpaceDN w:val="0"/>
              <w:adjustRightInd w:val="0"/>
              <w:jc w:val="both"/>
              <w:rPr>
                <w:sz w:val="18"/>
                <w:szCs w:val="18"/>
                <w:vertAlign w:val="subscript"/>
              </w:rPr>
            </w:pPr>
          </w:p>
          <w:p w14:paraId="46120658" w14:textId="77777777" w:rsidR="001E2FAA" w:rsidRPr="00F33564" w:rsidRDefault="001E2FAA" w:rsidP="00F80F2A">
            <w:pPr>
              <w:widowControl/>
              <w:autoSpaceDE w:val="0"/>
              <w:autoSpaceDN w:val="0"/>
              <w:adjustRightInd w:val="0"/>
              <w:jc w:val="both"/>
              <w:rPr>
                <w:sz w:val="18"/>
                <w:szCs w:val="18"/>
                <w:vertAlign w:val="subscript"/>
              </w:rPr>
            </w:pPr>
          </w:p>
          <w:p w14:paraId="3C8A43F2" w14:textId="77777777" w:rsidR="001E2FAA" w:rsidRPr="00F33564" w:rsidRDefault="001E2FAA" w:rsidP="00F80F2A">
            <w:pPr>
              <w:widowControl/>
              <w:autoSpaceDE w:val="0"/>
              <w:autoSpaceDN w:val="0"/>
              <w:adjustRightInd w:val="0"/>
              <w:jc w:val="both"/>
              <w:rPr>
                <w:sz w:val="18"/>
                <w:szCs w:val="18"/>
                <w:vertAlign w:val="subscript"/>
              </w:rPr>
            </w:pPr>
          </w:p>
          <w:p w14:paraId="2869521E" w14:textId="4A61CB7E" w:rsidR="001E2FAA" w:rsidRPr="00F33564" w:rsidRDefault="001E2FAA" w:rsidP="00F80F2A">
            <w:pPr>
              <w:widowControl/>
              <w:autoSpaceDE w:val="0"/>
              <w:autoSpaceDN w:val="0"/>
              <w:adjustRightInd w:val="0"/>
              <w:jc w:val="both"/>
              <w:rPr>
                <w:sz w:val="18"/>
                <w:szCs w:val="18"/>
              </w:rPr>
            </w:pPr>
            <w:r w:rsidRPr="00F33564">
              <w:rPr>
                <w:sz w:val="18"/>
                <w:szCs w:val="18"/>
              </w:rPr>
              <w:t>27h-LC</w:t>
            </w:r>
            <w:r w:rsidRPr="00F33564">
              <w:rPr>
                <w:sz w:val="18"/>
                <w:szCs w:val="18"/>
                <w:vertAlign w:val="subscript"/>
              </w:rPr>
              <w:t>50</w:t>
            </w:r>
          </w:p>
        </w:tc>
        <w:tc>
          <w:tcPr>
            <w:tcW w:w="1134" w:type="dxa"/>
          </w:tcPr>
          <w:p w14:paraId="2842C087" w14:textId="77777777" w:rsidR="00FD5B5A" w:rsidRPr="00F33564" w:rsidRDefault="005F74E3" w:rsidP="005F74E3">
            <w:pPr>
              <w:widowControl/>
              <w:autoSpaceDE w:val="0"/>
              <w:autoSpaceDN w:val="0"/>
              <w:adjustRightInd w:val="0"/>
              <w:jc w:val="both"/>
              <w:rPr>
                <w:sz w:val="18"/>
                <w:szCs w:val="18"/>
              </w:rPr>
            </w:pPr>
            <w:r w:rsidRPr="00F33564">
              <w:rPr>
                <w:sz w:val="18"/>
                <w:szCs w:val="18"/>
              </w:rPr>
              <w:lastRenderedPageBreak/>
              <w:t xml:space="preserve">&gt; Highest test </w:t>
            </w:r>
            <w:proofErr w:type="spellStart"/>
            <w:r w:rsidRPr="00F33564">
              <w:rPr>
                <w:sz w:val="18"/>
                <w:szCs w:val="18"/>
              </w:rPr>
              <w:t>concen-tration</w:t>
            </w:r>
            <w:proofErr w:type="spellEnd"/>
          </w:p>
          <w:p w14:paraId="23E0C646" w14:textId="77777777" w:rsidR="001E2FAA" w:rsidRPr="00F33564" w:rsidRDefault="001E2FAA" w:rsidP="005F74E3">
            <w:pPr>
              <w:widowControl/>
              <w:autoSpaceDE w:val="0"/>
              <w:autoSpaceDN w:val="0"/>
              <w:adjustRightInd w:val="0"/>
              <w:jc w:val="both"/>
              <w:rPr>
                <w:sz w:val="18"/>
                <w:szCs w:val="18"/>
              </w:rPr>
            </w:pPr>
          </w:p>
          <w:p w14:paraId="6B801180" w14:textId="114507B8" w:rsidR="001E2FAA" w:rsidRPr="00F33564" w:rsidRDefault="001E2FAA" w:rsidP="005F74E3">
            <w:pPr>
              <w:widowControl/>
              <w:autoSpaceDE w:val="0"/>
              <w:autoSpaceDN w:val="0"/>
              <w:adjustRightInd w:val="0"/>
              <w:jc w:val="both"/>
              <w:rPr>
                <w:sz w:val="18"/>
                <w:szCs w:val="18"/>
              </w:rPr>
            </w:pPr>
            <w:r w:rsidRPr="00F33564">
              <w:rPr>
                <w:sz w:val="18"/>
                <w:szCs w:val="18"/>
              </w:rPr>
              <w:t>3.4 µg/L</w:t>
            </w:r>
          </w:p>
        </w:tc>
        <w:tc>
          <w:tcPr>
            <w:tcW w:w="1559" w:type="dxa"/>
          </w:tcPr>
          <w:p w14:paraId="2045D7B1" w14:textId="77777777" w:rsidR="00FD5B5A" w:rsidRPr="00F33564" w:rsidRDefault="005F74E3" w:rsidP="00F80F2A">
            <w:pPr>
              <w:widowControl/>
              <w:autoSpaceDE w:val="0"/>
              <w:autoSpaceDN w:val="0"/>
              <w:adjustRightInd w:val="0"/>
              <w:jc w:val="both"/>
              <w:rPr>
                <w:sz w:val="18"/>
                <w:szCs w:val="18"/>
              </w:rPr>
            </w:pPr>
            <w:r w:rsidRPr="00F33564">
              <w:rPr>
                <w:sz w:val="18"/>
                <w:szCs w:val="18"/>
              </w:rPr>
              <w:lastRenderedPageBreak/>
              <w:t xml:space="preserve">16:8 h </w:t>
            </w:r>
            <w:proofErr w:type="spellStart"/>
            <w:r w:rsidRPr="00F33564">
              <w:rPr>
                <w:sz w:val="18"/>
                <w:szCs w:val="18"/>
              </w:rPr>
              <w:t>light:dark</w:t>
            </w:r>
            <w:proofErr w:type="spellEnd"/>
          </w:p>
          <w:p w14:paraId="32705D78" w14:textId="77777777" w:rsidR="001E2FAA" w:rsidRPr="00F33564" w:rsidRDefault="001E2FAA" w:rsidP="00F80F2A">
            <w:pPr>
              <w:widowControl/>
              <w:autoSpaceDE w:val="0"/>
              <w:autoSpaceDN w:val="0"/>
              <w:adjustRightInd w:val="0"/>
              <w:jc w:val="both"/>
              <w:rPr>
                <w:sz w:val="18"/>
                <w:szCs w:val="18"/>
              </w:rPr>
            </w:pPr>
          </w:p>
          <w:p w14:paraId="1BBE98F7" w14:textId="77777777" w:rsidR="001E2FAA" w:rsidRPr="00F33564" w:rsidRDefault="001E2FAA" w:rsidP="00F80F2A">
            <w:pPr>
              <w:widowControl/>
              <w:autoSpaceDE w:val="0"/>
              <w:autoSpaceDN w:val="0"/>
              <w:adjustRightInd w:val="0"/>
              <w:jc w:val="both"/>
              <w:rPr>
                <w:sz w:val="18"/>
                <w:szCs w:val="18"/>
              </w:rPr>
            </w:pPr>
          </w:p>
          <w:p w14:paraId="79FF036F" w14:textId="77777777" w:rsidR="001E2FAA" w:rsidRPr="00F33564" w:rsidRDefault="001E2FAA" w:rsidP="00F80F2A">
            <w:pPr>
              <w:widowControl/>
              <w:autoSpaceDE w:val="0"/>
              <w:autoSpaceDN w:val="0"/>
              <w:adjustRightInd w:val="0"/>
              <w:jc w:val="both"/>
              <w:rPr>
                <w:sz w:val="18"/>
                <w:szCs w:val="18"/>
              </w:rPr>
            </w:pPr>
          </w:p>
          <w:p w14:paraId="2B2C5C14" w14:textId="4733B302" w:rsidR="001E2FAA" w:rsidRPr="00F33564" w:rsidRDefault="001E2FAA" w:rsidP="00F80F2A">
            <w:pPr>
              <w:widowControl/>
              <w:autoSpaceDE w:val="0"/>
              <w:autoSpaceDN w:val="0"/>
              <w:adjustRightInd w:val="0"/>
              <w:jc w:val="both"/>
              <w:rPr>
                <w:sz w:val="18"/>
                <w:szCs w:val="18"/>
              </w:rPr>
            </w:pPr>
            <w:r w:rsidRPr="00F33564">
              <w:rPr>
                <w:sz w:val="18"/>
                <w:szCs w:val="18"/>
              </w:rPr>
              <w:t>+ 2 h UV-radiation exposure + 1 h recovery</w:t>
            </w:r>
          </w:p>
        </w:tc>
        <w:tc>
          <w:tcPr>
            <w:tcW w:w="1843" w:type="dxa"/>
          </w:tcPr>
          <w:p w14:paraId="5FD5396A" w14:textId="1D048A2C" w:rsidR="00FD5B5A" w:rsidRPr="00F33564" w:rsidRDefault="005F74E3" w:rsidP="00F80F2A">
            <w:pPr>
              <w:widowControl/>
              <w:autoSpaceDE w:val="0"/>
              <w:autoSpaceDN w:val="0"/>
              <w:adjustRightInd w:val="0"/>
              <w:jc w:val="both"/>
              <w:rPr>
                <w:rFonts w:cs="Courier New"/>
                <w:sz w:val="18"/>
                <w:szCs w:val="18"/>
              </w:rPr>
            </w:pPr>
            <w:r w:rsidRPr="00F33564">
              <w:rPr>
                <w:rFonts w:cs="Courier New"/>
                <w:sz w:val="18"/>
                <w:szCs w:val="18"/>
              </w:rPr>
              <w:lastRenderedPageBreak/>
              <w:t xml:space="preserve">Bisson </w:t>
            </w:r>
            <w:r w:rsidRPr="00F33564">
              <w:rPr>
                <w:rFonts w:cs="Courier New"/>
                <w:i/>
                <w:sz w:val="18"/>
                <w:szCs w:val="18"/>
              </w:rPr>
              <w:t>et al.</w:t>
            </w:r>
            <w:r w:rsidRPr="00F33564">
              <w:rPr>
                <w:rFonts w:cs="Courier New"/>
                <w:sz w:val="18"/>
                <w:szCs w:val="18"/>
              </w:rPr>
              <w:t>, 2000</w:t>
            </w:r>
          </w:p>
        </w:tc>
      </w:tr>
      <w:tr w:rsidR="00FD5B5A" w14:paraId="53CB1B03" w14:textId="77777777" w:rsidTr="00F33564">
        <w:tc>
          <w:tcPr>
            <w:tcW w:w="1271" w:type="dxa"/>
          </w:tcPr>
          <w:p w14:paraId="23612C06" w14:textId="2F3D008E" w:rsidR="00F80F2A" w:rsidRPr="00F33564" w:rsidRDefault="00F80F2A" w:rsidP="00F80F2A">
            <w:pPr>
              <w:widowControl/>
              <w:autoSpaceDE w:val="0"/>
              <w:autoSpaceDN w:val="0"/>
              <w:adjustRightInd w:val="0"/>
              <w:jc w:val="both"/>
              <w:rPr>
                <w:sz w:val="18"/>
                <w:szCs w:val="18"/>
              </w:rPr>
            </w:pPr>
            <w:proofErr w:type="spellStart"/>
            <w:r w:rsidRPr="00F33564">
              <w:rPr>
                <w:rFonts w:cs="Courier New"/>
                <w:i/>
                <w:sz w:val="18"/>
                <w:szCs w:val="18"/>
              </w:rPr>
              <w:t>Ceriodaphnia</w:t>
            </w:r>
            <w:proofErr w:type="spellEnd"/>
            <w:r w:rsidRPr="00F33564">
              <w:rPr>
                <w:rFonts w:cs="Courier New"/>
                <w:i/>
                <w:sz w:val="18"/>
                <w:szCs w:val="18"/>
              </w:rPr>
              <w:t xml:space="preserve"> </w:t>
            </w:r>
            <w:proofErr w:type="spellStart"/>
            <w:r w:rsidRPr="00F33564">
              <w:rPr>
                <w:rFonts w:cs="Courier New"/>
                <w:i/>
                <w:sz w:val="18"/>
                <w:szCs w:val="18"/>
              </w:rPr>
              <w:t>dubia</w:t>
            </w:r>
            <w:proofErr w:type="spellEnd"/>
          </w:p>
        </w:tc>
        <w:tc>
          <w:tcPr>
            <w:tcW w:w="1134" w:type="dxa"/>
          </w:tcPr>
          <w:p w14:paraId="61E2AF81" w14:textId="20611EC7" w:rsidR="00F80F2A" w:rsidRPr="00F33564" w:rsidRDefault="00F80F2A" w:rsidP="00F80F2A">
            <w:pPr>
              <w:widowControl/>
              <w:autoSpaceDE w:val="0"/>
              <w:autoSpaceDN w:val="0"/>
              <w:adjustRightInd w:val="0"/>
              <w:jc w:val="both"/>
              <w:rPr>
                <w:sz w:val="18"/>
                <w:szCs w:val="18"/>
              </w:rPr>
            </w:pPr>
            <w:r w:rsidRPr="00F33564">
              <w:rPr>
                <w:sz w:val="18"/>
                <w:szCs w:val="18"/>
              </w:rPr>
              <w:t>7 days</w:t>
            </w:r>
          </w:p>
        </w:tc>
        <w:tc>
          <w:tcPr>
            <w:tcW w:w="1276" w:type="dxa"/>
          </w:tcPr>
          <w:p w14:paraId="5073D316" w14:textId="3CB80031" w:rsidR="00F80F2A" w:rsidRPr="00F33564" w:rsidRDefault="000C7D25" w:rsidP="00F80F2A">
            <w:pPr>
              <w:widowControl/>
              <w:autoSpaceDE w:val="0"/>
              <w:autoSpaceDN w:val="0"/>
              <w:adjustRightInd w:val="0"/>
              <w:jc w:val="both"/>
              <w:rPr>
                <w:sz w:val="18"/>
                <w:szCs w:val="18"/>
              </w:rPr>
            </w:pPr>
            <w:proofErr w:type="spellStart"/>
            <w:r w:rsidRPr="00F33564">
              <w:rPr>
                <w:sz w:val="18"/>
                <w:szCs w:val="18"/>
              </w:rPr>
              <w:t>Reproduc-tion</w:t>
            </w:r>
            <w:proofErr w:type="spellEnd"/>
          </w:p>
        </w:tc>
        <w:tc>
          <w:tcPr>
            <w:tcW w:w="992" w:type="dxa"/>
          </w:tcPr>
          <w:p w14:paraId="0675CA10" w14:textId="248F526F" w:rsidR="00F80F2A" w:rsidRPr="00F33564" w:rsidRDefault="000C7D25" w:rsidP="00F80F2A">
            <w:pPr>
              <w:widowControl/>
              <w:autoSpaceDE w:val="0"/>
              <w:autoSpaceDN w:val="0"/>
              <w:adjustRightInd w:val="0"/>
              <w:jc w:val="both"/>
              <w:rPr>
                <w:sz w:val="18"/>
                <w:szCs w:val="18"/>
              </w:rPr>
            </w:pPr>
            <w:r w:rsidRPr="00F33564">
              <w:rPr>
                <w:sz w:val="18"/>
                <w:szCs w:val="18"/>
              </w:rPr>
              <w:t>EC</w:t>
            </w:r>
            <w:r w:rsidRPr="00F33564">
              <w:rPr>
                <w:sz w:val="18"/>
                <w:szCs w:val="18"/>
                <w:vertAlign w:val="subscript"/>
              </w:rPr>
              <w:t>10</w:t>
            </w:r>
          </w:p>
        </w:tc>
        <w:tc>
          <w:tcPr>
            <w:tcW w:w="1134" w:type="dxa"/>
          </w:tcPr>
          <w:p w14:paraId="6FD57DD5" w14:textId="1F27FF0A" w:rsidR="00F80F2A" w:rsidRPr="00F33564" w:rsidRDefault="005533BF" w:rsidP="00F80F2A">
            <w:pPr>
              <w:widowControl/>
              <w:autoSpaceDE w:val="0"/>
              <w:autoSpaceDN w:val="0"/>
              <w:adjustRightInd w:val="0"/>
              <w:jc w:val="both"/>
              <w:rPr>
                <w:sz w:val="18"/>
                <w:szCs w:val="18"/>
              </w:rPr>
            </w:pPr>
            <w:r w:rsidRPr="00F33564">
              <w:rPr>
                <w:sz w:val="18"/>
                <w:szCs w:val="18"/>
              </w:rPr>
              <w:t xml:space="preserve">No effect up to  </w:t>
            </w:r>
            <w:r w:rsidR="00F80F2A" w:rsidRPr="00F33564">
              <w:rPr>
                <w:sz w:val="18"/>
                <w:szCs w:val="18"/>
              </w:rPr>
              <w:t>8.7 µg/L</w:t>
            </w:r>
          </w:p>
        </w:tc>
        <w:tc>
          <w:tcPr>
            <w:tcW w:w="1559" w:type="dxa"/>
          </w:tcPr>
          <w:p w14:paraId="6C495328" w14:textId="688B117A" w:rsidR="00F80F2A" w:rsidRPr="00F33564" w:rsidRDefault="00D8243A" w:rsidP="00F80F2A">
            <w:pPr>
              <w:widowControl/>
              <w:autoSpaceDE w:val="0"/>
              <w:autoSpaceDN w:val="0"/>
              <w:adjustRightInd w:val="0"/>
              <w:jc w:val="both"/>
              <w:rPr>
                <w:sz w:val="18"/>
                <w:szCs w:val="18"/>
              </w:rPr>
            </w:pPr>
            <w:r w:rsidRPr="00F33564">
              <w:rPr>
                <w:sz w:val="18"/>
                <w:szCs w:val="18"/>
              </w:rPr>
              <w:t xml:space="preserve">16:8 h </w:t>
            </w:r>
            <w:proofErr w:type="spellStart"/>
            <w:r w:rsidRPr="00F33564">
              <w:rPr>
                <w:sz w:val="18"/>
                <w:szCs w:val="18"/>
              </w:rPr>
              <w:t>light:dark</w:t>
            </w:r>
            <w:proofErr w:type="spellEnd"/>
          </w:p>
        </w:tc>
        <w:tc>
          <w:tcPr>
            <w:tcW w:w="1843" w:type="dxa"/>
          </w:tcPr>
          <w:p w14:paraId="54080C42" w14:textId="1E8E9655" w:rsidR="00F80F2A" w:rsidRPr="00F33564" w:rsidRDefault="00F80F2A" w:rsidP="00F80F2A">
            <w:pPr>
              <w:widowControl/>
              <w:autoSpaceDE w:val="0"/>
              <w:autoSpaceDN w:val="0"/>
              <w:adjustRightInd w:val="0"/>
              <w:jc w:val="both"/>
              <w:rPr>
                <w:sz w:val="18"/>
                <w:szCs w:val="18"/>
              </w:rPr>
            </w:pPr>
            <w:r w:rsidRPr="00F33564">
              <w:rPr>
                <w:rFonts w:cs="Courier New"/>
                <w:sz w:val="18"/>
                <w:szCs w:val="18"/>
              </w:rPr>
              <w:t xml:space="preserve">Bisson </w:t>
            </w:r>
            <w:r w:rsidRPr="00F33564">
              <w:rPr>
                <w:rFonts w:cs="Courier New"/>
                <w:i/>
                <w:sz w:val="18"/>
                <w:szCs w:val="18"/>
              </w:rPr>
              <w:t>et al.</w:t>
            </w:r>
            <w:r w:rsidRPr="00F33564">
              <w:rPr>
                <w:rFonts w:cs="Courier New"/>
                <w:sz w:val="18"/>
                <w:szCs w:val="18"/>
              </w:rPr>
              <w:t>, 2000</w:t>
            </w:r>
          </w:p>
        </w:tc>
      </w:tr>
      <w:tr w:rsidR="000F0EC4" w14:paraId="505205D5" w14:textId="77777777" w:rsidTr="00F33564">
        <w:tc>
          <w:tcPr>
            <w:tcW w:w="1271" w:type="dxa"/>
            <w:vMerge w:val="restart"/>
          </w:tcPr>
          <w:p w14:paraId="31D83688" w14:textId="4446AFFC" w:rsidR="000F0EC4" w:rsidRPr="00F33564" w:rsidRDefault="000F0EC4" w:rsidP="00F80F2A">
            <w:pPr>
              <w:widowControl/>
              <w:autoSpaceDE w:val="0"/>
              <w:autoSpaceDN w:val="0"/>
              <w:adjustRightInd w:val="0"/>
              <w:jc w:val="both"/>
              <w:rPr>
                <w:sz w:val="18"/>
                <w:szCs w:val="18"/>
              </w:rPr>
            </w:pPr>
            <w:proofErr w:type="spellStart"/>
            <w:r w:rsidRPr="00F33564">
              <w:rPr>
                <w:rFonts w:cs="Courier New"/>
                <w:i/>
                <w:sz w:val="18"/>
                <w:szCs w:val="18"/>
              </w:rPr>
              <w:t>Pseudokirch-neriella</w:t>
            </w:r>
            <w:proofErr w:type="spellEnd"/>
            <w:r w:rsidRPr="00F33564">
              <w:rPr>
                <w:rFonts w:cs="Courier New"/>
                <w:i/>
                <w:sz w:val="18"/>
                <w:szCs w:val="18"/>
              </w:rPr>
              <w:t xml:space="preserve"> </w:t>
            </w:r>
            <w:proofErr w:type="spellStart"/>
            <w:r w:rsidRPr="00F33564">
              <w:rPr>
                <w:rFonts w:cs="Courier New"/>
                <w:i/>
                <w:sz w:val="18"/>
                <w:szCs w:val="18"/>
              </w:rPr>
              <w:t>subcapitata</w:t>
            </w:r>
            <w:proofErr w:type="spellEnd"/>
          </w:p>
        </w:tc>
        <w:tc>
          <w:tcPr>
            <w:tcW w:w="1134" w:type="dxa"/>
          </w:tcPr>
          <w:p w14:paraId="4EB0BD39" w14:textId="2299AE80" w:rsidR="000F0EC4" w:rsidRPr="00F33564" w:rsidRDefault="00A96F89" w:rsidP="00F80F2A">
            <w:pPr>
              <w:widowControl/>
              <w:autoSpaceDE w:val="0"/>
              <w:autoSpaceDN w:val="0"/>
              <w:adjustRightInd w:val="0"/>
              <w:jc w:val="both"/>
              <w:rPr>
                <w:sz w:val="18"/>
                <w:szCs w:val="18"/>
              </w:rPr>
            </w:pPr>
            <w:r w:rsidRPr="00F33564">
              <w:rPr>
                <w:sz w:val="18"/>
                <w:szCs w:val="18"/>
              </w:rPr>
              <w:t>-</w:t>
            </w:r>
          </w:p>
        </w:tc>
        <w:tc>
          <w:tcPr>
            <w:tcW w:w="1276" w:type="dxa"/>
          </w:tcPr>
          <w:p w14:paraId="6D5807ED" w14:textId="581794F4" w:rsidR="000F0EC4" w:rsidRPr="00F33564" w:rsidRDefault="000F0EC4" w:rsidP="00A31AA7">
            <w:pPr>
              <w:widowControl/>
              <w:autoSpaceDE w:val="0"/>
              <w:autoSpaceDN w:val="0"/>
              <w:adjustRightInd w:val="0"/>
              <w:jc w:val="both"/>
              <w:rPr>
                <w:sz w:val="18"/>
                <w:szCs w:val="18"/>
              </w:rPr>
            </w:pPr>
            <w:r w:rsidRPr="00F33564">
              <w:rPr>
                <w:sz w:val="18"/>
                <w:szCs w:val="18"/>
              </w:rPr>
              <w:t>Growth</w:t>
            </w:r>
          </w:p>
        </w:tc>
        <w:tc>
          <w:tcPr>
            <w:tcW w:w="992" w:type="dxa"/>
          </w:tcPr>
          <w:p w14:paraId="6534EF3B" w14:textId="5476E161" w:rsidR="000F0EC4" w:rsidRPr="00F33564" w:rsidRDefault="000F0EC4" w:rsidP="00F80F2A">
            <w:pPr>
              <w:widowControl/>
              <w:autoSpaceDE w:val="0"/>
              <w:autoSpaceDN w:val="0"/>
              <w:adjustRightInd w:val="0"/>
              <w:jc w:val="both"/>
              <w:rPr>
                <w:sz w:val="18"/>
                <w:szCs w:val="18"/>
              </w:rPr>
            </w:pPr>
            <w:r w:rsidRPr="00F33564">
              <w:rPr>
                <w:sz w:val="18"/>
                <w:szCs w:val="18"/>
              </w:rPr>
              <w:t>EC</w:t>
            </w:r>
            <w:r w:rsidRPr="00F33564">
              <w:rPr>
                <w:sz w:val="18"/>
                <w:szCs w:val="18"/>
                <w:vertAlign w:val="subscript"/>
              </w:rPr>
              <w:t>50</w:t>
            </w:r>
          </w:p>
        </w:tc>
        <w:tc>
          <w:tcPr>
            <w:tcW w:w="1134" w:type="dxa"/>
          </w:tcPr>
          <w:p w14:paraId="3ACA8612" w14:textId="7F33BC08" w:rsidR="000F0EC4" w:rsidRPr="00F33564" w:rsidRDefault="000F0EC4" w:rsidP="00F80F2A">
            <w:pPr>
              <w:widowControl/>
              <w:autoSpaceDE w:val="0"/>
              <w:autoSpaceDN w:val="0"/>
              <w:adjustRightInd w:val="0"/>
              <w:jc w:val="both"/>
              <w:rPr>
                <w:sz w:val="18"/>
                <w:szCs w:val="18"/>
              </w:rPr>
            </w:pPr>
            <w:r w:rsidRPr="00F33564">
              <w:rPr>
                <w:sz w:val="18"/>
                <w:szCs w:val="18"/>
              </w:rPr>
              <w:t xml:space="preserve">&gt; </w:t>
            </w:r>
            <w:proofErr w:type="spellStart"/>
            <w:r w:rsidRPr="00F33564">
              <w:rPr>
                <w:sz w:val="18"/>
                <w:szCs w:val="18"/>
              </w:rPr>
              <w:t>aquaeous</w:t>
            </w:r>
            <w:proofErr w:type="spellEnd"/>
            <w:r w:rsidRPr="00F33564">
              <w:rPr>
                <w:sz w:val="18"/>
                <w:szCs w:val="18"/>
              </w:rPr>
              <w:t xml:space="preserve"> solubility</w:t>
            </w:r>
          </w:p>
        </w:tc>
        <w:tc>
          <w:tcPr>
            <w:tcW w:w="1559" w:type="dxa"/>
          </w:tcPr>
          <w:p w14:paraId="75BEADDA" w14:textId="77777777" w:rsidR="000F0EC4" w:rsidRPr="00F33564" w:rsidRDefault="000F0EC4" w:rsidP="00F80F2A">
            <w:pPr>
              <w:widowControl/>
              <w:autoSpaceDE w:val="0"/>
              <w:autoSpaceDN w:val="0"/>
              <w:adjustRightInd w:val="0"/>
              <w:jc w:val="both"/>
              <w:rPr>
                <w:sz w:val="18"/>
                <w:szCs w:val="18"/>
              </w:rPr>
            </w:pPr>
            <w:r w:rsidRPr="00F33564">
              <w:rPr>
                <w:sz w:val="18"/>
                <w:szCs w:val="18"/>
              </w:rPr>
              <w:t xml:space="preserve">16:8 h </w:t>
            </w:r>
            <w:proofErr w:type="spellStart"/>
            <w:r w:rsidRPr="00F33564">
              <w:rPr>
                <w:sz w:val="18"/>
                <w:szCs w:val="18"/>
              </w:rPr>
              <w:t>light:dark</w:t>
            </w:r>
            <w:proofErr w:type="spellEnd"/>
          </w:p>
          <w:p w14:paraId="2F208BD1" w14:textId="77777777" w:rsidR="000F0EC4" w:rsidRPr="00F33564" w:rsidRDefault="000F0EC4" w:rsidP="00F80F2A">
            <w:pPr>
              <w:widowControl/>
              <w:autoSpaceDE w:val="0"/>
              <w:autoSpaceDN w:val="0"/>
              <w:adjustRightInd w:val="0"/>
              <w:jc w:val="both"/>
              <w:rPr>
                <w:sz w:val="18"/>
                <w:szCs w:val="18"/>
              </w:rPr>
            </w:pPr>
          </w:p>
          <w:p w14:paraId="06864000" w14:textId="182BB677" w:rsidR="000F0EC4" w:rsidRPr="00F33564" w:rsidRDefault="000F0EC4" w:rsidP="00F80F2A">
            <w:pPr>
              <w:widowControl/>
              <w:autoSpaceDE w:val="0"/>
              <w:autoSpaceDN w:val="0"/>
              <w:adjustRightInd w:val="0"/>
              <w:jc w:val="both"/>
              <w:rPr>
                <w:sz w:val="18"/>
                <w:szCs w:val="18"/>
              </w:rPr>
            </w:pPr>
            <w:r w:rsidRPr="00F33564">
              <w:rPr>
                <w:sz w:val="18"/>
                <w:szCs w:val="18"/>
              </w:rPr>
              <w:t>Cool white fluorescent light</w:t>
            </w:r>
          </w:p>
        </w:tc>
        <w:tc>
          <w:tcPr>
            <w:tcW w:w="1843" w:type="dxa"/>
            <w:vMerge w:val="restart"/>
          </w:tcPr>
          <w:p w14:paraId="67520335" w14:textId="5F29F1BA" w:rsidR="000F0EC4" w:rsidRPr="00F33564" w:rsidRDefault="000F0EC4" w:rsidP="00F80F2A">
            <w:pPr>
              <w:widowControl/>
              <w:autoSpaceDE w:val="0"/>
              <w:autoSpaceDN w:val="0"/>
              <w:adjustRightInd w:val="0"/>
              <w:jc w:val="both"/>
              <w:rPr>
                <w:sz w:val="18"/>
                <w:szCs w:val="18"/>
              </w:rPr>
            </w:pPr>
            <w:r w:rsidRPr="00F33564">
              <w:rPr>
                <w:rFonts w:cs="Courier New"/>
                <w:sz w:val="18"/>
                <w:szCs w:val="18"/>
              </w:rPr>
              <w:t xml:space="preserve">Cody </w:t>
            </w:r>
            <w:r w:rsidRPr="00F33564">
              <w:rPr>
                <w:rFonts w:cs="Courier New"/>
                <w:i/>
                <w:sz w:val="18"/>
                <w:szCs w:val="18"/>
              </w:rPr>
              <w:t>et al.</w:t>
            </w:r>
            <w:r w:rsidRPr="00F33564">
              <w:rPr>
                <w:rFonts w:cs="Courier New"/>
                <w:sz w:val="18"/>
                <w:szCs w:val="18"/>
              </w:rPr>
              <w:t>, 1984</w:t>
            </w:r>
          </w:p>
        </w:tc>
      </w:tr>
      <w:tr w:rsidR="000F0EC4" w14:paraId="6D97DF58" w14:textId="77777777" w:rsidTr="00F33564">
        <w:tc>
          <w:tcPr>
            <w:tcW w:w="1271" w:type="dxa"/>
            <w:vMerge/>
          </w:tcPr>
          <w:p w14:paraId="0398A8D2" w14:textId="77777777" w:rsidR="000F0EC4" w:rsidRPr="00F33564" w:rsidRDefault="000F0EC4" w:rsidP="00F80F2A">
            <w:pPr>
              <w:widowControl/>
              <w:autoSpaceDE w:val="0"/>
              <w:autoSpaceDN w:val="0"/>
              <w:adjustRightInd w:val="0"/>
              <w:jc w:val="both"/>
              <w:rPr>
                <w:rFonts w:cs="Courier New"/>
                <w:i/>
                <w:sz w:val="18"/>
                <w:szCs w:val="18"/>
              </w:rPr>
            </w:pPr>
          </w:p>
        </w:tc>
        <w:tc>
          <w:tcPr>
            <w:tcW w:w="1134" w:type="dxa"/>
          </w:tcPr>
          <w:p w14:paraId="1291381D" w14:textId="09DECF6C" w:rsidR="000F0EC4" w:rsidRPr="00F33564" w:rsidRDefault="000F0EC4" w:rsidP="00F80F2A">
            <w:pPr>
              <w:widowControl/>
              <w:autoSpaceDE w:val="0"/>
              <w:autoSpaceDN w:val="0"/>
              <w:adjustRightInd w:val="0"/>
              <w:jc w:val="both"/>
              <w:rPr>
                <w:sz w:val="18"/>
                <w:szCs w:val="18"/>
              </w:rPr>
            </w:pPr>
            <w:r w:rsidRPr="00F33564">
              <w:rPr>
                <w:sz w:val="18"/>
                <w:szCs w:val="18"/>
              </w:rPr>
              <w:t>96 h</w:t>
            </w:r>
          </w:p>
        </w:tc>
        <w:tc>
          <w:tcPr>
            <w:tcW w:w="1276" w:type="dxa"/>
          </w:tcPr>
          <w:p w14:paraId="6822705F" w14:textId="1DEEFEDD" w:rsidR="000F0EC4" w:rsidRPr="00F33564" w:rsidRDefault="000F0EC4" w:rsidP="00A31AA7">
            <w:pPr>
              <w:widowControl/>
              <w:autoSpaceDE w:val="0"/>
              <w:autoSpaceDN w:val="0"/>
              <w:adjustRightInd w:val="0"/>
              <w:jc w:val="both"/>
              <w:rPr>
                <w:sz w:val="18"/>
                <w:szCs w:val="18"/>
              </w:rPr>
            </w:pPr>
            <w:r w:rsidRPr="00F33564">
              <w:rPr>
                <w:sz w:val="18"/>
                <w:szCs w:val="18"/>
              </w:rPr>
              <w:t>Growth</w:t>
            </w:r>
          </w:p>
        </w:tc>
        <w:tc>
          <w:tcPr>
            <w:tcW w:w="992" w:type="dxa"/>
          </w:tcPr>
          <w:p w14:paraId="0C3DE36D" w14:textId="7323687F" w:rsidR="000F0EC4" w:rsidRPr="00F33564" w:rsidRDefault="000F0EC4" w:rsidP="00564262">
            <w:pPr>
              <w:widowControl/>
              <w:autoSpaceDE w:val="0"/>
              <w:autoSpaceDN w:val="0"/>
              <w:adjustRightInd w:val="0"/>
              <w:jc w:val="both"/>
              <w:rPr>
                <w:sz w:val="18"/>
                <w:szCs w:val="18"/>
              </w:rPr>
            </w:pPr>
            <w:r w:rsidRPr="00F33564">
              <w:rPr>
                <w:sz w:val="18"/>
                <w:szCs w:val="18"/>
              </w:rPr>
              <w:t>E</w:t>
            </w:r>
            <w:r w:rsidR="00A741A7" w:rsidRPr="00F33564">
              <w:rPr>
                <w:sz w:val="18"/>
                <w:szCs w:val="18"/>
                <w:vertAlign w:val="subscript"/>
              </w:rPr>
              <w:t>r</w:t>
            </w:r>
            <w:r w:rsidRPr="00F33564">
              <w:rPr>
                <w:sz w:val="18"/>
                <w:szCs w:val="18"/>
              </w:rPr>
              <w:t>C</w:t>
            </w:r>
            <w:r w:rsidRPr="00F33564">
              <w:rPr>
                <w:sz w:val="18"/>
                <w:szCs w:val="18"/>
                <w:vertAlign w:val="subscript"/>
              </w:rPr>
              <w:t>10</w:t>
            </w:r>
          </w:p>
        </w:tc>
        <w:tc>
          <w:tcPr>
            <w:tcW w:w="1134" w:type="dxa"/>
          </w:tcPr>
          <w:p w14:paraId="3D4A8A30" w14:textId="1CDDE031" w:rsidR="000F0EC4" w:rsidRPr="00F33564" w:rsidRDefault="000F0EC4" w:rsidP="00F80F2A">
            <w:pPr>
              <w:widowControl/>
              <w:autoSpaceDE w:val="0"/>
              <w:autoSpaceDN w:val="0"/>
              <w:adjustRightInd w:val="0"/>
              <w:jc w:val="both"/>
              <w:rPr>
                <w:sz w:val="18"/>
                <w:szCs w:val="18"/>
              </w:rPr>
            </w:pPr>
            <w:r w:rsidRPr="00F33564">
              <w:rPr>
                <w:sz w:val="18"/>
                <w:szCs w:val="18"/>
              </w:rPr>
              <w:t>18 µg/L</w:t>
            </w:r>
          </w:p>
        </w:tc>
        <w:tc>
          <w:tcPr>
            <w:tcW w:w="1559" w:type="dxa"/>
          </w:tcPr>
          <w:p w14:paraId="6FA4391D" w14:textId="6035ECC0" w:rsidR="000F0EC4" w:rsidRPr="00F33564" w:rsidRDefault="000F0EC4" w:rsidP="00F80F2A">
            <w:pPr>
              <w:widowControl/>
              <w:autoSpaceDE w:val="0"/>
              <w:autoSpaceDN w:val="0"/>
              <w:adjustRightInd w:val="0"/>
              <w:jc w:val="both"/>
              <w:rPr>
                <w:sz w:val="18"/>
                <w:szCs w:val="18"/>
              </w:rPr>
            </w:pPr>
            <w:r w:rsidRPr="00F33564">
              <w:rPr>
                <w:sz w:val="18"/>
                <w:szCs w:val="18"/>
              </w:rPr>
              <w:t>Estimated from dose-effect relationship</w:t>
            </w:r>
          </w:p>
        </w:tc>
        <w:tc>
          <w:tcPr>
            <w:tcW w:w="1843" w:type="dxa"/>
            <w:vMerge/>
          </w:tcPr>
          <w:p w14:paraId="0A2FFA09" w14:textId="77777777" w:rsidR="000F0EC4" w:rsidRPr="00F33564" w:rsidRDefault="000F0EC4" w:rsidP="00F80F2A">
            <w:pPr>
              <w:widowControl/>
              <w:autoSpaceDE w:val="0"/>
              <w:autoSpaceDN w:val="0"/>
              <w:adjustRightInd w:val="0"/>
              <w:jc w:val="both"/>
              <w:rPr>
                <w:rFonts w:cs="Courier New"/>
                <w:sz w:val="18"/>
                <w:szCs w:val="18"/>
              </w:rPr>
            </w:pPr>
          </w:p>
        </w:tc>
      </w:tr>
      <w:tr w:rsidR="00FD5B5A" w14:paraId="0A78108C" w14:textId="77777777" w:rsidTr="00F33564">
        <w:tc>
          <w:tcPr>
            <w:tcW w:w="1271" w:type="dxa"/>
          </w:tcPr>
          <w:p w14:paraId="75B6A6B3" w14:textId="66DA20B9" w:rsidR="00F80F2A" w:rsidRPr="00F33564" w:rsidRDefault="00F80F2A" w:rsidP="00F80F2A">
            <w:pPr>
              <w:widowControl/>
              <w:autoSpaceDE w:val="0"/>
              <w:autoSpaceDN w:val="0"/>
              <w:adjustRightInd w:val="0"/>
              <w:jc w:val="both"/>
              <w:rPr>
                <w:sz w:val="18"/>
                <w:szCs w:val="18"/>
              </w:rPr>
            </w:pPr>
            <w:proofErr w:type="spellStart"/>
            <w:r w:rsidRPr="00F33564">
              <w:rPr>
                <w:rFonts w:cs="Courier New"/>
                <w:b/>
                <w:i/>
                <w:sz w:val="18"/>
                <w:szCs w:val="18"/>
              </w:rPr>
              <w:t>Pseudokirch</w:t>
            </w:r>
            <w:r w:rsidR="00FD5B5A" w:rsidRPr="00F33564">
              <w:rPr>
                <w:rFonts w:cs="Courier New"/>
                <w:b/>
                <w:i/>
                <w:sz w:val="18"/>
                <w:szCs w:val="18"/>
              </w:rPr>
              <w:t>-</w:t>
            </w:r>
            <w:r w:rsidRPr="00F33564">
              <w:rPr>
                <w:rFonts w:cs="Courier New"/>
                <w:b/>
                <w:i/>
                <w:sz w:val="18"/>
                <w:szCs w:val="18"/>
              </w:rPr>
              <w:t>neriella</w:t>
            </w:r>
            <w:proofErr w:type="spellEnd"/>
            <w:r w:rsidRPr="00F33564">
              <w:rPr>
                <w:rFonts w:cs="Courier New"/>
                <w:b/>
                <w:i/>
                <w:sz w:val="18"/>
                <w:szCs w:val="18"/>
              </w:rPr>
              <w:t xml:space="preserve"> </w:t>
            </w:r>
            <w:proofErr w:type="spellStart"/>
            <w:r w:rsidRPr="00F33564">
              <w:rPr>
                <w:rFonts w:cs="Courier New"/>
                <w:b/>
                <w:i/>
                <w:sz w:val="18"/>
                <w:szCs w:val="18"/>
              </w:rPr>
              <w:t>subcapitata</w:t>
            </w:r>
            <w:proofErr w:type="spellEnd"/>
          </w:p>
        </w:tc>
        <w:tc>
          <w:tcPr>
            <w:tcW w:w="1134" w:type="dxa"/>
          </w:tcPr>
          <w:p w14:paraId="7B261790" w14:textId="217253E5" w:rsidR="00F80F2A" w:rsidRPr="00F33564" w:rsidRDefault="006D18FD" w:rsidP="00F80F2A">
            <w:pPr>
              <w:widowControl/>
              <w:autoSpaceDE w:val="0"/>
              <w:autoSpaceDN w:val="0"/>
              <w:adjustRightInd w:val="0"/>
              <w:jc w:val="both"/>
              <w:rPr>
                <w:b/>
                <w:sz w:val="18"/>
                <w:szCs w:val="18"/>
              </w:rPr>
            </w:pPr>
            <w:r w:rsidRPr="00F33564">
              <w:rPr>
                <w:b/>
                <w:sz w:val="18"/>
                <w:szCs w:val="18"/>
              </w:rPr>
              <w:t>72 h</w:t>
            </w:r>
          </w:p>
        </w:tc>
        <w:tc>
          <w:tcPr>
            <w:tcW w:w="1276" w:type="dxa"/>
          </w:tcPr>
          <w:p w14:paraId="7F62D6EF" w14:textId="7CF9C4F7" w:rsidR="00F80F2A" w:rsidRPr="00F33564" w:rsidRDefault="00A31AA7" w:rsidP="00F80F2A">
            <w:pPr>
              <w:widowControl/>
              <w:autoSpaceDE w:val="0"/>
              <w:autoSpaceDN w:val="0"/>
              <w:adjustRightInd w:val="0"/>
              <w:jc w:val="both"/>
              <w:rPr>
                <w:b/>
                <w:sz w:val="18"/>
                <w:szCs w:val="18"/>
              </w:rPr>
            </w:pPr>
            <w:r w:rsidRPr="00F33564">
              <w:rPr>
                <w:b/>
                <w:sz w:val="18"/>
                <w:szCs w:val="18"/>
              </w:rPr>
              <w:t>Growth</w:t>
            </w:r>
          </w:p>
        </w:tc>
        <w:tc>
          <w:tcPr>
            <w:tcW w:w="992" w:type="dxa"/>
          </w:tcPr>
          <w:p w14:paraId="0DDC971F" w14:textId="581A1B97" w:rsidR="00F80F2A" w:rsidRPr="00F33564" w:rsidRDefault="006D18FD" w:rsidP="00F80F2A">
            <w:pPr>
              <w:widowControl/>
              <w:autoSpaceDE w:val="0"/>
              <w:autoSpaceDN w:val="0"/>
              <w:adjustRightInd w:val="0"/>
              <w:jc w:val="both"/>
              <w:rPr>
                <w:sz w:val="18"/>
                <w:szCs w:val="18"/>
              </w:rPr>
            </w:pPr>
            <w:r w:rsidRPr="00F33564">
              <w:rPr>
                <w:b/>
                <w:sz w:val="18"/>
                <w:szCs w:val="18"/>
              </w:rPr>
              <w:t>E</w:t>
            </w:r>
            <w:r w:rsidR="00A741A7" w:rsidRPr="00F33564">
              <w:rPr>
                <w:b/>
                <w:sz w:val="18"/>
                <w:szCs w:val="18"/>
                <w:vertAlign w:val="subscript"/>
              </w:rPr>
              <w:t>r</w:t>
            </w:r>
            <w:r w:rsidRPr="00F33564">
              <w:rPr>
                <w:b/>
                <w:sz w:val="18"/>
                <w:szCs w:val="18"/>
              </w:rPr>
              <w:t>C</w:t>
            </w:r>
            <w:r w:rsidRPr="00F33564">
              <w:rPr>
                <w:b/>
                <w:sz w:val="18"/>
                <w:szCs w:val="18"/>
                <w:vertAlign w:val="subscript"/>
              </w:rPr>
              <w:t>10</w:t>
            </w:r>
          </w:p>
        </w:tc>
        <w:tc>
          <w:tcPr>
            <w:tcW w:w="1134" w:type="dxa"/>
          </w:tcPr>
          <w:p w14:paraId="629E4352" w14:textId="3093A9F8" w:rsidR="00F80F2A" w:rsidRPr="00F33564" w:rsidRDefault="006D18FD" w:rsidP="00F80F2A">
            <w:pPr>
              <w:widowControl/>
              <w:autoSpaceDE w:val="0"/>
              <w:autoSpaceDN w:val="0"/>
              <w:adjustRightInd w:val="0"/>
              <w:jc w:val="both"/>
              <w:rPr>
                <w:sz w:val="18"/>
                <w:szCs w:val="18"/>
              </w:rPr>
            </w:pPr>
            <w:r w:rsidRPr="00F33564">
              <w:rPr>
                <w:b/>
                <w:sz w:val="18"/>
                <w:szCs w:val="18"/>
              </w:rPr>
              <w:t>1.2 µg/L</w:t>
            </w:r>
          </w:p>
        </w:tc>
        <w:tc>
          <w:tcPr>
            <w:tcW w:w="1559" w:type="dxa"/>
          </w:tcPr>
          <w:p w14:paraId="6C89906E" w14:textId="7B75BA71" w:rsidR="00F80F2A" w:rsidRPr="00F33564" w:rsidRDefault="00A741A7" w:rsidP="00F80F2A">
            <w:pPr>
              <w:widowControl/>
              <w:autoSpaceDE w:val="0"/>
              <w:autoSpaceDN w:val="0"/>
              <w:adjustRightInd w:val="0"/>
              <w:jc w:val="both"/>
              <w:rPr>
                <w:sz w:val="18"/>
                <w:szCs w:val="18"/>
              </w:rPr>
            </w:pPr>
            <w:r w:rsidRPr="00F33564">
              <w:rPr>
                <w:sz w:val="18"/>
                <w:szCs w:val="18"/>
              </w:rPr>
              <w:t>Radiation 6000 – 8000 lux</w:t>
            </w:r>
          </w:p>
        </w:tc>
        <w:tc>
          <w:tcPr>
            <w:tcW w:w="1843" w:type="dxa"/>
          </w:tcPr>
          <w:p w14:paraId="7476BE86" w14:textId="672B44E9" w:rsidR="00F80F2A" w:rsidRPr="00F33564" w:rsidRDefault="00F80F2A" w:rsidP="00F80F2A">
            <w:pPr>
              <w:widowControl/>
              <w:autoSpaceDE w:val="0"/>
              <w:autoSpaceDN w:val="0"/>
              <w:adjustRightInd w:val="0"/>
              <w:jc w:val="both"/>
              <w:rPr>
                <w:sz w:val="18"/>
                <w:szCs w:val="18"/>
              </w:rPr>
            </w:pPr>
            <w:r w:rsidRPr="00F33564">
              <w:rPr>
                <w:rFonts w:cs="Courier New"/>
                <w:b/>
                <w:sz w:val="18"/>
                <w:szCs w:val="18"/>
              </w:rPr>
              <w:t xml:space="preserve">Bisson </w:t>
            </w:r>
            <w:r w:rsidRPr="00F33564">
              <w:rPr>
                <w:rFonts w:cs="Courier New"/>
                <w:b/>
                <w:i/>
                <w:sz w:val="18"/>
                <w:szCs w:val="18"/>
              </w:rPr>
              <w:t>et al.</w:t>
            </w:r>
            <w:r w:rsidRPr="00F33564">
              <w:rPr>
                <w:rFonts w:cs="Courier New"/>
                <w:b/>
                <w:sz w:val="18"/>
                <w:szCs w:val="18"/>
              </w:rPr>
              <w:t>, 2000</w:t>
            </w:r>
          </w:p>
        </w:tc>
      </w:tr>
      <w:tr w:rsidR="00FD5B5A" w14:paraId="3DB77DF5" w14:textId="77777777" w:rsidTr="00F33564">
        <w:tc>
          <w:tcPr>
            <w:tcW w:w="1271" w:type="dxa"/>
          </w:tcPr>
          <w:p w14:paraId="051CA180" w14:textId="2D14A0BB" w:rsidR="00F80F2A" w:rsidRPr="00F33564" w:rsidRDefault="00F80F2A" w:rsidP="00F80F2A">
            <w:pPr>
              <w:widowControl/>
              <w:autoSpaceDE w:val="0"/>
              <w:autoSpaceDN w:val="0"/>
              <w:adjustRightInd w:val="0"/>
              <w:jc w:val="both"/>
              <w:rPr>
                <w:sz w:val="18"/>
                <w:szCs w:val="18"/>
              </w:rPr>
            </w:pPr>
            <w:r w:rsidRPr="00F33564">
              <w:rPr>
                <w:rFonts w:cs="Courier New"/>
                <w:i/>
                <w:sz w:val="18"/>
                <w:szCs w:val="18"/>
              </w:rPr>
              <w:t xml:space="preserve">Anabaena </w:t>
            </w:r>
            <w:proofErr w:type="spellStart"/>
            <w:r w:rsidRPr="00F33564">
              <w:rPr>
                <w:rFonts w:cs="Courier New"/>
                <w:i/>
                <w:sz w:val="18"/>
                <w:szCs w:val="18"/>
              </w:rPr>
              <w:t>flos</w:t>
            </w:r>
            <w:r w:rsidR="00EB51CB" w:rsidRPr="00F33564">
              <w:rPr>
                <w:rFonts w:cs="Courier New"/>
                <w:i/>
                <w:sz w:val="18"/>
                <w:szCs w:val="18"/>
              </w:rPr>
              <w:t>-aqua</w:t>
            </w:r>
            <w:r w:rsidR="004D1AD8" w:rsidRPr="00F33564">
              <w:rPr>
                <w:rFonts w:cs="Courier New"/>
                <w:i/>
                <w:sz w:val="18"/>
                <w:szCs w:val="18"/>
              </w:rPr>
              <w:t>e</w:t>
            </w:r>
            <w:proofErr w:type="spellEnd"/>
          </w:p>
        </w:tc>
        <w:tc>
          <w:tcPr>
            <w:tcW w:w="1134" w:type="dxa"/>
          </w:tcPr>
          <w:p w14:paraId="366C6066" w14:textId="7702D8A4" w:rsidR="00F80F2A" w:rsidRPr="00F33564" w:rsidRDefault="006D18FD" w:rsidP="00F80F2A">
            <w:pPr>
              <w:widowControl/>
              <w:autoSpaceDE w:val="0"/>
              <w:autoSpaceDN w:val="0"/>
              <w:adjustRightInd w:val="0"/>
              <w:jc w:val="both"/>
              <w:rPr>
                <w:sz w:val="18"/>
                <w:szCs w:val="18"/>
              </w:rPr>
            </w:pPr>
            <w:r w:rsidRPr="00F33564">
              <w:rPr>
                <w:sz w:val="18"/>
                <w:szCs w:val="18"/>
              </w:rPr>
              <w:t xml:space="preserve">2 </w:t>
            </w:r>
            <w:proofErr w:type="spellStart"/>
            <w:r w:rsidRPr="00F33564">
              <w:rPr>
                <w:sz w:val="18"/>
                <w:szCs w:val="18"/>
              </w:rPr>
              <w:t>wk</w:t>
            </w:r>
            <w:proofErr w:type="spellEnd"/>
          </w:p>
        </w:tc>
        <w:tc>
          <w:tcPr>
            <w:tcW w:w="1276" w:type="dxa"/>
          </w:tcPr>
          <w:p w14:paraId="76BB0C08" w14:textId="5C6FDBF4" w:rsidR="00F80F2A" w:rsidRPr="00F33564" w:rsidRDefault="00DC0747" w:rsidP="00F80F2A">
            <w:pPr>
              <w:widowControl/>
              <w:autoSpaceDE w:val="0"/>
              <w:autoSpaceDN w:val="0"/>
              <w:adjustRightInd w:val="0"/>
              <w:jc w:val="both"/>
              <w:rPr>
                <w:sz w:val="18"/>
                <w:szCs w:val="18"/>
              </w:rPr>
            </w:pPr>
            <w:r w:rsidRPr="00F33564">
              <w:rPr>
                <w:sz w:val="18"/>
                <w:szCs w:val="18"/>
              </w:rPr>
              <w:t>Biomass rate</w:t>
            </w:r>
          </w:p>
        </w:tc>
        <w:tc>
          <w:tcPr>
            <w:tcW w:w="992" w:type="dxa"/>
          </w:tcPr>
          <w:p w14:paraId="00C98D17" w14:textId="2D17B4EE" w:rsidR="00F80F2A" w:rsidRPr="00F33564" w:rsidRDefault="00D16F8E" w:rsidP="00F44579">
            <w:pPr>
              <w:widowControl/>
              <w:autoSpaceDE w:val="0"/>
              <w:autoSpaceDN w:val="0"/>
              <w:adjustRightInd w:val="0"/>
              <w:jc w:val="both"/>
              <w:rPr>
                <w:sz w:val="18"/>
                <w:szCs w:val="18"/>
              </w:rPr>
            </w:pPr>
            <w:proofErr w:type="spellStart"/>
            <w:r w:rsidRPr="00F33564">
              <w:rPr>
                <w:sz w:val="18"/>
                <w:szCs w:val="18"/>
              </w:rPr>
              <w:t>NOE</w:t>
            </w:r>
            <w:r w:rsidR="00F44579" w:rsidRPr="00F33564">
              <w:rPr>
                <w:sz w:val="18"/>
                <w:szCs w:val="18"/>
                <w:vertAlign w:val="subscript"/>
              </w:rPr>
              <w:t>b</w:t>
            </w:r>
            <w:r w:rsidRPr="00F33564">
              <w:rPr>
                <w:sz w:val="18"/>
                <w:szCs w:val="18"/>
              </w:rPr>
              <w:t>C</w:t>
            </w:r>
            <w:proofErr w:type="spellEnd"/>
          </w:p>
        </w:tc>
        <w:tc>
          <w:tcPr>
            <w:tcW w:w="1134" w:type="dxa"/>
          </w:tcPr>
          <w:p w14:paraId="6932CB09" w14:textId="77777777" w:rsidR="00F80F2A" w:rsidRPr="00F33564" w:rsidRDefault="006D18FD" w:rsidP="00F80F2A">
            <w:pPr>
              <w:widowControl/>
              <w:autoSpaceDE w:val="0"/>
              <w:autoSpaceDN w:val="0"/>
              <w:adjustRightInd w:val="0"/>
              <w:jc w:val="both"/>
              <w:rPr>
                <w:sz w:val="18"/>
                <w:szCs w:val="18"/>
              </w:rPr>
            </w:pPr>
            <w:r w:rsidRPr="00F33564">
              <w:rPr>
                <w:sz w:val="18"/>
                <w:szCs w:val="18"/>
              </w:rPr>
              <w:t>8.3 µg/L</w:t>
            </w:r>
          </w:p>
          <w:p w14:paraId="1ACDB3DA" w14:textId="77777777" w:rsidR="00606BBD" w:rsidRPr="00F33564" w:rsidRDefault="00606BBD" w:rsidP="00F80F2A">
            <w:pPr>
              <w:widowControl/>
              <w:autoSpaceDE w:val="0"/>
              <w:autoSpaceDN w:val="0"/>
              <w:adjustRightInd w:val="0"/>
              <w:jc w:val="both"/>
              <w:rPr>
                <w:sz w:val="18"/>
                <w:szCs w:val="18"/>
              </w:rPr>
            </w:pPr>
          </w:p>
          <w:p w14:paraId="4F365A56" w14:textId="5CA4012B" w:rsidR="00606BBD" w:rsidRPr="00F33564" w:rsidRDefault="00606BBD" w:rsidP="00F80F2A">
            <w:pPr>
              <w:widowControl/>
              <w:autoSpaceDE w:val="0"/>
              <w:autoSpaceDN w:val="0"/>
              <w:adjustRightInd w:val="0"/>
              <w:jc w:val="both"/>
              <w:rPr>
                <w:sz w:val="18"/>
                <w:szCs w:val="18"/>
              </w:rPr>
            </w:pPr>
            <w:r w:rsidRPr="00F33564">
              <w:rPr>
                <w:sz w:val="18"/>
                <w:szCs w:val="18"/>
              </w:rPr>
              <w:t>significant effects at 5 µg/L observed</w:t>
            </w:r>
          </w:p>
        </w:tc>
        <w:tc>
          <w:tcPr>
            <w:tcW w:w="1559" w:type="dxa"/>
          </w:tcPr>
          <w:p w14:paraId="73346ACF" w14:textId="29C26B43" w:rsidR="00F80F2A" w:rsidRPr="00F33564" w:rsidRDefault="00A96F89" w:rsidP="00F80F2A">
            <w:pPr>
              <w:widowControl/>
              <w:autoSpaceDE w:val="0"/>
              <w:autoSpaceDN w:val="0"/>
              <w:adjustRightInd w:val="0"/>
              <w:jc w:val="both"/>
              <w:rPr>
                <w:sz w:val="18"/>
                <w:szCs w:val="18"/>
              </w:rPr>
            </w:pPr>
            <w:r w:rsidRPr="00F33564">
              <w:rPr>
                <w:sz w:val="18"/>
                <w:szCs w:val="18"/>
              </w:rPr>
              <w:t>-</w:t>
            </w:r>
          </w:p>
        </w:tc>
        <w:tc>
          <w:tcPr>
            <w:tcW w:w="1843" w:type="dxa"/>
          </w:tcPr>
          <w:p w14:paraId="3CF27D23" w14:textId="08F945E8" w:rsidR="00F80F2A" w:rsidRPr="00F33564" w:rsidRDefault="004D1AD8" w:rsidP="00F80F2A">
            <w:pPr>
              <w:widowControl/>
              <w:autoSpaceDE w:val="0"/>
              <w:autoSpaceDN w:val="0"/>
              <w:adjustRightInd w:val="0"/>
              <w:jc w:val="both"/>
              <w:rPr>
                <w:sz w:val="18"/>
                <w:szCs w:val="18"/>
              </w:rPr>
            </w:pPr>
            <w:r w:rsidRPr="00F33564">
              <w:rPr>
                <w:rFonts w:cs="Courier New"/>
                <w:sz w:val="18"/>
                <w:szCs w:val="18"/>
              </w:rPr>
              <w:t xml:space="preserve">Bastian &amp; </w:t>
            </w:r>
            <w:proofErr w:type="spellStart"/>
            <w:r w:rsidRPr="00F33564">
              <w:rPr>
                <w:rFonts w:cs="Courier New"/>
                <w:sz w:val="18"/>
                <w:szCs w:val="18"/>
              </w:rPr>
              <w:t>Toetz</w:t>
            </w:r>
            <w:proofErr w:type="spellEnd"/>
            <w:r w:rsidRPr="00F33564">
              <w:rPr>
                <w:rFonts w:cs="Courier New"/>
                <w:sz w:val="18"/>
                <w:szCs w:val="18"/>
              </w:rPr>
              <w:t>, 198</w:t>
            </w:r>
            <w:r w:rsidR="00F80F2A" w:rsidRPr="00F33564">
              <w:rPr>
                <w:rFonts w:cs="Courier New"/>
                <w:sz w:val="18"/>
                <w:szCs w:val="18"/>
              </w:rPr>
              <w:t>2</w:t>
            </w:r>
          </w:p>
        </w:tc>
      </w:tr>
      <w:tr w:rsidR="00EB51CB" w:rsidRPr="00CC694B" w14:paraId="2585318F" w14:textId="77777777" w:rsidTr="00F33564">
        <w:tc>
          <w:tcPr>
            <w:tcW w:w="1271" w:type="dxa"/>
          </w:tcPr>
          <w:p w14:paraId="5638DB07" w14:textId="01CAF5C6" w:rsidR="00EB51CB" w:rsidRPr="00F33564" w:rsidRDefault="00EB51CB" w:rsidP="00F80F2A">
            <w:pPr>
              <w:widowControl/>
              <w:autoSpaceDE w:val="0"/>
              <w:autoSpaceDN w:val="0"/>
              <w:adjustRightInd w:val="0"/>
              <w:jc w:val="both"/>
              <w:rPr>
                <w:rFonts w:cs="Courier New"/>
                <w:i/>
                <w:sz w:val="18"/>
                <w:szCs w:val="18"/>
              </w:rPr>
            </w:pPr>
            <w:proofErr w:type="spellStart"/>
            <w:r w:rsidRPr="00F33564">
              <w:rPr>
                <w:rFonts w:cs="Courier New"/>
                <w:i/>
                <w:sz w:val="18"/>
                <w:szCs w:val="18"/>
              </w:rPr>
              <w:t>Lemna</w:t>
            </w:r>
            <w:proofErr w:type="spellEnd"/>
            <w:r w:rsidRPr="00F33564">
              <w:rPr>
                <w:rFonts w:cs="Courier New"/>
                <w:i/>
                <w:sz w:val="18"/>
                <w:szCs w:val="18"/>
              </w:rPr>
              <w:t xml:space="preserve"> </w:t>
            </w:r>
            <w:proofErr w:type="spellStart"/>
            <w:r w:rsidRPr="00F33564">
              <w:rPr>
                <w:rFonts w:cs="Courier New"/>
                <w:i/>
                <w:sz w:val="18"/>
                <w:szCs w:val="18"/>
              </w:rPr>
              <w:t>gibba</w:t>
            </w:r>
            <w:proofErr w:type="spellEnd"/>
          </w:p>
        </w:tc>
        <w:tc>
          <w:tcPr>
            <w:tcW w:w="1134" w:type="dxa"/>
          </w:tcPr>
          <w:p w14:paraId="5E377E99" w14:textId="72030B5D" w:rsidR="00EB51CB" w:rsidRPr="00F33564" w:rsidRDefault="00852A3D" w:rsidP="00F80F2A">
            <w:pPr>
              <w:widowControl/>
              <w:autoSpaceDE w:val="0"/>
              <w:autoSpaceDN w:val="0"/>
              <w:adjustRightInd w:val="0"/>
              <w:jc w:val="both"/>
              <w:rPr>
                <w:sz w:val="18"/>
                <w:szCs w:val="18"/>
              </w:rPr>
            </w:pPr>
            <w:r w:rsidRPr="00F33564">
              <w:rPr>
                <w:sz w:val="18"/>
                <w:szCs w:val="18"/>
              </w:rPr>
              <w:t>8 days</w:t>
            </w:r>
          </w:p>
        </w:tc>
        <w:tc>
          <w:tcPr>
            <w:tcW w:w="1276" w:type="dxa"/>
          </w:tcPr>
          <w:p w14:paraId="1200925F" w14:textId="657EA5C7" w:rsidR="00EB51CB" w:rsidRPr="00F33564" w:rsidRDefault="00501BA1" w:rsidP="00501BA1">
            <w:pPr>
              <w:widowControl/>
              <w:autoSpaceDE w:val="0"/>
              <w:autoSpaceDN w:val="0"/>
              <w:adjustRightInd w:val="0"/>
              <w:jc w:val="both"/>
              <w:rPr>
                <w:sz w:val="18"/>
                <w:szCs w:val="18"/>
              </w:rPr>
            </w:pPr>
            <w:r w:rsidRPr="00F33564">
              <w:rPr>
                <w:sz w:val="18"/>
                <w:szCs w:val="18"/>
              </w:rPr>
              <w:t>Growth</w:t>
            </w:r>
          </w:p>
        </w:tc>
        <w:tc>
          <w:tcPr>
            <w:tcW w:w="992" w:type="dxa"/>
          </w:tcPr>
          <w:p w14:paraId="3AFBF15F" w14:textId="46007490" w:rsidR="00EB51CB" w:rsidRPr="00F33564" w:rsidRDefault="00BD0652" w:rsidP="00F80F2A">
            <w:pPr>
              <w:widowControl/>
              <w:autoSpaceDE w:val="0"/>
              <w:autoSpaceDN w:val="0"/>
              <w:adjustRightInd w:val="0"/>
              <w:jc w:val="both"/>
              <w:rPr>
                <w:sz w:val="18"/>
                <w:szCs w:val="18"/>
              </w:rPr>
            </w:pPr>
            <w:r w:rsidRPr="00F33564">
              <w:rPr>
                <w:sz w:val="18"/>
                <w:szCs w:val="18"/>
              </w:rPr>
              <w:t xml:space="preserve">Effects </w:t>
            </w:r>
          </w:p>
        </w:tc>
        <w:tc>
          <w:tcPr>
            <w:tcW w:w="1134" w:type="dxa"/>
          </w:tcPr>
          <w:p w14:paraId="1D378D9A" w14:textId="1A8492FA" w:rsidR="00EB51CB" w:rsidRPr="00F33564" w:rsidRDefault="00BD0652" w:rsidP="00EB51CB">
            <w:pPr>
              <w:widowControl/>
              <w:autoSpaceDE w:val="0"/>
              <w:autoSpaceDN w:val="0"/>
              <w:adjustRightInd w:val="0"/>
              <w:jc w:val="both"/>
              <w:rPr>
                <w:sz w:val="18"/>
                <w:szCs w:val="18"/>
              </w:rPr>
            </w:pPr>
            <w:r w:rsidRPr="00F33564">
              <w:rPr>
                <w:sz w:val="18"/>
                <w:szCs w:val="18"/>
              </w:rPr>
              <w:t>&gt;</w:t>
            </w:r>
            <w:r w:rsidR="005E3464" w:rsidRPr="00F33564">
              <w:rPr>
                <w:sz w:val="18"/>
                <w:szCs w:val="18"/>
              </w:rPr>
              <w:t xml:space="preserve">&gt; aqueous </w:t>
            </w:r>
            <w:r w:rsidR="00EB51CB" w:rsidRPr="00F33564">
              <w:rPr>
                <w:sz w:val="18"/>
                <w:szCs w:val="18"/>
              </w:rPr>
              <w:t>solubility</w:t>
            </w:r>
          </w:p>
          <w:p w14:paraId="6E679F74" w14:textId="77401F70" w:rsidR="00852A3D" w:rsidRPr="00F33564" w:rsidRDefault="00852A3D" w:rsidP="00EB51CB">
            <w:pPr>
              <w:widowControl/>
              <w:autoSpaceDE w:val="0"/>
              <w:autoSpaceDN w:val="0"/>
              <w:adjustRightInd w:val="0"/>
              <w:jc w:val="both"/>
              <w:rPr>
                <w:sz w:val="18"/>
                <w:szCs w:val="18"/>
              </w:rPr>
            </w:pPr>
            <w:r w:rsidRPr="00F33564">
              <w:rPr>
                <w:sz w:val="18"/>
                <w:szCs w:val="18"/>
              </w:rPr>
              <w:t>(2 mg/L)</w:t>
            </w:r>
          </w:p>
        </w:tc>
        <w:tc>
          <w:tcPr>
            <w:tcW w:w="1559" w:type="dxa"/>
          </w:tcPr>
          <w:p w14:paraId="185D0C18" w14:textId="6B6633C8" w:rsidR="00EB51CB" w:rsidRPr="00F33564" w:rsidRDefault="004F5020" w:rsidP="00F80F2A">
            <w:pPr>
              <w:widowControl/>
              <w:autoSpaceDE w:val="0"/>
              <w:autoSpaceDN w:val="0"/>
              <w:adjustRightInd w:val="0"/>
              <w:jc w:val="both"/>
              <w:rPr>
                <w:sz w:val="18"/>
                <w:szCs w:val="18"/>
              </w:rPr>
            </w:pPr>
            <w:r w:rsidRPr="00F33564">
              <w:rPr>
                <w:rFonts w:ascii="Courier New" w:hAnsi="Courier New" w:cs="Courier New"/>
                <w:sz w:val="18"/>
                <w:szCs w:val="18"/>
              </w:rPr>
              <w:t>Simulated</w:t>
            </w:r>
            <w:r w:rsidRPr="00F33564">
              <w:rPr>
                <w:sz w:val="18"/>
                <w:szCs w:val="18"/>
              </w:rPr>
              <w:t xml:space="preserve"> solar radiation</w:t>
            </w:r>
          </w:p>
        </w:tc>
        <w:tc>
          <w:tcPr>
            <w:tcW w:w="1843" w:type="dxa"/>
          </w:tcPr>
          <w:p w14:paraId="44A5BE60" w14:textId="04D00AF3" w:rsidR="00EB51CB" w:rsidRPr="00F33564" w:rsidRDefault="00EB51CB" w:rsidP="00F80F2A">
            <w:pPr>
              <w:widowControl/>
              <w:autoSpaceDE w:val="0"/>
              <w:autoSpaceDN w:val="0"/>
              <w:adjustRightInd w:val="0"/>
              <w:jc w:val="both"/>
              <w:rPr>
                <w:rFonts w:cs="Courier New"/>
                <w:sz w:val="18"/>
                <w:szCs w:val="18"/>
                <w:lang w:val="fr-FR"/>
              </w:rPr>
            </w:pPr>
            <w:r w:rsidRPr="00F33564">
              <w:rPr>
                <w:rFonts w:cs="Courier New"/>
                <w:sz w:val="18"/>
                <w:szCs w:val="18"/>
                <w:lang w:val="fr-FR"/>
              </w:rPr>
              <w:t xml:space="preserve">Huang </w:t>
            </w:r>
            <w:r w:rsidRPr="00F33564">
              <w:rPr>
                <w:rFonts w:cs="Courier New"/>
                <w:i/>
                <w:sz w:val="18"/>
                <w:szCs w:val="18"/>
                <w:lang w:val="fr-FR"/>
              </w:rPr>
              <w:t xml:space="preserve">et </w:t>
            </w:r>
            <w:proofErr w:type="gramStart"/>
            <w:r w:rsidRPr="00F33564">
              <w:rPr>
                <w:rFonts w:cs="Courier New"/>
                <w:i/>
                <w:sz w:val="18"/>
                <w:szCs w:val="18"/>
                <w:lang w:val="fr-FR"/>
              </w:rPr>
              <w:t>al.,</w:t>
            </w:r>
            <w:proofErr w:type="gramEnd"/>
            <w:r w:rsidRPr="00F33564">
              <w:rPr>
                <w:rFonts w:cs="Courier New"/>
                <w:sz w:val="18"/>
                <w:szCs w:val="18"/>
                <w:lang w:val="fr-FR"/>
              </w:rPr>
              <w:t xml:space="preserve"> 1997a</w:t>
            </w:r>
            <w:r w:rsidR="005E3464" w:rsidRPr="00F33564">
              <w:rPr>
                <w:rFonts w:cs="Courier New"/>
                <w:sz w:val="18"/>
                <w:szCs w:val="18"/>
                <w:lang w:val="fr-FR"/>
              </w:rPr>
              <w:t>+</w:t>
            </w:r>
            <w:r w:rsidRPr="00F33564">
              <w:rPr>
                <w:rFonts w:cs="Courier New"/>
                <w:sz w:val="18"/>
                <w:szCs w:val="18"/>
                <w:lang w:val="fr-FR"/>
              </w:rPr>
              <w:t>b</w:t>
            </w:r>
          </w:p>
        </w:tc>
      </w:tr>
      <w:tr w:rsidR="00EB51CB" w:rsidRPr="00CC694B" w14:paraId="374A287F" w14:textId="77777777" w:rsidTr="00F33564">
        <w:tc>
          <w:tcPr>
            <w:tcW w:w="1271" w:type="dxa"/>
          </w:tcPr>
          <w:p w14:paraId="4C4C4C49" w14:textId="33005BAA" w:rsidR="00EB51CB" w:rsidRPr="00F33564" w:rsidRDefault="00EB51CB" w:rsidP="00F80F2A">
            <w:pPr>
              <w:widowControl/>
              <w:autoSpaceDE w:val="0"/>
              <w:autoSpaceDN w:val="0"/>
              <w:adjustRightInd w:val="0"/>
              <w:jc w:val="both"/>
              <w:rPr>
                <w:rFonts w:cs="Courier New"/>
                <w:i/>
                <w:sz w:val="18"/>
                <w:szCs w:val="18"/>
              </w:rPr>
            </w:pPr>
            <w:r w:rsidRPr="00F33564">
              <w:rPr>
                <w:rFonts w:cs="Courier New"/>
                <w:i/>
                <w:sz w:val="18"/>
                <w:szCs w:val="18"/>
              </w:rPr>
              <w:t xml:space="preserve">Vibrio </w:t>
            </w:r>
            <w:proofErr w:type="spellStart"/>
            <w:r w:rsidRPr="00F33564">
              <w:rPr>
                <w:rFonts w:cs="Courier New"/>
                <w:i/>
                <w:sz w:val="18"/>
                <w:szCs w:val="18"/>
              </w:rPr>
              <w:t>fischeri</w:t>
            </w:r>
            <w:proofErr w:type="spellEnd"/>
          </w:p>
        </w:tc>
        <w:tc>
          <w:tcPr>
            <w:tcW w:w="1134" w:type="dxa"/>
          </w:tcPr>
          <w:p w14:paraId="2617690F" w14:textId="006A4999" w:rsidR="00EB51CB" w:rsidRPr="00F33564" w:rsidRDefault="001826C1" w:rsidP="00F80F2A">
            <w:pPr>
              <w:widowControl/>
              <w:autoSpaceDE w:val="0"/>
              <w:autoSpaceDN w:val="0"/>
              <w:adjustRightInd w:val="0"/>
              <w:jc w:val="both"/>
              <w:rPr>
                <w:sz w:val="18"/>
                <w:szCs w:val="18"/>
              </w:rPr>
            </w:pPr>
            <w:r w:rsidRPr="00F33564">
              <w:rPr>
                <w:sz w:val="18"/>
                <w:szCs w:val="18"/>
              </w:rPr>
              <w:t xml:space="preserve">8 h pre-incubation + </w:t>
            </w:r>
            <w:r w:rsidR="00FC3424" w:rsidRPr="00F33564">
              <w:rPr>
                <w:sz w:val="18"/>
                <w:szCs w:val="18"/>
              </w:rPr>
              <w:t>18 h</w:t>
            </w:r>
            <w:r w:rsidRPr="00F33564">
              <w:rPr>
                <w:sz w:val="18"/>
                <w:szCs w:val="18"/>
              </w:rPr>
              <w:t xml:space="preserve"> growth</w:t>
            </w:r>
          </w:p>
        </w:tc>
        <w:tc>
          <w:tcPr>
            <w:tcW w:w="1276" w:type="dxa"/>
          </w:tcPr>
          <w:p w14:paraId="6B262470" w14:textId="695330C0" w:rsidR="00EB51CB" w:rsidRPr="00F33564" w:rsidRDefault="00934545" w:rsidP="00934545">
            <w:pPr>
              <w:widowControl/>
              <w:autoSpaceDE w:val="0"/>
              <w:autoSpaceDN w:val="0"/>
              <w:adjustRightInd w:val="0"/>
              <w:jc w:val="both"/>
              <w:rPr>
                <w:sz w:val="18"/>
                <w:szCs w:val="18"/>
              </w:rPr>
            </w:pPr>
            <w:proofErr w:type="spellStart"/>
            <w:r w:rsidRPr="00F33564">
              <w:rPr>
                <w:sz w:val="18"/>
                <w:szCs w:val="18"/>
              </w:rPr>
              <w:t>Lumi</w:t>
            </w:r>
            <w:r w:rsidR="00564262" w:rsidRPr="00F33564">
              <w:rPr>
                <w:sz w:val="18"/>
                <w:szCs w:val="18"/>
              </w:rPr>
              <w:t>-</w:t>
            </w:r>
            <w:r w:rsidRPr="00F33564">
              <w:rPr>
                <w:sz w:val="18"/>
                <w:szCs w:val="18"/>
              </w:rPr>
              <w:t>nescence</w:t>
            </w:r>
            <w:proofErr w:type="spellEnd"/>
            <w:r w:rsidR="00916EC6" w:rsidRPr="00F33564">
              <w:rPr>
                <w:sz w:val="18"/>
                <w:szCs w:val="18"/>
              </w:rPr>
              <w:t>, Growth</w:t>
            </w:r>
          </w:p>
        </w:tc>
        <w:tc>
          <w:tcPr>
            <w:tcW w:w="992" w:type="dxa"/>
          </w:tcPr>
          <w:p w14:paraId="3150BB2C" w14:textId="66DB0173" w:rsidR="00EB51CB" w:rsidRPr="00F33564" w:rsidRDefault="00FC3424" w:rsidP="00F80F2A">
            <w:pPr>
              <w:widowControl/>
              <w:autoSpaceDE w:val="0"/>
              <w:autoSpaceDN w:val="0"/>
              <w:adjustRightInd w:val="0"/>
              <w:jc w:val="both"/>
              <w:rPr>
                <w:sz w:val="18"/>
                <w:szCs w:val="18"/>
              </w:rPr>
            </w:pPr>
            <w:r w:rsidRPr="00F33564">
              <w:rPr>
                <w:sz w:val="18"/>
                <w:szCs w:val="18"/>
              </w:rPr>
              <w:t>EC</w:t>
            </w:r>
            <w:r w:rsidRPr="00F33564">
              <w:rPr>
                <w:sz w:val="18"/>
                <w:szCs w:val="18"/>
                <w:vertAlign w:val="subscript"/>
              </w:rPr>
              <w:t>50</w:t>
            </w:r>
          </w:p>
        </w:tc>
        <w:tc>
          <w:tcPr>
            <w:tcW w:w="1134" w:type="dxa"/>
          </w:tcPr>
          <w:p w14:paraId="012962C7" w14:textId="4318C6C1" w:rsidR="00EB51CB" w:rsidRPr="00F33564" w:rsidRDefault="00EB51CB" w:rsidP="00EB51CB">
            <w:pPr>
              <w:widowControl/>
              <w:autoSpaceDE w:val="0"/>
              <w:autoSpaceDN w:val="0"/>
              <w:adjustRightInd w:val="0"/>
              <w:jc w:val="both"/>
              <w:rPr>
                <w:sz w:val="18"/>
                <w:szCs w:val="18"/>
              </w:rPr>
            </w:pPr>
            <w:r w:rsidRPr="00F33564">
              <w:rPr>
                <w:sz w:val="18"/>
                <w:szCs w:val="18"/>
              </w:rPr>
              <w:t>&gt; aqueous solubility</w:t>
            </w:r>
          </w:p>
        </w:tc>
        <w:tc>
          <w:tcPr>
            <w:tcW w:w="1559" w:type="dxa"/>
          </w:tcPr>
          <w:p w14:paraId="2BBF0CF7" w14:textId="7597DA94" w:rsidR="00EB51CB" w:rsidRPr="00F33564" w:rsidRDefault="00FC3424" w:rsidP="00F80F2A">
            <w:pPr>
              <w:widowControl/>
              <w:autoSpaceDE w:val="0"/>
              <w:autoSpaceDN w:val="0"/>
              <w:adjustRightInd w:val="0"/>
              <w:jc w:val="both"/>
              <w:rPr>
                <w:sz w:val="18"/>
                <w:szCs w:val="18"/>
              </w:rPr>
            </w:pPr>
            <w:r w:rsidRPr="00F33564">
              <w:rPr>
                <w:sz w:val="18"/>
                <w:szCs w:val="18"/>
              </w:rPr>
              <w:t>Both dark and simulated solar radiation</w:t>
            </w:r>
          </w:p>
        </w:tc>
        <w:tc>
          <w:tcPr>
            <w:tcW w:w="1843" w:type="dxa"/>
          </w:tcPr>
          <w:p w14:paraId="6031BE51" w14:textId="77777777" w:rsidR="00EB51CB" w:rsidRPr="00F33564" w:rsidRDefault="00EB51CB" w:rsidP="00F80F2A">
            <w:pPr>
              <w:widowControl/>
              <w:autoSpaceDE w:val="0"/>
              <w:autoSpaceDN w:val="0"/>
              <w:adjustRightInd w:val="0"/>
              <w:jc w:val="both"/>
              <w:rPr>
                <w:rFonts w:cs="Courier New"/>
                <w:sz w:val="18"/>
                <w:szCs w:val="18"/>
                <w:lang w:val="fr-FR"/>
              </w:rPr>
            </w:pPr>
            <w:r w:rsidRPr="00F33564">
              <w:rPr>
                <w:rFonts w:cs="Courier New"/>
                <w:sz w:val="18"/>
                <w:szCs w:val="18"/>
                <w:lang w:val="fr-FR"/>
              </w:rPr>
              <w:t>El-</w:t>
            </w:r>
            <w:proofErr w:type="spellStart"/>
            <w:r w:rsidRPr="00F33564">
              <w:rPr>
                <w:rFonts w:cs="Courier New"/>
                <w:sz w:val="18"/>
                <w:szCs w:val="18"/>
                <w:lang w:val="fr-FR"/>
              </w:rPr>
              <w:t>Alawi</w:t>
            </w:r>
            <w:proofErr w:type="spellEnd"/>
            <w:r w:rsidRPr="00F33564">
              <w:rPr>
                <w:rFonts w:cs="Courier New"/>
                <w:sz w:val="18"/>
                <w:szCs w:val="18"/>
                <w:lang w:val="fr-FR"/>
              </w:rPr>
              <w:t xml:space="preserve"> et </w:t>
            </w:r>
            <w:proofErr w:type="gramStart"/>
            <w:r w:rsidRPr="00F33564">
              <w:rPr>
                <w:rFonts w:cs="Courier New"/>
                <w:sz w:val="18"/>
                <w:szCs w:val="18"/>
                <w:lang w:val="fr-FR"/>
              </w:rPr>
              <w:t>al.,</w:t>
            </w:r>
            <w:proofErr w:type="gramEnd"/>
            <w:r w:rsidRPr="00F33564">
              <w:rPr>
                <w:rFonts w:cs="Courier New"/>
                <w:sz w:val="18"/>
                <w:szCs w:val="18"/>
                <w:lang w:val="fr-FR"/>
              </w:rPr>
              <w:t xml:space="preserve"> 2002</w:t>
            </w:r>
          </w:p>
          <w:p w14:paraId="5B611AB3" w14:textId="4681D4D0" w:rsidR="00EB51CB" w:rsidRPr="00F33564" w:rsidRDefault="00EB51CB" w:rsidP="00EB51CB">
            <w:pPr>
              <w:widowControl/>
              <w:autoSpaceDE w:val="0"/>
              <w:autoSpaceDN w:val="0"/>
              <w:adjustRightInd w:val="0"/>
              <w:jc w:val="both"/>
              <w:rPr>
                <w:rFonts w:cs="Courier New"/>
                <w:sz w:val="18"/>
                <w:szCs w:val="18"/>
                <w:lang w:val="fr-FR"/>
              </w:rPr>
            </w:pPr>
            <w:r w:rsidRPr="00F33564">
              <w:rPr>
                <w:rFonts w:cs="Courier New"/>
                <w:sz w:val="18"/>
                <w:szCs w:val="18"/>
                <w:lang w:val="fr-FR"/>
              </w:rPr>
              <w:t>Johnson &amp; Long, 1998</w:t>
            </w:r>
          </w:p>
        </w:tc>
      </w:tr>
    </w:tbl>
    <w:p w14:paraId="18C0F593" w14:textId="6F5F2428" w:rsidR="008827A9" w:rsidRPr="002957E7" w:rsidRDefault="008827A9" w:rsidP="00D10FD9">
      <w:pPr>
        <w:widowControl/>
        <w:autoSpaceDE w:val="0"/>
        <w:autoSpaceDN w:val="0"/>
        <w:adjustRightInd w:val="0"/>
        <w:jc w:val="both"/>
        <w:rPr>
          <w:lang w:val="fr-FR"/>
        </w:rPr>
      </w:pPr>
    </w:p>
    <w:p w14:paraId="08C2AC10" w14:textId="77777777" w:rsidR="00F80F2A" w:rsidRPr="002957E7" w:rsidRDefault="00F80F2A" w:rsidP="00D10FD9">
      <w:pPr>
        <w:widowControl/>
        <w:autoSpaceDE w:val="0"/>
        <w:autoSpaceDN w:val="0"/>
        <w:adjustRightInd w:val="0"/>
        <w:jc w:val="both"/>
        <w:rPr>
          <w:lang w:val="fr-FR"/>
        </w:rPr>
      </w:pPr>
    </w:p>
    <w:p w14:paraId="2C7D6E72" w14:textId="44521FA1" w:rsidR="00BD0639" w:rsidRPr="00D10FD9" w:rsidRDefault="006638E6" w:rsidP="00D10FD9">
      <w:pPr>
        <w:widowControl/>
        <w:autoSpaceDE w:val="0"/>
        <w:autoSpaceDN w:val="0"/>
        <w:adjustRightInd w:val="0"/>
        <w:jc w:val="both"/>
      </w:pPr>
      <w:r>
        <w:t xml:space="preserve">The lowest </w:t>
      </w:r>
      <w:r w:rsidR="002C1DE7">
        <w:t xml:space="preserve">chronic </w:t>
      </w:r>
      <w:r>
        <w:t xml:space="preserve">effect concentration of </w:t>
      </w:r>
      <w:proofErr w:type="spellStart"/>
      <w:r>
        <w:t>BaA</w:t>
      </w:r>
      <w:proofErr w:type="spellEnd"/>
      <w:r>
        <w:t xml:space="preserve"> was </w:t>
      </w:r>
      <w:r w:rsidR="004D5098">
        <w:t xml:space="preserve">estimated on growth for </w:t>
      </w:r>
      <w:proofErr w:type="spellStart"/>
      <w:r w:rsidR="004D5098" w:rsidRPr="002913C6">
        <w:rPr>
          <w:i/>
        </w:rPr>
        <w:t>Pseudoki</w:t>
      </w:r>
      <w:r w:rsidR="00D66342">
        <w:rPr>
          <w:i/>
        </w:rPr>
        <w:t>r</w:t>
      </w:r>
      <w:r w:rsidR="004D5098" w:rsidRPr="002913C6">
        <w:rPr>
          <w:i/>
        </w:rPr>
        <w:t>ch</w:t>
      </w:r>
      <w:r w:rsidR="00D66342">
        <w:rPr>
          <w:i/>
        </w:rPr>
        <w:t>n</w:t>
      </w:r>
      <w:r w:rsidR="004D5098" w:rsidRPr="002913C6">
        <w:rPr>
          <w:i/>
        </w:rPr>
        <w:t>eriella</w:t>
      </w:r>
      <w:proofErr w:type="spellEnd"/>
      <w:r w:rsidR="004D5098" w:rsidRPr="002913C6">
        <w:rPr>
          <w:i/>
        </w:rPr>
        <w:t xml:space="preserve"> </w:t>
      </w:r>
      <w:proofErr w:type="spellStart"/>
      <w:r w:rsidR="004D5098" w:rsidRPr="002913C6">
        <w:rPr>
          <w:i/>
        </w:rPr>
        <w:t>subcapitata</w:t>
      </w:r>
      <w:proofErr w:type="spellEnd"/>
      <w:r w:rsidR="004D5098">
        <w:rPr>
          <w:i/>
        </w:rPr>
        <w:t xml:space="preserve"> </w:t>
      </w:r>
      <w:r w:rsidR="004D5098">
        <w:t xml:space="preserve">with </w:t>
      </w:r>
      <w:r w:rsidR="00BD0639">
        <w:t>a</w:t>
      </w:r>
      <w:r w:rsidR="00DA042E">
        <w:t>n</w:t>
      </w:r>
      <w:r w:rsidR="00BD0639" w:rsidRPr="00D10FD9">
        <w:t xml:space="preserve"> EC10 value </w:t>
      </w:r>
      <w:r w:rsidR="00BD0639">
        <w:t>of 1.2 µg/L</w:t>
      </w:r>
      <w:r w:rsidR="004D5098">
        <w:t xml:space="preserve"> after 72h (Bisson </w:t>
      </w:r>
      <w:r w:rsidR="004D5098" w:rsidRPr="0012411C">
        <w:rPr>
          <w:i/>
        </w:rPr>
        <w:t>et al.</w:t>
      </w:r>
      <w:r w:rsidR="004D5098">
        <w:t xml:space="preserve">, 2000). </w:t>
      </w:r>
      <w:r w:rsidR="002C1DE7">
        <w:t xml:space="preserve">The study was chosen as </w:t>
      </w:r>
      <w:r w:rsidR="00FC11C5">
        <w:t xml:space="preserve">the </w:t>
      </w:r>
      <w:r w:rsidR="002C1DE7">
        <w:t>study</w:t>
      </w:r>
      <w:r w:rsidR="00FC11C5">
        <w:t xml:space="preserve"> having the highest weight</w:t>
      </w:r>
      <w:r w:rsidR="002C1DE7">
        <w:t xml:space="preserve"> (ECHA, 2009).</w:t>
      </w:r>
      <w:r w:rsidR="00142E2E">
        <w:t xml:space="preserve"> </w:t>
      </w:r>
      <w:r w:rsidR="0032665B">
        <w:t xml:space="preserve">It should be noted that at a concentration of </w:t>
      </w:r>
      <w:proofErr w:type="spellStart"/>
      <w:r w:rsidR="0032665B">
        <w:t>BaA</w:t>
      </w:r>
      <w:proofErr w:type="spellEnd"/>
      <w:r w:rsidR="0032665B">
        <w:t xml:space="preserve"> of 1.8 </w:t>
      </w:r>
      <w:r w:rsidR="00C849CD">
        <w:t>µ</w:t>
      </w:r>
      <w:r w:rsidR="0032665B">
        <w:t xml:space="preserve">g/L the fish </w:t>
      </w:r>
      <w:proofErr w:type="spellStart"/>
      <w:r w:rsidR="0032665B" w:rsidRPr="009B2343">
        <w:rPr>
          <w:rFonts w:cs="Courier New"/>
          <w:i/>
        </w:rPr>
        <w:t>Pimephales</w:t>
      </w:r>
      <w:proofErr w:type="spellEnd"/>
      <w:r w:rsidR="0032665B" w:rsidRPr="009B2343">
        <w:rPr>
          <w:rFonts w:cs="Courier New"/>
          <w:i/>
        </w:rPr>
        <w:t xml:space="preserve"> </w:t>
      </w:r>
      <w:proofErr w:type="spellStart"/>
      <w:r w:rsidR="0032665B" w:rsidRPr="009B2343">
        <w:rPr>
          <w:rFonts w:cs="Courier New"/>
          <w:i/>
        </w:rPr>
        <w:t>promelas</w:t>
      </w:r>
      <w:proofErr w:type="spellEnd"/>
      <w:r w:rsidR="0032665B">
        <w:rPr>
          <w:rFonts w:cs="Courier New"/>
          <w:i/>
        </w:rPr>
        <w:t xml:space="preserve"> </w:t>
      </w:r>
      <w:r w:rsidR="0032665B" w:rsidRPr="00D10FD9">
        <w:rPr>
          <w:rFonts w:cs="Courier New"/>
        </w:rPr>
        <w:t>showed a mortality of 50% after 89h. Therefore fish might be the most sensitive species within the test data</w:t>
      </w:r>
      <w:r w:rsidR="0032665B">
        <w:rPr>
          <w:rFonts w:cs="Courier New"/>
          <w:i/>
        </w:rPr>
        <w:t xml:space="preserve">. </w:t>
      </w:r>
      <w:r w:rsidR="0032665B">
        <w:rPr>
          <w:rFonts w:cs="Courier New"/>
        </w:rPr>
        <w:t>However, the test is not done under standardized condition</w:t>
      </w:r>
      <w:r w:rsidR="00FC11C5">
        <w:rPr>
          <w:rFonts w:cs="Courier New"/>
        </w:rPr>
        <w:t xml:space="preserve"> and no long-term toxicity to fish is available for </w:t>
      </w:r>
      <w:proofErr w:type="spellStart"/>
      <w:r w:rsidR="00FC11C5">
        <w:rPr>
          <w:rFonts w:cs="Courier New"/>
        </w:rPr>
        <w:t>BaA</w:t>
      </w:r>
      <w:proofErr w:type="spellEnd"/>
      <w:r w:rsidR="0032665B">
        <w:rPr>
          <w:rFonts w:cs="Courier New"/>
        </w:rPr>
        <w:t xml:space="preserve">. </w:t>
      </w:r>
    </w:p>
    <w:p w14:paraId="18DCA0C6" w14:textId="77777777" w:rsidR="00BD0639" w:rsidRPr="0007332F" w:rsidRDefault="00BD0639" w:rsidP="00B12C39">
      <w:pPr>
        <w:pStyle w:val="BodyText"/>
        <w:rPr>
          <w:rFonts w:cs="Arial"/>
          <w:b/>
          <w:color w:val="0046AD"/>
          <w:sz w:val="24"/>
          <w:szCs w:val="22"/>
        </w:rPr>
      </w:pPr>
    </w:p>
    <w:p w14:paraId="115C5C97" w14:textId="77777777" w:rsidR="00B12C39" w:rsidRDefault="00B12C39" w:rsidP="00E45915">
      <w:pPr>
        <w:pStyle w:val="Heading1"/>
      </w:pPr>
      <w:r>
        <w:br w:type="page"/>
      </w:r>
      <w:bookmarkStart w:id="610" w:name="_Toc341888610"/>
      <w:bookmarkStart w:id="611" w:name="_Toc342400470"/>
      <w:bookmarkStart w:id="612" w:name="_Toc354499642"/>
      <w:bookmarkStart w:id="613" w:name="_Toc357083717"/>
      <w:bookmarkStart w:id="614" w:name="_Toc357184266"/>
      <w:bookmarkStart w:id="615" w:name="_Toc357184502"/>
      <w:bookmarkStart w:id="616" w:name="_Toc357185304"/>
      <w:bookmarkStart w:id="617" w:name="_Toc357186152"/>
      <w:bookmarkStart w:id="618" w:name="_Toc357186301"/>
      <w:bookmarkStart w:id="619" w:name="_Toc357437587"/>
      <w:bookmarkStart w:id="620" w:name="_Toc357590860"/>
      <w:bookmarkStart w:id="621" w:name="_Toc357692892"/>
      <w:bookmarkStart w:id="622" w:name="_Toc365649718"/>
      <w:bookmarkStart w:id="623" w:name="_Toc365649867"/>
      <w:bookmarkStart w:id="624" w:name="_Toc366489919"/>
      <w:bookmarkStart w:id="625" w:name="_Toc418498623"/>
      <w:bookmarkStart w:id="626" w:name="_Toc418506078"/>
      <w:bookmarkStart w:id="627" w:name="_Toc491810755"/>
      <w:r>
        <w:lastRenderedPageBreak/>
        <w:t>Conclusions on the SVHC Properties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15C5C98" w14:textId="77777777" w:rsidR="00B12C39" w:rsidRPr="00E45915" w:rsidRDefault="00E45915" w:rsidP="00E45915">
      <w:pPr>
        <w:pStyle w:val="Heading2"/>
      </w:pPr>
      <w:bookmarkStart w:id="628" w:name="_Toc354499643"/>
      <w:bookmarkStart w:id="629" w:name="_Toc357083718"/>
      <w:bookmarkStart w:id="630" w:name="_Toc357184267"/>
      <w:bookmarkStart w:id="631" w:name="_Toc357184503"/>
      <w:bookmarkStart w:id="632" w:name="_Toc357185305"/>
      <w:bookmarkStart w:id="633" w:name="_Toc357186153"/>
      <w:bookmarkStart w:id="634" w:name="_Toc357186302"/>
      <w:bookmarkStart w:id="635" w:name="_Toc357437588"/>
      <w:bookmarkStart w:id="636" w:name="_Toc357590861"/>
      <w:bookmarkStart w:id="637" w:name="_Toc357692893"/>
      <w:bookmarkStart w:id="638" w:name="_Toc365649719"/>
      <w:bookmarkStart w:id="639" w:name="_Toc365649868"/>
      <w:bookmarkStart w:id="640" w:name="_Toc366489920"/>
      <w:bookmarkStart w:id="641" w:name="_Toc418498624"/>
      <w:bookmarkStart w:id="642" w:name="_Toc418506079"/>
      <w:bookmarkStart w:id="643" w:name="_Toc491810756"/>
      <w:r>
        <w:t xml:space="preserve">6.1 </w:t>
      </w:r>
      <w:r w:rsidR="00B12C39" w:rsidRPr="00E45915">
        <w:t>CMR assessment</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115C5C9A" w14:textId="1D943D08" w:rsidR="00E55DE1" w:rsidRDefault="009E1F6C" w:rsidP="00E55DE1">
      <w:pPr>
        <w:widowControl/>
        <w:spacing w:after="180"/>
        <w:jc w:val="both"/>
        <w:rPr>
          <w:szCs w:val="24"/>
          <w:lang w:eastAsia="en-US"/>
        </w:rPr>
      </w:pPr>
      <w:r>
        <w:rPr>
          <w:szCs w:val="24"/>
          <w:lang w:eastAsia="en-US"/>
        </w:rPr>
        <w:t>Benz[</w:t>
      </w:r>
      <w:r w:rsidRPr="00551770">
        <w:rPr>
          <w:i/>
          <w:szCs w:val="24"/>
          <w:lang w:eastAsia="en-US"/>
        </w:rPr>
        <w:t>a</w:t>
      </w:r>
      <w:r>
        <w:rPr>
          <w:szCs w:val="24"/>
          <w:lang w:eastAsia="en-US"/>
        </w:rPr>
        <w:t xml:space="preserve">]anthracene </w:t>
      </w:r>
      <w:r w:rsidR="00E55DE1" w:rsidRPr="00626669">
        <w:rPr>
          <w:szCs w:val="24"/>
          <w:lang w:eastAsia="en-US"/>
        </w:rPr>
        <w:t xml:space="preserve">is covered by index number </w:t>
      </w:r>
      <w:r w:rsidR="00732083">
        <w:rPr>
          <w:szCs w:val="24"/>
          <w:lang w:eastAsia="en-US"/>
        </w:rPr>
        <w:t xml:space="preserve">601-033-00-9 </w:t>
      </w:r>
      <w:r w:rsidR="003740C1">
        <w:t>of Regulation (EC) No 1272/2008 in Annex VI, part 3, Table 3.1 (the list of harmonised classification and labelling of hazardous substances) and</w:t>
      </w:r>
      <w:r w:rsidR="00E55DE1">
        <w:rPr>
          <w:szCs w:val="24"/>
          <w:lang w:eastAsia="en-US"/>
        </w:rPr>
        <w:t xml:space="preserve"> it is classified in</w:t>
      </w:r>
      <w:r w:rsidR="00E55DE1">
        <w:t xml:space="preserve"> the hazard class</w:t>
      </w:r>
      <w:r w:rsidR="00E55DE1" w:rsidRPr="003909BD">
        <w:t xml:space="preserve"> </w:t>
      </w:r>
      <w:r w:rsidR="00E55DE1" w:rsidRPr="00626669">
        <w:rPr>
          <w:szCs w:val="24"/>
          <w:lang w:eastAsia="en-US"/>
        </w:rPr>
        <w:t>carcinogen</w:t>
      </w:r>
      <w:r w:rsidR="00E55DE1">
        <w:rPr>
          <w:szCs w:val="24"/>
          <w:lang w:eastAsia="en-US"/>
        </w:rPr>
        <w:t>icity</w:t>
      </w:r>
      <w:r w:rsidR="00E55DE1" w:rsidRPr="00626669">
        <w:rPr>
          <w:szCs w:val="24"/>
          <w:lang w:eastAsia="en-US"/>
        </w:rPr>
        <w:t xml:space="preserve"> </w:t>
      </w:r>
      <w:r w:rsidR="00E55DE1">
        <w:t xml:space="preserve">category </w:t>
      </w:r>
      <w:r w:rsidR="00E55DE1" w:rsidRPr="00732083">
        <w:rPr>
          <w:szCs w:val="24"/>
          <w:lang w:eastAsia="en-US"/>
        </w:rPr>
        <w:t>1B</w:t>
      </w:r>
      <w:r w:rsidR="00E55DE1" w:rsidRPr="00626669">
        <w:rPr>
          <w:szCs w:val="24"/>
          <w:lang w:eastAsia="en-US"/>
        </w:rPr>
        <w:t xml:space="preserve"> (</w:t>
      </w:r>
      <w:r w:rsidR="00E55DE1">
        <w:rPr>
          <w:szCs w:val="24"/>
          <w:lang w:eastAsia="en-US"/>
        </w:rPr>
        <w:t xml:space="preserve">hazard statement </w:t>
      </w:r>
      <w:r w:rsidR="00E55DE1" w:rsidRPr="00626669">
        <w:rPr>
          <w:szCs w:val="24"/>
          <w:lang w:eastAsia="en-US"/>
        </w:rPr>
        <w:t xml:space="preserve">H350: “May cause cancer”). </w:t>
      </w:r>
    </w:p>
    <w:p w14:paraId="115C5C9D" w14:textId="479AFD5E" w:rsidR="007A25BC" w:rsidRDefault="007A25BC" w:rsidP="007A25BC">
      <w:pPr>
        <w:jc w:val="both"/>
        <w:rPr>
          <w:lang w:eastAsia="en-US"/>
        </w:rPr>
      </w:pPr>
      <w:r w:rsidRPr="00626669">
        <w:rPr>
          <w:lang w:eastAsia="en-US"/>
        </w:rPr>
        <w:t xml:space="preserve">Therefore, this classification of the substance in Regulation (EC) No 1272/2008 shows that it meets the criteria for classification </w:t>
      </w:r>
      <w:r w:rsidR="00F17301">
        <w:rPr>
          <w:lang w:eastAsia="en-US"/>
        </w:rPr>
        <w:t>in the hazard class</w:t>
      </w:r>
      <w:r>
        <w:rPr>
          <w:lang w:eastAsia="en-US"/>
        </w:rPr>
        <w:t xml:space="preserve">: </w:t>
      </w:r>
    </w:p>
    <w:p w14:paraId="115C5C9E" w14:textId="77777777" w:rsidR="007A25BC" w:rsidRDefault="007A25BC" w:rsidP="007A25BC">
      <w:pPr>
        <w:jc w:val="both"/>
        <w:rPr>
          <w:lang w:eastAsia="en-US"/>
        </w:rPr>
      </w:pPr>
    </w:p>
    <w:p w14:paraId="115C5C9F" w14:textId="18A34E47" w:rsidR="007A25BC" w:rsidRDefault="007A25BC" w:rsidP="00891184">
      <w:pPr>
        <w:numPr>
          <w:ilvl w:val="0"/>
          <w:numId w:val="17"/>
        </w:numPr>
        <w:jc w:val="both"/>
        <w:rPr>
          <w:lang w:eastAsia="en-US"/>
        </w:rPr>
      </w:pPr>
      <w:proofErr w:type="gramStart"/>
      <w:r w:rsidRPr="00626669">
        <w:rPr>
          <w:lang w:eastAsia="en-US"/>
        </w:rPr>
        <w:t>carcinogen</w:t>
      </w:r>
      <w:r w:rsidR="00F17301">
        <w:rPr>
          <w:lang w:eastAsia="en-US"/>
        </w:rPr>
        <w:t>icity</w:t>
      </w:r>
      <w:proofErr w:type="gramEnd"/>
      <w:r w:rsidRPr="00626669">
        <w:rPr>
          <w:lang w:eastAsia="en-US"/>
        </w:rPr>
        <w:t xml:space="preserve"> </w:t>
      </w:r>
      <w:r w:rsidR="00F17301" w:rsidRPr="003050A1">
        <w:t xml:space="preserve">category 1B </w:t>
      </w:r>
      <w:r w:rsidRPr="00626669">
        <w:rPr>
          <w:lang w:eastAsia="en-US"/>
        </w:rPr>
        <w:t>in accordance with Article 57 (a)</w:t>
      </w:r>
      <w:r w:rsidRPr="001723D9">
        <w:rPr>
          <w:lang w:eastAsia="en-US"/>
        </w:rPr>
        <w:t xml:space="preserve"> </w:t>
      </w:r>
      <w:r w:rsidRPr="00626669">
        <w:rPr>
          <w:lang w:eastAsia="en-US"/>
        </w:rPr>
        <w:t>of REACH</w:t>
      </w:r>
      <w:r>
        <w:rPr>
          <w:lang w:eastAsia="en-US"/>
        </w:rPr>
        <w:t>.</w:t>
      </w:r>
    </w:p>
    <w:p w14:paraId="115C5CA2" w14:textId="77777777" w:rsidR="007A25BC" w:rsidRDefault="007A25BC" w:rsidP="007A25BC">
      <w:pPr>
        <w:jc w:val="both"/>
        <w:rPr>
          <w:lang w:eastAsia="en-US"/>
        </w:rPr>
      </w:pPr>
    </w:p>
    <w:p w14:paraId="115C5CA5" w14:textId="77777777" w:rsidR="00B12C39" w:rsidRPr="00770DA9" w:rsidRDefault="00B12C39" w:rsidP="00B12C39">
      <w:pPr>
        <w:pStyle w:val="BodyText"/>
      </w:pPr>
    </w:p>
    <w:p w14:paraId="115C5CA6" w14:textId="77777777" w:rsidR="00B12C39" w:rsidRPr="00E45915" w:rsidRDefault="00E45915" w:rsidP="00E45915">
      <w:pPr>
        <w:pStyle w:val="Heading2"/>
      </w:pPr>
      <w:bookmarkStart w:id="644" w:name="_Toc341888611"/>
      <w:bookmarkStart w:id="645" w:name="_Toc342400471"/>
      <w:bookmarkStart w:id="646" w:name="_Toc354499644"/>
      <w:bookmarkStart w:id="647" w:name="_Toc357083719"/>
      <w:bookmarkStart w:id="648" w:name="_Toc357184268"/>
      <w:bookmarkStart w:id="649" w:name="_Toc357184504"/>
      <w:bookmarkStart w:id="650" w:name="_Toc357185306"/>
      <w:bookmarkStart w:id="651" w:name="_Toc357186154"/>
      <w:bookmarkStart w:id="652" w:name="_Toc357186303"/>
      <w:bookmarkStart w:id="653" w:name="_Toc357437589"/>
      <w:bookmarkStart w:id="654" w:name="_Toc357590862"/>
      <w:bookmarkStart w:id="655" w:name="_Toc357692894"/>
      <w:bookmarkStart w:id="656" w:name="_Toc365649720"/>
      <w:bookmarkStart w:id="657" w:name="_Toc365649869"/>
      <w:bookmarkStart w:id="658" w:name="_Toc366489921"/>
      <w:bookmarkStart w:id="659" w:name="_Toc418498625"/>
      <w:bookmarkStart w:id="660" w:name="_Toc418506080"/>
      <w:bookmarkStart w:id="661" w:name="_Toc491810757"/>
      <w:r>
        <w:t xml:space="preserve">6.2 </w:t>
      </w:r>
      <w:r w:rsidR="00B12C39" w:rsidRPr="00E45915">
        <w:t xml:space="preserve">PBT and </w:t>
      </w:r>
      <w:proofErr w:type="spellStart"/>
      <w:r w:rsidR="00B12C39" w:rsidRPr="00E45915">
        <w:t>vPvB</w:t>
      </w:r>
      <w:proofErr w:type="spellEnd"/>
      <w:r w:rsidR="00B12C39" w:rsidRPr="00E45915">
        <w:t xml:space="preserve"> assessment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115C5CAE" w14:textId="77777777" w:rsidR="002F25D9" w:rsidRPr="009A5369" w:rsidRDefault="009A5369" w:rsidP="00716967">
      <w:pPr>
        <w:pStyle w:val="Heading3"/>
        <w:numPr>
          <w:ilvl w:val="0"/>
          <w:numId w:val="0"/>
        </w:numPr>
        <w:tabs>
          <w:tab w:val="left" w:pos="0"/>
        </w:tabs>
      </w:pPr>
      <w:bookmarkStart w:id="662" w:name="_Toc342400472"/>
      <w:bookmarkStart w:id="663" w:name="_Toc354499645"/>
      <w:bookmarkStart w:id="664" w:name="_Toc357083720"/>
      <w:bookmarkStart w:id="665" w:name="_Toc357184269"/>
      <w:bookmarkStart w:id="666" w:name="_Toc357184505"/>
      <w:bookmarkStart w:id="667" w:name="_Toc357185307"/>
      <w:bookmarkStart w:id="668" w:name="_Toc357186155"/>
      <w:bookmarkStart w:id="669" w:name="_Toc357186304"/>
      <w:bookmarkStart w:id="670" w:name="_Toc357437590"/>
      <w:bookmarkStart w:id="671" w:name="_Toc357590863"/>
      <w:bookmarkStart w:id="672" w:name="_Toc357692895"/>
      <w:bookmarkStart w:id="673" w:name="_Toc365649721"/>
      <w:bookmarkStart w:id="674" w:name="_Toc365649870"/>
      <w:bookmarkStart w:id="675" w:name="_Toc366489922"/>
      <w:bookmarkStart w:id="676" w:name="_Toc418498626"/>
      <w:bookmarkStart w:id="677" w:name="_Toc418506081"/>
      <w:bookmarkStart w:id="678" w:name="_Toc491810758"/>
      <w:bookmarkStart w:id="679" w:name="_Toc341888612"/>
      <w:r>
        <w:t xml:space="preserve">6.2.1 </w:t>
      </w:r>
      <w:r w:rsidR="00B12C39" w:rsidRPr="009A5369">
        <w:t>Assessment of PBT/</w:t>
      </w:r>
      <w:proofErr w:type="spellStart"/>
      <w:r w:rsidR="00B12C39" w:rsidRPr="009A5369">
        <w:t>vPvB</w:t>
      </w:r>
      <w:proofErr w:type="spellEnd"/>
      <w:r w:rsidR="00B12C39" w:rsidRPr="009A5369">
        <w:t xml:space="preserve"> properties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770E92E4" w14:textId="617244D4" w:rsidR="00644ADE" w:rsidRDefault="00E737ED" w:rsidP="00F33564">
      <w:pPr>
        <w:jc w:val="both"/>
      </w:pPr>
      <w:bookmarkStart w:id="680" w:name="_Toc341888613"/>
      <w:bookmarkStart w:id="681" w:name="_Toc342400473"/>
      <w:bookmarkEnd w:id="679"/>
      <w:r>
        <w:t>The PBT/</w:t>
      </w:r>
      <w:proofErr w:type="spellStart"/>
      <w:r>
        <w:t>vPvB</w:t>
      </w:r>
      <w:proofErr w:type="spellEnd"/>
      <w:r>
        <w:t xml:space="preserve"> assessment is </w:t>
      </w:r>
      <w:r w:rsidR="009C357C">
        <w:t>based on</w:t>
      </w:r>
      <w:r w:rsidR="00971FAA">
        <w:t xml:space="preserve"> </w:t>
      </w:r>
      <w:r>
        <w:t>information provided in the support document for the identification of CTPHT as SVHC (ECHA, 2009</w:t>
      </w:r>
      <w:r w:rsidR="007C2022" w:rsidRPr="007C2022">
        <w:t xml:space="preserve"> </w:t>
      </w:r>
      <w:r w:rsidR="007C2022">
        <w:t>As a</w:t>
      </w:r>
      <w:r w:rsidR="007C2022" w:rsidRPr="004A7F1F">
        <w:t xml:space="preserve">dditional information </w:t>
      </w:r>
      <w:r w:rsidR="007C2022">
        <w:t xml:space="preserve">earlier assessments documented </w:t>
      </w:r>
      <w:r w:rsidR="007C2022" w:rsidRPr="004A7F1F">
        <w:t>in the EU Risk Assessment Report on CTPHT (European Commission, 2008) and the Annex XV Transitional Dossier on CTPHT (NL, 2008)</w:t>
      </w:r>
      <w:r w:rsidR="007C2022">
        <w:t xml:space="preserve"> have been considered</w:t>
      </w:r>
      <w:r w:rsidR="007C2022" w:rsidRPr="004A7F1F">
        <w:t xml:space="preserve">. </w:t>
      </w:r>
      <w:r w:rsidR="007C2022">
        <w:t>The information summari</w:t>
      </w:r>
      <w:r w:rsidR="00182588">
        <w:t>s</w:t>
      </w:r>
      <w:r w:rsidR="007C2022">
        <w:t xml:space="preserve">ed in these documents </w:t>
      </w:r>
      <w:r w:rsidR="00182588">
        <w:t>is</w:t>
      </w:r>
      <w:r w:rsidR="007C2022">
        <w:t xml:space="preserve"> still valid and allow</w:t>
      </w:r>
      <w:r w:rsidR="00182588">
        <w:t>s</w:t>
      </w:r>
      <w:r w:rsidR="007C2022">
        <w:t xml:space="preserve"> a compact assessment of the substance properties with a focus on PBT/</w:t>
      </w:r>
      <w:proofErr w:type="spellStart"/>
      <w:r w:rsidR="007C2022">
        <w:t>vPvB</w:t>
      </w:r>
      <w:proofErr w:type="spellEnd"/>
      <w:r w:rsidR="007C2022">
        <w:t>.</w:t>
      </w:r>
    </w:p>
    <w:p w14:paraId="55C4E4AA" w14:textId="77777777" w:rsidR="00DF5414" w:rsidRPr="00917B86" w:rsidRDefault="00DF5414" w:rsidP="00917B86"/>
    <w:p w14:paraId="115C5CB4" w14:textId="77777777" w:rsidR="00775002" w:rsidRDefault="009A5369" w:rsidP="00E44388">
      <w:pPr>
        <w:pStyle w:val="Heading4"/>
        <w:numPr>
          <w:ilvl w:val="0"/>
          <w:numId w:val="0"/>
        </w:numPr>
        <w:ind w:left="284" w:hanging="142"/>
      </w:pPr>
      <w:bookmarkStart w:id="682" w:name="_Toc357083721"/>
      <w:r>
        <w:t xml:space="preserve">6.2.1.1 </w:t>
      </w:r>
      <w:r w:rsidR="00B12C39" w:rsidRPr="009A5369">
        <w:t>Persistence</w:t>
      </w:r>
      <w:bookmarkStart w:id="683" w:name="_Toc341888614"/>
      <w:bookmarkStart w:id="684" w:name="_Toc342400474"/>
      <w:bookmarkEnd w:id="680"/>
      <w:bookmarkEnd w:id="681"/>
      <w:bookmarkEnd w:id="682"/>
    </w:p>
    <w:p w14:paraId="7A6553FC" w14:textId="6C19F5C2" w:rsidR="0043167A" w:rsidRDefault="0043167A" w:rsidP="00F33564">
      <w:pPr>
        <w:pStyle w:val="BodyText"/>
        <w:jc w:val="both"/>
      </w:pPr>
      <w:proofErr w:type="spellStart"/>
      <w:r w:rsidRPr="0043167A">
        <w:t>B</w:t>
      </w:r>
      <w:r>
        <w:t>aA</w:t>
      </w:r>
      <w:proofErr w:type="spellEnd"/>
      <w:r w:rsidRPr="0043167A">
        <w:t xml:space="preserve"> has a low water solubility and shows a high tendency to adsorb to particles and organic matter in the environment. The resulting low bioavailability is one of the limiting factors of its biodegradation.</w:t>
      </w:r>
    </w:p>
    <w:p w14:paraId="29144CD2" w14:textId="38C77EEF" w:rsidR="00612803" w:rsidRDefault="00644ADE" w:rsidP="00F33564">
      <w:pPr>
        <w:pStyle w:val="BodyText"/>
        <w:jc w:val="both"/>
      </w:pPr>
      <w:r w:rsidRPr="006B4B2E">
        <w:t>A dissipation half-life of more than 8.1 years was measured in a field study</w:t>
      </w:r>
      <w:r w:rsidRPr="006B4B2E">
        <w:rPr>
          <w:noProof/>
        </w:rPr>
        <w:t xml:space="preserve"> (Wild </w:t>
      </w:r>
      <w:r w:rsidRPr="0012411C">
        <w:rPr>
          <w:i/>
          <w:noProof/>
        </w:rPr>
        <w:t>et al</w:t>
      </w:r>
      <w:r w:rsidRPr="006B4B2E">
        <w:rPr>
          <w:noProof/>
        </w:rPr>
        <w:t>., 1991)</w:t>
      </w:r>
      <w:r w:rsidRPr="006B4B2E">
        <w:t xml:space="preserve">. Wild </w:t>
      </w:r>
      <w:r w:rsidRPr="0012411C">
        <w:rPr>
          <w:i/>
        </w:rPr>
        <w:t>et al.</w:t>
      </w:r>
      <w:r w:rsidRPr="006B4B2E">
        <w:t xml:space="preserve"> (1991) was selected as the study</w:t>
      </w:r>
      <w:r w:rsidR="00F8730B">
        <w:t xml:space="preserve"> having the highest weight</w:t>
      </w:r>
      <w:r w:rsidRPr="006B4B2E">
        <w:t xml:space="preserve"> for the P assessment. Additionally</w:t>
      </w:r>
      <w:r>
        <w:t>, t</w:t>
      </w:r>
      <w:r w:rsidR="006074FB">
        <w:t xml:space="preserve">he study by Wild </w:t>
      </w:r>
      <w:r w:rsidR="006B4B2E">
        <w:t>and Jones</w:t>
      </w:r>
      <w:r w:rsidR="006074FB">
        <w:t xml:space="preserve"> (1993</w:t>
      </w:r>
      <w:r w:rsidR="00612803">
        <w:t xml:space="preserve">) reports a half-life </w:t>
      </w:r>
      <w:r w:rsidR="00B333F4">
        <w:t xml:space="preserve">value </w:t>
      </w:r>
      <w:r w:rsidR="00612803">
        <w:t xml:space="preserve">of </w:t>
      </w:r>
      <w:proofErr w:type="spellStart"/>
      <w:r w:rsidR="00612803">
        <w:t>BaA</w:t>
      </w:r>
      <w:proofErr w:type="spellEnd"/>
      <w:r w:rsidR="00612803">
        <w:t xml:space="preserve"> in soil </w:t>
      </w:r>
      <w:r w:rsidR="00144165">
        <w:t>between</w:t>
      </w:r>
      <w:r w:rsidR="00612803">
        <w:t xml:space="preserve"> 10</w:t>
      </w:r>
      <w:r w:rsidR="00B333F4">
        <w:t xml:space="preserve">6 to </w:t>
      </w:r>
      <w:r w:rsidR="006074FB">
        <w:t>313</w:t>
      </w:r>
      <w:r w:rsidR="00B333F4">
        <w:t xml:space="preserve"> days and is therefore above the P and </w:t>
      </w:r>
      <w:proofErr w:type="spellStart"/>
      <w:proofErr w:type="gramStart"/>
      <w:r w:rsidR="00B333F4">
        <w:t>vP</w:t>
      </w:r>
      <w:proofErr w:type="spellEnd"/>
      <w:proofErr w:type="gramEnd"/>
      <w:r w:rsidR="00B333F4">
        <w:t xml:space="preserve"> criteria set in </w:t>
      </w:r>
      <w:r w:rsidR="00F8730B">
        <w:t xml:space="preserve">REACH </w:t>
      </w:r>
      <w:r w:rsidR="00B333F4">
        <w:t>Annex XIII</w:t>
      </w:r>
      <w:r w:rsidR="00B333F4" w:rsidRPr="006B4B2E">
        <w:t>.</w:t>
      </w:r>
      <w:r w:rsidR="006074FB" w:rsidRPr="006B4B2E">
        <w:t xml:space="preserve"> </w:t>
      </w:r>
      <w:r w:rsidR="006B4B2E" w:rsidRPr="006B4B2E">
        <w:t>Furthermore, m</w:t>
      </w:r>
      <w:r w:rsidR="00B333F4" w:rsidRPr="006B4B2E">
        <w:t>odel</w:t>
      </w:r>
      <w:r w:rsidR="00B333F4">
        <w:t xml:space="preserve"> calculations done by Mackay </w:t>
      </w:r>
      <w:r w:rsidR="00B333F4" w:rsidRPr="0012411C">
        <w:rPr>
          <w:i/>
        </w:rPr>
        <w:t>et al.</w:t>
      </w:r>
      <w:r w:rsidR="00B333F4">
        <w:t xml:space="preserve"> (1992) do confirm that </w:t>
      </w:r>
      <w:proofErr w:type="spellStart"/>
      <w:r w:rsidR="00B333F4">
        <w:t>BaA</w:t>
      </w:r>
      <w:proofErr w:type="spellEnd"/>
      <w:r w:rsidR="00B333F4">
        <w:t xml:space="preserve"> is very persistent in the compartment soil</w:t>
      </w:r>
      <w:r w:rsidR="006074FB">
        <w:t xml:space="preserve"> and </w:t>
      </w:r>
      <w:r w:rsidR="003E358D">
        <w:t xml:space="preserve">predicted </w:t>
      </w:r>
      <w:r w:rsidR="006074FB">
        <w:t xml:space="preserve">that P and </w:t>
      </w:r>
      <w:proofErr w:type="spellStart"/>
      <w:proofErr w:type="gramStart"/>
      <w:r w:rsidR="006074FB">
        <w:t>vP</w:t>
      </w:r>
      <w:proofErr w:type="spellEnd"/>
      <w:proofErr w:type="gramEnd"/>
      <w:r w:rsidR="006074FB">
        <w:t xml:space="preserve"> criteria are fulfilled for the compartments water and sediment</w:t>
      </w:r>
      <w:r w:rsidR="00B333F4">
        <w:t xml:space="preserve">. </w:t>
      </w:r>
    </w:p>
    <w:p w14:paraId="44CA1219" w14:textId="6925FE2D" w:rsidR="00D02D83" w:rsidRDefault="00331A28" w:rsidP="00F33564">
      <w:pPr>
        <w:pStyle w:val="BodyText"/>
        <w:jc w:val="both"/>
      </w:pPr>
      <w:r>
        <w:t>Therefore</w:t>
      </w:r>
      <w:r w:rsidR="00BF12BA">
        <w:t>,</w:t>
      </w:r>
      <w:r>
        <w:t xml:space="preserve"> </w:t>
      </w:r>
      <w:r w:rsidR="00800DD9">
        <w:t>it is concluded that</w:t>
      </w:r>
      <w:r>
        <w:t xml:space="preserve"> </w:t>
      </w:r>
      <w:proofErr w:type="spellStart"/>
      <w:r>
        <w:t>BaA</w:t>
      </w:r>
      <w:proofErr w:type="spellEnd"/>
      <w:r>
        <w:t xml:space="preserve"> </w:t>
      </w:r>
      <w:r w:rsidR="00BF12BA">
        <w:t>fulfil</w:t>
      </w:r>
      <w:r w:rsidR="00943420">
        <w:t>s</w:t>
      </w:r>
      <w:r w:rsidR="00BF12BA">
        <w:t xml:space="preserve"> the </w:t>
      </w:r>
      <w:r w:rsidR="00800DD9">
        <w:t xml:space="preserve">P and </w:t>
      </w:r>
      <w:proofErr w:type="spellStart"/>
      <w:proofErr w:type="gramStart"/>
      <w:r w:rsidR="00800DD9">
        <w:t>vP</w:t>
      </w:r>
      <w:proofErr w:type="spellEnd"/>
      <w:proofErr w:type="gramEnd"/>
      <w:r w:rsidR="00800DD9">
        <w:t xml:space="preserve"> </w:t>
      </w:r>
      <w:r w:rsidR="00BF12BA">
        <w:t xml:space="preserve">criteria according to </w:t>
      </w:r>
      <w:r w:rsidR="003E358D">
        <w:t xml:space="preserve">REACH </w:t>
      </w:r>
      <w:r w:rsidR="00BF12BA">
        <w:t>Annex XIII</w:t>
      </w:r>
      <w:r w:rsidR="005B2F21">
        <w:t>.</w:t>
      </w:r>
      <w:r w:rsidR="000A6EC2" w:rsidRPr="000A6EC2">
        <w:rPr>
          <w:rFonts w:cs="Courier New"/>
        </w:rPr>
        <w:t xml:space="preserve"> </w:t>
      </w:r>
      <w:r w:rsidR="000A6EC2">
        <w:rPr>
          <w:rFonts w:cs="Courier New"/>
        </w:rPr>
        <w:t>This conclusion was already drawn by the MSC in the context of the identification of CTPHT as SVHC (ECHA, 2009).</w:t>
      </w:r>
      <w:r w:rsidR="00800DD9">
        <w:t xml:space="preserve"> </w:t>
      </w:r>
    </w:p>
    <w:p w14:paraId="115C5CB5" w14:textId="77777777" w:rsidR="00775002" w:rsidRDefault="009A5369" w:rsidP="00E44388">
      <w:pPr>
        <w:pStyle w:val="Heading4"/>
        <w:numPr>
          <w:ilvl w:val="0"/>
          <w:numId w:val="0"/>
        </w:numPr>
        <w:ind w:left="284" w:hanging="142"/>
      </w:pPr>
      <w:bookmarkStart w:id="685" w:name="_Toc357083722"/>
      <w:r>
        <w:t xml:space="preserve">6.2.1.2 </w:t>
      </w:r>
      <w:r w:rsidR="00B12C39" w:rsidRPr="009A5369">
        <w:t>Bioaccumulation</w:t>
      </w:r>
      <w:bookmarkStart w:id="686" w:name="_Toc341888615"/>
      <w:bookmarkStart w:id="687" w:name="_Toc342400475"/>
      <w:bookmarkEnd w:id="683"/>
      <w:bookmarkEnd w:id="684"/>
      <w:bookmarkEnd w:id="685"/>
    </w:p>
    <w:p w14:paraId="6123F7B8" w14:textId="7194EE98" w:rsidR="00395851" w:rsidRPr="00C17373" w:rsidRDefault="00660BA2" w:rsidP="00D10FD9">
      <w:pPr>
        <w:pStyle w:val="BodyText"/>
      </w:pPr>
      <w:r>
        <w:t xml:space="preserve">Experimentally obtained BCF values above 5000 are reported for </w:t>
      </w:r>
      <w:proofErr w:type="spellStart"/>
      <w:r>
        <w:t>BaA</w:t>
      </w:r>
      <w:proofErr w:type="spellEnd"/>
      <w:r>
        <w:t xml:space="preserve"> in Crustacea. </w:t>
      </w:r>
      <w:r w:rsidR="00627609">
        <w:t>In accordance to</w:t>
      </w:r>
      <w:r w:rsidR="003E358D">
        <w:t xml:space="preserve"> REACH</w:t>
      </w:r>
      <w:r w:rsidR="00627609">
        <w:t xml:space="preserve"> Annex XIII, </w:t>
      </w:r>
      <w:proofErr w:type="spellStart"/>
      <w:r w:rsidR="00627609">
        <w:t>BaA</w:t>
      </w:r>
      <w:proofErr w:type="spellEnd"/>
      <w:r w:rsidR="00627609">
        <w:t xml:space="preserve"> fulfils the B and </w:t>
      </w:r>
      <w:proofErr w:type="spellStart"/>
      <w:r w:rsidR="00627609">
        <w:t>vB</w:t>
      </w:r>
      <w:proofErr w:type="spellEnd"/>
      <w:r w:rsidR="00627609">
        <w:t xml:space="preserve"> criteria. </w:t>
      </w:r>
      <w:r w:rsidR="000A6EC2">
        <w:rPr>
          <w:rFonts w:cs="Courier New"/>
        </w:rPr>
        <w:t>This conclusion was already drawn by the MSC in the context of the identification of CTPHT as SVHC (ECHA, 2009).</w:t>
      </w:r>
    </w:p>
    <w:p w14:paraId="115C5CB6" w14:textId="77777777" w:rsidR="00B12C39" w:rsidRPr="009A5369" w:rsidRDefault="009A5369" w:rsidP="00E44388">
      <w:pPr>
        <w:pStyle w:val="Heading4"/>
        <w:numPr>
          <w:ilvl w:val="0"/>
          <w:numId w:val="0"/>
        </w:numPr>
        <w:ind w:left="284" w:hanging="142"/>
      </w:pPr>
      <w:bookmarkStart w:id="688" w:name="_Toc357083723"/>
      <w:r>
        <w:t xml:space="preserve">6.2.1.3 </w:t>
      </w:r>
      <w:r w:rsidR="00B12C39" w:rsidRPr="009A5369">
        <w:t>Toxicity</w:t>
      </w:r>
      <w:bookmarkEnd w:id="686"/>
      <w:bookmarkEnd w:id="687"/>
      <w:bookmarkEnd w:id="688"/>
    </w:p>
    <w:p w14:paraId="115C5CB7" w14:textId="77CD06B0" w:rsidR="00FB1D0A" w:rsidRDefault="00800DD9" w:rsidP="00F33564">
      <w:pPr>
        <w:pStyle w:val="BodyText"/>
        <w:jc w:val="both"/>
        <w:rPr>
          <w:rFonts w:cs="Courier New"/>
        </w:rPr>
      </w:pPr>
      <w:r w:rsidRPr="00FC6639">
        <w:rPr>
          <w:rFonts w:cs="Courier New"/>
          <w:i/>
        </w:rPr>
        <w:t xml:space="preserve">The lowest </w:t>
      </w:r>
      <w:r w:rsidR="00CE0F83">
        <w:rPr>
          <w:rFonts w:cs="Courier New"/>
          <w:i/>
        </w:rPr>
        <w:t xml:space="preserve">aquatic </w:t>
      </w:r>
      <w:r w:rsidRPr="00FC6639">
        <w:rPr>
          <w:rFonts w:cs="Courier New"/>
          <w:i/>
        </w:rPr>
        <w:t xml:space="preserve">chronic toxicity has been observed for the alga </w:t>
      </w:r>
      <w:proofErr w:type="spellStart"/>
      <w:r w:rsidRPr="00FC6639">
        <w:rPr>
          <w:rFonts w:cs="Courier New"/>
          <w:i/>
        </w:rPr>
        <w:t>Pseudokirchneriella</w:t>
      </w:r>
      <w:proofErr w:type="spellEnd"/>
      <w:r w:rsidRPr="00FC6639">
        <w:rPr>
          <w:rFonts w:cs="Courier New"/>
          <w:i/>
        </w:rPr>
        <w:t xml:space="preserve"> </w:t>
      </w:r>
      <w:proofErr w:type="spellStart"/>
      <w:r w:rsidRPr="00FC6639">
        <w:rPr>
          <w:rFonts w:cs="Courier New"/>
          <w:i/>
        </w:rPr>
        <w:t>subcapitata</w:t>
      </w:r>
      <w:proofErr w:type="spellEnd"/>
      <w:r w:rsidRPr="00FC6639">
        <w:rPr>
          <w:rFonts w:cs="Courier New"/>
          <w:i/>
        </w:rPr>
        <w:t xml:space="preserve"> with an EC10 of 1.2 </w:t>
      </w:r>
      <w:proofErr w:type="spellStart"/>
      <w:r w:rsidRPr="00FC6639">
        <w:rPr>
          <w:rFonts w:cs="Courier New"/>
          <w:i/>
        </w:rPr>
        <w:t>μg</w:t>
      </w:r>
      <w:proofErr w:type="spellEnd"/>
      <w:r w:rsidRPr="00FC6639">
        <w:rPr>
          <w:rFonts w:cs="Courier New"/>
          <w:i/>
        </w:rPr>
        <w:t>/l for growth inhibition.</w:t>
      </w:r>
      <w:r>
        <w:rPr>
          <w:rFonts w:cs="Courier New"/>
          <w:i/>
        </w:rPr>
        <w:t xml:space="preserve"> </w:t>
      </w:r>
      <w:r w:rsidR="000A6EC2">
        <w:rPr>
          <w:rFonts w:cs="Courier New"/>
        </w:rPr>
        <w:t xml:space="preserve">Therefore, </w:t>
      </w:r>
      <w:proofErr w:type="spellStart"/>
      <w:r w:rsidR="000A6EC2">
        <w:rPr>
          <w:rFonts w:cs="Courier New"/>
        </w:rPr>
        <w:t>BaA</w:t>
      </w:r>
      <w:proofErr w:type="spellEnd"/>
      <w:r w:rsidR="000A6EC2">
        <w:rPr>
          <w:rFonts w:cs="Courier New"/>
        </w:rPr>
        <w:t xml:space="preserve"> fulfils the T </w:t>
      </w:r>
      <w:r w:rsidR="000A6EC2">
        <w:rPr>
          <w:rFonts w:cs="Courier New"/>
        </w:rPr>
        <w:lastRenderedPageBreak/>
        <w:t>criterion according to</w:t>
      </w:r>
      <w:r w:rsidR="003E358D">
        <w:rPr>
          <w:rFonts w:cs="Courier New"/>
        </w:rPr>
        <w:t xml:space="preserve"> REACH</w:t>
      </w:r>
      <w:r w:rsidR="000A6EC2">
        <w:rPr>
          <w:rFonts w:cs="Courier New"/>
        </w:rPr>
        <w:t xml:space="preserve"> Annex XIII</w:t>
      </w:r>
      <w:r w:rsidR="00F34121">
        <w:rPr>
          <w:rFonts w:cs="Courier New"/>
        </w:rPr>
        <w:t xml:space="preserve"> </w:t>
      </w:r>
      <w:r w:rsidR="003E358D">
        <w:rPr>
          <w:rFonts w:cs="Courier New"/>
        </w:rPr>
        <w:t xml:space="preserve">Section </w:t>
      </w:r>
      <w:r w:rsidR="00DE3831">
        <w:rPr>
          <w:rFonts w:cs="Courier New"/>
        </w:rPr>
        <w:t>1.1.3 a)</w:t>
      </w:r>
      <w:r w:rsidR="000A6EC2">
        <w:rPr>
          <w:rFonts w:cs="Courier New"/>
        </w:rPr>
        <w:t xml:space="preserve">. This conclusion was already drawn by the MSC in the context of the identification of CTPHT as SVHC (ECHA, 2009).  </w:t>
      </w:r>
    </w:p>
    <w:p w14:paraId="742D1262" w14:textId="2AF5B846" w:rsidR="00CE0F83" w:rsidRPr="000A6EC2" w:rsidRDefault="003E358D" w:rsidP="00F33564">
      <w:pPr>
        <w:pStyle w:val="BodyText"/>
        <w:jc w:val="both"/>
      </w:pPr>
      <w:r>
        <w:rPr>
          <w:rFonts w:cs="Courier New"/>
        </w:rPr>
        <w:t xml:space="preserve">In addition, </w:t>
      </w:r>
      <w:proofErr w:type="spellStart"/>
      <w:proofErr w:type="gramStart"/>
      <w:r w:rsidR="00DF5414">
        <w:rPr>
          <w:szCs w:val="24"/>
          <w:lang w:eastAsia="en-US"/>
        </w:rPr>
        <w:t>benz</w:t>
      </w:r>
      <w:proofErr w:type="spellEnd"/>
      <w:r w:rsidR="00DF5414">
        <w:rPr>
          <w:szCs w:val="24"/>
          <w:lang w:eastAsia="en-US"/>
        </w:rPr>
        <w:t>[</w:t>
      </w:r>
      <w:proofErr w:type="gramEnd"/>
      <w:r w:rsidR="00DF5414" w:rsidRPr="00551770">
        <w:rPr>
          <w:i/>
          <w:szCs w:val="24"/>
          <w:lang w:eastAsia="en-US"/>
        </w:rPr>
        <w:t>a</w:t>
      </w:r>
      <w:r w:rsidR="00DF5414">
        <w:rPr>
          <w:szCs w:val="24"/>
          <w:lang w:eastAsia="en-US"/>
        </w:rPr>
        <w:t xml:space="preserve">]anthracene </w:t>
      </w:r>
      <w:r w:rsidR="002B083A">
        <w:rPr>
          <w:rFonts w:cs="Courier New"/>
        </w:rPr>
        <w:t xml:space="preserve">is classified in hazard carcinogenicity category 1B according to EU Regulation 1272/2008. </w:t>
      </w:r>
      <w:r w:rsidR="00F34121" w:rsidRPr="00F34121">
        <w:rPr>
          <w:rFonts w:cs="Courier New"/>
        </w:rPr>
        <w:t xml:space="preserve">Thus, the T criterion of REACH is also fulfilled according to Annex XIII </w:t>
      </w:r>
      <w:r>
        <w:rPr>
          <w:rFonts w:cs="Courier New"/>
        </w:rPr>
        <w:t xml:space="preserve">Section </w:t>
      </w:r>
      <w:r w:rsidR="00F34121" w:rsidRPr="00F34121">
        <w:rPr>
          <w:rFonts w:cs="Courier New"/>
        </w:rPr>
        <w:t>1.1.3 b).</w:t>
      </w:r>
    </w:p>
    <w:p w14:paraId="115C5CB8" w14:textId="77777777" w:rsidR="00B12C39" w:rsidRPr="009A5369" w:rsidRDefault="009A5369" w:rsidP="004F174D">
      <w:pPr>
        <w:pStyle w:val="Heading3"/>
        <w:tabs>
          <w:tab w:val="clear" w:pos="360"/>
          <w:tab w:val="num" w:pos="0"/>
        </w:tabs>
      </w:pPr>
      <w:bookmarkStart w:id="689" w:name="_Toc341888616"/>
      <w:bookmarkStart w:id="690" w:name="_Toc342400476"/>
      <w:bookmarkStart w:id="691" w:name="_Toc354499646"/>
      <w:bookmarkStart w:id="692" w:name="_Toc357083724"/>
      <w:bookmarkStart w:id="693" w:name="_Toc357184270"/>
      <w:bookmarkStart w:id="694" w:name="_Toc357184506"/>
      <w:bookmarkStart w:id="695" w:name="_Toc357185308"/>
      <w:bookmarkStart w:id="696" w:name="_Toc357186156"/>
      <w:bookmarkStart w:id="697" w:name="_Toc357186305"/>
      <w:bookmarkStart w:id="698" w:name="_Toc357437591"/>
      <w:bookmarkStart w:id="699" w:name="_Toc357590864"/>
      <w:bookmarkStart w:id="700" w:name="_Toc357692896"/>
      <w:bookmarkStart w:id="701" w:name="_Toc365649722"/>
      <w:bookmarkStart w:id="702" w:name="_Toc365649871"/>
      <w:bookmarkStart w:id="703" w:name="_Toc366489923"/>
      <w:bookmarkStart w:id="704" w:name="_Toc418498627"/>
      <w:bookmarkStart w:id="705" w:name="_Toc418506082"/>
      <w:bookmarkStart w:id="706" w:name="_Toc491810759"/>
      <w:r>
        <w:t xml:space="preserve">6.2.2 </w:t>
      </w:r>
      <w:r w:rsidR="00B12C39" w:rsidRPr="009A5369">
        <w:t xml:space="preserve">Summary and overall conclusions on the PBT and </w:t>
      </w:r>
      <w:proofErr w:type="spellStart"/>
      <w:r w:rsidR="00B12C39" w:rsidRPr="009A5369">
        <w:t>vPvB</w:t>
      </w:r>
      <w:proofErr w:type="spellEnd"/>
      <w:r w:rsidR="00B12C39" w:rsidRPr="009A5369">
        <w:t xml:space="preserve"> properties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2D5DD2FE" w14:textId="77777777" w:rsidR="00591FDF" w:rsidRDefault="00591FDF" w:rsidP="00591FDF">
      <w:pPr>
        <w:jc w:val="both"/>
        <w:rPr>
          <w:rFonts w:cs="Verdana"/>
          <w:lang w:eastAsia="en-GB"/>
        </w:rPr>
      </w:pPr>
      <w:r>
        <w:rPr>
          <w:rFonts w:cs="Verdana"/>
          <w:lang w:eastAsia="en-GB"/>
        </w:rPr>
        <w:t>An assessment of the PBT/</w:t>
      </w:r>
      <w:proofErr w:type="spellStart"/>
      <w:r>
        <w:rPr>
          <w:rFonts w:cs="Verdana"/>
          <w:lang w:eastAsia="en-GB"/>
        </w:rPr>
        <w:t>vPvB</w:t>
      </w:r>
      <w:proofErr w:type="spellEnd"/>
      <w:r>
        <w:rPr>
          <w:rFonts w:cs="Verdana"/>
          <w:lang w:eastAsia="en-GB"/>
        </w:rPr>
        <w:t xml:space="preserve"> properties of </w:t>
      </w:r>
      <w:proofErr w:type="spellStart"/>
      <w:proofErr w:type="gramStart"/>
      <w:r>
        <w:rPr>
          <w:rFonts w:cs="Verdana"/>
          <w:lang w:eastAsia="en-GB"/>
        </w:rPr>
        <w:t>benz</w:t>
      </w:r>
      <w:proofErr w:type="spellEnd"/>
      <w:r>
        <w:rPr>
          <w:rFonts w:cs="Verdana"/>
          <w:lang w:eastAsia="en-GB"/>
        </w:rPr>
        <w:t>[</w:t>
      </w:r>
      <w:proofErr w:type="gramEnd"/>
      <w:r w:rsidRPr="00551770">
        <w:rPr>
          <w:rFonts w:cs="Verdana"/>
          <w:i/>
          <w:lang w:eastAsia="en-GB"/>
        </w:rPr>
        <w:t>a</w:t>
      </w:r>
      <w:r>
        <w:rPr>
          <w:rFonts w:cs="Verdana"/>
          <w:lang w:eastAsia="en-GB"/>
        </w:rPr>
        <w:t>]anthracene (</w:t>
      </w:r>
      <w:proofErr w:type="spellStart"/>
      <w:r>
        <w:rPr>
          <w:rFonts w:cs="Verdana"/>
          <w:lang w:eastAsia="en-GB"/>
        </w:rPr>
        <w:t>BaA</w:t>
      </w:r>
      <w:proofErr w:type="spellEnd"/>
      <w:r>
        <w:rPr>
          <w:rFonts w:cs="Verdana"/>
          <w:lang w:eastAsia="en-GB"/>
        </w:rPr>
        <w:t>) was done by the MSC in the scope of the identification of CTPHT as SVHC (</w:t>
      </w:r>
      <w:r w:rsidRPr="00313560">
        <w:rPr>
          <w:rFonts w:cs="Verdana"/>
          <w:lang w:eastAsia="en-GB"/>
        </w:rPr>
        <w:t>ECHA, 2009</w:t>
      </w:r>
      <w:r>
        <w:rPr>
          <w:rFonts w:cs="Verdana"/>
          <w:lang w:eastAsia="en-GB"/>
        </w:rPr>
        <w:t>). The assessment of PBT/</w:t>
      </w:r>
      <w:proofErr w:type="spellStart"/>
      <w:r>
        <w:rPr>
          <w:rFonts w:cs="Verdana"/>
          <w:lang w:eastAsia="en-GB"/>
        </w:rPr>
        <w:t>vPvB</w:t>
      </w:r>
      <w:proofErr w:type="spellEnd"/>
      <w:r>
        <w:rPr>
          <w:rFonts w:cs="Verdana"/>
          <w:lang w:eastAsia="en-GB"/>
        </w:rPr>
        <w:t xml:space="preserve"> properties of </w:t>
      </w:r>
      <w:proofErr w:type="spellStart"/>
      <w:r>
        <w:rPr>
          <w:rFonts w:cs="Verdana"/>
          <w:lang w:eastAsia="en-GB"/>
        </w:rPr>
        <w:t>BaA</w:t>
      </w:r>
      <w:proofErr w:type="spellEnd"/>
      <w:r>
        <w:rPr>
          <w:rFonts w:cs="Verdana"/>
          <w:lang w:eastAsia="en-GB"/>
        </w:rPr>
        <w:t xml:space="preserve"> in this dossier is based on the information provided and analysed in the Support Document for the Identification of CTPHT as SVHC (ECHA, 2009). </w:t>
      </w:r>
    </w:p>
    <w:p w14:paraId="03741EB0" w14:textId="77777777" w:rsidR="00591FDF" w:rsidRPr="009A0757" w:rsidRDefault="00591FDF" w:rsidP="00591FDF">
      <w:pPr>
        <w:jc w:val="both"/>
        <w:rPr>
          <w:rFonts w:cs="Verdana"/>
          <w:i/>
          <w:lang w:eastAsia="en-GB"/>
        </w:rPr>
      </w:pPr>
    </w:p>
    <w:p w14:paraId="18C9F332" w14:textId="77777777" w:rsidR="00591FDF" w:rsidRPr="00D10FD9" w:rsidRDefault="00591FDF" w:rsidP="00591FDF">
      <w:pPr>
        <w:jc w:val="both"/>
        <w:rPr>
          <w:rFonts w:cs="Verdana"/>
          <w:u w:val="single"/>
          <w:lang w:val="en-US" w:eastAsia="en-GB"/>
        </w:rPr>
      </w:pPr>
      <w:r w:rsidRPr="00D10FD9">
        <w:rPr>
          <w:rFonts w:cs="Verdana"/>
          <w:u w:val="single"/>
          <w:lang w:val="en-US" w:eastAsia="en-GB"/>
        </w:rPr>
        <w:t>Persistence</w:t>
      </w:r>
    </w:p>
    <w:p w14:paraId="168393EB" w14:textId="77777777" w:rsidR="00591FDF" w:rsidRPr="00D10FD9" w:rsidRDefault="00591FDF" w:rsidP="00591FDF">
      <w:pPr>
        <w:jc w:val="both"/>
        <w:rPr>
          <w:rFonts w:cs="Verdana"/>
          <w:lang w:val="en-US" w:eastAsia="en-GB"/>
        </w:rPr>
      </w:pPr>
      <w:r w:rsidRPr="00A12C6E">
        <w:t xml:space="preserve">Based on the available information from </w:t>
      </w:r>
      <w:r>
        <w:t>experimental and estimated data,</w:t>
      </w:r>
      <w:r w:rsidRPr="00A12C6E">
        <w:t xml:space="preserve"> </w:t>
      </w:r>
      <w:proofErr w:type="spellStart"/>
      <w:r>
        <w:t>BaA</w:t>
      </w:r>
      <w:proofErr w:type="spellEnd"/>
      <w:r w:rsidRPr="00A12C6E">
        <w:t xml:space="preserve"> degrades very slowly in soil with half-lives of &gt; 180 d.</w:t>
      </w:r>
      <w:r>
        <w:t xml:space="preserve"> </w:t>
      </w:r>
      <w:r w:rsidRPr="00A12C6E">
        <w:t xml:space="preserve">Thus, the P and the </w:t>
      </w:r>
      <w:proofErr w:type="spellStart"/>
      <w:proofErr w:type="gramStart"/>
      <w:r w:rsidRPr="00A12C6E">
        <w:t>vP</w:t>
      </w:r>
      <w:proofErr w:type="spellEnd"/>
      <w:proofErr w:type="gramEnd"/>
      <w:r w:rsidRPr="00A12C6E">
        <w:t xml:space="preserve"> criteria of REACH Annex XIII are fulfilled.</w:t>
      </w:r>
    </w:p>
    <w:p w14:paraId="50CE4E2D" w14:textId="77777777" w:rsidR="00591FDF" w:rsidRDefault="00591FDF" w:rsidP="00591FDF">
      <w:pPr>
        <w:jc w:val="both"/>
        <w:rPr>
          <w:rFonts w:cs="Verdana"/>
          <w:u w:val="single"/>
          <w:lang w:val="en-US" w:eastAsia="en-GB"/>
        </w:rPr>
      </w:pPr>
    </w:p>
    <w:p w14:paraId="1599E9D8" w14:textId="77777777" w:rsidR="00591FDF" w:rsidRPr="00D10FD9" w:rsidRDefault="00591FDF" w:rsidP="00591FDF">
      <w:pPr>
        <w:jc w:val="both"/>
        <w:rPr>
          <w:rFonts w:cs="Verdana"/>
          <w:u w:val="single"/>
          <w:lang w:val="en-US" w:eastAsia="en-GB"/>
        </w:rPr>
      </w:pPr>
      <w:r>
        <w:rPr>
          <w:rFonts w:cs="Verdana"/>
          <w:u w:val="single"/>
          <w:lang w:val="en-US" w:eastAsia="en-GB"/>
        </w:rPr>
        <w:t>Bioaccumulation</w:t>
      </w:r>
    </w:p>
    <w:p w14:paraId="4CACC09C" w14:textId="77777777" w:rsidR="00591FDF" w:rsidRPr="00D10FD9" w:rsidRDefault="00591FDF" w:rsidP="00591FDF">
      <w:pPr>
        <w:jc w:val="both"/>
        <w:rPr>
          <w:rFonts w:cs="Verdana"/>
          <w:lang w:val="en-US" w:eastAsia="en-GB"/>
        </w:rPr>
      </w:pPr>
      <w:r w:rsidRPr="00A12C6E">
        <w:t xml:space="preserve">The bioaccumulation of </w:t>
      </w:r>
      <w:proofErr w:type="spellStart"/>
      <w:r>
        <w:t>BaA</w:t>
      </w:r>
      <w:proofErr w:type="spellEnd"/>
      <w:r w:rsidRPr="00A12C6E">
        <w:t xml:space="preserve"> in </w:t>
      </w:r>
      <w:r>
        <w:t xml:space="preserve">Crustacea were measured and </w:t>
      </w:r>
      <w:r w:rsidRPr="00A12C6E">
        <w:t>BCFs &gt;</w:t>
      </w:r>
      <w:r>
        <w:t xml:space="preserve"> </w:t>
      </w:r>
      <w:r w:rsidRPr="00A12C6E">
        <w:t xml:space="preserve">5000 </w:t>
      </w:r>
      <w:r>
        <w:t>obtained</w:t>
      </w:r>
      <w:r w:rsidRPr="00A12C6E">
        <w:t>.</w:t>
      </w:r>
      <w:r>
        <w:t xml:space="preserve"> </w:t>
      </w:r>
      <w:r w:rsidRPr="00A12C6E">
        <w:t xml:space="preserve">Thus, the B and the </w:t>
      </w:r>
      <w:proofErr w:type="spellStart"/>
      <w:r w:rsidRPr="00A12C6E">
        <w:t>vB</w:t>
      </w:r>
      <w:proofErr w:type="spellEnd"/>
      <w:r w:rsidRPr="00A12C6E">
        <w:t xml:space="preserve"> criteria of REACH Annex XIII are fulfilled.</w:t>
      </w:r>
    </w:p>
    <w:p w14:paraId="1A6602E8" w14:textId="77777777" w:rsidR="00591FDF" w:rsidRPr="00D10FD9" w:rsidRDefault="00591FDF" w:rsidP="00591FDF">
      <w:pPr>
        <w:jc w:val="both"/>
        <w:rPr>
          <w:rFonts w:cs="Verdana"/>
          <w:lang w:val="en-US" w:eastAsia="en-GB"/>
        </w:rPr>
      </w:pPr>
    </w:p>
    <w:p w14:paraId="568A36C7" w14:textId="77777777" w:rsidR="00591FDF" w:rsidRPr="00475193" w:rsidRDefault="00591FDF" w:rsidP="00591FDF">
      <w:pPr>
        <w:jc w:val="both"/>
        <w:rPr>
          <w:rFonts w:cs="Verdana"/>
          <w:u w:val="single"/>
          <w:lang w:eastAsia="en-GB"/>
        </w:rPr>
      </w:pPr>
      <w:r w:rsidRPr="00475193">
        <w:rPr>
          <w:rFonts w:cs="Verdana"/>
          <w:u w:val="single"/>
          <w:lang w:eastAsia="en-GB"/>
        </w:rPr>
        <w:t>Toxicity</w:t>
      </w:r>
      <w:r>
        <w:rPr>
          <w:rFonts w:cs="Verdana"/>
          <w:u w:val="single"/>
          <w:lang w:eastAsia="en-GB"/>
        </w:rPr>
        <w:t xml:space="preserve"> (only relevant for PBT substances)</w:t>
      </w:r>
    </w:p>
    <w:p w14:paraId="0F64487D" w14:textId="77777777" w:rsidR="00591FDF" w:rsidRDefault="00591FDF" w:rsidP="00591FDF">
      <w:pPr>
        <w:jc w:val="both"/>
      </w:pPr>
      <w:r>
        <w:t xml:space="preserve">Based on available data, the lowest chronic aquatic toxicity was observed for the algae </w:t>
      </w:r>
      <w:proofErr w:type="spellStart"/>
      <w:r w:rsidRPr="00FC6639">
        <w:rPr>
          <w:rFonts w:cs="Courier New"/>
          <w:i/>
        </w:rPr>
        <w:t>Pseudokirchneriella</w:t>
      </w:r>
      <w:proofErr w:type="spellEnd"/>
      <w:r w:rsidRPr="00FC6639">
        <w:rPr>
          <w:rFonts w:cs="Courier New"/>
          <w:i/>
        </w:rPr>
        <w:t xml:space="preserve"> </w:t>
      </w:r>
      <w:proofErr w:type="spellStart"/>
      <w:r w:rsidRPr="00FC6639">
        <w:rPr>
          <w:rFonts w:cs="Courier New"/>
          <w:i/>
        </w:rPr>
        <w:t>subcapitata</w:t>
      </w:r>
      <w:proofErr w:type="spellEnd"/>
      <w:r w:rsidRPr="00FC6639">
        <w:rPr>
          <w:rFonts w:cs="Courier New"/>
          <w:i/>
        </w:rPr>
        <w:t xml:space="preserve"> </w:t>
      </w:r>
      <w:r w:rsidRPr="001606E1">
        <w:rPr>
          <w:rFonts w:cs="Courier New"/>
        </w:rPr>
        <w:t xml:space="preserve">with an EC10 of 1.2 </w:t>
      </w:r>
      <w:proofErr w:type="spellStart"/>
      <w:r w:rsidRPr="001606E1">
        <w:rPr>
          <w:rFonts w:cs="Courier New"/>
        </w:rPr>
        <w:t>μg</w:t>
      </w:r>
      <w:proofErr w:type="spellEnd"/>
      <w:r w:rsidRPr="001606E1">
        <w:rPr>
          <w:rFonts w:cs="Courier New"/>
        </w:rPr>
        <w:t>/l for growth inhibition.</w:t>
      </w:r>
      <w:r>
        <w:rPr>
          <w:rFonts w:cs="Courier New"/>
        </w:rPr>
        <w:t xml:space="preserve"> </w:t>
      </w:r>
      <w:r w:rsidRPr="00A12C6E">
        <w:t xml:space="preserve">Therefore, </w:t>
      </w:r>
      <w:proofErr w:type="spellStart"/>
      <w:r>
        <w:t>BaA</w:t>
      </w:r>
      <w:proofErr w:type="spellEnd"/>
      <w:r w:rsidRPr="00A12C6E">
        <w:t xml:space="preserve"> is a </w:t>
      </w:r>
      <w:r>
        <w:t>very</w:t>
      </w:r>
      <w:r w:rsidRPr="00A12C6E">
        <w:t xml:space="preserve"> toxic substance and fulfils the T criteria in accordance with the criteria and provisions set out in Annex XIII section 1.1.3 a) of REACH</w:t>
      </w:r>
      <w:r w:rsidRPr="00B072C1">
        <w:t>.</w:t>
      </w:r>
      <w:r w:rsidRPr="00D10FD9">
        <w:t xml:space="preserve"> </w:t>
      </w:r>
      <w:r>
        <w:rPr>
          <w:rFonts w:cs="Verdana"/>
          <w:lang w:eastAsia="en-GB"/>
        </w:rPr>
        <w:t>Additionally, the criteria for toxicity of Annex XIII section 1.1.3 b) is fulfilled based on the classification of the substance as Carcinogenic category 1B (hazard statement H350: “May cause cancer”)</w:t>
      </w:r>
      <w:r w:rsidRPr="00D10FD9">
        <w:rPr>
          <w:sz w:val="18"/>
          <w:szCs w:val="18"/>
        </w:rPr>
        <w:t>.</w:t>
      </w:r>
    </w:p>
    <w:p w14:paraId="3D7024E8" w14:textId="77777777" w:rsidR="00DF5414" w:rsidRDefault="00DF5414" w:rsidP="00591FDF">
      <w:pPr>
        <w:jc w:val="both"/>
        <w:rPr>
          <w:rFonts w:cs="Verdana"/>
          <w:lang w:eastAsia="en-GB"/>
        </w:rPr>
      </w:pPr>
    </w:p>
    <w:p w14:paraId="759EC1F9" w14:textId="6F724C71" w:rsidR="00591FDF" w:rsidRPr="00DF5414" w:rsidRDefault="00DF5414" w:rsidP="00591FDF">
      <w:pPr>
        <w:jc w:val="both"/>
        <w:rPr>
          <w:rFonts w:cs="Verdana"/>
          <w:u w:val="single"/>
          <w:lang w:eastAsia="en-GB"/>
        </w:rPr>
      </w:pPr>
      <w:r w:rsidRPr="00DF5414">
        <w:rPr>
          <w:rFonts w:cs="Verdana"/>
          <w:u w:val="single"/>
          <w:lang w:eastAsia="en-GB"/>
        </w:rPr>
        <w:t>C</w:t>
      </w:r>
      <w:r w:rsidR="00591FDF" w:rsidRPr="00DF5414">
        <w:rPr>
          <w:rFonts w:cs="Verdana"/>
          <w:u w:val="single"/>
          <w:lang w:eastAsia="en-GB"/>
        </w:rPr>
        <w:t>onclusion</w:t>
      </w:r>
    </w:p>
    <w:p w14:paraId="7E76007C" w14:textId="26EFEF70" w:rsidR="00591FDF" w:rsidRPr="00FA6F76" w:rsidRDefault="00591FDF" w:rsidP="00591FDF">
      <w:pPr>
        <w:jc w:val="both"/>
        <w:rPr>
          <w:lang w:eastAsia="en-US"/>
        </w:rPr>
      </w:pPr>
      <w:r w:rsidRPr="009F2950">
        <w:rPr>
          <w:lang w:eastAsia="en-US"/>
        </w:rPr>
        <w:t xml:space="preserve">In conclusion, </w:t>
      </w:r>
      <w:proofErr w:type="spellStart"/>
      <w:proofErr w:type="gramStart"/>
      <w:r>
        <w:rPr>
          <w:szCs w:val="24"/>
          <w:lang w:eastAsia="en-US"/>
        </w:rPr>
        <w:t>benz</w:t>
      </w:r>
      <w:proofErr w:type="spellEnd"/>
      <w:r>
        <w:rPr>
          <w:szCs w:val="24"/>
          <w:lang w:eastAsia="en-US"/>
        </w:rPr>
        <w:t>[</w:t>
      </w:r>
      <w:proofErr w:type="gramEnd"/>
      <w:r w:rsidRPr="00551770">
        <w:rPr>
          <w:i/>
          <w:szCs w:val="24"/>
          <w:lang w:eastAsia="en-US"/>
        </w:rPr>
        <w:t>a</w:t>
      </w:r>
      <w:r>
        <w:rPr>
          <w:szCs w:val="24"/>
          <w:lang w:eastAsia="en-US"/>
        </w:rPr>
        <w:t>]anthracene</w:t>
      </w:r>
      <w:r w:rsidRPr="00626669">
        <w:rPr>
          <w:szCs w:val="24"/>
          <w:lang w:eastAsia="en-US"/>
        </w:rPr>
        <w:t xml:space="preserve"> </w:t>
      </w:r>
      <w:r w:rsidRPr="009A0757">
        <w:rPr>
          <w:lang w:eastAsia="en-US"/>
        </w:rPr>
        <w:t xml:space="preserve">meets the criteria for </w:t>
      </w:r>
      <w:r w:rsidRPr="00337164">
        <w:rPr>
          <w:lang w:eastAsia="en-US"/>
        </w:rPr>
        <w:t>a</w:t>
      </w:r>
      <w:r w:rsidRPr="00337164">
        <w:rPr>
          <w:i/>
          <w:lang w:eastAsia="en-US"/>
        </w:rPr>
        <w:t xml:space="preserve"> </w:t>
      </w:r>
      <w:r w:rsidRPr="00D10FD9">
        <w:rPr>
          <w:lang w:eastAsia="en-US"/>
        </w:rPr>
        <w:t xml:space="preserve">PBT and </w:t>
      </w:r>
      <w:proofErr w:type="spellStart"/>
      <w:r w:rsidRPr="00D10FD9">
        <w:rPr>
          <w:lang w:eastAsia="en-US"/>
        </w:rPr>
        <w:t>vPvB</w:t>
      </w:r>
      <w:proofErr w:type="spellEnd"/>
      <w:r w:rsidRPr="00FA6F76">
        <w:rPr>
          <w:i/>
          <w:lang w:eastAsia="en-US"/>
        </w:rPr>
        <w:t xml:space="preserve"> </w:t>
      </w:r>
      <w:r w:rsidRPr="00475193">
        <w:rPr>
          <w:lang w:eastAsia="en-US"/>
        </w:rPr>
        <w:t>substance</w:t>
      </w:r>
      <w:r w:rsidRPr="00FA6F76">
        <w:rPr>
          <w:lang w:eastAsia="en-US"/>
        </w:rPr>
        <w:t xml:space="preserve"> according to </w:t>
      </w:r>
      <w:r w:rsidRPr="00D10FD9">
        <w:rPr>
          <w:lang w:eastAsia="en-US"/>
        </w:rPr>
        <w:t>Article 57</w:t>
      </w:r>
      <w:r>
        <w:rPr>
          <w:lang w:eastAsia="en-US"/>
        </w:rPr>
        <w:t xml:space="preserve"> </w:t>
      </w:r>
      <w:r w:rsidRPr="00D10FD9">
        <w:rPr>
          <w:lang w:eastAsia="en-US"/>
        </w:rPr>
        <w:t>(d) and (e)</w:t>
      </w:r>
      <w:r>
        <w:rPr>
          <w:i/>
          <w:lang w:eastAsia="en-US"/>
        </w:rPr>
        <w:t xml:space="preserve"> </w:t>
      </w:r>
      <w:r w:rsidRPr="00BD2574">
        <w:rPr>
          <w:lang w:eastAsia="en-US"/>
        </w:rPr>
        <w:t>REACH</w:t>
      </w:r>
      <w:r>
        <w:rPr>
          <w:lang w:eastAsia="en-US"/>
        </w:rPr>
        <w:t xml:space="preserve"> based on a w</w:t>
      </w:r>
      <w:r w:rsidR="00385B39">
        <w:rPr>
          <w:lang w:eastAsia="en-US"/>
        </w:rPr>
        <w:t>eight-of-evidence determination</w:t>
      </w:r>
      <w:r w:rsidR="00DF5414">
        <w:rPr>
          <w:lang w:eastAsia="en-US"/>
        </w:rPr>
        <w:t>.</w:t>
      </w:r>
    </w:p>
    <w:p w14:paraId="115C5CBC" w14:textId="47F0B13F" w:rsidR="00915B7A" w:rsidRDefault="00915B7A" w:rsidP="00E42790">
      <w:pPr>
        <w:widowControl/>
        <w:autoSpaceDE w:val="0"/>
        <w:autoSpaceDN w:val="0"/>
        <w:adjustRightInd w:val="0"/>
        <w:jc w:val="both"/>
        <w:rPr>
          <w:lang w:eastAsia="en-US"/>
        </w:rPr>
      </w:pPr>
    </w:p>
    <w:p w14:paraId="115C5CEB" w14:textId="6640F175" w:rsidR="00B12C39" w:rsidRPr="00CD2F3D" w:rsidRDefault="00B12C39" w:rsidP="00CD2F3D">
      <w:pPr>
        <w:pStyle w:val="Title"/>
        <w:numPr>
          <w:ilvl w:val="0"/>
          <w:numId w:val="0"/>
        </w:numPr>
        <w:jc w:val="center"/>
        <w:rPr>
          <w:sz w:val="32"/>
        </w:rPr>
      </w:pPr>
      <w:r>
        <w:rPr>
          <w:highlight w:val="yellow"/>
        </w:rPr>
        <w:br w:type="page"/>
      </w:r>
      <w:bookmarkStart w:id="707" w:name="_Toc316637392"/>
      <w:bookmarkStart w:id="708" w:name="_Toc341888619"/>
      <w:bookmarkStart w:id="709" w:name="_Toc342400479"/>
      <w:bookmarkStart w:id="710" w:name="_Toc357184272"/>
      <w:bookmarkStart w:id="711" w:name="_Toc357184508"/>
      <w:bookmarkStart w:id="712" w:name="_Toc357185310"/>
      <w:bookmarkStart w:id="713" w:name="_Toc357186158"/>
      <w:bookmarkStart w:id="714" w:name="_Toc357186307"/>
      <w:bookmarkStart w:id="715" w:name="_Toc357437596"/>
      <w:bookmarkStart w:id="716" w:name="_Toc357590869"/>
      <w:bookmarkStart w:id="717" w:name="_Toc357692901"/>
      <w:bookmarkStart w:id="718" w:name="_Toc365649727"/>
      <w:bookmarkStart w:id="719" w:name="_Toc365649876"/>
      <w:bookmarkStart w:id="720" w:name="_Toc366489928"/>
      <w:bookmarkStart w:id="721" w:name="_Toc418498632"/>
      <w:bookmarkStart w:id="722" w:name="_Toc418506087"/>
      <w:bookmarkStart w:id="723" w:name="_Toc491810760"/>
      <w:r w:rsidRPr="00CD2F3D">
        <w:rPr>
          <w:sz w:val="32"/>
        </w:rPr>
        <w:lastRenderedPageBreak/>
        <w:t>Part II</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115C5D00" w14:textId="77777777" w:rsidR="00683CE9" w:rsidRPr="00683CE9" w:rsidRDefault="00683CE9" w:rsidP="00683CE9">
      <w:pPr>
        <w:rPr>
          <w:lang w:eastAsia="en-US"/>
        </w:rPr>
      </w:pPr>
      <w:bookmarkStart w:id="724" w:name="_Toc316637393"/>
      <w:bookmarkStart w:id="725" w:name="_Toc341888620"/>
      <w:bookmarkStart w:id="726" w:name="_Toc342400480"/>
    </w:p>
    <w:p w14:paraId="115C5D01" w14:textId="77777777" w:rsidR="0089087B" w:rsidRDefault="0089087B" w:rsidP="0089087B">
      <w:pPr>
        <w:pStyle w:val="Heading1"/>
      </w:pPr>
      <w:bookmarkStart w:id="727" w:name="_Toc422996193"/>
      <w:bookmarkStart w:id="728" w:name="_Toc491810761"/>
      <w:bookmarkEnd w:id="724"/>
      <w:bookmarkEnd w:id="725"/>
      <w:bookmarkEnd w:id="726"/>
      <w:r>
        <w:t>Registration and C&amp;L notification status</w:t>
      </w:r>
      <w:bookmarkEnd w:id="727"/>
      <w:bookmarkEnd w:id="728"/>
      <w:r>
        <w:t xml:space="preserve"> </w:t>
      </w:r>
    </w:p>
    <w:p w14:paraId="115C5D02" w14:textId="77777777" w:rsidR="0089087B" w:rsidRDefault="00B467B2" w:rsidP="00B467B2">
      <w:pPr>
        <w:pStyle w:val="Heading2"/>
        <w:numPr>
          <w:ilvl w:val="1"/>
          <w:numId w:val="19"/>
        </w:numPr>
        <w:tabs>
          <w:tab w:val="clear" w:pos="360"/>
          <w:tab w:val="num" w:pos="284"/>
        </w:tabs>
      </w:pPr>
      <w:bookmarkStart w:id="729" w:name="_Toc422996194"/>
      <w:bookmarkStart w:id="730" w:name="_Toc491810762"/>
      <w:r>
        <w:t>R</w:t>
      </w:r>
      <w:r w:rsidR="0089087B">
        <w:t>egistration status</w:t>
      </w:r>
      <w:bookmarkEnd w:id="729"/>
      <w:bookmarkEnd w:id="730"/>
      <w:r w:rsidR="0089087B">
        <w:t xml:space="preserve"> </w:t>
      </w:r>
    </w:p>
    <w:p w14:paraId="115C5D0C" w14:textId="348F60E7" w:rsidR="0089087B" w:rsidRDefault="00167BE0" w:rsidP="0089087B">
      <w:pPr>
        <w:pStyle w:val="BodyText"/>
        <w:rPr>
          <w:bCs/>
        </w:rPr>
      </w:pPr>
      <w:proofErr w:type="spellStart"/>
      <w:r>
        <w:rPr>
          <w:bCs/>
        </w:rPr>
        <w:t>BaA</w:t>
      </w:r>
      <w:proofErr w:type="spellEnd"/>
      <w:r>
        <w:rPr>
          <w:bCs/>
        </w:rPr>
        <w:t xml:space="preserve"> is not produced intentionally and is not </w:t>
      </w:r>
      <w:r w:rsidR="001B420F">
        <w:rPr>
          <w:bCs/>
        </w:rPr>
        <w:t>registered within the scope of</w:t>
      </w:r>
      <w:r w:rsidR="00B5009E">
        <w:rPr>
          <w:bCs/>
        </w:rPr>
        <w:t xml:space="preserve"> the</w:t>
      </w:r>
      <w:r w:rsidR="001B420F">
        <w:rPr>
          <w:bCs/>
        </w:rPr>
        <w:t xml:space="preserve"> </w:t>
      </w:r>
      <w:r w:rsidR="00B5009E">
        <w:rPr>
          <w:bCs/>
        </w:rPr>
        <w:t>R</w:t>
      </w:r>
      <w:r w:rsidR="001B420F">
        <w:rPr>
          <w:bCs/>
        </w:rPr>
        <w:t>egulation REACH</w:t>
      </w:r>
      <w:r>
        <w:rPr>
          <w:bCs/>
        </w:rPr>
        <w:t>.</w:t>
      </w:r>
      <w:r w:rsidR="00037EE9">
        <w:rPr>
          <w:bCs/>
        </w:rPr>
        <w:t xml:space="preserve"> </w:t>
      </w:r>
      <w:r>
        <w:rPr>
          <w:bCs/>
        </w:rPr>
        <w:t xml:space="preserve"> </w:t>
      </w:r>
    </w:p>
    <w:p w14:paraId="115C5D0D" w14:textId="77777777" w:rsidR="003819B8" w:rsidRDefault="003819B8" w:rsidP="0053184F">
      <w:pPr>
        <w:pStyle w:val="BodyText"/>
      </w:pPr>
    </w:p>
    <w:p w14:paraId="115C5D0E" w14:textId="77777777" w:rsidR="001340DF" w:rsidRDefault="001340DF" w:rsidP="001340DF">
      <w:pPr>
        <w:pStyle w:val="Heading2"/>
      </w:pPr>
      <w:bookmarkStart w:id="731" w:name="_Toc422996196"/>
      <w:bookmarkStart w:id="732" w:name="_Toc491810763"/>
      <w:r>
        <w:t>7.</w:t>
      </w:r>
      <w:r w:rsidR="001A3B94">
        <w:t>2</w:t>
      </w:r>
      <w:r>
        <w:t xml:space="preserve"> </w:t>
      </w:r>
      <w:r w:rsidRPr="00793703">
        <w:t xml:space="preserve">CLP </w:t>
      </w:r>
      <w:r>
        <w:t>n</w:t>
      </w:r>
      <w:r w:rsidRPr="00793703">
        <w:t xml:space="preserve">otification </w:t>
      </w:r>
      <w:r>
        <w:t>s</w:t>
      </w:r>
      <w:r w:rsidRPr="00793703">
        <w:t>tatus</w:t>
      </w:r>
      <w:bookmarkEnd w:id="731"/>
      <w:bookmarkEnd w:id="732"/>
    </w:p>
    <w:p w14:paraId="115C5D0F" w14:textId="7B8552E2" w:rsidR="003215DB" w:rsidRPr="00F2268F" w:rsidRDefault="003215DB" w:rsidP="003215DB">
      <w:pPr>
        <w:pStyle w:val="Caption"/>
        <w:rPr>
          <w:sz w:val="20"/>
          <w:szCs w:val="20"/>
        </w:rPr>
      </w:pPr>
      <w:r w:rsidRPr="00CC694B">
        <w:t xml:space="preserve">Table </w:t>
      </w:r>
      <w:r w:rsidR="00F22C46" w:rsidRPr="00CC694B">
        <w:t>7</w:t>
      </w:r>
      <w:r w:rsidRPr="00F2268F">
        <w:rPr>
          <w:sz w:val="20"/>
          <w:szCs w:val="20"/>
        </w:rPr>
        <w:t>: CLP notifications</w:t>
      </w:r>
    </w:p>
    <w:tbl>
      <w:tblPr>
        <w:tblW w:w="4904" w:type="pct"/>
        <w:tblInd w:w="107" w:type="dxa"/>
        <w:tblLayout w:type="fixed"/>
        <w:tblLook w:val="0000" w:firstRow="0" w:lastRow="0" w:firstColumn="0" w:lastColumn="0" w:noHBand="0" w:noVBand="0"/>
      </w:tblPr>
      <w:tblGrid>
        <w:gridCol w:w="6067"/>
        <w:gridCol w:w="2662"/>
      </w:tblGrid>
      <w:tr w:rsidR="001340DF" w:rsidRPr="00A53620" w14:paraId="115C5D12" w14:textId="77777777" w:rsidTr="00550964">
        <w:trPr>
          <w:cantSplit/>
          <w:trHeight w:val="98"/>
        </w:trPr>
        <w:tc>
          <w:tcPr>
            <w:tcW w:w="3475" w:type="pct"/>
            <w:tcBorders>
              <w:top w:val="single" w:sz="2" w:space="0" w:color="auto"/>
              <w:left w:val="single" w:sz="4" w:space="0" w:color="auto"/>
              <w:bottom w:val="single" w:sz="4" w:space="0" w:color="auto"/>
              <w:right w:val="single" w:sz="4" w:space="0" w:color="auto"/>
            </w:tcBorders>
          </w:tcPr>
          <w:p w14:paraId="115C5D10" w14:textId="77777777" w:rsidR="001340DF" w:rsidRPr="00554DC9" w:rsidRDefault="001340DF" w:rsidP="00550964">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115C5D11" w14:textId="77777777" w:rsidR="001340DF" w:rsidRPr="00554DC9" w:rsidRDefault="001340DF" w:rsidP="00550964">
            <w:pPr>
              <w:spacing w:before="60" w:after="60"/>
              <w:jc w:val="center"/>
              <w:rPr>
                <w:b/>
                <w:sz w:val="18"/>
                <w:szCs w:val="16"/>
              </w:rPr>
            </w:pPr>
            <w:r w:rsidRPr="00554DC9">
              <w:rPr>
                <w:b/>
                <w:sz w:val="18"/>
                <w:szCs w:val="16"/>
              </w:rPr>
              <w:t>CLP Notifications</w:t>
            </w:r>
            <w:r w:rsidRPr="00554DC9">
              <w:rPr>
                <w:rStyle w:val="FootnoteReference"/>
                <w:rFonts w:ascii="Verdana" w:hAnsi="Verdana"/>
                <w:b/>
                <w:sz w:val="18"/>
              </w:rPr>
              <w:footnoteReference w:id="3"/>
            </w:r>
          </w:p>
        </w:tc>
      </w:tr>
      <w:tr w:rsidR="001340DF" w:rsidRPr="00A53620" w14:paraId="115C5D15"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15C5D13" w14:textId="77777777" w:rsidR="001340DF" w:rsidRPr="00A22024" w:rsidRDefault="001340DF" w:rsidP="00550964">
            <w:pPr>
              <w:spacing w:before="60" w:after="60"/>
              <w:ind w:right="-108"/>
              <w:rPr>
                <w:sz w:val="18"/>
                <w:szCs w:val="16"/>
              </w:rPr>
            </w:pPr>
            <w:r w:rsidRPr="00A22024">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115C5D14" w14:textId="769EE5A0" w:rsidR="001340DF" w:rsidRPr="00554DC9" w:rsidRDefault="00E904D6" w:rsidP="00550964">
            <w:pPr>
              <w:spacing w:before="60" w:after="60"/>
              <w:jc w:val="center"/>
              <w:rPr>
                <w:sz w:val="18"/>
                <w:szCs w:val="16"/>
              </w:rPr>
            </w:pPr>
            <w:r>
              <w:rPr>
                <w:sz w:val="18"/>
                <w:szCs w:val="16"/>
              </w:rPr>
              <w:t>9</w:t>
            </w:r>
          </w:p>
        </w:tc>
      </w:tr>
      <w:tr w:rsidR="001340DF" w:rsidRPr="00A53620" w14:paraId="115C5D18"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15C5D16" w14:textId="77777777" w:rsidR="001340DF" w:rsidRPr="00A22024" w:rsidRDefault="001340DF" w:rsidP="00550964">
            <w:pPr>
              <w:spacing w:before="60" w:after="60"/>
              <w:ind w:right="-108"/>
              <w:rPr>
                <w:color w:val="000000"/>
                <w:sz w:val="18"/>
                <w:szCs w:val="16"/>
              </w:rPr>
            </w:pPr>
            <w:r w:rsidRPr="00A22024">
              <w:rPr>
                <w:sz w:val="18"/>
                <w:szCs w:val="16"/>
              </w:rPr>
              <w:t xml:space="preserve">Total number of </w:t>
            </w:r>
            <w:proofErr w:type="spellStart"/>
            <w:r w:rsidRPr="00A22024">
              <w:rPr>
                <w:sz w:val="18"/>
                <w:szCs w:val="16"/>
              </w:rPr>
              <w:t>notifiers</w:t>
            </w:r>
            <w:proofErr w:type="spellEnd"/>
            <w:r w:rsidRPr="00A22024">
              <w:rPr>
                <w:sz w:val="18"/>
                <w:szCs w:val="16"/>
              </w:rPr>
              <w:t xml:space="preserve"> </w:t>
            </w:r>
          </w:p>
        </w:tc>
        <w:tc>
          <w:tcPr>
            <w:tcW w:w="1525" w:type="pct"/>
            <w:tcBorders>
              <w:top w:val="single" w:sz="2" w:space="0" w:color="auto"/>
              <w:left w:val="single" w:sz="4" w:space="0" w:color="auto"/>
              <w:bottom w:val="single" w:sz="2" w:space="0" w:color="auto"/>
              <w:right w:val="single" w:sz="2" w:space="0" w:color="auto"/>
            </w:tcBorders>
          </w:tcPr>
          <w:p w14:paraId="115C5D17" w14:textId="48DC2BC7" w:rsidR="001340DF" w:rsidRPr="00554DC9" w:rsidRDefault="00E904D6" w:rsidP="00550964">
            <w:pPr>
              <w:spacing w:before="60" w:after="60"/>
              <w:jc w:val="center"/>
              <w:rPr>
                <w:sz w:val="18"/>
                <w:szCs w:val="16"/>
              </w:rPr>
            </w:pPr>
            <w:r>
              <w:rPr>
                <w:sz w:val="18"/>
                <w:szCs w:val="16"/>
              </w:rPr>
              <w:t>480</w:t>
            </w:r>
          </w:p>
        </w:tc>
      </w:tr>
    </w:tbl>
    <w:p w14:paraId="115C5D1E" w14:textId="77777777" w:rsidR="00577AFB" w:rsidRDefault="00577AFB" w:rsidP="00554DC9">
      <w:pPr>
        <w:rPr>
          <w:color w:val="0046AD"/>
        </w:rPr>
      </w:pPr>
    </w:p>
    <w:p w14:paraId="555602CB" w14:textId="77777777" w:rsidR="002A515F" w:rsidRDefault="002A515F" w:rsidP="00554DC9">
      <w:pPr>
        <w:rPr>
          <w:color w:val="0046AD"/>
        </w:rPr>
      </w:pPr>
    </w:p>
    <w:p w14:paraId="09D2DD12" w14:textId="77777777" w:rsidR="00CC694B" w:rsidRDefault="00CC694B" w:rsidP="00554DC9">
      <w:pPr>
        <w:rPr>
          <w:color w:val="0046AD"/>
        </w:rPr>
      </w:pPr>
    </w:p>
    <w:p w14:paraId="115C5D1F" w14:textId="77777777" w:rsidR="00CD0831" w:rsidRPr="00CD0831" w:rsidRDefault="00CD0831" w:rsidP="00CD0831">
      <w:pPr>
        <w:pStyle w:val="Heading1"/>
      </w:pPr>
      <w:bookmarkStart w:id="733" w:name="_Toc491810764"/>
      <w:bookmarkStart w:id="734" w:name="_Toc422996197"/>
      <w:r>
        <w:t>Total tonnage of the substance</w:t>
      </w:r>
      <w:bookmarkEnd w:id="733"/>
      <w:r>
        <w:t xml:space="preserve"> </w:t>
      </w:r>
    </w:p>
    <w:p w14:paraId="735D52E4" w14:textId="44C9A78E" w:rsidR="00410351" w:rsidRDefault="00410351" w:rsidP="00F33564">
      <w:pPr>
        <w:pStyle w:val="CommentText"/>
        <w:jc w:val="both"/>
        <w:rPr>
          <w:szCs w:val="24"/>
        </w:rPr>
      </w:pPr>
      <w:proofErr w:type="spellStart"/>
      <w:r w:rsidRPr="00D10FD9">
        <w:rPr>
          <w:rFonts w:cs="Arial"/>
          <w:szCs w:val="18"/>
        </w:rPr>
        <w:t>BaA</w:t>
      </w:r>
      <w:proofErr w:type="spellEnd"/>
      <w:r w:rsidRPr="00D10FD9">
        <w:rPr>
          <w:rFonts w:cs="Arial"/>
          <w:szCs w:val="18"/>
        </w:rPr>
        <w:t xml:space="preserve"> </w:t>
      </w:r>
      <w:r w:rsidR="00D80B5D">
        <w:rPr>
          <w:rFonts w:cs="Arial"/>
          <w:szCs w:val="18"/>
        </w:rPr>
        <w:t>i</w:t>
      </w:r>
      <w:r w:rsidRPr="00D10FD9">
        <w:rPr>
          <w:rFonts w:cs="Arial"/>
          <w:szCs w:val="18"/>
        </w:rPr>
        <w:t xml:space="preserve">s not produced intentionally and is not registered within the scope of </w:t>
      </w:r>
      <w:r w:rsidR="00B5009E">
        <w:rPr>
          <w:rFonts w:cs="Arial"/>
          <w:szCs w:val="18"/>
        </w:rPr>
        <w:t>the R</w:t>
      </w:r>
      <w:r w:rsidRPr="00D10FD9">
        <w:rPr>
          <w:rFonts w:cs="Arial"/>
          <w:szCs w:val="18"/>
        </w:rPr>
        <w:t xml:space="preserve">egulation REACH. </w:t>
      </w:r>
      <w:r>
        <w:rPr>
          <w:rFonts w:cs="Arial"/>
          <w:szCs w:val="18"/>
        </w:rPr>
        <w:t>In general, PAH</w:t>
      </w:r>
      <w:r w:rsidR="005F6B11">
        <w:rPr>
          <w:rFonts w:cs="Arial"/>
          <w:szCs w:val="18"/>
        </w:rPr>
        <w:t>s</w:t>
      </w:r>
      <w:r>
        <w:rPr>
          <w:rFonts w:cs="Arial"/>
          <w:szCs w:val="18"/>
        </w:rPr>
        <w:t xml:space="preserve"> occur as constituents in substances from the coal and petroleum stream. </w:t>
      </w:r>
      <w:r w:rsidR="003B2B8A" w:rsidRPr="00A12C6E">
        <w:rPr>
          <w:szCs w:val="24"/>
        </w:rPr>
        <w:t>Such substances are mostly Multi-Constituent Substances (MCSs) or Substances of Unknown or Variable composition, Complex reaction products or Biological materials (UVCB substances).</w:t>
      </w:r>
      <w:r w:rsidR="003B2B8A">
        <w:rPr>
          <w:szCs w:val="24"/>
        </w:rPr>
        <w:t xml:space="preserve"> UVCB substances and MCSs, containing </w:t>
      </w:r>
      <w:proofErr w:type="spellStart"/>
      <w:r w:rsidR="003B2B8A">
        <w:rPr>
          <w:szCs w:val="24"/>
        </w:rPr>
        <w:t>BaA</w:t>
      </w:r>
      <w:proofErr w:type="spellEnd"/>
      <w:r w:rsidR="003B2B8A">
        <w:rPr>
          <w:szCs w:val="24"/>
        </w:rPr>
        <w:t xml:space="preserve"> are used in a broad range of </w:t>
      </w:r>
      <w:r w:rsidR="00F657E2">
        <w:rPr>
          <w:szCs w:val="24"/>
        </w:rPr>
        <w:t>uses</w:t>
      </w:r>
      <w:r w:rsidR="003B2B8A">
        <w:rPr>
          <w:szCs w:val="24"/>
        </w:rPr>
        <w:t xml:space="preserve">, e.g. production of other chemicals and rubber, </w:t>
      </w:r>
      <w:r w:rsidR="00F657E2">
        <w:rPr>
          <w:szCs w:val="24"/>
        </w:rPr>
        <w:t>uses in road construction and as lubricants.</w:t>
      </w:r>
      <w:r w:rsidR="00576F40">
        <w:rPr>
          <w:szCs w:val="24"/>
        </w:rPr>
        <w:t xml:space="preserve"> </w:t>
      </w:r>
    </w:p>
    <w:p w14:paraId="68F0A7AC" w14:textId="77777777" w:rsidR="00410351" w:rsidRPr="00AF4E06" w:rsidRDefault="00410351" w:rsidP="00D0549E">
      <w:pPr>
        <w:pStyle w:val="CommentText"/>
        <w:rPr>
          <w:rFonts w:cs="Arial"/>
          <w:i/>
          <w:color w:val="002555"/>
          <w:szCs w:val="18"/>
        </w:rPr>
      </w:pPr>
    </w:p>
    <w:p w14:paraId="115C5D2E" w14:textId="418FCFF9" w:rsidR="00577AFB" w:rsidRPr="00577AFB" w:rsidRDefault="0060359C" w:rsidP="00577AFB">
      <w:pPr>
        <w:rPr>
          <w:lang w:eastAsia="en-US"/>
        </w:rPr>
      </w:pPr>
      <w:r>
        <w:rPr>
          <w:lang w:eastAsia="en-US"/>
        </w:rPr>
        <w:t>Please refer to Annex I</w:t>
      </w:r>
      <w:r w:rsidR="00144803">
        <w:rPr>
          <w:lang w:eastAsia="en-US"/>
        </w:rPr>
        <w:t xml:space="preserve">II for an overview of tonnages </w:t>
      </w:r>
      <w:r>
        <w:rPr>
          <w:lang w:eastAsia="en-US"/>
        </w:rPr>
        <w:t xml:space="preserve">of UVCBs which do contain </w:t>
      </w:r>
      <w:proofErr w:type="spellStart"/>
      <w:r>
        <w:rPr>
          <w:lang w:eastAsia="en-US"/>
        </w:rPr>
        <w:t>BaA</w:t>
      </w:r>
      <w:proofErr w:type="spellEnd"/>
      <w:r>
        <w:rPr>
          <w:lang w:eastAsia="en-US"/>
        </w:rPr>
        <w:t xml:space="preserve"> as a constituent. </w:t>
      </w:r>
    </w:p>
    <w:p w14:paraId="00128A7C" w14:textId="77777777" w:rsidR="007831E5" w:rsidRPr="007831E5" w:rsidRDefault="007831E5" w:rsidP="007831E5">
      <w:pPr>
        <w:pStyle w:val="BodyText"/>
      </w:pPr>
    </w:p>
    <w:p w14:paraId="115C5D30" w14:textId="77777777" w:rsidR="00554DC9" w:rsidRPr="0077059D" w:rsidRDefault="00554DC9" w:rsidP="00554DC9">
      <w:pPr>
        <w:pStyle w:val="Heading1"/>
      </w:pPr>
      <w:bookmarkStart w:id="735" w:name="_Toc491810765"/>
      <w:r w:rsidRPr="0077059D">
        <w:t>Information on uses of the substance</w:t>
      </w:r>
      <w:bookmarkEnd w:id="734"/>
      <w:bookmarkEnd w:id="735"/>
    </w:p>
    <w:p w14:paraId="115C5D3B" w14:textId="317E17BE" w:rsidR="00B05510" w:rsidRPr="001206E6" w:rsidRDefault="00291107" w:rsidP="00D10FD9">
      <w:pPr>
        <w:pStyle w:val="NormalItalic"/>
        <w:rPr>
          <w:b/>
          <w:sz w:val="18"/>
        </w:rPr>
      </w:pPr>
      <w:r>
        <w:rPr>
          <w:i w:val="0"/>
        </w:rPr>
        <w:t xml:space="preserve">There are numerous UVCB substances that contain </w:t>
      </w:r>
      <w:proofErr w:type="spellStart"/>
      <w:r>
        <w:rPr>
          <w:i w:val="0"/>
        </w:rPr>
        <w:t>BaA</w:t>
      </w:r>
      <w:proofErr w:type="spellEnd"/>
      <w:r>
        <w:rPr>
          <w:i w:val="0"/>
        </w:rPr>
        <w:t xml:space="preserve">. </w:t>
      </w:r>
      <w:r w:rsidR="005E3E93">
        <w:rPr>
          <w:i w:val="0"/>
        </w:rPr>
        <w:t xml:space="preserve">These substances have </w:t>
      </w:r>
      <w:r w:rsidR="006B08A8">
        <w:rPr>
          <w:i w:val="0"/>
        </w:rPr>
        <w:t xml:space="preserve">wide dispersive uses </w:t>
      </w:r>
      <w:r>
        <w:rPr>
          <w:i w:val="0"/>
        </w:rPr>
        <w:t xml:space="preserve">for </w:t>
      </w:r>
      <w:r w:rsidR="00BA121A">
        <w:rPr>
          <w:i w:val="0"/>
        </w:rPr>
        <w:t>which</w:t>
      </w:r>
      <w:r>
        <w:rPr>
          <w:i w:val="0"/>
        </w:rPr>
        <w:t xml:space="preserve"> </w:t>
      </w:r>
      <w:proofErr w:type="spellStart"/>
      <w:r>
        <w:rPr>
          <w:i w:val="0"/>
        </w:rPr>
        <w:t>BaA</w:t>
      </w:r>
      <w:proofErr w:type="spellEnd"/>
      <w:r>
        <w:rPr>
          <w:i w:val="0"/>
        </w:rPr>
        <w:t xml:space="preserve"> was reported as constituent or are known to </w:t>
      </w:r>
      <w:r w:rsidR="00C9221F">
        <w:rPr>
          <w:i w:val="0"/>
        </w:rPr>
        <w:t>contain</w:t>
      </w:r>
      <w:r>
        <w:rPr>
          <w:i w:val="0"/>
        </w:rPr>
        <w:t xml:space="preserve"> </w:t>
      </w:r>
      <w:proofErr w:type="spellStart"/>
      <w:r>
        <w:rPr>
          <w:i w:val="0"/>
        </w:rPr>
        <w:t>BaA</w:t>
      </w:r>
      <w:proofErr w:type="spellEnd"/>
      <w:r>
        <w:rPr>
          <w:i w:val="0"/>
        </w:rPr>
        <w:t xml:space="preserve">. </w:t>
      </w:r>
      <w:r w:rsidR="00040E7C">
        <w:rPr>
          <w:i w:val="0"/>
        </w:rPr>
        <w:t>Among the reported uses are: Uses in Coating</w:t>
      </w:r>
      <w:r w:rsidR="00C9221F">
        <w:rPr>
          <w:i w:val="0"/>
        </w:rPr>
        <w:t>s</w:t>
      </w:r>
      <w:r w:rsidR="00040E7C">
        <w:rPr>
          <w:i w:val="0"/>
        </w:rPr>
        <w:t>, uses in road and construction application</w:t>
      </w:r>
      <w:r w:rsidR="00C9221F">
        <w:rPr>
          <w:i w:val="0"/>
        </w:rPr>
        <w:t>s</w:t>
      </w:r>
      <w:r w:rsidR="00040E7C">
        <w:rPr>
          <w:i w:val="0"/>
        </w:rPr>
        <w:t xml:space="preserve">, </w:t>
      </w:r>
      <w:r w:rsidR="00A51676">
        <w:rPr>
          <w:i w:val="0"/>
        </w:rPr>
        <w:t xml:space="preserve">in binders or agents and in cleaning agents. </w:t>
      </w:r>
      <w:r w:rsidR="005F4D39">
        <w:rPr>
          <w:i w:val="0"/>
        </w:rPr>
        <w:t xml:space="preserve">Those uses are suitable to contribute to a significant environmental exposure. </w:t>
      </w:r>
      <w:r w:rsidR="00C9221F" w:rsidRPr="00C9221F">
        <w:rPr>
          <w:i w:val="0"/>
          <w:szCs w:val="20"/>
        </w:rPr>
        <w:t xml:space="preserve">The low quality of registration dossiers were issued during </w:t>
      </w:r>
      <w:r w:rsidR="00481109">
        <w:rPr>
          <w:i w:val="0"/>
          <w:szCs w:val="20"/>
        </w:rPr>
        <w:t>informal</w:t>
      </w:r>
      <w:r w:rsidR="00481109" w:rsidRPr="00C9221F">
        <w:rPr>
          <w:i w:val="0"/>
          <w:szCs w:val="20"/>
        </w:rPr>
        <w:t xml:space="preserve"> </w:t>
      </w:r>
      <w:r w:rsidR="00C9221F" w:rsidRPr="00C9221F">
        <w:rPr>
          <w:i w:val="0"/>
          <w:szCs w:val="20"/>
        </w:rPr>
        <w:t xml:space="preserve">meetings </w:t>
      </w:r>
      <w:r w:rsidR="006119D0">
        <w:rPr>
          <w:i w:val="0"/>
          <w:szCs w:val="20"/>
        </w:rPr>
        <w:t>between authorities and industry</w:t>
      </w:r>
      <w:r w:rsidR="009913DF">
        <w:rPr>
          <w:i w:val="0"/>
          <w:szCs w:val="20"/>
        </w:rPr>
        <w:t xml:space="preserve">. </w:t>
      </w:r>
      <w:r w:rsidR="006119D0">
        <w:rPr>
          <w:i w:val="0"/>
          <w:szCs w:val="20"/>
        </w:rPr>
        <w:t>Therefore it is likely</w:t>
      </w:r>
      <w:r w:rsidR="00C9221F" w:rsidRPr="00C9221F">
        <w:rPr>
          <w:i w:val="0"/>
          <w:szCs w:val="20"/>
        </w:rPr>
        <w:t xml:space="preserve"> that more than these substances do contain </w:t>
      </w:r>
      <w:proofErr w:type="spellStart"/>
      <w:r w:rsidR="00C9221F">
        <w:rPr>
          <w:i w:val="0"/>
          <w:szCs w:val="20"/>
        </w:rPr>
        <w:t>BaA</w:t>
      </w:r>
      <w:proofErr w:type="spellEnd"/>
      <w:r w:rsidR="00C9221F" w:rsidRPr="00C9221F">
        <w:rPr>
          <w:i w:val="0"/>
          <w:szCs w:val="20"/>
        </w:rPr>
        <w:t xml:space="preserve"> and are used wide </w:t>
      </w:r>
      <w:proofErr w:type="spellStart"/>
      <w:r w:rsidR="00C9221F" w:rsidRPr="00C9221F">
        <w:rPr>
          <w:i w:val="0"/>
          <w:szCs w:val="20"/>
        </w:rPr>
        <w:t>dispersively</w:t>
      </w:r>
      <w:proofErr w:type="spellEnd"/>
      <w:r w:rsidR="00C9221F" w:rsidRPr="00C9221F">
        <w:rPr>
          <w:i w:val="0"/>
          <w:szCs w:val="20"/>
        </w:rPr>
        <w:t>.</w:t>
      </w:r>
    </w:p>
    <w:p w14:paraId="115C5D62" w14:textId="77777777" w:rsidR="00554DC9" w:rsidRDefault="00554DC9" w:rsidP="00554DC9">
      <w:pPr>
        <w:rPr>
          <w:rFonts w:cs="Verdana"/>
          <w:color w:val="000000"/>
          <w:lang w:eastAsia="en-GB"/>
        </w:rPr>
      </w:pPr>
    </w:p>
    <w:p w14:paraId="05A3643E" w14:textId="3B8E52B2" w:rsidR="00117A0A" w:rsidRDefault="00117A0A" w:rsidP="00F33564">
      <w:pPr>
        <w:jc w:val="both"/>
        <w:rPr>
          <w:rFonts w:cs="Verdana"/>
          <w:color w:val="000000"/>
          <w:lang w:eastAsia="en-GB"/>
        </w:rPr>
      </w:pPr>
      <w:r>
        <w:rPr>
          <w:rFonts w:cs="Verdana"/>
          <w:color w:val="000000"/>
          <w:lang w:eastAsia="en-GB"/>
        </w:rPr>
        <w:t xml:space="preserve">In addition to the </w:t>
      </w:r>
      <w:r w:rsidR="005E3E93">
        <w:rPr>
          <w:rFonts w:cs="Verdana"/>
          <w:color w:val="000000"/>
          <w:lang w:eastAsia="en-GB"/>
        </w:rPr>
        <w:t xml:space="preserve">above </w:t>
      </w:r>
      <w:r>
        <w:rPr>
          <w:rFonts w:cs="Verdana"/>
          <w:color w:val="000000"/>
          <w:lang w:eastAsia="en-GB"/>
        </w:rPr>
        <w:t xml:space="preserve">uses, </w:t>
      </w:r>
      <w:r w:rsidR="00EA257B">
        <w:rPr>
          <w:rFonts w:cs="Verdana"/>
          <w:color w:val="000000"/>
          <w:lang w:eastAsia="en-GB"/>
        </w:rPr>
        <w:t>two</w:t>
      </w:r>
      <w:r w:rsidR="009F2C7B">
        <w:rPr>
          <w:rFonts w:cs="Verdana"/>
          <w:color w:val="000000"/>
          <w:lang w:eastAsia="en-GB"/>
        </w:rPr>
        <w:t xml:space="preserve"> UVCBs</w:t>
      </w:r>
      <w:r w:rsidR="00C24D03">
        <w:rPr>
          <w:rFonts w:cs="Verdana"/>
          <w:color w:val="000000"/>
          <w:lang w:eastAsia="en-GB"/>
        </w:rPr>
        <w:t xml:space="preserve"> containing </w:t>
      </w:r>
      <w:proofErr w:type="spellStart"/>
      <w:r w:rsidR="00C24D03">
        <w:rPr>
          <w:rFonts w:cs="Verdana"/>
          <w:color w:val="000000"/>
          <w:lang w:eastAsia="en-GB"/>
        </w:rPr>
        <w:t>BaA</w:t>
      </w:r>
      <w:proofErr w:type="spellEnd"/>
      <w:r w:rsidR="00EA257B">
        <w:rPr>
          <w:rFonts w:cs="Verdana"/>
          <w:color w:val="000000"/>
          <w:lang w:eastAsia="en-GB"/>
        </w:rPr>
        <w:t xml:space="preserve"> </w:t>
      </w:r>
      <w:r w:rsidR="009F2C7B">
        <w:rPr>
          <w:rFonts w:cs="Verdana"/>
          <w:color w:val="000000"/>
          <w:lang w:eastAsia="en-GB"/>
        </w:rPr>
        <w:t xml:space="preserve">are registered according to Art. 18 (transported isolated intermediate) with industrial uses in the production of other chemicals and rubbers. </w:t>
      </w:r>
    </w:p>
    <w:p w14:paraId="30EA6661" w14:textId="77777777" w:rsidR="00F33564" w:rsidRDefault="00F33564" w:rsidP="00F33564">
      <w:pPr>
        <w:jc w:val="both"/>
        <w:rPr>
          <w:rFonts w:cs="Verdana"/>
          <w:color w:val="000000"/>
          <w:lang w:eastAsia="en-GB"/>
        </w:rPr>
      </w:pPr>
    </w:p>
    <w:p w14:paraId="247F19EA" w14:textId="0F4755A3" w:rsidR="005D42E9" w:rsidRPr="00B40FA2" w:rsidRDefault="005D42E9" w:rsidP="00F33564">
      <w:pPr>
        <w:jc w:val="both"/>
        <w:rPr>
          <w:rFonts w:cs="Verdana"/>
          <w:color w:val="000000"/>
          <w:lang w:eastAsia="en-GB"/>
        </w:rPr>
      </w:pPr>
      <w:r>
        <w:rPr>
          <w:rFonts w:cs="Verdana"/>
          <w:color w:val="000000"/>
          <w:lang w:eastAsia="en-GB"/>
        </w:rPr>
        <w:lastRenderedPageBreak/>
        <w:t xml:space="preserve">Information on tonnage per identified use for the substance are limited. The use pattern </w:t>
      </w:r>
      <w:r w:rsidR="00791EF8">
        <w:rPr>
          <w:rFonts w:cs="Verdana"/>
          <w:color w:val="000000"/>
          <w:lang w:eastAsia="en-GB"/>
        </w:rPr>
        <w:t xml:space="preserve">of “Pitch, coal tar, high-temp” (CAS: </w:t>
      </w:r>
      <w:r w:rsidR="00A95D5C" w:rsidRPr="00A95D5C">
        <w:rPr>
          <w:rFonts w:cs="Verdana"/>
          <w:color w:val="000000"/>
          <w:lang w:eastAsia="en-GB"/>
        </w:rPr>
        <w:t>65996-93-2</w:t>
      </w:r>
      <w:r w:rsidR="00A95D5C">
        <w:rPr>
          <w:rFonts w:cs="Verdana"/>
          <w:color w:val="000000"/>
          <w:lang w:eastAsia="en-GB"/>
        </w:rPr>
        <w:t xml:space="preserve">) was analysed and discussed in detail in the Risk Assessment Report of CTHPH </w:t>
      </w:r>
      <w:r w:rsidR="00A95D5C" w:rsidRPr="00D5169D">
        <w:rPr>
          <w:rFonts w:cs="Verdana"/>
          <w:color w:val="000000"/>
          <w:lang w:eastAsia="en-GB"/>
        </w:rPr>
        <w:t>(EC, 2008).</w:t>
      </w:r>
      <w:r w:rsidR="00A95D5C">
        <w:rPr>
          <w:rFonts w:cs="Verdana"/>
          <w:color w:val="000000"/>
          <w:lang w:eastAsia="en-GB"/>
        </w:rPr>
        <w:t xml:space="preserve"> It is reported that CTPHT is mainly used as a binding agent for anodes and electrodes. </w:t>
      </w:r>
      <w:r w:rsidR="00E40E3C" w:rsidRPr="00E40E3C">
        <w:rPr>
          <w:rFonts w:cs="Verdana"/>
          <w:color w:val="000000"/>
          <w:lang w:eastAsia="en-GB"/>
        </w:rPr>
        <w:t>Taking the use as binding agent for refractory materials into account, these applications cover</w:t>
      </w:r>
      <w:r w:rsidR="00591C44">
        <w:rPr>
          <w:rFonts w:cs="Verdana"/>
          <w:color w:val="000000"/>
          <w:lang w:eastAsia="en-GB"/>
        </w:rPr>
        <w:t>ed</w:t>
      </w:r>
      <w:r w:rsidR="00E40E3C" w:rsidRPr="00E40E3C">
        <w:rPr>
          <w:rFonts w:cs="Verdana"/>
          <w:color w:val="000000"/>
          <w:lang w:eastAsia="en-GB"/>
        </w:rPr>
        <w:t xml:space="preserve"> </w:t>
      </w:r>
      <w:r w:rsidR="00E40E3C">
        <w:rPr>
          <w:rFonts w:cs="Verdana"/>
          <w:color w:val="000000"/>
          <w:lang w:eastAsia="en-GB"/>
        </w:rPr>
        <w:t>94</w:t>
      </w:r>
      <w:r w:rsidR="00E40E3C" w:rsidRPr="00E40E3C">
        <w:rPr>
          <w:rFonts w:cs="Verdana"/>
          <w:color w:val="000000"/>
          <w:lang w:eastAsia="en-GB"/>
        </w:rPr>
        <w:t xml:space="preserve"> % of the sales in the EU in 2003.</w:t>
      </w:r>
    </w:p>
    <w:p w14:paraId="115C5D63" w14:textId="72DC61B8" w:rsidR="009320EC" w:rsidRDefault="009320EC" w:rsidP="00554DC9">
      <w:pPr>
        <w:pStyle w:val="Title"/>
        <w:numPr>
          <w:ilvl w:val="0"/>
          <w:numId w:val="0"/>
        </w:numPr>
      </w:pPr>
      <w:bookmarkStart w:id="736" w:name="_Toc422996198"/>
    </w:p>
    <w:p w14:paraId="115C5D64" w14:textId="77777777" w:rsidR="00554DC9" w:rsidRDefault="00CF6F1B" w:rsidP="00554DC9">
      <w:pPr>
        <w:pStyle w:val="Title"/>
        <w:numPr>
          <w:ilvl w:val="0"/>
          <w:numId w:val="0"/>
        </w:numPr>
      </w:pPr>
      <w:bookmarkStart w:id="737" w:name="_Toc491810766"/>
      <w:r>
        <w:t>10</w:t>
      </w:r>
      <w:r w:rsidR="00554DC9">
        <w:t>. Information on structure of the supply chain</w:t>
      </w:r>
      <w:bookmarkEnd w:id="736"/>
      <w:bookmarkEnd w:id="737"/>
    </w:p>
    <w:p w14:paraId="115C5D66" w14:textId="76455D72" w:rsidR="003819B8" w:rsidRPr="00D10FD9" w:rsidRDefault="008A6235" w:rsidP="005E6402">
      <w:pPr>
        <w:pStyle w:val="NormalItalic"/>
        <w:rPr>
          <w:i w:val="0"/>
        </w:rPr>
      </w:pPr>
      <w:r>
        <w:rPr>
          <w:i w:val="0"/>
        </w:rPr>
        <w:t xml:space="preserve">The structure </w:t>
      </w:r>
      <w:r w:rsidR="00C51A95">
        <w:rPr>
          <w:i w:val="0"/>
        </w:rPr>
        <w:t xml:space="preserve">of the supply chain and downstream users is </w:t>
      </w:r>
      <w:r w:rsidR="009913DF">
        <w:rPr>
          <w:i w:val="0"/>
        </w:rPr>
        <w:t>complex</w:t>
      </w:r>
      <w:r w:rsidR="00C51A95">
        <w:rPr>
          <w:i w:val="0"/>
        </w:rPr>
        <w:t xml:space="preserve">. </w:t>
      </w:r>
      <w:r w:rsidR="00E455FF">
        <w:rPr>
          <w:i w:val="0"/>
        </w:rPr>
        <w:t>P</w:t>
      </w:r>
      <w:r w:rsidR="00C51A95">
        <w:rPr>
          <w:i w:val="0"/>
        </w:rPr>
        <w:t>rimary p</w:t>
      </w:r>
      <w:r w:rsidR="009B242F">
        <w:rPr>
          <w:i w:val="0"/>
        </w:rPr>
        <w:t xml:space="preserve">roducers of the UVBCs </w:t>
      </w:r>
      <w:r w:rsidR="00C51A95">
        <w:rPr>
          <w:i w:val="0"/>
        </w:rPr>
        <w:t>are organ</w:t>
      </w:r>
      <w:r w:rsidR="009913DF">
        <w:rPr>
          <w:i w:val="0"/>
        </w:rPr>
        <w:t>ized in industry consortia like:</w:t>
      </w:r>
      <w:r w:rsidR="00C51A95">
        <w:rPr>
          <w:i w:val="0"/>
        </w:rPr>
        <w:t xml:space="preserve"> CONCAWE</w:t>
      </w:r>
      <w:r w:rsidR="00C51A95" w:rsidRPr="0024492A">
        <w:rPr>
          <w:rStyle w:val="FootnoteReference"/>
          <w:rFonts w:ascii="Verdana" w:hAnsi="Verdana"/>
          <w:i w:val="0"/>
        </w:rPr>
        <w:footnoteReference w:id="4"/>
      </w:r>
      <w:r w:rsidR="00C51A95">
        <w:rPr>
          <w:i w:val="0"/>
        </w:rPr>
        <w:t xml:space="preserve">, </w:t>
      </w:r>
      <w:proofErr w:type="spellStart"/>
      <w:r w:rsidR="00C51A95">
        <w:rPr>
          <w:i w:val="0"/>
        </w:rPr>
        <w:t>cefic</w:t>
      </w:r>
      <w:proofErr w:type="spellEnd"/>
      <w:r w:rsidR="004B3233" w:rsidRPr="0024492A">
        <w:rPr>
          <w:rStyle w:val="FootnoteReference"/>
          <w:rFonts w:ascii="Verdana" w:hAnsi="Verdana"/>
          <w:i w:val="0"/>
        </w:rPr>
        <w:footnoteReference w:id="5"/>
      </w:r>
      <w:r w:rsidR="00C51A95">
        <w:rPr>
          <w:i w:val="0"/>
        </w:rPr>
        <w:t>, LOA</w:t>
      </w:r>
      <w:r w:rsidR="004B3233" w:rsidRPr="0024492A">
        <w:rPr>
          <w:rStyle w:val="FootnoteReference"/>
          <w:rFonts w:ascii="Verdana" w:hAnsi="Verdana"/>
          <w:i w:val="0"/>
        </w:rPr>
        <w:footnoteReference w:id="6"/>
      </w:r>
      <w:r w:rsidR="00C51A95">
        <w:rPr>
          <w:i w:val="0"/>
        </w:rPr>
        <w:t xml:space="preserve"> and other</w:t>
      </w:r>
      <w:r w:rsidR="00E455FF">
        <w:rPr>
          <w:i w:val="0"/>
        </w:rPr>
        <w:t xml:space="preserve">. This allows a regular exchange of information between regulatory authorities and </w:t>
      </w:r>
      <w:r w:rsidR="004B0AB7">
        <w:rPr>
          <w:i w:val="0"/>
        </w:rPr>
        <w:t>industry associations, at least for primary coal and petroleum stream products.</w:t>
      </w:r>
      <w:r w:rsidR="00F34DE9">
        <w:rPr>
          <w:i w:val="0"/>
        </w:rPr>
        <w:t xml:space="preserve"> However,</w:t>
      </w:r>
      <w:r w:rsidR="00C51A95">
        <w:rPr>
          <w:i w:val="0"/>
        </w:rPr>
        <w:t xml:space="preserve"> the knowledge of uses decrease</w:t>
      </w:r>
      <w:r w:rsidR="004B40BE">
        <w:rPr>
          <w:i w:val="0"/>
        </w:rPr>
        <w:t>s</w:t>
      </w:r>
      <w:r w:rsidR="00C51A95">
        <w:rPr>
          <w:i w:val="0"/>
        </w:rPr>
        <w:t xml:space="preserve"> wi</w:t>
      </w:r>
      <w:r w:rsidR="004B40BE">
        <w:rPr>
          <w:i w:val="0"/>
        </w:rPr>
        <w:t>th the increase in the level of downstream use</w:t>
      </w:r>
      <w:r w:rsidR="00C51A95">
        <w:rPr>
          <w:i w:val="0"/>
        </w:rPr>
        <w:t>s</w:t>
      </w:r>
      <w:r w:rsidR="004B0AB7">
        <w:rPr>
          <w:i w:val="0"/>
        </w:rPr>
        <w:t xml:space="preserve">, indicating a poor flow of information from downstream user </w:t>
      </w:r>
      <w:r w:rsidR="009913DF">
        <w:rPr>
          <w:i w:val="0"/>
        </w:rPr>
        <w:t>to</w:t>
      </w:r>
      <w:r w:rsidR="004B0AB7">
        <w:rPr>
          <w:i w:val="0"/>
        </w:rPr>
        <w:t xml:space="preserve"> producers. </w:t>
      </w:r>
      <w:r w:rsidR="004B0AB7" w:rsidRPr="00455CE2">
        <w:rPr>
          <w:i w:val="0"/>
        </w:rPr>
        <w:t xml:space="preserve"> </w:t>
      </w:r>
    </w:p>
    <w:p w14:paraId="1C2C1E4C" w14:textId="77777777" w:rsidR="007831E5" w:rsidRDefault="007831E5" w:rsidP="00CF6F1B">
      <w:pPr>
        <w:pStyle w:val="Heading1"/>
        <w:numPr>
          <w:ilvl w:val="0"/>
          <w:numId w:val="0"/>
        </w:numPr>
      </w:pPr>
    </w:p>
    <w:p w14:paraId="115C5D67" w14:textId="77777777" w:rsidR="005E6402" w:rsidRDefault="00CF6F1B" w:rsidP="00CF6F1B">
      <w:pPr>
        <w:pStyle w:val="Heading1"/>
        <w:numPr>
          <w:ilvl w:val="0"/>
          <w:numId w:val="0"/>
        </w:numPr>
      </w:pPr>
      <w:bookmarkStart w:id="738" w:name="_Toc491810767"/>
      <w:r>
        <w:t xml:space="preserve">11. </w:t>
      </w:r>
      <w:r w:rsidR="005E6402">
        <w:t>Additional information</w:t>
      </w:r>
      <w:bookmarkEnd w:id="738"/>
      <w:r w:rsidR="005E6402">
        <w:t xml:space="preserve"> </w:t>
      </w:r>
    </w:p>
    <w:p w14:paraId="115C5D69" w14:textId="77777777" w:rsidR="005E6402" w:rsidRPr="007831E5" w:rsidRDefault="0010600C" w:rsidP="0010600C">
      <w:pPr>
        <w:pStyle w:val="Heading2"/>
        <w:rPr>
          <w:b w:val="0"/>
          <w:color w:val="auto"/>
          <w:sz w:val="20"/>
          <w:szCs w:val="20"/>
        </w:rPr>
      </w:pPr>
      <w:bookmarkStart w:id="739" w:name="_Toc491810768"/>
      <w:r w:rsidRPr="007831E5">
        <w:rPr>
          <w:b w:val="0"/>
          <w:color w:val="auto"/>
          <w:sz w:val="20"/>
          <w:szCs w:val="20"/>
        </w:rPr>
        <w:t xml:space="preserve">11.1 </w:t>
      </w:r>
      <w:r w:rsidR="005E6402" w:rsidRPr="007831E5">
        <w:rPr>
          <w:b w:val="0"/>
          <w:color w:val="auto"/>
          <w:sz w:val="20"/>
          <w:szCs w:val="20"/>
        </w:rPr>
        <w:t>Substances with similar hazard and use profiles</w:t>
      </w:r>
      <w:r w:rsidR="00E26FE8" w:rsidRPr="007831E5">
        <w:rPr>
          <w:b w:val="0"/>
          <w:color w:val="auto"/>
          <w:sz w:val="20"/>
          <w:szCs w:val="20"/>
        </w:rPr>
        <w:t xml:space="preserve"> on the Candidate List</w:t>
      </w:r>
      <w:bookmarkEnd w:id="739"/>
    </w:p>
    <w:p w14:paraId="115C5D70" w14:textId="12343919" w:rsidR="0010600C" w:rsidRDefault="009913DF" w:rsidP="00F33564">
      <w:pPr>
        <w:pStyle w:val="BodyText"/>
        <w:jc w:val="both"/>
      </w:pPr>
      <w:proofErr w:type="spellStart"/>
      <w:r>
        <w:t>BaA</w:t>
      </w:r>
      <w:proofErr w:type="spellEnd"/>
      <w:r>
        <w:t xml:space="preserve"> is not produced</w:t>
      </w:r>
      <w:r w:rsidR="003B1A03">
        <w:t xml:space="preserve"> intentionally but occurs </w:t>
      </w:r>
      <w:r w:rsidR="00585F4A">
        <w:t xml:space="preserve">together with other PAHs </w:t>
      </w:r>
      <w:r w:rsidR="003B1A03">
        <w:t>as constituent of coal and petroleum stream UVCB substances</w:t>
      </w:r>
      <w:r w:rsidR="00585F4A">
        <w:t>. Among the PAHs</w:t>
      </w:r>
      <w:r w:rsidR="001F5523">
        <w:t xml:space="preserve"> benzo[a]pyrene (B[a</w:t>
      </w:r>
      <w:proofErr w:type="gramStart"/>
      <w:r w:rsidR="001F5523">
        <w:t>]P</w:t>
      </w:r>
      <w:proofErr w:type="gramEnd"/>
      <w:r w:rsidR="00585F4A">
        <w:t xml:space="preserve">, EC number: </w:t>
      </w:r>
      <w:r w:rsidR="00585F4A" w:rsidRPr="001F5523">
        <w:t>200-028-5</w:t>
      </w:r>
      <w:r w:rsidR="001F5523">
        <w:t>) and anthracene</w:t>
      </w:r>
      <w:r w:rsidR="00585F4A">
        <w:t xml:space="preserve"> (EC number: 204-371-1)</w:t>
      </w:r>
      <w:r w:rsidR="000E7C3D">
        <w:t xml:space="preserve"> </w:t>
      </w:r>
      <w:r w:rsidR="003B1A03">
        <w:t xml:space="preserve">are </w:t>
      </w:r>
      <w:r>
        <w:t>included in</w:t>
      </w:r>
      <w:r w:rsidR="001A66C1">
        <w:t xml:space="preserve"> the </w:t>
      </w:r>
      <w:r w:rsidR="001F5523">
        <w:t>C</w:t>
      </w:r>
      <w:r w:rsidR="001A66C1">
        <w:t xml:space="preserve">andidate </w:t>
      </w:r>
      <w:r w:rsidR="001F5523">
        <w:t>L</w:t>
      </w:r>
      <w:r w:rsidR="001A66C1">
        <w:t xml:space="preserve">ist due to PBT and </w:t>
      </w:r>
      <w:proofErr w:type="spellStart"/>
      <w:r w:rsidR="001A66C1">
        <w:t>v</w:t>
      </w:r>
      <w:r w:rsidR="001F5523">
        <w:t>P</w:t>
      </w:r>
      <w:r w:rsidR="001A66C1">
        <w:t>v</w:t>
      </w:r>
      <w:r w:rsidR="001F5523">
        <w:t>B</w:t>
      </w:r>
      <w:proofErr w:type="spellEnd"/>
      <w:r w:rsidR="001A66C1">
        <w:t xml:space="preserve"> p</w:t>
      </w:r>
      <w:r w:rsidR="00EA0878">
        <w:t>roperties</w:t>
      </w:r>
      <w:r w:rsidR="001F5523">
        <w:t xml:space="preserve"> already</w:t>
      </w:r>
      <w:r w:rsidR="00EA0878">
        <w:t xml:space="preserve">. </w:t>
      </w:r>
    </w:p>
    <w:p w14:paraId="5AB8AA07" w14:textId="42670CB0" w:rsidR="001A66C1" w:rsidRDefault="001F5523" w:rsidP="00F33564">
      <w:pPr>
        <w:pStyle w:val="BodyText"/>
        <w:jc w:val="both"/>
      </w:pPr>
      <w:r>
        <w:t xml:space="preserve">Further UVCBs like </w:t>
      </w:r>
      <w:r w:rsidR="001A66C1">
        <w:t xml:space="preserve">CTPHT </w:t>
      </w:r>
      <w:r w:rsidR="000E7C3D">
        <w:t xml:space="preserve">(EC number: </w:t>
      </w:r>
      <w:r w:rsidR="000E7C3D" w:rsidRPr="000E7C3D">
        <w:t>266-028-2</w:t>
      </w:r>
      <w:r w:rsidR="000E7C3D">
        <w:t xml:space="preserve">) and five anthracene oil-derivatives (EC numbers: </w:t>
      </w:r>
      <w:r w:rsidR="000E7C3D" w:rsidRPr="000E7C3D">
        <w:t>292-604-8</w:t>
      </w:r>
      <w:r w:rsidR="000E7C3D">
        <w:t>,</w:t>
      </w:r>
      <w:r w:rsidR="000E7C3D" w:rsidRPr="000E7C3D">
        <w:t xml:space="preserve"> 295-278-5</w:t>
      </w:r>
      <w:r w:rsidR="000E7C3D">
        <w:t xml:space="preserve">, </w:t>
      </w:r>
      <w:r w:rsidR="000E7C3D" w:rsidRPr="000E7C3D">
        <w:t>295-275-9</w:t>
      </w:r>
      <w:r w:rsidR="000E7C3D">
        <w:t>,</w:t>
      </w:r>
      <w:r w:rsidR="000E7C3D" w:rsidRPr="000E7C3D">
        <w:t xml:space="preserve"> </w:t>
      </w:r>
      <w:r w:rsidR="000E7C3D">
        <w:t>292-603-2, and 292-602-7) are</w:t>
      </w:r>
      <w:r w:rsidR="001A66C1">
        <w:t xml:space="preserve"> listed in the </w:t>
      </w:r>
      <w:r w:rsidR="000E7C3D">
        <w:t>C</w:t>
      </w:r>
      <w:r w:rsidR="005F386B">
        <w:t>andidate List</w:t>
      </w:r>
      <w:r w:rsidR="001A66C1">
        <w:t xml:space="preserve"> due to </w:t>
      </w:r>
      <w:r w:rsidR="000E7C3D">
        <w:t xml:space="preserve">assessment of the </w:t>
      </w:r>
      <w:r w:rsidR="001A66C1">
        <w:t xml:space="preserve">intrinsic properties of </w:t>
      </w:r>
      <w:r w:rsidR="00303374">
        <w:t>their</w:t>
      </w:r>
      <w:r w:rsidR="001A66C1">
        <w:t xml:space="preserve"> </w:t>
      </w:r>
      <w:r w:rsidR="000E7C3D">
        <w:t xml:space="preserve">PAH </w:t>
      </w:r>
      <w:r w:rsidR="001A66C1">
        <w:t xml:space="preserve">constituents. </w:t>
      </w:r>
      <w:proofErr w:type="spellStart"/>
      <w:r w:rsidR="001A66C1">
        <w:t>BaA</w:t>
      </w:r>
      <w:proofErr w:type="spellEnd"/>
      <w:r w:rsidR="001A66C1">
        <w:t xml:space="preserve"> was one of </w:t>
      </w:r>
      <w:r w:rsidR="00303374">
        <w:t>these</w:t>
      </w:r>
      <w:r w:rsidR="001A66C1">
        <w:t xml:space="preserve"> </w:t>
      </w:r>
      <w:r w:rsidR="000E7C3D">
        <w:t>constituents</w:t>
      </w:r>
      <w:r w:rsidR="001A66C1">
        <w:t xml:space="preserve"> which </w:t>
      </w:r>
      <w:r w:rsidR="00687CC0">
        <w:t>caused</w:t>
      </w:r>
      <w:r w:rsidR="001A66C1">
        <w:t xml:space="preserve"> the inclusion of CTPH </w:t>
      </w:r>
      <w:r w:rsidR="00585F4A">
        <w:t>into the Candidate List</w:t>
      </w:r>
      <w:r w:rsidR="001A66C1">
        <w:t xml:space="preserve"> </w:t>
      </w:r>
      <w:r w:rsidR="00585F4A">
        <w:t>based on</w:t>
      </w:r>
      <w:r w:rsidR="00EA0878">
        <w:t xml:space="preserve"> </w:t>
      </w:r>
      <w:r w:rsidR="00C315AB">
        <w:t xml:space="preserve">its </w:t>
      </w:r>
      <w:r w:rsidR="00EA0878">
        <w:t xml:space="preserve">PBT and </w:t>
      </w:r>
      <w:proofErr w:type="spellStart"/>
      <w:r w:rsidR="00EA0878">
        <w:t>vPvB</w:t>
      </w:r>
      <w:proofErr w:type="spellEnd"/>
      <w:r w:rsidR="00EA0878">
        <w:t xml:space="preserve"> properties.</w:t>
      </w:r>
    </w:p>
    <w:p w14:paraId="2861A3BA" w14:textId="77777777" w:rsidR="007831E5" w:rsidRPr="00D10FD9" w:rsidRDefault="007831E5" w:rsidP="00D10FD9">
      <w:pPr>
        <w:pStyle w:val="BodyText"/>
      </w:pPr>
    </w:p>
    <w:p w14:paraId="115C5D71" w14:textId="77777777" w:rsidR="008476D2" w:rsidRPr="00C81C2F" w:rsidRDefault="0010600C" w:rsidP="0010600C">
      <w:pPr>
        <w:pStyle w:val="Heading2"/>
      </w:pPr>
      <w:bookmarkStart w:id="740" w:name="_Toc491810769"/>
      <w:r>
        <w:t xml:space="preserve">11.2 </w:t>
      </w:r>
      <w:r w:rsidR="007E6629" w:rsidRPr="00C81C2F">
        <w:t>Alternatives</w:t>
      </w:r>
      <w:bookmarkEnd w:id="740"/>
    </w:p>
    <w:p w14:paraId="1AF72AAD" w14:textId="0ADDC80D" w:rsidR="00A224F3" w:rsidRDefault="00A224F3" w:rsidP="00D10FD9">
      <w:pPr>
        <w:jc w:val="both"/>
        <w:rPr>
          <w:i/>
        </w:rPr>
      </w:pPr>
    </w:p>
    <w:p w14:paraId="7A7C4216" w14:textId="010CAD7F" w:rsidR="00A224F3" w:rsidRDefault="00A224F3" w:rsidP="00D10FD9">
      <w:pPr>
        <w:jc w:val="both"/>
      </w:pPr>
      <w:r w:rsidRPr="00A224F3">
        <w:t xml:space="preserve">It is possible to considerably decrease the PAH content of UVCB substances derived from coal or mineral oil (see for example use of low aromatic oils in tires, </w:t>
      </w:r>
      <w:r w:rsidRPr="00D5169D">
        <w:t>(KEMI, 2003</w:t>
      </w:r>
      <w:r w:rsidRPr="00A224F3">
        <w:t xml:space="preserve">)). Furthermore, there seems to be no unique, essential technical function </w:t>
      </w:r>
      <w:r w:rsidR="00687CC0">
        <w:t>of</w:t>
      </w:r>
      <w:r w:rsidRPr="00A224F3">
        <w:t xml:space="preserve"> PAHs in PAH-containing UVCB substances in most cases. Currently, only in some limited cases no alternatives to PAH-containing substances seem to be available, e.g. for binding material used in certain electrodes in the aluminium production.</w:t>
      </w:r>
      <w:r w:rsidR="005F386B">
        <w:t xml:space="preserve"> Hereby PAH</w:t>
      </w:r>
      <w:r w:rsidR="005F6B11">
        <w:t>s</w:t>
      </w:r>
      <w:r w:rsidR="005F386B">
        <w:t xml:space="preserve"> are essential constituents which are needed to form a graphite structure. </w:t>
      </w:r>
    </w:p>
    <w:p w14:paraId="479A83C2" w14:textId="4A029FDC" w:rsidR="005F386B" w:rsidRPr="00D10FD9" w:rsidRDefault="005F386B" w:rsidP="00D10FD9">
      <w:pPr>
        <w:jc w:val="both"/>
      </w:pPr>
      <w:r w:rsidRPr="005F386B">
        <w:t xml:space="preserve">It is important to stress that the complete picture of uses of </w:t>
      </w:r>
      <w:proofErr w:type="spellStart"/>
      <w:r w:rsidRPr="005F386B">
        <w:t>B</w:t>
      </w:r>
      <w:r>
        <w:t>aA</w:t>
      </w:r>
      <w:proofErr w:type="spellEnd"/>
      <w:r w:rsidRPr="005F386B">
        <w:t>-containing UVCB substances remain</w:t>
      </w:r>
      <w:r w:rsidR="00687CC0">
        <w:t>s</w:t>
      </w:r>
      <w:r w:rsidRPr="005F386B">
        <w:t xml:space="preserve"> unclear as </w:t>
      </w:r>
      <w:r w:rsidR="00687CC0">
        <w:t>it is not possible</w:t>
      </w:r>
      <w:r w:rsidRPr="005F386B">
        <w:t xml:space="preserve"> to identify all of these substances themselves. Further regulatory actions on these substances might be warranted in the future.</w:t>
      </w:r>
    </w:p>
    <w:p w14:paraId="115C5D77" w14:textId="77777777" w:rsidR="005E6402" w:rsidRPr="008036AD" w:rsidRDefault="0010600C" w:rsidP="009B03B5">
      <w:pPr>
        <w:pStyle w:val="Heading2"/>
        <w:jc w:val="both"/>
      </w:pPr>
      <w:bookmarkStart w:id="741" w:name="_Toc491810770"/>
      <w:r w:rsidRPr="008036AD">
        <w:lastRenderedPageBreak/>
        <w:t xml:space="preserve">11.3 </w:t>
      </w:r>
      <w:r w:rsidR="005E6402" w:rsidRPr="008036AD">
        <w:t>Existing EU legislation</w:t>
      </w:r>
      <w:bookmarkEnd w:id="741"/>
    </w:p>
    <w:p w14:paraId="115C5D7A" w14:textId="6A754DCF" w:rsidR="003A2F50" w:rsidRDefault="00071FAB" w:rsidP="00F33564">
      <w:pPr>
        <w:pStyle w:val="ListParagraph"/>
        <w:ind w:left="0"/>
        <w:jc w:val="both"/>
      </w:pPr>
      <w:proofErr w:type="spellStart"/>
      <w:r>
        <w:t>BaA</w:t>
      </w:r>
      <w:proofErr w:type="spellEnd"/>
      <w:r>
        <w:t xml:space="preserve"> is harmonized classified as carcinogenic 1B (regulation EU 1272/2008, Annex VI, Table 3.1). Entry 28 of Regulation REACH (907/2006) applies accordingly. </w:t>
      </w:r>
    </w:p>
    <w:p w14:paraId="2A43377A" w14:textId="77777777" w:rsidR="00071FAB" w:rsidRDefault="00071FAB" w:rsidP="00F33564">
      <w:pPr>
        <w:pStyle w:val="ListParagraph"/>
        <w:ind w:left="0"/>
        <w:jc w:val="both"/>
      </w:pPr>
    </w:p>
    <w:p w14:paraId="5137AA4F" w14:textId="53468893" w:rsidR="005128B3" w:rsidRDefault="009B6474" w:rsidP="00F33564">
      <w:pPr>
        <w:pStyle w:val="ListParagraph"/>
        <w:ind w:left="0"/>
        <w:jc w:val="both"/>
        <w:rPr>
          <w:caps/>
        </w:rPr>
      </w:pPr>
      <w:r>
        <w:t xml:space="preserve">In addition to entry 28 </w:t>
      </w:r>
      <w:proofErr w:type="spellStart"/>
      <w:r w:rsidR="00071FAB">
        <w:t>BaA</w:t>
      </w:r>
      <w:proofErr w:type="spellEnd"/>
      <w:r w:rsidR="00071FAB">
        <w:t xml:space="preserve"> is </w:t>
      </w:r>
      <w:r>
        <w:t xml:space="preserve">further </w:t>
      </w:r>
      <w:r w:rsidR="00071FAB">
        <w:t>restricted by entry 50 Annex XVII of</w:t>
      </w:r>
      <w:r w:rsidR="00F05A7A">
        <w:t xml:space="preserve"> the</w:t>
      </w:r>
      <w:r w:rsidR="00071FAB">
        <w:t xml:space="preserve"> </w:t>
      </w:r>
      <w:r w:rsidR="00F05A7A">
        <w:t>REACH-</w:t>
      </w:r>
      <w:r w:rsidR="00071FAB">
        <w:t>Regulation. Therefore</w:t>
      </w:r>
      <w:r w:rsidR="00F05A7A">
        <w:t>,</w:t>
      </w:r>
      <w:r w:rsidR="00071FAB">
        <w:t xml:space="preserve"> use of extender oils in tyres </w:t>
      </w:r>
      <w:r w:rsidR="00313560">
        <w:t xml:space="preserve">is prohibited, </w:t>
      </w:r>
      <w:r w:rsidR="00071FAB">
        <w:t>if the sum in content of following PAH</w:t>
      </w:r>
      <w:r w:rsidR="005F6B11">
        <w:t>s</w:t>
      </w:r>
      <w:r w:rsidR="00071FAB">
        <w:t xml:space="preserve"> is </w:t>
      </w:r>
      <w:r w:rsidR="00414D6D">
        <w:t>above</w:t>
      </w:r>
      <w:r w:rsidR="00071FAB">
        <w:t xml:space="preserve"> 10 mg/kg</w:t>
      </w:r>
      <w:r w:rsidR="00414D6D">
        <w:t>: Benz(a)pyrene (</w:t>
      </w:r>
      <w:r w:rsidR="00414D6D" w:rsidRPr="00414D6D">
        <w:t>50-32-8</w:t>
      </w:r>
      <w:r w:rsidR="00414D6D">
        <w:t>, Benzo(e)pyrene (</w:t>
      </w:r>
      <w:r w:rsidR="00414D6D" w:rsidRPr="00414D6D">
        <w:t>192-97-2</w:t>
      </w:r>
      <w:r w:rsidR="00414D6D">
        <w:t>), Benzo(a)anthracene (</w:t>
      </w:r>
      <w:r w:rsidR="00414D6D" w:rsidRPr="00414D6D">
        <w:t>56-55-3</w:t>
      </w:r>
      <w:r w:rsidR="00414D6D">
        <w:t>), Chrysene (</w:t>
      </w:r>
      <w:r w:rsidR="00414D6D" w:rsidRPr="00414D6D">
        <w:t>218-01-9</w:t>
      </w:r>
      <w:r w:rsidR="00414D6D">
        <w:t>), Benzo(b)</w:t>
      </w:r>
      <w:proofErr w:type="spellStart"/>
      <w:r w:rsidR="00414D6D">
        <w:t>fluoranthene</w:t>
      </w:r>
      <w:proofErr w:type="spellEnd"/>
      <w:r w:rsidR="00414D6D">
        <w:t xml:space="preserve"> (</w:t>
      </w:r>
      <w:r w:rsidR="00414D6D" w:rsidRPr="00414D6D">
        <w:t>205-99-2</w:t>
      </w:r>
      <w:r w:rsidR="00414D6D">
        <w:t>), Benzo(j)</w:t>
      </w:r>
      <w:r w:rsidR="00F05A7A">
        <w:t xml:space="preserve"> </w:t>
      </w:r>
      <w:proofErr w:type="spellStart"/>
      <w:r w:rsidR="00414D6D">
        <w:t>fluoranthene</w:t>
      </w:r>
      <w:proofErr w:type="spellEnd"/>
      <w:r w:rsidR="00414D6D">
        <w:t xml:space="preserve"> (</w:t>
      </w:r>
      <w:r w:rsidR="00414D6D" w:rsidRPr="00414D6D">
        <w:t>205-82-3</w:t>
      </w:r>
      <w:r w:rsidR="00414D6D">
        <w:t>), Benz(k)</w:t>
      </w:r>
      <w:proofErr w:type="spellStart"/>
      <w:r w:rsidR="00414D6D">
        <w:t>fluoranthene</w:t>
      </w:r>
      <w:proofErr w:type="spellEnd"/>
      <w:r w:rsidR="00414D6D">
        <w:t xml:space="preserve"> (</w:t>
      </w:r>
      <w:r w:rsidR="00414D6D" w:rsidRPr="00414D6D">
        <w:t>207-08-9</w:t>
      </w:r>
      <w:r w:rsidR="00414D6D">
        <w:t xml:space="preserve">) and </w:t>
      </w:r>
      <w:proofErr w:type="spellStart"/>
      <w:r w:rsidR="00414D6D">
        <w:t>Dibenzo</w:t>
      </w:r>
      <w:proofErr w:type="spellEnd"/>
      <w:r w:rsidR="00414D6D">
        <w:t>(</w:t>
      </w:r>
      <w:proofErr w:type="spellStart"/>
      <w:r w:rsidR="00414D6D">
        <w:t>a,h</w:t>
      </w:r>
      <w:proofErr w:type="spellEnd"/>
      <w:r w:rsidR="00414D6D">
        <w:t>)anthracene (</w:t>
      </w:r>
      <w:r w:rsidR="00414D6D" w:rsidRPr="00414D6D">
        <w:t>53-70-3</w:t>
      </w:r>
      <w:r w:rsidR="00414D6D">
        <w:t>)</w:t>
      </w:r>
      <w:r w:rsidR="00AA7C6D">
        <w:t xml:space="preserve">. Further articles </w:t>
      </w:r>
      <w:r w:rsidR="001B6DB1">
        <w:t xml:space="preserve">shall not be placed on the market for supply to the general </w:t>
      </w:r>
      <w:r w:rsidR="00313560">
        <w:t>p</w:t>
      </w:r>
      <w:r w:rsidR="001B6DB1">
        <w:t xml:space="preserve">ublic, if any of </w:t>
      </w:r>
      <w:r w:rsidR="00C610A3">
        <w:t>their</w:t>
      </w:r>
      <w:r w:rsidR="001B6DB1">
        <w:t xml:space="preserve"> rubber or plastic components that come to direct and prolonged or short-term repetitive contact with human skin or oral cavity contains more than 1mg/kg </w:t>
      </w:r>
      <w:proofErr w:type="spellStart"/>
      <w:r w:rsidR="001B6DB1">
        <w:t>BaA</w:t>
      </w:r>
      <w:proofErr w:type="spellEnd"/>
      <w:r w:rsidR="001B6DB1">
        <w:t xml:space="preserve">. For toys the same </w:t>
      </w:r>
      <w:r w:rsidR="00313560">
        <w:t>applies</w:t>
      </w:r>
      <w:r w:rsidR="001B6DB1">
        <w:t xml:space="preserve"> but the limit of </w:t>
      </w:r>
      <w:proofErr w:type="spellStart"/>
      <w:r w:rsidR="001B6DB1">
        <w:t>BaA</w:t>
      </w:r>
      <w:proofErr w:type="spellEnd"/>
      <w:r w:rsidR="001B6DB1">
        <w:t xml:space="preserve"> content is 0.5 mg/kg. </w:t>
      </w:r>
    </w:p>
    <w:p w14:paraId="3B3C9AE6" w14:textId="77777777" w:rsidR="005128B3" w:rsidRDefault="005128B3" w:rsidP="00212038">
      <w:pPr>
        <w:pStyle w:val="ListParagraph"/>
        <w:ind w:left="0"/>
        <w:rPr>
          <w:caps/>
        </w:rPr>
      </w:pPr>
    </w:p>
    <w:p w14:paraId="1F0F38E8" w14:textId="5708ECEF" w:rsidR="005128B3" w:rsidRPr="00D10FD9" w:rsidRDefault="005128B3" w:rsidP="00212038">
      <w:pPr>
        <w:pStyle w:val="ListParagraph"/>
        <w:ind w:left="0"/>
      </w:pPr>
      <w:proofErr w:type="spellStart"/>
      <w:r>
        <w:t>BaA</w:t>
      </w:r>
      <w:proofErr w:type="spellEnd"/>
      <w:r>
        <w:t xml:space="preserve"> is listed in Annex II of EU Regulation 12</w:t>
      </w:r>
      <w:r w:rsidR="00BF17D2">
        <w:t>2</w:t>
      </w:r>
      <w:r>
        <w:t xml:space="preserve">3/2009 </w:t>
      </w:r>
      <w:r w:rsidR="00BF17D2">
        <w:t xml:space="preserve">as a substance which is prohibited in cosmetic products. </w:t>
      </w:r>
    </w:p>
    <w:p w14:paraId="5F8D72C3" w14:textId="77777777" w:rsidR="005128B3" w:rsidRDefault="005128B3" w:rsidP="00212038">
      <w:pPr>
        <w:pStyle w:val="ListParagraph"/>
        <w:ind w:left="0"/>
        <w:rPr>
          <w:caps/>
        </w:rPr>
      </w:pPr>
    </w:p>
    <w:p w14:paraId="50C28365" w14:textId="77777777" w:rsidR="005128B3" w:rsidRPr="00D10FD9" w:rsidRDefault="005128B3" w:rsidP="00212038">
      <w:pPr>
        <w:pStyle w:val="ListParagraph"/>
        <w:ind w:left="0"/>
        <w:rPr>
          <w:caps/>
        </w:rPr>
      </w:pPr>
    </w:p>
    <w:p w14:paraId="115C5D7C" w14:textId="77777777" w:rsidR="005E6402" w:rsidRPr="0010600C" w:rsidRDefault="0010600C" w:rsidP="0010600C">
      <w:pPr>
        <w:pStyle w:val="Heading2"/>
      </w:pPr>
      <w:bookmarkStart w:id="742" w:name="_Toc491810771"/>
      <w:r>
        <w:t xml:space="preserve">11.4 </w:t>
      </w:r>
      <w:r w:rsidR="005E6402" w:rsidRPr="0010600C">
        <w:t>Previous assessments by other authorities</w:t>
      </w:r>
      <w:bookmarkEnd w:id="742"/>
    </w:p>
    <w:p w14:paraId="69A8F94D" w14:textId="274138A6" w:rsidR="000C38A3" w:rsidRDefault="00254640" w:rsidP="00254640">
      <w:pPr>
        <w:pStyle w:val="BodyText"/>
        <w:jc w:val="both"/>
      </w:pPr>
      <w:proofErr w:type="spellStart"/>
      <w:r w:rsidRPr="00A12C6E">
        <w:t>B</w:t>
      </w:r>
      <w:r>
        <w:t>aA</w:t>
      </w:r>
      <w:proofErr w:type="spellEnd"/>
      <w:r w:rsidRPr="00A12C6E">
        <w:t xml:space="preserve"> belongs to the substance group of PAH</w:t>
      </w:r>
      <w:r>
        <w:t>s</w:t>
      </w:r>
      <w:r w:rsidRPr="00A12C6E">
        <w:t xml:space="preserve"> </w:t>
      </w:r>
      <w:r w:rsidR="006D67DA">
        <w:t xml:space="preserve">of </w:t>
      </w:r>
      <w:r w:rsidRPr="00A12C6E">
        <w:t xml:space="preserve">which </w:t>
      </w:r>
      <w:r w:rsidR="006D67DA">
        <w:t xml:space="preserve">many </w:t>
      </w:r>
      <w:r w:rsidRPr="00A12C6E">
        <w:t>are well-known to be hazardous for h</w:t>
      </w:r>
      <w:r>
        <w:t>uman health and the environment</w:t>
      </w:r>
      <w:r w:rsidRPr="00A12C6E">
        <w:t>. Eight PAH</w:t>
      </w:r>
      <w:r w:rsidR="005F6B11">
        <w:t>s</w:t>
      </w:r>
      <w:r w:rsidRPr="00A12C6E">
        <w:t xml:space="preserve">, including </w:t>
      </w:r>
      <w:proofErr w:type="spellStart"/>
      <w:r>
        <w:t>B</w:t>
      </w:r>
      <w:r w:rsidR="000C38A3">
        <w:t>aA</w:t>
      </w:r>
      <w:proofErr w:type="spellEnd"/>
      <w:r w:rsidRPr="00A12C6E">
        <w:t xml:space="preserve"> which is carcinogenic</w:t>
      </w:r>
      <w:r>
        <w:t>,</w:t>
      </w:r>
      <w:r w:rsidRPr="00A12C6E">
        <w:t xml:space="preserve"> are already classified as CMR substances. Until now, several Annex XV dossiers for the identification of </w:t>
      </w:r>
      <w:r w:rsidR="000C38A3">
        <w:t>PAH</w:t>
      </w:r>
      <w:r w:rsidR="005F6B11">
        <w:t>s</w:t>
      </w:r>
      <w:r w:rsidR="000C38A3">
        <w:t xml:space="preserve"> as </w:t>
      </w:r>
      <w:r w:rsidRPr="00A12C6E">
        <w:t xml:space="preserve">substances of very high concern were explicitly </w:t>
      </w:r>
      <w:r>
        <w:t xml:space="preserve">based </w:t>
      </w:r>
      <w:r w:rsidRPr="00A12C6E">
        <w:t xml:space="preserve">on </w:t>
      </w:r>
      <w:r w:rsidR="000C38A3">
        <w:t>their intrinsic</w:t>
      </w:r>
      <w:r w:rsidRPr="00A12C6E">
        <w:t xml:space="preserve"> properties</w:t>
      </w:r>
      <w:r w:rsidR="000C38A3">
        <w:t xml:space="preserve"> (anthracene, B[a</w:t>
      </w:r>
      <w:proofErr w:type="gramStart"/>
      <w:r w:rsidR="000C38A3">
        <w:t>]P</w:t>
      </w:r>
      <w:proofErr w:type="gramEnd"/>
      <w:r w:rsidR="000C38A3">
        <w:t>)</w:t>
      </w:r>
      <w:r w:rsidRPr="00A12C6E">
        <w:t xml:space="preserve"> </w:t>
      </w:r>
      <w:r w:rsidR="000C38A3">
        <w:t xml:space="preserve">or </w:t>
      </w:r>
      <w:r w:rsidRPr="00A12C6E">
        <w:t xml:space="preserve">of </w:t>
      </w:r>
      <w:r w:rsidR="000C38A3">
        <w:t xml:space="preserve">their </w:t>
      </w:r>
      <w:r w:rsidRPr="00A12C6E">
        <w:t>PAH</w:t>
      </w:r>
      <w:r w:rsidR="000C38A3">
        <w:t xml:space="preserve"> </w:t>
      </w:r>
      <w:r w:rsidRPr="00A12C6E">
        <w:t xml:space="preserve">constituents </w:t>
      </w:r>
      <w:r w:rsidR="000C38A3">
        <w:t>(</w:t>
      </w:r>
      <w:r w:rsidRPr="00A12C6E">
        <w:t>Anthracen</w:t>
      </w:r>
      <w:r>
        <w:t>e</w:t>
      </w:r>
      <w:r w:rsidRPr="00A12C6E">
        <w:t xml:space="preserve"> Oils, </w:t>
      </w:r>
      <w:r>
        <w:t>CTPHT</w:t>
      </w:r>
      <w:r w:rsidR="000C38A3">
        <w:t>)</w:t>
      </w:r>
      <w:r w:rsidRPr="00A12C6E">
        <w:t>.</w:t>
      </w:r>
    </w:p>
    <w:p w14:paraId="32944C98" w14:textId="77777777" w:rsidR="00572F8D" w:rsidRPr="00D10FD9" w:rsidRDefault="00572F8D" w:rsidP="00572F8D">
      <w:pPr>
        <w:jc w:val="both"/>
      </w:pPr>
      <w:r w:rsidRPr="003E39C1">
        <w:rPr>
          <w:rFonts w:cs="Verdana"/>
          <w:lang w:eastAsia="en-GB"/>
        </w:rPr>
        <w:t xml:space="preserve">In the Support Document of Pitch, coal tar, high </w:t>
      </w:r>
      <w:r w:rsidRPr="00212DCD">
        <w:rPr>
          <w:rFonts w:cs="Verdana"/>
          <w:lang w:eastAsia="en-GB"/>
        </w:rPr>
        <w:t xml:space="preserve">temp. (CTPHT) it has been concluded by the </w:t>
      </w:r>
      <w:r w:rsidRPr="006D360C">
        <w:rPr>
          <w:rFonts w:cs="Verdana"/>
          <w:lang w:eastAsia="en-GB"/>
        </w:rPr>
        <w:t xml:space="preserve">Member State Committee (MSC) that </w:t>
      </w:r>
      <w:proofErr w:type="spellStart"/>
      <w:proofErr w:type="gramStart"/>
      <w:r>
        <w:rPr>
          <w:rFonts w:cs="Verdana"/>
          <w:lang w:eastAsia="en-GB"/>
        </w:rPr>
        <w:t>b</w:t>
      </w:r>
      <w:r w:rsidRPr="00D10FD9">
        <w:t>enz</w:t>
      </w:r>
      <w:proofErr w:type="spellEnd"/>
      <w:r>
        <w:t>[</w:t>
      </w:r>
      <w:proofErr w:type="gramEnd"/>
      <w:r w:rsidRPr="00551770">
        <w:rPr>
          <w:i/>
        </w:rPr>
        <w:t>a</w:t>
      </w:r>
      <w:r>
        <w:t>]</w:t>
      </w:r>
      <w:r w:rsidRPr="00D10FD9">
        <w:t xml:space="preserve">anthracene </w:t>
      </w:r>
      <w:r w:rsidRPr="00CB4EB5">
        <w:rPr>
          <w:rFonts w:cs="Verdana"/>
          <w:lang w:eastAsia="en-GB"/>
        </w:rPr>
        <w:t xml:space="preserve">fulfils the </w:t>
      </w:r>
      <w:r>
        <w:rPr>
          <w:rFonts w:cs="Verdana"/>
          <w:lang w:eastAsia="en-GB"/>
        </w:rPr>
        <w:t xml:space="preserve">PBT and </w:t>
      </w:r>
      <w:proofErr w:type="spellStart"/>
      <w:r>
        <w:rPr>
          <w:rFonts w:cs="Verdana"/>
          <w:lang w:eastAsia="en-GB"/>
        </w:rPr>
        <w:t>vPvB</w:t>
      </w:r>
      <w:proofErr w:type="spellEnd"/>
      <w:r>
        <w:rPr>
          <w:rFonts w:cs="Verdana"/>
          <w:lang w:eastAsia="en-GB"/>
        </w:rPr>
        <w:t xml:space="preserve"> criteria of Annex XIII to the REACH Regulation (</w:t>
      </w:r>
      <w:r w:rsidRPr="00CB4EB5">
        <w:rPr>
          <w:rFonts w:cs="Verdana"/>
          <w:lang w:eastAsia="en-GB"/>
        </w:rPr>
        <w:t>ECHA, 2009)</w:t>
      </w:r>
      <w:r w:rsidRPr="00CB4EB5">
        <w:t xml:space="preserve">. </w:t>
      </w:r>
      <w:r w:rsidRPr="00D10FD9">
        <w:t>However,</w:t>
      </w:r>
      <w:r>
        <w:t xml:space="preserve"> </w:t>
      </w:r>
      <w:proofErr w:type="spellStart"/>
      <w:r w:rsidRPr="00D10FD9">
        <w:t>BaA</w:t>
      </w:r>
      <w:proofErr w:type="spellEnd"/>
      <w:r w:rsidRPr="00D10FD9">
        <w:t xml:space="preserve"> and further PAHs whose properties have already been agreed on by the MSC </w:t>
      </w:r>
      <w:r>
        <w:t>in the CTPHT SVHC identification process</w:t>
      </w:r>
      <w:r w:rsidRPr="00D10FD9">
        <w:t xml:space="preserve"> have not yet been proposed for formal SVHC identification and inclusion in the Candidate List.</w:t>
      </w:r>
      <w:r>
        <w:t xml:space="preserve"> </w:t>
      </w:r>
    </w:p>
    <w:p w14:paraId="115C5D7D" w14:textId="77777777" w:rsidR="0041055E" w:rsidRDefault="0041055E" w:rsidP="0041055E"/>
    <w:p w14:paraId="115C5D7E" w14:textId="77777777" w:rsidR="00B12C39" w:rsidRDefault="00B12C39" w:rsidP="00525EFA">
      <w:pPr>
        <w:pStyle w:val="Referencetitle"/>
        <w:jc w:val="both"/>
      </w:pPr>
      <w:r>
        <w:br w:type="page"/>
      </w:r>
      <w:bookmarkStart w:id="743" w:name="_Toc341888676"/>
      <w:bookmarkStart w:id="744" w:name="_Toc342400536"/>
      <w:r w:rsidRPr="00B93989">
        <w:lastRenderedPageBreak/>
        <w:t>References</w:t>
      </w:r>
      <w:bookmarkEnd w:id="743"/>
      <w:bookmarkEnd w:id="744"/>
    </w:p>
    <w:p w14:paraId="115C5D7F" w14:textId="77777777" w:rsidR="00B12C39" w:rsidRDefault="00B12C39" w:rsidP="005857D8">
      <w:pPr>
        <w:pStyle w:val="Heading1"/>
        <w:numPr>
          <w:ilvl w:val="0"/>
          <w:numId w:val="0"/>
        </w:numPr>
      </w:pPr>
      <w:bookmarkStart w:id="745" w:name="_Toc341888677"/>
      <w:bookmarkStart w:id="746" w:name="_Toc342400537"/>
      <w:bookmarkStart w:id="747" w:name="_Toc354499698"/>
      <w:bookmarkStart w:id="748" w:name="_Toc357083776"/>
      <w:bookmarkStart w:id="749" w:name="_Toc357184321"/>
      <w:bookmarkStart w:id="750" w:name="_Toc357184557"/>
      <w:bookmarkStart w:id="751" w:name="_Toc357185359"/>
      <w:bookmarkStart w:id="752" w:name="_Toc357186207"/>
      <w:bookmarkStart w:id="753" w:name="_Toc357186356"/>
      <w:bookmarkStart w:id="754" w:name="_Toc357437645"/>
      <w:bookmarkStart w:id="755" w:name="_Toc357590915"/>
      <w:bookmarkStart w:id="756" w:name="_Toc357692947"/>
      <w:bookmarkStart w:id="757" w:name="_Toc365649775"/>
      <w:bookmarkStart w:id="758" w:name="_Toc365649924"/>
      <w:bookmarkStart w:id="759" w:name="_Toc366489971"/>
      <w:bookmarkStart w:id="760" w:name="_Toc418498646"/>
      <w:bookmarkStart w:id="761" w:name="_Toc418506101"/>
      <w:bookmarkStart w:id="762" w:name="_Toc491810772"/>
      <w:r>
        <w:t>References for Part I</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2097B49" w14:textId="09AC2BAF" w:rsidR="004D1AD8" w:rsidRDefault="004D1AD8" w:rsidP="00D10FD9">
      <w:pPr>
        <w:rPr>
          <w:lang w:eastAsia="en-US"/>
        </w:rPr>
      </w:pPr>
      <w:r>
        <w:rPr>
          <w:lang w:eastAsia="en-US"/>
        </w:rPr>
        <w:t xml:space="preserve">Bastian M.V., </w:t>
      </w:r>
      <w:proofErr w:type="spellStart"/>
      <w:r>
        <w:rPr>
          <w:lang w:eastAsia="en-US"/>
        </w:rPr>
        <w:t>Toetz</w:t>
      </w:r>
      <w:proofErr w:type="spellEnd"/>
      <w:r>
        <w:rPr>
          <w:lang w:eastAsia="en-US"/>
        </w:rPr>
        <w:t xml:space="preserve"> D.W. (1982): Effect of Eight </w:t>
      </w:r>
      <w:proofErr w:type="spellStart"/>
      <w:r>
        <w:rPr>
          <w:lang w:eastAsia="en-US"/>
        </w:rPr>
        <w:t>Polynuclear</w:t>
      </w:r>
      <w:proofErr w:type="spellEnd"/>
      <w:r>
        <w:rPr>
          <w:lang w:eastAsia="en-US"/>
        </w:rPr>
        <w:t xml:space="preserve"> Hydrocarbons on Growth of </w:t>
      </w:r>
      <w:r w:rsidRPr="004D1AD8">
        <w:rPr>
          <w:i/>
          <w:lang w:eastAsia="en-US"/>
        </w:rPr>
        <w:t xml:space="preserve">Anabaena </w:t>
      </w:r>
      <w:proofErr w:type="spellStart"/>
      <w:r w:rsidRPr="004D1AD8">
        <w:rPr>
          <w:i/>
          <w:lang w:eastAsia="en-US"/>
        </w:rPr>
        <w:t>flos-aquae</w:t>
      </w:r>
      <w:proofErr w:type="spellEnd"/>
      <w:r>
        <w:rPr>
          <w:lang w:eastAsia="en-US"/>
        </w:rPr>
        <w:t xml:space="preserve">. Bull. </w:t>
      </w:r>
      <w:proofErr w:type="spellStart"/>
      <w:r>
        <w:rPr>
          <w:lang w:eastAsia="en-US"/>
        </w:rPr>
        <w:t>Environm</w:t>
      </w:r>
      <w:proofErr w:type="spellEnd"/>
      <w:r>
        <w:rPr>
          <w:lang w:eastAsia="en-US"/>
        </w:rPr>
        <w:t xml:space="preserve">. </w:t>
      </w:r>
      <w:proofErr w:type="spellStart"/>
      <w:r>
        <w:rPr>
          <w:lang w:eastAsia="en-US"/>
        </w:rPr>
        <w:t>Contam</w:t>
      </w:r>
      <w:proofErr w:type="spellEnd"/>
      <w:r>
        <w:rPr>
          <w:lang w:eastAsia="en-US"/>
        </w:rPr>
        <w:t xml:space="preserve">. </w:t>
      </w:r>
      <w:proofErr w:type="spellStart"/>
      <w:r>
        <w:rPr>
          <w:lang w:eastAsia="en-US"/>
        </w:rPr>
        <w:t>Toxicol</w:t>
      </w:r>
      <w:proofErr w:type="spellEnd"/>
      <w:r>
        <w:rPr>
          <w:lang w:eastAsia="en-US"/>
        </w:rPr>
        <w:t>. 29, 531-538.</w:t>
      </w:r>
    </w:p>
    <w:p w14:paraId="40CB450F" w14:textId="77777777" w:rsidR="004D1AD8" w:rsidRDefault="004D1AD8" w:rsidP="00D10FD9">
      <w:pPr>
        <w:rPr>
          <w:lang w:eastAsia="en-US"/>
        </w:rPr>
      </w:pPr>
    </w:p>
    <w:p w14:paraId="32679932" w14:textId="77777777" w:rsidR="00313560" w:rsidRPr="002957E7" w:rsidRDefault="00313560" w:rsidP="00D10FD9">
      <w:pPr>
        <w:rPr>
          <w:lang w:val="fr-FR" w:eastAsia="en-US"/>
        </w:rPr>
      </w:pPr>
      <w:proofErr w:type="spellStart"/>
      <w:r w:rsidRPr="00313560">
        <w:rPr>
          <w:lang w:eastAsia="en-US"/>
        </w:rPr>
        <w:t>Behymer</w:t>
      </w:r>
      <w:proofErr w:type="spellEnd"/>
      <w:r w:rsidRPr="00313560">
        <w:rPr>
          <w:lang w:eastAsia="en-US"/>
        </w:rPr>
        <w:t xml:space="preserve"> T.D., </w:t>
      </w:r>
      <w:proofErr w:type="spellStart"/>
      <w:r w:rsidRPr="00313560">
        <w:rPr>
          <w:lang w:eastAsia="en-US"/>
        </w:rPr>
        <w:t>Hites</w:t>
      </w:r>
      <w:proofErr w:type="spellEnd"/>
      <w:r w:rsidRPr="00313560">
        <w:rPr>
          <w:lang w:eastAsia="en-US"/>
        </w:rPr>
        <w:t xml:space="preserve"> R.A. (1988): Photolysis of polycyclic aromatic hydrocarbons adsorbed on fly ash. </w:t>
      </w:r>
      <w:proofErr w:type="spellStart"/>
      <w:r w:rsidRPr="002957E7">
        <w:rPr>
          <w:lang w:val="fr-FR" w:eastAsia="en-US"/>
        </w:rPr>
        <w:t>Environmental</w:t>
      </w:r>
      <w:proofErr w:type="spellEnd"/>
      <w:r w:rsidRPr="002957E7">
        <w:rPr>
          <w:lang w:val="fr-FR" w:eastAsia="en-US"/>
        </w:rPr>
        <w:t xml:space="preserve"> Science and </w:t>
      </w:r>
      <w:proofErr w:type="spellStart"/>
      <w:r w:rsidRPr="002957E7">
        <w:rPr>
          <w:lang w:val="fr-FR" w:eastAsia="en-US"/>
        </w:rPr>
        <w:t>Technology</w:t>
      </w:r>
      <w:proofErr w:type="spellEnd"/>
      <w:r w:rsidRPr="002957E7">
        <w:rPr>
          <w:lang w:val="fr-FR" w:eastAsia="en-US"/>
        </w:rPr>
        <w:t>, 22(11), 1311-1319.</w:t>
      </w:r>
    </w:p>
    <w:p w14:paraId="6BA00EAD" w14:textId="77777777" w:rsidR="002A515F" w:rsidRPr="002957E7" w:rsidRDefault="002A515F" w:rsidP="00D10FD9">
      <w:pPr>
        <w:rPr>
          <w:lang w:val="fr-FR" w:eastAsia="en-US"/>
        </w:rPr>
      </w:pPr>
    </w:p>
    <w:p w14:paraId="4B6CE882" w14:textId="77777777" w:rsidR="00313560" w:rsidRPr="007466F4" w:rsidRDefault="00313560" w:rsidP="00D10FD9">
      <w:pPr>
        <w:rPr>
          <w:lang w:val="fr-FR" w:eastAsia="en-US"/>
        </w:rPr>
      </w:pPr>
      <w:r w:rsidRPr="007466F4">
        <w:rPr>
          <w:lang w:val="fr-FR" w:eastAsia="en-US"/>
        </w:rPr>
        <w:t xml:space="preserve">Bisson M., Dujardin R., Flammarion P., </w:t>
      </w:r>
      <w:proofErr w:type="spellStart"/>
      <w:r w:rsidRPr="007466F4">
        <w:rPr>
          <w:lang w:val="fr-FR" w:eastAsia="en-US"/>
        </w:rPr>
        <w:t>Garric</w:t>
      </w:r>
      <w:proofErr w:type="spellEnd"/>
      <w:r w:rsidRPr="007466F4">
        <w:rPr>
          <w:lang w:val="fr-FR" w:eastAsia="en-US"/>
        </w:rPr>
        <w:t xml:space="preserve"> J., </w:t>
      </w:r>
      <w:proofErr w:type="spellStart"/>
      <w:r w:rsidRPr="007466F4">
        <w:rPr>
          <w:lang w:val="fr-FR" w:eastAsia="en-US"/>
        </w:rPr>
        <w:t>Babut</w:t>
      </w:r>
      <w:proofErr w:type="spellEnd"/>
      <w:r w:rsidRPr="007466F4">
        <w:rPr>
          <w:lang w:val="fr-FR" w:eastAsia="en-US"/>
        </w:rPr>
        <w:t xml:space="preserve"> M., Lamy M.-H., Porcher J.-M., </w:t>
      </w:r>
      <w:proofErr w:type="spellStart"/>
      <w:r w:rsidRPr="007466F4">
        <w:rPr>
          <w:lang w:val="fr-FR" w:eastAsia="en-US"/>
        </w:rPr>
        <w:t>Thybaud</w:t>
      </w:r>
      <w:proofErr w:type="spellEnd"/>
      <w:r w:rsidRPr="007466F4">
        <w:rPr>
          <w:lang w:val="fr-FR" w:eastAsia="en-US"/>
        </w:rPr>
        <w:t xml:space="preserve"> É., </w:t>
      </w:r>
      <w:proofErr w:type="spellStart"/>
      <w:r w:rsidRPr="007466F4">
        <w:rPr>
          <w:lang w:val="fr-FR" w:eastAsia="en-US"/>
        </w:rPr>
        <w:t>Vindimian</w:t>
      </w:r>
      <w:proofErr w:type="spellEnd"/>
      <w:r w:rsidRPr="007466F4">
        <w:rPr>
          <w:lang w:val="fr-FR" w:eastAsia="en-US"/>
        </w:rPr>
        <w:t xml:space="preserve"> É. (2000): Complément au SEQ-Eau: méthode de détermination des seuils de qualité pour les substances </w:t>
      </w:r>
      <w:proofErr w:type="spellStart"/>
      <w:r w:rsidRPr="007466F4">
        <w:rPr>
          <w:lang w:val="fr-FR" w:eastAsia="en-US"/>
        </w:rPr>
        <w:t>génotoxiques</w:t>
      </w:r>
      <w:proofErr w:type="spellEnd"/>
      <w:r w:rsidRPr="007466F4">
        <w:rPr>
          <w:lang w:val="fr-FR" w:eastAsia="en-US"/>
        </w:rPr>
        <w:t>. Verneuil-en-Halatte, France: Institut National de l'Environnement Industriel et des Risques (INERIS), Agence de l'eau Rhin-Meuse.</w:t>
      </w:r>
    </w:p>
    <w:p w14:paraId="13AD2537" w14:textId="77777777" w:rsidR="002A515F" w:rsidRPr="00FA4140" w:rsidRDefault="002A515F" w:rsidP="00D10FD9">
      <w:pPr>
        <w:rPr>
          <w:lang w:val="fr-FR" w:eastAsia="en-US"/>
        </w:rPr>
      </w:pPr>
    </w:p>
    <w:p w14:paraId="632FADE6" w14:textId="0F8E3BF1" w:rsidR="00AE6DE1" w:rsidRDefault="0055590F" w:rsidP="00D10FD9">
      <w:pPr>
        <w:rPr>
          <w:lang w:eastAsia="en-US"/>
        </w:rPr>
      </w:pPr>
      <w:r w:rsidRPr="0055590F">
        <w:rPr>
          <w:lang w:eastAsia="en-US"/>
        </w:rPr>
        <w:t xml:space="preserve">Calvert JG, Atkinson R, Becker KH, </w:t>
      </w:r>
      <w:proofErr w:type="spellStart"/>
      <w:r w:rsidRPr="0055590F">
        <w:rPr>
          <w:lang w:eastAsia="en-US"/>
        </w:rPr>
        <w:t>Kamens</w:t>
      </w:r>
      <w:proofErr w:type="spellEnd"/>
      <w:r w:rsidRPr="0055590F">
        <w:rPr>
          <w:lang w:eastAsia="en-US"/>
        </w:rPr>
        <w:t xml:space="preserve"> RM, </w:t>
      </w:r>
      <w:proofErr w:type="spellStart"/>
      <w:r w:rsidRPr="0055590F">
        <w:rPr>
          <w:lang w:eastAsia="en-US"/>
        </w:rPr>
        <w:t>Seinfled</w:t>
      </w:r>
      <w:proofErr w:type="spellEnd"/>
      <w:r w:rsidRPr="0055590F">
        <w:rPr>
          <w:lang w:eastAsia="en-US"/>
        </w:rPr>
        <w:t xml:space="preserve"> JH, Wallington TJ, </w:t>
      </w:r>
      <w:proofErr w:type="spellStart"/>
      <w:r w:rsidRPr="0055590F">
        <w:rPr>
          <w:lang w:eastAsia="en-US"/>
        </w:rPr>
        <w:t>Yarwood</w:t>
      </w:r>
      <w:proofErr w:type="spellEnd"/>
      <w:r w:rsidRPr="0055590F">
        <w:rPr>
          <w:lang w:eastAsia="en-US"/>
        </w:rPr>
        <w:t xml:space="preserve"> G (2002) The </w:t>
      </w:r>
      <w:proofErr w:type="spellStart"/>
      <w:r w:rsidRPr="0055590F">
        <w:rPr>
          <w:lang w:eastAsia="en-US"/>
        </w:rPr>
        <w:t>Mechanims</w:t>
      </w:r>
      <w:proofErr w:type="spellEnd"/>
      <w:r w:rsidRPr="0055590F">
        <w:rPr>
          <w:lang w:eastAsia="en-US"/>
        </w:rPr>
        <w:t xml:space="preserve"> of Atmospheric Oxidation of Aromatic Hydrocarbons. Oxford, Oxford </w:t>
      </w:r>
      <w:proofErr w:type="spellStart"/>
      <w:r w:rsidRPr="0055590F">
        <w:rPr>
          <w:lang w:eastAsia="en-US"/>
        </w:rPr>
        <w:t>Universirt</w:t>
      </w:r>
      <w:proofErr w:type="spellEnd"/>
      <w:r w:rsidRPr="0055590F">
        <w:rPr>
          <w:lang w:eastAsia="en-US"/>
        </w:rPr>
        <w:t xml:space="preserve"> Press, 566</w:t>
      </w:r>
    </w:p>
    <w:p w14:paraId="7479788F" w14:textId="77777777" w:rsidR="002A515F" w:rsidRPr="0055590F" w:rsidRDefault="002A515F" w:rsidP="00D10FD9">
      <w:pPr>
        <w:rPr>
          <w:lang w:eastAsia="en-US"/>
        </w:rPr>
      </w:pPr>
    </w:p>
    <w:p w14:paraId="6C928736" w14:textId="08365C4B" w:rsidR="008930F4" w:rsidRDefault="008930F4" w:rsidP="00D10FD9">
      <w:pPr>
        <w:rPr>
          <w:lang w:eastAsia="en-US"/>
        </w:rPr>
      </w:pPr>
      <w:r w:rsidRPr="008930F4">
        <w:rPr>
          <w:lang w:eastAsia="en-US"/>
        </w:rPr>
        <w:t xml:space="preserve">Cody TE, </w:t>
      </w:r>
      <w:proofErr w:type="spellStart"/>
      <w:r w:rsidRPr="008930F4">
        <w:rPr>
          <w:lang w:eastAsia="en-US"/>
        </w:rPr>
        <w:t>Radike</w:t>
      </w:r>
      <w:proofErr w:type="spellEnd"/>
      <w:r w:rsidRPr="008930F4">
        <w:rPr>
          <w:lang w:eastAsia="en-US"/>
        </w:rPr>
        <w:t xml:space="preserve"> MJ, </w:t>
      </w:r>
      <w:proofErr w:type="spellStart"/>
      <w:r w:rsidRPr="008930F4">
        <w:rPr>
          <w:lang w:eastAsia="en-US"/>
        </w:rPr>
        <w:t>Warshawsky</w:t>
      </w:r>
      <w:proofErr w:type="spellEnd"/>
      <w:r w:rsidRPr="008930F4">
        <w:rPr>
          <w:lang w:eastAsia="en-US"/>
        </w:rPr>
        <w:t xml:space="preserve"> D (1984) The </w:t>
      </w:r>
      <w:proofErr w:type="spellStart"/>
      <w:r w:rsidRPr="008930F4">
        <w:rPr>
          <w:lang w:eastAsia="en-US"/>
        </w:rPr>
        <w:t>phototoxicity</w:t>
      </w:r>
      <w:proofErr w:type="spellEnd"/>
      <w:r w:rsidRPr="008930F4">
        <w:rPr>
          <w:lang w:eastAsia="en-US"/>
        </w:rPr>
        <w:t xml:space="preserve"> of </w:t>
      </w:r>
      <w:proofErr w:type="gramStart"/>
      <w:r w:rsidRPr="008930F4">
        <w:rPr>
          <w:lang w:eastAsia="en-US"/>
        </w:rPr>
        <w:t>benzo(</w:t>
      </w:r>
      <w:proofErr w:type="gramEnd"/>
      <w:r w:rsidRPr="008930F4">
        <w:rPr>
          <w:lang w:eastAsia="en-US"/>
        </w:rPr>
        <w:t xml:space="preserve">a)pyrene in the green alga </w:t>
      </w:r>
      <w:proofErr w:type="spellStart"/>
      <w:r w:rsidRPr="008930F4">
        <w:rPr>
          <w:lang w:eastAsia="en-US"/>
        </w:rPr>
        <w:t>Selenastrum</w:t>
      </w:r>
      <w:proofErr w:type="spellEnd"/>
      <w:r w:rsidRPr="008930F4">
        <w:rPr>
          <w:lang w:eastAsia="en-US"/>
        </w:rPr>
        <w:t xml:space="preserve"> </w:t>
      </w:r>
      <w:proofErr w:type="spellStart"/>
      <w:r w:rsidRPr="008930F4">
        <w:rPr>
          <w:lang w:eastAsia="en-US"/>
        </w:rPr>
        <w:t>capricornutum</w:t>
      </w:r>
      <w:proofErr w:type="spellEnd"/>
      <w:r w:rsidRPr="008930F4">
        <w:rPr>
          <w:lang w:eastAsia="en-US"/>
        </w:rPr>
        <w:t>. Environ Res 35: 122-132.</w:t>
      </w:r>
    </w:p>
    <w:p w14:paraId="7312EE06" w14:textId="77777777" w:rsidR="002A515F" w:rsidRPr="008930F4" w:rsidRDefault="002A515F" w:rsidP="00D10FD9">
      <w:pPr>
        <w:rPr>
          <w:lang w:eastAsia="en-US"/>
        </w:rPr>
      </w:pPr>
    </w:p>
    <w:p w14:paraId="1B45F52F" w14:textId="7FA7610E" w:rsidR="00CA4D74" w:rsidRDefault="00CA4D74" w:rsidP="00D10FD9">
      <w:pPr>
        <w:rPr>
          <w:lang w:eastAsia="en-US"/>
        </w:rPr>
      </w:pPr>
      <w:proofErr w:type="spellStart"/>
      <w:r w:rsidRPr="00CA4D74">
        <w:rPr>
          <w:lang w:eastAsia="en-US"/>
        </w:rPr>
        <w:t>Coutant</w:t>
      </w:r>
      <w:proofErr w:type="spellEnd"/>
      <w:r w:rsidRPr="00CA4D74">
        <w:rPr>
          <w:lang w:eastAsia="en-US"/>
        </w:rPr>
        <w:t xml:space="preserve"> RW, Brown L, Chuang JC, </w:t>
      </w:r>
      <w:proofErr w:type="spellStart"/>
      <w:r w:rsidRPr="00CA4D74">
        <w:rPr>
          <w:lang w:eastAsia="en-US"/>
        </w:rPr>
        <w:t>Riggin</w:t>
      </w:r>
      <w:proofErr w:type="spellEnd"/>
      <w:r w:rsidRPr="00CA4D74">
        <w:rPr>
          <w:lang w:eastAsia="en-US"/>
        </w:rPr>
        <w:t xml:space="preserve"> RM, Lewis RG (1988) Phase distribution and </w:t>
      </w:r>
      <w:proofErr w:type="spellStart"/>
      <w:r w:rsidRPr="00CA4D74">
        <w:rPr>
          <w:lang w:eastAsia="en-US"/>
        </w:rPr>
        <w:t>artifact</w:t>
      </w:r>
      <w:proofErr w:type="spellEnd"/>
      <w:r w:rsidRPr="00CA4D74">
        <w:rPr>
          <w:lang w:eastAsia="en-US"/>
        </w:rPr>
        <w:t xml:space="preserve"> formation in ambient air sampling for </w:t>
      </w:r>
      <w:proofErr w:type="spellStart"/>
      <w:r w:rsidRPr="00CA4D74">
        <w:rPr>
          <w:lang w:eastAsia="en-US"/>
        </w:rPr>
        <w:t>polynuclear</w:t>
      </w:r>
      <w:proofErr w:type="spellEnd"/>
      <w:r w:rsidRPr="00CA4D74">
        <w:rPr>
          <w:lang w:eastAsia="en-US"/>
        </w:rPr>
        <w:t xml:space="preserve"> aromatic hydrocarbons. </w:t>
      </w:r>
      <w:proofErr w:type="spellStart"/>
      <w:r w:rsidRPr="00CA4D74">
        <w:rPr>
          <w:lang w:eastAsia="en-US"/>
        </w:rPr>
        <w:t>Atmosph</w:t>
      </w:r>
      <w:proofErr w:type="spellEnd"/>
      <w:r w:rsidRPr="00CA4D74">
        <w:rPr>
          <w:lang w:eastAsia="en-US"/>
        </w:rPr>
        <w:t xml:space="preserve">. </w:t>
      </w:r>
      <w:proofErr w:type="gramStart"/>
      <w:r w:rsidRPr="00CA4D74">
        <w:rPr>
          <w:lang w:eastAsia="en-US"/>
        </w:rPr>
        <w:t>Environ.,</w:t>
      </w:r>
      <w:proofErr w:type="gramEnd"/>
      <w:r w:rsidRPr="00CA4D74">
        <w:rPr>
          <w:lang w:eastAsia="en-US"/>
        </w:rPr>
        <w:t xml:space="preserve"> 22, 403-409</w:t>
      </w:r>
    </w:p>
    <w:p w14:paraId="3842418F" w14:textId="77777777" w:rsidR="002A515F" w:rsidRPr="00CA4D74" w:rsidRDefault="002A515F" w:rsidP="00D10FD9">
      <w:pPr>
        <w:rPr>
          <w:lang w:eastAsia="en-US"/>
        </w:rPr>
      </w:pPr>
    </w:p>
    <w:p w14:paraId="3228F3DA" w14:textId="06267137" w:rsidR="00714F82" w:rsidRDefault="00714F82" w:rsidP="00D10FD9">
      <w:pPr>
        <w:rPr>
          <w:lang w:eastAsia="en-US"/>
        </w:rPr>
      </w:pPr>
      <w:r w:rsidRPr="00714F82">
        <w:rPr>
          <w:lang w:eastAsia="en-US"/>
        </w:rPr>
        <w:t xml:space="preserve">De </w:t>
      </w:r>
      <w:proofErr w:type="spellStart"/>
      <w:r w:rsidRPr="00714F82">
        <w:rPr>
          <w:lang w:eastAsia="en-US"/>
        </w:rPr>
        <w:t>Maagd</w:t>
      </w:r>
      <w:proofErr w:type="spellEnd"/>
      <w:r w:rsidRPr="00714F82">
        <w:rPr>
          <w:lang w:eastAsia="en-US"/>
        </w:rPr>
        <w:t xml:space="preserve"> PGJ (1996) Polycyclic aromatic hydrocarbons: fate and effects in the aquatic environment. Academic Thesis, </w:t>
      </w:r>
      <w:proofErr w:type="spellStart"/>
      <w:r w:rsidRPr="00714F82">
        <w:rPr>
          <w:lang w:eastAsia="en-US"/>
        </w:rPr>
        <w:t>Rijksuniversiteit</w:t>
      </w:r>
      <w:proofErr w:type="spellEnd"/>
      <w:r w:rsidRPr="00714F82">
        <w:rPr>
          <w:lang w:eastAsia="en-US"/>
        </w:rPr>
        <w:t xml:space="preserve"> Utrecht, </w:t>
      </w:r>
      <w:proofErr w:type="gramStart"/>
      <w:r w:rsidRPr="00714F82">
        <w:rPr>
          <w:lang w:eastAsia="en-US"/>
        </w:rPr>
        <w:t>The</w:t>
      </w:r>
      <w:proofErr w:type="gramEnd"/>
      <w:r w:rsidRPr="00714F82">
        <w:rPr>
          <w:lang w:eastAsia="en-US"/>
        </w:rPr>
        <w:t xml:space="preserve"> Netherlands.</w:t>
      </w:r>
    </w:p>
    <w:p w14:paraId="60D9DBA5" w14:textId="77777777" w:rsidR="002A515F" w:rsidRPr="00714F82" w:rsidRDefault="002A515F" w:rsidP="00D10FD9">
      <w:pPr>
        <w:rPr>
          <w:lang w:eastAsia="en-US"/>
        </w:rPr>
      </w:pPr>
    </w:p>
    <w:p w14:paraId="0BD1F192" w14:textId="775275CE" w:rsidR="00714F82" w:rsidRDefault="00714F82" w:rsidP="00D10FD9">
      <w:pPr>
        <w:rPr>
          <w:lang w:eastAsia="en-US"/>
        </w:rPr>
      </w:pPr>
      <w:r w:rsidRPr="00714F82">
        <w:rPr>
          <w:lang w:eastAsia="en-US"/>
        </w:rPr>
        <w:t xml:space="preserve">De </w:t>
      </w:r>
      <w:proofErr w:type="spellStart"/>
      <w:r w:rsidRPr="00714F82">
        <w:rPr>
          <w:lang w:eastAsia="en-US"/>
        </w:rPr>
        <w:t>Maagd</w:t>
      </w:r>
      <w:proofErr w:type="spellEnd"/>
      <w:r w:rsidRPr="00714F82">
        <w:rPr>
          <w:lang w:eastAsia="en-US"/>
        </w:rPr>
        <w:t xml:space="preserve"> PGJ, </w:t>
      </w:r>
      <w:proofErr w:type="spellStart"/>
      <w:r w:rsidRPr="00714F82">
        <w:rPr>
          <w:lang w:eastAsia="en-US"/>
        </w:rPr>
        <w:t>Sinnige</w:t>
      </w:r>
      <w:proofErr w:type="spellEnd"/>
      <w:r w:rsidRPr="00714F82">
        <w:rPr>
          <w:lang w:eastAsia="en-US"/>
        </w:rPr>
        <w:t xml:space="preserve"> TL, </w:t>
      </w:r>
      <w:proofErr w:type="spellStart"/>
      <w:r w:rsidRPr="00714F82">
        <w:rPr>
          <w:lang w:eastAsia="en-US"/>
        </w:rPr>
        <w:t>Schrap</w:t>
      </w:r>
      <w:proofErr w:type="spellEnd"/>
      <w:r w:rsidRPr="00714F82">
        <w:rPr>
          <w:lang w:eastAsia="en-US"/>
        </w:rPr>
        <w:t xml:space="preserve"> SM, </w:t>
      </w:r>
      <w:proofErr w:type="spellStart"/>
      <w:r w:rsidRPr="00714F82">
        <w:rPr>
          <w:lang w:eastAsia="en-US"/>
        </w:rPr>
        <w:t>Opperhuizen</w:t>
      </w:r>
      <w:proofErr w:type="spellEnd"/>
      <w:r w:rsidRPr="00714F82">
        <w:rPr>
          <w:lang w:eastAsia="en-US"/>
        </w:rPr>
        <w:t xml:space="preserve"> A, </w:t>
      </w:r>
      <w:proofErr w:type="spellStart"/>
      <w:r w:rsidRPr="00714F82">
        <w:rPr>
          <w:lang w:eastAsia="en-US"/>
        </w:rPr>
        <w:t>Sijm</w:t>
      </w:r>
      <w:proofErr w:type="spellEnd"/>
      <w:r w:rsidRPr="00714F82">
        <w:rPr>
          <w:lang w:eastAsia="en-US"/>
        </w:rPr>
        <w:t xml:space="preserve"> DTHM (1998) Sorption coefficient of polycyclic aromatic hydrocarbons for two lake sediments: influence of the bactericide sodium </w:t>
      </w:r>
      <w:proofErr w:type="spellStart"/>
      <w:r w:rsidRPr="00714F82">
        <w:rPr>
          <w:lang w:eastAsia="en-US"/>
        </w:rPr>
        <w:t>azide</w:t>
      </w:r>
      <w:proofErr w:type="spellEnd"/>
      <w:r w:rsidRPr="00714F82">
        <w:rPr>
          <w:lang w:eastAsia="en-US"/>
        </w:rPr>
        <w:t xml:space="preserve">. Environ </w:t>
      </w:r>
      <w:proofErr w:type="spellStart"/>
      <w:r w:rsidRPr="00714F82">
        <w:rPr>
          <w:lang w:eastAsia="en-US"/>
        </w:rPr>
        <w:t>Toxicol</w:t>
      </w:r>
      <w:proofErr w:type="spellEnd"/>
      <w:r w:rsidRPr="00714F82">
        <w:rPr>
          <w:lang w:eastAsia="en-US"/>
        </w:rPr>
        <w:t xml:space="preserve"> </w:t>
      </w:r>
      <w:proofErr w:type="spellStart"/>
      <w:r w:rsidRPr="00714F82">
        <w:rPr>
          <w:lang w:eastAsia="en-US"/>
        </w:rPr>
        <w:t>Chem</w:t>
      </w:r>
      <w:proofErr w:type="spellEnd"/>
      <w:r w:rsidRPr="00714F82">
        <w:rPr>
          <w:lang w:eastAsia="en-US"/>
        </w:rPr>
        <w:t xml:space="preserve"> 17: 1899-1907.</w:t>
      </w:r>
    </w:p>
    <w:p w14:paraId="20CC3AD6" w14:textId="77777777" w:rsidR="002A515F" w:rsidRPr="00714F82" w:rsidRDefault="002A515F" w:rsidP="00D10FD9">
      <w:pPr>
        <w:rPr>
          <w:lang w:eastAsia="en-US"/>
        </w:rPr>
      </w:pPr>
    </w:p>
    <w:p w14:paraId="64DFFBD8" w14:textId="5E2AB4B1" w:rsidR="007E35CE" w:rsidRDefault="007E35CE" w:rsidP="00D10FD9">
      <w:pPr>
        <w:rPr>
          <w:lang w:eastAsia="en-US"/>
        </w:rPr>
      </w:pPr>
      <w:r w:rsidRPr="007E35CE">
        <w:rPr>
          <w:lang w:eastAsia="en-US"/>
        </w:rPr>
        <w:t xml:space="preserve">Durant, ND, Wilson, LP, and Bouwer, EJ (1995) Microcosm studies of </w:t>
      </w:r>
      <w:proofErr w:type="spellStart"/>
      <w:r w:rsidRPr="007E35CE">
        <w:rPr>
          <w:lang w:eastAsia="en-US"/>
        </w:rPr>
        <w:t>sunsurface</w:t>
      </w:r>
      <w:proofErr w:type="spellEnd"/>
      <w:r w:rsidRPr="007E35CE">
        <w:rPr>
          <w:lang w:eastAsia="en-US"/>
        </w:rPr>
        <w:t xml:space="preserve"> PAH-degrading bacteria from a former manufactured gas plant. J </w:t>
      </w:r>
      <w:proofErr w:type="spellStart"/>
      <w:r w:rsidRPr="007E35CE">
        <w:rPr>
          <w:lang w:eastAsia="en-US"/>
        </w:rPr>
        <w:t>Contam</w:t>
      </w:r>
      <w:proofErr w:type="spellEnd"/>
      <w:r w:rsidRPr="007E35CE">
        <w:rPr>
          <w:lang w:eastAsia="en-US"/>
        </w:rPr>
        <w:t xml:space="preserve">. </w:t>
      </w:r>
      <w:proofErr w:type="spellStart"/>
      <w:proofErr w:type="gramStart"/>
      <w:r w:rsidRPr="007E35CE">
        <w:rPr>
          <w:lang w:eastAsia="en-US"/>
        </w:rPr>
        <w:t>Hydrol</w:t>
      </w:r>
      <w:proofErr w:type="spellEnd"/>
      <w:r w:rsidRPr="007E35CE">
        <w:rPr>
          <w:lang w:eastAsia="en-US"/>
        </w:rPr>
        <w:t>.,</w:t>
      </w:r>
      <w:proofErr w:type="gramEnd"/>
      <w:r w:rsidRPr="007E35CE">
        <w:rPr>
          <w:lang w:eastAsia="en-US"/>
        </w:rPr>
        <w:t xml:space="preserve"> 17, 213-223</w:t>
      </w:r>
    </w:p>
    <w:p w14:paraId="6F81FF81" w14:textId="77777777" w:rsidR="00D33462" w:rsidRPr="007E35CE" w:rsidRDefault="00D33462" w:rsidP="00D10FD9">
      <w:pPr>
        <w:rPr>
          <w:lang w:eastAsia="en-US"/>
        </w:rPr>
      </w:pPr>
    </w:p>
    <w:p w14:paraId="2C5261E3" w14:textId="77777777" w:rsidR="00D33462" w:rsidRDefault="00D33462" w:rsidP="00D33462">
      <w:pPr>
        <w:rPr>
          <w:lang w:eastAsia="en-US"/>
        </w:rPr>
      </w:pPr>
      <w:r>
        <w:rPr>
          <w:lang w:eastAsia="en-US"/>
        </w:rPr>
        <w:t>EC</w:t>
      </w:r>
      <w:r w:rsidRPr="00313560">
        <w:rPr>
          <w:lang w:eastAsia="en-US"/>
        </w:rPr>
        <w:t xml:space="preserve"> (2008): European Union Risk Assessment Report, Coal Tar Pitch High Temperature, CAS No: 65996-93-2, EINECS No: 266-028-2.</w:t>
      </w:r>
    </w:p>
    <w:p w14:paraId="0D31D4D6" w14:textId="77777777" w:rsidR="00073729" w:rsidRDefault="00073729" w:rsidP="00D10FD9">
      <w:pPr>
        <w:rPr>
          <w:lang w:eastAsia="en-US"/>
        </w:rPr>
      </w:pPr>
    </w:p>
    <w:p w14:paraId="0666D875" w14:textId="1F848CA7" w:rsidR="00313560" w:rsidRDefault="00313560" w:rsidP="00D10FD9">
      <w:pPr>
        <w:rPr>
          <w:lang w:eastAsia="en-US"/>
        </w:rPr>
      </w:pPr>
      <w:r w:rsidRPr="00313560">
        <w:rPr>
          <w:lang w:eastAsia="en-US"/>
        </w:rPr>
        <w:t>ECHA (2009): Support Document for identification of Coal Tar Pitch, High Temperature as a SVHC because of its PBT and CMR properties.</w:t>
      </w:r>
      <w:r w:rsidR="0055590F">
        <w:rPr>
          <w:lang w:eastAsia="en-US"/>
        </w:rPr>
        <w:t xml:space="preserve"> </w:t>
      </w:r>
      <w:hyperlink r:id="rId14" w:history="1">
        <w:r w:rsidR="002A515F" w:rsidRPr="004B22DE">
          <w:rPr>
            <w:rStyle w:val="Hyperlink"/>
            <w:lang w:eastAsia="en-US"/>
          </w:rPr>
          <w:t>http://echa.europa.eu/documents/10162/73d246d4-8c2a-4150-b656-c15948bf0e77</w:t>
        </w:r>
      </w:hyperlink>
    </w:p>
    <w:p w14:paraId="55F9DAD0" w14:textId="77777777" w:rsidR="002A515F" w:rsidRPr="00313560" w:rsidRDefault="002A515F" w:rsidP="00D10FD9">
      <w:pPr>
        <w:rPr>
          <w:lang w:eastAsia="en-US"/>
        </w:rPr>
      </w:pPr>
    </w:p>
    <w:p w14:paraId="5B75F29B" w14:textId="6457ACBB" w:rsidR="00C7782B" w:rsidRDefault="00C7782B" w:rsidP="00D10FD9">
      <w:pPr>
        <w:rPr>
          <w:lang w:eastAsia="en-US"/>
        </w:rPr>
      </w:pPr>
      <w:r w:rsidRPr="00C7782B">
        <w:rPr>
          <w:lang w:eastAsia="en-US"/>
        </w:rPr>
        <w:t xml:space="preserve">El-Alawi YS, Huang X-D, Dixon DG, Greenberg BM (2002) </w:t>
      </w:r>
      <w:proofErr w:type="spellStart"/>
      <w:r w:rsidRPr="00C7782B">
        <w:rPr>
          <w:lang w:eastAsia="en-US"/>
        </w:rPr>
        <w:t>Quantative</w:t>
      </w:r>
      <w:proofErr w:type="spellEnd"/>
      <w:r w:rsidRPr="00C7782B">
        <w:rPr>
          <w:lang w:eastAsia="en-US"/>
        </w:rPr>
        <w:t xml:space="preserve"> structure-activity relationship for the </w:t>
      </w:r>
      <w:proofErr w:type="spellStart"/>
      <w:r w:rsidRPr="00C7782B">
        <w:rPr>
          <w:lang w:eastAsia="en-US"/>
        </w:rPr>
        <w:t>photoinduced</w:t>
      </w:r>
      <w:proofErr w:type="spellEnd"/>
      <w:r w:rsidRPr="00C7782B">
        <w:rPr>
          <w:lang w:eastAsia="en-US"/>
        </w:rPr>
        <w:t xml:space="preserve"> toxicity of polycyclic aromatic hydrocarbons to the luminescent bacteria Vibrio </w:t>
      </w:r>
      <w:proofErr w:type="spellStart"/>
      <w:r w:rsidRPr="00C7782B">
        <w:rPr>
          <w:lang w:eastAsia="en-US"/>
        </w:rPr>
        <w:t>fischeri</w:t>
      </w:r>
      <w:proofErr w:type="spellEnd"/>
      <w:r w:rsidRPr="00C7782B">
        <w:rPr>
          <w:lang w:eastAsia="en-US"/>
        </w:rPr>
        <w:t xml:space="preserve">. Environ </w:t>
      </w:r>
      <w:proofErr w:type="spellStart"/>
      <w:r w:rsidRPr="00C7782B">
        <w:rPr>
          <w:lang w:eastAsia="en-US"/>
        </w:rPr>
        <w:t>Toxicol</w:t>
      </w:r>
      <w:proofErr w:type="spellEnd"/>
      <w:r w:rsidRPr="00C7782B">
        <w:rPr>
          <w:lang w:eastAsia="en-US"/>
        </w:rPr>
        <w:t xml:space="preserve"> </w:t>
      </w:r>
      <w:proofErr w:type="spellStart"/>
      <w:r w:rsidRPr="00C7782B">
        <w:rPr>
          <w:lang w:eastAsia="en-US"/>
        </w:rPr>
        <w:t>Chem</w:t>
      </w:r>
      <w:proofErr w:type="spellEnd"/>
      <w:r w:rsidRPr="00C7782B">
        <w:rPr>
          <w:lang w:eastAsia="en-US"/>
        </w:rPr>
        <w:t>, 21 (10), 2225-2232.</w:t>
      </w:r>
    </w:p>
    <w:p w14:paraId="220441C4" w14:textId="77777777" w:rsidR="002A515F" w:rsidRPr="00313560" w:rsidRDefault="002A515F" w:rsidP="00D10FD9">
      <w:pPr>
        <w:rPr>
          <w:lang w:eastAsia="en-US"/>
        </w:rPr>
      </w:pPr>
    </w:p>
    <w:p w14:paraId="22501D7C" w14:textId="79D0709A" w:rsidR="00F26CAB" w:rsidRDefault="00F26CAB" w:rsidP="00D10FD9">
      <w:pPr>
        <w:rPr>
          <w:lang w:eastAsia="en-US"/>
        </w:rPr>
      </w:pPr>
      <w:proofErr w:type="spellStart"/>
      <w:r w:rsidRPr="00F26CAB">
        <w:rPr>
          <w:lang w:eastAsia="en-US"/>
        </w:rPr>
        <w:t>Freitag</w:t>
      </w:r>
      <w:proofErr w:type="spellEnd"/>
      <w:r w:rsidRPr="00F26CAB">
        <w:rPr>
          <w:lang w:eastAsia="en-US"/>
        </w:rPr>
        <w:t xml:space="preserve"> D, Geyer H, Kraus A, Viswanathan R, </w:t>
      </w:r>
      <w:proofErr w:type="spellStart"/>
      <w:r w:rsidRPr="00F26CAB">
        <w:rPr>
          <w:lang w:eastAsia="en-US"/>
        </w:rPr>
        <w:t>Kotzias</w:t>
      </w:r>
      <w:proofErr w:type="spellEnd"/>
      <w:r w:rsidRPr="00F26CAB">
        <w:rPr>
          <w:lang w:eastAsia="en-US"/>
        </w:rPr>
        <w:t xml:space="preserve"> D, Attar A, Klein W, </w:t>
      </w:r>
      <w:proofErr w:type="spellStart"/>
      <w:r w:rsidRPr="00F26CAB">
        <w:rPr>
          <w:lang w:eastAsia="en-US"/>
        </w:rPr>
        <w:t>Korte</w:t>
      </w:r>
      <w:proofErr w:type="spellEnd"/>
      <w:r w:rsidRPr="00F26CAB">
        <w:rPr>
          <w:lang w:eastAsia="en-US"/>
        </w:rPr>
        <w:t xml:space="preserve"> F (1982) </w:t>
      </w:r>
      <w:proofErr w:type="spellStart"/>
      <w:r w:rsidRPr="00F26CAB">
        <w:rPr>
          <w:lang w:eastAsia="en-US"/>
        </w:rPr>
        <w:t>Ecotoxicological</w:t>
      </w:r>
      <w:proofErr w:type="spellEnd"/>
      <w:r w:rsidRPr="00F26CAB">
        <w:rPr>
          <w:lang w:eastAsia="en-US"/>
        </w:rPr>
        <w:t xml:space="preserve"> profile analysis VII. Screening chemicals for their environmental </w:t>
      </w:r>
      <w:proofErr w:type="spellStart"/>
      <w:r w:rsidRPr="00F26CAB">
        <w:rPr>
          <w:lang w:eastAsia="en-US"/>
        </w:rPr>
        <w:t>behavior</w:t>
      </w:r>
      <w:proofErr w:type="spellEnd"/>
      <w:r w:rsidRPr="00F26CAB">
        <w:rPr>
          <w:lang w:eastAsia="en-US"/>
        </w:rPr>
        <w:t xml:space="preserve"> by comparative evaluation. </w:t>
      </w:r>
      <w:proofErr w:type="spellStart"/>
      <w:r w:rsidRPr="00F26CAB">
        <w:rPr>
          <w:lang w:eastAsia="en-US"/>
        </w:rPr>
        <w:t>Ecotoxicol</w:t>
      </w:r>
      <w:proofErr w:type="spellEnd"/>
      <w:r w:rsidRPr="00F26CAB">
        <w:rPr>
          <w:lang w:eastAsia="en-US"/>
        </w:rPr>
        <w:t xml:space="preserve"> Environ </w:t>
      </w:r>
      <w:proofErr w:type="spellStart"/>
      <w:r w:rsidRPr="00F26CAB">
        <w:rPr>
          <w:lang w:eastAsia="en-US"/>
        </w:rPr>
        <w:t>Saf</w:t>
      </w:r>
      <w:proofErr w:type="spellEnd"/>
      <w:r w:rsidRPr="00F26CAB">
        <w:rPr>
          <w:lang w:eastAsia="en-US"/>
        </w:rPr>
        <w:t xml:space="preserve"> 6: 60-81.</w:t>
      </w:r>
    </w:p>
    <w:p w14:paraId="15CD7A11" w14:textId="77777777" w:rsidR="002A515F" w:rsidRPr="00F26CAB" w:rsidRDefault="002A515F" w:rsidP="00D10FD9">
      <w:pPr>
        <w:rPr>
          <w:lang w:eastAsia="en-US"/>
        </w:rPr>
      </w:pPr>
    </w:p>
    <w:p w14:paraId="4C7CCABE" w14:textId="2DF06617" w:rsidR="00F26CAB" w:rsidRDefault="00F26CAB" w:rsidP="00D10FD9">
      <w:pPr>
        <w:rPr>
          <w:lang w:eastAsia="en-US"/>
        </w:rPr>
      </w:pPr>
      <w:proofErr w:type="spellStart"/>
      <w:r w:rsidRPr="00F26CAB">
        <w:rPr>
          <w:lang w:eastAsia="en-US"/>
        </w:rPr>
        <w:t>Freitag</w:t>
      </w:r>
      <w:proofErr w:type="spellEnd"/>
      <w:r w:rsidRPr="00F26CAB">
        <w:rPr>
          <w:lang w:eastAsia="en-US"/>
        </w:rPr>
        <w:t xml:space="preserve"> DL, </w:t>
      </w:r>
      <w:proofErr w:type="spellStart"/>
      <w:r w:rsidRPr="00F26CAB">
        <w:rPr>
          <w:lang w:eastAsia="en-US"/>
        </w:rPr>
        <w:t>Ballhorn</w:t>
      </w:r>
      <w:proofErr w:type="spellEnd"/>
      <w:r w:rsidRPr="00F26CAB">
        <w:rPr>
          <w:lang w:eastAsia="en-US"/>
        </w:rPr>
        <w:t xml:space="preserve"> L, Geyer H, </w:t>
      </w:r>
      <w:proofErr w:type="spellStart"/>
      <w:r w:rsidRPr="00F26CAB">
        <w:rPr>
          <w:lang w:eastAsia="en-US"/>
        </w:rPr>
        <w:t>Korte</w:t>
      </w:r>
      <w:proofErr w:type="spellEnd"/>
      <w:r w:rsidRPr="00F26CAB">
        <w:rPr>
          <w:lang w:eastAsia="en-US"/>
        </w:rPr>
        <w:t xml:space="preserve"> F (1985) Environmental hazard profile of organic chemicals. An experimental method for the assessment of the behaviour of organic </w:t>
      </w:r>
      <w:r w:rsidRPr="00F26CAB">
        <w:rPr>
          <w:lang w:eastAsia="en-US"/>
        </w:rPr>
        <w:lastRenderedPageBreak/>
        <w:t>chemicals in the ecosphere by means of simple laboratory tests with 14C labelled chemicals. Chemosphere 14: 1589-1616.</w:t>
      </w:r>
    </w:p>
    <w:p w14:paraId="06D0AA3B" w14:textId="77777777" w:rsidR="002A515F" w:rsidRPr="00F26CAB" w:rsidRDefault="002A515F" w:rsidP="00D10FD9">
      <w:pPr>
        <w:rPr>
          <w:lang w:eastAsia="en-US"/>
        </w:rPr>
      </w:pPr>
    </w:p>
    <w:p w14:paraId="5EFF1734" w14:textId="1C331459" w:rsidR="007839C0" w:rsidRDefault="007839C0" w:rsidP="00D10FD9">
      <w:pPr>
        <w:rPr>
          <w:lang w:val="de-DE" w:eastAsia="en-US"/>
        </w:rPr>
      </w:pPr>
      <w:proofErr w:type="spellStart"/>
      <w:r w:rsidRPr="007839C0">
        <w:rPr>
          <w:lang w:eastAsia="en-US"/>
        </w:rPr>
        <w:t>Grosjean</w:t>
      </w:r>
      <w:proofErr w:type="spellEnd"/>
      <w:r w:rsidRPr="007839C0">
        <w:rPr>
          <w:lang w:eastAsia="en-US"/>
        </w:rPr>
        <w:t xml:space="preserve"> D, Fung K, Harrison J (1983) Interactions of polycyclic aromatic hydrocarbons with atmospheric pollutants. </w:t>
      </w:r>
      <w:proofErr w:type="spellStart"/>
      <w:r w:rsidRPr="00D10FD9">
        <w:rPr>
          <w:lang w:val="de-DE" w:eastAsia="en-US"/>
        </w:rPr>
        <w:t>Environ</w:t>
      </w:r>
      <w:proofErr w:type="spellEnd"/>
      <w:r w:rsidRPr="00D10FD9">
        <w:rPr>
          <w:lang w:val="de-DE" w:eastAsia="en-US"/>
        </w:rPr>
        <w:t>. Sc. Tech., 17, 673-679</w:t>
      </w:r>
    </w:p>
    <w:p w14:paraId="63EFE021" w14:textId="77777777" w:rsidR="002A515F" w:rsidRPr="00D10FD9" w:rsidRDefault="002A515F" w:rsidP="00D10FD9">
      <w:pPr>
        <w:rPr>
          <w:b/>
          <w:lang w:val="de-DE" w:eastAsia="en-US"/>
        </w:rPr>
      </w:pPr>
    </w:p>
    <w:p w14:paraId="158EB556" w14:textId="5DE69EFE" w:rsidR="00C700E3" w:rsidRPr="00D10FD9" w:rsidRDefault="00C700E3" w:rsidP="00D10FD9">
      <w:pPr>
        <w:rPr>
          <w:b/>
          <w:lang w:val="de-DE" w:eastAsia="en-US"/>
        </w:rPr>
      </w:pPr>
      <w:r w:rsidRPr="00D10FD9">
        <w:rPr>
          <w:lang w:val="de-DE" w:eastAsia="en-US"/>
        </w:rPr>
        <w:t>GSBL, Gemeinsamer Stoffdatenpool Bund/Länder: http://www.gsbl.de/</w:t>
      </w:r>
    </w:p>
    <w:p w14:paraId="211020A4" w14:textId="77777777" w:rsidR="002D4B2D" w:rsidRPr="0012411C" w:rsidRDefault="002D4B2D" w:rsidP="00D10FD9">
      <w:pPr>
        <w:rPr>
          <w:lang w:val="de-DE" w:eastAsia="en-US"/>
        </w:rPr>
      </w:pPr>
    </w:p>
    <w:p w14:paraId="704DB9A3" w14:textId="77777777" w:rsidR="00313560" w:rsidRDefault="00313560" w:rsidP="00D10FD9">
      <w:pPr>
        <w:rPr>
          <w:lang w:eastAsia="en-US"/>
        </w:rPr>
      </w:pPr>
      <w:r w:rsidRPr="00313560">
        <w:rPr>
          <w:lang w:eastAsia="en-US"/>
        </w:rPr>
        <w:t xml:space="preserve">Hannah J.B., Hose J.E., </w:t>
      </w:r>
      <w:proofErr w:type="spellStart"/>
      <w:r w:rsidRPr="00313560">
        <w:rPr>
          <w:lang w:eastAsia="en-US"/>
        </w:rPr>
        <w:t>Landolt</w:t>
      </w:r>
      <w:proofErr w:type="spellEnd"/>
      <w:r w:rsidRPr="00313560">
        <w:rPr>
          <w:lang w:eastAsia="en-US"/>
        </w:rPr>
        <w:t xml:space="preserve"> M.L. (1982): </w:t>
      </w:r>
      <w:proofErr w:type="gramStart"/>
      <w:r w:rsidRPr="00313560">
        <w:rPr>
          <w:lang w:eastAsia="en-US"/>
        </w:rPr>
        <w:t>Benzo(</w:t>
      </w:r>
      <w:proofErr w:type="gramEnd"/>
      <w:r w:rsidRPr="00313560">
        <w:rPr>
          <w:lang w:eastAsia="en-US"/>
        </w:rPr>
        <w:t>a)pyrene-induced morphologic and developmental abnormalities in rainbow trout. Archives of Environmental Contamination and Toxicology, 11(6), 727-734.</w:t>
      </w:r>
    </w:p>
    <w:p w14:paraId="04764E60" w14:textId="77777777" w:rsidR="002A515F" w:rsidRPr="00313560" w:rsidRDefault="002A515F" w:rsidP="00D10FD9">
      <w:pPr>
        <w:rPr>
          <w:lang w:eastAsia="en-US"/>
        </w:rPr>
      </w:pPr>
    </w:p>
    <w:p w14:paraId="5EED008C" w14:textId="72D3DB93" w:rsidR="00E018ED" w:rsidRDefault="00E018ED" w:rsidP="00D10FD9">
      <w:pPr>
        <w:rPr>
          <w:lang w:eastAsia="en-US"/>
        </w:rPr>
      </w:pPr>
      <w:r w:rsidRPr="00E018ED">
        <w:rPr>
          <w:lang w:eastAsia="en-US"/>
        </w:rPr>
        <w:t xml:space="preserve">Holst LL, </w:t>
      </w:r>
      <w:proofErr w:type="spellStart"/>
      <w:r w:rsidRPr="00E018ED">
        <w:rPr>
          <w:lang w:eastAsia="en-US"/>
        </w:rPr>
        <w:t>Giesy</w:t>
      </w:r>
      <w:proofErr w:type="spellEnd"/>
      <w:r w:rsidRPr="00E018ED">
        <w:rPr>
          <w:lang w:eastAsia="en-US"/>
        </w:rPr>
        <w:t xml:space="preserve"> JP (1989) Chronic effects of the </w:t>
      </w:r>
      <w:proofErr w:type="spellStart"/>
      <w:r w:rsidRPr="00E018ED">
        <w:rPr>
          <w:lang w:eastAsia="en-US"/>
        </w:rPr>
        <w:t>photoenhanced</w:t>
      </w:r>
      <w:proofErr w:type="spellEnd"/>
      <w:r w:rsidRPr="00E018ED">
        <w:rPr>
          <w:lang w:eastAsia="en-US"/>
        </w:rPr>
        <w:t xml:space="preserve"> toxicity of anthracene on Daphnia magna reproduction. Environ </w:t>
      </w:r>
      <w:proofErr w:type="spellStart"/>
      <w:r w:rsidRPr="00E018ED">
        <w:rPr>
          <w:lang w:eastAsia="en-US"/>
        </w:rPr>
        <w:t>Toxicol</w:t>
      </w:r>
      <w:proofErr w:type="spellEnd"/>
      <w:r w:rsidRPr="00E018ED">
        <w:rPr>
          <w:lang w:eastAsia="en-US"/>
        </w:rPr>
        <w:t xml:space="preserve"> </w:t>
      </w:r>
      <w:proofErr w:type="spellStart"/>
      <w:r w:rsidRPr="00E018ED">
        <w:rPr>
          <w:lang w:eastAsia="en-US"/>
        </w:rPr>
        <w:t>Chem</w:t>
      </w:r>
      <w:proofErr w:type="spellEnd"/>
      <w:r w:rsidRPr="00E018ED">
        <w:rPr>
          <w:lang w:eastAsia="en-US"/>
        </w:rPr>
        <w:t xml:space="preserve"> 8: 933-942.</w:t>
      </w:r>
    </w:p>
    <w:p w14:paraId="453AEC87" w14:textId="77777777" w:rsidR="00E018ED" w:rsidRDefault="00E018ED" w:rsidP="00D10FD9">
      <w:pPr>
        <w:rPr>
          <w:lang w:eastAsia="en-US"/>
        </w:rPr>
      </w:pPr>
    </w:p>
    <w:p w14:paraId="287F5681" w14:textId="2D74B64A" w:rsidR="008930F4" w:rsidRDefault="008930F4" w:rsidP="00D10FD9">
      <w:pPr>
        <w:rPr>
          <w:lang w:eastAsia="en-US"/>
        </w:rPr>
      </w:pPr>
      <w:r w:rsidRPr="008930F4">
        <w:rPr>
          <w:lang w:eastAsia="en-US"/>
        </w:rPr>
        <w:t xml:space="preserve">Huang X-D, </w:t>
      </w:r>
      <w:proofErr w:type="spellStart"/>
      <w:r w:rsidRPr="008930F4">
        <w:rPr>
          <w:lang w:eastAsia="en-US"/>
        </w:rPr>
        <w:t>Krylov</w:t>
      </w:r>
      <w:proofErr w:type="spellEnd"/>
      <w:r w:rsidRPr="008930F4">
        <w:rPr>
          <w:lang w:eastAsia="en-US"/>
        </w:rPr>
        <w:t xml:space="preserve"> SN, Ren L, </w:t>
      </w:r>
      <w:proofErr w:type="spellStart"/>
      <w:r w:rsidRPr="008930F4">
        <w:rPr>
          <w:lang w:eastAsia="en-US"/>
        </w:rPr>
        <w:t>McConkey</w:t>
      </w:r>
      <w:proofErr w:type="spellEnd"/>
      <w:r w:rsidRPr="008930F4">
        <w:rPr>
          <w:lang w:eastAsia="en-US"/>
        </w:rPr>
        <w:t xml:space="preserve"> BJ, Dixon DG, Greenberg BM (1997a) Mechanistic quantitative </w:t>
      </w:r>
      <w:proofErr w:type="spellStart"/>
      <w:r w:rsidRPr="008930F4">
        <w:rPr>
          <w:lang w:eastAsia="en-US"/>
        </w:rPr>
        <w:t>structureactivity</w:t>
      </w:r>
      <w:proofErr w:type="spellEnd"/>
      <w:r w:rsidRPr="008930F4">
        <w:rPr>
          <w:lang w:eastAsia="en-US"/>
        </w:rPr>
        <w:t xml:space="preserve"> relationship model for the </w:t>
      </w:r>
      <w:proofErr w:type="spellStart"/>
      <w:r w:rsidRPr="008930F4">
        <w:rPr>
          <w:lang w:eastAsia="en-US"/>
        </w:rPr>
        <w:t>photoinduced</w:t>
      </w:r>
      <w:proofErr w:type="spellEnd"/>
      <w:r w:rsidRPr="008930F4">
        <w:rPr>
          <w:lang w:eastAsia="en-US"/>
        </w:rPr>
        <w:t xml:space="preserve"> toxicity of polycyclic aromatic hydrocarbons: II. An empirical model for the toxicity of 16 polycyclic aromatic hydrocarbons to the duckweed </w:t>
      </w:r>
      <w:proofErr w:type="spellStart"/>
      <w:r w:rsidRPr="008930F4">
        <w:rPr>
          <w:lang w:eastAsia="en-US"/>
        </w:rPr>
        <w:t>Lemna</w:t>
      </w:r>
      <w:proofErr w:type="spellEnd"/>
      <w:r w:rsidRPr="008930F4">
        <w:rPr>
          <w:lang w:eastAsia="en-US"/>
        </w:rPr>
        <w:t xml:space="preserve"> </w:t>
      </w:r>
      <w:proofErr w:type="spellStart"/>
      <w:r w:rsidRPr="008930F4">
        <w:rPr>
          <w:lang w:eastAsia="en-US"/>
        </w:rPr>
        <w:t>gibba</w:t>
      </w:r>
      <w:proofErr w:type="spellEnd"/>
      <w:r w:rsidRPr="008930F4">
        <w:rPr>
          <w:lang w:eastAsia="en-US"/>
        </w:rPr>
        <w:t xml:space="preserve"> L. G-3. Environ </w:t>
      </w:r>
      <w:proofErr w:type="spellStart"/>
      <w:r w:rsidRPr="008930F4">
        <w:rPr>
          <w:lang w:eastAsia="en-US"/>
        </w:rPr>
        <w:t>Toxicol</w:t>
      </w:r>
      <w:proofErr w:type="spellEnd"/>
      <w:r w:rsidRPr="008930F4">
        <w:rPr>
          <w:lang w:eastAsia="en-US"/>
        </w:rPr>
        <w:t xml:space="preserve"> </w:t>
      </w:r>
      <w:proofErr w:type="spellStart"/>
      <w:r w:rsidRPr="008930F4">
        <w:rPr>
          <w:lang w:eastAsia="en-US"/>
        </w:rPr>
        <w:t>Chem</w:t>
      </w:r>
      <w:proofErr w:type="spellEnd"/>
      <w:r w:rsidRPr="008930F4">
        <w:rPr>
          <w:lang w:eastAsia="en-US"/>
        </w:rPr>
        <w:t xml:space="preserve"> 16: 2296-2303.</w:t>
      </w:r>
    </w:p>
    <w:p w14:paraId="00F129ED" w14:textId="77777777" w:rsidR="002A515F" w:rsidRPr="008930F4" w:rsidRDefault="002A515F" w:rsidP="00D10FD9">
      <w:pPr>
        <w:rPr>
          <w:lang w:eastAsia="en-US"/>
        </w:rPr>
      </w:pPr>
    </w:p>
    <w:p w14:paraId="71820534" w14:textId="7FCCA711" w:rsidR="008930F4" w:rsidRDefault="008930F4" w:rsidP="00D10FD9">
      <w:pPr>
        <w:rPr>
          <w:lang w:eastAsia="en-US"/>
        </w:rPr>
      </w:pPr>
      <w:r w:rsidRPr="008930F4">
        <w:rPr>
          <w:lang w:eastAsia="en-US"/>
        </w:rPr>
        <w:t xml:space="preserve">Huang X-D, </w:t>
      </w:r>
      <w:proofErr w:type="spellStart"/>
      <w:r w:rsidRPr="008930F4">
        <w:rPr>
          <w:lang w:eastAsia="en-US"/>
        </w:rPr>
        <w:t>McConkey</w:t>
      </w:r>
      <w:proofErr w:type="spellEnd"/>
      <w:r w:rsidRPr="008930F4">
        <w:rPr>
          <w:lang w:eastAsia="en-US"/>
        </w:rPr>
        <w:t xml:space="preserve"> BJ, </w:t>
      </w:r>
      <w:proofErr w:type="spellStart"/>
      <w:r w:rsidRPr="008930F4">
        <w:rPr>
          <w:lang w:eastAsia="en-US"/>
        </w:rPr>
        <w:t>Babu</w:t>
      </w:r>
      <w:proofErr w:type="spellEnd"/>
      <w:r w:rsidRPr="008930F4">
        <w:rPr>
          <w:lang w:eastAsia="en-US"/>
        </w:rPr>
        <w:t xml:space="preserve"> TS, Greenberg BM (1997b) Mechanisms of </w:t>
      </w:r>
      <w:proofErr w:type="spellStart"/>
      <w:r w:rsidRPr="008930F4">
        <w:rPr>
          <w:lang w:eastAsia="en-US"/>
        </w:rPr>
        <w:t>photoinduced</w:t>
      </w:r>
      <w:proofErr w:type="spellEnd"/>
      <w:r w:rsidRPr="008930F4">
        <w:rPr>
          <w:lang w:eastAsia="en-US"/>
        </w:rPr>
        <w:t xml:space="preserve"> toxicity of </w:t>
      </w:r>
      <w:proofErr w:type="spellStart"/>
      <w:r w:rsidRPr="008930F4">
        <w:rPr>
          <w:lang w:eastAsia="en-US"/>
        </w:rPr>
        <w:t>photomodified</w:t>
      </w:r>
      <w:proofErr w:type="spellEnd"/>
      <w:r w:rsidRPr="008930F4">
        <w:rPr>
          <w:lang w:eastAsia="en-US"/>
        </w:rPr>
        <w:t xml:space="preserve"> anthracene to plants: Inhibition of photosynthesis in the aquatic higher plant </w:t>
      </w:r>
      <w:proofErr w:type="spellStart"/>
      <w:r w:rsidRPr="008930F4">
        <w:rPr>
          <w:lang w:eastAsia="en-US"/>
        </w:rPr>
        <w:t>Lemna</w:t>
      </w:r>
      <w:proofErr w:type="spellEnd"/>
      <w:r w:rsidRPr="008930F4">
        <w:rPr>
          <w:lang w:eastAsia="en-US"/>
        </w:rPr>
        <w:t xml:space="preserve"> </w:t>
      </w:r>
      <w:proofErr w:type="spellStart"/>
      <w:r w:rsidRPr="008930F4">
        <w:rPr>
          <w:lang w:eastAsia="en-US"/>
        </w:rPr>
        <w:t>gibba</w:t>
      </w:r>
      <w:proofErr w:type="spellEnd"/>
      <w:r w:rsidRPr="008930F4">
        <w:rPr>
          <w:lang w:eastAsia="en-US"/>
        </w:rPr>
        <w:t xml:space="preserve"> (duckweed). Environ </w:t>
      </w:r>
      <w:proofErr w:type="spellStart"/>
      <w:r w:rsidRPr="008930F4">
        <w:rPr>
          <w:lang w:eastAsia="en-US"/>
        </w:rPr>
        <w:t>Toxicol</w:t>
      </w:r>
      <w:proofErr w:type="spellEnd"/>
      <w:r w:rsidRPr="008930F4">
        <w:rPr>
          <w:lang w:eastAsia="en-US"/>
        </w:rPr>
        <w:t xml:space="preserve"> </w:t>
      </w:r>
      <w:proofErr w:type="spellStart"/>
      <w:r w:rsidRPr="008930F4">
        <w:rPr>
          <w:lang w:eastAsia="en-US"/>
        </w:rPr>
        <w:t>Chem</w:t>
      </w:r>
      <w:proofErr w:type="spellEnd"/>
      <w:r w:rsidRPr="008930F4">
        <w:rPr>
          <w:lang w:eastAsia="en-US"/>
        </w:rPr>
        <w:t xml:space="preserve"> 16: 1707-1715.</w:t>
      </w:r>
    </w:p>
    <w:p w14:paraId="3EE22437" w14:textId="77777777" w:rsidR="002A515F" w:rsidRPr="008930F4" w:rsidRDefault="002A515F" w:rsidP="00D10FD9">
      <w:pPr>
        <w:rPr>
          <w:lang w:eastAsia="en-US"/>
        </w:rPr>
      </w:pPr>
    </w:p>
    <w:p w14:paraId="128A73D4" w14:textId="1D05FBCD" w:rsidR="00C7782B" w:rsidRDefault="00C7782B" w:rsidP="00D10FD9">
      <w:pPr>
        <w:rPr>
          <w:lang w:eastAsia="en-US"/>
        </w:rPr>
      </w:pPr>
      <w:r w:rsidRPr="00C7782B">
        <w:rPr>
          <w:lang w:eastAsia="en-US"/>
        </w:rPr>
        <w:t xml:space="preserve">Johnson BT, Long ER (1998) Rapid toxicity assessment of sediment from estuarine ecosystems: A new tandem in vitro testing approach. Environ </w:t>
      </w:r>
      <w:proofErr w:type="spellStart"/>
      <w:r w:rsidRPr="00C7782B">
        <w:rPr>
          <w:lang w:eastAsia="en-US"/>
        </w:rPr>
        <w:t>Toxicol</w:t>
      </w:r>
      <w:proofErr w:type="spellEnd"/>
      <w:r w:rsidRPr="00C7782B">
        <w:rPr>
          <w:lang w:eastAsia="en-US"/>
        </w:rPr>
        <w:t xml:space="preserve"> </w:t>
      </w:r>
      <w:proofErr w:type="spellStart"/>
      <w:r w:rsidRPr="00C7782B">
        <w:rPr>
          <w:lang w:eastAsia="en-US"/>
        </w:rPr>
        <w:t>Chem</w:t>
      </w:r>
      <w:proofErr w:type="spellEnd"/>
      <w:r w:rsidRPr="00C7782B">
        <w:rPr>
          <w:lang w:eastAsia="en-US"/>
        </w:rPr>
        <w:t xml:space="preserve"> 17: 1099-1106.</w:t>
      </w:r>
    </w:p>
    <w:p w14:paraId="2077E09F" w14:textId="77777777" w:rsidR="002A515F" w:rsidRPr="00C7782B" w:rsidRDefault="002A515F" w:rsidP="00D10FD9">
      <w:pPr>
        <w:rPr>
          <w:lang w:eastAsia="en-US"/>
        </w:rPr>
      </w:pPr>
    </w:p>
    <w:p w14:paraId="54F36CE4" w14:textId="77777777" w:rsidR="001E4374" w:rsidRDefault="001E4374" w:rsidP="00D10FD9">
      <w:pPr>
        <w:rPr>
          <w:lang w:eastAsia="en-US"/>
        </w:rPr>
      </w:pPr>
      <w:proofErr w:type="spellStart"/>
      <w:r w:rsidRPr="0062476D">
        <w:rPr>
          <w:lang w:eastAsia="en-US"/>
        </w:rPr>
        <w:t>Kamens</w:t>
      </w:r>
      <w:proofErr w:type="spellEnd"/>
      <w:r w:rsidRPr="0062476D">
        <w:rPr>
          <w:lang w:eastAsia="en-US"/>
        </w:rPr>
        <w:t xml:space="preserve"> RM, </w:t>
      </w:r>
      <w:proofErr w:type="spellStart"/>
      <w:r w:rsidRPr="0062476D">
        <w:rPr>
          <w:lang w:eastAsia="en-US"/>
        </w:rPr>
        <w:t>Guo</w:t>
      </w:r>
      <w:proofErr w:type="spellEnd"/>
      <w:r w:rsidRPr="0062476D">
        <w:rPr>
          <w:lang w:eastAsia="en-US"/>
        </w:rPr>
        <w:t>, Z, Fulcher JN, and Bell DA (1988) Influence of humidity, sunlight, and temperature on the</w:t>
      </w:r>
      <w:r>
        <w:rPr>
          <w:lang w:eastAsia="en-US"/>
        </w:rPr>
        <w:t xml:space="preserve"> </w:t>
      </w:r>
      <w:r w:rsidRPr="0062476D">
        <w:rPr>
          <w:lang w:eastAsia="en-US"/>
        </w:rPr>
        <w:t xml:space="preserve">daytime decay of </w:t>
      </w:r>
      <w:proofErr w:type="spellStart"/>
      <w:r w:rsidRPr="0062476D">
        <w:rPr>
          <w:lang w:eastAsia="en-US"/>
        </w:rPr>
        <w:t>polyaromatic</w:t>
      </w:r>
      <w:proofErr w:type="spellEnd"/>
      <w:r w:rsidRPr="0062476D">
        <w:rPr>
          <w:lang w:eastAsia="en-US"/>
        </w:rPr>
        <w:t xml:space="preserve"> hydrocarbons on atmospheric soot particles Environ. Sc. Tech., 22, 103-108</w:t>
      </w:r>
    </w:p>
    <w:p w14:paraId="31F0F4BA" w14:textId="77777777" w:rsidR="002A515F" w:rsidRPr="0062476D" w:rsidRDefault="002A515F" w:rsidP="00D10FD9">
      <w:pPr>
        <w:rPr>
          <w:lang w:eastAsia="en-US"/>
        </w:rPr>
      </w:pPr>
    </w:p>
    <w:p w14:paraId="3945D311" w14:textId="4F53A120" w:rsidR="001E4374" w:rsidRDefault="001E4374" w:rsidP="00D10FD9">
      <w:pPr>
        <w:rPr>
          <w:lang w:eastAsia="en-US"/>
        </w:rPr>
      </w:pPr>
      <w:proofErr w:type="spellStart"/>
      <w:r w:rsidRPr="001E4374">
        <w:rPr>
          <w:lang w:eastAsia="en-US"/>
        </w:rPr>
        <w:t>Kamens</w:t>
      </w:r>
      <w:proofErr w:type="spellEnd"/>
      <w:r w:rsidRPr="001E4374">
        <w:rPr>
          <w:lang w:eastAsia="en-US"/>
        </w:rPr>
        <w:t xml:space="preserve">, RM, </w:t>
      </w:r>
      <w:proofErr w:type="spellStart"/>
      <w:r w:rsidRPr="001E4374">
        <w:rPr>
          <w:lang w:eastAsia="en-US"/>
        </w:rPr>
        <w:t>Zhishi</w:t>
      </w:r>
      <w:proofErr w:type="spellEnd"/>
      <w:r w:rsidRPr="001E4374">
        <w:rPr>
          <w:lang w:eastAsia="en-US"/>
        </w:rPr>
        <w:t xml:space="preserve">, G, Fulcher, JN, and Bell, DA (1991) </w:t>
      </w:r>
      <w:proofErr w:type="gramStart"/>
      <w:r w:rsidRPr="001E4374">
        <w:rPr>
          <w:lang w:eastAsia="en-US"/>
        </w:rPr>
        <w:t>The</w:t>
      </w:r>
      <w:proofErr w:type="gramEnd"/>
      <w:r w:rsidRPr="001E4374">
        <w:rPr>
          <w:lang w:eastAsia="en-US"/>
        </w:rPr>
        <w:t xml:space="preserve"> influence of humidity on the daytime decay of PAH on atmospheric soot particles. In: Cook M, </w:t>
      </w:r>
      <w:proofErr w:type="spellStart"/>
      <w:r w:rsidRPr="001E4374">
        <w:rPr>
          <w:lang w:eastAsia="en-US"/>
        </w:rPr>
        <w:t>Loening</w:t>
      </w:r>
      <w:proofErr w:type="spellEnd"/>
      <w:r w:rsidRPr="001E4374">
        <w:rPr>
          <w:lang w:eastAsia="en-US"/>
        </w:rPr>
        <w:t xml:space="preserve">, K &amp; Merritt, J ed. </w:t>
      </w:r>
      <w:proofErr w:type="spellStart"/>
      <w:r w:rsidRPr="001E4374">
        <w:rPr>
          <w:lang w:eastAsia="en-US"/>
        </w:rPr>
        <w:t>Polynuclear</w:t>
      </w:r>
      <w:proofErr w:type="spellEnd"/>
      <w:r w:rsidRPr="001E4374">
        <w:rPr>
          <w:lang w:eastAsia="en-US"/>
        </w:rPr>
        <w:t xml:space="preserve"> aromatic hydrocarbons:</w:t>
      </w:r>
      <w:r>
        <w:rPr>
          <w:lang w:eastAsia="en-US"/>
        </w:rPr>
        <w:t xml:space="preserve"> </w:t>
      </w:r>
      <w:r w:rsidRPr="001E4374">
        <w:rPr>
          <w:lang w:eastAsia="en-US"/>
        </w:rPr>
        <w:t>Measurement, means and metabolism, Columbus, Ohio, Battelle Press, 435-451</w:t>
      </w:r>
    </w:p>
    <w:p w14:paraId="03E9498F" w14:textId="77777777" w:rsidR="002A515F" w:rsidRDefault="002A515F" w:rsidP="00D10FD9">
      <w:pPr>
        <w:rPr>
          <w:lang w:eastAsia="en-US"/>
        </w:rPr>
      </w:pPr>
    </w:p>
    <w:p w14:paraId="7A8945E3" w14:textId="3E83BC8E" w:rsidR="00F26CAB" w:rsidRDefault="00F26CAB" w:rsidP="00D10FD9">
      <w:pPr>
        <w:rPr>
          <w:lang w:eastAsia="en-US"/>
        </w:rPr>
      </w:pPr>
      <w:proofErr w:type="spellStart"/>
      <w:r w:rsidRPr="00F26CAB">
        <w:rPr>
          <w:lang w:eastAsia="en-US"/>
        </w:rPr>
        <w:t>Korte</w:t>
      </w:r>
      <w:proofErr w:type="spellEnd"/>
      <w:r w:rsidRPr="00F26CAB">
        <w:rPr>
          <w:lang w:eastAsia="en-US"/>
        </w:rPr>
        <w:t xml:space="preserve"> F, </w:t>
      </w:r>
      <w:proofErr w:type="spellStart"/>
      <w:r w:rsidRPr="00F26CAB">
        <w:rPr>
          <w:lang w:eastAsia="en-US"/>
        </w:rPr>
        <w:t>Freitag</w:t>
      </w:r>
      <w:proofErr w:type="spellEnd"/>
      <w:r w:rsidRPr="00F26CAB">
        <w:rPr>
          <w:lang w:eastAsia="en-US"/>
        </w:rPr>
        <w:t xml:space="preserve"> D, Geyer H (1978) </w:t>
      </w:r>
      <w:proofErr w:type="spellStart"/>
      <w:r w:rsidRPr="00F26CAB">
        <w:rPr>
          <w:lang w:eastAsia="en-US"/>
        </w:rPr>
        <w:t>Ecotoxicologic</w:t>
      </w:r>
      <w:proofErr w:type="spellEnd"/>
      <w:r w:rsidRPr="00F26CAB">
        <w:rPr>
          <w:lang w:eastAsia="en-US"/>
        </w:rPr>
        <w:t xml:space="preserve"> profile analysis. A concept for establishing </w:t>
      </w:r>
      <w:proofErr w:type="spellStart"/>
      <w:r w:rsidRPr="00F26CAB">
        <w:rPr>
          <w:lang w:eastAsia="en-US"/>
        </w:rPr>
        <w:t>ecotoxicologic</w:t>
      </w:r>
      <w:proofErr w:type="spellEnd"/>
      <w:r w:rsidRPr="00F26CAB">
        <w:rPr>
          <w:lang w:eastAsia="en-US"/>
        </w:rPr>
        <w:t xml:space="preserve"> priority lists for chemicals. Chemosphere 7: 79-102.</w:t>
      </w:r>
    </w:p>
    <w:p w14:paraId="27B79917" w14:textId="77777777" w:rsidR="002A515F" w:rsidRPr="00F26CAB" w:rsidRDefault="002A515F" w:rsidP="00D10FD9">
      <w:pPr>
        <w:rPr>
          <w:lang w:eastAsia="en-US"/>
        </w:rPr>
      </w:pPr>
    </w:p>
    <w:p w14:paraId="10883EAC" w14:textId="77777777" w:rsidR="00313560" w:rsidRDefault="00313560" w:rsidP="00D10FD9">
      <w:pPr>
        <w:rPr>
          <w:lang w:eastAsia="en-US"/>
        </w:rPr>
      </w:pPr>
      <w:proofErr w:type="spellStart"/>
      <w:r w:rsidRPr="00313560">
        <w:rPr>
          <w:lang w:eastAsia="en-US"/>
        </w:rPr>
        <w:t>Lampi</w:t>
      </w:r>
      <w:proofErr w:type="spellEnd"/>
      <w:r w:rsidRPr="00313560">
        <w:rPr>
          <w:lang w:eastAsia="en-US"/>
        </w:rPr>
        <w:t xml:space="preserve"> M.A., </w:t>
      </w:r>
      <w:proofErr w:type="spellStart"/>
      <w:r w:rsidRPr="00313560">
        <w:rPr>
          <w:lang w:eastAsia="en-US"/>
        </w:rPr>
        <w:t>Gurska</w:t>
      </w:r>
      <w:proofErr w:type="spellEnd"/>
      <w:r w:rsidRPr="00313560">
        <w:rPr>
          <w:lang w:eastAsia="en-US"/>
        </w:rPr>
        <w:t xml:space="preserve"> J., McDonald K.I.C., </w:t>
      </w:r>
      <w:proofErr w:type="spellStart"/>
      <w:r w:rsidRPr="00313560">
        <w:rPr>
          <w:lang w:eastAsia="en-US"/>
        </w:rPr>
        <w:t>Xie</w:t>
      </w:r>
      <w:proofErr w:type="spellEnd"/>
      <w:r w:rsidRPr="00313560">
        <w:rPr>
          <w:lang w:eastAsia="en-US"/>
        </w:rPr>
        <w:t xml:space="preserve"> F., Huang X.-D., Dixon D.G., Greenberg B.M. (2006): </w:t>
      </w:r>
      <w:proofErr w:type="spellStart"/>
      <w:r w:rsidRPr="00313560">
        <w:rPr>
          <w:lang w:eastAsia="en-US"/>
        </w:rPr>
        <w:t>Photoinduced</w:t>
      </w:r>
      <w:proofErr w:type="spellEnd"/>
      <w:r w:rsidRPr="00313560">
        <w:rPr>
          <w:lang w:eastAsia="en-US"/>
        </w:rPr>
        <w:t xml:space="preserve"> toxicity of polycyclic aromatic hydrocarbons to Daphnia magna: ultraviolet-mediated effects and the toxicity of polycyclic aromatic hydrocarbon photoproducts. Environmental Toxicology and Chemistry, 25(4), 1079-1078.</w:t>
      </w:r>
    </w:p>
    <w:p w14:paraId="4978CC4A" w14:textId="77777777" w:rsidR="002A515F" w:rsidRPr="00313560" w:rsidRDefault="002A515F" w:rsidP="00D10FD9">
      <w:pPr>
        <w:rPr>
          <w:lang w:eastAsia="en-US"/>
        </w:rPr>
      </w:pPr>
    </w:p>
    <w:p w14:paraId="55D90A39" w14:textId="77777777" w:rsidR="00313560" w:rsidRDefault="00313560" w:rsidP="00D10FD9">
      <w:pPr>
        <w:rPr>
          <w:lang w:eastAsia="en-US"/>
        </w:rPr>
      </w:pPr>
      <w:r w:rsidRPr="00313560">
        <w:rPr>
          <w:lang w:eastAsia="en-US"/>
        </w:rPr>
        <w:t xml:space="preserve">Landrum P.F., </w:t>
      </w:r>
      <w:proofErr w:type="spellStart"/>
      <w:r w:rsidRPr="00313560">
        <w:rPr>
          <w:lang w:eastAsia="en-US"/>
        </w:rPr>
        <w:t>Poore</w:t>
      </w:r>
      <w:proofErr w:type="spellEnd"/>
      <w:r w:rsidRPr="00313560">
        <w:rPr>
          <w:lang w:eastAsia="en-US"/>
        </w:rPr>
        <w:t xml:space="preserve"> R. (1988): </w:t>
      </w:r>
      <w:proofErr w:type="spellStart"/>
      <w:r w:rsidRPr="00313560">
        <w:rPr>
          <w:lang w:eastAsia="en-US"/>
        </w:rPr>
        <w:t>Toxicokinetics</w:t>
      </w:r>
      <w:proofErr w:type="spellEnd"/>
      <w:r w:rsidRPr="00313560">
        <w:rPr>
          <w:lang w:eastAsia="en-US"/>
        </w:rPr>
        <w:t xml:space="preserve"> of selected xenobiotics in </w:t>
      </w:r>
      <w:proofErr w:type="spellStart"/>
      <w:r w:rsidRPr="00313560">
        <w:rPr>
          <w:lang w:eastAsia="en-US"/>
        </w:rPr>
        <w:t>Hexagenia</w:t>
      </w:r>
      <w:proofErr w:type="spellEnd"/>
      <w:r w:rsidRPr="00313560">
        <w:rPr>
          <w:lang w:eastAsia="en-US"/>
        </w:rPr>
        <w:t xml:space="preserve"> </w:t>
      </w:r>
      <w:proofErr w:type="spellStart"/>
      <w:r w:rsidRPr="00313560">
        <w:rPr>
          <w:lang w:eastAsia="en-US"/>
        </w:rPr>
        <w:t>limbata</w:t>
      </w:r>
      <w:proofErr w:type="spellEnd"/>
      <w:r w:rsidRPr="00313560">
        <w:rPr>
          <w:lang w:eastAsia="en-US"/>
        </w:rPr>
        <w:t>. Journal of Great Lakes Research, 14(4), 427-437.</w:t>
      </w:r>
    </w:p>
    <w:p w14:paraId="3A4210EB" w14:textId="77777777" w:rsidR="002A515F" w:rsidRPr="00313560" w:rsidRDefault="002A515F" w:rsidP="00D10FD9">
      <w:pPr>
        <w:rPr>
          <w:lang w:eastAsia="en-US"/>
        </w:rPr>
      </w:pPr>
    </w:p>
    <w:p w14:paraId="3C66CE0B" w14:textId="77777777" w:rsidR="00313560" w:rsidRDefault="00313560" w:rsidP="00D10FD9">
      <w:pPr>
        <w:rPr>
          <w:lang w:eastAsia="en-US"/>
        </w:rPr>
      </w:pPr>
      <w:r w:rsidRPr="00313560">
        <w:rPr>
          <w:lang w:eastAsia="en-US"/>
        </w:rPr>
        <w:t xml:space="preserve">Mackay D., </w:t>
      </w:r>
      <w:proofErr w:type="spellStart"/>
      <w:r w:rsidRPr="00313560">
        <w:rPr>
          <w:lang w:eastAsia="en-US"/>
        </w:rPr>
        <w:t>Shiu</w:t>
      </w:r>
      <w:proofErr w:type="spellEnd"/>
      <w:r w:rsidRPr="00313560">
        <w:rPr>
          <w:lang w:eastAsia="en-US"/>
        </w:rPr>
        <w:t xml:space="preserve"> W.Y. and Ma K.C. (1992): Illustrated handbook of physical-chemical properties and environmental fate of organic chemicals. Lewis Publishers, Boca Raton, FL, USA.</w:t>
      </w:r>
    </w:p>
    <w:p w14:paraId="74948E91" w14:textId="77777777" w:rsidR="002A515F" w:rsidRPr="00313560" w:rsidRDefault="002A515F" w:rsidP="00D10FD9">
      <w:pPr>
        <w:rPr>
          <w:lang w:eastAsia="en-US"/>
        </w:rPr>
      </w:pPr>
    </w:p>
    <w:p w14:paraId="1B4C9917" w14:textId="77777777" w:rsidR="00313560" w:rsidRDefault="00313560" w:rsidP="00D10FD9">
      <w:pPr>
        <w:rPr>
          <w:lang w:eastAsia="en-US"/>
        </w:rPr>
      </w:pPr>
      <w:r w:rsidRPr="00313560">
        <w:rPr>
          <w:lang w:eastAsia="en-US"/>
        </w:rPr>
        <w:t xml:space="preserve">Mackay D., </w:t>
      </w:r>
      <w:proofErr w:type="spellStart"/>
      <w:r w:rsidRPr="00313560">
        <w:rPr>
          <w:lang w:eastAsia="en-US"/>
        </w:rPr>
        <w:t>Shiu</w:t>
      </w:r>
      <w:proofErr w:type="spellEnd"/>
      <w:r w:rsidRPr="00313560">
        <w:rPr>
          <w:lang w:eastAsia="en-US"/>
        </w:rPr>
        <w:t xml:space="preserve"> W.Y., </w:t>
      </w:r>
      <w:proofErr w:type="gramStart"/>
      <w:r w:rsidRPr="00313560">
        <w:rPr>
          <w:lang w:eastAsia="en-US"/>
        </w:rPr>
        <w:t>Ma</w:t>
      </w:r>
      <w:proofErr w:type="gramEnd"/>
      <w:r w:rsidRPr="00313560">
        <w:rPr>
          <w:lang w:eastAsia="en-US"/>
        </w:rPr>
        <w:t xml:space="preserve"> K. (2000): Illustrated handbook of physical-chemical properties and environmental fate for organic chemicals. Vol. II: </w:t>
      </w:r>
      <w:proofErr w:type="spellStart"/>
      <w:r w:rsidRPr="00313560">
        <w:rPr>
          <w:lang w:eastAsia="en-US"/>
        </w:rPr>
        <w:t>Polynuclear</w:t>
      </w:r>
      <w:proofErr w:type="spellEnd"/>
      <w:r w:rsidRPr="00313560">
        <w:rPr>
          <w:lang w:eastAsia="en-US"/>
        </w:rPr>
        <w:t xml:space="preserve"> aromatic hydrocarbons, polychlorinated dioxins and dibenzofurans.</w:t>
      </w:r>
    </w:p>
    <w:p w14:paraId="022E3D67" w14:textId="77777777" w:rsidR="002A515F" w:rsidRPr="00313560" w:rsidRDefault="002A515F" w:rsidP="00D10FD9">
      <w:pPr>
        <w:rPr>
          <w:lang w:eastAsia="en-US"/>
        </w:rPr>
      </w:pPr>
    </w:p>
    <w:p w14:paraId="576CB7CB" w14:textId="00D3BFC4" w:rsidR="00714F82" w:rsidRDefault="00714F82" w:rsidP="00D10FD9">
      <w:pPr>
        <w:rPr>
          <w:lang w:eastAsia="en-US"/>
        </w:rPr>
      </w:pPr>
      <w:r>
        <w:rPr>
          <w:lang w:eastAsia="en-US"/>
        </w:rPr>
        <w:t xml:space="preserve">Mackay D, </w:t>
      </w:r>
      <w:proofErr w:type="spellStart"/>
      <w:r w:rsidRPr="00313560">
        <w:rPr>
          <w:lang w:eastAsia="en-US"/>
        </w:rPr>
        <w:t>Shiu</w:t>
      </w:r>
      <w:proofErr w:type="spellEnd"/>
      <w:r w:rsidRPr="00313560">
        <w:rPr>
          <w:lang w:eastAsia="en-US"/>
        </w:rPr>
        <w:t xml:space="preserve"> W.Y.</w:t>
      </w:r>
      <w:r>
        <w:rPr>
          <w:lang w:eastAsia="en-US"/>
        </w:rPr>
        <w:t>,</w:t>
      </w:r>
      <w:r w:rsidRPr="00313560">
        <w:rPr>
          <w:lang w:eastAsia="en-US"/>
        </w:rPr>
        <w:t xml:space="preserve"> Ma K.C</w:t>
      </w:r>
      <w:r>
        <w:rPr>
          <w:lang w:eastAsia="en-US"/>
        </w:rPr>
        <w:t xml:space="preserve">, Lee S.C. (2006): </w:t>
      </w:r>
      <w:r w:rsidRPr="0062476D">
        <w:rPr>
          <w:lang w:eastAsia="en-US"/>
        </w:rPr>
        <w:t>Physical-Chemical Properties and Environmental Fate for Organic Chemicals / Donald Mackay [Ed.</w:t>
      </w:r>
      <w:proofErr w:type="gramStart"/>
      <w:r w:rsidRPr="0062476D">
        <w:rPr>
          <w:lang w:eastAsia="en-US"/>
        </w:rPr>
        <w:t>] ....</w:t>
      </w:r>
      <w:proofErr w:type="gramEnd"/>
      <w:r w:rsidRPr="0062476D">
        <w:rPr>
          <w:lang w:eastAsia="en-US"/>
        </w:rPr>
        <w:t xml:space="preserve"> - 1. Introduction and Hydrocarbons. - Boca Raton, FL [</w:t>
      </w:r>
      <w:proofErr w:type="spellStart"/>
      <w:r w:rsidRPr="0062476D">
        <w:rPr>
          <w:lang w:eastAsia="en-US"/>
        </w:rPr>
        <w:t>u.a</w:t>
      </w:r>
      <w:proofErr w:type="spellEnd"/>
      <w:r w:rsidRPr="0062476D">
        <w:rPr>
          <w:lang w:eastAsia="en-US"/>
        </w:rPr>
        <w:t>.</w:t>
      </w:r>
      <w:proofErr w:type="gramStart"/>
      <w:r w:rsidRPr="0062476D">
        <w:rPr>
          <w:lang w:eastAsia="en-US"/>
        </w:rPr>
        <w:t>] :</w:t>
      </w:r>
      <w:proofErr w:type="gramEnd"/>
      <w:r w:rsidRPr="0062476D">
        <w:rPr>
          <w:lang w:eastAsia="en-US"/>
        </w:rPr>
        <w:t xml:space="preserve"> Lewis, 2006. -ISBN 1-56670-687-4</w:t>
      </w:r>
    </w:p>
    <w:p w14:paraId="42F63B1C" w14:textId="77777777" w:rsidR="002A515F" w:rsidRDefault="002A515F" w:rsidP="00D10FD9">
      <w:pPr>
        <w:rPr>
          <w:lang w:eastAsia="en-US"/>
        </w:rPr>
      </w:pPr>
    </w:p>
    <w:p w14:paraId="593E183E" w14:textId="1488E92D" w:rsidR="00CC3E79" w:rsidRDefault="00CC3E79" w:rsidP="00D10FD9">
      <w:pPr>
        <w:rPr>
          <w:lang w:eastAsia="en-US"/>
        </w:rPr>
      </w:pPr>
      <w:r w:rsidRPr="00CC3E79">
        <w:rPr>
          <w:lang w:eastAsia="en-US"/>
        </w:rPr>
        <w:t xml:space="preserve">McCarthy JF, Jimenez BD (1985) Reduction in bioavailability to Bluegills of polycyclic aromatic hydrocarbons bound to dissolved </w:t>
      </w:r>
      <w:proofErr w:type="spellStart"/>
      <w:r w:rsidRPr="00CC3E79">
        <w:rPr>
          <w:lang w:eastAsia="en-US"/>
        </w:rPr>
        <w:t>humic</w:t>
      </w:r>
      <w:proofErr w:type="spellEnd"/>
      <w:r w:rsidRPr="00CC3E79">
        <w:rPr>
          <w:lang w:eastAsia="en-US"/>
        </w:rPr>
        <w:t xml:space="preserve"> material. Environ </w:t>
      </w:r>
      <w:proofErr w:type="spellStart"/>
      <w:r w:rsidRPr="00CC3E79">
        <w:rPr>
          <w:lang w:eastAsia="en-US"/>
        </w:rPr>
        <w:t>Toxicol</w:t>
      </w:r>
      <w:proofErr w:type="spellEnd"/>
      <w:r w:rsidRPr="00CC3E79">
        <w:rPr>
          <w:lang w:eastAsia="en-US"/>
        </w:rPr>
        <w:t xml:space="preserve"> </w:t>
      </w:r>
      <w:proofErr w:type="spellStart"/>
      <w:r w:rsidRPr="00CC3E79">
        <w:rPr>
          <w:lang w:eastAsia="en-US"/>
        </w:rPr>
        <w:t>Chem</w:t>
      </w:r>
      <w:proofErr w:type="spellEnd"/>
      <w:r w:rsidRPr="00CC3E79">
        <w:rPr>
          <w:lang w:eastAsia="en-US"/>
        </w:rPr>
        <w:t xml:space="preserve"> 4: 511-521.</w:t>
      </w:r>
    </w:p>
    <w:p w14:paraId="7B467ED5" w14:textId="77777777" w:rsidR="002A515F" w:rsidRPr="00CC3E79" w:rsidRDefault="002A515F" w:rsidP="00D10FD9">
      <w:pPr>
        <w:rPr>
          <w:lang w:eastAsia="en-US"/>
        </w:rPr>
      </w:pPr>
    </w:p>
    <w:p w14:paraId="2762C890" w14:textId="7F93EA29" w:rsidR="007E35CE" w:rsidRDefault="007E35CE" w:rsidP="00D10FD9">
      <w:pPr>
        <w:rPr>
          <w:lang w:eastAsia="en-US"/>
        </w:rPr>
      </w:pPr>
      <w:r w:rsidRPr="007E35CE">
        <w:rPr>
          <w:lang w:eastAsia="en-US"/>
        </w:rPr>
        <w:t xml:space="preserve">Neff, JM (1979) </w:t>
      </w:r>
      <w:proofErr w:type="gramStart"/>
      <w:r w:rsidRPr="007E35CE">
        <w:rPr>
          <w:lang w:eastAsia="en-US"/>
        </w:rPr>
        <w:t>Polycyclic</w:t>
      </w:r>
      <w:proofErr w:type="gramEnd"/>
      <w:r w:rsidRPr="007E35CE">
        <w:rPr>
          <w:lang w:eastAsia="en-US"/>
        </w:rPr>
        <w:t xml:space="preserve"> aromatic hydrocarbons in the aquatic environment. Sources, fate and biological effects. Applied Science Publishers, London</w:t>
      </w:r>
    </w:p>
    <w:p w14:paraId="7AB2E9F2" w14:textId="77777777" w:rsidR="002A515F" w:rsidRPr="007E35CE" w:rsidRDefault="002A515F" w:rsidP="00D10FD9">
      <w:pPr>
        <w:rPr>
          <w:lang w:eastAsia="en-US"/>
        </w:rPr>
      </w:pPr>
    </w:p>
    <w:p w14:paraId="6499DA39" w14:textId="77777777" w:rsidR="00313560" w:rsidRDefault="00313560" w:rsidP="00D10FD9">
      <w:pPr>
        <w:rPr>
          <w:lang w:eastAsia="en-US"/>
        </w:rPr>
      </w:pPr>
      <w:proofErr w:type="spellStart"/>
      <w:r w:rsidRPr="00313560">
        <w:rPr>
          <w:lang w:eastAsia="en-US"/>
        </w:rPr>
        <w:t>Newsted</w:t>
      </w:r>
      <w:proofErr w:type="spellEnd"/>
      <w:r w:rsidRPr="00313560">
        <w:rPr>
          <w:lang w:eastAsia="en-US"/>
        </w:rPr>
        <w:t xml:space="preserve"> J.L, </w:t>
      </w:r>
      <w:proofErr w:type="spellStart"/>
      <w:r w:rsidRPr="00313560">
        <w:rPr>
          <w:lang w:eastAsia="en-US"/>
        </w:rPr>
        <w:t>Giesy</w:t>
      </w:r>
      <w:proofErr w:type="spellEnd"/>
      <w:r w:rsidRPr="00313560">
        <w:rPr>
          <w:lang w:eastAsia="en-US"/>
        </w:rPr>
        <w:t xml:space="preserve"> J.P. (1987): Predictive models for </w:t>
      </w:r>
      <w:proofErr w:type="spellStart"/>
      <w:r w:rsidRPr="00313560">
        <w:rPr>
          <w:lang w:eastAsia="en-US"/>
        </w:rPr>
        <w:t>photoinduced</w:t>
      </w:r>
      <w:proofErr w:type="spellEnd"/>
      <w:r w:rsidRPr="00313560">
        <w:rPr>
          <w:lang w:eastAsia="en-US"/>
        </w:rPr>
        <w:t xml:space="preserve"> acute toxicity of </w:t>
      </w:r>
      <w:proofErr w:type="spellStart"/>
      <w:r w:rsidRPr="00313560">
        <w:rPr>
          <w:lang w:eastAsia="en-US"/>
        </w:rPr>
        <w:t>polycyclicaromatic</w:t>
      </w:r>
      <w:proofErr w:type="spellEnd"/>
      <w:r w:rsidRPr="00313560">
        <w:rPr>
          <w:lang w:eastAsia="en-US"/>
        </w:rPr>
        <w:t xml:space="preserve"> hydrocarbons to Daphnia magna, Strauss (</w:t>
      </w:r>
      <w:proofErr w:type="spellStart"/>
      <w:r w:rsidRPr="00313560">
        <w:rPr>
          <w:lang w:eastAsia="en-US"/>
        </w:rPr>
        <w:t>Cladocera</w:t>
      </w:r>
      <w:proofErr w:type="spellEnd"/>
      <w:r w:rsidRPr="00313560">
        <w:rPr>
          <w:lang w:eastAsia="en-US"/>
        </w:rPr>
        <w:t xml:space="preserve">, </w:t>
      </w:r>
      <w:proofErr w:type="spellStart"/>
      <w:r w:rsidRPr="00313560">
        <w:rPr>
          <w:lang w:eastAsia="en-US"/>
        </w:rPr>
        <w:t>crustacea</w:t>
      </w:r>
      <w:proofErr w:type="spellEnd"/>
      <w:r w:rsidRPr="00313560">
        <w:rPr>
          <w:lang w:eastAsia="en-US"/>
        </w:rPr>
        <w:t>). Environmental Toxicology and Chemistry, 6, 445-461.</w:t>
      </w:r>
    </w:p>
    <w:p w14:paraId="3CC5F16F" w14:textId="77777777" w:rsidR="002A515F" w:rsidRPr="00313560" w:rsidRDefault="002A515F" w:rsidP="00D10FD9">
      <w:pPr>
        <w:rPr>
          <w:lang w:eastAsia="en-US"/>
        </w:rPr>
      </w:pPr>
    </w:p>
    <w:p w14:paraId="1060830B" w14:textId="589A6662" w:rsidR="008930F4" w:rsidRPr="008930F4" w:rsidRDefault="008930F4" w:rsidP="00D10FD9">
      <w:pPr>
        <w:rPr>
          <w:lang w:eastAsia="en-US"/>
        </w:rPr>
      </w:pPr>
      <w:proofErr w:type="spellStart"/>
      <w:r w:rsidRPr="008930F4">
        <w:rPr>
          <w:lang w:eastAsia="en-US"/>
        </w:rPr>
        <w:t>Oris</w:t>
      </w:r>
      <w:proofErr w:type="spellEnd"/>
      <w:r w:rsidRPr="008930F4">
        <w:rPr>
          <w:lang w:eastAsia="en-US"/>
        </w:rPr>
        <w:t xml:space="preserve"> JT, </w:t>
      </w:r>
      <w:proofErr w:type="spellStart"/>
      <w:r w:rsidRPr="008930F4">
        <w:rPr>
          <w:lang w:eastAsia="en-US"/>
        </w:rPr>
        <w:t>Giesy</w:t>
      </w:r>
      <w:proofErr w:type="spellEnd"/>
      <w:r w:rsidRPr="008930F4">
        <w:rPr>
          <w:lang w:eastAsia="en-US"/>
        </w:rPr>
        <w:t xml:space="preserve"> Jr. JP (1987) </w:t>
      </w:r>
      <w:proofErr w:type="gramStart"/>
      <w:r w:rsidRPr="008930F4">
        <w:rPr>
          <w:lang w:eastAsia="en-US"/>
        </w:rPr>
        <w:t>The</w:t>
      </w:r>
      <w:proofErr w:type="gramEnd"/>
      <w:r w:rsidRPr="008930F4">
        <w:rPr>
          <w:lang w:eastAsia="en-US"/>
        </w:rPr>
        <w:t xml:space="preserve"> photo-induced toxicity of polycyclic aromatic hydrocarbons to larvae of the fathead minnow (</w:t>
      </w:r>
      <w:proofErr w:type="spellStart"/>
      <w:r w:rsidRPr="008930F4">
        <w:rPr>
          <w:lang w:eastAsia="en-US"/>
        </w:rPr>
        <w:t>Pimephales</w:t>
      </w:r>
      <w:proofErr w:type="spellEnd"/>
      <w:r w:rsidRPr="008930F4">
        <w:rPr>
          <w:lang w:eastAsia="en-US"/>
        </w:rPr>
        <w:t xml:space="preserve"> </w:t>
      </w:r>
      <w:proofErr w:type="spellStart"/>
      <w:r w:rsidRPr="008930F4">
        <w:rPr>
          <w:lang w:eastAsia="en-US"/>
        </w:rPr>
        <w:t>promelas</w:t>
      </w:r>
      <w:proofErr w:type="spellEnd"/>
      <w:r w:rsidRPr="008930F4">
        <w:rPr>
          <w:lang w:eastAsia="en-US"/>
        </w:rPr>
        <w:t>). Chemosphere 16: 1395-1404.</w:t>
      </w:r>
    </w:p>
    <w:p w14:paraId="4BBEDC8D" w14:textId="77777777" w:rsidR="00073729" w:rsidRDefault="00073729" w:rsidP="00D10FD9">
      <w:pPr>
        <w:rPr>
          <w:lang w:eastAsia="en-US"/>
        </w:rPr>
      </w:pPr>
    </w:p>
    <w:p w14:paraId="24B0EA71" w14:textId="7AB3FD40" w:rsidR="0055590F" w:rsidRDefault="0055590F" w:rsidP="00D10FD9">
      <w:pPr>
        <w:rPr>
          <w:lang w:eastAsia="en-US"/>
        </w:rPr>
      </w:pPr>
      <w:r w:rsidRPr="0055590F">
        <w:rPr>
          <w:lang w:eastAsia="en-US"/>
        </w:rPr>
        <w:t xml:space="preserve">Peters J, and Seifert, B (1980) Losses of </w:t>
      </w:r>
      <w:proofErr w:type="gramStart"/>
      <w:r w:rsidRPr="0055590F">
        <w:rPr>
          <w:lang w:eastAsia="en-US"/>
        </w:rPr>
        <w:t>benzo(</w:t>
      </w:r>
      <w:proofErr w:type="gramEnd"/>
      <w:r w:rsidRPr="0055590F">
        <w:rPr>
          <w:lang w:eastAsia="en-US"/>
        </w:rPr>
        <w:t>a)pyrene under conditions of high volume sampling. Atmospheric Environment, 14, 117-119</w:t>
      </w:r>
    </w:p>
    <w:p w14:paraId="10CC075E" w14:textId="77777777" w:rsidR="002A515F" w:rsidRPr="0055590F" w:rsidRDefault="002A515F" w:rsidP="00D10FD9">
      <w:pPr>
        <w:rPr>
          <w:lang w:eastAsia="en-US"/>
        </w:rPr>
      </w:pPr>
    </w:p>
    <w:p w14:paraId="66077A3B" w14:textId="20A6FEC4" w:rsidR="0055590F" w:rsidRDefault="0055590F" w:rsidP="00D10FD9">
      <w:pPr>
        <w:rPr>
          <w:lang w:eastAsia="en-US"/>
        </w:rPr>
      </w:pPr>
      <w:r w:rsidRPr="007240CE">
        <w:rPr>
          <w:lang w:eastAsia="en-US"/>
        </w:rPr>
        <w:t xml:space="preserve">Pitts, JN, </w:t>
      </w:r>
      <w:proofErr w:type="spellStart"/>
      <w:r w:rsidRPr="007240CE">
        <w:rPr>
          <w:lang w:eastAsia="en-US"/>
        </w:rPr>
        <w:t>Paur</w:t>
      </w:r>
      <w:proofErr w:type="spellEnd"/>
      <w:r w:rsidRPr="007240CE">
        <w:rPr>
          <w:lang w:eastAsia="en-US"/>
        </w:rPr>
        <w:t xml:space="preserve">, H-R, </w:t>
      </w:r>
      <w:proofErr w:type="spellStart"/>
      <w:r w:rsidRPr="007240CE">
        <w:rPr>
          <w:lang w:eastAsia="en-US"/>
        </w:rPr>
        <w:t>Zielinska</w:t>
      </w:r>
      <w:proofErr w:type="spellEnd"/>
      <w:r w:rsidRPr="007240CE">
        <w:rPr>
          <w:lang w:eastAsia="en-US"/>
        </w:rPr>
        <w:t xml:space="preserve">, B, </w:t>
      </w:r>
      <w:proofErr w:type="spellStart"/>
      <w:r w:rsidRPr="007240CE">
        <w:rPr>
          <w:lang w:eastAsia="en-US"/>
        </w:rPr>
        <w:t>Arey</w:t>
      </w:r>
      <w:proofErr w:type="spellEnd"/>
      <w:r w:rsidRPr="007240CE">
        <w:rPr>
          <w:lang w:eastAsia="en-US"/>
        </w:rPr>
        <w:t xml:space="preserve">, J, Winer, AM, </w:t>
      </w:r>
      <w:proofErr w:type="spellStart"/>
      <w:r w:rsidRPr="007240CE">
        <w:rPr>
          <w:lang w:eastAsia="en-US"/>
        </w:rPr>
        <w:t>Ramdahl</w:t>
      </w:r>
      <w:proofErr w:type="spellEnd"/>
      <w:r w:rsidRPr="007240CE">
        <w:rPr>
          <w:lang w:eastAsia="en-US"/>
        </w:rPr>
        <w:t xml:space="preserve">, T, and Mejia, V (1986). </w:t>
      </w:r>
      <w:r w:rsidRPr="0055590F">
        <w:rPr>
          <w:lang w:eastAsia="en-US"/>
        </w:rPr>
        <w:t xml:space="preserve">Factors influencing the reactivity of polycyclic hydrocarbons adsorbed on filters and ambient POM with </w:t>
      </w:r>
      <w:proofErr w:type="spellStart"/>
      <w:r w:rsidRPr="0055590F">
        <w:rPr>
          <w:lang w:eastAsia="en-US"/>
        </w:rPr>
        <w:t>ozon</w:t>
      </w:r>
      <w:proofErr w:type="spellEnd"/>
      <w:r w:rsidRPr="0055590F">
        <w:rPr>
          <w:lang w:eastAsia="en-US"/>
        </w:rPr>
        <w:t>, Chemosphere, 15, 675-685</w:t>
      </w:r>
    </w:p>
    <w:p w14:paraId="7E436508" w14:textId="77777777" w:rsidR="002A515F" w:rsidRPr="0055590F" w:rsidRDefault="002A515F" w:rsidP="00D10FD9">
      <w:pPr>
        <w:rPr>
          <w:lang w:eastAsia="en-US"/>
        </w:rPr>
      </w:pPr>
    </w:p>
    <w:p w14:paraId="63660F7B" w14:textId="79BF666A" w:rsidR="00CC3E79" w:rsidRDefault="00CC3E79" w:rsidP="00D10FD9">
      <w:pPr>
        <w:rPr>
          <w:lang w:eastAsia="en-US"/>
        </w:rPr>
      </w:pPr>
      <w:r w:rsidRPr="00CC3E79">
        <w:rPr>
          <w:lang w:eastAsia="en-US"/>
        </w:rPr>
        <w:t xml:space="preserve">Southworth GR, Beauchamp JJ, </w:t>
      </w:r>
      <w:proofErr w:type="spellStart"/>
      <w:r w:rsidRPr="00CC3E79">
        <w:rPr>
          <w:lang w:eastAsia="en-US"/>
        </w:rPr>
        <w:t>Schmieder</w:t>
      </w:r>
      <w:proofErr w:type="spellEnd"/>
      <w:r w:rsidRPr="00CC3E79">
        <w:rPr>
          <w:lang w:eastAsia="en-US"/>
        </w:rPr>
        <w:t xml:space="preserve"> PK (1978) Bioaccumulation potential of polycyclic aromatic hydrocarbons in Daphnia </w:t>
      </w:r>
      <w:proofErr w:type="spellStart"/>
      <w:r w:rsidRPr="00CC3E79">
        <w:rPr>
          <w:lang w:eastAsia="en-US"/>
        </w:rPr>
        <w:t>pulex</w:t>
      </w:r>
      <w:proofErr w:type="spellEnd"/>
      <w:r w:rsidRPr="00CC3E79">
        <w:rPr>
          <w:lang w:eastAsia="en-US"/>
        </w:rPr>
        <w:t>. Water Res 12: 973-977.</w:t>
      </w:r>
    </w:p>
    <w:p w14:paraId="47C8B4A1" w14:textId="77777777" w:rsidR="002A515F" w:rsidRPr="00CC3E79" w:rsidRDefault="002A515F" w:rsidP="00D10FD9">
      <w:pPr>
        <w:rPr>
          <w:lang w:eastAsia="en-US"/>
        </w:rPr>
      </w:pPr>
    </w:p>
    <w:p w14:paraId="3EF43B08" w14:textId="1BD9AA80" w:rsidR="00312118" w:rsidRDefault="00312118" w:rsidP="00D10FD9">
      <w:pPr>
        <w:rPr>
          <w:lang w:eastAsia="en-US"/>
        </w:rPr>
      </w:pPr>
      <w:r>
        <w:rPr>
          <w:lang w:eastAsia="en-US"/>
        </w:rPr>
        <w:t>The Netherlands (2008): Annex XV Transitional Dossier for substance Coal Tar Pitch, High Temperature, CAS Number: 65996-93-2</w:t>
      </w:r>
    </w:p>
    <w:p w14:paraId="79C65F13" w14:textId="77777777" w:rsidR="002A515F" w:rsidRDefault="002A515F" w:rsidP="00D10FD9">
      <w:pPr>
        <w:rPr>
          <w:lang w:eastAsia="en-US"/>
        </w:rPr>
      </w:pPr>
    </w:p>
    <w:p w14:paraId="3656914C" w14:textId="34A9AE5A" w:rsidR="008930F4" w:rsidRDefault="008930F4" w:rsidP="00D10FD9">
      <w:pPr>
        <w:rPr>
          <w:lang w:eastAsia="en-US"/>
        </w:rPr>
      </w:pPr>
      <w:proofErr w:type="spellStart"/>
      <w:r w:rsidRPr="008930F4">
        <w:rPr>
          <w:lang w:eastAsia="en-US"/>
        </w:rPr>
        <w:t>Trucco</w:t>
      </w:r>
      <w:proofErr w:type="spellEnd"/>
      <w:r w:rsidRPr="008930F4">
        <w:rPr>
          <w:lang w:eastAsia="en-US"/>
        </w:rPr>
        <w:t xml:space="preserve"> RG, </w:t>
      </w:r>
      <w:proofErr w:type="spellStart"/>
      <w:r w:rsidRPr="008930F4">
        <w:rPr>
          <w:lang w:eastAsia="en-US"/>
        </w:rPr>
        <w:t>Engelhardt</w:t>
      </w:r>
      <w:proofErr w:type="spellEnd"/>
      <w:r w:rsidRPr="008930F4">
        <w:rPr>
          <w:lang w:eastAsia="en-US"/>
        </w:rPr>
        <w:t xml:space="preserve"> FR, Stacey B (1983) Toxicity accumulation and clearance of aromatic hydrocarbons in Daphnia </w:t>
      </w:r>
      <w:proofErr w:type="spellStart"/>
      <w:r w:rsidRPr="008930F4">
        <w:rPr>
          <w:lang w:eastAsia="en-US"/>
        </w:rPr>
        <w:t>pulex</w:t>
      </w:r>
      <w:proofErr w:type="spellEnd"/>
      <w:r w:rsidRPr="008930F4">
        <w:rPr>
          <w:lang w:eastAsia="en-US"/>
        </w:rPr>
        <w:t xml:space="preserve">. Environ </w:t>
      </w:r>
      <w:proofErr w:type="spellStart"/>
      <w:r w:rsidRPr="008930F4">
        <w:rPr>
          <w:lang w:eastAsia="en-US"/>
        </w:rPr>
        <w:t>Pollut</w:t>
      </w:r>
      <w:proofErr w:type="spellEnd"/>
      <w:r w:rsidRPr="008930F4">
        <w:rPr>
          <w:lang w:eastAsia="en-US"/>
        </w:rPr>
        <w:t xml:space="preserve"> </w:t>
      </w:r>
      <w:proofErr w:type="spellStart"/>
      <w:r w:rsidRPr="008930F4">
        <w:rPr>
          <w:lang w:eastAsia="en-US"/>
        </w:rPr>
        <w:t>Ser</w:t>
      </w:r>
      <w:proofErr w:type="spellEnd"/>
      <w:r w:rsidRPr="008930F4">
        <w:rPr>
          <w:lang w:eastAsia="en-US"/>
        </w:rPr>
        <w:t xml:space="preserve"> </w:t>
      </w:r>
      <w:proofErr w:type="gramStart"/>
      <w:r w:rsidRPr="008930F4">
        <w:rPr>
          <w:lang w:eastAsia="en-US"/>
        </w:rPr>
        <w:t>A</w:t>
      </w:r>
      <w:proofErr w:type="gramEnd"/>
      <w:r w:rsidRPr="008930F4">
        <w:rPr>
          <w:lang w:eastAsia="en-US"/>
        </w:rPr>
        <w:t xml:space="preserve"> 31: 191-202</w:t>
      </w:r>
    </w:p>
    <w:p w14:paraId="4A3A4CE5" w14:textId="77777777" w:rsidR="002A515F" w:rsidRPr="008930F4" w:rsidRDefault="002A515F" w:rsidP="00D10FD9">
      <w:pPr>
        <w:rPr>
          <w:lang w:eastAsia="en-US"/>
        </w:rPr>
      </w:pPr>
    </w:p>
    <w:p w14:paraId="1949C8CF" w14:textId="4FC7A65B" w:rsidR="001E4374" w:rsidRDefault="001E4374" w:rsidP="00D10FD9">
      <w:pPr>
        <w:rPr>
          <w:lang w:eastAsia="en-US"/>
        </w:rPr>
      </w:pPr>
      <w:r w:rsidRPr="001E4374">
        <w:rPr>
          <w:lang w:eastAsia="en-US"/>
        </w:rPr>
        <w:t xml:space="preserve">Valerio, F, </w:t>
      </w:r>
      <w:proofErr w:type="spellStart"/>
      <w:r w:rsidRPr="001E4374">
        <w:rPr>
          <w:lang w:eastAsia="en-US"/>
        </w:rPr>
        <w:t>Antolini</w:t>
      </w:r>
      <w:proofErr w:type="spellEnd"/>
      <w:r w:rsidRPr="001E4374">
        <w:rPr>
          <w:lang w:eastAsia="en-US"/>
        </w:rPr>
        <w:t xml:space="preserve">, E, and </w:t>
      </w:r>
      <w:proofErr w:type="spellStart"/>
      <w:r w:rsidRPr="001E4374">
        <w:rPr>
          <w:lang w:eastAsia="en-US"/>
        </w:rPr>
        <w:t>Lazzarotto</w:t>
      </w:r>
      <w:proofErr w:type="spellEnd"/>
      <w:r w:rsidRPr="001E4374">
        <w:rPr>
          <w:lang w:eastAsia="en-US"/>
        </w:rPr>
        <w:t>, A (1987) A model to evaluate half-lives of PAHs naturally occurring on airborne particulate. Int. J. Environ. Anal. Chem., 28, 185-196</w:t>
      </w:r>
    </w:p>
    <w:p w14:paraId="39A4C3BC" w14:textId="77777777" w:rsidR="002A515F" w:rsidRPr="001E4374" w:rsidRDefault="002A515F" w:rsidP="00D10FD9">
      <w:pPr>
        <w:rPr>
          <w:lang w:eastAsia="en-US"/>
        </w:rPr>
      </w:pPr>
    </w:p>
    <w:p w14:paraId="1D71DD03" w14:textId="4D983A69" w:rsidR="00276E9C" w:rsidRDefault="00276E9C" w:rsidP="00D10FD9">
      <w:pPr>
        <w:rPr>
          <w:lang w:eastAsia="en-US"/>
        </w:rPr>
      </w:pPr>
      <w:proofErr w:type="spellStart"/>
      <w:r w:rsidRPr="00276E9C">
        <w:rPr>
          <w:lang w:eastAsia="en-US"/>
        </w:rPr>
        <w:t>Volkering</w:t>
      </w:r>
      <w:proofErr w:type="spellEnd"/>
      <w:r w:rsidRPr="00276E9C">
        <w:rPr>
          <w:lang w:eastAsia="en-US"/>
        </w:rPr>
        <w:t xml:space="preserve"> F, </w:t>
      </w:r>
      <w:proofErr w:type="spellStart"/>
      <w:r w:rsidRPr="00276E9C">
        <w:rPr>
          <w:lang w:eastAsia="en-US"/>
        </w:rPr>
        <w:t>Breure</w:t>
      </w:r>
      <w:proofErr w:type="spellEnd"/>
      <w:r w:rsidRPr="00276E9C">
        <w:rPr>
          <w:lang w:eastAsia="en-US"/>
        </w:rPr>
        <w:t xml:space="preserve"> AM (2003) </w:t>
      </w:r>
      <w:proofErr w:type="spellStart"/>
      <w:r w:rsidRPr="00276E9C">
        <w:rPr>
          <w:lang w:eastAsia="en-US"/>
        </w:rPr>
        <w:t>Biodegrdation</w:t>
      </w:r>
      <w:proofErr w:type="spellEnd"/>
      <w:r w:rsidRPr="00276E9C">
        <w:rPr>
          <w:lang w:eastAsia="en-US"/>
        </w:rPr>
        <w:t xml:space="preserve"> and general aspects of bioavailability. In </w:t>
      </w:r>
      <w:proofErr w:type="spellStart"/>
      <w:r w:rsidRPr="00276E9C">
        <w:rPr>
          <w:lang w:eastAsia="en-US"/>
        </w:rPr>
        <w:t>Douben</w:t>
      </w:r>
      <w:proofErr w:type="spellEnd"/>
      <w:r w:rsidRPr="00276E9C">
        <w:rPr>
          <w:lang w:eastAsia="en-US"/>
        </w:rPr>
        <w:t xml:space="preserve"> (ed.) PAHs: An </w:t>
      </w:r>
      <w:proofErr w:type="spellStart"/>
      <w:r w:rsidRPr="00276E9C">
        <w:rPr>
          <w:lang w:eastAsia="en-US"/>
        </w:rPr>
        <w:t>Ecotoxicological</w:t>
      </w:r>
      <w:proofErr w:type="spellEnd"/>
      <w:r w:rsidRPr="00276E9C">
        <w:rPr>
          <w:lang w:eastAsia="en-US"/>
        </w:rPr>
        <w:t xml:space="preserve"> Perspective., Wiley, 81- 98</w:t>
      </w:r>
    </w:p>
    <w:p w14:paraId="00F5D546" w14:textId="77777777" w:rsidR="002A515F" w:rsidRDefault="002A515F" w:rsidP="00D10FD9">
      <w:pPr>
        <w:rPr>
          <w:lang w:eastAsia="en-US"/>
        </w:rPr>
      </w:pPr>
    </w:p>
    <w:p w14:paraId="016FB64D" w14:textId="51F92AD5" w:rsidR="00E018ED" w:rsidRDefault="00E018ED" w:rsidP="00D10FD9">
      <w:pPr>
        <w:rPr>
          <w:lang w:eastAsia="en-US"/>
        </w:rPr>
      </w:pPr>
      <w:r w:rsidRPr="00E018ED">
        <w:rPr>
          <w:lang w:eastAsia="en-US"/>
        </w:rPr>
        <w:t xml:space="preserve">Vu </w:t>
      </w:r>
      <w:proofErr w:type="spellStart"/>
      <w:r w:rsidRPr="00E018ED">
        <w:rPr>
          <w:lang w:eastAsia="en-US"/>
        </w:rPr>
        <w:t>Duc</w:t>
      </w:r>
      <w:proofErr w:type="spellEnd"/>
      <w:r w:rsidRPr="00E018ED">
        <w:rPr>
          <w:lang w:eastAsia="en-US"/>
        </w:rPr>
        <w:t xml:space="preserve"> T, Huynh CK (1991) Photodecomposition rates of adsorbed PAH mutagenic activity of irradiated synthetic mixtures. In: </w:t>
      </w:r>
      <w:proofErr w:type="spellStart"/>
      <w:r w:rsidRPr="00E018ED">
        <w:rPr>
          <w:lang w:eastAsia="en-US"/>
        </w:rPr>
        <w:t>Polynuclear</w:t>
      </w:r>
      <w:proofErr w:type="spellEnd"/>
      <w:r w:rsidRPr="00E018ED">
        <w:rPr>
          <w:lang w:eastAsia="en-US"/>
        </w:rPr>
        <w:t xml:space="preserve"> aromatic hydrocarbons: Measurement, means and metabolism (Cook M, </w:t>
      </w:r>
      <w:proofErr w:type="spellStart"/>
      <w:r w:rsidRPr="00E018ED">
        <w:rPr>
          <w:lang w:eastAsia="en-US"/>
        </w:rPr>
        <w:t>Loening</w:t>
      </w:r>
      <w:proofErr w:type="spellEnd"/>
      <w:r w:rsidRPr="00E018ED">
        <w:rPr>
          <w:lang w:eastAsia="en-US"/>
        </w:rPr>
        <w:t xml:space="preserve"> K, Merritt J, </w:t>
      </w:r>
      <w:proofErr w:type="spellStart"/>
      <w:r w:rsidRPr="00E018ED">
        <w:rPr>
          <w:lang w:eastAsia="en-US"/>
        </w:rPr>
        <w:t>eds</w:t>
      </w:r>
      <w:proofErr w:type="spellEnd"/>
      <w:proofErr w:type="gramStart"/>
      <w:r w:rsidRPr="00E018ED">
        <w:rPr>
          <w:lang w:eastAsia="en-US"/>
        </w:rPr>
        <w:t>) ,</w:t>
      </w:r>
      <w:proofErr w:type="gramEnd"/>
      <w:r w:rsidRPr="00E018ED">
        <w:rPr>
          <w:lang w:eastAsia="en-US"/>
        </w:rPr>
        <w:t xml:space="preserve"> Battelle Press, Columbus, Ohio: 979-994.</w:t>
      </w:r>
    </w:p>
    <w:p w14:paraId="35B15C0C" w14:textId="77777777" w:rsidR="00E018ED" w:rsidRPr="00276E9C" w:rsidRDefault="00E018ED" w:rsidP="00D10FD9">
      <w:pPr>
        <w:rPr>
          <w:lang w:eastAsia="en-US"/>
        </w:rPr>
      </w:pPr>
    </w:p>
    <w:p w14:paraId="3723A11A" w14:textId="6CE83E74" w:rsidR="0055590F" w:rsidRDefault="00313560" w:rsidP="00D10FD9">
      <w:pPr>
        <w:rPr>
          <w:lang w:eastAsia="en-US"/>
        </w:rPr>
      </w:pPr>
      <w:r w:rsidRPr="00313560">
        <w:rPr>
          <w:lang w:eastAsia="en-US"/>
        </w:rPr>
        <w:t xml:space="preserve">Wild S.R., </w:t>
      </w:r>
      <w:proofErr w:type="spellStart"/>
      <w:r w:rsidRPr="00313560">
        <w:rPr>
          <w:lang w:eastAsia="en-US"/>
        </w:rPr>
        <w:t>Berrow</w:t>
      </w:r>
      <w:proofErr w:type="spellEnd"/>
      <w:r w:rsidRPr="00313560">
        <w:rPr>
          <w:lang w:eastAsia="en-US"/>
        </w:rPr>
        <w:t xml:space="preserve"> M.L., Jones K.C. (1991): The persistence of </w:t>
      </w:r>
      <w:proofErr w:type="spellStart"/>
      <w:r w:rsidRPr="00313560">
        <w:rPr>
          <w:lang w:eastAsia="en-US"/>
        </w:rPr>
        <w:t>polynuclear</w:t>
      </w:r>
      <w:proofErr w:type="spellEnd"/>
      <w:r w:rsidRPr="00313560">
        <w:rPr>
          <w:lang w:eastAsia="en-US"/>
        </w:rPr>
        <w:t xml:space="preserve"> aromatic hydrocarbons (PAHs) in sewage sludge amended agricultural soils. Environmental Pollution, 72, 141-157.</w:t>
      </w:r>
    </w:p>
    <w:p w14:paraId="1B09B566" w14:textId="77777777" w:rsidR="002A515F" w:rsidRPr="0055590F" w:rsidRDefault="002A515F" w:rsidP="00D10FD9">
      <w:pPr>
        <w:rPr>
          <w:lang w:eastAsia="en-US"/>
        </w:rPr>
      </w:pPr>
    </w:p>
    <w:p w14:paraId="115C5D86" w14:textId="513E1BEE" w:rsidR="001F2FA5" w:rsidRPr="009E6BE7" w:rsidRDefault="00313560" w:rsidP="00D10FD9">
      <w:pPr>
        <w:pStyle w:val="References"/>
        <w:ind w:left="0" w:firstLine="0"/>
        <w:rPr>
          <w:szCs w:val="20"/>
        </w:rPr>
      </w:pPr>
      <w:r w:rsidRPr="00313560">
        <w:rPr>
          <w:szCs w:val="20"/>
        </w:rPr>
        <w:t xml:space="preserve">Wild S.R., Jones K.C. (1993): Biological and abiotic losses of </w:t>
      </w:r>
      <w:proofErr w:type="spellStart"/>
      <w:r w:rsidRPr="00313560">
        <w:rPr>
          <w:szCs w:val="20"/>
        </w:rPr>
        <w:t>polynuclear</w:t>
      </w:r>
      <w:proofErr w:type="spellEnd"/>
      <w:r w:rsidRPr="00313560">
        <w:rPr>
          <w:szCs w:val="20"/>
        </w:rPr>
        <w:t xml:space="preserve"> aromatic hydrocarbons (PAH) from soils freshly amended with sewage sludge. Environmental Toxicology and Chemistry, 12, 5-12.</w:t>
      </w:r>
    </w:p>
    <w:p w14:paraId="115C5D87" w14:textId="77777777" w:rsidR="00B12C39" w:rsidRDefault="00B12C39" w:rsidP="00D10FD9"/>
    <w:p w14:paraId="115C5D88" w14:textId="77777777" w:rsidR="00C81C2F" w:rsidRPr="00C81C2F" w:rsidRDefault="00C81C2F" w:rsidP="00D10FD9"/>
    <w:p w14:paraId="115C5D89" w14:textId="77777777" w:rsidR="00B12C39" w:rsidRDefault="00B12C39" w:rsidP="005857D8">
      <w:pPr>
        <w:pStyle w:val="Heading1"/>
        <w:numPr>
          <w:ilvl w:val="0"/>
          <w:numId w:val="0"/>
        </w:numPr>
      </w:pPr>
      <w:bookmarkStart w:id="763" w:name="_Toc341888678"/>
      <w:bookmarkStart w:id="764" w:name="_Toc342400538"/>
      <w:bookmarkStart w:id="765" w:name="_Toc354499699"/>
      <w:bookmarkStart w:id="766" w:name="_Toc357083777"/>
      <w:bookmarkStart w:id="767" w:name="_Toc357184322"/>
      <w:bookmarkStart w:id="768" w:name="_Toc357184558"/>
      <w:bookmarkStart w:id="769" w:name="_Toc357185360"/>
      <w:bookmarkStart w:id="770" w:name="_Toc357186208"/>
      <w:bookmarkStart w:id="771" w:name="_Toc357186357"/>
      <w:bookmarkStart w:id="772" w:name="_Toc357437646"/>
      <w:bookmarkStart w:id="773" w:name="_Toc357590916"/>
      <w:bookmarkStart w:id="774" w:name="_Toc357692948"/>
      <w:bookmarkStart w:id="775" w:name="_Toc365649776"/>
      <w:bookmarkStart w:id="776" w:name="_Toc365649925"/>
      <w:bookmarkStart w:id="777" w:name="_Toc366489972"/>
      <w:bookmarkStart w:id="778" w:name="_Toc418498647"/>
      <w:bookmarkStart w:id="779" w:name="_Toc418506102"/>
      <w:bookmarkStart w:id="780" w:name="_Toc491810773"/>
      <w:r>
        <w:lastRenderedPageBreak/>
        <w:t>References for Part II</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7855FF02" w14:textId="77777777" w:rsidR="002816BF" w:rsidRDefault="002816BF" w:rsidP="002816BF">
      <w:pPr>
        <w:rPr>
          <w:lang w:eastAsia="en-US"/>
        </w:rPr>
      </w:pPr>
      <w:r>
        <w:rPr>
          <w:lang w:eastAsia="en-US"/>
        </w:rPr>
        <w:t>EC</w:t>
      </w:r>
      <w:r w:rsidRPr="00D10FD9">
        <w:rPr>
          <w:lang w:eastAsia="en-US"/>
        </w:rPr>
        <w:t xml:space="preserve"> (2008): European Union Risk Assessment Report, Coal Tar Pitch High Temperature, CAS No: 65996-93-2, EINECS No: 266-028-2.</w:t>
      </w:r>
    </w:p>
    <w:p w14:paraId="1624DAA7" w14:textId="77777777" w:rsidR="002816BF" w:rsidRDefault="002816BF" w:rsidP="002816BF">
      <w:pPr>
        <w:rPr>
          <w:lang w:eastAsia="en-US"/>
        </w:rPr>
      </w:pPr>
    </w:p>
    <w:p w14:paraId="64F906AA" w14:textId="4D2A423D" w:rsidR="00AA74C1" w:rsidRDefault="00AA74C1" w:rsidP="00D10FD9">
      <w:pPr>
        <w:rPr>
          <w:lang w:eastAsia="en-US"/>
        </w:rPr>
      </w:pPr>
      <w:r w:rsidRPr="00D10FD9">
        <w:rPr>
          <w:lang w:eastAsia="en-US"/>
        </w:rPr>
        <w:t xml:space="preserve">ECHA </w:t>
      </w:r>
      <w:r w:rsidR="00073729">
        <w:rPr>
          <w:lang w:eastAsia="en-US"/>
        </w:rPr>
        <w:t>(</w:t>
      </w:r>
      <w:r w:rsidRPr="00D10FD9">
        <w:rPr>
          <w:lang w:eastAsia="en-US"/>
        </w:rPr>
        <w:t>2009</w:t>
      </w:r>
      <w:r w:rsidR="00073729">
        <w:rPr>
          <w:lang w:eastAsia="en-US"/>
        </w:rPr>
        <w:t>)</w:t>
      </w:r>
      <w:r w:rsidRPr="00D10FD9">
        <w:rPr>
          <w:lang w:eastAsia="en-US"/>
        </w:rPr>
        <w:t xml:space="preserve">. European Chemicals Agency. Support Document for identification of Coal Tar Pitch, High Temperature as a SVHC because of its PBT and CMR properties. </w:t>
      </w:r>
      <w:hyperlink r:id="rId15" w:history="1">
        <w:r w:rsidR="00440DEC" w:rsidRPr="00D10FD9">
          <w:rPr>
            <w:rStyle w:val="Hyperlink"/>
          </w:rPr>
          <w:t>http://echa.europa.eu/documents/10162/73d246d4-8c2a-4150-b656-c15948bf0e77</w:t>
        </w:r>
      </w:hyperlink>
    </w:p>
    <w:p w14:paraId="76ECB698" w14:textId="77777777" w:rsidR="00440DEC" w:rsidRPr="00D10FD9" w:rsidRDefault="00440DEC" w:rsidP="00D10FD9">
      <w:pPr>
        <w:rPr>
          <w:lang w:eastAsia="en-US"/>
        </w:rPr>
      </w:pPr>
    </w:p>
    <w:p w14:paraId="0D6930DE" w14:textId="3DFCA573" w:rsidR="00AA74C1" w:rsidRDefault="00AA74C1" w:rsidP="00D10FD9">
      <w:pPr>
        <w:rPr>
          <w:lang w:eastAsia="en-US"/>
        </w:rPr>
      </w:pPr>
      <w:r w:rsidRPr="00D10FD9">
        <w:rPr>
          <w:lang w:eastAsia="en-US"/>
        </w:rPr>
        <w:t>KEMI. (2003): KEMI Report No 5/03, HA oils in automotive tyres – prospects of a national ban. Report on a government commission, Stockholm, EN, https://www.kemi.se/Documents/Publikationer/Trycksaker/Rapporter/Rapport5_03.pdf</w:t>
      </w:r>
      <w:r w:rsidR="00440DEC">
        <w:rPr>
          <w:b/>
          <w:lang w:eastAsia="en-US"/>
        </w:rPr>
        <w:t xml:space="preserve"> </w:t>
      </w:r>
    </w:p>
    <w:sectPr w:rsidR="00AA74C1" w:rsidSect="00AE2BF4">
      <w:headerReference w:type="default" r:id="rId16"/>
      <w:footerReference w:type="default" r:id="rId17"/>
      <w:footerReference w:type="first" r:id="rId18"/>
      <w:type w:val="continuous"/>
      <w:pgSz w:w="11907" w:h="16840" w:code="9"/>
      <w:pgMar w:top="1440" w:right="1559" w:bottom="1440" w:left="1440" w:header="85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C5DAA" w14:textId="77777777" w:rsidR="00F97B18" w:rsidRDefault="00F97B18">
      <w:r>
        <w:separator/>
      </w:r>
    </w:p>
  </w:endnote>
  <w:endnote w:type="continuationSeparator" w:id="0">
    <w:p w14:paraId="115C5DAB" w14:textId="77777777" w:rsidR="00F97B18" w:rsidRDefault="00F9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04860"/>
      <w:docPartObj>
        <w:docPartGallery w:val="Page Numbers (Bottom of Page)"/>
        <w:docPartUnique/>
      </w:docPartObj>
    </w:sdtPr>
    <w:sdtEndPr>
      <w:rPr>
        <w:noProof/>
        <w:sz w:val="16"/>
      </w:rPr>
    </w:sdtEndPr>
    <w:sdtContent>
      <w:p w14:paraId="57181A73" w14:textId="7E433618" w:rsidR="00CC694B" w:rsidRPr="00CC694B" w:rsidRDefault="00CC694B">
        <w:pPr>
          <w:pStyle w:val="Footer"/>
          <w:jc w:val="right"/>
          <w:rPr>
            <w:sz w:val="16"/>
          </w:rPr>
        </w:pPr>
        <w:r w:rsidRPr="00CC694B">
          <w:rPr>
            <w:sz w:val="16"/>
          </w:rPr>
          <w:fldChar w:fldCharType="begin"/>
        </w:r>
        <w:r w:rsidRPr="00CC694B">
          <w:rPr>
            <w:sz w:val="16"/>
          </w:rPr>
          <w:instrText xml:space="preserve"> PAGE   \* MERGEFORMAT </w:instrText>
        </w:r>
        <w:r w:rsidRPr="00CC694B">
          <w:rPr>
            <w:sz w:val="16"/>
          </w:rPr>
          <w:fldChar w:fldCharType="separate"/>
        </w:r>
        <w:r w:rsidR="00B934DA">
          <w:rPr>
            <w:noProof/>
            <w:sz w:val="16"/>
          </w:rPr>
          <w:t>21</w:t>
        </w:r>
        <w:r w:rsidRPr="00CC694B">
          <w:rPr>
            <w:noProof/>
            <w:sz w:val="16"/>
          </w:rPr>
          <w:fldChar w:fldCharType="end"/>
        </w:r>
      </w:p>
    </w:sdtContent>
  </w:sdt>
  <w:p w14:paraId="5B29CBC8" w14:textId="77777777" w:rsidR="00CC694B" w:rsidRDefault="00CC6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5DB0" w14:textId="77777777" w:rsidR="00F97B18" w:rsidRPr="00DA3B32" w:rsidRDefault="00F97B18" w:rsidP="00B12C39">
    <w:pPr>
      <w:pStyle w:val="Footer"/>
    </w:pPr>
    <w:r w:rsidRPr="00DA3B32">
      <w:rPr>
        <w:lang w:val="fi-FI"/>
      </w:rPr>
      <w:br/>
    </w:r>
    <w:r w:rsidRPr="00DA3B32">
      <w:rPr>
        <w:lang w:val="fi-FI"/>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C5DA8" w14:textId="77777777" w:rsidR="00F97B18" w:rsidRDefault="00F97B18">
      <w:r>
        <w:separator/>
      </w:r>
    </w:p>
  </w:footnote>
  <w:footnote w:type="continuationSeparator" w:id="0">
    <w:p w14:paraId="115C5DA9" w14:textId="77777777" w:rsidR="00F97B18" w:rsidRDefault="00F97B18">
      <w:r>
        <w:continuationSeparator/>
      </w:r>
    </w:p>
  </w:footnote>
  <w:footnote w:id="1">
    <w:p w14:paraId="115C5DB2" w14:textId="01AD81A5" w:rsidR="00F97B18" w:rsidRDefault="00F97B18">
      <w:pPr>
        <w:pStyle w:val="FootnoteText"/>
      </w:pPr>
      <w:r w:rsidRPr="00A35A9F">
        <w:rPr>
          <w:rStyle w:val="FootnoteReference"/>
          <w:rFonts w:ascii="Verdana" w:hAnsi="Verdana"/>
          <w:sz w:val="20"/>
        </w:rPr>
        <w:footnoteRef/>
      </w:r>
      <w:r w:rsidRPr="00A35A9F">
        <w:t xml:space="preserve"> </w:t>
      </w:r>
      <w:r>
        <w:rPr>
          <w:sz w:val="16"/>
          <w:szCs w:val="16"/>
        </w:rPr>
        <w:t>Classification in accordance with section 3 of Annex I to Regulation (EC) No 1272/2008.</w:t>
      </w:r>
    </w:p>
  </w:footnote>
  <w:footnote w:id="2">
    <w:p w14:paraId="66624150" w14:textId="77777777" w:rsidR="00F97B18" w:rsidRDefault="00F97B18" w:rsidP="000F5601">
      <w:pPr>
        <w:pStyle w:val="FootnoteText"/>
      </w:pPr>
      <w:r w:rsidRPr="0054522D">
        <w:rPr>
          <w:rStyle w:val="FootnoteReference"/>
          <w:rFonts w:ascii="Verdana" w:hAnsi="Verdana"/>
        </w:rPr>
        <w:footnoteRef/>
      </w:r>
      <w:r w:rsidRPr="0054522D">
        <w:t xml:space="preserve"> </w:t>
      </w:r>
      <w:r w:rsidRPr="004C3DE6">
        <w:rPr>
          <w:rFonts w:cs="TimesNewRomanPSMT"/>
          <w:sz w:val="16"/>
          <w:szCs w:val="16"/>
          <w:lang w:eastAsia="en-GB"/>
        </w:rPr>
        <w:t>Substances of Unknown or Variable composition, Complex reaction products or Biological</w:t>
      </w:r>
      <w:r>
        <w:rPr>
          <w:rFonts w:cs="TimesNewRomanPSMT"/>
          <w:sz w:val="16"/>
          <w:szCs w:val="16"/>
          <w:lang w:eastAsia="en-GB"/>
        </w:rPr>
        <w:t xml:space="preserve"> </w:t>
      </w:r>
      <w:r w:rsidRPr="004C3DE6">
        <w:rPr>
          <w:rFonts w:cs="TimesNewRomanPSMT"/>
          <w:sz w:val="16"/>
          <w:szCs w:val="16"/>
          <w:lang w:eastAsia="en-GB"/>
        </w:rPr>
        <w:t>materials</w:t>
      </w:r>
    </w:p>
  </w:footnote>
  <w:footnote w:id="3">
    <w:p w14:paraId="115C5DC4" w14:textId="52347757" w:rsidR="00F97B18" w:rsidRDefault="00F97B18" w:rsidP="001340DF">
      <w:pPr>
        <w:pStyle w:val="FootnoteText"/>
      </w:pPr>
      <w:r w:rsidRPr="001340DF">
        <w:rPr>
          <w:rStyle w:val="FootnoteReference"/>
          <w:rFonts w:ascii="Verdana" w:hAnsi="Verdana"/>
        </w:rPr>
        <w:footnoteRef/>
      </w:r>
      <w:r w:rsidRPr="001340DF">
        <w:t xml:space="preserve"> </w:t>
      </w:r>
      <w:r>
        <w:rPr>
          <w:sz w:val="16"/>
          <w:szCs w:val="16"/>
        </w:rPr>
        <w:t xml:space="preserve">C&amp;L Inventory database, </w:t>
      </w:r>
      <w:hyperlink r:id="rId1" w:history="1">
        <w:r w:rsidRPr="00904836">
          <w:rPr>
            <w:rStyle w:val="Hyperlink"/>
            <w:sz w:val="16"/>
            <w:szCs w:val="16"/>
          </w:rPr>
          <w:t>http://echa.europa.eu/web/guest/information-on-chemicals/cl-inventory-database</w:t>
        </w:r>
      </w:hyperlink>
      <w:r w:rsidRPr="00904836">
        <w:rPr>
          <w:sz w:val="16"/>
          <w:szCs w:val="16"/>
        </w:rPr>
        <w:t xml:space="preserve"> (accessed </w:t>
      </w:r>
      <w:r w:rsidRPr="00D10FD9">
        <w:rPr>
          <w:sz w:val="16"/>
          <w:szCs w:val="16"/>
        </w:rPr>
        <w:t>15</w:t>
      </w:r>
      <w:r>
        <w:rPr>
          <w:sz w:val="16"/>
          <w:szCs w:val="16"/>
        </w:rPr>
        <w:t>.</w:t>
      </w:r>
      <w:r w:rsidRPr="00D10FD9">
        <w:rPr>
          <w:sz w:val="16"/>
          <w:szCs w:val="16"/>
        </w:rPr>
        <w:t xml:space="preserve"> November 20</w:t>
      </w:r>
      <w:r w:rsidRPr="00E904D6">
        <w:rPr>
          <w:sz w:val="16"/>
          <w:szCs w:val="16"/>
        </w:rPr>
        <w:t>1</w:t>
      </w:r>
      <w:r>
        <w:rPr>
          <w:sz w:val="16"/>
          <w:szCs w:val="16"/>
        </w:rPr>
        <w:t>6)</w:t>
      </w:r>
    </w:p>
  </w:footnote>
  <w:footnote w:id="4">
    <w:p w14:paraId="236C7000" w14:textId="1211632E" w:rsidR="00F97B18" w:rsidRPr="00D10FD9" w:rsidRDefault="00F97B18">
      <w:pPr>
        <w:pStyle w:val="FootnoteText"/>
        <w:rPr>
          <w:sz w:val="16"/>
          <w:szCs w:val="16"/>
        </w:rPr>
      </w:pPr>
      <w:r w:rsidRPr="004A58F1">
        <w:rPr>
          <w:rStyle w:val="FootnoteReference"/>
          <w:rFonts w:ascii="Verdana" w:hAnsi="Verdana"/>
        </w:rPr>
        <w:footnoteRef/>
      </w:r>
      <w:r>
        <w:t xml:space="preserve"> </w:t>
      </w:r>
      <w:proofErr w:type="spellStart"/>
      <w:r w:rsidRPr="00D10FD9">
        <w:rPr>
          <w:sz w:val="16"/>
          <w:szCs w:val="16"/>
        </w:rPr>
        <w:t>Concawe</w:t>
      </w:r>
      <w:proofErr w:type="spellEnd"/>
      <w:r w:rsidRPr="00D10FD9">
        <w:rPr>
          <w:sz w:val="16"/>
          <w:szCs w:val="16"/>
        </w:rPr>
        <w:t xml:space="preserve"> is a division of the European Petroleum Refiners Association and supports members in implementation of the REACH regulation</w:t>
      </w:r>
    </w:p>
  </w:footnote>
  <w:footnote w:id="5">
    <w:p w14:paraId="51D59966" w14:textId="569BFCB6" w:rsidR="00F97B18" w:rsidRPr="004A58F1" w:rsidRDefault="00F97B18">
      <w:pPr>
        <w:pStyle w:val="FootnoteText"/>
        <w:rPr>
          <w:sz w:val="18"/>
          <w:lang w:val="en-US"/>
        </w:rPr>
      </w:pPr>
      <w:r w:rsidRPr="004A58F1">
        <w:rPr>
          <w:rStyle w:val="FootnoteReference"/>
          <w:rFonts w:ascii="Verdana" w:hAnsi="Verdana"/>
        </w:rPr>
        <w:footnoteRef/>
      </w:r>
      <w:r>
        <w:t xml:space="preserve"> </w:t>
      </w:r>
      <w:r w:rsidRPr="004A58F1">
        <w:rPr>
          <w:sz w:val="18"/>
        </w:rPr>
        <w:t xml:space="preserve">European Chemical Industry </w:t>
      </w:r>
      <w:r w:rsidRPr="004A58F1">
        <w:rPr>
          <w:sz w:val="16"/>
        </w:rPr>
        <w:t xml:space="preserve">Council </w:t>
      </w:r>
    </w:p>
  </w:footnote>
  <w:footnote w:id="6">
    <w:p w14:paraId="6919D7C2" w14:textId="36CD2A66" w:rsidR="00F97B18" w:rsidRPr="00D10FD9" w:rsidRDefault="00F97B18">
      <w:pPr>
        <w:pStyle w:val="FootnoteText"/>
        <w:rPr>
          <w:lang w:val="en-US"/>
        </w:rPr>
      </w:pPr>
      <w:r w:rsidRPr="004A58F1">
        <w:rPr>
          <w:rStyle w:val="FootnoteReference"/>
          <w:rFonts w:ascii="Verdana" w:hAnsi="Verdana"/>
          <w:sz w:val="14"/>
        </w:rPr>
        <w:footnoteRef/>
      </w:r>
      <w:r w:rsidRPr="004A58F1">
        <w:rPr>
          <w:sz w:val="18"/>
        </w:rPr>
        <w:t xml:space="preserve"> Lower Olefins and Aromatics Reach Consortium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B5A4" w14:textId="2763A6D2" w:rsidR="00F97B18" w:rsidRDefault="00F97B18" w:rsidP="00F97B18">
    <w:pPr>
      <w:pStyle w:val="Header"/>
      <w:pBdr>
        <w:bottom w:val="single" w:sz="4" w:space="1" w:color="auto"/>
      </w:pBdr>
    </w:pPr>
    <w:r>
      <w:t xml:space="preserve">ANNEX XV – IDENTIFICATION OF </w:t>
    </w:r>
    <w:proofErr w:type="gramStart"/>
    <w:r>
      <w:t>BENZ[</w:t>
    </w:r>
    <w:proofErr w:type="gramEnd"/>
    <w:r>
      <w:t>A]ANTHRACENE AS SVHC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51E"/>
    <w:multiLevelType w:val="hybridMultilevel"/>
    <w:tmpl w:val="B1D0F2DA"/>
    <w:lvl w:ilvl="0" w:tplc="50D6ADE4">
      <w:start w:val="1"/>
      <w:numFmt w:val="bullet"/>
      <w:lvlText w:val=""/>
      <w:lvlJc w:val="left"/>
      <w:pPr>
        <w:ind w:left="5421" w:hanging="360"/>
      </w:pPr>
      <w:rPr>
        <w:rFonts w:ascii="Symbol" w:hAnsi="Symbol" w:hint="default"/>
        <w:color w:val="auto"/>
      </w:rPr>
    </w:lvl>
    <w:lvl w:ilvl="1" w:tplc="08090003" w:tentative="1">
      <w:start w:val="1"/>
      <w:numFmt w:val="bullet"/>
      <w:lvlText w:val="o"/>
      <w:lvlJc w:val="left"/>
      <w:pPr>
        <w:ind w:left="6141" w:hanging="360"/>
      </w:pPr>
      <w:rPr>
        <w:rFonts w:ascii="Courier New" w:hAnsi="Courier New" w:cs="Courier New" w:hint="default"/>
      </w:rPr>
    </w:lvl>
    <w:lvl w:ilvl="2" w:tplc="08090005" w:tentative="1">
      <w:start w:val="1"/>
      <w:numFmt w:val="bullet"/>
      <w:lvlText w:val=""/>
      <w:lvlJc w:val="left"/>
      <w:pPr>
        <w:ind w:left="6861" w:hanging="360"/>
      </w:pPr>
      <w:rPr>
        <w:rFonts w:ascii="Wingdings" w:hAnsi="Wingdings" w:hint="default"/>
      </w:rPr>
    </w:lvl>
    <w:lvl w:ilvl="3" w:tplc="08090001" w:tentative="1">
      <w:start w:val="1"/>
      <w:numFmt w:val="bullet"/>
      <w:lvlText w:val=""/>
      <w:lvlJc w:val="left"/>
      <w:pPr>
        <w:ind w:left="7581" w:hanging="360"/>
      </w:pPr>
      <w:rPr>
        <w:rFonts w:ascii="Symbol" w:hAnsi="Symbol" w:hint="default"/>
      </w:rPr>
    </w:lvl>
    <w:lvl w:ilvl="4" w:tplc="08090003" w:tentative="1">
      <w:start w:val="1"/>
      <w:numFmt w:val="bullet"/>
      <w:lvlText w:val="o"/>
      <w:lvlJc w:val="left"/>
      <w:pPr>
        <w:ind w:left="8301" w:hanging="360"/>
      </w:pPr>
      <w:rPr>
        <w:rFonts w:ascii="Courier New" w:hAnsi="Courier New" w:cs="Courier New" w:hint="default"/>
      </w:rPr>
    </w:lvl>
    <w:lvl w:ilvl="5" w:tplc="08090005" w:tentative="1">
      <w:start w:val="1"/>
      <w:numFmt w:val="bullet"/>
      <w:lvlText w:val=""/>
      <w:lvlJc w:val="left"/>
      <w:pPr>
        <w:ind w:left="9021" w:hanging="360"/>
      </w:pPr>
      <w:rPr>
        <w:rFonts w:ascii="Wingdings" w:hAnsi="Wingdings" w:hint="default"/>
      </w:rPr>
    </w:lvl>
    <w:lvl w:ilvl="6" w:tplc="08090001" w:tentative="1">
      <w:start w:val="1"/>
      <w:numFmt w:val="bullet"/>
      <w:lvlText w:val=""/>
      <w:lvlJc w:val="left"/>
      <w:pPr>
        <w:ind w:left="9741" w:hanging="360"/>
      </w:pPr>
      <w:rPr>
        <w:rFonts w:ascii="Symbol" w:hAnsi="Symbol" w:hint="default"/>
      </w:rPr>
    </w:lvl>
    <w:lvl w:ilvl="7" w:tplc="08090003" w:tentative="1">
      <w:start w:val="1"/>
      <w:numFmt w:val="bullet"/>
      <w:lvlText w:val="o"/>
      <w:lvlJc w:val="left"/>
      <w:pPr>
        <w:ind w:left="10461" w:hanging="360"/>
      </w:pPr>
      <w:rPr>
        <w:rFonts w:ascii="Courier New" w:hAnsi="Courier New" w:cs="Courier New" w:hint="default"/>
      </w:rPr>
    </w:lvl>
    <w:lvl w:ilvl="8" w:tplc="08090005" w:tentative="1">
      <w:start w:val="1"/>
      <w:numFmt w:val="bullet"/>
      <w:lvlText w:val=""/>
      <w:lvlJc w:val="left"/>
      <w:pPr>
        <w:ind w:left="11181" w:hanging="360"/>
      </w:pPr>
      <w:rPr>
        <w:rFonts w:ascii="Wingdings" w:hAnsi="Wingdings" w:hint="default"/>
      </w:rPr>
    </w:lvl>
  </w:abstractNum>
  <w:abstractNum w:abstractNumId="1" w15:restartNumberingAfterBreak="0">
    <w:nsid w:val="0B7E11D4"/>
    <w:multiLevelType w:val="hybridMultilevel"/>
    <w:tmpl w:val="F13C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769F3"/>
    <w:multiLevelType w:val="hybridMultilevel"/>
    <w:tmpl w:val="86B8C292"/>
    <w:lvl w:ilvl="0" w:tplc="0407000B">
      <w:start w:val="4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96637"/>
    <w:multiLevelType w:val="hybridMultilevel"/>
    <w:tmpl w:val="3FBA4C5E"/>
    <w:lvl w:ilvl="0" w:tplc="3C62EC34">
      <w:numFmt w:val="bullet"/>
      <w:lvlText w:val="-"/>
      <w:lvlJc w:val="left"/>
      <w:pPr>
        <w:tabs>
          <w:tab w:val="num" w:pos="720"/>
        </w:tabs>
        <w:ind w:left="720" w:hanging="360"/>
      </w:pPr>
      <w:rPr>
        <w:rFonts w:ascii="Arial" w:eastAsia="Times New Roman" w:hAnsi="Arial" w:hint="default"/>
      </w:rPr>
    </w:lvl>
    <w:lvl w:ilvl="1" w:tplc="3C62EC34">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2022"/>
    <w:multiLevelType w:val="hybridMultilevel"/>
    <w:tmpl w:val="EA80C2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hint="default"/>
      </w:rPr>
    </w:lvl>
    <w:lvl w:ilvl="3" w:tplc="3C62EC34">
      <w:numFmt w:val="bullet"/>
      <w:lvlText w:val="-"/>
      <w:lvlJc w:val="left"/>
      <w:pPr>
        <w:ind w:left="3600" w:hanging="360"/>
      </w:pPr>
      <w:rPr>
        <w:rFonts w:ascii="Arial" w:eastAsia="Times New Roman" w:hAnsi="Aria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313465"/>
    <w:multiLevelType w:val="multilevel"/>
    <w:tmpl w:val="783E4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AE272B"/>
    <w:multiLevelType w:val="hybridMultilevel"/>
    <w:tmpl w:val="CA7EEF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E0773"/>
    <w:multiLevelType w:val="hybridMultilevel"/>
    <w:tmpl w:val="6A7474B8"/>
    <w:lvl w:ilvl="0" w:tplc="0407000B">
      <w:start w:val="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3364C"/>
    <w:multiLevelType w:val="hybridMultilevel"/>
    <w:tmpl w:val="5CBAC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D6241"/>
    <w:multiLevelType w:val="multilevel"/>
    <w:tmpl w:val="3BAA4868"/>
    <w:lvl w:ilvl="0">
      <w:start w:val="4"/>
      <w:numFmt w:val="decimal"/>
      <w:lvlText w:val="%1"/>
      <w:lvlJc w:val="left"/>
      <w:pPr>
        <w:ind w:left="588" w:hanging="588"/>
      </w:pPr>
      <w:rPr>
        <w:rFonts w:hint="default"/>
        <w:i w:val="0"/>
      </w:rPr>
    </w:lvl>
    <w:lvl w:ilvl="1">
      <w:start w:val="10"/>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11A0E"/>
    <w:multiLevelType w:val="hybridMultilevel"/>
    <w:tmpl w:val="788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B0CBE"/>
    <w:multiLevelType w:val="hybridMultilevel"/>
    <w:tmpl w:val="B56CA8E8"/>
    <w:lvl w:ilvl="0" w:tplc="46BCF86A">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14" w15:restartNumberingAfterBreak="0">
    <w:nsid w:val="469C217B"/>
    <w:multiLevelType w:val="hybridMultilevel"/>
    <w:tmpl w:val="6C4888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F4470C"/>
    <w:multiLevelType w:val="hybridMultilevel"/>
    <w:tmpl w:val="A37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FEB"/>
    <w:multiLevelType w:val="hybridMultilevel"/>
    <w:tmpl w:val="B03C5B12"/>
    <w:lvl w:ilvl="0" w:tplc="9EC2FF1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96437"/>
    <w:multiLevelType w:val="hybridMultilevel"/>
    <w:tmpl w:val="155E226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3">
      <w:start w:val="1"/>
      <w:numFmt w:val="bullet"/>
      <w:lvlText w:val="o"/>
      <w:lvlJc w:val="left"/>
      <w:pPr>
        <w:ind w:left="2880" w:hanging="360"/>
      </w:pPr>
      <w:rPr>
        <w:rFonts w:ascii="Courier New" w:hAnsi="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13098A"/>
    <w:multiLevelType w:val="hybridMultilevel"/>
    <w:tmpl w:val="66B83F02"/>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E4A2389"/>
    <w:multiLevelType w:val="hybridMultilevel"/>
    <w:tmpl w:val="15A2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57233"/>
    <w:multiLevelType w:val="hybridMultilevel"/>
    <w:tmpl w:val="0DCCB9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819"/>
    <w:multiLevelType w:val="hybridMultilevel"/>
    <w:tmpl w:val="ABB85468"/>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36690"/>
    <w:multiLevelType w:val="hybridMultilevel"/>
    <w:tmpl w:val="F05C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96342"/>
    <w:multiLevelType w:val="hybridMultilevel"/>
    <w:tmpl w:val="BEA0AD1A"/>
    <w:lvl w:ilvl="0" w:tplc="0407000B">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4A3F52"/>
    <w:multiLevelType w:val="hybridMultilevel"/>
    <w:tmpl w:val="016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C068F"/>
    <w:multiLevelType w:val="hybridMultilevel"/>
    <w:tmpl w:val="9C96C6E6"/>
    <w:lvl w:ilvl="0" w:tplc="5FB4D32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36B13"/>
    <w:multiLevelType w:val="hybridMultilevel"/>
    <w:tmpl w:val="1A36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AF5347"/>
    <w:multiLevelType w:val="hybridMultilevel"/>
    <w:tmpl w:val="2B7A671E"/>
    <w:lvl w:ilvl="0" w:tplc="08090001">
      <w:start w:val="1"/>
      <w:numFmt w:val="bullet"/>
      <w:lvlText w:val=""/>
      <w:lvlJc w:val="left"/>
      <w:pPr>
        <w:ind w:left="4701" w:hanging="360"/>
      </w:pPr>
      <w:rPr>
        <w:rFonts w:ascii="Symbol" w:hAnsi="Symbol" w:hint="default"/>
      </w:rPr>
    </w:lvl>
    <w:lvl w:ilvl="1" w:tplc="08090003" w:tentative="1">
      <w:start w:val="1"/>
      <w:numFmt w:val="bullet"/>
      <w:lvlText w:val="o"/>
      <w:lvlJc w:val="left"/>
      <w:pPr>
        <w:ind w:left="5421" w:hanging="360"/>
      </w:pPr>
      <w:rPr>
        <w:rFonts w:ascii="Courier New" w:hAnsi="Courier New" w:cs="Courier New" w:hint="default"/>
      </w:rPr>
    </w:lvl>
    <w:lvl w:ilvl="2" w:tplc="08090005" w:tentative="1">
      <w:start w:val="1"/>
      <w:numFmt w:val="bullet"/>
      <w:lvlText w:val=""/>
      <w:lvlJc w:val="left"/>
      <w:pPr>
        <w:ind w:left="6141" w:hanging="360"/>
      </w:pPr>
      <w:rPr>
        <w:rFonts w:ascii="Wingdings" w:hAnsi="Wingdings" w:hint="default"/>
      </w:rPr>
    </w:lvl>
    <w:lvl w:ilvl="3" w:tplc="08090001" w:tentative="1">
      <w:start w:val="1"/>
      <w:numFmt w:val="bullet"/>
      <w:lvlText w:val=""/>
      <w:lvlJc w:val="left"/>
      <w:pPr>
        <w:ind w:left="6861" w:hanging="360"/>
      </w:pPr>
      <w:rPr>
        <w:rFonts w:ascii="Symbol" w:hAnsi="Symbol" w:hint="default"/>
      </w:rPr>
    </w:lvl>
    <w:lvl w:ilvl="4" w:tplc="08090003" w:tentative="1">
      <w:start w:val="1"/>
      <w:numFmt w:val="bullet"/>
      <w:lvlText w:val="o"/>
      <w:lvlJc w:val="left"/>
      <w:pPr>
        <w:ind w:left="7581" w:hanging="360"/>
      </w:pPr>
      <w:rPr>
        <w:rFonts w:ascii="Courier New" w:hAnsi="Courier New" w:cs="Courier New" w:hint="default"/>
      </w:rPr>
    </w:lvl>
    <w:lvl w:ilvl="5" w:tplc="08090005" w:tentative="1">
      <w:start w:val="1"/>
      <w:numFmt w:val="bullet"/>
      <w:lvlText w:val=""/>
      <w:lvlJc w:val="left"/>
      <w:pPr>
        <w:ind w:left="8301" w:hanging="360"/>
      </w:pPr>
      <w:rPr>
        <w:rFonts w:ascii="Wingdings" w:hAnsi="Wingdings" w:hint="default"/>
      </w:rPr>
    </w:lvl>
    <w:lvl w:ilvl="6" w:tplc="08090001" w:tentative="1">
      <w:start w:val="1"/>
      <w:numFmt w:val="bullet"/>
      <w:lvlText w:val=""/>
      <w:lvlJc w:val="left"/>
      <w:pPr>
        <w:ind w:left="9021" w:hanging="360"/>
      </w:pPr>
      <w:rPr>
        <w:rFonts w:ascii="Symbol" w:hAnsi="Symbol" w:hint="default"/>
      </w:rPr>
    </w:lvl>
    <w:lvl w:ilvl="7" w:tplc="08090003" w:tentative="1">
      <w:start w:val="1"/>
      <w:numFmt w:val="bullet"/>
      <w:lvlText w:val="o"/>
      <w:lvlJc w:val="left"/>
      <w:pPr>
        <w:ind w:left="9741" w:hanging="360"/>
      </w:pPr>
      <w:rPr>
        <w:rFonts w:ascii="Courier New" w:hAnsi="Courier New" w:cs="Courier New" w:hint="default"/>
      </w:rPr>
    </w:lvl>
    <w:lvl w:ilvl="8" w:tplc="08090005" w:tentative="1">
      <w:start w:val="1"/>
      <w:numFmt w:val="bullet"/>
      <w:lvlText w:val=""/>
      <w:lvlJc w:val="left"/>
      <w:pPr>
        <w:ind w:left="10461" w:hanging="360"/>
      </w:pPr>
      <w:rPr>
        <w:rFonts w:ascii="Wingdings" w:hAnsi="Wingdings" w:hint="default"/>
      </w:rPr>
    </w:lvl>
  </w:abstractNum>
  <w:abstractNum w:abstractNumId="30" w15:restartNumberingAfterBreak="0">
    <w:nsid w:val="71E833B2"/>
    <w:multiLevelType w:val="hybridMultilevel"/>
    <w:tmpl w:val="6B6EC1D0"/>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11947"/>
    <w:multiLevelType w:val="hybridMultilevel"/>
    <w:tmpl w:val="73DEA9C4"/>
    <w:lvl w:ilvl="0" w:tplc="BF3E1D54">
      <w:numFmt w:val="bullet"/>
      <w:lvlText w:val="-"/>
      <w:lvlJc w:val="left"/>
      <w:pPr>
        <w:ind w:left="1665" w:hanging="360"/>
      </w:pPr>
      <w:rPr>
        <w:rFonts w:ascii="Verdana" w:eastAsia="Times New Roman" w:hAnsi="Verdana" w:cs="Times New Roman"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2" w15:restartNumberingAfterBreak="0">
    <w:nsid w:val="791616C6"/>
    <w:multiLevelType w:val="hybridMultilevel"/>
    <w:tmpl w:val="56B6DAC2"/>
    <w:lvl w:ilvl="0" w:tplc="15BC4F6C">
      <w:start w:val="1"/>
      <w:numFmt w:val="bullet"/>
      <w:lvlText w:val=""/>
      <w:lvlJc w:val="left"/>
      <w:pPr>
        <w:ind w:left="5256" w:hanging="360"/>
      </w:pPr>
      <w:rPr>
        <w:rFonts w:ascii="Symbol" w:hAnsi="Symbol" w:hint="default"/>
        <w:color w:val="000000" w:themeColor="text1"/>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33" w15:restartNumberingAfterBreak="0">
    <w:nsid w:val="7B7F0AFF"/>
    <w:multiLevelType w:val="hybridMultilevel"/>
    <w:tmpl w:val="A73EA5AE"/>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34" w15:restartNumberingAfterBreak="0">
    <w:nsid w:val="7BF412DD"/>
    <w:multiLevelType w:val="hybridMultilevel"/>
    <w:tmpl w:val="B48E562A"/>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A6B4D"/>
    <w:multiLevelType w:val="multilevel"/>
    <w:tmpl w:val="99E6AFE0"/>
    <w:lvl w:ilvl="0">
      <w:start w:val="1"/>
      <w:numFmt w:val="decimal"/>
      <w:pStyle w:val="Heading1"/>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pStyle w:val="Heading3"/>
      <w:lvlText w:val=""/>
      <w:lvlJc w:val="left"/>
      <w:pPr>
        <w:tabs>
          <w:tab w:val="num" w:pos="360"/>
        </w:tabs>
        <w:ind w:left="0" w:firstLine="0"/>
      </w:pPr>
      <w:rPr>
        <w:rFonts w:cs="Times New Roman" w:hint="default"/>
      </w:rPr>
    </w:lvl>
    <w:lvl w:ilvl="3">
      <w:numFmt w:val="decimal"/>
      <w:pStyle w:val="Heading4"/>
      <w:lvlText w:val=""/>
      <w:lvlJc w:val="left"/>
      <w:pPr>
        <w:ind w:left="0" w:firstLine="0"/>
      </w:pPr>
      <w:rPr>
        <w:rFonts w:cs="Times New Roman" w:hint="default"/>
      </w:rPr>
    </w:lvl>
    <w:lvl w:ilvl="4">
      <w:numFmt w:val="decimal"/>
      <w:pStyle w:val="Heading5"/>
      <w:lvlText w:val=""/>
      <w:lvlJc w:val="left"/>
      <w:pPr>
        <w:ind w:left="0" w:firstLine="0"/>
      </w:pPr>
      <w:rPr>
        <w:rFonts w:cs="Times New Roman" w:hint="default"/>
      </w:rPr>
    </w:lvl>
    <w:lvl w:ilvl="5">
      <w:numFmt w:val="decimal"/>
      <w:pStyle w:val="Heading6"/>
      <w:lvlText w:val=""/>
      <w:lvlJc w:val="left"/>
      <w:pPr>
        <w:ind w:left="0" w:firstLine="0"/>
      </w:pPr>
      <w:rPr>
        <w:rFonts w:cs="Times New Roman" w:hint="default"/>
      </w:rPr>
    </w:lvl>
    <w:lvl w:ilvl="6">
      <w:numFmt w:val="decimal"/>
      <w:pStyle w:val="Heading7"/>
      <w:lvlText w:val=""/>
      <w:lvlJc w:val="left"/>
      <w:pPr>
        <w:ind w:left="0" w:firstLine="0"/>
      </w:pPr>
      <w:rPr>
        <w:rFonts w:cs="Times New Roman" w:hint="default"/>
      </w:rPr>
    </w:lvl>
    <w:lvl w:ilvl="7">
      <w:numFmt w:val="decimal"/>
      <w:pStyle w:val="Heading8"/>
      <w:lvlText w:val=""/>
      <w:lvlJc w:val="left"/>
      <w:pPr>
        <w:ind w:left="0" w:firstLine="0"/>
      </w:pPr>
      <w:rPr>
        <w:rFonts w:cs="Times New Roman" w:hint="default"/>
      </w:rPr>
    </w:lvl>
    <w:lvl w:ilvl="8">
      <w:numFmt w:val="decimal"/>
      <w:pStyle w:val="Heading9"/>
      <w:lvlText w:val=""/>
      <w:lvlJc w:val="left"/>
      <w:pPr>
        <w:ind w:left="0" w:firstLine="0"/>
      </w:pPr>
      <w:rPr>
        <w:rFonts w:cs="Times New Roman" w:hint="default"/>
      </w:rPr>
    </w:lvl>
  </w:abstractNum>
  <w:abstractNum w:abstractNumId="36" w15:restartNumberingAfterBreak="0">
    <w:nsid w:val="7C871AFA"/>
    <w:multiLevelType w:val="multilevel"/>
    <w:tmpl w:val="250224A4"/>
    <w:lvl w:ilvl="0">
      <w:numFmt w:val="decimal"/>
      <w:pStyle w:val="BulletedList1-usermanu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11"/>
  </w:num>
  <w:num w:numId="3">
    <w:abstractNumId w:val="19"/>
  </w:num>
  <w:num w:numId="4">
    <w:abstractNumId w:val="36"/>
  </w:num>
  <w:num w:numId="5">
    <w:abstractNumId w:val="22"/>
  </w:num>
  <w:num w:numId="6">
    <w:abstractNumId w:val="16"/>
  </w:num>
  <w:num w:numId="7">
    <w:abstractNumId w:val="28"/>
  </w:num>
  <w:num w:numId="8">
    <w:abstractNumId w:val="21"/>
  </w:num>
  <w:num w:numId="9">
    <w:abstractNumId w:val="7"/>
  </w:num>
  <w:num w:numId="10">
    <w:abstractNumId w:val="9"/>
  </w:num>
  <w:num w:numId="11">
    <w:abstractNumId w:val="17"/>
  </w:num>
  <w:num w:numId="12">
    <w:abstractNumId w:val="14"/>
  </w:num>
  <w:num w:numId="13">
    <w:abstractNumId w:val="12"/>
  </w:num>
  <w:num w:numId="14">
    <w:abstractNumId w:val="34"/>
  </w:num>
  <w:num w:numId="15">
    <w:abstractNumId w:val="5"/>
  </w:num>
  <w:num w:numId="16">
    <w:abstractNumId w:val="13"/>
  </w:num>
  <w:num w:numId="17">
    <w:abstractNumId w:val="25"/>
  </w:num>
  <w:num w:numId="18">
    <w:abstractNumId w:val="15"/>
  </w:num>
  <w:num w:numId="19">
    <w:abstractNumId w:val="35"/>
    <w:lvlOverride w:ilvl="0">
      <w:startOverride w:val="7"/>
    </w:lvlOverride>
    <w:lvlOverride w:ilvl="1">
      <w:startOverride w:val="7"/>
    </w:lvlOverride>
    <w:lvlOverride w:ilvl="2"/>
    <w:lvlOverride w:ilvl="3"/>
    <w:lvlOverride w:ilvl="4"/>
    <w:lvlOverride w:ilvl="5"/>
    <w:lvlOverride w:ilvl="6"/>
    <w:lvlOverride w:ilvl="7"/>
    <w:lvlOverride w:ilvl="8"/>
  </w:num>
  <w:num w:numId="20">
    <w:abstractNumId w:val="30"/>
  </w:num>
  <w:num w:numId="21">
    <w:abstractNumId w:val="18"/>
  </w:num>
  <w:num w:numId="22">
    <w:abstractNumId w:val="4"/>
  </w:num>
  <w:num w:numId="23">
    <w:abstractNumId w:val="35"/>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33"/>
  </w:num>
  <w:num w:numId="25">
    <w:abstractNumId w:val="27"/>
  </w:num>
  <w:num w:numId="26">
    <w:abstractNumId w:val="10"/>
  </w:num>
  <w:num w:numId="27">
    <w:abstractNumId w:val="2"/>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0"/>
  </w:num>
  <w:num w:numId="49">
    <w:abstractNumId w:val="32"/>
  </w:num>
  <w:num w:numId="50">
    <w:abstractNumId w:val="35"/>
  </w:num>
  <w:num w:numId="51">
    <w:abstractNumId w:val="35"/>
  </w:num>
  <w:num w:numId="52">
    <w:abstractNumId w:val="1"/>
  </w:num>
  <w:num w:numId="53">
    <w:abstractNumId w:val="26"/>
  </w:num>
  <w:num w:numId="54">
    <w:abstractNumId w:val="31"/>
  </w:num>
  <w:num w:numId="55">
    <w:abstractNumId w:val="23"/>
  </w:num>
  <w:num w:numId="56">
    <w:abstractNumId w:val="20"/>
  </w:num>
  <w:num w:numId="57">
    <w:abstractNumId w:val="35"/>
  </w:num>
  <w:num w:numId="58">
    <w:abstractNumId w:val="3"/>
  </w:num>
  <w:num w:numId="59">
    <w:abstractNumId w:val="24"/>
  </w:num>
  <w:num w:numId="60">
    <w:abstractNumId w:val="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32"/>
    <w:rsid w:val="000011FB"/>
    <w:rsid w:val="00001B25"/>
    <w:rsid w:val="0000234D"/>
    <w:rsid w:val="00004D57"/>
    <w:rsid w:val="0000628B"/>
    <w:rsid w:val="00007F2B"/>
    <w:rsid w:val="000102E5"/>
    <w:rsid w:val="00010C9D"/>
    <w:rsid w:val="00011FED"/>
    <w:rsid w:val="00012233"/>
    <w:rsid w:val="00013440"/>
    <w:rsid w:val="000134CC"/>
    <w:rsid w:val="00014B0D"/>
    <w:rsid w:val="000173ED"/>
    <w:rsid w:val="00020A21"/>
    <w:rsid w:val="0002406A"/>
    <w:rsid w:val="0002427A"/>
    <w:rsid w:val="00024E93"/>
    <w:rsid w:val="00025046"/>
    <w:rsid w:val="00025C99"/>
    <w:rsid w:val="00026CFF"/>
    <w:rsid w:val="0002715F"/>
    <w:rsid w:val="00030C93"/>
    <w:rsid w:val="00031A84"/>
    <w:rsid w:val="000322E6"/>
    <w:rsid w:val="0003279A"/>
    <w:rsid w:val="0003344B"/>
    <w:rsid w:val="000360C9"/>
    <w:rsid w:val="000366C4"/>
    <w:rsid w:val="000374B9"/>
    <w:rsid w:val="000374E6"/>
    <w:rsid w:val="00037EE9"/>
    <w:rsid w:val="00040E7C"/>
    <w:rsid w:val="0004212E"/>
    <w:rsid w:val="000423CE"/>
    <w:rsid w:val="0004256D"/>
    <w:rsid w:val="0004322C"/>
    <w:rsid w:val="00043E96"/>
    <w:rsid w:val="00044012"/>
    <w:rsid w:val="00044A20"/>
    <w:rsid w:val="0004513D"/>
    <w:rsid w:val="00045D28"/>
    <w:rsid w:val="000475CF"/>
    <w:rsid w:val="000505F6"/>
    <w:rsid w:val="000516C0"/>
    <w:rsid w:val="000518E7"/>
    <w:rsid w:val="00051E87"/>
    <w:rsid w:val="000530C4"/>
    <w:rsid w:val="000533B1"/>
    <w:rsid w:val="0005484E"/>
    <w:rsid w:val="000550DB"/>
    <w:rsid w:val="00055983"/>
    <w:rsid w:val="00056B04"/>
    <w:rsid w:val="000575CF"/>
    <w:rsid w:val="000601BB"/>
    <w:rsid w:val="000610AB"/>
    <w:rsid w:val="000611BD"/>
    <w:rsid w:val="00061796"/>
    <w:rsid w:val="00062A33"/>
    <w:rsid w:val="000634C2"/>
    <w:rsid w:val="00063DCA"/>
    <w:rsid w:val="00063DED"/>
    <w:rsid w:val="00064C58"/>
    <w:rsid w:val="000652C9"/>
    <w:rsid w:val="000657FB"/>
    <w:rsid w:val="00065EBE"/>
    <w:rsid w:val="0006668D"/>
    <w:rsid w:val="00066F29"/>
    <w:rsid w:val="00070DAB"/>
    <w:rsid w:val="00071167"/>
    <w:rsid w:val="00071318"/>
    <w:rsid w:val="00071C7D"/>
    <w:rsid w:val="00071FAB"/>
    <w:rsid w:val="000721AD"/>
    <w:rsid w:val="0007332F"/>
    <w:rsid w:val="00073729"/>
    <w:rsid w:val="00074F8D"/>
    <w:rsid w:val="00075E83"/>
    <w:rsid w:val="000763F7"/>
    <w:rsid w:val="00076478"/>
    <w:rsid w:val="00076778"/>
    <w:rsid w:val="00076B0A"/>
    <w:rsid w:val="00077663"/>
    <w:rsid w:val="00077780"/>
    <w:rsid w:val="000803D3"/>
    <w:rsid w:val="00080EB6"/>
    <w:rsid w:val="000811F3"/>
    <w:rsid w:val="00081E45"/>
    <w:rsid w:val="000840E2"/>
    <w:rsid w:val="000843FE"/>
    <w:rsid w:val="00086315"/>
    <w:rsid w:val="000872E8"/>
    <w:rsid w:val="00093F94"/>
    <w:rsid w:val="00093FE6"/>
    <w:rsid w:val="0009465B"/>
    <w:rsid w:val="00094D1A"/>
    <w:rsid w:val="00096110"/>
    <w:rsid w:val="000961D8"/>
    <w:rsid w:val="00096A17"/>
    <w:rsid w:val="00096A9A"/>
    <w:rsid w:val="000970A2"/>
    <w:rsid w:val="000A05CE"/>
    <w:rsid w:val="000A07B3"/>
    <w:rsid w:val="000A124E"/>
    <w:rsid w:val="000A192F"/>
    <w:rsid w:val="000A1F9D"/>
    <w:rsid w:val="000A3009"/>
    <w:rsid w:val="000A392D"/>
    <w:rsid w:val="000A3DEB"/>
    <w:rsid w:val="000A601C"/>
    <w:rsid w:val="000A6EC2"/>
    <w:rsid w:val="000A775C"/>
    <w:rsid w:val="000B1F71"/>
    <w:rsid w:val="000B2C61"/>
    <w:rsid w:val="000B2E04"/>
    <w:rsid w:val="000B342A"/>
    <w:rsid w:val="000B3A1D"/>
    <w:rsid w:val="000B3E73"/>
    <w:rsid w:val="000B5BD9"/>
    <w:rsid w:val="000B6BC6"/>
    <w:rsid w:val="000B75D0"/>
    <w:rsid w:val="000B75DA"/>
    <w:rsid w:val="000B7BBE"/>
    <w:rsid w:val="000B7D2E"/>
    <w:rsid w:val="000C1E7C"/>
    <w:rsid w:val="000C389E"/>
    <w:rsid w:val="000C38A3"/>
    <w:rsid w:val="000C3CB8"/>
    <w:rsid w:val="000C6530"/>
    <w:rsid w:val="000C7D25"/>
    <w:rsid w:val="000C7D2E"/>
    <w:rsid w:val="000D0078"/>
    <w:rsid w:val="000D0377"/>
    <w:rsid w:val="000D0614"/>
    <w:rsid w:val="000D10EF"/>
    <w:rsid w:val="000D26BA"/>
    <w:rsid w:val="000D6F72"/>
    <w:rsid w:val="000E3105"/>
    <w:rsid w:val="000E35B3"/>
    <w:rsid w:val="000E5312"/>
    <w:rsid w:val="000E6ECC"/>
    <w:rsid w:val="000E720E"/>
    <w:rsid w:val="000E7443"/>
    <w:rsid w:val="000E7C3D"/>
    <w:rsid w:val="000F0EC4"/>
    <w:rsid w:val="000F20D8"/>
    <w:rsid w:val="000F28D2"/>
    <w:rsid w:val="000F2DF2"/>
    <w:rsid w:val="000F3DA5"/>
    <w:rsid w:val="000F41A0"/>
    <w:rsid w:val="000F4D68"/>
    <w:rsid w:val="000F4E5D"/>
    <w:rsid w:val="000F5601"/>
    <w:rsid w:val="000F619F"/>
    <w:rsid w:val="000F7C56"/>
    <w:rsid w:val="0010032F"/>
    <w:rsid w:val="00100AB6"/>
    <w:rsid w:val="00101887"/>
    <w:rsid w:val="001029CF"/>
    <w:rsid w:val="001030AC"/>
    <w:rsid w:val="0010442B"/>
    <w:rsid w:val="0010600C"/>
    <w:rsid w:val="001100D9"/>
    <w:rsid w:val="00112108"/>
    <w:rsid w:val="00112253"/>
    <w:rsid w:val="00113C4F"/>
    <w:rsid w:val="00113FCA"/>
    <w:rsid w:val="00114399"/>
    <w:rsid w:val="00114628"/>
    <w:rsid w:val="00115C1E"/>
    <w:rsid w:val="0011783E"/>
    <w:rsid w:val="00117A0A"/>
    <w:rsid w:val="001206E6"/>
    <w:rsid w:val="00120761"/>
    <w:rsid w:val="001215C2"/>
    <w:rsid w:val="00121CD9"/>
    <w:rsid w:val="001223AF"/>
    <w:rsid w:val="00123653"/>
    <w:rsid w:val="00123927"/>
    <w:rsid w:val="0012411C"/>
    <w:rsid w:val="00124BA8"/>
    <w:rsid w:val="001268DB"/>
    <w:rsid w:val="00127DF0"/>
    <w:rsid w:val="001303DB"/>
    <w:rsid w:val="00131BBE"/>
    <w:rsid w:val="001340DF"/>
    <w:rsid w:val="00136859"/>
    <w:rsid w:val="00137ADF"/>
    <w:rsid w:val="00140B01"/>
    <w:rsid w:val="001411DD"/>
    <w:rsid w:val="001419E0"/>
    <w:rsid w:val="00141B05"/>
    <w:rsid w:val="00142ADB"/>
    <w:rsid w:val="00142E2E"/>
    <w:rsid w:val="00144165"/>
    <w:rsid w:val="00144803"/>
    <w:rsid w:val="0014609D"/>
    <w:rsid w:val="00151B1F"/>
    <w:rsid w:val="00151FC4"/>
    <w:rsid w:val="001541EF"/>
    <w:rsid w:val="00156D5E"/>
    <w:rsid w:val="00157ADA"/>
    <w:rsid w:val="00157B3D"/>
    <w:rsid w:val="00160086"/>
    <w:rsid w:val="0016056A"/>
    <w:rsid w:val="0016072C"/>
    <w:rsid w:val="00160C38"/>
    <w:rsid w:val="00160E01"/>
    <w:rsid w:val="00161248"/>
    <w:rsid w:val="00161DF2"/>
    <w:rsid w:val="00161FD7"/>
    <w:rsid w:val="00162E15"/>
    <w:rsid w:val="001633A6"/>
    <w:rsid w:val="00163684"/>
    <w:rsid w:val="00164A29"/>
    <w:rsid w:val="00164CB5"/>
    <w:rsid w:val="00167A6D"/>
    <w:rsid w:val="00167BE0"/>
    <w:rsid w:val="00167CC0"/>
    <w:rsid w:val="001723D9"/>
    <w:rsid w:val="00172ABA"/>
    <w:rsid w:val="00173012"/>
    <w:rsid w:val="00173976"/>
    <w:rsid w:val="00173D06"/>
    <w:rsid w:val="00175D47"/>
    <w:rsid w:val="00176845"/>
    <w:rsid w:val="001776A9"/>
    <w:rsid w:val="00182588"/>
    <w:rsid w:val="001826C1"/>
    <w:rsid w:val="00182E5E"/>
    <w:rsid w:val="00187999"/>
    <w:rsid w:val="001908AC"/>
    <w:rsid w:val="00190C8A"/>
    <w:rsid w:val="00190CC3"/>
    <w:rsid w:val="00191E47"/>
    <w:rsid w:val="00193388"/>
    <w:rsid w:val="001935E8"/>
    <w:rsid w:val="00193FD2"/>
    <w:rsid w:val="001955DC"/>
    <w:rsid w:val="001959F2"/>
    <w:rsid w:val="00195A6B"/>
    <w:rsid w:val="00197D96"/>
    <w:rsid w:val="001A0951"/>
    <w:rsid w:val="001A17F9"/>
    <w:rsid w:val="001A2495"/>
    <w:rsid w:val="001A3B94"/>
    <w:rsid w:val="001A4430"/>
    <w:rsid w:val="001A5EDB"/>
    <w:rsid w:val="001A60CE"/>
    <w:rsid w:val="001A66C1"/>
    <w:rsid w:val="001A7031"/>
    <w:rsid w:val="001B0340"/>
    <w:rsid w:val="001B06FB"/>
    <w:rsid w:val="001B0ECF"/>
    <w:rsid w:val="001B222B"/>
    <w:rsid w:val="001B36E1"/>
    <w:rsid w:val="001B3789"/>
    <w:rsid w:val="001B420F"/>
    <w:rsid w:val="001B439F"/>
    <w:rsid w:val="001B6DB1"/>
    <w:rsid w:val="001C217E"/>
    <w:rsid w:val="001C2B0A"/>
    <w:rsid w:val="001C30D9"/>
    <w:rsid w:val="001C3DCB"/>
    <w:rsid w:val="001C4A1B"/>
    <w:rsid w:val="001C7341"/>
    <w:rsid w:val="001C7618"/>
    <w:rsid w:val="001D2D78"/>
    <w:rsid w:val="001D3478"/>
    <w:rsid w:val="001D39B1"/>
    <w:rsid w:val="001D3C6F"/>
    <w:rsid w:val="001D3D5A"/>
    <w:rsid w:val="001D556F"/>
    <w:rsid w:val="001D5AE2"/>
    <w:rsid w:val="001D5C42"/>
    <w:rsid w:val="001D604D"/>
    <w:rsid w:val="001D61B0"/>
    <w:rsid w:val="001D6360"/>
    <w:rsid w:val="001D736D"/>
    <w:rsid w:val="001D7BB0"/>
    <w:rsid w:val="001E1808"/>
    <w:rsid w:val="001E1AAE"/>
    <w:rsid w:val="001E2D7F"/>
    <w:rsid w:val="001E2FAA"/>
    <w:rsid w:val="001E4374"/>
    <w:rsid w:val="001E584C"/>
    <w:rsid w:val="001E639A"/>
    <w:rsid w:val="001E7133"/>
    <w:rsid w:val="001F0302"/>
    <w:rsid w:val="001F03EB"/>
    <w:rsid w:val="001F12EB"/>
    <w:rsid w:val="001F1363"/>
    <w:rsid w:val="001F13EB"/>
    <w:rsid w:val="001F1F11"/>
    <w:rsid w:val="001F2944"/>
    <w:rsid w:val="001F2FA5"/>
    <w:rsid w:val="001F43ED"/>
    <w:rsid w:val="001F53EB"/>
    <w:rsid w:val="001F5523"/>
    <w:rsid w:val="001F5783"/>
    <w:rsid w:val="001F76BF"/>
    <w:rsid w:val="0020036F"/>
    <w:rsid w:val="00200975"/>
    <w:rsid w:val="00200EA7"/>
    <w:rsid w:val="002040AA"/>
    <w:rsid w:val="00204425"/>
    <w:rsid w:val="00205E7E"/>
    <w:rsid w:val="00206B85"/>
    <w:rsid w:val="00212038"/>
    <w:rsid w:val="00212524"/>
    <w:rsid w:val="00212A4E"/>
    <w:rsid w:val="0021592A"/>
    <w:rsid w:val="00215ECB"/>
    <w:rsid w:val="00215F96"/>
    <w:rsid w:val="002164EE"/>
    <w:rsid w:val="00216D78"/>
    <w:rsid w:val="002213CA"/>
    <w:rsid w:val="0022402E"/>
    <w:rsid w:val="002243E0"/>
    <w:rsid w:val="00224B99"/>
    <w:rsid w:val="00224CA8"/>
    <w:rsid w:val="00225A95"/>
    <w:rsid w:val="00225E85"/>
    <w:rsid w:val="002270D2"/>
    <w:rsid w:val="00227E24"/>
    <w:rsid w:val="00230703"/>
    <w:rsid w:val="00232BB4"/>
    <w:rsid w:val="00232D4A"/>
    <w:rsid w:val="00232DA6"/>
    <w:rsid w:val="002336D2"/>
    <w:rsid w:val="00235D87"/>
    <w:rsid w:val="00235F14"/>
    <w:rsid w:val="00236B4B"/>
    <w:rsid w:val="002375B7"/>
    <w:rsid w:val="0023797E"/>
    <w:rsid w:val="00240797"/>
    <w:rsid w:val="002421BC"/>
    <w:rsid w:val="002429A4"/>
    <w:rsid w:val="0024492A"/>
    <w:rsid w:val="00246403"/>
    <w:rsid w:val="0024747B"/>
    <w:rsid w:val="002504D8"/>
    <w:rsid w:val="00251960"/>
    <w:rsid w:val="00252C3E"/>
    <w:rsid w:val="00254640"/>
    <w:rsid w:val="0025511B"/>
    <w:rsid w:val="002551BD"/>
    <w:rsid w:val="00255B24"/>
    <w:rsid w:val="00255E4F"/>
    <w:rsid w:val="00256AC2"/>
    <w:rsid w:val="0025714C"/>
    <w:rsid w:val="002622F2"/>
    <w:rsid w:val="00262493"/>
    <w:rsid w:val="0026284E"/>
    <w:rsid w:val="00262AF9"/>
    <w:rsid w:val="00262E79"/>
    <w:rsid w:val="00263C82"/>
    <w:rsid w:val="00264345"/>
    <w:rsid w:val="0026441C"/>
    <w:rsid w:val="0026744B"/>
    <w:rsid w:val="0027006F"/>
    <w:rsid w:val="00270DA9"/>
    <w:rsid w:val="00273349"/>
    <w:rsid w:val="0027585A"/>
    <w:rsid w:val="00276C7C"/>
    <w:rsid w:val="00276E9C"/>
    <w:rsid w:val="002770C2"/>
    <w:rsid w:val="002774C8"/>
    <w:rsid w:val="00277BCF"/>
    <w:rsid w:val="00277E0A"/>
    <w:rsid w:val="00277F71"/>
    <w:rsid w:val="00280AA9"/>
    <w:rsid w:val="002816BF"/>
    <w:rsid w:val="0028291E"/>
    <w:rsid w:val="0028323F"/>
    <w:rsid w:val="002833BB"/>
    <w:rsid w:val="0028471E"/>
    <w:rsid w:val="0028559C"/>
    <w:rsid w:val="00285968"/>
    <w:rsid w:val="002863B3"/>
    <w:rsid w:val="00287AFD"/>
    <w:rsid w:val="00290B11"/>
    <w:rsid w:val="00290E50"/>
    <w:rsid w:val="00291107"/>
    <w:rsid w:val="002913C6"/>
    <w:rsid w:val="00292B28"/>
    <w:rsid w:val="00293438"/>
    <w:rsid w:val="00294045"/>
    <w:rsid w:val="00294D99"/>
    <w:rsid w:val="002957E7"/>
    <w:rsid w:val="00295E9B"/>
    <w:rsid w:val="002975AC"/>
    <w:rsid w:val="002A08D7"/>
    <w:rsid w:val="002A0A96"/>
    <w:rsid w:val="002A2076"/>
    <w:rsid w:val="002A3AEE"/>
    <w:rsid w:val="002A515F"/>
    <w:rsid w:val="002A61B5"/>
    <w:rsid w:val="002A658A"/>
    <w:rsid w:val="002A65AA"/>
    <w:rsid w:val="002A77D1"/>
    <w:rsid w:val="002B0800"/>
    <w:rsid w:val="002B083A"/>
    <w:rsid w:val="002B0842"/>
    <w:rsid w:val="002B13C7"/>
    <w:rsid w:val="002B15FD"/>
    <w:rsid w:val="002B3BDB"/>
    <w:rsid w:val="002B55A3"/>
    <w:rsid w:val="002B58B6"/>
    <w:rsid w:val="002B6230"/>
    <w:rsid w:val="002B628C"/>
    <w:rsid w:val="002B6B27"/>
    <w:rsid w:val="002B7411"/>
    <w:rsid w:val="002C0BBF"/>
    <w:rsid w:val="002C0C85"/>
    <w:rsid w:val="002C1DE7"/>
    <w:rsid w:val="002C475F"/>
    <w:rsid w:val="002C5D9B"/>
    <w:rsid w:val="002C6A7C"/>
    <w:rsid w:val="002C6C32"/>
    <w:rsid w:val="002C700E"/>
    <w:rsid w:val="002D23F2"/>
    <w:rsid w:val="002D3951"/>
    <w:rsid w:val="002D4491"/>
    <w:rsid w:val="002D4A61"/>
    <w:rsid w:val="002D4B2D"/>
    <w:rsid w:val="002D5819"/>
    <w:rsid w:val="002D669D"/>
    <w:rsid w:val="002E2095"/>
    <w:rsid w:val="002E36FF"/>
    <w:rsid w:val="002E3BB8"/>
    <w:rsid w:val="002E43DD"/>
    <w:rsid w:val="002E6725"/>
    <w:rsid w:val="002E6F37"/>
    <w:rsid w:val="002E6FC0"/>
    <w:rsid w:val="002E765F"/>
    <w:rsid w:val="002E785A"/>
    <w:rsid w:val="002F18A1"/>
    <w:rsid w:val="002F255D"/>
    <w:rsid w:val="002F25D9"/>
    <w:rsid w:val="002F2C81"/>
    <w:rsid w:val="002F309C"/>
    <w:rsid w:val="002F31D4"/>
    <w:rsid w:val="002F50D5"/>
    <w:rsid w:val="002F523C"/>
    <w:rsid w:val="002F560E"/>
    <w:rsid w:val="002F572F"/>
    <w:rsid w:val="003000E7"/>
    <w:rsid w:val="00300300"/>
    <w:rsid w:val="003005FF"/>
    <w:rsid w:val="003006F9"/>
    <w:rsid w:val="00302930"/>
    <w:rsid w:val="00303374"/>
    <w:rsid w:val="003044C5"/>
    <w:rsid w:val="003050A1"/>
    <w:rsid w:val="00305644"/>
    <w:rsid w:val="003058AA"/>
    <w:rsid w:val="003059D0"/>
    <w:rsid w:val="003068D8"/>
    <w:rsid w:val="00306E7A"/>
    <w:rsid w:val="00307DCB"/>
    <w:rsid w:val="00312118"/>
    <w:rsid w:val="003122B0"/>
    <w:rsid w:val="00312410"/>
    <w:rsid w:val="00312D0D"/>
    <w:rsid w:val="00313376"/>
    <w:rsid w:val="00313560"/>
    <w:rsid w:val="003146DF"/>
    <w:rsid w:val="0031577D"/>
    <w:rsid w:val="00315FEA"/>
    <w:rsid w:val="003160F9"/>
    <w:rsid w:val="00317BA7"/>
    <w:rsid w:val="00317E34"/>
    <w:rsid w:val="00320847"/>
    <w:rsid w:val="00320D25"/>
    <w:rsid w:val="0032120F"/>
    <w:rsid w:val="003215B1"/>
    <w:rsid w:val="003215DB"/>
    <w:rsid w:val="0032353B"/>
    <w:rsid w:val="00324AFC"/>
    <w:rsid w:val="00324C4F"/>
    <w:rsid w:val="00325320"/>
    <w:rsid w:val="00325F67"/>
    <w:rsid w:val="0032665B"/>
    <w:rsid w:val="00326BC8"/>
    <w:rsid w:val="00326FEF"/>
    <w:rsid w:val="0032799C"/>
    <w:rsid w:val="00330875"/>
    <w:rsid w:val="00331511"/>
    <w:rsid w:val="00331A28"/>
    <w:rsid w:val="0033254C"/>
    <w:rsid w:val="003345B6"/>
    <w:rsid w:val="0033693E"/>
    <w:rsid w:val="00336A1B"/>
    <w:rsid w:val="00336C84"/>
    <w:rsid w:val="00337164"/>
    <w:rsid w:val="003379F8"/>
    <w:rsid w:val="003414B7"/>
    <w:rsid w:val="003414C5"/>
    <w:rsid w:val="00341D4B"/>
    <w:rsid w:val="003423BD"/>
    <w:rsid w:val="00342651"/>
    <w:rsid w:val="00342B0F"/>
    <w:rsid w:val="003434A6"/>
    <w:rsid w:val="00345B98"/>
    <w:rsid w:val="0034612B"/>
    <w:rsid w:val="00347163"/>
    <w:rsid w:val="00352992"/>
    <w:rsid w:val="003537C9"/>
    <w:rsid w:val="003549FC"/>
    <w:rsid w:val="00355484"/>
    <w:rsid w:val="00356576"/>
    <w:rsid w:val="00356A58"/>
    <w:rsid w:val="003579E3"/>
    <w:rsid w:val="00357F0D"/>
    <w:rsid w:val="0036263D"/>
    <w:rsid w:val="00362EF1"/>
    <w:rsid w:val="00363105"/>
    <w:rsid w:val="00365013"/>
    <w:rsid w:val="00365C7B"/>
    <w:rsid w:val="003662DE"/>
    <w:rsid w:val="00366EE8"/>
    <w:rsid w:val="00372B89"/>
    <w:rsid w:val="00372CB0"/>
    <w:rsid w:val="00373846"/>
    <w:rsid w:val="003740C1"/>
    <w:rsid w:val="00374A01"/>
    <w:rsid w:val="0037500D"/>
    <w:rsid w:val="00376560"/>
    <w:rsid w:val="00376651"/>
    <w:rsid w:val="003807E8"/>
    <w:rsid w:val="00380975"/>
    <w:rsid w:val="00380E39"/>
    <w:rsid w:val="003817A3"/>
    <w:rsid w:val="003819B8"/>
    <w:rsid w:val="0038266E"/>
    <w:rsid w:val="0038440E"/>
    <w:rsid w:val="00384EB0"/>
    <w:rsid w:val="00385B39"/>
    <w:rsid w:val="00385D96"/>
    <w:rsid w:val="00386097"/>
    <w:rsid w:val="003901FF"/>
    <w:rsid w:val="003909BD"/>
    <w:rsid w:val="00390A44"/>
    <w:rsid w:val="00390ED5"/>
    <w:rsid w:val="003925E9"/>
    <w:rsid w:val="00392F8C"/>
    <w:rsid w:val="00394AE1"/>
    <w:rsid w:val="00394D29"/>
    <w:rsid w:val="00395238"/>
    <w:rsid w:val="00395851"/>
    <w:rsid w:val="00395CC2"/>
    <w:rsid w:val="00395D7D"/>
    <w:rsid w:val="00396422"/>
    <w:rsid w:val="00397215"/>
    <w:rsid w:val="00397778"/>
    <w:rsid w:val="003A00D9"/>
    <w:rsid w:val="003A22A4"/>
    <w:rsid w:val="003A2F50"/>
    <w:rsid w:val="003A3416"/>
    <w:rsid w:val="003A34D6"/>
    <w:rsid w:val="003A3554"/>
    <w:rsid w:val="003A5B5D"/>
    <w:rsid w:val="003A5F91"/>
    <w:rsid w:val="003A66F2"/>
    <w:rsid w:val="003A67B1"/>
    <w:rsid w:val="003A6CA2"/>
    <w:rsid w:val="003A7FB0"/>
    <w:rsid w:val="003B1A03"/>
    <w:rsid w:val="003B1B52"/>
    <w:rsid w:val="003B1E81"/>
    <w:rsid w:val="003B20A9"/>
    <w:rsid w:val="003B276D"/>
    <w:rsid w:val="003B2B8A"/>
    <w:rsid w:val="003B305E"/>
    <w:rsid w:val="003B4361"/>
    <w:rsid w:val="003B4497"/>
    <w:rsid w:val="003B5A41"/>
    <w:rsid w:val="003B5DF2"/>
    <w:rsid w:val="003B6C91"/>
    <w:rsid w:val="003B6FD6"/>
    <w:rsid w:val="003B7422"/>
    <w:rsid w:val="003B78DC"/>
    <w:rsid w:val="003B7B69"/>
    <w:rsid w:val="003C0010"/>
    <w:rsid w:val="003C1CA9"/>
    <w:rsid w:val="003C25B7"/>
    <w:rsid w:val="003C2C56"/>
    <w:rsid w:val="003C419D"/>
    <w:rsid w:val="003C5298"/>
    <w:rsid w:val="003C52AB"/>
    <w:rsid w:val="003C5310"/>
    <w:rsid w:val="003C63A3"/>
    <w:rsid w:val="003C70C9"/>
    <w:rsid w:val="003D0A5F"/>
    <w:rsid w:val="003D2CEA"/>
    <w:rsid w:val="003D3036"/>
    <w:rsid w:val="003D351F"/>
    <w:rsid w:val="003D36EB"/>
    <w:rsid w:val="003D5772"/>
    <w:rsid w:val="003D6053"/>
    <w:rsid w:val="003D7802"/>
    <w:rsid w:val="003D7950"/>
    <w:rsid w:val="003D7E5E"/>
    <w:rsid w:val="003E00E5"/>
    <w:rsid w:val="003E0D23"/>
    <w:rsid w:val="003E1BA9"/>
    <w:rsid w:val="003E358D"/>
    <w:rsid w:val="003E3BE8"/>
    <w:rsid w:val="003E7C02"/>
    <w:rsid w:val="003F0929"/>
    <w:rsid w:val="003F16A5"/>
    <w:rsid w:val="003F2F19"/>
    <w:rsid w:val="003F3D8A"/>
    <w:rsid w:val="003F49B6"/>
    <w:rsid w:val="003F4BB4"/>
    <w:rsid w:val="003F4EA3"/>
    <w:rsid w:val="003F5398"/>
    <w:rsid w:val="003F583B"/>
    <w:rsid w:val="004000E8"/>
    <w:rsid w:val="0040013B"/>
    <w:rsid w:val="00401A2B"/>
    <w:rsid w:val="0040241E"/>
    <w:rsid w:val="00403ED6"/>
    <w:rsid w:val="00407EC7"/>
    <w:rsid w:val="00410351"/>
    <w:rsid w:val="0041055E"/>
    <w:rsid w:val="0041075B"/>
    <w:rsid w:val="00410EA2"/>
    <w:rsid w:val="004112D9"/>
    <w:rsid w:val="00411636"/>
    <w:rsid w:val="00414D6D"/>
    <w:rsid w:val="0041606D"/>
    <w:rsid w:val="00420ACA"/>
    <w:rsid w:val="00421DF4"/>
    <w:rsid w:val="00421EA9"/>
    <w:rsid w:val="00422057"/>
    <w:rsid w:val="004222C6"/>
    <w:rsid w:val="00422F7A"/>
    <w:rsid w:val="004230D4"/>
    <w:rsid w:val="00423B44"/>
    <w:rsid w:val="004244BF"/>
    <w:rsid w:val="004255E8"/>
    <w:rsid w:val="00426447"/>
    <w:rsid w:val="00426653"/>
    <w:rsid w:val="0043167A"/>
    <w:rsid w:val="00431E79"/>
    <w:rsid w:val="00431F42"/>
    <w:rsid w:val="004320BB"/>
    <w:rsid w:val="00432307"/>
    <w:rsid w:val="00432D9A"/>
    <w:rsid w:val="00433182"/>
    <w:rsid w:val="00434687"/>
    <w:rsid w:val="004346EA"/>
    <w:rsid w:val="00435A42"/>
    <w:rsid w:val="00440171"/>
    <w:rsid w:val="00440DEC"/>
    <w:rsid w:val="004413AA"/>
    <w:rsid w:val="00443DC9"/>
    <w:rsid w:val="00444889"/>
    <w:rsid w:val="00444913"/>
    <w:rsid w:val="00444B2B"/>
    <w:rsid w:val="00444F49"/>
    <w:rsid w:val="00446174"/>
    <w:rsid w:val="004500A2"/>
    <w:rsid w:val="00450B6F"/>
    <w:rsid w:val="00451129"/>
    <w:rsid w:val="004516B1"/>
    <w:rsid w:val="0045371B"/>
    <w:rsid w:val="00453835"/>
    <w:rsid w:val="00453F5D"/>
    <w:rsid w:val="00454075"/>
    <w:rsid w:val="00455CE2"/>
    <w:rsid w:val="00455ED0"/>
    <w:rsid w:val="004569E8"/>
    <w:rsid w:val="00456AEB"/>
    <w:rsid w:val="00456B7E"/>
    <w:rsid w:val="00456E5C"/>
    <w:rsid w:val="00457899"/>
    <w:rsid w:val="00457AFA"/>
    <w:rsid w:val="00457FAB"/>
    <w:rsid w:val="004607CB"/>
    <w:rsid w:val="004608B0"/>
    <w:rsid w:val="00460D31"/>
    <w:rsid w:val="00461C70"/>
    <w:rsid w:val="00461EB8"/>
    <w:rsid w:val="004624BD"/>
    <w:rsid w:val="00462718"/>
    <w:rsid w:val="00463241"/>
    <w:rsid w:val="004634C7"/>
    <w:rsid w:val="00463B87"/>
    <w:rsid w:val="00463B8D"/>
    <w:rsid w:val="00463BDC"/>
    <w:rsid w:val="004640D5"/>
    <w:rsid w:val="004651AF"/>
    <w:rsid w:val="0046529D"/>
    <w:rsid w:val="004660E9"/>
    <w:rsid w:val="00467EF2"/>
    <w:rsid w:val="004703C8"/>
    <w:rsid w:val="00471B4F"/>
    <w:rsid w:val="00472985"/>
    <w:rsid w:val="00473363"/>
    <w:rsid w:val="00473F8A"/>
    <w:rsid w:val="00474002"/>
    <w:rsid w:val="00474D95"/>
    <w:rsid w:val="00475193"/>
    <w:rsid w:val="00476AE0"/>
    <w:rsid w:val="00477480"/>
    <w:rsid w:val="00481010"/>
    <w:rsid w:val="00481109"/>
    <w:rsid w:val="00482ED6"/>
    <w:rsid w:val="00484106"/>
    <w:rsid w:val="0048562D"/>
    <w:rsid w:val="00485E4B"/>
    <w:rsid w:val="0048631D"/>
    <w:rsid w:val="0048725B"/>
    <w:rsid w:val="00487E92"/>
    <w:rsid w:val="004904C2"/>
    <w:rsid w:val="004908E3"/>
    <w:rsid w:val="00492196"/>
    <w:rsid w:val="004921F5"/>
    <w:rsid w:val="00494BD9"/>
    <w:rsid w:val="0049538D"/>
    <w:rsid w:val="004954E7"/>
    <w:rsid w:val="00496488"/>
    <w:rsid w:val="00496513"/>
    <w:rsid w:val="004968F1"/>
    <w:rsid w:val="004971AC"/>
    <w:rsid w:val="00497825"/>
    <w:rsid w:val="004A0124"/>
    <w:rsid w:val="004A2AF3"/>
    <w:rsid w:val="004A3DA0"/>
    <w:rsid w:val="004A58F1"/>
    <w:rsid w:val="004A662F"/>
    <w:rsid w:val="004A7767"/>
    <w:rsid w:val="004A7A37"/>
    <w:rsid w:val="004B0AB7"/>
    <w:rsid w:val="004B0EE2"/>
    <w:rsid w:val="004B1742"/>
    <w:rsid w:val="004B3233"/>
    <w:rsid w:val="004B363B"/>
    <w:rsid w:val="004B40BE"/>
    <w:rsid w:val="004B4E9E"/>
    <w:rsid w:val="004B501A"/>
    <w:rsid w:val="004B6CF1"/>
    <w:rsid w:val="004B77FA"/>
    <w:rsid w:val="004C095C"/>
    <w:rsid w:val="004C1658"/>
    <w:rsid w:val="004C1BDE"/>
    <w:rsid w:val="004C3C40"/>
    <w:rsid w:val="004C3DE6"/>
    <w:rsid w:val="004C41C9"/>
    <w:rsid w:val="004C4D5B"/>
    <w:rsid w:val="004C6B32"/>
    <w:rsid w:val="004C7600"/>
    <w:rsid w:val="004C7639"/>
    <w:rsid w:val="004D1AD8"/>
    <w:rsid w:val="004D2FB9"/>
    <w:rsid w:val="004D4758"/>
    <w:rsid w:val="004D4A3C"/>
    <w:rsid w:val="004D5098"/>
    <w:rsid w:val="004D51BA"/>
    <w:rsid w:val="004D5610"/>
    <w:rsid w:val="004D5CC4"/>
    <w:rsid w:val="004E02F0"/>
    <w:rsid w:val="004E0725"/>
    <w:rsid w:val="004E1644"/>
    <w:rsid w:val="004E18BA"/>
    <w:rsid w:val="004E23DB"/>
    <w:rsid w:val="004E694F"/>
    <w:rsid w:val="004E7566"/>
    <w:rsid w:val="004E7D1A"/>
    <w:rsid w:val="004F0C0F"/>
    <w:rsid w:val="004F0EE2"/>
    <w:rsid w:val="004F174D"/>
    <w:rsid w:val="004F4368"/>
    <w:rsid w:val="004F4641"/>
    <w:rsid w:val="004F47AE"/>
    <w:rsid w:val="004F5020"/>
    <w:rsid w:val="004F56EB"/>
    <w:rsid w:val="004F5AE1"/>
    <w:rsid w:val="004F6323"/>
    <w:rsid w:val="004F679E"/>
    <w:rsid w:val="004F68C4"/>
    <w:rsid w:val="004F6AC6"/>
    <w:rsid w:val="004F7A95"/>
    <w:rsid w:val="004F7F75"/>
    <w:rsid w:val="0050087C"/>
    <w:rsid w:val="00501BA1"/>
    <w:rsid w:val="00502B69"/>
    <w:rsid w:val="00502F35"/>
    <w:rsid w:val="00502FBC"/>
    <w:rsid w:val="00504024"/>
    <w:rsid w:val="00504304"/>
    <w:rsid w:val="00504931"/>
    <w:rsid w:val="005050AF"/>
    <w:rsid w:val="0050559B"/>
    <w:rsid w:val="00506345"/>
    <w:rsid w:val="0050686B"/>
    <w:rsid w:val="00507748"/>
    <w:rsid w:val="0051175C"/>
    <w:rsid w:val="005119CB"/>
    <w:rsid w:val="00512044"/>
    <w:rsid w:val="005128B3"/>
    <w:rsid w:val="00513242"/>
    <w:rsid w:val="00513404"/>
    <w:rsid w:val="005151C1"/>
    <w:rsid w:val="00517999"/>
    <w:rsid w:val="005210D0"/>
    <w:rsid w:val="0052131E"/>
    <w:rsid w:val="00521B2E"/>
    <w:rsid w:val="00521DB6"/>
    <w:rsid w:val="00522850"/>
    <w:rsid w:val="005239C4"/>
    <w:rsid w:val="00523AB3"/>
    <w:rsid w:val="00525EFA"/>
    <w:rsid w:val="005275A0"/>
    <w:rsid w:val="00527BD9"/>
    <w:rsid w:val="00527CF7"/>
    <w:rsid w:val="00527E99"/>
    <w:rsid w:val="0053184F"/>
    <w:rsid w:val="00532EEA"/>
    <w:rsid w:val="00534300"/>
    <w:rsid w:val="00536CEE"/>
    <w:rsid w:val="0054006B"/>
    <w:rsid w:val="00540EB1"/>
    <w:rsid w:val="00541022"/>
    <w:rsid w:val="005414F6"/>
    <w:rsid w:val="00542577"/>
    <w:rsid w:val="00542BD6"/>
    <w:rsid w:val="005433F3"/>
    <w:rsid w:val="0054355E"/>
    <w:rsid w:val="0054522D"/>
    <w:rsid w:val="005454A5"/>
    <w:rsid w:val="0054665E"/>
    <w:rsid w:val="005503AF"/>
    <w:rsid w:val="005505CF"/>
    <w:rsid w:val="005506F8"/>
    <w:rsid w:val="00550964"/>
    <w:rsid w:val="005509F3"/>
    <w:rsid w:val="00550A4C"/>
    <w:rsid w:val="00551346"/>
    <w:rsid w:val="00551770"/>
    <w:rsid w:val="00551ADB"/>
    <w:rsid w:val="00551D67"/>
    <w:rsid w:val="0055308F"/>
    <w:rsid w:val="005533BF"/>
    <w:rsid w:val="00554DC9"/>
    <w:rsid w:val="0055590F"/>
    <w:rsid w:val="00555E72"/>
    <w:rsid w:val="00563ABB"/>
    <w:rsid w:val="00563F8E"/>
    <w:rsid w:val="00564262"/>
    <w:rsid w:val="00564B60"/>
    <w:rsid w:val="005654BE"/>
    <w:rsid w:val="00566790"/>
    <w:rsid w:val="0056731F"/>
    <w:rsid w:val="005705E2"/>
    <w:rsid w:val="0057079D"/>
    <w:rsid w:val="00571547"/>
    <w:rsid w:val="0057188A"/>
    <w:rsid w:val="00572F8D"/>
    <w:rsid w:val="00574F32"/>
    <w:rsid w:val="00576A92"/>
    <w:rsid w:val="00576DC2"/>
    <w:rsid w:val="00576F40"/>
    <w:rsid w:val="00577AFB"/>
    <w:rsid w:val="005806A6"/>
    <w:rsid w:val="00580944"/>
    <w:rsid w:val="00580AEA"/>
    <w:rsid w:val="00581032"/>
    <w:rsid w:val="00581FAB"/>
    <w:rsid w:val="00582121"/>
    <w:rsid w:val="005830B4"/>
    <w:rsid w:val="00583AE3"/>
    <w:rsid w:val="005847AA"/>
    <w:rsid w:val="005857D8"/>
    <w:rsid w:val="00585F4A"/>
    <w:rsid w:val="0058714A"/>
    <w:rsid w:val="00587775"/>
    <w:rsid w:val="00587EB0"/>
    <w:rsid w:val="00591BCF"/>
    <w:rsid w:val="00591C44"/>
    <w:rsid w:val="00591FDF"/>
    <w:rsid w:val="00593C45"/>
    <w:rsid w:val="00594D3F"/>
    <w:rsid w:val="00594E3E"/>
    <w:rsid w:val="00594EE1"/>
    <w:rsid w:val="00595534"/>
    <w:rsid w:val="0059573C"/>
    <w:rsid w:val="00595AAA"/>
    <w:rsid w:val="005967EE"/>
    <w:rsid w:val="00597567"/>
    <w:rsid w:val="00597BC0"/>
    <w:rsid w:val="005A01FD"/>
    <w:rsid w:val="005A1732"/>
    <w:rsid w:val="005A3ADA"/>
    <w:rsid w:val="005A3EE6"/>
    <w:rsid w:val="005A4268"/>
    <w:rsid w:val="005A50C3"/>
    <w:rsid w:val="005A55B6"/>
    <w:rsid w:val="005A6164"/>
    <w:rsid w:val="005A67C1"/>
    <w:rsid w:val="005A762F"/>
    <w:rsid w:val="005A7ACA"/>
    <w:rsid w:val="005B0315"/>
    <w:rsid w:val="005B1101"/>
    <w:rsid w:val="005B1405"/>
    <w:rsid w:val="005B212C"/>
    <w:rsid w:val="005B2F21"/>
    <w:rsid w:val="005B33FE"/>
    <w:rsid w:val="005B35AD"/>
    <w:rsid w:val="005B6096"/>
    <w:rsid w:val="005B7042"/>
    <w:rsid w:val="005C2552"/>
    <w:rsid w:val="005C332A"/>
    <w:rsid w:val="005C4AA4"/>
    <w:rsid w:val="005C5627"/>
    <w:rsid w:val="005C66A2"/>
    <w:rsid w:val="005C6D9A"/>
    <w:rsid w:val="005C7059"/>
    <w:rsid w:val="005D06C4"/>
    <w:rsid w:val="005D0E99"/>
    <w:rsid w:val="005D1BC4"/>
    <w:rsid w:val="005D1D94"/>
    <w:rsid w:val="005D1E25"/>
    <w:rsid w:val="005D2488"/>
    <w:rsid w:val="005D3576"/>
    <w:rsid w:val="005D42E9"/>
    <w:rsid w:val="005D6311"/>
    <w:rsid w:val="005D6A6F"/>
    <w:rsid w:val="005D6C3B"/>
    <w:rsid w:val="005D74C6"/>
    <w:rsid w:val="005D7FFE"/>
    <w:rsid w:val="005E0A42"/>
    <w:rsid w:val="005E0C5F"/>
    <w:rsid w:val="005E1F7E"/>
    <w:rsid w:val="005E230A"/>
    <w:rsid w:val="005E3464"/>
    <w:rsid w:val="005E37A1"/>
    <w:rsid w:val="005E3E4F"/>
    <w:rsid w:val="005E3E93"/>
    <w:rsid w:val="005E5B89"/>
    <w:rsid w:val="005E6402"/>
    <w:rsid w:val="005E6448"/>
    <w:rsid w:val="005E725D"/>
    <w:rsid w:val="005F37A2"/>
    <w:rsid w:val="005F386B"/>
    <w:rsid w:val="005F4398"/>
    <w:rsid w:val="005F4D39"/>
    <w:rsid w:val="005F5662"/>
    <w:rsid w:val="005F5F86"/>
    <w:rsid w:val="005F6353"/>
    <w:rsid w:val="005F68B9"/>
    <w:rsid w:val="005F6B11"/>
    <w:rsid w:val="005F74E3"/>
    <w:rsid w:val="00600F6A"/>
    <w:rsid w:val="006010BB"/>
    <w:rsid w:val="00601530"/>
    <w:rsid w:val="006016ED"/>
    <w:rsid w:val="006019A6"/>
    <w:rsid w:val="00601AE0"/>
    <w:rsid w:val="00601FFA"/>
    <w:rsid w:val="00602707"/>
    <w:rsid w:val="0060359C"/>
    <w:rsid w:val="00603A4D"/>
    <w:rsid w:val="006061A2"/>
    <w:rsid w:val="00606BBD"/>
    <w:rsid w:val="006074FB"/>
    <w:rsid w:val="0061035F"/>
    <w:rsid w:val="00611084"/>
    <w:rsid w:val="006119D0"/>
    <w:rsid w:val="00611F67"/>
    <w:rsid w:val="00612803"/>
    <w:rsid w:val="00612F86"/>
    <w:rsid w:val="00616445"/>
    <w:rsid w:val="00616A78"/>
    <w:rsid w:val="00616A99"/>
    <w:rsid w:val="00617D84"/>
    <w:rsid w:val="00620B79"/>
    <w:rsid w:val="00620C22"/>
    <w:rsid w:val="00621076"/>
    <w:rsid w:val="00621242"/>
    <w:rsid w:val="006215F2"/>
    <w:rsid w:val="00622D6A"/>
    <w:rsid w:val="00624017"/>
    <w:rsid w:val="00626669"/>
    <w:rsid w:val="00627609"/>
    <w:rsid w:val="00627C80"/>
    <w:rsid w:val="00633F93"/>
    <w:rsid w:val="006358C1"/>
    <w:rsid w:val="0063598A"/>
    <w:rsid w:val="006363DC"/>
    <w:rsid w:val="00636F07"/>
    <w:rsid w:val="00637A05"/>
    <w:rsid w:val="00637F30"/>
    <w:rsid w:val="00640F56"/>
    <w:rsid w:val="006411E6"/>
    <w:rsid w:val="00644ADE"/>
    <w:rsid w:val="006479F7"/>
    <w:rsid w:val="00647A13"/>
    <w:rsid w:val="00650002"/>
    <w:rsid w:val="0065139C"/>
    <w:rsid w:val="00651422"/>
    <w:rsid w:val="00651B0A"/>
    <w:rsid w:val="006538DF"/>
    <w:rsid w:val="00653EBA"/>
    <w:rsid w:val="00657BE0"/>
    <w:rsid w:val="006605D9"/>
    <w:rsid w:val="00660BA2"/>
    <w:rsid w:val="00660D10"/>
    <w:rsid w:val="006615C8"/>
    <w:rsid w:val="00661804"/>
    <w:rsid w:val="0066195B"/>
    <w:rsid w:val="00661B59"/>
    <w:rsid w:val="00662BA4"/>
    <w:rsid w:val="006631F9"/>
    <w:rsid w:val="006638E6"/>
    <w:rsid w:val="00665935"/>
    <w:rsid w:val="00665BD9"/>
    <w:rsid w:val="00666D4E"/>
    <w:rsid w:val="00667291"/>
    <w:rsid w:val="0067016F"/>
    <w:rsid w:val="00672AA9"/>
    <w:rsid w:val="00673373"/>
    <w:rsid w:val="00673519"/>
    <w:rsid w:val="006738A7"/>
    <w:rsid w:val="00673EB3"/>
    <w:rsid w:val="00674099"/>
    <w:rsid w:val="00674754"/>
    <w:rsid w:val="00675339"/>
    <w:rsid w:val="00675F8E"/>
    <w:rsid w:val="00676A0F"/>
    <w:rsid w:val="00677455"/>
    <w:rsid w:val="00680FA5"/>
    <w:rsid w:val="00683C15"/>
    <w:rsid w:val="00683CE9"/>
    <w:rsid w:val="00683E2D"/>
    <w:rsid w:val="00683F97"/>
    <w:rsid w:val="006841DA"/>
    <w:rsid w:val="00684388"/>
    <w:rsid w:val="00687BF3"/>
    <w:rsid w:val="00687CC0"/>
    <w:rsid w:val="00690039"/>
    <w:rsid w:val="006900D2"/>
    <w:rsid w:val="0069168F"/>
    <w:rsid w:val="00692366"/>
    <w:rsid w:val="00693A60"/>
    <w:rsid w:val="006948E1"/>
    <w:rsid w:val="00696FD0"/>
    <w:rsid w:val="00697433"/>
    <w:rsid w:val="006A18DF"/>
    <w:rsid w:val="006A1B9A"/>
    <w:rsid w:val="006A272E"/>
    <w:rsid w:val="006A2807"/>
    <w:rsid w:val="006A6D40"/>
    <w:rsid w:val="006A7AC3"/>
    <w:rsid w:val="006B08A8"/>
    <w:rsid w:val="006B0C18"/>
    <w:rsid w:val="006B12AE"/>
    <w:rsid w:val="006B13C2"/>
    <w:rsid w:val="006B29B7"/>
    <w:rsid w:val="006B358C"/>
    <w:rsid w:val="006B3BD3"/>
    <w:rsid w:val="006B4B2E"/>
    <w:rsid w:val="006B4E3C"/>
    <w:rsid w:val="006B55A1"/>
    <w:rsid w:val="006B5A7C"/>
    <w:rsid w:val="006B695A"/>
    <w:rsid w:val="006B7925"/>
    <w:rsid w:val="006C1C3F"/>
    <w:rsid w:val="006C359B"/>
    <w:rsid w:val="006C3689"/>
    <w:rsid w:val="006C49B8"/>
    <w:rsid w:val="006C5D60"/>
    <w:rsid w:val="006C6083"/>
    <w:rsid w:val="006C7052"/>
    <w:rsid w:val="006C716B"/>
    <w:rsid w:val="006C7304"/>
    <w:rsid w:val="006C7AB8"/>
    <w:rsid w:val="006D18FD"/>
    <w:rsid w:val="006D4162"/>
    <w:rsid w:val="006D4D85"/>
    <w:rsid w:val="006D5031"/>
    <w:rsid w:val="006D5426"/>
    <w:rsid w:val="006D5ABD"/>
    <w:rsid w:val="006D5F71"/>
    <w:rsid w:val="006D6192"/>
    <w:rsid w:val="006D6700"/>
    <w:rsid w:val="006D67DA"/>
    <w:rsid w:val="006D6A68"/>
    <w:rsid w:val="006D6B4F"/>
    <w:rsid w:val="006D7EDF"/>
    <w:rsid w:val="006E0787"/>
    <w:rsid w:val="006E2209"/>
    <w:rsid w:val="006E3166"/>
    <w:rsid w:val="006E3DD1"/>
    <w:rsid w:val="006E5206"/>
    <w:rsid w:val="006E529C"/>
    <w:rsid w:val="006E54E2"/>
    <w:rsid w:val="006E5E60"/>
    <w:rsid w:val="006E6D6D"/>
    <w:rsid w:val="006E735A"/>
    <w:rsid w:val="006F082C"/>
    <w:rsid w:val="006F2D87"/>
    <w:rsid w:val="006F4B04"/>
    <w:rsid w:val="007002EE"/>
    <w:rsid w:val="00700728"/>
    <w:rsid w:val="00701920"/>
    <w:rsid w:val="00701B88"/>
    <w:rsid w:val="007030F7"/>
    <w:rsid w:val="00703CC7"/>
    <w:rsid w:val="00703D97"/>
    <w:rsid w:val="007046E8"/>
    <w:rsid w:val="00704861"/>
    <w:rsid w:val="00704E05"/>
    <w:rsid w:val="00705298"/>
    <w:rsid w:val="00705839"/>
    <w:rsid w:val="007064AA"/>
    <w:rsid w:val="007068E9"/>
    <w:rsid w:val="00711DE8"/>
    <w:rsid w:val="00711E84"/>
    <w:rsid w:val="00712492"/>
    <w:rsid w:val="00713C4F"/>
    <w:rsid w:val="00714842"/>
    <w:rsid w:val="00714F82"/>
    <w:rsid w:val="0071507F"/>
    <w:rsid w:val="00715595"/>
    <w:rsid w:val="0071655C"/>
    <w:rsid w:val="00716967"/>
    <w:rsid w:val="007177B2"/>
    <w:rsid w:val="007201B5"/>
    <w:rsid w:val="007208CE"/>
    <w:rsid w:val="0072381F"/>
    <w:rsid w:val="007240CE"/>
    <w:rsid w:val="007269D5"/>
    <w:rsid w:val="00726B71"/>
    <w:rsid w:val="00726C82"/>
    <w:rsid w:val="007300ED"/>
    <w:rsid w:val="007302E2"/>
    <w:rsid w:val="00731667"/>
    <w:rsid w:val="007318D3"/>
    <w:rsid w:val="00732083"/>
    <w:rsid w:val="00732495"/>
    <w:rsid w:val="00732868"/>
    <w:rsid w:val="00734124"/>
    <w:rsid w:val="0073413C"/>
    <w:rsid w:val="0073424B"/>
    <w:rsid w:val="007367AF"/>
    <w:rsid w:val="007368DF"/>
    <w:rsid w:val="00736C2F"/>
    <w:rsid w:val="007377C6"/>
    <w:rsid w:val="00737B85"/>
    <w:rsid w:val="00737FE1"/>
    <w:rsid w:val="00740C7F"/>
    <w:rsid w:val="00740F2D"/>
    <w:rsid w:val="00742FB6"/>
    <w:rsid w:val="00743430"/>
    <w:rsid w:val="00744591"/>
    <w:rsid w:val="007464DB"/>
    <w:rsid w:val="007466F4"/>
    <w:rsid w:val="0074772C"/>
    <w:rsid w:val="0074799F"/>
    <w:rsid w:val="007504F4"/>
    <w:rsid w:val="00750B5D"/>
    <w:rsid w:val="00752947"/>
    <w:rsid w:val="00752B70"/>
    <w:rsid w:val="00760800"/>
    <w:rsid w:val="00760F49"/>
    <w:rsid w:val="00761E84"/>
    <w:rsid w:val="00762019"/>
    <w:rsid w:val="007620DE"/>
    <w:rsid w:val="007626B4"/>
    <w:rsid w:val="00763471"/>
    <w:rsid w:val="00764D1E"/>
    <w:rsid w:val="0076557B"/>
    <w:rsid w:val="00765E72"/>
    <w:rsid w:val="00765EDD"/>
    <w:rsid w:val="007668BC"/>
    <w:rsid w:val="00767731"/>
    <w:rsid w:val="007677BC"/>
    <w:rsid w:val="00770DA9"/>
    <w:rsid w:val="00771635"/>
    <w:rsid w:val="007719AD"/>
    <w:rsid w:val="007719DA"/>
    <w:rsid w:val="00771D09"/>
    <w:rsid w:val="00772EB4"/>
    <w:rsid w:val="00773948"/>
    <w:rsid w:val="00775002"/>
    <w:rsid w:val="00775EFA"/>
    <w:rsid w:val="00776250"/>
    <w:rsid w:val="00776A3F"/>
    <w:rsid w:val="00780FA6"/>
    <w:rsid w:val="00781751"/>
    <w:rsid w:val="00781976"/>
    <w:rsid w:val="00782B33"/>
    <w:rsid w:val="00782B5E"/>
    <w:rsid w:val="007831E5"/>
    <w:rsid w:val="007839C0"/>
    <w:rsid w:val="00783F87"/>
    <w:rsid w:val="0078439C"/>
    <w:rsid w:val="00784B34"/>
    <w:rsid w:val="00784D95"/>
    <w:rsid w:val="00786085"/>
    <w:rsid w:val="007874D7"/>
    <w:rsid w:val="00791219"/>
    <w:rsid w:val="00791EF8"/>
    <w:rsid w:val="00792A82"/>
    <w:rsid w:val="00793680"/>
    <w:rsid w:val="00793F80"/>
    <w:rsid w:val="00794E68"/>
    <w:rsid w:val="00794E80"/>
    <w:rsid w:val="007973EA"/>
    <w:rsid w:val="00797C6D"/>
    <w:rsid w:val="007A06FF"/>
    <w:rsid w:val="007A0CD7"/>
    <w:rsid w:val="007A0CFD"/>
    <w:rsid w:val="007A0F80"/>
    <w:rsid w:val="007A17A9"/>
    <w:rsid w:val="007A219D"/>
    <w:rsid w:val="007A22C5"/>
    <w:rsid w:val="007A25BC"/>
    <w:rsid w:val="007A3303"/>
    <w:rsid w:val="007A3497"/>
    <w:rsid w:val="007A3D36"/>
    <w:rsid w:val="007A4CB9"/>
    <w:rsid w:val="007A64CE"/>
    <w:rsid w:val="007A772C"/>
    <w:rsid w:val="007B04E3"/>
    <w:rsid w:val="007B2537"/>
    <w:rsid w:val="007B2E3D"/>
    <w:rsid w:val="007B3F15"/>
    <w:rsid w:val="007B508D"/>
    <w:rsid w:val="007B525F"/>
    <w:rsid w:val="007B5979"/>
    <w:rsid w:val="007B7032"/>
    <w:rsid w:val="007C0131"/>
    <w:rsid w:val="007C0A10"/>
    <w:rsid w:val="007C1505"/>
    <w:rsid w:val="007C1673"/>
    <w:rsid w:val="007C1ED3"/>
    <w:rsid w:val="007C2022"/>
    <w:rsid w:val="007C214F"/>
    <w:rsid w:val="007C263B"/>
    <w:rsid w:val="007C3B9E"/>
    <w:rsid w:val="007C3CAD"/>
    <w:rsid w:val="007C63B9"/>
    <w:rsid w:val="007C6AC3"/>
    <w:rsid w:val="007C6B4E"/>
    <w:rsid w:val="007C79EF"/>
    <w:rsid w:val="007D00DA"/>
    <w:rsid w:val="007D1D0B"/>
    <w:rsid w:val="007D1D9C"/>
    <w:rsid w:val="007D1F60"/>
    <w:rsid w:val="007D2165"/>
    <w:rsid w:val="007D2758"/>
    <w:rsid w:val="007D40C4"/>
    <w:rsid w:val="007D6EBA"/>
    <w:rsid w:val="007D726B"/>
    <w:rsid w:val="007D76A1"/>
    <w:rsid w:val="007E0896"/>
    <w:rsid w:val="007E2392"/>
    <w:rsid w:val="007E2A19"/>
    <w:rsid w:val="007E35CE"/>
    <w:rsid w:val="007E4663"/>
    <w:rsid w:val="007E5861"/>
    <w:rsid w:val="007E6629"/>
    <w:rsid w:val="007E6A3C"/>
    <w:rsid w:val="007F0F94"/>
    <w:rsid w:val="007F1516"/>
    <w:rsid w:val="007F219F"/>
    <w:rsid w:val="007F2A12"/>
    <w:rsid w:val="007F2C3D"/>
    <w:rsid w:val="007F3C2A"/>
    <w:rsid w:val="007F4B8D"/>
    <w:rsid w:val="007F5947"/>
    <w:rsid w:val="007F6509"/>
    <w:rsid w:val="007F733C"/>
    <w:rsid w:val="007F752B"/>
    <w:rsid w:val="00800499"/>
    <w:rsid w:val="00800DD9"/>
    <w:rsid w:val="0080138E"/>
    <w:rsid w:val="00802085"/>
    <w:rsid w:val="00802437"/>
    <w:rsid w:val="008036AD"/>
    <w:rsid w:val="00803871"/>
    <w:rsid w:val="00803A44"/>
    <w:rsid w:val="00803AED"/>
    <w:rsid w:val="00803D3E"/>
    <w:rsid w:val="00805301"/>
    <w:rsid w:val="00805DA0"/>
    <w:rsid w:val="0080616B"/>
    <w:rsid w:val="00810C14"/>
    <w:rsid w:val="008120E0"/>
    <w:rsid w:val="008123A6"/>
    <w:rsid w:val="0081308E"/>
    <w:rsid w:val="0081318C"/>
    <w:rsid w:val="008131E5"/>
    <w:rsid w:val="00814088"/>
    <w:rsid w:val="008143E2"/>
    <w:rsid w:val="00814509"/>
    <w:rsid w:val="00815240"/>
    <w:rsid w:val="008160BF"/>
    <w:rsid w:val="00816268"/>
    <w:rsid w:val="008164BF"/>
    <w:rsid w:val="00816B79"/>
    <w:rsid w:val="00817292"/>
    <w:rsid w:val="00817544"/>
    <w:rsid w:val="0081788C"/>
    <w:rsid w:val="0082067B"/>
    <w:rsid w:val="0082078F"/>
    <w:rsid w:val="0082331B"/>
    <w:rsid w:val="00823614"/>
    <w:rsid w:val="00823935"/>
    <w:rsid w:val="0082458E"/>
    <w:rsid w:val="00825664"/>
    <w:rsid w:val="00825C5B"/>
    <w:rsid w:val="00825C5C"/>
    <w:rsid w:val="00826FD5"/>
    <w:rsid w:val="0082735D"/>
    <w:rsid w:val="0083052D"/>
    <w:rsid w:val="008338B5"/>
    <w:rsid w:val="008359A7"/>
    <w:rsid w:val="00835BE1"/>
    <w:rsid w:val="00836021"/>
    <w:rsid w:val="00836815"/>
    <w:rsid w:val="00837732"/>
    <w:rsid w:val="008404B1"/>
    <w:rsid w:val="008413DE"/>
    <w:rsid w:val="00841AFD"/>
    <w:rsid w:val="00844E0E"/>
    <w:rsid w:val="00845AAB"/>
    <w:rsid w:val="00845FF6"/>
    <w:rsid w:val="00846BFA"/>
    <w:rsid w:val="008476D2"/>
    <w:rsid w:val="00847A18"/>
    <w:rsid w:val="0085040F"/>
    <w:rsid w:val="00852117"/>
    <w:rsid w:val="008524A6"/>
    <w:rsid w:val="00852A3D"/>
    <w:rsid w:val="00853E4F"/>
    <w:rsid w:val="00854EBC"/>
    <w:rsid w:val="00856A02"/>
    <w:rsid w:val="00856D21"/>
    <w:rsid w:val="00857939"/>
    <w:rsid w:val="0085799D"/>
    <w:rsid w:val="00857C60"/>
    <w:rsid w:val="00857D8C"/>
    <w:rsid w:val="00860A30"/>
    <w:rsid w:val="00860AA3"/>
    <w:rsid w:val="00862846"/>
    <w:rsid w:val="0086312B"/>
    <w:rsid w:val="00863774"/>
    <w:rsid w:val="00864F85"/>
    <w:rsid w:val="00866C88"/>
    <w:rsid w:val="00867099"/>
    <w:rsid w:val="00867C01"/>
    <w:rsid w:val="00871ED7"/>
    <w:rsid w:val="00872415"/>
    <w:rsid w:val="00872E18"/>
    <w:rsid w:val="008732EF"/>
    <w:rsid w:val="00873BA1"/>
    <w:rsid w:val="008748A0"/>
    <w:rsid w:val="00875193"/>
    <w:rsid w:val="00876A13"/>
    <w:rsid w:val="00877467"/>
    <w:rsid w:val="008824FD"/>
    <w:rsid w:val="008827A9"/>
    <w:rsid w:val="00883419"/>
    <w:rsid w:val="00883470"/>
    <w:rsid w:val="00884A1E"/>
    <w:rsid w:val="00885937"/>
    <w:rsid w:val="0088780E"/>
    <w:rsid w:val="0089071E"/>
    <w:rsid w:val="0089087B"/>
    <w:rsid w:val="00891184"/>
    <w:rsid w:val="0089291E"/>
    <w:rsid w:val="008930F4"/>
    <w:rsid w:val="008930FC"/>
    <w:rsid w:val="00895CFA"/>
    <w:rsid w:val="008962CC"/>
    <w:rsid w:val="00896E8C"/>
    <w:rsid w:val="008A0605"/>
    <w:rsid w:val="008A23DA"/>
    <w:rsid w:val="008A350D"/>
    <w:rsid w:val="008A3A1A"/>
    <w:rsid w:val="008A3E90"/>
    <w:rsid w:val="008A4EF7"/>
    <w:rsid w:val="008A4FDB"/>
    <w:rsid w:val="008A5C1E"/>
    <w:rsid w:val="008A6235"/>
    <w:rsid w:val="008B00B4"/>
    <w:rsid w:val="008B0F9C"/>
    <w:rsid w:val="008B10C4"/>
    <w:rsid w:val="008B1607"/>
    <w:rsid w:val="008B161C"/>
    <w:rsid w:val="008B1AC8"/>
    <w:rsid w:val="008B3262"/>
    <w:rsid w:val="008B4BCB"/>
    <w:rsid w:val="008B5027"/>
    <w:rsid w:val="008B670C"/>
    <w:rsid w:val="008B74C7"/>
    <w:rsid w:val="008B7566"/>
    <w:rsid w:val="008C0C97"/>
    <w:rsid w:val="008C17CD"/>
    <w:rsid w:val="008C1EF6"/>
    <w:rsid w:val="008C2E81"/>
    <w:rsid w:val="008C496D"/>
    <w:rsid w:val="008C4DB8"/>
    <w:rsid w:val="008C64FF"/>
    <w:rsid w:val="008C6C74"/>
    <w:rsid w:val="008C6EE6"/>
    <w:rsid w:val="008C6FCC"/>
    <w:rsid w:val="008D0DBB"/>
    <w:rsid w:val="008D15BF"/>
    <w:rsid w:val="008D261F"/>
    <w:rsid w:val="008D29FA"/>
    <w:rsid w:val="008D2A00"/>
    <w:rsid w:val="008D3538"/>
    <w:rsid w:val="008D59DA"/>
    <w:rsid w:val="008D73CB"/>
    <w:rsid w:val="008D7DBE"/>
    <w:rsid w:val="008E03EC"/>
    <w:rsid w:val="008E0CC6"/>
    <w:rsid w:val="008E3101"/>
    <w:rsid w:val="008E3D11"/>
    <w:rsid w:val="008E52EF"/>
    <w:rsid w:val="008E6CC4"/>
    <w:rsid w:val="008E7EB0"/>
    <w:rsid w:val="008F0679"/>
    <w:rsid w:val="008F0B1B"/>
    <w:rsid w:val="008F3123"/>
    <w:rsid w:val="008F3ABE"/>
    <w:rsid w:val="008F3F36"/>
    <w:rsid w:val="008F3F84"/>
    <w:rsid w:val="008F4233"/>
    <w:rsid w:val="008F49B1"/>
    <w:rsid w:val="008F59EF"/>
    <w:rsid w:val="008F5CC4"/>
    <w:rsid w:val="008F6463"/>
    <w:rsid w:val="008F7272"/>
    <w:rsid w:val="008F75CD"/>
    <w:rsid w:val="008F799B"/>
    <w:rsid w:val="008F7D9F"/>
    <w:rsid w:val="009013E0"/>
    <w:rsid w:val="009024CD"/>
    <w:rsid w:val="0090297A"/>
    <w:rsid w:val="009031B6"/>
    <w:rsid w:val="009032ED"/>
    <w:rsid w:val="0090336D"/>
    <w:rsid w:val="009054CA"/>
    <w:rsid w:val="00905F38"/>
    <w:rsid w:val="00905FAF"/>
    <w:rsid w:val="00906A9A"/>
    <w:rsid w:val="00907B5F"/>
    <w:rsid w:val="00911138"/>
    <w:rsid w:val="00911E6C"/>
    <w:rsid w:val="0091437B"/>
    <w:rsid w:val="00915B7A"/>
    <w:rsid w:val="00916748"/>
    <w:rsid w:val="00916EC6"/>
    <w:rsid w:val="00917B86"/>
    <w:rsid w:val="0092043B"/>
    <w:rsid w:val="00921129"/>
    <w:rsid w:val="00921D2D"/>
    <w:rsid w:val="009224E4"/>
    <w:rsid w:val="00922EF7"/>
    <w:rsid w:val="00925387"/>
    <w:rsid w:val="00925A33"/>
    <w:rsid w:val="009265C6"/>
    <w:rsid w:val="00930B4F"/>
    <w:rsid w:val="00931037"/>
    <w:rsid w:val="00931099"/>
    <w:rsid w:val="00931AF6"/>
    <w:rsid w:val="00931FC3"/>
    <w:rsid w:val="009320EC"/>
    <w:rsid w:val="00932117"/>
    <w:rsid w:val="00932264"/>
    <w:rsid w:val="00932471"/>
    <w:rsid w:val="00932EE1"/>
    <w:rsid w:val="009334EF"/>
    <w:rsid w:val="00933CBA"/>
    <w:rsid w:val="00933FC6"/>
    <w:rsid w:val="00934545"/>
    <w:rsid w:val="00934DDD"/>
    <w:rsid w:val="00935F19"/>
    <w:rsid w:val="00936989"/>
    <w:rsid w:val="009374E0"/>
    <w:rsid w:val="00937AFB"/>
    <w:rsid w:val="00937D73"/>
    <w:rsid w:val="009407F4"/>
    <w:rsid w:val="00940869"/>
    <w:rsid w:val="00940D55"/>
    <w:rsid w:val="00940D7D"/>
    <w:rsid w:val="0094108B"/>
    <w:rsid w:val="00941C1C"/>
    <w:rsid w:val="00942AD7"/>
    <w:rsid w:val="00943420"/>
    <w:rsid w:val="00944E52"/>
    <w:rsid w:val="009454D6"/>
    <w:rsid w:val="0094568D"/>
    <w:rsid w:val="00945F44"/>
    <w:rsid w:val="00947A84"/>
    <w:rsid w:val="00950343"/>
    <w:rsid w:val="00950F72"/>
    <w:rsid w:val="0095112C"/>
    <w:rsid w:val="00953226"/>
    <w:rsid w:val="00953959"/>
    <w:rsid w:val="00953D94"/>
    <w:rsid w:val="00955922"/>
    <w:rsid w:val="00955DAD"/>
    <w:rsid w:val="00955E6B"/>
    <w:rsid w:val="00957A9D"/>
    <w:rsid w:val="00957E55"/>
    <w:rsid w:val="00960434"/>
    <w:rsid w:val="00960955"/>
    <w:rsid w:val="00961C4C"/>
    <w:rsid w:val="00962743"/>
    <w:rsid w:val="00965397"/>
    <w:rsid w:val="00966586"/>
    <w:rsid w:val="00970456"/>
    <w:rsid w:val="00971B09"/>
    <w:rsid w:val="00971FAA"/>
    <w:rsid w:val="00973D6C"/>
    <w:rsid w:val="009745EB"/>
    <w:rsid w:val="00975396"/>
    <w:rsid w:val="0097785C"/>
    <w:rsid w:val="009812B3"/>
    <w:rsid w:val="00982C8A"/>
    <w:rsid w:val="00983B98"/>
    <w:rsid w:val="00983CAA"/>
    <w:rsid w:val="009849AE"/>
    <w:rsid w:val="00985039"/>
    <w:rsid w:val="00985A8D"/>
    <w:rsid w:val="00986319"/>
    <w:rsid w:val="00987317"/>
    <w:rsid w:val="00987B69"/>
    <w:rsid w:val="0099061C"/>
    <w:rsid w:val="009907F6"/>
    <w:rsid w:val="0099133B"/>
    <w:rsid w:val="009913DF"/>
    <w:rsid w:val="009973D5"/>
    <w:rsid w:val="009974D8"/>
    <w:rsid w:val="009A0757"/>
    <w:rsid w:val="009A44E8"/>
    <w:rsid w:val="009A48C5"/>
    <w:rsid w:val="009A4BC5"/>
    <w:rsid w:val="009A4C54"/>
    <w:rsid w:val="009A5369"/>
    <w:rsid w:val="009A71F5"/>
    <w:rsid w:val="009A71F6"/>
    <w:rsid w:val="009A7474"/>
    <w:rsid w:val="009A751C"/>
    <w:rsid w:val="009A782A"/>
    <w:rsid w:val="009B03B5"/>
    <w:rsid w:val="009B09F0"/>
    <w:rsid w:val="009B0A0D"/>
    <w:rsid w:val="009B1673"/>
    <w:rsid w:val="009B2102"/>
    <w:rsid w:val="009B2360"/>
    <w:rsid w:val="009B242F"/>
    <w:rsid w:val="009B256E"/>
    <w:rsid w:val="009B49E1"/>
    <w:rsid w:val="009B5109"/>
    <w:rsid w:val="009B6474"/>
    <w:rsid w:val="009B77E9"/>
    <w:rsid w:val="009C04D8"/>
    <w:rsid w:val="009C0556"/>
    <w:rsid w:val="009C29CA"/>
    <w:rsid w:val="009C357C"/>
    <w:rsid w:val="009C45DA"/>
    <w:rsid w:val="009C4BF4"/>
    <w:rsid w:val="009C5CF2"/>
    <w:rsid w:val="009C5D63"/>
    <w:rsid w:val="009C7751"/>
    <w:rsid w:val="009C7AE8"/>
    <w:rsid w:val="009D00AA"/>
    <w:rsid w:val="009D04E5"/>
    <w:rsid w:val="009D1A61"/>
    <w:rsid w:val="009D1C1E"/>
    <w:rsid w:val="009D1CCE"/>
    <w:rsid w:val="009D2030"/>
    <w:rsid w:val="009D344A"/>
    <w:rsid w:val="009D3BC1"/>
    <w:rsid w:val="009D4EA2"/>
    <w:rsid w:val="009D5D11"/>
    <w:rsid w:val="009D5EC6"/>
    <w:rsid w:val="009D6DA2"/>
    <w:rsid w:val="009E0108"/>
    <w:rsid w:val="009E0412"/>
    <w:rsid w:val="009E1F6C"/>
    <w:rsid w:val="009E329B"/>
    <w:rsid w:val="009E3EE0"/>
    <w:rsid w:val="009E5664"/>
    <w:rsid w:val="009E6BE7"/>
    <w:rsid w:val="009F20EF"/>
    <w:rsid w:val="009F2950"/>
    <w:rsid w:val="009F2C7B"/>
    <w:rsid w:val="009F3F8A"/>
    <w:rsid w:val="009F4938"/>
    <w:rsid w:val="009F572D"/>
    <w:rsid w:val="009F6259"/>
    <w:rsid w:val="009F65E6"/>
    <w:rsid w:val="00A001BD"/>
    <w:rsid w:val="00A00ADF"/>
    <w:rsid w:val="00A00D99"/>
    <w:rsid w:val="00A047BA"/>
    <w:rsid w:val="00A04B21"/>
    <w:rsid w:val="00A05A55"/>
    <w:rsid w:val="00A06D2F"/>
    <w:rsid w:val="00A06EF4"/>
    <w:rsid w:val="00A106EB"/>
    <w:rsid w:val="00A13CE5"/>
    <w:rsid w:val="00A13E2B"/>
    <w:rsid w:val="00A144F8"/>
    <w:rsid w:val="00A15397"/>
    <w:rsid w:val="00A15742"/>
    <w:rsid w:val="00A15D4F"/>
    <w:rsid w:val="00A172E7"/>
    <w:rsid w:val="00A177A3"/>
    <w:rsid w:val="00A20708"/>
    <w:rsid w:val="00A22024"/>
    <w:rsid w:val="00A222DD"/>
    <w:rsid w:val="00A224F3"/>
    <w:rsid w:val="00A22525"/>
    <w:rsid w:val="00A22B91"/>
    <w:rsid w:val="00A2385D"/>
    <w:rsid w:val="00A24DD3"/>
    <w:rsid w:val="00A260E5"/>
    <w:rsid w:val="00A26A9D"/>
    <w:rsid w:val="00A26EF9"/>
    <w:rsid w:val="00A2775F"/>
    <w:rsid w:val="00A301EA"/>
    <w:rsid w:val="00A314D0"/>
    <w:rsid w:val="00A31AA7"/>
    <w:rsid w:val="00A3211C"/>
    <w:rsid w:val="00A324ED"/>
    <w:rsid w:val="00A32CAD"/>
    <w:rsid w:val="00A33170"/>
    <w:rsid w:val="00A341BF"/>
    <w:rsid w:val="00A3592C"/>
    <w:rsid w:val="00A35A9F"/>
    <w:rsid w:val="00A36C5F"/>
    <w:rsid w:val="00A36E15"/>
    <w:rsid w:val="00A36E3E"/>
    <w:rsid w:val="00A373C1"/>
    <w:rsid w:val="00A375E9"/>
    <w:rsid w:val="00A37786"/>
    <w:rsid w:val="00A4058C"/>
    <w:rsid w:val="00A4060F"/>
    <w:rsid w:val="00A4233D"/>
    <w:rsid w:val="00A43267"/>
    <w:rsid w:val="00A45FF1"/>
    <w:rsid w:val="00A4696A"/>
    <w:rsid w:val="00A51676"/>
    <w:rsid w:val="00A51E4C"/>
    <w:rsid w:val="00A52529"/>
    <w:rsid w:val="00A525D1"/>
    <w:rsid w:val="00A53FF8"/>
    <w:rsid w:val="00A5496E"/>
    <w:rsid w:val="00A54DF0"/>
    <w:rsid w:val="00A5576C"/>
    <w:rsid w:val="00A55E0F"/>
    <w:rsid w:val="00A5627E"/>
    <w:rsid w:val="00A5668B"/>
    <w:rsid w:val="00A602A8"/>
    <w:rsid w:val="00A6035E"/>
    <w:rsid w:val="00A6182C"/>
    <w:rsid w:val="00A61A81"/>
    <w:rsid w:val="00A63DC5"/>
    <w:rsid w:val="00A642E5"/>
    <w:rsid w:val="00A64D1F"/>
    <w:rsid w:val="00A64D56"/>
    <w:rsid w:val="00A7009C"/>
    <w:rsid w:val="00A726AB"/>
    <w:rsid w:val="00A741A7"/>
    <w:rsid w:val="00A74769"/>
    <w:rsid w:val="00A75A83"/>
    <w:rsid w:val="00A77084"/>
    <w:rsid w:val="00A770AD"/>
    <w:rsid w:val="00A77196"/>
    <w:rsid w:val="00A77701"/>
    <w:rsid w:val="00A77D07"/>
    <w:rsid w:val="00A808C8"/>
    <w:rsid w:val="00A90E19"/>
    <w:rsid w:val="00A92D19"/>
    <w:rsid w:val="00A93DFA"/>
    <w:rsid w:val="00A954AE"/>
    <w:rsid w:val="00A95893"/>
    <w:rsid w:val="00A95D5C"/>
    <w:rsid w:val="00A95EEA"/>
    <w:rsid w:val="00A96903"/>
    <w:rsid w:val="00A96F89"/>
    <w:rsid w:val="00AA00A2"/>
    <w:rsid w:val="00AA1398"/>
    <w:rsid w:val="00AA1BF2"/>
    <w:rsid w:val="00AA1ED1"/>
    <w:rsid w:val="00AA219A"/>
    <w:rsid w:val="00AA259D"/>
    <w:rsid w:val="00AA38A5"/>
    <w:rsid w:val="00AA4055"/>
    <w:rsid w:val="00AA5255"/>
    <w:rsid w:val="00AA5603"/>
    <w:rsid w:val="00AA67ED"/>
    <w:rsid w:val="00AA74C1"/>
    <w:rsid w:val="00AA7C6D"/>
    <w:rsid w:val="00AB1697"/>
    <w:rsid w:val="00AB2133"/>
    <w:rsid w:val="00AB2CE7"/>
    <w:rsid w:val="00AB465F"/>
    <w:rsid w:val="00AB6A25"/>
    <w:rsid w:val="00AB6B40"/>
    <w:rsid w:val="00AB770D"/>
    <w:rsid w:val="00AB77F6"/>
    <w:rsid w:val="00AC092B"/>
    <w:rsid w:val="00AC1118"/>
    <w:rsid w:val="00AC2543"/>
    <w:rsid w:val="00AC2CA3"/>
    <w:rsid w:val="00AC30A5"/>
    <w:rsid w:val="00AC36C5"/>
    <w:rsid w:val="00AC69CA"/>
    <w:rsid w:val="00AC733E"/>
    <w:rsid w:val="00AD01C5"/>
    <w:rsid w:val="00AD370B"/>
    <w:rsid w:val="00AD3E4A"/>
    <w:rsid w:val="00AD4322"/>
    <w:rsid w:val="00AD459D"/>
    <w:rsid w:val="00AD4ECA"/>
    <w:rsid w:val="00AD7852"/>
    <w:rsid w:val="00AE0705"/>
    <w:rsid w:val="00AE0DED"/>
    <w:rsid w:val="00AE2BF4"/>
    <w:rsid w:val="00AE5A4E"/>
    <w:rsid w:val="00AE6DE1"/>
    <w:rsid w:val="00AF02E0"/>
    <w:rsid w:val="00AF09C4"/>
    <w:rsid w:val="00AF46B4"/>
    <w:rsid w:val="00AF4E06"/>
    <w:rsid w:val="00AF4EBA"/>
    <w:rsid w:val="00AF4F79"/>
    <w:rsid w:val="00AF50AA"/>
    <w:rsid w:val="00AF5A0C"/>
    <w:rsid w:val="00AF65C3"/>
    <w:rsid w:val="00AF7273"/>
    <w:rsid w:val="00AF7C93"/>
    <w:rsid w:val="00B00613"/>
    <w:rsid w:val="00B00799"/>
    <w:rsid w:val="00B00D2F"/>
    <w:rsid w:val="00B00FC2"/>
    <w:rsid w:val="00B016BA"/>
    <w:rsid w:val="00B02C78"/>
    <w:rsid w:val="00B04C12"/>
    <w:rsid w:val="00B053E2"/>
    <w:rsid w:val="00B05510"/>
    <w:rsid w:val="00B063B7"/>
    <w:rsid w:val="00B064EB"/>
    <w:rsid w:val="00B06688"/>
    <w:rsid w:val="00B072C1"/>
    <w:rsid w:val="00B07452"/>
    <w:rsid w:val="00B10373"/>
    <w:rsid w:val="00B110D7"/>
    <w:rsid w:val="00B12610"/>
    <w:rsid w:val="00B1276A"/>
    <w:rsid w:val="00B12C39"/>
    <w:rsid w:val="00B133A9"/>
    <w:rsid w:val="00B13ACE"/>
    <w:rsid w:val="00B159B6"/>
    <w:rsid w:val="00B172F0"/>
    <w:rsid w:val="00B17B1C"/>
    <w:rsid w:val="00B20867"/>
    <w:rsid w:val="00B21D38"/>
    <w:rsid w:val="00B2300D"/>
    <w:rsid w:val="00B2365C"/>
    <w:rsid w:val="00B23824"/>
    <w:rsid w:val="00B25391"/>
    <w:rsid w:val="00B25952"/>
    <w:rsid w:val="00B26295"/>
    <w:rsid w:val="00B3016D"/>
    <w:rsid w:val="00B322A4"/>
    <w:rsid w:val="00B32789"/>
    <w:rsid w:val="00B3293D"/>
    <w:rsid w:val="00B333F4"/>
    <w:rsid w:val="00B343DF"/>
    <w:rsid w:val="00B3465D"/>
    <w:rsid w:val="00B34B3D"/>
    <w:rsid w:val="00B34B7F"/>
    <w:rsid w:val="00B358A4"/>
    <w:rsid w:val="00B35B48"/>
    <w:rsid w:val="00B36AAF"/>
    <w:rsid w:val="00B36E57"/>
    <w:rsid w:val="00B40606"/>
    <w:rsid w:val="00B40FA5"/>
    <w:rsid w:val="00B45271"/>
    <w:rsid w:val="00B45BF0"/>
    <w:rsid w:val="00B467B2"/>
    <w:rsid w:val="00B468C9"/>
    <w:rsid w:val="00B47866"/>
    <w:rsid w:val="00B5009E"/>
    <w:rsid w:val="00B52577"/>
    <w:rsid w:val="00B54DA8"/>
    <w:rsid w:val="00B5561F"/>
    <w:rsid w:val="00B56C71"/>
    <w:rsid w:val="00B61257"/>
    <w:rsid w:val="00B62285"/>
    <w:rsid w:val="00B62893"/>
    <w:rsid w:val="00B636E0"/>
    <w:rsid w:val="00B6376F"/>
    <w:rsid w:val="00B63C35"/>
    <w:rsid w:val="00B65EC1"/>
    <w:rsid w:val="00B664C2"/>
    <w:rsid w:val="00B66A06"/>
    <w:rsid w:val="00B67213"/>
    <w:rsid w:val="00B67A4D"/>
    <w:rsid w:val="00B711C8"/>
    <w:rsid w:val="00B718A5"/>
    <w:rsid w:val="00B71EAA"/>
    <w:rsid w:val="00B747ED"/>
    <w:rsid w:val="00B74BFD"/>
    <w:rsid w:val="00B76533"/>
    <w:rsid w:val="00B76614"/>
    <w:rsid w:val="00B769E5"/>
    <w:rsid w:val="00B77C8C"/>
    <w:rsid w:val="00B8044B"/>
    <w:rsid w:val="00B80E7F"/>
    <w:rsid w:val="00B81C7C"/>
    <w:rsid w:val="00B8216D"/>
    <w:rsid w:val="00B82DF0"/>
    <w:rsid w:val="00B833B6"/>
    <w:rsid w:val="00B8368A"/>
    <w:rsid w:val="00B838B1"/>
    <w:rsid w:val="00B83AAE"/>
    <w:rsid w:val="00B84600"/>
    <w:rsid w:val="00B85145"/>
    <w:rsid w:val="00B853E6"/>
    <w:rsid w:val="00B85BE6"/>
    <w:rsid w:val="00B85CE8"/>
    <w:rsid w:val="00B87187"/>
    <w:rsid w:val="00B87534"/>
    <w:rsid w:val="00B904D3"/>
    <w:rsid w:val="00B90D3E"/>
    <w:rsid w:val="00B90D86"/>
    <w:rsid w:val="00B9223F"/>
    <w:rsid w:val="00B93020"/>
    <w:rsid w:val="00B930E3"/>
    <w:rsid w:val="00B934DA"/>
    <w:rsid w:val="00B93689"/>
    <w:rsid w:val="00B93989"/>
    <w:rsid w:val="00B93DD0"/>
    <w:rsid w:val="00B96DDE"/>
    <w:rsid w:val="00B96E48"/>
    <w:rsid w:val="00B97A3B"/>
    <w:rsid w:val="00BA03FB"/>
    <w:rsid w:val="00BA0E34"/>
    <w:rsid w:val="00BA121A"/>
    <w:rsid w:val="00BA14DE"/>
    <w:rsid w:val="00BA212C"/>
    <w:rsid w:val="00BA2CE3"/>
    <w:rsid w:val="00BA4627"/>
    <w:rsid w:val="00BA476E"/>
    <w:rsid w:val="00BA53A3"/>
    <w:rsid w:val="00BA5DB2"/>
    <w:rsid w:val="00BA62DD"/>
    <w:rsid w:val="00BA6382"/>
    <w:rsid w:val="00BA6E5E"/>
    <w:rsid w:val="00BA7A03"/>
    <w:rsid w:val="00BA7AC6"/>
    <w:rsid w:val="00BB007B"/>
    <w:rsid w:val="00BB0C44"/>
    <w:rsid w:val="00BB2052"/>
    <w:rsid w:val="00BB4037"/>
    <w:rsid w:val="00BB50C6"/>
    <w:rsid w:val="00BB5D2F"/>
    <w:rsid w:val="00BB5DA6"/>
    <w:rsid w:val="00BB6734"/>
    <w:rsid w:val="00BB68D1"/>
    <w:rsid w:val="00BB6DC1"/>
    <w:rsid w:val="00BB7BE9"/>
    <w:rsid w:val="00BB7D73"/>
    <w:rsid w:val="00BC010D"/>
    <w:rsid w:val="00BC0999"/>
    <w:rsid w:val="00BC149C"/>
    <w:rsid w:val="00BC1D62"/>
    <w:rsid w:val="00BC2D37"/>
    <w:rsid w:val="00BC39B9"/>
    <w:rsid w:val="00BC76A0"/>
    <w:rsid w:val="00BD0639"/>
    <w:rsid w:val="00BD0652"/>
    <w:rsid w:val="00BD0E43"/>
    <w:rsid w:val="00BD1805"/>
    <w:rsid w:val="00BD1CE6"/>
    <w:rsid w:val="00BD2574"/>
    <w:rsid w:val="00BD5963"/>
    <w:rsid w:val="00BE0CE0"/>
    <w:rsid w:val="00BE1F28"/>
    <w:rsid w:val="00BE2340"/>
    <w:rsid w:val="00BE265E"/>
    <w:rsid w:val="00BE3214"/>
    <w:rsid w:val="00BE6A53"/>
    <w:rsid w:val="00BE7FC6"/>
    <w:rsid w:val="00BF12BA"/>
    <w:rsid w:val="00BF17D2"/>
    <w:rsid w:val="00BF63DB"/>
    <w:rsid w:val="00BF69ED"/>
    <w:rsid w:val="00BF78CF"/>
    <w:rsid w:val="00C048F7"/>
    <w:rsid w:val="00C061FC"/>
    <w:rsid w:val="00C0658C"/>
    <w:rsid w:val="00C06FDE"/>
    <w:rsid w:val="00C07B0B"/>
    <w:rsid w:val="00C07CEF"/>
    <w:rsid w:val="00C10721"/>
    <w:rsid w:val="00C10B8A"/>
    <w:rsid w:val="00C117A7"/>
    <w:rsid w:val="00C11B26"/>
    <w:rsid w:val="00C11E53"/>
    <w:rsid w:val="00C12A0F"/>
    <w:rsid w:val="00C13D4F"/>
    <w:rsid w:val="00C15DD9"/>
    <w:rsid w:val="00C160E6"/>
    <w:rsid w:val="00C16200"/>
    <w:rsid w:val="00C164AB"/>
    <w:rsid w:val="00C168CB"/>
    <w:rsid w:val="00C16D6F"/>
    <w:rsid w:val="00C17373"/>
    <w:rsid w:val="00C173D9"/>
    <w:rsid w:val="00C17668"/>
    <w:rsid w:val="00C17B13"/>
    <w:rsid w:val="00C201C3"/>
    <w:rsid w:val="00C2045C"/>
    <w:rsid w:val="00C211E6"/>
    <w:rsid w:val="00C23EF8"/>
    <w:rsid w:val="00C24D03"/>
    <w:rsid w:val="00C26FF3"/>
    <w:rsid w:val="00C27B96"/>
    <w:rsid w:val="00C304EF"/>
    <w:rsid w:val="00C308C7"/>
    <w:rsid w:val="00C30F4C"/>
    <w:rsid w:val="00C315AB"/>
    <w:rsid w:val="00C321ED"/>
    <w:rsid w:val="00C325D7"/>
    <w:rsid w:val="00C3352B"/>
    <w:rsid w:val="00C34C07"/>
    <w:rsid w:val="00C34FB4"/>
    <w:rsid w:val="00C356BE"/>
    <w:rsid w:val="00C364F6"/>
    <w:rsid w:val="00C37C68"/>
    <w:rsid w:val="00C40298"/>
    <w:rsid w:val="00C405C1"/>
    <w:rsid w:val="00C4134F"/>
    <w:rsid w:val="00C4183A"/>
    <w:rsid w:val="00C42A79"/>
    <w:rsid w:val="00C42D6A"/>
    <w:rsid w:val="00C431FF"/>
    <w:rsid w:val="00C438A4"/>
    <w:rsid w:val="00C44691"/>
    <w:rsid w:val="00C46166"/>
    <w:rsid w:val="00C51A95"/>
    <w:rsid w:val="00C51D55"/>
    <w:rsid w:val="00C5246D"/>
    <w:rsid w:val="00C52737"/>
    <w:rsid w:val="00C533E8"/>
    <w:rsid w:val="00C5614F"/>
    <w:rsid w:val="00C5660E"/>
    <w:rsid w:val="00C56E98"/>
    <w:rsid w:val="00C57200"/>
    <w:rsid w:val="00C57AD9"/>
    <w:rsid w:val="00C609A1"/>
    <w:rsid w:val="00C610A3"/>
    <w:rsid w:val="00C61174"/>
    <w:rsid w:val="00C61D45"/>
    <w:rsid w:val="00C61FA6"/>
    <w:rsid w:val="00C642E4"/>
    <w:rsid w:val="00C65B64"/>
    <w:rsid w:val="00C66B93"/>
    <w:rsid w:val="00C67E17"/>
    <w:rsid w:val="00C700E3"/>
    <w:rsid w:val="00C7072D"/>
    <w:rsid w:val="00C70B7D"/>
    <w:rsid w:val="00C7124D"/>
    <w:rsid w:val="00C713B0"/>
    <w:rsid w:val="00C71F2F"/>
    <w:rsid w:val="00C7293B"/>
    <w:rsid w:val="00C741DB"/>
    <w:rsid w:val="00C748EF"/>
    <w:rsid w:val="00C7691B"/>
    <w:rsid w:val="00C7782B"/>
    <w:rsid w:val="00C77E99"/>
    <w:rsid w:val="00C80117"/>
    <w:rsid w:val="00C80990"/>
    <w:rsid w:val="00C80DB9"/>
    <w:rsid w:val="00C81A21"/>
    <w:rsid w:val="00C81C2F"/>
    <w:rsid w:val="00C821B5"/>
    <w:rsid w:val="00C822FB"/>
    <w:rsid w:val="00C83629"/>
    <w:rsid w:val="00C840F4"/>
    <w:rsid w:val="00C849CD"/>
    <w:rsid w:val="00C85225"/>
    <w:rsid w:val="00C85A85"/>
    <w:rsid w:val="00C860C0"/>
    <w:rsid w:val="00C86948"/>
    <w:rsid w:val="00C8727E"/>
    <w:rsid w:val="00C904DC"/>
    <w:rsid w:val="00C90C77"/>
    <w:rsid w:val="00C919B0"/>
    <w:rsid w:val="00C9221F"/>
    <w:rsid w:val="00C939D9"/>
    <w:rsid w:val="00C93F58"/>
    <w:rsid w:val="00C94560"/>
    <w:rsid w:val="00C945FA"/>
    <w:rsid w:val="00C94F15"/>
    <w:rsid w:val="00C952E7"/>
    <w:rsid w:val="00C96CC9"/>
    <w:rsid w:val="00C96EAA"/>
    <w:rsid w:val="00C9750E"/>
    <w:rsid w:val="00CA049E"/>
    <w:rsid w:val="00CA0AE1"/>
    <w:rsid w:val="00CA36B0"/>
    <w:rsid w:val="00CA3C66"/>
    <w:rsid w:val="00CA420F"/>
    <w:rsid w:val="00CA4261"/>
    <w:rsid w:val="00CA4847"/>
    <w:rsid w:val="00CA4884"/>
    <w:rsid w:val="00CA4D74"/>
    <w:rsid w:val="00CA4F43"/>
    <w:rsid w:val="00CA6F26"/>
    <w:rsid w:val="00CB1F4E"/>
    <w:rsid w:val="00CB1F8E"/>
    <w:rsid w:val="00CB30B5"/>
    <w:rsid w:val="00CB47B3"/>
    <w:rsid w:val="00CB77D8"/>
    <w:rsid w:val="00CC2632"/>
    <w:rsid w:val="00CC36B8"/>
    <w:rsid w:val="00CC3E3B"/>
    <w:rsid w:val="00CC3E79"/>
    <w:rsid w:val="00CC4B6E"/>
    <w:rsid w:val="00CC53BB"/>
    <w:rsid w:val="00CC594F"/>
    <w:rsid w:val="00CC611F"/>
    <w:rsid w:val="00CC622E"/>
    <w:rsid w:val="00CC694B"/>
    <w:rsid w:val="00CD0831"/>
    <w:rsid w:val="00CD08A8"/>
    <w:rsid w:val="00CD171B"/>
    <w:rsid w:val="00CD1D37"/>
    <w:rsid w:val="00CD2095"/>
    <w:rsid w:val="00CD22FC"/>
    <w:rsid w:val="00CD2F3D"/>
    <w:rsid w:val="00CD373C"/>
    <w:rsid w:val="00CD3779"/>
    <w:rsid w:val="00CD5A6A"/>
    <w:rsid w:val="00CD6E6F"/>
    <w:rsid w:val="00CD6F1C"/>
    <w:rsid w:val="00CD7681"/>
    <w:rsid w:val="00CE0F83"/>
    <w:rsid w:val="00CE1453"/>
    <w:rsid w:val="00CE17C9"/>
    <w:rsid w:val="00CE228A"/>
    <w:rsid w:val="00CE2A6F"/>
    <w:rsid w:val="00CE498A"/>
    <w:rsid w:val="00CE4DE5"/>
    <w:rsid w:val="00CE5280"/>
    <w:rsid w:val="00CE5695"/>
    <w:rsid w:val="00CE6304"/>
    <w:rsid w:val="00CE6A0C"/>
    <w:rsid w:val="00CE72B5"/>
    <w:rsid w:val="00CF16D1"/>
    <w:rsid w:val="00CF1E26"/>
    <w:rsid w:val="00CF367D"/>
    <w:rsid w:val="00CF51E0"/>
    <w:rsid w:val="00CF5EF3"/>
    <w:rsid w:val="00CF6F1B"/>
    <w:rsid w:val="00CF73E5"/>
    <w:rsid w:val="00CF74E6"/>
    <w:rsid w:val="00D006CE"/>
    <w:rsid w:val="00D0076A"/>
    <w:rsid w:val="00D013AB"/>
    <w:rsid w:val="00D01A33"/>
    <w:rsid w:val="00D02D83"/>
    <w:rsid w:val="00D0397F"/>
    <w:rsid w:val="00D047E2"/>
    <w:rsid w:val="00D04F6A"/>
    <w:rsid w:val="00D0549E"/>
    <w:rsid w:val="00D07A50"/>
    <w:rsid w:val="00D10FA8"/>
    <w:rsid w:val="00D10FD9"/>
    <w:rsid w:val="00D11937"/>
    <w:rsid w:val="00D11C4D"/>
    <w:rsid w:val="00D123E2"/>
    <w:rsid w:val="00D1390C"/>
    <w:rsid w:val="00D1402F"/>
    <w:rsid w:val="00D14C74"/>
    <w:rsid w:val="00D1639B"/>
    <w:rsid w:val="00D16F8E"/>
    <w:rsid w:val="00D1733E"/>
    <w:rsid w:val="00D17627"/>
    <w:rsid w:val="00D21FF5"/>
    <w:rsid w:val="00D22437"/>
    <w:rsid w:val="00D242EB"/>
    <w:rsid w:val="00D2442B"/>
    <w:rsid w:val="00D24C57"/>
    <w:rsid w:val="00D25031"/>
    <w:rsid w:val="00D27512"/>
    <w:rsid w:val="00D27B3C"/>
    <w:rsid w:val="00D30AA3"/>
    <w:rsid w:val="00D31172"/>
    <w:rsid w:val="00D3264A"/>
    <w:rsid w:val="00D32798"/>
    <w:rsid w:val="00D327B3"/>
    <w:rsid w:val="00D329AE"/>
    <w:rsid w:val="00D33462"/>
    <w:rsid w:val="00D33DC2"/>
    <w:rsid w:val="00D41CDA"/>
    <w:rsid w:val="00D428AB"/>
    <w:rsid w:val="00D42D97"/>
    <w:rsid w:val="00D46053"/>
    <w:rsid w:val="00D469DE"/>
    <w:rsid w:val="00D46A51"/>
    <w:rsid w:val="00D5169D"/>
    <w:rsid w:val="00D52365"/>
    <w:rsid w:val="00D54361"/>
    <w:rsid w:val="00D54850"/>
    <w:rsid w:val="00D557EE"/>
    <w:rsid w:val="00D55CB7"/>
    <w:rsid w:val="00D56183"/>
    <w:rsid w:val="00D578DC"/>
    <w:rsid w:val="00D60710"/>
    <w:rsid w:val="00D6166D"/>
    <w:rsid w:val="00D62D42"/>
    <w:rsid w:val="00D6354E"/>
    <w:rsid w:val="00D639F5"/>
    <w:rsid w:val="00D64438"/>
    <w:rsid w:val="00D644CD"/>
    <w:rsid w:val="00D64D98"/>
    <w:rsid w:val="00D65F6D"/>
    <w:rsid w:val="00D66342"/>
    <w:rsid w:val="00D67DBA"/>
    <w:rsid w:val="00D70F5E"/>
    <w:rsid w:val="00D721C0"/>
    <w:rsid w:val="00D729DD"/>
    <w:rsid w:val="00D749E4"/>
    <w:rsid w:val="00D771B4"/>
    <w:rsid w:val="00D7760D"/>
    <w:rsid w:val="00D80B5D"/>
    <w:rsid w:val="00D81B87"/>
    <w:rsid w:val="00D8243A"/>
    <w:rsid w:val="00D83654"/>
    <w:rsid w:val="00D8533B"/>
    <w:rsid w:val="00D8557A"/>
    <w:rsid w:val="00D85ACA"/>
    <w:rsid w:val="00D863A0"/>
    <w:rsid w:val="00D870BC"/>
    <w:rsid w:val="00D9065F"/>
    <w:rsid w:val="00D9218B"/>
    <w:rsid w:val="00D93146"/>
    <w:rsid w:val="00D93796"/>
    <w:rsid w:val="00D93E54"/>
    <w:rsid w:val="00D94ADD"/>
    <w:rsid w:val="00D94C31"/>
    <w:rsid w:val="00D95FB3"/>
    <w:rsid w:val="00D965F0"/>
    <w:rsid w:val="00D97B11"/>
    <w:rsid w:val="00D97D1B"/>
    <w:rsid w:val="00DA042E"/>
    <w:rsid w:val="00DA339B"/>
    <w:rsid w:val="00DA3459"/>
    <w:rsid w:val="00DA3B32"/>
    <w:rsid w:val="00DA4E33"/>
    <w:rsid w:val="00DA4EC5"/>
    <w:rsid w:val="00DA5683"/>
    <w:rsid w:val="00DA676C"/>
    <w:rsid w:val="00DA724E"/>
    <w:rsid w:val="00DA7DC2"/>
    <w:rsid w:val="00DB08BC"/>
    <w:rsid w:val="00DB37F4"/>
    <w:rsid w:val="00DC0175"/>
    <w:rsid w:val="00DC0747"/>
    <w:rsid w:val="00DC09F0"/>
    <w:rsid w:val="00DC0C67"/>
    <w:rsid w:val="00DC25AF"/>
    <w:rsid w:val="00DC4079"/>
    <w:rsid w:val="00DC47F5"/>
    <w:rsid w:val="00DC4926"/>
    <w:rsid w:val="00DC4FA4"/>
    <w:rsid w:val="00DC5E29"/>
    <w:rsid w:val="00DD103F"/>
    <w:rsid w:val="00DD1227"/>
    <w:rsid w:val="00DD20B5"/>
    <w:rsid w:val="00DD3552"/>
    <w:rsid w:val="00DD36C7"/>
    <w:rsid w:val="00DD55CE"/>
    <w:rsid w:val="00DD5641"/>
    <w:rsid w:val="00DD5F36"/>
    <w:rsid w:val="00DD619A"/>
    <w:rsid w:val="00DD6763"/>
    <w:rsid w:val="00DD6AB2"/>
    <w:rsid w:val="00DD7B3A"/>
    <w:rsid w:val="00DE1DFA"/>
    <w:rsid w:val="00DE22A5"/>
    <w:rsid w:val="00DE3831"/>
    <w:rsid w:val="00DE439C"/>
    <w:rsid w:val="00DE439F"/>
    <w:rsid w:val="00DE71E3"/>
    <w:rsid w:val="00DF02EE"/>
    <w:rsid w:val="00DF18DB"/>
    <w:rsid w:val="00DF2B2D"/>
    <w:rsid w:val="00DF2F3D"/>
    <w:rsid w:val="00DF3DF3"/>
    <w:rsid w:val="00DF47C9"/>
    <w:rsid w:val="00DF5414"/>
    <w:rsid w:val="00DF6C59"/>
    <w:rsid w:val="00DF76D5"/>
    <w:rsid w:val="00E01092"/>
    <w:rsid w:val="00E018ED"/>
    <w:rsid w:val="00E01BF3"/>
    <w:rsid w:val="00E0275B"/>
    <w:rsid w:val="00E03719"/>
    <w:rsid w:val="00E04389"/>
    <w:rsid w:val="00E06677"/>
    <w:rsid w:val="00E06F08"/>
    <w:rsid w:val="00E071E4"/>
    <w:rsid w:val="00E10027"/>
    <w:rsid w:val="00E1054E"/>
    <w:rsid w:val="00E105D5"/>
    <w:rsid w:val="00E10A39"/>
    <w:rsid w:val="00E123EE"/>
    <w:rsid w:val="00E13205"/>
    <w:rsid w:val="00E15C32"/>
    <w:rsid w:val="00E164F5"/>
    <w:rsid w:val="00E16918"/>
    <w:rsid w:val="00E20137"/>
    <w:rsid w:val="00E217E3"/>
    <w:rsid w:val="00E24A49"/>
    <w:rsid w:val="00E24DE6"/>
    <w:rsid w:val="00E260CB"/>
    <w:rsid w:val="00E26626"/>
    <w:rsid w:val="00E26FE8"/>
    <w:rsid w:val="00E30B3C"/>
    <w:rsid w:val="00E32406"/>
    <w:rsid w:val="00E32AA0"/>
    <w:rsid w:val="00E33304"/>
    <w:rsid w:val="00E33D51"/>
    <w:rsid w:val="00E347AB"/>
    <w:rsid w:val="00E351CE"/>
    <w:rsid w:val="00E353BD"/>
    <w:rsid w:val="00E36000"/>
    <w:rsid w:val="00E366CD"/>
    <w:rsid w:val="00E37767"/>
    <w:rsid w:val="00E37822"/>
    <w:rsid w:val="00E400C9"/>
    <w:rsid w:val="00E40D52"/>
    <w:rsid w:val="00E40E3C"/>
    <w:rsid w:val="00E41F56"/>
    <w:rsid w:val="00E42790"/>
    <w:rsid w:val="00E43F1D"/>
    <w:rsid w:val="00E44388"/>
    <w:rsid w:val="00E455FF"/>
    <w:rsid w:val="00E45915"/>
    <w:rsid w:val="00E47B90"/>
    <w:rsid w:val="00E5034B"/>
    <w:rsid w:val="00E50651"/>
    <w:rsid w:val="00E50CCA"/>
    <w:rsid w:val="00E512AF"/>
    <w:rsid w:val="00E5191B"/>
    <w:rsid w:val="00E53717"/>
    <w:rsid w:val="00E53BE9"/>
    <w:rsid w:val="00E54E0A"/>
    <w:rsid w:val="00E55DE1"/>
    <w:rsid w:val="00E5642C"/>
    <w:rsid w:val="00E56BD3"/>
    <w:rsid w:val="00E57DC7"/>
    <w:rsid w:val="00E60F33"/>
    <w:rsid w:val="00E625CC"/>
    <w:rsid w:val="00E63149"/>
    <w:rsid w:val="00E63A04"/>
    <w:rsid w:val="00E644C4"/>
    <w:rsid w:val="00E65017"/>
    <w:rsid w:val="00E65FCE"/>
    <w:rsid w:val="00E710E5"/>
    <w:rsid w:val="00E72908"/>
    <w:rsid w:val="00E72B77"/>
    <w:rsid w:val="00E737ED"/>
    <w:rsid w:val="00E73CAF"/>
    <w:rsid w:val="00E74E6F"/>
    <w:rsid w:val="00E76397"/>
    <w:rsid w:val="00E76A84"/>
    <w:rsid w:val="00E76D84"/>
    <w:rsid w:val="00E8289D"/>
    <w:rsid w:val="00E8502C"/>
    <w:rsid w:val="00E850B3"/>
    <w:rsid w:val="00E863A4"/>
    <w:rsid w:val="00E86763"/>
    <w:rsid w:val="00E904D6"/>
    <w:rsid w:val="00E92023"/>
    <w:rsid w:val="00E936AE"/>
    <w:rsid w:val="00E937F5"/>
    <w:rsid w:val="00E94F1B"/>
    <w:rsid w:val="00E951A3"/>
    <w:rsid w:val="00E96468"/>
    <w:rsid w:val="00E96B22"/>
    <w:rsid w:val="00E96BB7"/>
    <w:rsid w:val="00E97142"/>
    <w:rsid w:val="00E97CBF"/>
    <w:rsid w:val="00EA0878"/>
    <w:rsid w:val="00EA0911"/>
    <w:rsid w:val="00EA257B"/>
    <w:rsid w:val="00EA5041"/>
    <w:rsid w:val="00EA53E2"/>
    <w:rsid w:val="00EB0389"/>
    <w:rsid w:val="00EB168E"/>
    <w:rsid w:val="00EB2248"/>
    <w:rsid w:val="00EB3592"/>
    <w:rsid w:val="00EB3697"/>
    <w:rsid w:val="00EB4C64"/>
    <w:rsid w:val="00EB51CB"/>
    <w:rsid w:val="00EB7171"/>
    <w:rsid w:val="00EC29CA"/>
    <w:rsid w:val="00EC2BE8"/>
    <w:rsid w:val="00EC2E2D"/>
    <w:rsid w:val="00EC3724"/>
    <w:rsid w:val="00EC4C15"/>
    <w:rsid w:val="00EC5610"/>
    <w:rsid w:val="00EC69AE"/>
    <w:rsid w:val="00EC7846"/>
    <w:rsid w:val="00ED0077"/>
    <w:rsid w:val="00ED0170"/>
    <w:rsid w:val="00ED060A"/>
    <w:rsid w:val="00ED0C73"/>
    <w:rsid w:val="00ED0E3A"/>
    <w:rsid w:val="00ED24C4"/>
    <w:rsid w:val="00ED328A"/>
    <w:rsid w:val="00ED517F"/>
    <w:rsid w:val="00ED5AB2"/>
    <w:rsid w:val="00ED67F6"/>
    <w:rsid w:val="00ED6A49"/>
    <w:rsid w:val="00ED6BA3"/>
    <w:rsid w:val="00EE28A7"/>
    <w:rsid w:val="00EE4047"/>
    <w:rsid w:val="00EE43A1"/>
    <w:rsid w:val="00EE6C21"/>
    <w:rsid w:val="00EE748D"/>
    <w:rsid w:val="00EF1AE1"/>
    <w:rsid w:val="00EF21C3"/>
    <w:rsid w:val="00EF221D"/>
    <w:rsid w:val="00EF2545"/>
    <w:rsid w:val="00EF2AAC"/>
    <w:rsid w:val="00EF312A"/>
    <w:rsid w:val="00EF6590"/>
    <w:rsid w:val="00EF7C91"/>
    <w:rsid w:val="00F00392"/>
    <w:rsid w:val="00F022D1"/>
    <w:rsid w:val="00F026DE"/>
    <w:rsid w:val="00F030C7"/>
    <w:rsid w:val="00F05A7A"/>
    <w:rsid w:val="00F10549"/>
    <w:rsid w:val="00F1156A"/>
    <w:rsid w:val="00F1157C"/>
    <w:rsid w:val="00F13E1A"/>
    <w:rsid w:val="00F13EBB"/>
    <w:rsid w:val="00F14073"/>
    <w:rsid w:val="00F14539"/>
    <w:rsid w:val="00F14A06"/>
    <w:rsid w:val="00F15EAD"/>
    <w:rsid w:val="00F16578"/>
    <w:rsid w:val="00F165F2"/>
    <w:rsid w:val="00F17186"/>
    <w:rsid w:val="00F17301"/>
    <w:rsid w:val="00F17FF9"/>
    <w:rsid w:val="00F22002"/>
    <w:rsid w:val="00F2268F"/>
    <w:rsid w:val="00F22C46"/>
    <w:rsid w:val="00F23C8D"/>
    <w:rsid w:val="00F23EE5"/>
    <w:rsid w:val="00F2634C"/>
    <w:rsid w:val="00F26CAB"/>
    <w:rsid w:val="00F27C70"/>
    <w:rsid w:val="00F3189E"/>
    <w:rsid w:val="00F31BCA"/>
    <w:rsid w:val="00F32199"/>
    <w:rsid w:val="00F3230D"/>
    <w:rsid w:val="00F32650"/>
    <w:rsid w:val="00F329C1"/>
    <w:rsid w:val="00F33564"/>
    <w:rsid w:val="00F34121"/>
    <w:rsid w:val="00F34572"/>
    <w:rsid w:val="00F34DE9"/>
    <w:rsid w:val="00F3504B"/>
    <w:rsid w:val="00F365DE"/>
    <w:rsid w:val="00F37CF8"/>
    <w:rsid w:val="00F4112B"/>
    <w:rsid w:val="00F44579"/>
    <w:rsid w:val="00F4458A"/>
    <w:rsid w:val="00F4499B"/>
    <w:rsid w:val="00F4576B"/>
    <w:rsid w:val="00F458E9"/>
    <w:rsid w:val="00F47088"/>
    <w:rsid w:val="00F478B7"/>
    <w:rsid w:val="00F47C10"/>
    <w:rsid w:val="00F510D5"/>
    <w:rsid w:val="00F51677"/>
    <w:rsid w:val="00F51C63"/>
    <w:rsid w:val="00F52ED5"/>
    <w:rsid w:val="00F535D3"/>
    <w:rsid w:val="00F53D09"/>
    <w:rsid w:val="00F5548E"/>
    <w:rsid w:val="00F55E9F"/>
    <w:rsid w:val="00F560A1"/>
    <w:rsid w:val="00F5631F"/>
    <w:rsid w:val="00F6079D"/>
    <w:rsid w:val="00F657E2"/>
    <w:rsid w:val="00F66757"/>
    <w:rsid w:val="00F668B6"/>
    <w:rsid w:val="00F66DF8"/>
    <w:rsid w:val="00F67026"/>
    <w:rsid w:val="00F670E4"/>
    <w:rsid w:val="00F67A15"/>
    <w:rsid w:val="00F71442"/>
    <w:rsid w:val="00F7392F"/>
    <w:rsid w:val="00F73D90"/>
    <w:rsid w:val="00F7542E"/>
    <w:rsid w:val="00F75C97"/>
    <w:rsid w:val="00F75E49"/>
    <w:rsid w:val="00F76A4F"/>
    <w:rsid w:val="00F77D01"/>
    <w:rsid w:val="00F80352"/>
    <w:rsid w:val="00F80F2A"/>
    <w:rsid w:val="00F81F77"/>
    <w:rsid w:val="00F8236F"/>
    <w:rsid w:val="00F84070"/>
    <w:rsid w:val="00F8436D"/>
    <w:rsid w:val="00F850F1"/>
    <w:rsid w:val="00F855A4"/>
    <w:rsid w:val="00F8730B"/>
    <w:rsid w:val="00F875A6"/>
    <w:rsid w:val="00F8781F"/>
    <w:rsid w:val="00F87E6B"/>
    <w:rsid w:val="00F87EF5"/>
    <w:rsid w:val="00F9075C"/>
    <w:rsid w:val="00F940E1"/>
    <w:rsid w:val="00F943F0"/>
    <w:rsid w:val="00F9535F"/>
    <w:rsid w:val="00F95ABD"/>
    <w:rsid w:val="00F966ED"/>
    <w:rsid w:val="00F97B18"/>
    <w:rsid w:val="00FA353D"/>
    <w:rsid w:val="00FA4140"/>
    <w:rsid w:val="00FA4417"/>
    <w:rsid w:val="00FA5B19"/>
    <w:rsid w:val="00FA5DB7"/>
    <w:rsid w:val="00FA6F76"/>
    <w:rsid w:val="00FA7C56"/>
    <w:rsid w:val="00FB0FF6"/>
    <w:rsid w:val="00FB1D0A"/>
    <w:rsid w:val="00FB34F6"/>
    <w:rsid w:val="00FB5019"/>
    <w:rsid w:val="00FB56C1"/>
    <w:rsid w:val="00FB69BA"/>
    <w:rsid w:val="00FB752F"/>
    <w:rsid w:val="00FB7726"/>
    <w:rsid w:val="00FC0A93"/>
    <w:rsid w:val="00FC11C5"/>
    <w:rsid w:val="00FC1FE9"/>
    <w:rsid w:val="00FC2D91"/>
    <w:rsid w:val="00FC3392"/>
    <w:rsid w:val="00FC3424"/>
    <w:rsid w:val="00FC4ED4"/>
    <w:rsid w:val="00FC5726"/>
    <w:rsid w:val="00FC5D4E"/>
    <w:rsid w:val="00FC6E73"/>
    <w:rsid w:val="00FC725E"/>
    <w:rsid w:val="00FC7889"/>
    <w:rsid w:val="00FD14D0"/>
    <w:rsid w:val="00FD3482"/>
    <w:rsid w:val="00FD3BAC"/>
    <w:rsid w:val="00FD3C25"/>
    <w:rsid w:val="00FD5B5A"/>
    <w:rsid w:val="00FD5C8D"/>
    <w:rsid w:val="00FD606E"/>
    <w:rsid w:val="00FD7418"/>
    <w:rsid w:val="00FD794F"/>
    <w:rsid w:val="00FE1631"/>
    <w:rsid w:val="00FE2A3B"/>
    <w:rsid w:val="00FE3C36"/>
    <w:rsid w:val="00FE4E3C"/>
    <w:rsid w:val="00FE57A2"/>
    <w:rsid w:val="00FE5DAA"/>
    <w:rsid w:val="00FE60F6"/>
    <w:rsid w:val="00FE6203"/>
    <w:rsid w:val="00FE65CA"/>
    <w:rsid w:val="00FE7AD5"/>
    <w:rsid w:val="00FF058E"/>
    <w:rsid w:val="00FF0FF1"/>
    <w:rsid w:val="00FF1302"/>
    <w:rsid w:val="00FF20CF"/>
    <w:rsid w:val="00FF3DFB"/>
    <w:rsid w:val="00FF3E6F"/>
    <w:rsid w:val="00FF4FAF"/>
    <w:rsid w:val="00FF58B1"/>
    <w:rsid w:val="00FF688C"/>
    <w:rsid w:val="00FF6E1C"/>
    <w:rsid w:val="00FF6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115C595F"/>
  <w15:docId w15:val="{DFAD98B4-1FA6-4299-AB3C-8DE467F5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Times New Roman"/>
      <w:lang w:eastAsia="fi-FI"/>
    </w:rPr>
  </w:style>
  <w:style w:type="paragraph" w:styleId="Heading1">
    <w:name w:val="heading 1"/>
    <w:aliases w:val="ECHA Heading 1"/>
    <w:basedOn w:val="Normal"/>
    <w:next w:val="BodyText"/>
    <w:link w:val="Heading1Char"/>
    <w:qFormat/>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qFormat/>
    <w:pPr>
      <w:numPr>
        <w:numId w:val="0"/>
      </w:numPr>
      <w:outlineLvl w:val="1"/>
    </w:pPr>
    <w:rPr>
      <w:rFonts w:cs="Arial"/>
      <w:sz w:val="24"/>
      <w:szCs w:val="22"/>
    </w:rPr>
  </w:style>
  <w:style w:type="paragraph" w:styleId="Heading3">
    <w:name w:val="heading 3"/>
    <w:aliases w:val="ECHA Heading 3"/>
    <w:basedOn w:val="Heading2"/>
    <w:next w:val="BodyText"/>
    <w:link w:val="Heading3Char"/>
    <w:qFormat/>
    <w:pPr>
      <w:numPr>
        <w:ilvl w:val="2"/>
        <w:numId w:val="1"/>
      </w:numPr>
      <w:outlineLvl w:val="2"/>
    </w:pPr>
    <w:rPr>
      <w:bCs/>
      <w:color w:val="000000"/>
      <w:sz w:val="22"/>
    </w:rPr>
  </w:style>
  <w:style w:type="paragraph" w:styleId="Heading4">
    <w:name w:val="heading 4"/>
    <w:aliases w:val="ECHA Heading 4"/>
    <w:basedOn w:val="Heading3"/>
    <w:next w:val="BodyText"/>
    <w:link w:val="Heading4Char"/>
    <w:qFormat/>
    <w:pPr>
      <w:numPr>
        <w:ilvl w:val="3"/>
      </w:numPr>
      <w:outlineLvl w:val="3"/>
    </w:pPr>
    <w:rPr>
      <w:b w:val="0"/>
      <w:bCs w:val="0"/>
      <w:szCs w:val="28"/>
    </w:rPr>
  </w:style>
  <w:style w:type="paragraph" w:styleId="Heading5">
    <w:name w:val="heading 5"/>
    <w:aliases w:val="ECHA Heading 5"/>
    <w:basedOn w:val="Heading3"/>
    <w:next w:val="BodyText"/>
    <w:link w:val="Heading5Char"/>
    <w:qFormat/>
    <w:pPr>
      <w:numPr>
        <w:ilvl w:val="4"/>
      </w:numPr>
      <w:outlineLvl w:val="4"/>
    </w:pPr>
    <w:rPr>
      <w:bCs w:val="0"/>
      <w:iCs/>
      <w:sz w:val="20"/>
      <w:szCs w:val="26"/>
    </w:rPr>
  </w:style>
  <w:style w:type="paragraph" w:styleId="Heading6">
    <w:name w:val="heading 6"/>
    <w:aliases w:val="ECHA Heading 6"/>
    <w:basedOn w:val="Heading5"/>
    <w:next w:val="BodyText"/>
    <w:link w:val="Heading6Char"/>
    <w:qFormat/>
    <w:pPr>
      <w:numPr>
        <w:ilvl w:val="5"/>
      </w:numPr>
      <w:outlineLvl w:val="5"/>
    </w:pPr>
    <w:rPr>
      <w:bCs/>
      <w:szCs w:val="22"/>
    </w:rPr>
  </w:style>
  <w:style w:type="paragraph" w:styleId="Heading7">
    <w:name w:val="heading 7"/>
    <w:aliases w:val="ECHA Heading 7"/>
    <w:basedOn w:val="Heading5"/>
    <w:next w:val="BodyText"/>
    <w:link w:val="Heading7Char"/>
    <w:qFormat/>
    <w:pPr>
      <w:numPr>
        <w:ilvl w:val="6"/>
      </w:numPr>
      <w:outlineLvl w:val="6"/>
    </w:pPr>
    <w:rPr>
      <w:szCs w:val="24"/>
    </w:rPr>
  </w:style>
  <w:style w:type="paragraph" w:styleId="Heading8">
    <w:name w:val="heading 8"/>
    <w:aliases w:val="ECHA Heading 8"/>
    <w:basedOn w:val="Heading5"/>
    <w:next w:val="BodyText"/>
    <w:link w:val="Heading8Char"/>
    <w:qFormat/>
    <w:pPr>
      <w:numPr>
        <w:ilvl w:val="7"/>
      </w:numPr>
      <w:outlineLvl w:val="7"/>
    </w:pPr>
    <w:rPr>
      <w:iCs w:val="0"/>
      <w:szCs w:val="24"/>
    </w:rPr>
  </w:style>
  <w:style w:type="paragraph" w:styleId="Heading9">
    <w:name w:val="heading 9"/>
    <w:aliases w:val="ECHA Heading 9"/>
    <w:basedOn w:val="Heading5"/>
    <w:next w:val="BodyText"/>
    <w:link w:val="Heading9Char"/>
    <w:qFormat/>
    <w:pPr>
      <w:numPr>
        <w:ilvl w:val="8"/>
      </w:numPr>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locked/>
    <w:rPr>
      <w:rFonts w:cs="Times New Roman"/>
      <w:b/>
      <w:color w:val="0046AD"/>
      <w:sz w:val="28"/>
      <w:szCs w:val="24"/>
      <w:lang w:eastAsia="fi-FI"/>
    </w:rPr>
  </w:style>
  <w:style w:type="character" w:customStyle="1" w:styleId="Heading2Char">
    <w:name w:val="Heading 2 Char"/>
    <w:aliases w:val="ECHA Heading 2 Char"/>
    <w:basedOn w:val="DefaultParagraphFont"/>
    <w:link w:val="Heading2"/>
    <w:locked/>
    <w:rPr>
      <w:rFonts w:ascii="Cambria" w:hAnsi="Cambria"/>
      <w:b/>
      <w:i/>
      <w:sz w:val="28"/>
      <w:lang w:val="x-none" w:eastAsia="fi-FI"/>
    </w:rPr>
  </w:style>
  <w:style w:type="character" w:customStyle="1" w:styleId="Heading3Char">
    <w:name w:val="Heading 3 Char"/>
    <w:aliases w:val="ECHA Heading 3 Char"/>
    <w:basedOn w:val="DefaultParagraphFont"/>
    <w:link w:val="Heading3"/>
    <w:locked/>
    <w:rPr>
      <w:rFonts w:cs="Arial"/>
      <w:b/>
      <w:bCs/>
      <w:color w:val="000000"/>
      <w:sz w:val="22"/>
      <w:szCs w:val="22"/>
      <w:lang w:eastAsia="fi-FI"/>
    </w:rPr>
  </w:style>
  <w:style w:type="character" w:customStyle="1" w:styleId="Heading4Char">
    <w:name w:val="Heading 4 Char"/>
    <w:aliases w:val="ECHA Heading 4 Char"/>
    <w:basedOn w:val="DefaultParagraphFont"/>
    <w:link w:val="Heading4"/>
    <w:locked/>
    <w:rPr>
      <w:rFonts w:cs="Arial"/>
      <w:color w:val="000000"/>
      <w:sz w:val="22"/>
      <w:szCs w:val="28"/>
      <w:lang w:eastAsia="fi-FI"/>
    </w:rPr>
  </w:style>
  <w:style w:type="character" w:customStyle="1" w:styleId="Heading5Char">
    <w:name w:val="Heading 5 Char"/>
    <w:aliases w:val="ECHA Heading 5 Char"/>
    <w:basedOn w:val="DefaultParagraphFont"/>
    <w:link w:val="Heading5"/>
    <w:locked/>
    <w:rPr>
      <w:rFonts w:cs="Arial"/>
      <w:b/>
      <w:iCs/>
      <w:color w:val="000000"/>
      <w:szCs w:val="26"/>
      <w:lang w:eastAsia="fi-FI"/>
    </w:rPr>
  </w:style>
  <w:style w:type="character" w:customStyle="1" w:styleId="Heading6Char">
    <w:name w:val="Heading 6 Char"/>
    <w:aliases w:val="ECHA Heading 6 Char"/>
    <w:basedOn w:val="DefaultParagraphFont"/>
    <w:link w:val="Heading6"/>
    <w:locked/>
    <w:rPr>
      <w:rFonts w:cs="Arial"/>
      <w:b/>
      <w:bCs/>
      <w:iCs/>
      <w:color w:val="000000"/>
      <w:szCs w:val="22"/>
      <w:lang w:eastAsia="fi-FI"/>
    </w:rPr>
  </w:style>
  <w:style w:type="character" w:customStyle="1" w:styleId="Heading7Char">
    <w:name w:val="Heading 7 Char"/>
    <w:aliases w:val="ECHA Heading 7 Char"/>
    <w:basedOn w:val="DefaultParagraphFont"/>
    <w:link w:val="Heading7"/>
    <w:locked/>
    <w:rPr>
      <w:rFonts w:cs="Arial"/>
      <w:b/>
      <w:iCs/>
      <w:color w:val="000000"/>
      <w:szCs w:val="24"/>
      <w:lang w:eastAsia="fi-FI"/>
    </w:rPr>
  </w:style>
  <w:style w:type="character" w:customStyle="1" w:styleId="Heading8Char">
    <w:name w:val="Heading 8 Char"/>
    <w:aliases w:val="ECHA Heading 8 Char"/>
    <w:basedOn w:val="DefaultParagraphFont"/>
    <w:link w:val="Heading8"/>
    <w:locked/>
    <w:rPr>
      <w:rFonts w:cs="Arial"/>
      <w:b/>
      <w:color w:val="000000"/>
      <w:szCs w:val="24"/>
      <w:lang w:eastAsia="fi-FI"/>
    </w:rPr>
  </w:style>
  <w:style w:type="character" w:customStyle="1" w:styleId="Heading9Char">
    <w:name w:val="Heading 9 Char"/>
    <w:aliases w:val="ECHA Heading 9 Char"/>
    <w:basedOn w:val="DefaultParagraphFont"/>
    <w:link w:val="Heading9"/>
    <w:locked/>
    <w:rPr>
      <w:rFonts w:cs="Arial"/>
      <w:b/>
      <w:iCs/>
      <w:color w:val="000000"/>
      <w:szCs w:val="22"/>
      <w:lang w:eastAsia="fi-FI"/>
    </w:rPr>
  </w:style>
  <w:style w:type="paragraph" w:styleId="Header">
    <w:name w:val="header"/>
    <w:basedOn w:val="Normal"/>
    <w:link w:val="HeaderChar"/>
    <w:pPr>
      <w:tabs>
        <w:tab w:val="left" w:pos="4536"/>
        <w:tab w:val="left" w:pos="7088"/>
        <w:tab w:val="left" w:pos="8789"/>
      </w:tabs>
      <w:jc w:val="right"/>
    </w:pPr>
  </w:style>
  <w:style w:type="character" w:customStyle="1" w:styleId="HeaderChar">
    <w:name w:val="Header Char"/>
    <w:basedOn w:val="DefaultParagraphFont"/>
    <w:link w:val="Header"/>
    <w:locked/>
    <w:rPr>
      <w:lang w:val="x-none" w:eastAsia="fi-FI"/>
    </w:rPr>
  </w:style>
  <w:style w:type="paragraph" w:styleId="Footer">
    <w:name w:val="footer"/>
    <w:basedOn w:val="Normal"/>
    <w:link w:val="FooterChar"/>
    <w:uiPriority w:val="99"/>
    <w:pPr>
      <w:spacing w:line="160" w:lineRule="exact"/>
    </w:pPr>
    <w:rPr>
      <w:spacing w:val="2"/>
      <w:sz w:val="13"/>
    </w:rPr>
  </w:style>
  <w:style w:type="character" w:customStyle="1" w:styleId="FooterChar">
    <w:name w:val="Footer Char"/>
    <w:basedOn w:val="DefaultParagraphFont"/>
    <w:link w:val="Footer"/>
    <w:uiPriority w:val="99"/>
    <w:locked/>
    <w:rPr>
      <w:spacing w:val="2"/>
      <w:sz w:val="13"/>
      <w:lang w:val="x-none" w:eastAsia="fi-FI"/>
    </w:rPr>
  </w:style>
  <w:style w:type="character" w:styleId="PageNumber">
    <w:name w:val="page number"/>
    <w:basedOn w:val="DefaultParagraphFont"/>
    <w:uiPriority w:val="99"/>
    <w:rPr>
      <w:rFonts w:ascii="Verdana" w:hAnsi="Verdana"/>
      <w:sz w:val="20"/>
    </w:rPr>
  </w:style>
  <w:style w:type="character" w:customStyle="1" w:styleId="Italic">
    <w:name w:val="Italic"/>
    <w:rPr>
      <w:rFonts w:ascii="Verdana" w:hAnsi="Verdana"/>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fi-FI"/>
    </w:rPr>
  </w:style>
  <w:style w:type="paragraph" w:styleId="TOC1">
    <w:name w:val="toc 1"/>
    <w:basedOn w:val="Normal"/>
    <w:next w:val="Normal"/>
    <w:autoRedefine/>
    <w:uiPriority w:val="39"/>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3C0010"/>
    <w:pPr>
      <w:tabs>
        <w:tab w:val="right" w:leader="dot" w:pos="9629"/>
      </w:tabs>
      <w:ind w:left="567" w:hanging="367"/>
    </w:pPr>
    <w:rPr>
      <w:rFonts w:ascii="Calibri" w:hAnsi="Calibri" w:cs="Calibri"/>
    </w:rPr>
  </w:style>
  <w:style w:type="paragraph" w:styleId="TOC3">
    <w:name w:val="toc 3"/>
    <w:basedOn w:val="Normal"/>
    <w:next w:val="Normal"/>
    <w:autoRedefine/>
    <w:uiPriority w:val="39"/>
    <w:pPr>
      <w:ind w:left="400"/>
    </w:pPr>
    <w:rPr>
      <w:rFonts w:ascii="Calibri" w:hAnsi="Calibri" w:cs="Calibri"/>
      <w:i/>
      <w:iCs/>
    </w:rPr>
  </w:style>
  <w:style w:type="character" w:styleId="Hyperlink">
    <w:name w:val="Hyperlink"/>
    <w:basedOn w:val="DefaultParagraphFont"/>
    <w:uiPriority w:val="99"/>
    <w:rPr>
      <w:rFonts w:ascii="Verdana" w:hAnsi="Verdana"/>
      <w:color w:val="0000FF"/>
      <w:sz w:val="20"/>
      <w:u w:val="single"/>
    </w:rPr>
  </w:style>
  <w:style w:type="paragraph" w:customStyle="1" w:styleId="Leipteksti1">
    <w:name w:val="Leipäteksti1"/>
    <w:basedOn w:val="Normal"/>
    <w:semiHidden/>
    <w:pPr>
      <w:ind w:left="2608"/>
    </w:pPr>
    <w:rPr>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lang w:val="x-none" w:eastAsia="fi-FI"/>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x-none" w:eastAsia="fi-FI"/>
    </w:rPr>
  </w:style>
  <w:style w:type="character" w:styleId="FollowedHyperlink">
    <w:name w:val="FollowedHyperlink"/>
    <w:aliases w:val="Hyperlink opened"/>
    <w:basedOn w:val="DefaultParagraphFont"/>
    <w:uiPriority w:val="99"/>
    <w:rPr>
      <w:rFonts w:ascii="Verdana" w:hAnsi="Verdana"/>
      <w:color w:val="800080"/>
      <w:sz w:val="20"/>
      <w:u w:val="single"/>
    </w:rPr>
  </w:style>
  <w:style w:type="paragraph" w:styleId="BodyText">
    <w:name w:val="Body Text"/>
    <w:aliases w:val="Text"/>
    <w:basedOn w:val="Normal"/>
    <w:link w:val="BodyTextChar"/>
    <w:uiPriority w:val="99"/>
    <w:pPr>
      <w:spacing w:after="240"/>
    </w:pPr>
  </w:style>
  <w:style w:type="character" w:customStyle="1" w:styleId="BodyTextChar">
    <w:name w:val="Body Text Char"/>
    <w:aliases w:val="Text Char"/>
    <w:basedOn w:val="DefaultParagraphFont"/>
    <w:link w:val="BodyText"/>
    <w:uiPriority w:val="99"/>
    <w:locked/>
    <w:rsid w:val="006358C1"/>
    <w:rPr>
      <w:lang w:val="x-none" w:eastAsia="fi-FI"/>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lang w:val="x-none" w:eastAsia="fi-FI"/>
    </w:rPr>
  </w:style>
  <w:style w:type="character" w:customStyle="1" w:styleId="Bold">
    <w:name w:val="Bold"/>
    <w:rPr>
      <w:rFonts w:ascii="Verdana" w:hAnsi="Verdana"/>
      <w:b/>
      <w:sz w:val="20"/>
    </w:rPr>
  </w:style>
  <w:style w:type="paragraph" w:customStyle="1" w:styleId="BulletedList1-usermanual">
    <w:name w:val="Bulleted List 1 - user manual"/>
    <w:basedOn w:val="Normal"/>
    <w:pPr>
      <w:numPr>
        <w:numId w:val="4"/>
      </w:numPr>
      <w:spacing w:line="360" w:lineRule="auto"/>
    </w:pPr>
  </w:style>
  <w:style w:type="paragraph" w:styleId="Title">
    <w:name w:val="Title"/>
    <w:aliases w:val="ECHA Heading"/>
    <w:basedOn w:val="Heading1"/>
    <w:next w:val="BodyText"/>
    <w:link w:val="TitleChar"/>
    <w:qFormat/>
    <w:rPr>
      <w:rFonts w:cs="Arial"/>
      <w:bCs/>
      <w:szCs w:val="32"/>
    </w:rPr>
  </w:style>
  <w:style w:type="character" w:customStyle="1" w:styleId="TitleChar">
    <w:name w:val="Title Char"/>
    <w:aliases w:val="ECHA Heading Char"/>
    <w:basedOn w:val="DefaultParagraphFont"/>
    <w:link w:val="Title"/>
    <w:locked/>
    <w:rPr>
      <w:rFonts w:cs="Arial"/>
      <w:b/>
      <w:bCs/>
      <w:color w:val="0046AD"/>
      <w:sz w:val="28"/>
      <w:szCs w:val="32"/>
      <w:lang w:eastAsia="fi-FI"/>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val="x-none" w:eastAsia="fi-FI"/>
    </w:rPr>
  </w:style>
  <w:style w:type="paragraph" w:styleId="BodyTextFirstIndent2">
    <w:name w:val="Body Text First Indent 2"/>
    <w:basedOn w:val="Normal"/>
    <w:link w:val="BodyTextFirstIndent2Char"/>
    <w:uiPriority w:val="99"/>
    <w:semiHidden/>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lang w:val="x-none" w:eastAsia="fi-FI"/>
    </w:rPr>
  </w:style>
  <w:style w:type="paragraph" w:customStyle="1" w:styleId="Footnotes">
    <w:name w:val="Footnotes"/>
    <w:basedOn w:val="BodyText"/>
    <w:rPr>
      <w:rFonts w:ascii="Georgia" w:hAnsi="Georgia"/>
      <w:sz w:val="18"/>
    </w:rPr>
  </w:style>
  <w:style w:type="paragraph" w:customStyle="1" w:styleId="Disclaimer">
    <w:name w:val="Disclaimer"/>
    <w:basedOn w:val="Footer"/>
    <w:pPr>
      <w:spacing w:before="120" w:line="140" w:lineRule="exact"/>
    </w:pPr>
    <w:rPr>
      <w:spacing w:val="0"/>
      <w:sz w:val="11"/>
    </w:rPr>
  </w:style>
  <w:style w:type="table" w:styleId="TableGrid">
    <w:name w:val="Table Grid"/>
    <w:basedOn w:val="TableNormal"/>
    <w:uiPriority w:val="59"/>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style>
  <w:style w:type="character" w:customStyle="1" w:styleId="FootnoteTextChar">
    <w:name w:val="Footnote Text Char"/>
    <w:aliases w:val="Footnote Text Char Char Char"/>
    <w:basedOn w:val="DefaultParagraphFont"/>
    <w:link w:val="FootnoteText"/>
    <w:locked/>
    <w:rPr>
      <w:lang w:val="x-none" w:eastAsia="fi-FI"/>
    </w:rPr>
  </w:style>
  <w:style w:type="character" w:styleId="FootnoteReference">
    <w:name w:val="footnote reference"/>
    <w:aliases w:val="Footnote,Footnote Reference/"/>
    <w:basedOn w:val="DefaultParagraphFont"/>
    <w:rPr>
      <w:rFonts w:ascii="Georgia" w:hAnsi="Georgia"/>
      <w:sz w:val="16"/>
      <w:vertAlign w:val="superscript"/>
    </w:rPr>
  </w:style>
  <w:style w:type="paragraph" w:customStyle="1" w:styleId="Tableheader">
    <w:name w:val="Table header"/>
    <w:basedOn w:val="BodyText"/>
    <w:pPr>
      <w:spacing w:after="120"/>
    </w:pPr>
    <w:rPr>
      <w:b/>
      <w:color w:val="FFCC00"/>
      <w:sz w:val="18"/>
      <w:szCs w:val="18"/>
    </w:rPr>
  </w:style>
  <w:style w:type="paragraph" w:customStyle="1" w:styleId="Tabletext">
    <w:name w:val="Tabletext"/>
    <w:basedOn w:val="BodyText"/>
    <w:pPr>
      <w:spacing w:after="0"/>
    </w:pPr>
    <w:rPr>
      <w:sz w:val="18"/>
    </w:rPr>
  </w:style>
  <w:style w:type="paragraph" w:customStyle="1" w:styleId="Covertitle">
    <w:name w:val="Cover title"/>
    <w:basedOn w:val="Normal"/>
    <w:link w:val="CovertitleChar"/>
    <w:qFormat/>
    <w:pPr>
      <w:widowControl/>
      <w:spacing w:before="2160" w:after="240"/>
      <w:jc w:val="center"/>
    </w:pPr>
    <w:rPr>
      <w:b/>
      <w:sz w:val="32"/>
      <w:szCs w:val="24"/>
      <w:lang w:eastAsia="en-US"/>
    </w:rPr>
  </w:style>
  <w:style w:type="paragraph" w:customStyle="1" w:styleId="NormalItalic">
    <w:name w:val="Normal Italic"/>
    <w:basedOn w:val="Normal"/>
    <w:link w:val="NormalItalicCharChar"/>
    <w:pPr>
      <w:widowControl/>
      <w:spacing w:after="180"/>
      <w:jc w:val="both"/>
    </w:pPr>
    <w:rPr>
      <w:i/>
      <w:szCs w:val="24"/>
      <w:lang w:eastAsia="en-US"/>
    </w:rPr>
  </w:style>
  <w:style w:type="character" w:customStyle="1" w:styleId="CovertitleChar">
    <w:name w:val="Cover title Char"/>
    <w:link w:val="Covertitle"/>
    <w:locked/>
    <w:rPr>
      <w:b/>
      <w:sz w:val="24"/>
      <w:lang w:val="x-none" w:eastAsia="en-US"/>
    </w:rPr>
  </w:style>
  <w:style w:type="character" w:customStyle="1" w:styleId="NormalItalicCharChar">
    <w:name w:val="Normal Italic Char Char"/>
    <w:link w:val="NormalItalic"/>
    <w:locked/>
    <w:rPr>
      <w:i/>
      <w:sz w:val="24"/>
      <w:lang w:val="x-none" w:eastAsia="en-US"/>
    </w:rPr>
  </w:style>
  <w:style w:type="paragraph" w:customStyle="1" w:styleId="Sectiontitle">
    <w:name w:val="Section title"/>
    <w:basedOn w:val="Normal"/>
    <w:next w:val="Normal"/>
    <w:link w:val="SectiontitleChar"/>
    <w:pPr>
      <w:widowControl/>
      <w:spacing w:before="240" w:after="360"/>
      <w:jc w:val="center"/>
    </w:pPr>
    <w:rPr>
      <w:b/>
      <w:caps/>
      <w:sz w:val="32"/>
      <w:szCs w:val="32"/>
      <w:lang w:eastAsia="en-US"/>
    </w:rPr>
  </w:style>
  <w:style w:type="character" w:customStyle="1" w:styleId="SectiontitleChar">
    <w:name w:val="Section title Char"/>
    <w:link w:val="Sectiontitle"/>
    <w:locked/>
    <w:rPr>
      <w:b/>
      <w:caps/>
      <w:sz w:val="32"/>
      <w:lang w:val="x-none" w:eastAsia="en-US"/>
    </w:rPr>
  </w:style>
  <w:style w:type="paragraph" w:styleId="Caption">
    <w:name w:val="caption"/>
    <w:aliases w:val="Caption Table"/>
    <w:basedOn w:val="Normal"/>
    <w:next w:val="Normal"/>
    <w:link w:val="CaptionChar"/>
    <w:qFormat/>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Pr>
      <w:sz w:val="24"/>
      <w:lang w:val="x-none" w:eastAsia="en-US"/>
    </w:rPr>
  </w:style>
  <w:style w:type="paragraph" w:customStyle="1" w:styleId="TableRowHeader">
    <w:name w:val="Table Row Header"/>
    <w:basedOn w:val="Normal"/>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Pr>
      <w:i/>
      <w:iCs/>
    </w:rPr>
  </w:style>
  <w:style w:type="paragraph" w:customStyle="1" w:styleId="TableColumnHeader">
    <w:name w:val="Table Column Header"/>
    <w:basedOn w:val="Normal"/>
    <w:pPr>
      <w:keepNext/>
      <w:keepLines/>
      <w:widowControl/>
      <w:spacing w:before="54" w:after="54"/>
      <w:ind w:left="113"/>
      <w:jc w:val="center"/>
    </w:pPr>
    <w:rPr>
      <w:b/>
      <w:bCs/>
      <w:szCs w:val="22"/>
      <w:lang w:eastAsia="da-DK"/>
    </w:rPr>
  </w:style>
  <w:style w:type="paragraph" w:customStyle="1" w:styleId="Tablenote">
    <w:name w:val="Table note"/>
    <w:next w:val="BodyText"/>
    <w:pPr>
      <w:spacing w:before="90"/>
      <w:ind w:left="839"/>
      <w:jc w:val="both"/>
    </w:pPr>
    <w:rPr>
      <w:rFonts w:ascii="Times New Roman" w:hAnsi="Times New Roman" w:cs="Times New Roman"/>
      <w:spacing w:val="-3"/>
      <w:lang w:val="en-US" w:eastAsia="en-US"/>
    </w:rPr>
  </w:style>
  <w:style w:type="paragraph" w:customStyle="1" w:styleId="Tabletext0">
    <w:name w:val="Table text"/>
    <w:basedOn w:val="Normal"/>
    <w:link w:val="TabletextCar"/>
    <w:pPr>
      <w:keepNext/>
      <w:keepLines/>
      <w:widowControl/>
      <w:spacing w:before="54" w:after="54"/>
      <w:ind w:left="113"/>
      <w:jc w:val="both"/>
    </w:pPr>
    <w:rPr>
      <w:szCs w:val="24"/>
      <w:lang w:eastAsia="da-DK"/>
    </w:rPr>
  </w:style>
  <w:style w:type="character" w:customStyle="1" w:styleId="TabletextCar">
    <w:name w:val="Table text Car"/>
    <w:link w:val="Tabletext0"/>
    <w:locked/>
    <w:rPr>
      <w:sz w:val="24"/>
      <w:lang w:val="x-none" w:eastAsia="da-DK"/>
    </w:rPr>
  </w:style>
  <w:style w:type="paragraph" w:customStyle="1" w:styleId="Normalbold">
    <w:name w:val="Normal bold"/>
    <w:basedOn w:val="Normal"/>
    <w:link w:val="NormalboldChar"/>
    <w:pPr>
      <w:widowControl/>
      <w:spacing w:after="180"/>
      <w:jc w:val="both"/>
    </w:pPr>
    <w:rPr>
      <w:b/>
      <w:szCs w:val="24"/>
      <w:lang w:eastAsia="en-US"/>
    </w:rPr>
  </w:style>
  <w:style w:type="paragraph" w:customStyle="1" w:styleId="Tablenumbers">
    <w:name w:val="Table numbers"/>
    <w:basedOn w:val="Tabletext0"/>
    <w:link w:val="TablenumbersChar"/>
    <w:pPr>
      <w:jc w:val="center"/>
    </w:pPr>
  </w:style>
  <w:style w:type="character" w:customStyle="1" w:styleId="TablenumbersChar">
    <w:name w:val="Table numbers Char"/>
    <w:link w:val="Tablenumbers"/>
    <w:locked/>
    <w:rPr>
      <w:sz w:val="24"/>
      <w:lang w:val="x-none" w:eastAsia="da-DK"/>
    </w:rPr>
  </w:style>
  <w:style w:type="paragraph" w:customStyle="1" w:styleId="Figure">
    <w:name w:val="Figure"/>
    <w:basedOn w:val="Normal"/>
    <w:next w:val="CaptionFigure"/>
    <w:pPr>
      <w:widowControl/>
      <w:spacing w:before="360" w:after="180"/>
      <w:jc w:val="center"/>
    </w:pPr>
    <w:rPr>
      <w:szCs w:val="24"/>
      <w:lang w:eastAsia="en-US"/>
    </w:rPr>
  </w:style>
  <w:style w:type="paragraph" w:customStyle="1" w:styleId="CaptionFigure">
    <w:name w:val="Caption Figure"/>
    <w:basedOn w:val="Caption"/>
    <w:pPr>
      <w:jc w:val="center"/>
    </w:pPr>
    <w:rPr>
      <w:sz w:val="24"/>
    </w:rPr>
  </w:style>
  <w:style w:type="character" w:customStyle="1" w:styleId="NormalboldChar">
    <w:name w:val="Normal bold Char"/>
    <w:link w:val="Normalbold"/>
    <w:locked/>
    <w:rPr>
      <w:b/>
      <w:sz w:val="24"/>
      <w:lang w:val="x-none" w:eastAsia="en-US"/>
    </w:rPr>
  </w:style>
  <w:style w:type="paragraph" w:customStyle="1" w:styleId="References">
    <w:name w:val="References"/>
    <w:basedOn w:val="Normal"/>
    <w:pPr>
      <w:widowControl/>
      <w:spacing w:after="180"/>
      <w:ind w:left="720" w:hanging="720"/>
      <w:jc w:val="both"/>
    </w:pPr>
    <w:rPr>
      <w:szCs w:val="24"/>
      <w:lang w:eastAsia="en-US"/>
    </w:rPr>
  </w:style>
  <w:style w:type="paragraph" w:customStyle="1" w:styleId="Heading">
    <w:name w:val="Heading"/>
    <w:basedOn w:val="Normal"/>
    <w:next w:val="Normal"/>
    <w:link w:val="HeadingChar"/>
    <w:pPr>
      <w:keepNext/>
      <w:widowControl/>
      <w:numPr>
        <w:numId w:val="7"/>
      </w:numPr>
      <w:suppressAutoHyphens/>
      <w:spacing w:before="240" w:after="120"/>
    </w:pPr>
    <w:rPr>
      <w:rFonts w:eastAsia="SimSun"/>
      <w:b/>
      <w:caps/>
      <w:szCs w:val="28"/>
      <w:lang w:eastAsia="ar-SA"/>
    </w:rPr>
  </w:style>
  <w:style w:type="paragraph" w:styleId="TableofFigures">
    <w:name w:val="table of figures"/>
    <w:basedOn w:val="Normal"/>
    <w:next w:val="Normal"/>
    <w:uiPriority w:val="99"/>
  </w:style>
  <w:style w:type="paragraph" w:styleId="TOC4">
    <w:name w:val="toc 4"/>
    <w:basedOn w:val="Normal"/>
    <w:next w:val="Normal"/>
    <w:autoRedefine/>
    <w:uiPriority w:val="39"/>
    <w:pPr>
      <w:ind w:left="600"/>
    </w:pPr>
    <w:rPr>
      <w:rFonts w:ascii="Calibri" w:hAnsi="Calibri" w:cs="Calibri"/>
      <w:sz w:val="18"/>
      <w:szCs w:val="18"/>
    </w:rPr>
  </w:style>
  <w:style w:type="paragraph" w:styleId="TOC5">
    <w:name w:val="toc 5"/>
    <w:basedOn w:val="Normal"/>
    <w:next w:val="Normal"/>
    <w:autoRedefine/>
    <w:uiPriority w:val="39"/>
    <w:pPr>
      <w:ind w:left="800"/>
    </w:pPr>
    <w:rPr>
      <w:rFonts w:ascii="Calibri" w:hAnsi="Calibri" w:cs="Calibri"/>
      <w:sz w:val="18"/>
      <w:szCs w:val="18"/>
    </w:rPr>
  </w:style>
  <w:style w:type="paragraph" w:styleId="TOC6">
    <w:name w:val="toc 6"/>
    <w:basedOn w:val="Normal"/>
    <w:next w:val="Normal"/>
    <w:autoRedefine/>
    <w:uiPriority w:val="39"/>
    <w:pPr>
      <w:ind w:left="1000"/>
    </w:pPr>
    <w:rPr>
      <w:rFonts w:ascii="Calibri" w:hAnsi="Calibri" w:cs="Calibri"/>
      <w:sz w:val="18"/>
      <w:szCs w:val="18"/>
    </w:rPr>
  </w:style>
  <w:style w:type="paragraph" w:styleId="TOC7">
    <w:name w:val="toc 7"/>
    <w:basedOn w:val="Normal"/>
    <w:next w:val="Normal"/>
    <w:autoRedefine/>
    <w:uiPriority w:val="39"/>
    <w:pPr>
      <w:ind w:left="1200"/>
    </w:pPr>
    <w:rPr>
      <w:rFonts w:ascii="Calibri" w:hAnsi="Calibri" w:cs="Calibri"/>
      <w:sz w:val="18"/>
      <w:szCs w:val="18"/>
    </w:rPr>
  </w:style>
  <w:style w:type="paragraph" w:styleId="TOC8">
    <w:name w:val="toc 8"/>
    <w:basedOn w:val="Normal"/>
    <w:next w:val="Normal"/>
    <w:autoRedefine/>
    <w:uiPriority w:val="39"/>
    <w:pPr>
      <w:spacing w:before="120" w:after="120"/>
    </w:pPr>
    <w:rPr>
      <w:rFonts w:ascii="Calibri" w:hAnsi="Calibri" w:cs="Calibri"/>
      <w:b/>
      <w:caps/>
      <w:szCs w:val="18"/>
    </w:rPr>
  </w:style>
  <w:style w:type="paragraph" w:styleId="TOC9">
    <w:name w:val="toc 9"/>
    <w:basedOn w:val="Normal"/>
    <w:next w:val="Normal"/>
    <w:autoRedefine/>
    <w:uiPriority w:val="39"/>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style>
  <w:style w:type="paragraph" w:customStyle="1" w:styleId="ANNEX">
    <w:name w:val="ANNEX"/>
    <w:basedOn w:val="Heading"/>
    <w:link w:val="ANNEXChar"/>
    <w:qFormat/>
    <w:pPr>
      <w:ind w:left="0" w:firstLine="1077"/>
    </w:pPr>
  </w:style>
  <w:style w:type="character" w:customStyle="1" w:styleId="TitleintroChar">
    <w:name w:val="Title intro Char"/>
    <w:link w:val="Titleintro"/>
    <w:locked/>
    <w:rPr>
      <w:b/>
      <w:caps/>
      <w:sz w:val="32"/>
      <w:lang w:val="x-none" w:eastAsia="en-US"/>
    </w:rPr>
  </w:style>
  <w:style w:type="character" w:styleId="Strong">
    <w:name w:val="Strong"/>
    <w:basedOn w:val="DefaultParagraphFont"/>
    <w:uiPriority w:val="22"/>
    <w:qFormat/>
    <w:rPr>
      <w:b/>
    </w:rPr>
  </w:style>
  <w:style w:type="character" w:customStyle="1" w:styleId="HeadingChar">
    <w:name w:val="Heading Char"/>
    <w:link w:val="Heading"/>
    <w:locked/>
    <w:rPr>
      <w:rFonts w:eastAsia="SimSun" w:cs="Times New Roman"/>
      <w:b/>
      <w:caps/>
      <w:szCs w:val="28"/>
      <w:lang w:eastAsia="ar-SA"/>
    </w:rPr>
  </w:style>
  <w:style w:type="character" w:customStyle="1" w:styleId="ANNEXChar">
    <w:name w:val="ANNEX Char"/>
    <w:link w:val="ANNEX"/>
    <w:locked/>
    <w:rPr>
      <w:rFonts w:eastAsia="SimSun" w:cs="Times New Roman"/>
      <w:b/>
      <w:caps/>
      <w:szCs w:val="28"/>
      <w:lang w:eastAsia="ar-SA"/>
    </w:rPr>
  </w:style>
  <w:style w:type="paragraph" w:customStyle="1" w:styleId="Referencetitle">
    <w:name w:val="Reference title"/>
    <w:basedOn w:val="Titleintro"/>
    <w:link w:val="ReferencetitleChar"/>
    <w:qFormat/>
  </w:style>
  <w:style w:type="paragraph" w:customStyle="1" w:styleId="CM1">
    <w:name w:val="CM1"/>
    <w:basedOn w:val="Normal"/>
    <w:next w:val="Normal"/>
    <w:uiPriority w:val="99"/>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style>
  <w:style w:type="paragraph" w:customStyle="1" w:styleId="CM3">
    <w:name w:val="CM3"/>
    <w:basedOn w:val="Normal"/>
    <w:next w:val="Normal"/>
    <w:uiPriority w:val="99"/>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pPr>
      <w:widowControl/>
    </w:pPr>
    <w:rPr>
      <w:szCs w:val="21"/>
      <w:lang w:eastAsia="en-US"/>
    </w:rPr>
  </w:style>
  <w:style w:type="character" w:customStyle="1" w:styleId="PlainTextChar">
    <w:name w:val="Plain Text Char"/>
    <w:basedOn w:val="DefaultParagraphFont"/>
    <w:link w:val="PlainText"/>
    <w:uiPriority w:val="99"/>
    <w:locked/>
    <w:rPr>
      <w:rFonts w:eastAsia="Times New Roman"/>
      <w:sz w:val="21"/>
      <w:lang w:val="x-none" w:eastAsia="en-US"/>
    </w:rPr>
  </w:style>
  <w:style w:type="paragraph" w:customStyle="1" w:styleId="Sisllysluettelonotsikko">
    <w:name w:val="Sisällysluettelon otsikko"/>
    <w:basedOn w:val="Heading1"/>
    <w:next w:val="Normal"/>
    <w:uiPriority w:val="39"/>
    <w:semiHidden/>
    <w:unhideWhenUsed/>
    <w:qFormat/>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B6376F"/>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473F8A"/>
    <w:rPr>
      <w:rFonts w:cs="Times New Roman"/>
      <w:lang w:eastAsia="fi-FI"/>
    </w:rPr>
  </w:style>
  <w:style w:type="paragraph" w:styleId="NoSpacing">
    <w:name w:val="No Spacing"/>
    <w:uiPriority w:val="1"/>
    <w:qFormat/>
    <w:rsid w:val="001F5783"/>
    <w:pPr>
      <w:widowControl w:val="0"/>
    </w:pPr>
    <w:rPr>
      <w:rFonts w:cs="Times New Roman"/>
      <w:lang w:eastAsia="fi-FI"/>
    </w:rPr>
  </w:style>
  <w:style w:type="paragraph" w:styleId="ListParagraph">
    <w:name w:val="List Paragraph"/>
    <w:basedOn w:val="Normal"/>
    <w:uiPriority w:val="34"/>
    <w:qFormat/>
    <w:rsid w:val="003909BD"/>
    <w:pPr>
      <w:ind w:left="720"/>
    </w:pPr>
  </w:style>
  <w:style w:type="paragraph" w:customStyle="1" w:styleId="Default">
    <w:name w:val="Default"/>
    <w:rsid w:val="00B61257"/>
    <w:pPr>
      <w:autoSpaceDE w:val="0"/>
      <w:autoSpaceDN w:val="0"/>
      <w:adjustRightInd w:val="0"/>
    </w:pPr>
    <w:rPr>
      <w:rFonts w:ascii="Symbol" w:hAnsi="Symbol" w:cs="Symbol"/>
      <w:color w:val="000000"/>
      <w:sz w:val="24"/>
      <w:szCs w:val="24"/>
    </w:rPr>
  </w:style>
  <w:style w:type="numbering" w:customStyle="1" w:styleId="ECHABulletlist">
    <w:name w:val="ECHA Bullet list"/>
    <w:pPr>
      <w:numPr>
        <w:numId w:val="2"/>
      </w:numPr>
    </w:pPr>
  </w:style>
  <w:style w:type="numbering" w:customStyle="1" w:styleId="ECHANumberlist">
    <w:name w:val="ECHA Number list"/>
    <w:pPr>
      <w:numPr>
        <w:numId w:val="3"/>
      </w:numPr>
    </w:pPr>
  </w:style>
  <w:style w:type="character" w:customStyle="1" w:styleId="value1">
    <w:name w:val="value1"/>
    <w:rsid w:val="00554DC9"/>
    <w:rPr>
      <w:vanish w:val="0"/>
      <w:webHidden w:val="0"/>
      <w:color w:val="4A6463"/>
      <w:sz w:val="29"/>
      <w:szCs w:val="29"/>
      <w:specVanish w:val="0"/>
    </w:rPr>
  </w:style>
  <w:style w:type="paragraph" w:styleId="ListBullet">
    <w:name w:val="List Bullet"/>
    <w:next w:val="BodyText"/>
    <w:rsid w:val="00AF4F79"/>
    <w:pPr>
      <w:numPr>
        <w:numId w:val="27"/>
      </w:numPr>
      <w:tabs>
        <w:tab w:val="clear" w:pos="425"/>
        <w:tab w:val="left" w:pos="357"/>
      </w:tabs>
      <w:ind w:left="357" w:hanging="357"/>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767">
      <w:bodyDiv w:val="1"/>
      <w:marLeft w:val="0"/>
      <w:marRight w:val="0"/>
      <w:marTop w:val="0"/>
      <w:marBottom w:val="0"/>
      <w:divBdr>
        <w:top w:val="none" w:sz="0" w:space="0" w:color="auto"/>
        <w:left w:val="none" w:sz="0" w:space="0" w:color="auto"/>
        <w:bottom w:val="none" w:sz="0" w:space="0" w:color="auto"/>
        <w:right w:val="none" w:sz="0" w:space="0" w:color="auto"/>
      </w:divBdr>
    </w:div>
    <w:div w:id="674308456">
      <w:bodyDiv w:val="1"/>
      <w:marLeft w:val="0"/>
      <w:marRight w:val="0"/>
      <w:marTop w:val="0"/>
      <w:marBottom w:val="0"/>
      <w:divBdr>
        <w:top w:val="none" w:sz="0" w:space="0" w:color="auto"/>
        <w:left w:val="none" w:sz="0" w:space="0" w:color="auto"/>
        <w:bottom w:val="none" w:sz="0" w:space="0" w:color="auto"/>
        <w:right w:val="none" w:sz="0" w:space="0" w:color="auto"/>
      </w:divBdr>
      <w:divsChild>
        <w:div w:id="1458643402">
          <w:marLeft w:val="0"/>
          <w:marRight w:val="0"/>
          <w:marTop w:val="0"/>
          <w:marBottom w:val="0"/>
          <w:divBdr>
            <w:top w:val="none" w:sz="0" w:space="0" w:color="auto"/>
            <w:left w:val="none" w:sz="0" w:space="0" w:color="auto"/>
            <w:bottom w:val="none" w:sz="0" w:space="0" w:color="auto"/>
            <w:right w:val="none" w:sz="0" w:space="0" w:color="auto"/>
          </w:divBdr>
          <w:divsChild>
            <w:div w:id="1241058824">
              <w:marLeft w:val="0"/>
              <w:marRight w:val="0"/>
              <w:marTop w:val="0"/>
              <w:marBottom w:val="0"/>
              <w:divBdr>
                <w:top w:val="none" w:sz="0" w:space="0" w:color="auto"/>
                <w:left w:val="none" w:sz="0" w:space="0" w:color="auto"/>
                <w:bottom w:val="none" w:sz="0" w:space="0" w:color="auto"/>
                <w:right w:val="none" w:sz="0" w:space="0" w:color="auto"/>
              </w:divBdr>
              <w:divsChild>
                <w:div w:id="13488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7110">
      <w:bodyDiv w:val="1"/>
      <w:marLeft w:val="0"/>
      <w:marRight w:val="0"/>
      <w:marTop w:val="0"/>
      <w:marBottom w:val="0"/>
      <w:divBdr>
        <w:top w:val="none" w:sz="0" w:space="0" w:color="auto"/>
        <w:left w:val="none" w:sz="0" w:space="0" w:color="auto"/>
        <w:bottom w:val="none" w:sz="0" w:space="0" w:color="auto"/>
        <w:right w:val="none" w:sz="0" w:space="0" w:color="auto"/>
      </w:divBdr>
    </w:div>
    <w:div w:id="856577556">
      <w:bodyDiv w:val="1"/>
      <w:marLeft w:val="0"/>
      <w:marRight w:val="0"/>
      <w:marTop w:val="0"/>
      <w:marBottom w:val="0"/>
      <w:divBdr>
        <w:top w:val="none" w:sz="0" w:space="0" w:color="auto"/>
        <w:left w:val="none" w:sz="0" w:space="0" w:color="auto"/>
        <w:bottom w:val="none" w:sz="0" w:space="0" w:color="auto"/>
        <w:right w:val="none" w:sz="0" w:space="0" w:color="auto"/>
      </w:divBdr>
    </w:div>
    <w:div w:id="900285397">
      <w:bodyDiv w:val="1"/>
      <w:marLeft w:val="0"/>
      <w:marRight w:val="0"/>
      <w:marTop w:val="0"/>
      <w:marBottom w:val="0"/>
      <w:divBdr>
        <w:top w:val="none" w:sz="0" w:space="0" w:color="auto"/>
        <w:left w:val="none" w:sz="0" w:space="0" w:color="auto"/>
        <w:bottom w:val="none" w:sz="0" w:space="0" w:color="auto"/>
        <w:right w:val="none" w:sz="0" w:space="0" w:color="auto"/>
      </w:divBdr>
    </w:div>
    <w:div w:id="927693776">
      <w:bodyDiv w:val="1"/>
      <w:marLeft w:val="0"/>
      <w:marRight w:val="0"/>
      <w:marTop w:val="0"/>
      <w:marBottom w:val="0"/>
      <w:divBdr>
        <w:top w:val="none" w:sz="0" w:space="0" w:color="auto"/>
        <w:left w:val="none" w:sz="0" w:space="0" w:color="auto"/>
        <w:bottom w:val="none" w:sz="0" w:space="0" w:color="auto"/>
        <w:right w:val="none" w:sz="0" w:space="0" w:color="auto"/>
      </w:divBdr>
    </w:div>
    <w:div w:id="1158955757">
      <w:bodyDiv w:val="1"/>
      <w:marLeft w:val="0"/>
      <w:marRight w:val="0"/>
      <w:marTop w:val="0"/>
      <w:marBottom w:val="0"/>
      <w:divBdr>
        <w:top w:val="none" w:sz="0" w:space="0" w:color="auto"/>
        <w:left w:val="none" w:sz="0" w:space="0" w:color="auto"/>
        <w:bottom w:val="none" w:sz="0" w:space="0" w:color="auto"/>
        <w:right w:val="none" w:sz="0" w:space="0" w:color="auto"/>
      </w:divBdr>
    </w:div>
    <w:div w:id="1526289818">
      <w:bodyDiv w:val="1"/>
      <w:marLeft w:val="0"/>
      <w:marRight w:val="0"/>
      <w:marTop w:val="0"/>
      <w:marBottom w:val="0"/>
      <w:divBdr>
        <w:top w:val="none" w:sz="0" w:space="0" w:color="auto"/>
        <w:left w:val="none" w:sz="0" w:space="0" w:color="auto"/>
        <w:bottom w:val="none" w:sz="0" w:space="0" w:color="auto"/>
        <w:right w:val="none" w:sz="0" w:space="0" w:color="auto"/>
      </w:divBdr>
    </w:div>
    <w:div w:id="1588539924">
      <w:bodyDiv w:val="1"/>
      <w:marLeft w:val="0"/>
      <w:marRight w:val="0"/>
      <w:marTop w:val="0"/>
      <w:marBottom w:val="0"/>
      <w:divBdr>
        <w:top w:val="none" w:sz="0" w:space="0" w:color="auto"/>
        <w:left w:val="none" w:sz="0" w:space="0" w:color="auto"/>
        <w:bottom w:val="none" w:sz="0" w:space="0" w:color="auto"/>
        <w:right w:val="none" w:sz="0" w:space="0" w:color="auto"/>
      </w:divBdr>
    </w:div>
    <w:div w:id="1670712953">
      <w:bodyDiv w:val="1"/>
      <w:marLeft w:val="0"/>
      <w:marRight w:val="0"/>
      <w:marTop w:val="0"/>
      <w:marBottom w:val="0"/>
      <w:divBdr>
        <w:top w:val="none" w:sz="0" w:space="0" w:color="auto"/>
        <w:left w:val="none" w:sz="0" w:space="0" w:color="auto"/>
        <w:bottom w:val="none" w:sz="0" w:space="0" w:color="auto"/>
        <w:right w:val="none" w:sz="0" w:space="0" w:color="auto"/>
      </w:divBdr>
    </w:div>
    <w:div w:id="1797406831">
      <w:bodyDiv w:val="1"/>
      <w:marLeft w:val="0"/>
      <w:marRight w:val="0"/>
      <w:marTop w:val="0"/>
      <w:marBottom w:val="0"/>
      <w:divBdr>
        <w:top w:val="none" w:sz="0" w:space="0" w:color="auto"/>
        <w:left w:val="none" w:sz="0" w:space="0" w:color="auto"/>
        <w:bottom w:val="none" w:sz="0" w:space="0" w:color="auto"/>
        <w:right w:val="none" w:sz="0" w:space="0" w:color="auto"/>
      </w:divBdr>
    </w:div>
    <w:div w:id="2000305926">
      <w:marLeft w:val="0"/>
      <w:marRight w:val="0"/>
      <w:marTop w:val="0"/>
      <w:marBottom w:val="0"/>
      <w:divBdr>
        <w:top w:val="none" w:sz="0" w:space="0" w:color="auto"/>
        <w:left w:val="none" w:sz="0" w:space="0" w:color="auto"/>
        <w:bottom w:val="none" w:sz="0" w:space="0" w:color="auto"/>
        <w:right w:val="none" w:sz="0" w:space="0" w:color="auto"/>
      </w:divBdr>
    </w:div>
    <w:div w:id="2000305927">
      <w:marLeft w:val="0"/>
      <w:marRight w:val="0"/>
      <w:marTop w:val="0"/>
      <w:marBottom w:val="0"/>
      <w:divBdr>
        <w:top w:val="none" w:sz="0" w:space="0" w:color="auto"/>
        <w:left w:val="none" w:sz="0" w:space="0" w:color="auto"/>
        <w:bottom w:val="none" w:sz="0" w:space="0" w:color="auto"/>
        <w:right w:val="none" w:sz="0" w:space="0" w:color="auto"/>
      </w:divBdr>
    </w:div>
    <w:div w:id="2000305928">
      <w:marLeft w:val="0"/>
      <w:marRight w:val="0"/>
      <w:marTop w:val="0"/>
      <w:marBottom w:val="0"/>
      <w:divBdr>
        <w:top w:val="none" w:sz="0" w:space="0" w:color="auto"/>
        <w:left w:val="none" w:sz="0" w:space="0" w:color="auto"/>
        <w:bottom w:val="none" w:sz="0" w:space="0" w:color="auto"/>
        <w:right w:val="none" w:sz="0" w:space="0" w:color="auto"/>
      </w:divBdr>
    </w:div>
    <w:div w:id="2000305929">
      <w:marLeft w:val="0"/>
      <w:marRight w:val="0"/>
      <w:marTop w:val="0"/>
      <w:marBottom w:val="0"/>
      <w:divBdr>
        <w:top w:val="none" w:sz="0" w:space="0" w:color="auto"/>
        <w:left w:val="none" w:sz="0" w:space="0" w:color="auto"/>
        <w:bottom w:val="none" w:sz="0" w:space="0" w:color="auto"/>
        <w:right w:val="none" w:sz="0" w:space="0" w:color="auto"/>
      </w:divBdr>
    </w:div>
    <w:div w:id="2000305930">
      <w:marLeft w:val="0"/>
      <w:marRight w:val="0"/>
      <w:marTop w:val="0"/>
      <w:marBottom w:val="0"/>
      <w:divBdr>
        <w:top w:val="none" w:sz="0" w:space="0" w:color="auto"/>
        <w:left w:val="none" w:sz="0" w:space="0" w:color="auto"/>
        <w:bottom w:val="none" w:sz="0" w:space="0" w:color="auto"/>
        <w:right w:val="none" w:sz="0" w:space="0" w:color="auto"/>
      </w:divBdr>
    </w:div>
    <w:div w:id="2000305931">
      <w:marLeft w:val="0"/>
      <w:marRight w:val="0"/>
      <w:marTop w:val="0"/>
      <w:marBottom w:val="0"/>
      <w:divBdr>
        <w:top w:val="none" w:sz="0" w:space="0" w:color="auto"/>
        <w:left w:val="none" w:sz="0" w:space="0" w:color="auto"/>
        <w:bottom w:val="none" w:sz="0" w:space="0" w:color="auto"/>
        <w:right w:val="none" w:sz="0" w:space="0" w:color="auto"/>
      </w:divBdr>
    </w:div>
    <w:div w:id="2000305932">
      <w:marLeft w:val="0"/>
      <w:marRight w:val="0"/>
      <w:marTop w:val="0"/>
      <w:marBottom w:val="0"/>
      <w:divBdr>
        <w:top w:val="none" w:sz="0" w:space="0" w:color="auto"/>
        <w:left w:val="none" w:sz="0" w:space="0" w:color="auto"/>
        <w:bottom w:val="none" w:sz="0" w:space="0" w:color="auto"/>
        <w:right w:val="none" w:sz="0" w:space="0" w:color="auto"/>
      </w:divBdr>
    </w:div>
    <w:div w:id="20003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m-dc.echa.europa.eu/dynamic-case-web/repository/31333339383139303635/SVHC-Report_Benz(a)anthracene_CONF.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ha.europa.eu/documents/10162/73d246d4-8c2a-4150-b656-c15948bf0e7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ha.europa.eu/documents/10162/73d246d4-8c2a-4150-b656-c15948bf0e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web/guest/information-on-chemicals/cl-inventor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PostausgangIV2.3@UBAnet.uba.de &amp;lt;PostausgangIV2.3@UBAnet.uba.de&amp;gt;</EmailTo>
    <EmailHeaders xmlns="http://schemas.microsoft.com/sharepoint/v4">x-sender: ivo.schliebner@uba.de
x-receiver: postausgangiv2.3@ubanet.uba.de
Received: from mail.uba.de ([192.168.203.138]) by hermes-de2.uba.de with Microsoft SMTPSVC(7.5.7601.17514);
	 Fri, 25 Aug 2017 10:49:26 +0200
Received: from de-inf-015.uba.bund.de ([192.168.68.224]:50308)
	by mail.uba.de with esmtps (TLSv1.2:AES256-SHA256:256)
	(Exim 4.82_1-5b7a7c0-XX)
	(envelope-from &lt;Ivo.Schliebner@uba.de&gt;)
	id 1dlAIt-0008TT-1B
	for PostausgangIV2.3@UBAnet.uba.de; Fri, 25 Aug 2017 10:49:23 +0200
Received: from DE-INF-014.UBA.BUND.DE (192.168.68.223) by
 DE-INF-015.UBA.BUND.DE (192.168.68.224) with Microsoft SMTP Server
 (version=TLS1_2, cipher=TLS_ECDHE_RSA_WITH_AES_256_CBC_SHA384_P384) id
 15.1.669.32; Fri, 25 Aug 2017 10:49:22 +0200
Received: from DE-INF-014.UBA.BUND.DE ([192.168.68.223]) by
 DE-INF-014.UBA.BUND.DE ([192.168.68.223]) with mapi id 15.01.0669.032; Fri,
 25 Aug 2017 10:49:22 +0200
From: "Schliebner, Ivo" &lt;Ivo.Schliebner@uba.de&gt;
To: "PostausgangIV2.3@UBAnet.uba.de" &lt;PostausgangIV2.3@UBAnet.uba.de&gt;
Subject: SVHC-Dossiers BaA und CHR
Thread-Topic: SVHC-Dossiers BaA und CHR
Thread-Index: AdMdfuWatD3K3ERbQg+EkBxCxbWxzg==
Date: Fri, 25 Aug 2017 08:49:22 +0000
Message-ID: &lt;714853a048e34c91be95c05eff5d20a5@uba.de&gt;
Accept-Language: de-DE, en-US
Content-Language: de-DE
X-MS-Has-Attach: yes
X-MS-TNEF-Correlator:
x-originating-ip: [172.25.11.9]
Content-Type: multipart/mixed;
	boundary="_006_714853a048e34c91be95c05eff5d20a5ubade_"
MIME-Version: 1.0
Return-Path: ivo.schliebner@uba.de
X-OriginalArrivalTime: 25 Aug 2017 08:49:26.0533 (UTC) FILETIME=[0E820350:01D31D7F]
</EmailHeaders>
    <EmailSender xmlns="http://schemas.microsoft.com/sharepoint/v3">&lt;a href="mailto:ivo.schliebner@uba.de"&gt;ivo.schliebner@uba.de&lt;/a&gt;</EmailSender>
    <EmailFrom xmlns="http://schemas.microsoft.com/sharepoint/v3">Schliebner, Ivo &lt;Ivo.Schliebner@uba.de&gt;</EmailFrom>
    <EmailSubject xmlns="http://schemas.microsoft.com/sharepoint/v3">SVHC-Dossiers BaA und CHR</EmailSubject>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F7102F7333964B88728C2BFD724DAE" ma:contentTypeVersion="6" ma:contentTypeDescription="Ein neues Dokument erstellen." ma:contentTypeScope="" ma:versionID="8872b2b07af2e43fa7568b62a8dee24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cc945cd244219d18e62c5a5d6a8a8355"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bsender" ma:hidden="true" ma:internalName="EmailSender">
      <xsd:simpleType>
        <xsd:restriction base="dms:Note">
          <xsd:maxLength value="255"/>
        </xsd:restriction>
      </xsd:simpleType>
    </xsd:element>
    <xsd:element name="EmailTo" ma:index="9" nillable="true" ma:displayName="E-Mail 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on" ma:hidden="true" ma:internalName="EmailFrom">
      <xsd:simpleType>
        <xsd:restriction base="dms:Text"/>
      </xsd:simpleType>
    </xsd:element>
    <xsd:element name="EmailSubject" ma:index="12"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Kopfzeilen"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E269-1E98-411A-A103-D2EC417022C6}">
  <ds:schemaRef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E54FA8D-8C0F-4176-A3B2-179A5853A8D4}">
  <ds:schemaRefs>
    <ds:schemaRef ds:uri="http://schemas.microsoft.com/sharepoint/v3/contenttype/forms"/>
  </ds:schemaRefs>
</ds:datastoreItem>
</file>

<file path=customXml/itemProps3.xml><?xml version="1.0" encoding="utf-8"?>
<ds:datastoreItem xmlns:ds="http://schemas.openxmlformats.org/officeDocument/2006/customXml" ds:itemID="{878BCD7E-8494-4B8E-B252-BCEBCD972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6D0A0-F05C-4F72-9DAC-451E5B527C2D}">
  <ds:schemaRefs>
    <ds:schemaRef ds:uri="http://schemas.microsoft.com/office/2006/metadata/longProperties"/>
  </ds:schemaRefs>
</ds:datastoreItem>
</file>

<file path=customXml/itemProps5.xml><?xml version="1.0" encoding="utf-8"?>
<ds:datastoreItem xmlns:ds="http://schemas.openxmlformats.org/officeDocument/2006/customXml" ds:itemID="{3D42C509-7496-4043-81AB-66351436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C836A704.dotm</Template>
  <TotalTime>25</TotalTime>
  <Pages>32</Pages>
  <Words>10047</Words>
  <Characters>57273</Characters>
  <Application>Microsoft Office Word</Application>
  <DocSecurity>0</DocSecurity>
  <Lines>477</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XV report</vt:lpstr>
      <vt:lpstr>Annex XV report</vt:lpstr>
    </vt:vector>
  </TitlesOfParts>
  <Company>European Chemicals Agency</Company>
  <LinksUpToDate>false</LinksUpToDate>
  <CharactersWithSpaces>67186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XV report</dc:title>
  <dc:creator>NORAH OFARRELL</dc:creator>
  <dc:description>Stand 05/2016</dc:description>
  <cp:lastModifiedBy>O'FARRELL Norah</cp:lastModifiedBy>
  <cp:revision>14</cp:revision>
  <cp:lastPrinted>2017-08-30T14:04:00Z</cp:lastPrinted>
  <dcterms:created xsi:type="dcterms:W3CDTF">2017-08-29T19:46:00Z</dcterms:created>
  <dcterms:modified xsi:type="dcterms:W3CDTF">2017-08-30T14:04:00Z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0x0101003AF7102F7333964B88728C2BFD724DAE</vt:lpwstr>
  </property>
</Properties>
</file>