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DB17" w14:textId="77777777" w:rsidR="00B4686D" w:rsidRPr="00052E08" w:rsidRDefault="00B4686D" w:rsidP="00B4686D">
      <w:pPr>
        <w:tabs>
          <w:tab w:val="left" w:pos="8505"/>
        </w:tabs>
        <w:spacing w:before="480"/>
        <w:ind w:left="-142" w:right="-45"/>
        <w:jc w:val="center"/>
        <w:rPr>
          <w:rFonts w:ascii="Verdana" w:hAnsi="Verdana"/>
          <w:sz w:val="36"/>
          <w:szCs w:val="36"/>
          <w:lang w:val="en-GB" w:eastAsia="de-DE"/>
        </w:rPr>
      </w:pPr>
      <w:r w:rsidRPr="00052E08">
        <w:rPr>
          <w:rFonts w:ascii="Verdana" w:hAnsi="Verdana"/>
          <w:noProof/>
          <w:sz w:val="36"/>
          <w:szCs w:val="36"/>
          <w:lang w:val="pl-PL" w:eastAsia="pl-PL"/>
        </w:rPr>
        <mc:AlternateContent>
          <mc:Choice Requires="wps">
            <w:drawing>
              <wp:anchor distT="0" distB="0" distL="114300" distR="114300" simplePos="0" relativeHeight="251659264" behindDoc="0" locked="0" layoutInCell="1" allowOverlap="1" wp14:anchorId="09B9485B" wp14:editId="2419940A">
                <wp:simplePos x="0" y="0"/>
                <wp:positionH relativeFrom="column">
                  <wp:posOffset>-394335</wp:posOffset>
                </wp:positionH>
                <wp:positionV relativeFrom="paragraph">
                  <wp:posOffset>6985</wp:posOffset>
                </wp:positionV>
                <wp:extent cx="6528435" cy="8867775"/>
                <wp:effectExtent l="0" t="0" r="2476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FF65E" id="Rectangle 4" o:spid="_x0000_s1026" style="position:absolute;margin-left:-31.05pt;margin-top:.55pt;width:514.05pt;height:6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kPeAIAAPw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" filled="f"/>
            </w:pict>
          </mc:Fallback>
        </mc:AlternateContent>
      </w:r>
      <w:r w:rsidRPr="00052E08">
        <w:rPr>
          <w:rFonts w:ascii="Verdana" w:hAnsi="Verdana"/>
          <w:sz w:val="36"/>
          <w:szCs w:val="36"/>
          <w:lang w:val="en-GB" w:eastAsia="de-DE"/>
        </w:rPr>
        <w:t>Regulation (EU) No 528/2012 concerning the making available on the market and use of biocidal products</w:t>
      </w:r>
    </w:p>
    <w:p w14:paraId="75FFA624" w14:textId="77777777" w:rsidR="00B4686D" w:rsidRPr="00052E08" w:rsidRDefault="00B4686D" w:rsidP="00B4686D">
      <w:pPr>
        <w:tabs>
          <w:tab w:val="left" w:pos="8505"/>
        </w:tabs>
        <w:ind w:left="-142" w:right="-45"/>
        <w:rPr>
          <w:rFonts w:ascii="Verdana" w:hAnsi="Verdana"/>
          <w:sz w:val="20"/>
          <w:szCs w:val="20"/>
          <w:lang w:val="en-GB" w:eastAsia="de-DE"/>
        </w:rPr>
      </w:pPr>
    </w:p>
    <w:p w14:paraId="6B95BA65" w14:textId="77777777" w:rsidR="00B4686D" w:rsidRPr="00052E08" w:rsidRDefault="00B4686D" w:rsidP="00B4686D">
      <w:pPr>
        <w:tabs>
          <w:tab w:val="left" w:pos="8505"/>
        </w:tabs>
        <w:ind w:left="-142" w:right="-45"/>
        <w:jc w:val="center"/>
        <w:rPr>
          <w:rFonts w:ascii="Verdana" w:hAnsi="Verdana"/>
          <w:b/>
          <w:bCs/>
          <w:szCs w:val="36"/>
          <w:lang w:val="en-GB" w:eastAsia="de-DE"/>
        </w:rPr>
      </w:pPr>
    </w:p>
    <w:p w14:paraId="6A1CB6B1" w14:textId="6F263547" w:rsidR="00B4686D" w:rsidRPr="00052E08" w:rsidRDefault="00B4686D" w:rsidP="00B4686D">
      <w:pPr>
        <w:jc w:val="center"/>
        <w:rPr>
          <w:rFonts w:ascii="Verdana" w:hAnsi="Verdana"/>
          <w:b/>
          <w:bCs/>
          <w:sz w:val="36"/>
          <w:szCs w:val="36"/>
          <w:lang w:val="en-GB" w:eastAsia="de-DE"/>
        </w:rPr>
      </w:pPr>
      <w:r w:rsidRPr="00052E08">
        <w:rPr>
          <w:rFonts w:ascii="Verdana" w:hAnsi="Verdana"/>
          <w:b/>
          <w:bCs/>
          <w:sz w:val="36"/>
          <w:szCs w:val="36"/>
          <w:lang w:val="en-GB" w:eastAsia="de-DE"/>
        </w:rPr>
        <w:t xml:space="preserve">PRODUCT ASSESSMENT REPORT OF A </w:t>
      </w:r>
      <w:r w:rsidR="0060417B" w:rsidRPr="00052E08">
        <w:rPr>
          <w:rFonts w:ascii="Verdana" w:hAnsi="Verdana"/>
          <w:b/>
          <w:bCs/>
          <w:sz w:val="36"/>
          <w:szCs w:val="36"/>
          <w:lang w:val="en-GB" w:eastAsia="de-DE"/>
        </w:rPr>
        <w:t>BIOCIDAL PRODUCT FOR THE MINOR CHANGE</w:t>
      </w:r>
      <w:r w:rsidRPr="00052E08">
        <w:rPr>
          <w:rFonts w:ascii="Verdana" w:hAnsi="Verdana"/>
          <w:b/>
          <w:bCs/>
          <w:sz w:val="36"/>
          <w:szCs w:val="36"/>
          <w:lang w:val="en-GB" w:eastAsia="de-DE"/>
        </w:rPr>
        <w:t xml:space="preserve"> OF NATIONAL AUTHORISATION APPLICATION</w:t>
      </w:r>
    </w:p>
    <w:p w14:paraId="6A9983D5" w14:textId="77777777" w:rsidR="00B4686D" w:rsidRPr="00052E08" w:rsidRDefault="00B4686D" w:rsidP="00B4686D">
      <w:pPr>
        <w:tabs>
          <w:tab w:val="left" w:pos="8505"/>
        </w:tabs>
        <w:ind w:left="-142" w:right="-45"/>
        <w:jc w:val="center"/>
        <w:rPr>
          <w:rFonts w:ascii="Verdana" w:hAnsi="Verdana"/>
          <w:bCs/>
          <w:sz w:val="24"/>
          <w:lang w:val="en-GB" w:eastAsia="de-DE"/>
        </w:rPr>
      </w:pPr>
      <w:r w:rsidRPr="00052E08">
        <w:rPr>
          <w:rFonts w:ascii="Verdana" w:hAnsi="Verdana"/>
          <w:bCs/>
          <w:sz w:val="24"/>
          <w:lang w:val="en-GB" w:eastAsia="de-DE"/>
        </w:rPr>
        <w:t>(submitted by the evaluating Competent Authority)</w:t>
      </w:r>
    </w:p>
    <w:p w14:paraId="1E6372EC" w14:textId="77777777" w:rsidR="00B4686D" w:rsidRPr="00052E08" w:rsidRDefault="00B4686D" w:rsidP="00B4686D">
      <w:pPr>
        <w:tabs>
          <w:tab w:val="left" w:pos="8505"/>
        </w:tabs>
        <w:ind w:left="-142" w:right="-45"/>
        <w:jc w:val="center"/>
        <w:rPr>
          <w:rFonts w:ascii="Verdana" w:hAnsi="Verdana"/>
          <w:b/>
          <w:sz w:val="36"/>
          <w:szCs w:val="20"/>
          <w:lang w:val="en-US" w:eastAsia="de-DE"/>
        </w:rPr>
      </w:pPr>
    </w:p>
    <w:p w14:paraId="683C9AD4" w14:textId="77777777" w:rsidR="00B4686D" w:rsidRPr="00052E08" w:rsidRDefault="00B4686D" w:rsidP="00B4686D">
      <w:pPr>
        <w:tabs>
          <w:tab w:val="left" w:pos="8505"/>
        </w:tabs>
        <w:ind w:left="-142" w:right="-45"/>
        <w:jc w:val="center"/>
        <w:rPr>
          <w:rFonts w:ascii="Verdana" w:hAnsi="Verdana"/>
          <w:b/>
          <w:sz w:val="36"/>
          <w:szCs w:val="20"/>
          <w:lang w:val="en-GB" w:eastAsia="de-DE"/>
        </w:rPr>
      </w:pPr>
      <w:r w:rsidRPr="00052E08">
        <w:rPr>
          <w:rFonts w:ascii="Verdana" w:hAnsi="Verdana"/>
          <w:noProof/>
          <w:sz w:val="20"/>
          <w:szCs w:val="20"/>
          <w:lang w:val="pl-PL" w:eastAsia="pl-PL"/>
        </w:rPr>
        <w:drawing>
          <wp:inline distT="0" distB="0" distL="0" distR="0" wp14:anchorId="04511A54" wp14:editId="366BC210">
            <wp:extent cx="1200150" cy="12509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0150" cy="1250950"/>
                    </a:xfrm>
                    <a:prstGeom prst="rect">
                      <a:avLst/>
                    </a:prstGeom>
                    <a:noFill/>
                    <a:ln w="9525">
                      <a:noFill/>
                      <a:miter lim="800000"/>
                      <a:headEnd/>
                      <a:tailEnd/>
                    </a:ln>
                  </pic:spPr>
                </pic:pic>
              </a:graphicData>
            </a:graphic>
          </wp:inline>
        </w:drawing>
      </w:r>
    </w:p>
    <w:p w14:paraId="780CA1B6" w14:textId="77777777" w:rsidR="00B4686D" w:rsidRPr="00052E08" w:rsidRDefault="00B4686D" w:rsidP="00B4686D">
      <w:pPr>
        <w:tabs>
          <w:tab w:val="left" w:pos="8505"/>
        </w:tabs>
        <w:ind w:left="-142" w:right="-45"/>
        <w:jc w:val="center"/>
        <w:rPr>
          <w:rFonts w:ascii="Verdana" w:hAnsi="Verdana"/>
          <w:b/>
          <w:sz w:val="36"/>
          <w:szCs w:val="20"/>
          <w:lang w:val="en-GB" w:eastAsia="de-DE"/>
        </w:rPr>
      </w:pPr>
    </w:p>
    <w:p w14:paraId="558CDD7B" w14:textId="77777777" w:rsidR="008F5F8E" w:rsidRPr="00052E08" w:rsidRDefault="008F5F8E" w:rsidP="008F5F8E">
      <w:pPr>
        <w:spacing w:before="60" w:after="60"/>
        <w:jc w:val="center"/>
        <w:rPr>
          <w:rFonts w:ascii="Verdana" w:hAnsi="Verdana"/>
          <w:b/>
          <w:sz w:val="28"/>
          <w:szCs w:val="28"/>
          <w:lang w:eastAsia="sv-SE"/>
        </w:rPr>
      </w:pPr>
      <w:r w:rsidRPr="00052E08">
        <w:rPr>
          <w:rFonts w:ascii="Verdana" w:hAnsi="Verdana"/>
          <w:b/>
          <w:sz w:val="28"/>
          <w:szCs w:val="28"/>
          <w:lang w:eastAsia="sv-SE"/>
        </w:rPr>
        <w:t>Ratimor brodifacoum trutka granulowana</w:t>
      </w:r>
    </w:p>
    <w:p w14:paraId="2A187A86" w14:textId="77777777" w:rsidR="008F5F8E" w:rsidRPr="00052E08" w:rsidRDefault="008F5F8E" w:rsidP="008F5F8E">
      <w:pPr>
        <w:spacing w:before="60" w:after="60"/>
        <w:jc w:val="center"/>
        <w:rPr>
          <w:rFonts w:ascii="Verdana" w:hAnsi="Verdana"/>
          <w:b/>
          <w:sz w:val="28"/>
          <w:szCs w:val="28"/>
          <w:lang w:eastAsia="sv-SE"/>
        </w:rPr>
      </w:pPr>
      <w:r w:rsidRPr="00052E08">
        <w:rPr>
          <w:rFonts w:ascii="Verdana" w:hAnsi="Verdana"/>
          <w:b/>
          <w:sz w:val="28"/>
          <w:szCs w:val="28"/>
          <w:lang w:eastAsia="sv-SE"/>
        </w:rPr>
        <w:t>Zudlan brodifakum granulat</w:t>
      </w:r>
    </w:p>
    <w:p w14:paraId="7B0BEA25" w14:textId="77777777" w:rsidR="008F5F8E" w:rsidRPr="00052E08" w:rsidRDefault="008F5F8E" w:rsidP="008F5F8E">
      <w:pPr>
        <w:spacing w:before="60" w:after="60"/>
        <w:jc w:val="center"/>
        <w:rPr>
          <w:rFonts w:ascii="Verdana" w:hAnsi="Verdana"/>
          <w:b/>
          <w:sz w:val="28"/>
          <w:szCs w:val="28"/>
          <w:lang w:eastAsia="sv-SE"/>
        </w:rPr>
      </w:pPr>
      <w:r w:rsidRPr="00052E08">
        <w:rPr>
          <w:rFonts w:ascii="Verdana" w:hAnsi="Verdana"/>
          <w:b/>
          <w:sz w:val="28"/>
          <w:szCs w:val="28"/>
          <w:lang w:eastAsia="sv-SE"/>
        </w:rPr>
        <w:t>Zudwiz brodifakum granulat</w:t>
      </w:r>
    </w:p>
    <w:p w14:paraId="2FAC442C" w14:textId="271E6FFB" w:rsidR="008F5F8E" w:rsidRDefault="00873437" w:rsidP="008F5F8E">
      <w:pPr>
        <w:spacing w:before="60" w:after="60"/>
        <w:jc w:val="center"/>
        <w:rPr>
          <w:rFonts w:ascii="Verdana" w:hAnsi="Verdana"/>
          <w:b/>
          <w:sz w:val="28"/>
          <w:szCs w:val="28"/>
          <w:lang w:eastAsia="sv-SE"/>
        </w:rPr>
      </w:pPr>
      <w:r>
        <w:rPr>
          <w:rFonts w:ascii="Verdana" w:hAnsi="Verdana"/>
          <w:b/>
          <w:sz w:val="28"/>
          <w:szCs w:val="28"/>
          <w:lang w:eastAsia="sv-SE"/>
        </w:rPr>
        <w:t>Extrat brodifakum granulat</w:t>
      </w:r>
    </w:p>
    <w:p w14:paraId="55BABC3C" w14:textId="22817DB4" w:rsidR="00873437" w:rsidRPr="00052E08" w:rsidRDefault="00873437" w:rsidP="008F5F8E">
      <w:pPr>
        <w:spacing w:before="60" w:after="60"/>
        <w:jc w:val="center"/>
        <w:rPr>
          <w:rFonts w:ascii="Verdana" w:hAnsi="Verdana"/>
          <w:b/>
          <w:sz w:val="28"/>
          <w:szCs w:val="28"/>
          <w:lang w:eastAsia="sv-SE"/>
        </w:rPr>
      </w:pPr>
      <w:r w:rsidRPr="00873437">
        <w:rPr>
          <w:rFonts w:ascii="Verdana" w:hAnsi="Verdana"/>
          <w:b/>
          <w:sz w:val="28"/>
          <w:szCs w:val="28"/>
          <w:lang w:eastAsia="sv-SE"/>
        </w:rPr>
        <w:t>Bioxi brodifakum granulat</w:t>
      </w:r>
    </w:p>
    <w:p w14:paraId="2AF99287" w14:textId="77777777" w:rsidR="008F5F8E" w:rsidRPr="00052E08" w:rsidRDefault="008F5F8E" w:rsidP="008F5F8E">
      <w:pPr>
        <w:jc w:val="center"/>
        <w:rPr>
          <w:rFonts w:ascii="Verdana" w:hAnsi="Verdana"/>
          <w:b/>
          <w:sz w:val="28"/>
          <w:szCs w:val="28"/>
          <w:lang w:eastAsia="sv-SE"/>
        </w:rPr>
      </w:pPr>
      <w:r w:rsidRPr="00052E08">
        <w:rPr>
          <w:rFonts w:ascii="Verdana" w:hAnsi="Verdana"/>
          <w:b/>
          <w:sz w:val="28"/>
          <w:szCs w:val="28"/>
          <w:lang w:eastAsia="sv-SE"/>
        </w:rPr>
        <w:t>Mumia brodifakum granulat</w:t>
      </w:r>
    </w:p>
    <w:p w14:paraId="03626269" w14:textId="77777777" w:rsidR="00B4686D" w:rsidRPr="00873437" w:rsidRDefault="00B4686D" w:rsidP="00B4686D">
      <w:pPr>
        <w:rPr>
          <w:rFonts w:ascii="Verdana" w:hAnsi="Verdana"/>
          <w:bCs/>
          <w:sz w:val="20"/>
          <w:szCs w:val="20"/>
          <w:lang w:val="pl-PL" w:eastAsia="de-DE"/>
        </w:rPr>
      </w:pPr>
    </w:p>
    <w:p w14:paraId="706601E6" w14:textId="77777777" w:rsidR="00B4686D" w:rsidRPr="00052E08" w:rsidRDefault="00B4686D" w:rsidP="00B4686D">
      <w:pPr>
        <w:tabs>
          <w:tab w:val="left" w:pos="8505"/>
        </w:tabs>
        <w:ind w:left="-142" w:right="-45"/>
        <w:jc w:val="center"/>
        <w:rPr>
          <w:rFonts w:ascii="Verdana" w:hAnsi="Verdana"/>
          <w:bCs/>
          <w:sz w:val="32"/>
          <w:szCs w:val="32"/>
          <w:lang w:val="en-GB" w:eastAsia="de-DE"/>
        </w:rPr>
      </w:pPr>
      <w:r w:rsidRPr="00052E08">
        <w:rPr>
          <w:rFonts w:ascii="Verdana" w:hAnsi="Verdana"/>
          <w:bCs/>
          <w:sz w:val="32"/>
          <w:szCs w:val="32"/>
          <w:lang w:val="en-GB" w:eastAsia="de-DE"/>
        </w:rPr>
        <w:t>Product type 14 Rodenticide</w:t>
      </w:r>
    </w:p>
    <w:p w14:paraId="1463D7C2" w14:textId="77777777" w:rsidR="00B4686D" w:rsidRPr="00052E08" w:rsidRDefault="00B4686D" w:rsidP="00B4686D">
      <w:pPr>
        <w:tabs>
          <w:tab w:val="left" w:pos="8505"/>
        </w:tabs>
        <w:ind w:right="-45"/>
        <w:rPr>
          <w:rFonts w:ascii="Verdana" w:hAnsi="Verdana"/>
          <w:bCs/>
          <w:sz w:val="20"/>
          <w:szCs w:val="20"/>
          <w:lang w:val="en-GB" w:eastAsia="de-DE"/>
        </w:rPr>
      </w:pPr>
    </w:p>
    <w:p w14:paraId="5558E30D" w14:textId="0920D0ED" w:rsidR="00B4686D" w:rsidRPr="00052E08" w:rsidRDefault="00B550E0" w:rsidP="00B4686D">
      <w:pPr>
        <w:tabs>
          <w:tab w:val="left" w:pos="8505"/>
        </w:tabs>
        <w:ind w:left="-142" w:right="-45"/>
        <w:jc w:val="center"/>
        <w:rPr>
          <w:rFonts w:ascii="Verdana" w:hAnsi="Verdana"/>
          <w:bCs/>
          <w:sz w:val="32"/>
          <w:szCs w:val="32"/>
          <w:lang w:val="en-GB" w:eastAsia="de-DE"/>
        </w:rPr>
      </w:pPr>
      <w:r w:rsidRPr="00052E08">
        <w:rPr>
          <w:rFonts w:ascii="Verdana" w:hAnsi="Verdana"/>
          <w:bCs/>
          <w:sz w:val="32"/>
          <w:szCs w:val="32"/>
          <w:lang w:val="en-GB" w:eastAsia="de-DE"/>
        </w:rPr>
        <w:t>BRO</w:t>
      </w:r>
      <w:r w:rsidR="008F5F8E" w:rsidRPr="00052E08">
        <w:rPr>
          <w:rFonts w:ascii="Verdana" w:hAnsi="Verdana"/>
          <w:bCs/>
          <w:sz w:val="32"/>
          <w:szCs w:val="32"/>
          <w:lang w:val="en-GB" w:eastAsia="de-DE"/>
        </w:rPr>
        <w:t>DIFACOUM</w:t>
      </w:r>
      <w:r w:rsidR="00B4686D" w:rsidRPr="00052E08">
        <w:rPr>
          <w:rFonts w:ascii="Verdana" w:hAnsi="Verdana"/>
          <w:bCs/>
          <w:sz w:val="32"/>
          <w:szCs w:val="32"/>
          <w:lang w:val="en-GB" w:eastAsia="de-DE"/>
        </w:rPr>
        <w:t xml:space="preserve"> as included in the Union list of approved active substances</w:t>
      </w:r>
    </w:p>
    <w:p w14:paraId="4E0B3EB1" w14:textId="77777777" w:rsidR="00B4686D" w:rsidRPr="00052E08" w:rsidRDefault="00B4686D" w:rsidP="00B4686D">
      <w:pPr>
        <w:tabs>
          <w:tab w:val="left" w:pos="8505"/>
        </w:tabs>
        <w:ind w:right="-45"/>
        <w:rPr>
          <w:rFonts w:ascii="Verdana" w:hAnsi="Verdana"/>
          <w:bCs/>
          <w:sz w:val="20"/>
          <w:szCs w:val="20"/>
          <w:lang w:val="en-GB" w:eastAsia="de-DE"/>
        </w:rPr>
      </w:pPr>
    </w:p>
    <w:p w14:paraId="2070E565" w14:textId="53019AC6" w:rsidR="00B4686D" w:rsidRPr="00052E08" w:rsidRDefault="00B4686D" w:rsidP="00B4686D">
      <w:pPr>
        <w:tabs>
          <w:tab w:val="left" w:pos="8505"/>
        </w:tabs>
        <w:ind w:right="-45"/>
        <w:jc w:val="center"/>
        <w:rPr>
          <w:rFonts w:ascii="Verdana" w:hAnsi="Verdana"/>
          <w:bCs/>
          <w:sz w:val="32"/>
          <w:szCs w:val="32"/>
          <w:lang w:val="en-GB" w:eastAsia="de-DE"/>
        </w:rPr>
      </w:pPr>
      <w:r w:rsidRPr="00052E08">
        <w:rPr>
          <w:rFonts w:ascii="Verdana" w:hAnsi="Verdana"/>
          <w:bCs/>
          <w:sz w:val="32"/>
          <w:szCs w:val="32"/>
          <w:lang w:val="en-GB" w:eastAsia="de-DE"/>
        </w:rPr>
        <w:t xml:space="preserve">Case Number in R4BP: </w:t>
      </w:r>
      <w:r w:rsidR="00670482" w:rsidRPr="00052E08">
        <w:rPr>
          <w:rFonts w:ascii="Verdana" w:hAnsi="Verdana"/>
          <w:sz w:val="32"/>
          <w:szCs w:val="32"/>
          <w:lang w:val="en-US" w:eastAsia="de-DE"/>
        </w:rPr>
        <w:t>BC-</w:t>
      </w:r>
      <w:r w:rsidR="008F5F8E" w:rsidRPr="00052E08">
        <w:rPr>
          <w:rFonts w:ascii="Verdana" w:hAnsi="Verdana"/>
          <w:sz w:val="32"/>
          <w:szCs w:val="32"/>
          <w:lang w:val="en-US" w:eastAsia="de-DE"/>
        </w:rPr>
        <w:t>HN074090-4</w:t>
      </w:r>
    </w:p>
    <w:p w14:paraId="261D060C" w14:textId="77777777" w:rsidR="00B4686D" w:rsidRPr="00052E08" w:rsidRDefault="00B4686D" w:rsidP="00B4686D">
      <w:pPr>
        <w:tabs>
          <w:tab w:val="left" w:pos="8505"/>
        </w:tabs>
        <w:ind w:right="-45"/>
        <w:rPr>
          <w:rFonts w:ascii="Verdana" w:hAnsi="Verdana"/>
          <w:bCs/>
          <w:sz w:val="20"/>
          <w:szCs w:val="20"/>
          <w:lang w:val="en-GB" w:eastAsia="de-DE"/>
        </w:rPr>
      </w:pPr>
    </w:p>
    <w:p w14:paraId="427DB03C" w14:textId="77777777" w:rsidR="00B4686D" w:rsidRPr="00052E08" w:rsidRDefault="00B4686D" w:rsidP="00B4686D">
      <w:pPr>
        <w:tabs>
          <w:tab w:val="left" w:pos="8505"/>
        </w:tabs>
        <w:ind w:left="-142" w:right="-45"/>
        <w:jc w:val="center"/>
        <w:rPr>
          <w:rFonts w:ascii="Verdana" w:hAnsi="Verdana"/>
          <w:bCs/>
          <w:sz w:val="32"/>
          <w:szCs w:val="32"/>
          <w:lang w:val="en-GB" w:eastAsia="de-DE"/>
        </w:rPr>
      </w:pPr>
      <w:r w:rsidRPr="00052E08">
        <w:rPr>
          <w:rFonts w:ascii="Verdana" w:hAnsi="Verdana"/>
          <w:bCs/>
          <w:sz w:val="32"/>
          <w:szCs w:val="32"/>
          <w:lang w:val="en-GB" w:eastAsia="de-DE"/>
        </w:rPr>
        <w:t>Evaluating Competent Authority: Poland</w:t>
      </w:r>
    </w:p>
    <w:p w14:paraId="6ADEB846" w14:textId="77777777" w:rsidR="00B4686D" w:rsidRPr="00052E08" w:rsidRDefault="00B4686D" w:rsidP="00B4686D">
      <w:pPr>
        <w:tabs>
          <w:tab w:val="left" w:pos="8505"/>
        </w:tabs>
        <w:ind w:left="-142" w:right="-45"/>
        <w:jc w:val="center"/>
        <w:rPr>
          <w:rFonts w:ascii="Verdana" w:hAnsi="Verdana"/>
          <w:sz w:val="20"/>
          <w:szCs w:val="20"/>
          <w:lang w:val="en-GB" w:eastAsia="de-DE"/>
        </w:rPr>
      </w:pPr>
      <w:r w:rsidRPr="00052E08">
        <w:rPr>
          <w:rFonts w:ascii="Verdana" w:hAnsi="Verdana"/>
          <w:sz w:val="20"/>
          <w:szCs w:val="20"/>
          <w:lang w:val="en-GB" w:eastAsia="de-DE"/>
        </w:rPr>
        <w:t xml:space="preserve"> </w:t>
      </w:r>
    </w:p>
    <w:p w14:paraId="7D504465" w14:textId="1212E948" w:rsidR="00B4686D" w:rsidRPr="00052E08" w:rsidRDefault="00B4686D" w:rsidP="00B4686D">
      <w:pPr>
        <w:jc w:val="center"/>
        <w:rPr>
          <w:rFonts w:ascii="Verdana" w:hAnsi="Verdana"/>
          <w:bCs/>
          <w:sz w:val="32"/>
          <w:szCs w:val="32"/>
          <w:lang w:val="en-GB" w:eastAsia="de-DE"/>
        </w:rPr>
      </w:pPr>
      <w:r w:rsidRPr="00052E08">
        <w:rPr>
          <w:rFonts w:ascii="Verdana" w:hAnsi="Verdana"/>
          <w:bCs/>
          <w:sz w:val="32"/>
          <w:szCs w:val="32"/>
          <w:lang w:val="en-GB" w:eastAsia="de-DE"/>
        </w:rPr>
        <w:t xml:space="preserve">Date: </w:t>
      </w:r>
    </w:p>
    <w:p w14:paraId="0B5CD759" w14:textId="1125DDC5" w:rsidR="00B4686D" w:rsidRPr="00052E08" w:rsidRDefault="001A0BDA" w:rsidP="00B4686D">
      <w:pPr>
        <w:jc w:val="center"/>
        <w:rPr>
          <w:rFonts w:ascii="Verdana" w:hAnsi="Verdana"/>
          <w:bCs/>
          <w:sz w:val="32"/>
          <w:szCs w:val="32"/>
          <w:lang w:val="en-GB" w:eastAsia="de-DE"/>
        </w:rPr>
      </w:pPr>
      <w:r w:rsidRPr="001A0BDA">
        <w:rPr>
          <w:rFonts w:ascii="Verdana" w:hAnsi="Verdana"/>
          <w:bCs/>
          <w:sz w:val="32"/>
          <w:szCs w:val="32"/>
          <w:lang w:val="en-GB" w:eastAsia="de-DE"/>
        </w:rPr>
        <w:t>28.11.2023 r.</w:t>
      </w:r>
      <w:bookmarkStart w:id="0" w:name="_GoBack"/>
      <w:bookmarkEnd w:id="0"/>
    </w:p>
    <w:p w14:paraId="61916C24" w14:textId="7356CD3B" w:rsidR="000C1EC9" w:rsidRPr="00052E08" w:rsidRDefault="000C1EC9" w:rsidP="005860E8">
      <w:pPr>
        <w:pStyle w:val="Nagwek1"/>
        <w:ind w:left="0" w:firstLine="0"/>
        <w:rPr>
          <w:rFonts w:ascii="Verdana" w:hAnsi="Verdana"/>
          <w:sz w:val="24"/>
          <w:highlight w:val="lightGray"/>
          <w:lang w:val="en-GB"/>
        </w:rPr>
      </w:pPr>
      <w:bookmarkStart w:id="1" w:name="_Toc439776375"/>
      <w:bookmarkStart w:id="2" w:name="_Toc161194996"/>
      <w:bookmarkStart w:id="3" w:name="_Toc161196034"/>
      <w:bookmarkStart w:id="4" w:name="_Toc157411493"/>
      <w:r w:rsidRPr="00052E08">
        <w:rPr>
          <w:rFonts w:ascii="Verdana" w:hAnsi="Verdana"/>
          <w:sz w:val="24"/>
          <w:highlight w:val="lightGray"/>
          <w:lang w:val="en-GB"/>
        </w:rPr>
        <w:lastRenderedPageBreak/>
        <w:t xml:space="preserve">Updated </w:t>
      </w:r>
      <w:r w:rsidR="00745D25" w:rsidRPr="00052E08">
        <w:rPr>
          <w:rFonts w:ascii="Verdana" w:hAnsi="Verdana"/>
          <w:sz w:val="24"/>
          <w:highlight w:val="lightGray"/>
          <w:lang w:val="en-GB"/>
        </w:rPr>
        <w:t>data</w:t>
      </w:r>
      <w:r w:rsidRPr="00052E08">
        <w:rPr>
          <w:rFonts w:ascii="Verdana" w:hAnsi="Verdana"/>
          <w:sz w:val="24"/>
          <w:highlight w:val="lightGray"/>
          <w:lang w:val="en-GB"/>
        </w:rPr>
        <w:t xml:space="preserve"> (</w:t>
      </w:r>
      <w:r w:rsidR="008F5F8E" w:rsidRPr="00052E08">
        <w:rPr>
          <w:rFonts w:ascii="Verdana" w:hAnsi="Verdana"/>
          <w:sz w:val="24"/>
          <w:highlight w:val="lightGray"/>
          <w:lang w:val="en-GB"/>
        </w:rPr>
        <w:t>August 2023</w:t>
      </w:r>
      <w:r w:rsidR="00DE09FD" w:rsidRPr="00052E08">
        <w:rPr>
          <w:rFonts w:ascii="Verdana" w:hAnsi="Verdana"/>
          <w:sz w:val="24"/>
          <w:highlight w:val="lightGray"/>
          <w:lang w:val="en-GB"/>
        </w:rPr>
        <w:t>)</w:t>
      </w:r>
    </w:p>
    <w:p w14:paraId="4CFC3C5B" w14:textId="3BEF8985" w:rsidR="00DE09FD" w:rsidRPr="00052E08" w:rsidRDefault="00DE09FD" w:rsidP="00DE09FD">
      <w:pPr>
        <w:rPr>
          <w:rFonts w:ascii="Verdana" w:hAnsi="Verdana"/>
          <w:sz w:val="24"/>
          <w:highlight w:val="lightGray"/>
          <w:lang w:val="en-GB" w:eastAsia="sv-SE"/>
        </w:rPr>
      </w:pPr>
      <w:r w:rsidRPr="00052E08">
        <w:rPr>
          <w:rFonts w:ascii="Verdana" w:hAnsi="Verdana"/>
          <w:sz w:val="24"/>
          <w:highlight w:val="lightGray"/>
          <w:lang w:val="en-GB" w:eastAsia="sv-SE"/>
        </w:rPr>
        <w:t>Amended sections:</w:t>
      </w:r>
    </w:p>
    <w:p w14:paraId="4F904E9E" w14:textId="43AF6CAB" w:rsidR="00DE09FD" w:rsidRPr="00052E08" w:rsidRDefault="00DE09FD" w:rsidP="00DE09FD">
      <w:pPr>
        <w:rPr>
          <w:rFonts w:ascii="Verdana" w:hAnsi="Verdana"/>
          <w:sz w:val="24"/>
          <w:lang w:val="en-GB" w:eastAsia="sv-SE"/>
        </w:rPr>
      </w:pPr>
      <w:r w:rsidRPr="00052E08">
        <w:rPr>
          <w:rFonts w:ascii="Verdana" w:hAnsi="Verdana"/>
          <w:sz w:val="24"/>
          <w:highlight w:val="lightGray"/>
          <w:lang w:val="en-GB" w:eastAsia="sv-SE"/>
        </w:rPr>
        <w:t>Packaging of the biocidal product</w:t>
      </w:r>
    </w:p>
    <w:p w14:paraId="285E1AD1" w14:textId="13F39357" w:rsidR="003E1E85" w:rsidRPr="00052E08" w:rsidRDefault="00AE4B3F" w:rsidP="00AE4B3F">
      <w:pPr>
        <w:pStyle w:val="Nagwek1"/>
        <w:rPr>
          <w:rFonts w:ascii="Verdana" w:hAnsi="Verdana"/>
          <w:sz w:val="24"/>
          <w:lang w:val="en-GB"/>
        </w:rPr>
      </w:pPr>
      <w:r w:rsidRPr="00052E08">
        <w:rPr>
          <w:rFonts w:ascii="Verdana" w:hAnsi="Verdana"/>
          <w:sz w:val="24"/>
          <w:lang w:val="en-GB"/>
        </w:rPr>
        <w:t>Background</w:t>
      </w:r>
    </w:p>
    <w:p w14:paraId="3D37924E" w14:textId="31F034DB" w:rsidR="003E1E85" w:rsidRPr="00052E08" w:rsidRDefault="008F5F8E" w:rsidP="003E1E85">
      <w:pPr>
        <w:jc w:val="both"/>
        <w:rPr>
          <w:rFonts w:ascii="Verdana" w:hAnsi="Verdana"/>
          <w:sz w:val="24"/>
          <w:lang w:val="en-GB" w:eastAsia="sv-SE"/>
        </w:rPr>
      </w:pPr>
      <w:r w:rsidRPr="00052E08">
        <w:rPr>
          <w:rFonts w:ascii="Verdana" w:hAnsi="Verdana"/>
          <w:snapToGrid w:val="0"/>
          <w:sz w:val="24"/>
          <w:lang w:val="en-GB" w:eastAsia="fi-FI"/>
        </w:rPr>
        <w:t>Ratimor brodifacoum trutka granulowana</w:t>
      </w:r>
      <w:r w:rsidR="00176785" w:rsidRPr="00052E08">
        <w:rPr>
          <w:rFonts w:ascii="Verdana" w:hAnsi="Verdana"/>
          <w:snapToGrid w:val="0"/>
          <w:sz w:val="24"/>
          <w:lang w:val="en-GB" w:eastAsia="fi-FI"/>
        </w:rPr>
        <w:t xml:space="preserve"> is a</w:t>
      </w:r>
      <w:r w:rsidR="00670482" w:rsidRPr="00052E08">
        <w:rPr>
          <w:rFonts w:ascii="Verdana" w:hAnsi="Verdana"/>
          <w:snapToGrid w:val="0"/>
          <w:sz w:val="24"/>
          <w:lang w:val="en-GB" w:eastAsia="fi-FI"/>
        </w:rPr>
        <w:t xml:space="preserve"> rodenticide formulated as pellet</w:t>
      </w:r>
      <w:r w:rsidRPr="00052E08">
        <w:rPr>
          <w:rFonts w:ascii="Verdana" w:hAnsi="Verdana"/>
          <w:snapToGrid w:val="0"/>
          <w:sz w:val="24"/>
          <w:lang w:val="en-GB" w:eastAsia="fi-FI"/>
        </w:rPr>
        <w:t xml:space="preserve"> bait containing brodifacoum</w:t>
      </w:r>
      <w:r w:rsidR="00176785" w:rsidRPr="00052E08">
        <w:rPr>
          <w:rFonts w:ascii="Verdana" w:hAnsi="Verdana"/>
          <w:snapToGrid w:val="0"/>
          <w:sz w:val="24"/>
          <w:lang w:val="en-GB" w:eastAsia="fi-FI"/>
        </w:rPr>
        <w:t xml:space="preserve"> as active substance. The product is used for control of rodent pests in and around buildings</w:t>
      </w:r>
      <w:r w:rsidR="00514BC4" w:rsidRPr="00052E08">
        <w:rPr>
          <w:rFonts w:ascii="Verdana" w:hAnsi="Verdana"/>
          <w:snapToGrid w:val="0"/>
          <w:sz w:val="24"/>
          <w:lang w:val="en-GB" w:eastAsia="fi-FI"/>
        </w:rPr>
        <w:t xml:space="preserve"> </w:t>
      </w:r>
      <w:r w:rsidR="00176785" w:rsidRPr="00052E08">
        <w:rPr>
          <w:rFonts w:ascii="Verdana" w:hAnsi="Verdana"/>
          <w:snapToGrid w:val="0"/>
          <w:sz w:val="24"/>
          <w:lang w:val="en-GB" w:eastAsia="fi-FI"/>
        </w:rPr>
        <w:t>(professional</w:t>
      </w:r>
      <w:r w:rsidR="00670482" w:rsidRPr="00052E08">
        <w:rPr>
          <w:rFonts w:ascii="Verdana" w:hAnsi="Verdana"/>
          <w:snapToGrid w:val="0"/>
          <w:sz w:val="24"/>
          <w:lang w:val="en-GB" w:eastAsia="fi-FI"/>
        </w:rPr>
        <w:t xml:space="preserve"> and </w:t>
      </w:r>
      <w:r w:rsidRPr="00052E08">
        <w:rPr>
          <w:rFonts w:ascii="Verdana" w:hAnsi="Verdana"/>
          <w:snapToGrid w:val="0"/>
          <w:sz w:val="24"/>
          <w:lang w:val="en-GB" w:eastAsia="fi-FI"/>
        </w:rPr>
        <w:t>general public</w:t>
      </w:r>
      <w:r w:rsidR="00176785" w:rsidRPr="00052E08">
        <w:rPr>
          <w:rFonts w:ascii="Verdana" w:hAnsi="Verdana"/>
          <w:snapToGrid w:val="0"/>
          <w:sz w:val="24"/>
          <w:lang w:val="en-GB" w:eastAsia="fi-FI"/>
        </w:rPr>
        <w:t>).</w:t>
      </w:r>
      <w:r w:rsidR="00176785" w:rsidRPr="00052E08">
        <w:rPr>
          <w:rFonts w:ascii="Verdana" w:hAnsi="Verdana"/>
          <w:sz w:val="24"/>
          <w:lang w:val="en-GB" w:eastAsia="sv-SE"/>
        </w:rPr>
        <w:t xml:space="preserve"> </w:t>
      </w:r>
      <w:r w:rsidR="003E1E85" w:rsidRPr="00052E08">
        <w:rPr>
          <w:rFonts w:ascii="Verdana" w:hAnsi="Verdana"/>
          <w:sz w:val="24"/>
          <w:lang w:val="en-GB" w:eastAsia="sv-SE"/>
        </w:rPr>
        <w:t>The biocidal product</w:t>
      </w:r>
      <w:r w:rsidR="00514BC4" w:rsidRPr="00052E08">
        <w:rPr>
          <w:rFonts w:ascii="Verdana" w:hAnsi="Verdana"/>
          <w:sz w:val="24"/>
          <w:lang w:val="en-GB" w:eastAsia="sv-SE"/>
        </w:rPr>
        <w:t xml:space="preserve"> </w:t>
      </w:r>
      <w:r w:rsidRPr="00052E08">
        <w:rPr>
          <w:rFonts w:ascii="Verdana" w:hAnsi="Verdana"/>
          <w:snapToGrid w:val="0"/>
          <w:sz w:val="24"/>
          <w:lang w:val="en-GB" w:eastAsia="fi-FI"/>
        </w:rPr>
        <w:t xml:space="preserve">Ratimor brodifacoum trutka granulowana </w:t>
      </w:r>
      <w:r w:rsidR="003E1E85" w:rsidRPr="00052E08">
        <w:rPr>
          <w:rFonts w:ascii="Verdana" w:hAnsi="Verdana"/>
          <w:sz w:val="24"/>
          <w:lang w:val="en-GB" w:eastAsia="sv-SE"/>
        </w:rPr>
        <w:t>is authorised in Pol</w:t>
      </w:r>
      <w:r w:rsidR="00176785" w:rsidRPr="00052E08">
        <w:rPr>
          <w:rFonts w:ascii="Verdana" w:hAnsi="Verdana"/>
          <w:sz w:val="24"/>
          <w:lang w:val="en-GB" w:eastAsia="sv-SE"/>
        </w:rPr>
        <w:t>and</w:t>
      </w:r>
      <w:r w:rsidRPr="00052E08">
        <w:rPr>
          <w:rFonts w:ascii="Verdana" w:hAnsi="Verdana"/>
          <w:sz w:val="24"/>
          <w:lang w:val="en-GB" w:eastAsia="sv-SE"/>
        </w:rPr>
        <w:t xml:space="preserve"> by NA-BBS</w:t>
      </w:r>
      <w:r w:rsidR="00514BC4" w:rsidRPr="00052E08">
        <w:rPr>
          <w:rFonts w:ascii="Verdana" w:hAnsi="Verdana"/>
          <w:sz w:val="24"/>
          <w:lang w:val="en-GB" w:eastAsia="sv-SE"/>
        </w:rPr>
        <w:t xml:space="preserve"> procedure</w:t>
      </w:r>
      <w:r w:rsidR="00176785" w:rsidRPr="00052E08">
        <w:rPr>
          <w:rFonts w:ascii="Verdana" w:hAnsi="Verdana"/>
          <w:sz w:val="24"/>
          <w:lang w:val="en-GB" w:eastAsia="sv-SE"/>
        </w:rPr>
        <w:t xml:space="preserve"> (case number </w:t>
      </w:r>
      <w:r w:rsidR="00873437" w:rsidRPr="00873437">
        <w:rPr>
          <w:rFonts w:ascii="Verdana" w:hAnsi="Verdana"/>
          <w:sz w:val="24"/>
          <w:lang w:val="en-GB" w:eastAsia="sv-SE"/>
        </w:rPr>
        <w:t>BC-VE066569-19</w:t>
      </w:r>
      <w:r w:rsidR="00400D99" w:rsidRPr="00052E08">
        <w:rPr>
          <w:rFonts w:ascii="Verdana" w:hAnsi="Verdana"/>
          <w:sz w:val="24"/>
          <w:lang w:val="en-GB" w:eastAsia="sv-SE"/>
        </w:rPr>
        <w:t>, a</w:t>
      </w:r>
      <w:r w:rsidR="00514BC4" w:rsidRPr="00052E08">
        <w:rPr>
          <w:rFonts w:ascii="Verdana" w:hAnsi="Verdana"/>
          <w:sz w:val="24"/>
          <w:lang w:val="en-GB" w:eastAsia="sv-SE"/>
        </w:rPr>
        <w:t>uthorisation number PL/</w:t>
      </w:r>
      <w:r w:rsidRPr="00052E08">
        <w:rPr>
          <w:rFonts w:ascii="Verdana" w:hAnsi="Verdana"/>
          <w:sz w:val="24"/>
          <w:lang w:val="en-GB" w:eastAsia="sv-SE"/>
        </w:rPr>
        <w:t>2022/0504/MR/SBP</w:t>
      </w:r>
      <w:r w:rsidR="003E1E85" w:rsidRPr="00052E08">
        <w:rPr>
          <w:rFonts w:ascii="Verdana" w:hAnsi="Verdana"/>
          <w:sz w:val="24"/>
          <w:lang w:val="en-GB" w:eastAsia="sv-SE"/>
        </w:rPr>
        <w:t>)</w:t>
      </w:r>
      <w:r w:rsidR="00514BC4" w:rsidRPr="00052E08">
        <w:rPr>
          <w:rFonts w:ascii="Verdana" w:hAnsi="Verdana"/>
          <w:sz w:val="24"/>
          <w:lang w:val="en-GB" w:eastAsia="sv-SE"/>
        </w:rPr>
        <w:t>.</w:t>
      </w:r>
      <w:r w:rsidR="003E1E85" w:rsidRPr="00052E08">
        <w:rPr>
          <w:rFonts w:ascii="Verdana" w:hAnsi="Verdana"/>
          <w:sz w:val="24"/>
          <w:lang w:val="en-GB" w:eastAsia="sv-SE"/>
        </w:rPr>
        <w:t xml:space="preserve"> The reference biocidal product </w:t>
      </w:r>
      <w:r w:rsidR="005A1D91" w:rsidRPr="00052E08">
        <w:rPr>
          <w:rFonts w:ascii="Verdana" w:hAnsi="Verdana"/>
          <w:sz w:val="24"/>
          <w:lang w:val="en-GB" w:eastAsia="sv-SE"/>
        </w:rPr>
        <w:t>ACTIPELLET-BROD</w:t>
      </w:r>
      <w:r w:rsidR="002660B4" w:rsidRPr="00052E08">
        <w:rPr>
          <w:rFonts w:ascii="Verdana" w:hAnsi="Verdana"/>
          <w:sz w:val="24"/>
          <w:lang w:val="en-GB" w:eastAsia="sv-SE"/>
        </w:rPr>
        <w:t xml:space="preserve"> </w:t>
      </w:r>
      <w:r w:rsidR="009568A7" w:rsidRPr="00052E08">
        <w:rPr>
          <w:rFonts w:ascii="Verdana" w:hAnsi="Verdana"/>
          <w:sz w:val="24"/>
          <w:lang w:val="en-GB" w:eastAsia="sv-SE"/>
        </w:rPr>
        <w:t xml:space="preserve">was evaluated by the </w:t>
      </w:r>
      <w:r w:rsidR="005A1D91" w:rsidRPr="00052E08">
        <w:rPr>
          <w:rFonts w:ascii="Verdana" w:hAnsi="Verdana"/>
          <w:sz w:val="24"/>
          <w:lang w:val="en-GB" w:eastAsia="sv-SE"/>
        </w:rPr>
        <w:t>Poland Competent Authority (PL</w:t>
      </w:r>
      <w:r w:rsidR="003E1E85" w:rsidRPr="00052E08">
        <w:rPr>
          <w:rFonts w:ascii="Verdana" w:hAnsi="Verdana"/>
          <w:sz w:val="24"/>
          <w:lang w:val="en-GB" w:eastAsia="sv-SE"/>
        </w:rPr>
        <w:t xml:space="preserve"> CA)</w:t>
      </w:r>
      <w:r w:rsidR="009568A7" w:rsidRPr="00052E08">
        <w:rPr>
          <w:rFonts w:ascii="Verdana" w:hAnsi="Verdana"/>
          <w:sz w:val="24"/>
          <w:lang w:val="en-GB" w:eastAsia="sv-SE"/>
        </w:rPr>
        <w:t xml:space="preserve"> for the authorization in </w:t>
      </w:r>
      <w:r w:rsidR="005A1D91" w:rsidRPr="00052E08">
        <w:rPr>
          <w:rFonts w:ascii="Verdana" w:hAnsi="Verdana"/>
          <w:sz w:val="24"/>
          <w:lang w:val="en-GB" w:eastAsia="sv-SE"/>
        </w:rPr>
        <w:t>Poland</w:t>
      </w:r>
      <w:r w:rsidR="003E1E85" w:rsidRPr="00052E08">
        <w:rPr>
          <w:rFonts w:ascii="Verdana" w:hAnsi="Verdana"/>
          <w:sz w:val="24"/>
          <w:lang w:val="en-GB" w:eastAsia="sv-SE"/>
        </w:rPr>
        <w:t xml:space="preserve"> (</w:t>
      </w:r>
      <w:r w:rsidR="002660B4" w:rsidRPr="00052E08">
        <w:rPr>
          <w:rFonts w:ascii="Verdana" w:hAnsi="Verdana"/>
          <w:sz w:val="24"/>
          <w:lang w:val="en-GB" w:eastAsia="sv-SE"/>
        </w:rPr>
        <w:t xml:space="preserve">authorisation number: </w:t>
      </w:r>
      <w:r w:rsidR="00873437" w:rsidRPr="00873437">
        <w:rPr>
          <w:rFonts w:ascii="Verdana" w:hAnsi="Verdana"/>
          <w:sz w:val="24"/>
          <w:lang w:val="en-GB" w:eastAsia="sv-SE"/>
        </w:rPr>
        <w:t>PL/2019/0375/MR</w:t>
      </w:r>
      <w:r w:rsidR="001B34AA" w:rsidRPr="00052E08">
        <w:rPr>
          <w:rFonts w:ascii="Verdana" w:hAnsi="Verdana"/>
          <w:sz w:val="24"/>
          <w:lang w:val="en-GB" w:eastAsia="sv-SE"/>
        </w:rPr>
        <w:t>), based on NEO-Actipellet-Brod evaluated by Italy CA.</w:t>
      </w:r>
    </w:p>
    <w:p w14:paraId="17F484AB" w14:textId="77777777" w:rsidR="00176785" w:rsidRPr="00052E08" w:rsidRDefault="00176785" w:rsidP="003E1E85">
      <w:pPr>
        <w:jc w:val="both"/>
        <w:rPr>
          <w:rFonts w:ascii="Verdana" w:hAnsi="Verdana"/>
          <w:sz w:val="24"/>
          <w:lang w:val="en-GB" w:eastAsia="sv-SE"/>
        </w:rPr>
      </w:pPr>
    </w:p>
    <w:p w14:paraId="1A924ECB" w14:textId="125BD265" w:rsidR="00176785" w:rsidRPr="00052E08" w:rsidRDefault="00176785" w:rsidP="00176785">
      <w:pPr>
        <w:jc w:val="both"/>
        <w:rPr>
          <w:rFonts w:ascii="Verdana" w:hAnsi="Verdana"/>
          <w:snapToGrid w:val="0"/>
          <w:sz w:val="24"/>
          <w:lang w:val="en-GB" w:eastAsia="fi-FI"/>
        </w:rPr>
      </w:pPr>
      <w:r w:rsidRPr="00052E08">
        <w:rPr>
          <w:rFonts w:ascii="Verdana" w:hAnsi="Verdana"/>
          <w:snapToGrid w:val="0"/>
          <w:sz w:val="24"/>
          <w:lang w:val="en-GB" w:eastAsia="fi-FI"/>
        </w:rPr>
        <w:t xml:space="preserve">The Product Assessment Report for the </w:t>
      </w:r>
      <w:r w:rsidR="00514BC4" w:rsidRPr="00052E08">
        <w:rPr>
          <w:rFonts w:ascii="Verdana" w:hAnsi="Verdana"/>
          <w:snapToGrid w:val="0"/>
          <w:sz w:val="24"/>
          <w:lang w:val="en-GB" w:eastAsia="fi-FI"/>
        </w:rPr>
        <w:t xml:space="preserve">authorisation of </w:t>
      </w:r>
      <w:r w:rsidR="001B34AA" w:rsidRPr="00052E08">
        <w:rPr>
          <w:rFonts w:ascii="Verdana" w:hAnsi="Verdana"/>
          <w:snapToGrid w:val="0"/>
          <w:sz w:val="24"/>
          <w:lang w:val="en-GB" w:eastAsia="fi-FI"/>
        </w:rPr>
        <w:t>NEO-Actipellet-Brod</w:t>
      </w:r>
      <w:r w:rsidRPr="00052E08">
        <w:rPr>
          <w:rFonts w:ascii="Verdana" w:hAnsi="Verdana"/>
          <w:snapToGrid w:val="0"/>
          <w:sz w:val="24"/>
          <w:lang w:val="en-GB" w:eastAsia="fi-FI"/>
        </w:rPr>
        <w:t xml:space="preserve"> prepared by the</w:t>
      </w:r>
      <w:r w:rsidR="001B34AA" w:rsidRPr="00052E08">
        <w:rPr>
          <w:rFonts w:ascii="Verdana" w:hAnsi="Verdana"/>
          <w:snapToGrid w:val="0"/>
          <w:sz w:val="24"/>
          <w:lang w:val="en-GB" w:eastAsia="fi-FI"/>
        </w:rPr>
        <w:t xml:space="preserve"> Italy CA (dated June 2017</w:t>
      </w:r>
      <w:r w:rsidRPr="00052E08">
        <w:rPr>
          <w:rFonts w:ascii="Verdana" w:hAnsi="Verdana"/>
          <w:snapToGrid w:val="0"/>
          <w:sz w:val="24"/>
          <w:lang w:val="en-GB" w:eastAsia="fi-FI"/>
        </w:rPr>
        <w:t xml:space="preserve">) is considered as applicable for authorisation of the product </w:t>
      </w:r>
      <w:r w:rsidR="001B34AA" w:rsidRPr="00052E08">
        <w:rPr>
          <w:rFonts w:ascii="Verdana" w:hAnsi="Verdana"/>
          <w:snapToGrid w:val="0"/>
          <w:sz w:val="24"/>
          <w:lang w:val="en-GB" w:eastAsia="fi-FI"/>
        </w:rPr>
        <w:t>Ratimor brodifacoum trutka granulowana.</w:t>
      </w:r>
      <w:r w:rsidRPr="00052E08">
        <w:rPr>
          <w:rFonts w:ascii="Verdana" w:hAnsi="Verdana"/>
          <w:snapToGrid w:val="0"/>
          <w:sz w:val="24"/>
          <w:lang w:val="en-GB" w:eastAsia="fi-FI"/>
        </w:rPr>
        <w:t xml:space="preserve"> </w:t>
      </w:r>
    </w:p>
    <w:p w14:paraId="79E57DD6" w14:textId="77777777" w:rsidR="00176785" w:rsidRPr="00052E08" w:rsidRDefault="00176785" w:rsidP="003E1E85">
      <w:pPr>
        <w:jc w:val="both"/>
        <w:rPr>
          <w:rFonts w:ascii="Verdana" w:hAnsi="Verdana"/>
          <w:sz w:val="24"/>
          <w:lang w:val="en-GB" w:eastAsia="sv-SE"/>
        </w:rPr>
      </w:pPr>
    </w:p>
    <w:p w14:paraId="56201F1B" w14:textId="77777777" w:rsidR="00176785" w:rsidRPr="00052E08" w:rsidRDefault="00176785" w:rsidP="00176785">
      <w:pPr>
        <w:jc w:val="both"/>
        <w:rPr>
          <w:rFonts w:ascii="Verdana" w:hAnsi="Verdana"/>
          <w:sz w:val="24"/>
          <w:lang w:val="en-US" w:eastAsia="sv-SE"/>
        </w:rPr>
      </w:pPr>
    </w:p>
    <w:p w14:paraId="29564439" w14:textId="67F9AAAE" w:rsidR="00176785" w:rsidRPr="00052E08" w:rsidRDefault="00176785" w:rsidP="00176785">
      <w:pPr>
        <w:keepNext/>
        <w:keepLines/>
        <w:widowControl w:val="0"/>
        <w:spacing w:after="240"/>
        <w:outlineLvl w:val="0"/>
        <w:rPr>
          <w:rFonts w:ascii="Verdana" w:hAnsi="Verdana"/>
          <w:b/>
          <w:sz w:val="24"/>
          <w:lang w:val="en-US"/>
        </w:rPr>
      </w:pPr>
      <w:r w:rsidRPr="00052E08">
        <w:rPr>
          <w:rFonts w:ascii="Verdana" w:hAnsi="Verdana"/>
          <w:b/>
          <w:snapToGrid w:val="0"/>
          <w:sz w:val="24"/>
          <w:lang w:val="en-GB" w:eastAsia="fi-FI"/>
        </w:rPr>
        <w:t xml:space="preserve">Conditions for the authorisation of the biocidal product </w:t>
      </w:r>
      <w:r w:rsidR="005A1D91" w:rsidRPr="00052E08">
        <w:rPr>
          <w:rFonts w:ascii="Verdana" w:hAnsi="Verdana"/>
          <w:b/>
          <w:snapToGrid w:val="0"/>
          <w:sz w:val="24"/>
          <w:lang w:val="en-GB" w:eastAsia="fi-FI"/>
        </w:rPr>
        <w:t>Ratimor brodifacoum trutka granulowana</w:t>
      </w:r>
      <w:r w:rsidRPr="00052E08">
        <w:rPr>
          <w:rFonts w:ascii="Verdana" w:hAnsi="Verdana"/>
          <w:b/>
          <w:snapToGrid w:val="0"/>
          <w:sz w:val="24"/>
          <w:lang w:val="en-GB" w:eastAsia="fi-FI"/>
        </w:rPr>
        <w:t xml:space="preserve"> in Poland:</w:t>
      </w:r>
    </w:p>
    <w:p w14:paraId="46C9CEC6" w14:textId="77777777" w:rsidR="001F05D6" w:rsidRPr="00052E08" w:rsidRDefault="001F05D6" w:rsidP="001F05D6">
      <w:pPr>
        <w:rPr>
          <w:rFonts w:ascii="Verdana" w:hAnsi="Verdana"/>
          <w:sz w:val="24"/>
          <w:lang w:val="en-GB"/>
        </w:rPr>
      </w:pPr>
      <w:r w:rsidRPr="00052E08">
        <w:rPr>
          <w:rFonts w:ascii="Verdana" w:hAnsi="Verdana"/>
          <w:sz w:val="24"/>
          <w:lang w:val="en-GB"/>
        </w:rPr>
        <w:t xml:space="preserve">An application for a minor change was submitted to CA(PL) as the only concerned MS. </w:t>
      </w:r>
    </w:p>
    <w:p w14:paraId="7B230188" w14:textId="77777777" w:rsidR="00176785" w:rsidRPr="00052E08" w:rsidRDefault="00176785" w:rsidP="00176785">
      <w:pPr>
        <w:jc w:val="both"/>
        <w:rPr>
          <w:rFonts w:ascii="Verdana" w:hAnsi="Verdana"/>
          <w:sz w:val="24"/>
          <w:lang w:val="en-US" w:eastAsia="sv-SE"/>
        </w:rPr>
      </w:pPr>
    </w:p>
    <w:p w14:paraId="08FEBFF6" w14:textId="7EBD6590" w:rsidR="00176785" w:rsidRPr="00052E08" w:rsidRDefault="0018513A" w:rsidP="003E1E85">
      <w:pPr>
        <w:jc w:val="both"/>
        <w:rPr>
          <w:rFonts w:ascii="Verdana" w:hAnsi="Verdana"/>
          <w:sz w:val="24"/>
          <w:lang w:val="en-GB" w:eastAsia="sv-SE"/>
        </w:rPr>
      </w:pPr>
      <w:r w:rsidRPr="00052E08">
        <w:rPr>
          <w:rFonts w:ascii="Verdana" w:hAnsi="Verdana"/>
          <w:sz w:val="24"/>
          <w:lang w:val="en-GB" w:eastAsia="sv-SE"/>
        </w:rPr>
        <w:t>Description of all the changes to the product</w:t>
      </w:r>
      <w:r w:rsidR="008A53AE">
        <w:rPr>
          <w:rFonts w:ascii="Verdana" w:hAnsi="Verdana"/>
          <w:sz w:val="24"/>
          <w:lang w:val="en-GB" w:eastAsia="sv-SE"/>
        </w:rPr>
        <w:t>:</w:t>
      </w:r>
      <w:r w:rsidR="005860E8" w:rsidRPr="00052E08">
        <w:rPr>
          <w:rFonts w:ascii="Verdana" w:hAnsi="Verdana"/>
          <w:sz w:val="24"/>
          <w:lang w:val="en-GB" w:eastAsia="sv-SE"/>
        </w:rPr>
        <w:t xml:space="preserve"> </w:t>
      </w:r>
    </w:p>
    <w:p w14:paraId="6EA1039B" w14:textId="77777777" w:rsidR="00367212" w:rsidRPr="00052E08" w:rsidRDefault="00367212" w:rsidP="001B220B">
      <w:pPr>
        <w:jc w:val="both"/>
        <w:rPr>
          <w:rFonts w:ascii="Verdana" w:hAnsi="Verdana"/>
          <w:sz w:val="24"/>
          <w:lang w:val="en-GB" w:eastAsia="sv-SE"/>
        </w:rPr>
      </w:pPr>
    </w:p>
    <w:p w14:paraId="3016F618" w14:textId="62DF8F86" w:rsidR="0018513A" w:rsidRPr="00052E08" w:rsidRDefault="0018513A" w:rsidP="0018513A">
      <w:pPr>
        <w:pStyle w:val="Akapitzlist"/>
        <w:numPr>
          <w:ilvl w:val="0"/>
          <w:numId w:val="22"/>
        </w:numPr>
        <w:jc w:val="both"/>
        <w:rPr>
          <w:rFonts w:ascii="Verdana" w:hAnsi="Verdana"/>
          <w:sz w:val="24"/>
          <w:lang w:val="en-GB" w:eastAsia="sv-SE"/>
        </w:rPr>
      </w:pPr>
      <w:r w:rsidRPr="00052E08">
        <w:rPr>
          <w:rFonts w:ascii="Verdana" w:hAnsi="Verdana"/>
          <w:sz w:val="24"/>
          <w:lang w:val="en-GB" w:eastAsia="sv-SE"/>
        </w:rPr>
        <w:t xml:space="preserve">Minor changes </w:t>
      </w:r>
      <w:r w:rsidR="00367212" w:rsidRPr="00052E08">
        <w:rPr>
          <w:rFonts w:ascii="Verdana" w:hAnsi="Verdana"/>
          <w:sz w:val="24"/>
          <w:lang w:val="en-GB" w:eastAsia="sv-SE"/>
        </w:rPr>
        <w:t>referred</w:t>
      </w:r>
      <w:r w:rsidRPr="00052E08">
        <w:rPr>
          <w:rFonts w:ascii="Verdana" w:hAnsi="Verdana"/>
          <w:sz w:val="24"/>
          <w:lang w:val="en-GB" w:eastAsia="sv-SE"/>
        </w:rPr>
        <w:t xml:space="preserve"> to in Title 2 of the Annex Regulation (EU) No 354/2013 – change </w:t>
      </w:r>
      <w:r w:rsidR="00AF3D0C" w:rsidRPr="00052E08">
        <w:rPr>
          <w:rFonts w:ascii="Verdana" w:hAnsi="Verdana"/>
          <w:sz w:val="24"/>
          <w:lang w:val="en-GB" w:eastAsia="sv-SE"/>
        </w:rPr>
        <w:t xml:space="preserve">number: 7 (changes relate to </w:t>
      </w:r>
      <w:r w:rsidR="00F7214E" w:rsidRPr="00052E08">
        <w:rPr>
          <w:rFonts w:ascii="Verdana" w:hAnsi="Verdana"/>
          <w:sz w:val="24"/>
          <w:lang w:val="en-GB" w:eastAsia="sv-SE"/>
        </w:rPr>
        <w:t>each category of users)</w:t>
      </w:r>
    </w:p>
    <w:p w14:paraId="24EF4216" w14:textId="77777777" w:rsidR="00052E08" w:rsidRPr="00052E08" w:rsidRDefault="00052E08" w:rsidP="00AF3D0C">
      <w:pPr>
        <w:pStyle w:val="Akapitzlist"/>
        <w:ind w:left="1440"/>
        <w:jc w:val="both"/>
        <w:rPr>
          <w:rFonts w:ascii="Verdana" w:hAnsi="Verdana"/>
          <w:sz w:val="24"/>
          <w:lang w:val="en-GB" w:eastAsia="sv-SE"/>
        </w:rPr>
      </w:pPr>
    </w:p>
    <w:p w14:paraId="4FC82DDD" w14:textId="0B284F84" w:rsidR="00052E08" w:rsidRPr="00052E08" w:rsidRDefault="00052E08" w:rsidP="00AF3D0C">
      <w:pPr>
        <w:pStyle w:val="Akapitzlist"/>
        <w:ind w:left="1440"/>
        <w:jc w:val="both"/>
        <w:rPr>
          <w:rFonts w:ascii="Verdana" w:hAnsi="Verdana"/>
          <w:b/>
        </w:rPr>
      </w:pPr>
      <w:r w:rsidRPr="00052E08">
        <w:rPr>
          <w:rFonts w:ascii="Verdana" w:hAnsi="Verdana"/>
          <w:b/>
        </w:rPr>
        <w:t>For general public against mice:</w:t>
      </w:r>
    </w:p>
    <w:p w14:paraId="04159CF3" w14:textId="77777777" w:rsidR="00052E08" w:rsidRPr="00052E08" w:rsidRDefault="00052E08" w:rsidP="00AF3D0C">
      <w:pPr>
        <w:pStyle w:val="Akapitzlist"/>
        <w:ind w:left="1440"/>
        <w:jc w:val="both"/>
        <w:rPr>
          <w:rFonts w:ascii="Verdana" w:hAnsi="Verdana"/>
          <w:sz w:val="24"/>
          <w:lang w:val="en-GB" w:eastAsia="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264"/>
      </w:tblGrid>
      <w:tr w:rsidR="00052E08" w:rsidRPr="00C76274" w14:paraId="72B82DCA" w14:textId="77777777" w:rsidTr="00052E08">
        <w:trPr>
          <w:trHeight w:val="416"/>
          <w:jc w:val="center"/>
        </w:trPr>
        <w:tc>
          <w:tcPr>
            <w:tcW w:w="2796" w:type="dxa"/>
          </w:tcPr>
          <w:bookmarkEnd w:id="1"/>
          <w:p w14:paraId="1CFC85F2" w14:textId="5A9EB9EE" w:rsidR="00052E08" w:rsidRPr="00C76274" w:rsidRDefault="00BD0DD2" w:rsidP="00ED189C">
            <w:pPr>
              <w:widowControl w:val="0"/>
              <w:snapToGrid w:val="0"/>
              <w:rPr>
                <w:rFonts w:ascii="Verdana" w:hAnsi="Verdana"/>
                <w:color w:val="000000"/>
                <w:sz w:val="20"/>
                <w:szCs w:val="20"/>
              </w:rPr>
            </w:pPr>
            <w:r w:rsidRPr="00C76274">
              <w:rPr>
                <w:rFonts w:ascii="Verdana" w:hAnsi="Verdana"/>
                <w:color w:val="000000"/>
                <w:sz w:val="20"/>
                <w:szCs w:val="20"/>
              </w:rPr>
              <w:t>Packaging sizes and packaging materials</w:t>
            </w:r>
          </w:p>
        </w:tc>
        <w:tc>
          <w:tcPr>
            <w:tcW w:w="6264" w:type="dxa"/>
          </w:tcPr>
          <w:p w14:paraId="1EAB4818" w14:textId="613898BC" w:rsidR="00052E08" w:rsidRPr="00C76274" w:rsidRDefault="00FC3D75" w:rsidP="00ED189C">
            <w:pPr>
              <w:ind w:left="318" w:hanging="318"/>
              <w:jc w:val="both"/>
              <w:rPr>
                <w:rFonts w:ascii="Verdana" w:hAnsi="Verdana"/>
                <w:b/>
                <w:sz w:val="20"/>
                <w:szCs w:val="20"/>
              </w:rPr>
            </w:pPr>
            <w:r w:rsidRPr="00C76274">
              <w:rPr>
                <w:rFonts w:ascii="Verdana" w:hAnsi="Verdana"/>
                <w:b/>
                <w:sz w:val="20"/>
                <w:szCs w:val="20"/>
              </w:rPr>
              <w:t>The maximum pack size is</w:t>
            </w:r>
            <w:r w:rsidR="00052E08" w:rsidRPr="00C76274">
              <w:rPr>
                <w:rFonts w:ascii="Verdana" w:hAnsi="Verdana"/>
                <w:b/>
                <w:sz w:val="20"/>
                <w:szCs w:val="20"/>
              </w:rPr>
              <w:t xml:space="preserve"> 50g.</w:t>
            </w:r>
          </w:p>
          <w:p w14:paraId="1B510658" w14:textId="77777777" w:rsidR="00FC3D75" w:rsidRPr="00C76274" w:rsidRDefault="00FC3D75" w:rsidP="00ED189C">
            <w:pPr>
              <w:pStyle w:val="Akapitzlist"/>
              <w:autoSpaceDE w:val="0"/>
              <w:autoSpaceDN w:val="0"/>
              <w:adjustRightInd w:val="0"/>
              <w:ind w:left="0"/>
              <w:rPr>
                <w:rFonts w:ascii="Verdana" w:hAnsi="Verdana"/>
                <w:sz w:val="20"/>
              </w:rPr>
            </w:pPr>
            <w:r w:rsidRPr="00C76274">
              <w:rPr>
                <w:rFonts w:ascii="Verdana" w:hAnsi="Verdana"/>
                <w:sz w:val="20"/>
              </w:rPr>
              <w:t xml:space="preserve">1. Edible paper tea-bag sachets (10 g - 20 g) packed in: - </w:t>
            </w:r>
          </w:p>
          <w:p w14:paraId="4456BE5E" w14:textId="77777777" w:rsidR="00FC3D75" w:rsidRPr="00C76274" w:rsidRDefault="00FC3D75" w:rsidP="00FC3D75">
            <w:pPr>
              <w:pStyle w:val="Akapitzlist"/>
              <w:autoSpaceDE w:val="0"/>
              <w:autoSpaceDN w:val="0"/>
              <w:adjustRightInd w:val="0"/>
              <w:ind w:left="0"/>
              <w:rPr>
                <w:rFonts w:ascii="Verdana" w:hAnsi="Verdana"/>
                <w:sz w:val="20"/>
              </w:rPr>
            </w:pPr>
            <w:r w:rsidRPr="00C76274">
              <w:rPr>
                <w:rFonts w:ascii="Verdana" w:hAnsi="Verdana"/>
                <w:sz w:val="20"/>
              </w:rPr>
              <w:t>-polyethylene (PE) or polypropylene (PP) or PE/PP or paper/PE outer sachet packed in cardboard,</w:t>
            </w:r>
          </w:p>
          <w:p w14:paraId="63A4ACC3" w14:textId="2F0A7CB2" w:rsidR="00FC3D75" w:rsidRPr="00C76274" w:rsidRDefault="00FC3D75" w:rsidP="00FC3D75">
            <w:pPr>
              <w:pStyle w:val="Akapitzlist"/>
              <w:autoSpaceDE w:val="0"/>
              <w:autoSpaceDN w:val="0"/>
              <w:adjustRightInd w:val="0"/>
              <w:ind w:left="0"/>
              <w:rPr>
                <w:rFonts w:ascii="Verdana" w:hAnsi="Verdana"/>
                <w:sz w:val="20"/>
              </w:rPr>
            </w:pPr>
            <w:r w:rsidRPr="00C76274">
              <w:rPr>
                <w:rFonts w:ascii="Verdana" w:hAnsi="Verdana"/>
                <w:sz w:val="20"/>
              </w:rPr>
              <w:t xml:space="preserve">- polyethylene (PE) or polypropylene (PP) pack, </w:t>
            </w:r>
          </w:p>
          <w:p w14:paraId="04CB8BB3" w14:textId="1234158B" w:rsidR="00FC3D75" w:rsidRPr="00C76274" w:rsidRDefault="00FC3D75" w:rsidP="00FC3D75">
            <w:pPr>
              <w:pStyle w:val="Akapitzlist"/>
              <w:autoSpaceDE w:val="0"/>
              <w:autoSpaceDN w:val="0"/>
              <w:adjustRightInd w:val="0"/>
              <w:ind w:left="0"/>
              <w:rPr>
                <w:rFonts w:ascii="Verdana" w:hAnsi="Verdana"/>
                <w:sz w:val="20"/>
              </w:rPr>
            </w:pPr>
            <w:r w:rsidRPr="00C76274">
              <w:rPr>
                <w:rFonts w:ascii="Verdana" w:hAnsi="Verdana"/>
                <w:sz w:val="20"/>
              </w:rPr>
              <w:t>- natron bag,</w:t>
            </w:r>
          </w:p>
          <w:p w14:paraId="5393BEA6" w14:textId="77777777" w:rsidR="00BA27F3" w:rsidRPr="00C76274" w:rsidRDefault="00FC3D75" w:rsidP="00BA27F3">
            <w:pPr>
              <w:pStyle w:val="Akapitzlist"/>
              <w:autoSpaceDE w:val="0"/>
              <w:autoSpaceDN w:val="0"/>
              <w:adjustRightInd w:val="0"/>
              <w:ind w:left="0"/>
              <w:rPr>
                <w:rFonts w:ascii="Verdana" w:hAnsi="Verdana"/>
                <w:sz w:val="20"/>
              </w:rPr>
            </w:pPr>
            <w:r w:rsidRPr="00C76274">
              <w:rPr>
                <w:rFonts w:ascii="Verdana" w:hAnsi="Verdana"/>
                <w:sz w:val="20"/>
              </w:rPr>
              <w:t>- sachet (PE or PE/PP or PP or paper/PE) packed in cardboard outer pack/carton box or natron bag or PP/HDPE buckets with lid</w:t>
            </w:r>
            <w:r w:rsidR="00BA27F3" w:rsidRPr="00C76274">
              <w:rPr>
                <w:rFonts w:ascii="Verdana" w:hAnsi="Verdana"/>
                <w:sz w:val="20"/>
              </w:rPr>
              <w:t>,</w:t>
            </w:r>
            <w:r w:rsidRPr="00C76274">
              <w:rPr>
                <w:rFonts w:ascii="Verdana" w:hAnsi="Verdana"/>
                <w:sz w:val="20"/>
              </w:rPr>
              <w:t xml:space="preserve"> </w:t>
            </w:r>
          </w:p>
          <w:p w14:paraId="05670017" w14:textId="06C0006A" w:rsidR="00BA27F3" w:rsidRPr="00C76274" w:rsidRDefault="00FC3D75" w:rsidP="00BA27F3">
            <w:pPr>
              <w:pStyle w:val="Akapitzlist"/>
              <w:autoSpaceDE w:val="0"/>
              <w:autoSpaceDN w:val="0"/>
              <w:adjustRightInd w:val="0"/>
              <w:ind w:left="0"/>
              <w:rPr>
                <w:rFonts w:ascii="Verdana" w:hAnsi="Verdana"/>
                <w:sz w:val="20"/>
              </w:rPr>
            </w:pPr>
            <w:r w:rsidRPr="00C76274">
              <w:rPr>
                <w:rFonts w:ascii="Verdana" w:hAnsi="Verdana"/>
                <w:sz w:val="20"/>
              </w:rPr>
              <w:t xml:space="preserve">- PE </w:t>
            </w:r>
            <w:r w:rsidR="00BA27F3" w:rsidRPr="00C76274">
              <w:rPr>
                <w:rFonts w:ascii="Verdana" w:hAnsi="Verdana"/>
                <w:sz w:val="20"/>
              </w:rPr>
              <w:t>or PP buckets with lid,</w:t>
            </w:r>
            <w:r w:rsidRPr="00C76274">
              <w:rPr>
                <w:rFonts w:ascii="Verdana" w:hAnsi="Verdana"/>
                <w:sz w:val="20"/>
              </w:rPr>
              <w:t xml:space="preserve"> </w:t>
            </w:r>
          </w:p>
          <w:p w14:paraId="3FCBD236" w14:textId="2DBD39DF" w:rsidR="00BA27F3" w:rsidRPr="00C76274" w:rsidRDefault="00FC3D75" w:rsidP="00BA27F3">
            <w:pPr>
              <w:pStyle w:val="Akapitzlist"/>
              <w:autoSpaceDE w:val="0"/>
              <w:autoSpaceDN w:val="0"/>
              <w:adjustRightInd w:val="0"/>
              <w:ind w:left="0"/>
              <w:rPr>
                <w:rFonts w:ascii="Verdana" w:hAnsi="Verdana"/>
                <w:sz w:val="20"/>
              </w:rPr>
            </w:pPr>
            <w:r w:rsidRPr="00C76274">
              <w:rPr>
                <w:rFonts w:ascii="Verdana" w:hAnsi="Verdana"/>
                <w:sz w:val="20"/>
              </w:rPr>
              <w:t xml:space="preserve">- cardboard boxes with </w:t>
            </w:r>
            <w:r w:rsidR="00BA27F3" w:rsidRPr="00C76274">
              <w:rPr>
                <w:rFonts w:ascii="Verdana" w:hAnsi="Verdana"/>
                <w:sz w:val="20"/>
              </w:rPr>
              <w:t>PE or PP bag or liner,</w:t>
            </w:r>
            <w:r w:rsidRPr="00C76274">
              <w:rPr>
                <w:rFonts w:ascii="Verdana" w:hAnsi="Verdana"/>
                <w:sz w:val="20"/>
              </w:rPr>
              <w:t xml:space="preserve"> </w:t>
            </w:r>
          </w:p>
          <w:p w14:paraId="63B6A872" w14:textId="77777777" w:rsidR="00BA27F3" w:rsidRPr="00C76274" w:rsidRDefault="00FC3D75" w:rsidP="00BA27F3">
            <w:pPr>
              <w:pStyle w:val="Akapitzlist"/>
              <w:autoSpaceDE w:val="0"/>
              <w:autoSpaceDN w:val="0"/>
              <w:adjustRightInd w:val="0"/>
              <w:ind w:left="0"/>
              <w:rPr>
                <w:rFonts w:ascii="Verdana" w:hAnsi="Verdana"/>
                <w:sz w:val="20"/>
              </w:rPr>
            </w:pPr>
            <w:r w:rsidRPr="00C76274">
              <w:rPr>
                <w:rFonts w:ascii="Verdana" w:hAnsi="Verdana"/>
                <w:sz w:val="20"/>
              </w:rPr>
              <w:t>- pre-filled or refillable tamper-resistant HDPE or polypropylene mouse bait station</w:t>
            </w:r>
            <w:r w:rsidR="00BA27F3" w:rsidRPr="00C76274">
              <w:rPr>
                <w:rFonts w:ascii="Verdana" w:hAnsi="Verdana"/>
                <w:sz w:val="20"/>
              </w:rPr>
              <w:t xml:space="preserve"> (20g-40g)</w:t>
            </w:r>
            <w:r w:rsidRPr="00C76274">
              <w:rPr>
                <w:rFonts w:ascii="Verdana" w:hAnsi="Verdana"/>
                <w:sz w:val="20"/>
              </w:rPr>
              <w:t xml:space="preserve">. Bait stations </w:t>
            </w:r>
            <w:r w:rsidRPr="00C76274">
              <w:rPr>
                <w:rFonts w:ascii="Verdana" w:hAnsi="Verdana"/>
                <w:sz w:val="20"/>
              </w:rPr>
              <w:lastRenderedPageBreak/>
              <w:t>packed in cardboard outer or plastic heat-sealed container or th</w:t>
            </w:r>
            <w:r w:rsidR="00BA27F3" w:rsidRPr="00C76274">
              <w:rPr>
                <w:rFonts w:ascii="Verdana" w:hAnsi="Verdana"/>
                <w:sz w:val="20"/>
              </w:rPr>
              <w:t>ermally sealing foil.</w:t>
            </w:r>
          </w:p>
          <w:p w14:paraId="137337B4" w14:textId="77777777" w:rsidR="0077128B" w:rsidRPr="00C76274" w:rsidRDefault="00FC3D75" w:rsidP="00BA27F3">
            <w:pPr>
              <w:pStyle w:val="Akapitzlist"/>
              <w:autoSpaceDE w:val="0"/>
              <w:autoSpaceDN w:val="0"/>
              <w:adjustRightInd w:val="0"/>
              <w:ind w:left="0"/>
              <w:rPr>
                <w:rFonts w:ascii="Verdana" w:hAnsi="Verdana"/>
                <w:sz w:val="20"/>
              </w:rPr>
            </w:pPr>
            <w:r w:rsidRPr="00C76274">
              <w:rPr>
                <w:rFonts w:ascii="Verdana" w:hAnsi="Verdana"/>
                <w:sz w:val="20"/>
              </w:rPr>
              <w:t xml:space="preserve">2. Bait in PP/paper film sachets, PET/PE film sachets, PE/paper film sachets or PE/aluminised film sachets (10 g - 40 g) packed in: </w:t>
            </w:r>
          </w:p>
          <w:p w14:paraId="7D124F72" w14:textId="462CA4CB" w:rsidR="0077128B" w:rsidRPr="00C76274" w:rsidRDefault="00FC3D75" w:rsidP="00BA27F3">
            <w:pPr>
              <w:pStyle w:val="Akapitzlist"/>
              <w:autoSpaceDE w:val="0"/>
              <w:autoSpaceDN w:val="0"/>
              <w:adjustRightInd w:val="0"/>
              <w:ind w:left="0"/>
              <w:rPr>
                <w:rFonts w:ascii="Verdana" w:hAnsi="Verdana"/>
                <w:sz w:val="20"/>
              </w:rPr>
            </w:pPr>
            <w:r w:rsidRPr="00C76274">
              <w:rPr>
                <w:rFonts w:ascii="Verdana" w:hAnsi="Verdana"/>
                <w:sz w:val="20"/>
              </w:rPr>
              <w:t>- polyethylene (PE) or polypropylene (PP) or PE/PP or paper/PE outer sachet packed in cardboard or</w:t>
            </w:r>
            <w:r w:rsidR="0077128B" w:rsidRPr="00C76274">
              <w:rPr>
                <w:rFonts w:ascii="Verdana" w:hAnsi="Verdana"/>
                <w:sz w:val="20"/>
              </w:rPr>
              <w:t xml:space="preserve"> fibreboard outer pack.</w:t>
            </w:r>
            <w:r w:rsidRPr="00C76274">
              <w:rPr>
                <w:rFonts w:ascii="Verdana" w:hAnsi="Verdana"/>
                <w:sz w:val="20"/>
              </w:rPr>
              <w:t xml:space="preserve"> </w:t>
            </w:r>
          </w:p>
          <w:p w14:paraId="7E7DAE5C" w14:textId="77777777" w:rsidR="0077128B" w:rsidRPr="00C76274" w:rsidRDefault="0077128B" w:rsidP="00BA27F3">
            <w:pPr>
              <w:pStyle w:val="Akapitzlist"/>
              <w:autoSpaceDE w:val="0"/>
              <w:autoSpaceDN w:val="0"/>
              <w:adjustRightInd w:val="0"/>
              <w:ind w:left="0"/>
              <w:rPr>
                <w:rFonts w:ascii="Verdana" w:hAnsi="Verdana"/>
                <w:sz w:val="20"/>
              </w:rPr>
            </w:pPr>
            <w:r w:rsidRPr="00C76274">
              <w:rPr>
                <w:rFonts w:ascii="Verdana" w:hAnsi="Verdana"/>
                <w:sz w:val="20"/>
              </w:rPr>
              <w:t>- PE or PP packs,</w:t>
            </w:r>
            <w:r w:rsidR="00FC3D75" w:rsidRPr="00C76274">
              <w:rPr>
                <w:rFonts w:ascii="Verdana" w:hAnsi="Verdana"/>
                <w:sz w:val="20"/>
              </w:rPr>
              <w:t xml:space="preserve"> </w:t>
            </w:r>
          </w:p>
          <w:p w14:paraId="1EE29DA4" w14:textId="77777777" w:rsidR="0077128B" w:rsidRPr="00C76274" w:rsidRDefault="0077128B" w:rsidP="00BA27F3">
            <w:pPr>
              <w:pStyle w:val="Akapitzlist"/>
              <w:autoSpaceDE w:val="0"/>
              <w:autoSpaceDN w:val="0"/>
              <w:adjustRightInd w:val="0"/>
              <w:ind w:left="0"/>
              <w:rPr>
                <w:rFonts w:ascii="Verdana" w:hAnsi="Verdana"/>
                <w:sz w:val="20"/>
              </w:rPr>
            </w:pPr>
            <w:r w:rsidRPr="00C76274">
              <w:rPr>
                <w:rFonts w:ascii="Verdana" w:hAnsi="Verdana"/>
                <w:sz w:val="20"/>
              </w:rPr>
              <w:t xml:space="preserve">- HDPE container, </w:t>
            </w:r>
          </w:p>
          <w:p w14:paraId="49F74BA6" w14:textId="77777777" w:rsidR="0077128B" w:rsidRPr="00C76274" w:rsidRDefault="0077128B" w:rsidP="00BA27F3">
            <w:pPr>
              <w:pStyle w:val="Akapitzlist"/>
              <w:autoSpaceDE w:val="0"/>
              <w:autoSpaceDN w:val="0"/>
              <w:adjustRightInd w:val="0"/>
              <w:ind w:left="0"/>
              <w:rPr>
                <w:rFonts w:ascii="Verdana" w:hAnsi="Verdana"/>
                <w:sz w:val="20"/>
              </w:rPr>
            </w:pPr>
            <w:r w:rsidRPr="00C76274">
              <w:rPr>
                <w:rFonts w:ascii="Verdana" w:hAnsi="Verdana"/>
                <w:sz w:val="20"/>
              </w:rPr>
              <w:t xml:space="preserve">- Natron bag, </w:t>
            </w:r>
            <w:r w:rsidR="00FC3D75" w:rsidRPr="00C76274">
              <w:rPr>
                <w:rFonts w:ascii="Verdana" w:hAnsi="Verdana"/>
                <w:sz w:val="20"/>
              </w:rPr>
              <w:t xml:space="preserve"> </w:t>
            </w:r>
          </w:p>
          <w:p w14:paraId="658E3BA5" w14:textId="77777777" w:rsidR="0077128B" w:rsidRPr="00C76274" w:rsidRDefault="0077128B" w:rsidP="0077128B">
            <w:pPr>
              <w:pStyle w:val="Akapitzlist"/>
              <w:autoSpaceDE w:val="0"/>
              <w:autoSpaceDN w:val="0"/>
              <w:adjustRightInd w:val="0"/>
              <w:ind w:left="0"/>
              <w:rPr>
                <w:rFonts w:ascii="Verdana" w:hAnsi="Verdana"/>
                <w:sz w:val="20"/>
              </w:rPr>
            </w:pPr>
            <w:r w:rsidRPr="00C76274">
              <w:rPr>
                <w:rFonts w:ascii="Verdana" w:hAnsi="Verdana"/>
                <w:sz w:val="20"/>
              </w:rPr>
              <w:t>- PP woven sack,</w:t>
            </w:r>
          </w:p>
          <w:p w14:paraId="292667DE" w14:textId="77777777" w:rsidR="0077128B" w:rsidRPr="00C76274" w:rsidRDefault="00FC3D75" w:rsidP="0077128B">
            <w:pPr>
              <w:pStyle w:val="Akapitzlist"/>
              <w:autoSpaceDE w:val="0"/>
              <w:autoSpaceDN w:val="0"/>
              <w:adjustRightInd w:val="0"/>
              <w:ind w:left="0"/>
              <w:rPr>
                <w:rFonts w:ascii="Verdana" w:hAnsi="Verdana"/>
                <w:sz w:val="20"/>
              </w:rPr>
            </w:pPr>
            <w:r w:rsidRPr="00C76274">
              <w:rPr>
                <w:rFonts w:ascii="Verdana" w:hAnsi="Verdana"/>
                <w:sz w:val="20"/>
              </w:rPr>
              <w:t>- Pail (PP) or bucket (PP or PE) wi</w:t>
            </w:r>
            <w:r w:rsidR="0077128B" w:rsidRPr="00C76274">
              <w:rPr>
                <w:rFonts w:ascii="Verdana" w:hAnsi="Verdana"/>
                <w:sz w:val="20"/>
              </w:rPr>
              <w:t>th lid,</w:t>
            </w:r>
            <w:r w:rsidRPr="00C76274">
              <w:rPr>
                <w:rFonts w:ascii="Verdana" w:hAnsi="Verdana"/>
                <w:sz w:val="20"/>
              </w:rPr>
              <w:t xml:space="preserve"> </w:t>
            </w:r>
          </w:p>
          <w:p w14:paraId="09A03773" w14:textId="77777777" w:rsidR="0077128B" w:rsidRPr="00C76274" w:rsidRDefault="0077128B" w:rsidP="0077128B">
            <w:pPr>
              <w:pStyle w:val="Akapitzlist"/>
              <w:autoSpaceDE w:val="0"/>
              <w:autoSpaceDN w:val="0"/>
              <w:adjustRightInd w:val="0"/>
              <w:ind w:left="0"/>
              <w:rPr>
                <w:rFonts w:ascii="Verdana" w:hAnsi="Verdana"/>
                <w:sz w:val="20"/>
              </w:rPr>
            </w:pPr>
            <w:r w:rsidRPr="00C76274">
              <w:rPr>
                <w:rFonts w:ascii="Verdana" w:hAnsi="Verdana"/>
                <w:sz w:val="20"/>
              </w:rPr>
              <w:t>- PP or PE tub,</w:t>
            </w:r>
            <w:r w:rsidR="00FC3D75" w:rsidRPr="00C76274">
              <w:rPr>
                <w:rFonts w:ascii="Verdana" w:hAnsi="Verdana"/>
                <w:sz w:val="20"/>
              </w:rPr>
              <w:t xml:space="preserve"> </w:t>
            </w:r>
          </w:p>
          <w:p w14:paraId="09D271DF" w14:textId="77777777" w:rsidR="0077128B" w:rsidRPr="00C76274" w:rsidRDefault="00FC3D75" w:rsidP="0077128B">
            <w:pPr>
              <w:pStyle w:val="Akapitzlist"/>
              <w:autoSpaceDE w:val="0"/>
              <w:autoSpaceDN w:val="0"/>
              <w:adjustRightInd w:val="0"/>
              <w:ind w:left="0"/>
              <w:rPr>
                <w:rFonts w:ascii="Verdana" w:hAnsi="Verdana"/>
                <w:sz w:val="20"/>
              </w:rPr>
            </w:pPr>
            <w:r w:rsidRPr="00C76274">
              <w:rPr>
                <w:rFonts w:ascii="Verdana" w:hAnsi="Verdana"/>
                <w:sz w:val="20"/>
              </w:rPr>
              <w:t>- Prefilled or refillable</w:t>
            </w:r>
            <w:r w:rsidR="0077128B" w:rsidRPr="00C76274">
              <w:rPr>
                <w:rFonts w:ascii="Verdana" w:hAnsi="Verdana"/>
                <w:sz w:val="20"/>
              </w:rPr>
              <w:t xml:space="preserve"> tamper-resistant HDPE or PP</w:t>
            </w:r>
            <w:r w:rsidRPr="00C76274">
              <w:rPr>
                <w:rFonts w:ascii="Verdana" w:hAnsi="Verdana"/>
                <w:sz w:val="20"/>
              </w:rPr>
              <w:t xml:space="preserve"> mouse bait station</w:t>
            </w:r>
            <w:r w:rsidR="0077128B" w:rsidRPr="00C76274">
              <w:rPr>
                <w:rFonts w:ascii="Verdana" w:hAnsi="Verdana"/>
                <w:sz w:val="20"/>
              </w:rPr>
              <w:t xml:space="preserve"> (20g-40g)</w:t>
            </w:r>
            <w:r w:rsidRPr="00C76274">
              <w:rPr>
                <w:rFonts w:ascii="Verdana" w:hAnsi="Verdana"/>
                <w:sz w:val="20"/>
              </w:rPr>
              <w:t>. Bait stations packed in cardboard outer or plastic heat-sealed container or t</w:t>
            </w:r>
            <w:r w:rsidR="0077128B" w:rsidRPr="00C76274">
              <w:rPr>
                <w:rFonts w:ascii="Verdana" w:hAnsi="Verdana"/>
                <w:sz w:val="20"/>
              </w:rPr>
              <w:t>hermally sealing foil</w:t>
            </w:r>
            <w:r w:rsidRPr="00C76274">
              <w:rPr>
                <w:rFonts w:ascii="Verdana" w:hAnsi="Verdana"/>
                <w:sz w:val="20"/>
              </w:rPr>
              <w:t xml:space="preserve"> </w:t>
            </w:r>
          </w:p>
          <w:p w14:paraId="52C2B97F" w14:textId="77777777" w:rsidR="00091721" w:rsidRPr="00C76274" w:rsidRDefault="00FC3D75" w:rsidP="0077128B">
            <w:pPr>
              <w:pStyle w:val="Akapitzlist"/>
              <w:autoSpaceDE w:val="0"/>
              <w:autoSpaceDN w:val="0"/>
              <w:adjustRightInd w:val="0"/>
              <w:ind w:left="0"/>
              <w:rPr>
                <w:rFonts w:ascii="Verdana" w:hAnsi="Verdana"/>
                <w:sz w:val="20"/>
              </w:rPr>
            </w:pPr>
            <w:r w:rsidRPr="00C76274">
              <w:rPr>
                <w:rFonts w:ascii="Verdana" w:hAnsi="Verdana"/>
                <w:sz w:val="20"/>
              </w:rPr>
              <w:t>- PET/PE, PP/PE or pa</w:t>
            </w:r>
            <w:r w:rsidR="0077128B" w:rsidRPr="00C76274">
              <w:rPr>
                <w:rFonts w:ascii="Verdana" w:hAnsi="Verdana"/>
                <w:sz w:val="20"/>
              </w:rPr>
              <w:t>per/PE pouch,</w:t>
            </w:r>
            <w:r w:rsidRPr="00C76274">
              <w:rPr>
                <w:rFonts w:ascii="Verdana" w:hAnsi="Verdana"/>
                <w:sz w:val="20"/>
              </w:rPr>
              <w:t xml:space="preserve"> </w:t>
            </w:r>
          </w:p>
          <w:p w14:paraId="4FA2A6B7" w14:textId="77777777" w:rsidR="00091721" w:rsidRPr="00C76274" w:rsidRDefault="00FC3D75" w:rsidP="0077128B">
            <w:pPr>
              <w:pStyle w:val="Akapitzlist"/>
              <w:autoSpaceDE w:val="0"/>
              <w:autoSpaceDN w:val="0"/>
              <w:adjustRightInd w:val="0"/>
              <w:ind w:left="0"/>
              <w:rPr>
                <w:rFonts w:ascii="Verdana" w:hAnsi="Verdana"/>
                <w:sz w:val="20"/>
              </w:rPr>
            </w:pPr>
            <w:r w:rsidRPr="00C76274">
              <w:rPr>
                <w:rFonts w:ascii="Verdana" w:hAnsi="Verdana"/>
                <w:sz w:val="20"/>
              </w:rPr>
              <w:t xml:space="preserve">- Cardboard or fibre-board pack with </w:t>
            </w:r>
            <w:r w:rsidR="00091721" w:rsidRPr="00C76274">
              <w:rPr>
                <w:rFonts w:ascii="Verdana" w:hAnsi="Verdana"/>
                <w:sz w:val="20"/>
              </w:rPr>
              <w:t>PE or PP bag or liner</w:t>
            </w:r>
            <w:r w:rsidRPr="00C76274">
              <w:rPr>
                <w:rFonts w:ascii="Verdana" w:hAnsi="Verdana"/>
                <w:sz w:val="20"/>
              </w:rPr>
              <w:t xml:space="preserve"> </w:t>
            </w:r>
          </w:p>
          <w:p w14:paraId="0C6842BF" w14:textId="77777777" w:rsidR="00091721" w:rsidRPr="00C76274" w:rsidRDefault="00FC3D75" w:rsidP="0077128B">
            <w:pPr>
              <w:pStyle w:val="Akapitzlist"/>
              <w:autoSpaceDE w:val="0"/>
              <w:autoSpaceDN w:val="0"/>
              <w:adjustRightInd w:val="0"/>
              <w:ind w:left="0"/>
              <w:rPr>
                <w:rFonts w:ascii="Verdana" w:hAnsi="Verdana"/>
                <w:sz w:val="20"/>
              </w:rPr>
            </w:pPr>
            <w:r w:rsidRPr="00C76274">
              <w:rPr>
                <w:rFonts w:ascii="Verdana" w:hAnsi="Verdana"/>
                <w:sz w:val="20"/>
              </w:rPr>
              <w:t>- sachet (PE or PE/PP or PP or paper/PE) packed in cardboard outer pack/carton box or natron bag or PP/HDPE buckets with</w:t>
            </w:r>
            <w:r w:rsidR="00091721" w:rsidRPr="00C76274">
              <w:rPr>
                <w:rFonts w:ascii="Verdana" w:hAnsi="Verdana"/>
                <w:sz w:val="20"/>
              </w:rPr>
              <w:t xml:space="preserve"> lid.</w:t>
            </w:r>
            <w:r w:rsidRPr="00C76274">
              <w:rPr>
                <w:rFonts w:ascii="Verdana" w:hAnsi="Verdana"/>
                <w:sz w:val="20"/>
              </w:rPr>
              <w:t xml:space="preserve"> </w:t>
            </w:r>
          </w:p>
          <w:p w14:paraId="11F514D0" w14:textId="77777777" w:rsidR="00091721" w:rsidRPr="00C76274" w:rsidRDefault="00FC3D75" w:rsidP="0077128B">
            <w:pPr>
              <w:pStyle w:val="Akapitzlist"/>
              <w:autoSpaceDE w:val="0"/>
              <w:autoSpaceDN w:val="0"/>
              <w:adjustRightInd w:val="0"/>
              <w:ind w:left="0"/>
              <w:rPr>
                <w:rFonts w:ascii="Verdana" w:hAnsi="Verdana"/>
                <w:sz w:val="20"/>
              </w:rPr>
            </w:pPr>
            <w:r w:rsidRPr="00C76274">
              <w:rPr>
                <w:rFonts w:ascii="Verdana" w:hAnsi="Verdana"/>
                <w:sz w:val="20"/>
              </w:rPr>
              <w:t xml:space="preserve">3. Other packaging: </w:t>
            </w:r>
          </w:p>
          <w:p w14:paraId="4C689AF7" w14:textId="7EE589DC" w:rsidR="00BE6AF3" w:rsidRPr="00C76274" w:rsidRDefault="00FC3D75" w:rsidP="0077128B">
            <w:pPr>
              <w:pStyle w:val="Akapitzlist"/>
              <w:autoSpaceDE w:val="0"/>
              <w:autoSpaceDN w:val="0"/>
              <w:adjustRightInd w:val="0"/>
              <w:ind w:left="0"/>
              <w:rPr>
                <w:rFonts w:ascii="Verdana" w:hAnsi="Verdana"/>
                <w:sz w:val="20"/>
              </w:rPr>
            </w:pPr>
            <w:r w:rsidRPr="00C76274">
              <w:rPr>
                <w:rFonts w:ascii="Verdana" w:hAnsi="Verdana"/>
                <w:sz w:val="20"/>
              </w:rPr>
              <w:t>- loose bait in</w:t>
            </w:r>
            <w:r w:rsidR="00BE6AF3" w:rsidRPr="00C76274">
              <w:rPr>
                <w:rFonts w:ascii="Verdana" w:hAnsi="Verdana"/>
                <w:sz w:val="20"/>
              </w:rPr>
              <w:t xml:space="preserve"> tray (20g-40g)</w:t>
            </w:r>
            <w:r w:rsidRPr="00C76274">
              <w:rPr>
                <w:rFonts w:ascii="Verdana" w:hAnsi="Verdana"/>
                <w:sz w:val="20"/>
              </w:rPr>
              <w:t xml:space="preserve"> prefilled or refillable tamper-resistant bait station, packed in cardboard outer or plastic heat-sealed cont</w:t>
            </w:r>
            <w:r w:rsidR="00BE6AF3" w:rsidRPr="00C76274">
              <w:rPr>
                <w:rFonts w:ascii="Verdana" w:hAnsi="Verdana"/>
                <w:sz w:val="20"/>
              </w:rPr>
              <w:t>ainer or thermally sealing foil,</w:t>
            </w:r>
          </w:p>
          <w:p w14:paraId="2B9448C3" w14:textId="69150DB6" w:rsidR="00052E08" w:rsidRPr="00C76274" w:rsidRDefault="00FC3D75" w:rsidP="0077128B">
            <w:pPr>
              <w:pStyle w:val="Akapitzlist"/>
              <w:autoSpaceDE w:val="0"/>
              <w:autoSpaceDN w:val="0"/>
              <w:adjustRightInd w:val="0"/>
              <w:ind w:left="0"/>
              <w:rPr>
                <w:rFonts w:ascii="Verdana" w:hAnsi="Verdana"/>
              </w:rPr>
            </w:pPr>
            <w:r w:rsidRPr="00C76274">
              <w:rPr>
                <w:rFonts w:ascii="Verdana" w:hAnsi="Verdana"/>
                <w:sz w:val="20"/>
              </w:rPr>
              <w:t>- loose bait in tray</w:t>
            </w:r>
            <w:r w:rsidR="00BE6AF3" w:rsidRPr="00C76274">
              <w:rPr>
                <w:rFonts w:ascii="Verdana" w:hAnsi="Verdana"/>
                <w:sz w:val="20"/>
              </w:rPr>
              <w:t xml:space="preserve"> (20g-40g)</w:t>
            </w:r>
            <w:r w:rsidRPr="00C76274">
              <w:rPr>
                <w:rFonts w:ascii="Verdana" w:hAnsi="Verdana"/>
                <w:sz w:val="20"/>
              </w:rPr>
              <w:t xml:space="preserve"> (PVC or polystyrene or polypropylene or PET) with heat sealed lid (PET/polypropylene or PET/polyethylene or polypropylene) to be </w:t>
            </w:r>
            <w:r w:rsidR="00BE6AF3" w:rsidRPr="00C76274">
              <w:rPr>
                <w:rFonts w:ascii="Verdana" w:hAnsi="Verdana"/>
                <w:sz w:val="20"/>
              </w:rPr>
              <w:t>used with bait station.</w:t>
            </w:r>
          </w:p>
        </w:tc>
      </w:tr>
    </w:tbl>
    <w:p w14:paraId="52BC7890" w14:textId="1C930A94" w:rsidR="00052E08" w:rsidRPr="00C76274" w:rsidRDefault="00052E08" w:rsidP="00B4686D">
      <w:pPr>
        <w:rPr>
          <w:rFonts w:ascii="Verdana" w:hAnsi="Verdana"/>
        </w:rPr>
      </w:pPr>
    </w:p>
    <w:p w14:paraId="10A9D80A" w14:textId="62716B4B" w:rsidR="001A1364" w:rsidRPr="00C76274" w:rsidRDefault="004D647E" w:rsidP="001A1364">
      <w:pPr>
        <w:pStyle w:val="Akapitzlist"/>
        <w:ind w:left="1440"/>
        <w:jc w:val="both"/>
        <w:rPr>
          <w:rFonts w:ascii="Verdana" w:hAnsi="Verdana"/>
          <w:b/>
        </w:rPr>
      </w:pPr>
      <w:r w:rsidRPr="00C76274">
        <w:rPr>
          <w:rFonts w:ascii="Verdana" w:hAnsi="Verdana"/>
          <w:b/>
        </w:rPr>
        <w:t>For general public against rats</w:t>
      </w:r>
      <w:r w:rsidR="001A1364" w:rsidRPr="00C76274">
        <w:rPr>
          <w:rFonts w:ascii="Verdana" w:hAnsi="Verdana"/>
          <w:b/>
        </w:rPr>
        <w:t>:</w:t>
      </w:r>
    </w:p>
    <w:p w14:paraId="5ED1BFF0" w14:textId="77777777" w:rsidR="001A1364" w:rsidRPr="00C76274" w:rsidRDefault="001A1364" w:rsidP="001A1364">
      <w:pPr>
        <w:pStyle w:val="Akapitzlist"/>
        <w:ind w:left="1440"/>
        <w:jc w:val="both"/>
        <w:rPr>
          <w:rFonts w:ascii="Verdana" w:hAnsi="Verdana"/>
          <w:sz w:val="24"/>
          <w:lang w:val="en-GB" w:eastAsia="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264"/>
      </w:tblGrid>
      <w:tr w:rsidR="001A1364" w:rsidRPr="00C76274" w14:paraId="1717DD2F" w14:textId="77777777" w:rsidTr="00FE738E">
        <w:trPr>
          <w:trHeight w:val="416"/>
          <w:jc w:val="center"/>
        </w:trPr>
        <w:tc>
          <w:tcPr>
            <w:tcW w:w="2796" w:type="dxa"/>
          </w:tcPr>
          <w:p w14:paraId="2FBD3EE4" w14:textId="37B26865" w:rsidR="001A1364" w:rsidRPr="00C76274" w:rsidRDefault="00BD0DD2" w:rsidP="00FE738E">
            <w:pPr>
              <w:widowControl w:val="0"/>
              <w:snapToGrid w:val="0"/>
              <w:rPr>
                <w:rFonts w:ascii="Verdana" w:hAnsi="Verdana"/>
                <w:color w:val="000000"/>
                <w:sz w:val="20"/>
                <w:szCs w:val="20"/>
              </w:rPr>
            </w:pPr>
            <w:r w:rsidRPr="00C76274">
              <w:rPr>
                <w:rFonts w:ascii="Verdana" w:hAnsi="Verdana"/>
                <w:color w:val="000000"/>
                <w:sz w:val="20"/>
                <w:szCs w:val="20"/>
              </w:rPr>
              <w:t>Packaging sizes and packaging materials</w:t>
            </w:r>
          </w:p>
        </w:tc>
        <w:tc>
          <w:tcPr>
            <w:tcW w:w="6264" w:type="dxa"/>
          </w:tcPr>
          <w:p w14:paraId="0A228F77" w14:textId="342DF663" w:rsidR="001A1364" w:rsidRPr="00C76274" w:rsidRDefault="001A1364" w:rsidP="00FE738E">
            <w:pPr>
              <w:ind w:left="318" w:hanging="318"/>
              <w:jc w:val="both"/>
              <w:rPr>
                <w:rFonts w:ascii="Verdana" w:hAnsi="Verdana"/>
                <w:b/>
                <w:sz w:val="20"/>
                <w:szCs w:val="20"/>
              </w:rPr>
            </w:pPr>
            <w:r w:rsidRPr="00C76274">
              <w:rPr>
                <w:rFonts w:ascii="Verdana" w:hAnsi="Verdana"/>
                <w:b/>
                <w:sz w:val="20"/>
                <w:szCs w:val="20"/>
              </w:rPr>
              <w:t xml:space="preserve">The maximum pack size is </w:t>
            </w:r>
            <w:r w:rsidR="004D647E" w:rsidRPr="00C76274">
              <w:rPr>
                <w:rFonts w:ascii="Verdana" w:hAnsi="Verdana"/>
                <w:b/>
                <w:sz w:val="20"/>
                <w:szCs w:val="20"/>
              </w:rPr>
              <w:t>1</w:t>
            </w:r>
            <w:r w:rsidRPr="00C76274">
              <w:rPr>
                <w:rFonts w:ascii="Verdana" w:hAnsi="Verdana"/>
                <w:b/>
                <w:sz w:val="20"/>
                <w:szCs w:val="20"/>
              </w:rPr>
              <w:t>50g.</w:t>
            </w:r>
          </w:p>
          <w:p w14:paraId="6AE68B84"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1. Edible paper tea-bag sachets (10 g - 20 g) packed in: - </w:t>
            </w:r>
          </w:p>
          <w:p w14:paraId="29832524"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-polyethylene (PE) or polypropylene (PP) or PE/PP or paper/PE outer sachet packed in cardboard,</w:t>
            </w:r>
          </w:p>
          <w:p w14:paraId="273495FE"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 polyethylene (PE) or polypropylene (PP) pack, </w:t>
            </w:r>
          </w:p>
          <w:p w14:paraId="276B08CB"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natron bag,</w:t>
            </w:r>
          </w:p>
          <w:p w14:paraId="503D0D37"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 sachet (PE or PE/PP or PP or paper/PE) packed in cardboard outer pack/carton box or natron bag or PP/HDPE buckets with lid, </w:t>
            </w:r>
          </w:p>
          <w:p w14:paraId="5130DD08"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 PE or PP buckets with lid, </w:t>
            </w:r>
          </w:p>
          <w:p w14:paraId="5A9C64E1"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 cardboard boxes with PE or PP bag or liner, </w:t>
            </w:r>
          </w:p>
          <w:p w14:paraId="3CD6F7EF" w14:textId="30206E23"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pre-filled or refillable tamper-resistant HDPE or polypropylene mouse bait station</w:t>
            </w:r>
            <w:r w:rsidR="004D647E" w:rsidRPr="00C76274">
              <w:rPr>
                <w:rFonts w:ascii="Verdana" w:hAnsi="Verdana"/>
                <w:sz w:val="20"/>
              </w:rPr>
              <w:t xml:space="preserve"> (100g-15</w:t>
            </w:r>
            <w:r w:rsidRPr="00C76274">
              <w:rPr>
                <w:rFonts w:ascii="Verdana" w:hAnsi="Verdana"/>
                <w:sz w:val="20"/>
              </w:rPr>
              <w:t>0g). Bait stations packed in cardboard outer or plastic heat-sealed container or thermally sealing foil.</w:t>
            </w:r>
          </w:p>
          <w:p w14:paraId="1DF270C1"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2. Bait in PP/paper film sachets, PET/PE film sachets, PE/paper film sachets or PE/aluminised film sachets (10 g - 40 g) packed in: </w:t>
            </w:r>
          </w:p>
          <w:p w14:paraId="78DC6949"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 polyethylene (PE) or polypropylene (PP) or PE/PP or paper/PE outer sachet packed in cardboard or fibreboard outer pack. </w:t>
            </w:r>
          </w:p>
          <w:p w14:paraId="3AC0192B"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 PE or PP packs, </w:t>
            </w:r>
          </w:p>
          <w:p w14:paraId="76926600"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 HDPE container, </w:t>
            </w:r>
          </w:p>
          <w:p w14:paraId="696016F7"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lastRenderedPageBreak/>
              <w:t xml:space="preserve">- Natron bag,  </w:t>
            </w:r>
          </w:p>
          <w:p w14:paraId="265E036F"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PP woven sack,</w:t>
            </w:r>
          </w:p>
          <w:p w14:paraId="7FB67CE8"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 Pail (PP) or bucket (PP or PE) with lid, </w:t>
            </w:r>
          </w:p>
          <w:p w14:paraId="16E2CA58"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 PP or PE tub, </w:t>
            </w:r>
          </w:p>
          <w:p w14:paraId="15794167" w14:textId="1FAEAF74"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Prefilled or refillable tamper-resistant HDPE or PP mouse bait station</w:t>
            </w:r>
            <w:r w:rsidR="004D647E" w:rsidRPr="00C76274">
              <w:rPr>
                <w:rFonts w:ascii="Verdana" w:hAnsi="Verdana"/>
                <w:sz w:val="20"/>
              </w:rPr>
              <w:t xml:space="preserve"> (100g-15</w:t>
            </w:r>
            <w:r w:rsidRPr="00C76274">
              <w:rPr>
                <w:rFonts w:ascii="Verdana" w:hAnsi="Verdana"/>
                <w:sz w:val="20"/>
              </w:rPr>
              <w:t xml:space="preserve">0g). Bait stations packed in cardboard outer or plastic heat-sealed container or thermally sealing foil </w:t>
            </w:r>
          </w:p>
          <w:p w14:paraId="67CEBF11"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 PET/PE, PP/PE or paper/PE pouch, </w:t>
            </w:r>
          </w:p>
          <w:p w14:paraId="0184E74A"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 Cardboard or fibre-board pack with PE or PP bag or liner </w:t>
            </w:r>
          </w:p>
          <w:p w14:paraId="62A9BBE0"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 sachet (PE or PE/PP or PP or paper/PE) packed in cardboard outer pack/carton box or natron bag or PP/HDPE buckets with lid. </w:t>
            </w:r>
          </w:p>
          <w:p w14:paraId="249970D8" w14:textId="77777777"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xml:space="preserve">3. Other packaging: </w:t>
            </w:r>
          </w:p>
          <w:p w14:paraId="2D8AE610" w14:textId="0539E421" w:rsidR="001A1364" w:rsidRPr="00C76274" w:rsidRDefault="001A1364" w:rsidP="00FE738E">
            <w:pPr>
              <w:pStyle w:val="Akapitzlist"/>
              <w:autoSpaceDE w:val="0"/>
              <w:autoSpaceDN w:val="0"/>
              <w:adjustRightInd w:val="0"/>
              <w:ind w:left="0"/>
              <w:rPr>
                <w:rFonts w:ascii="Verdana" w:hAnsi="Verdana"/>
                <w:sz w:val="20"/>
              </w:rPr>
            </w:pPr>
            <w:r w:rsidRPr="00C76274">
              <w:rPr>
                <w:rFonts w:ascii="Verdana" w:hAnsi="Verdana"/>
                <w:sz w:val="20"/>
              </w:rPr>
              <w:t>- loose bait in tray (</w:t>
            </w:r>
            <w:r w:rsidR="004D647E" w:rsidRPr="00C76274">
              <w:rPr>
                <w:rFonts w:ascii="Verdana" w:hAnsi="Verdana"/>
                <w:sz w:val="20"/>
              </w:rPr>
              <w:t>100g-15</w:t>
            </w:r>
            <w:r w:rsidRPr="00C76274">
              <w:rPr>
                <w:rFonts w:ascii="Verdana" w:hAnsi="Verdana"/>
                <w:sz w:val="20"/>
              </w:rPr>
              <w:t>0g) prefilled or refillable tamper-resistant bait station, packed in cardboard outer or plastic heat-sealed container or thermally sealing foil,</w:t>
            </w:r>
          </w:p>
          <w:p w14:paraId="44A8B440" w14:textId="78257011" w:rsidR="001A1364" w:rsidRPr="00C76274" w:rsidRDefault="001A1364" w:rsidP="00FE738E">
            <w:pPr>
              <w:pStyle w:val="Akapitzlist"/>
              <w:autoSpaceDE w:val="0"/>
              <w:autoSpaceDN w:val="0"/>
              <w:adjustRightInd w:val="0"/>
              <w:ind w:left="0"/>
              <w:rPr>
                <w:rFonts w:ascii="Verdana" w:hAnsi="Verdana"/>
              </w:rPr>
            </w:pPr>
            <w:r w:rsidRPr="00C76274">
              <w:rPr>
                <w:rFonts w:ascii="Verdana" w:hAnsi="Verdana"/>
                <w:sz w:val="20"/>
              </w:rPr>
              <w:t>- loose bait in tray</w:t>
            </w:r>
            <w:r w:rsidR="004D647E" w:rsidRPr="00C76274">
              <w:rPr>
                <w:rFonts w:ascii="Verdana" w:hAnsi="Verdana"/>
                <w:sz w:val="20"/>
              </w:rPr>
              <w:t xml:space="preserve"> (100g-15</w:t>
            </w:r>
            <w:r w:rsidRPr="00C76274">
              <w:rPr>
                <w:rFonts w:ascii="Verdana" w:hAnsi="Verdana"/>
                <w:sz w:val="20"/>
              </w:rPr>
              <w:t>0g) (PVC or polystyrene or polypropylene or PET) with heat sealed lid (PET/polypropylene or PET/polyethylene or polypropylene) to be used with bait station.</w:t>
            </w:r>
          </w:p>
        </w:tc>
      </w:tr>
    </w:tbl>
    <w:p w14:paraId="098D1710" w14:textId="77777777" w:rsidR="001A1364" w:rsidRDefault="001A1364" w:rsidP="001A1364">
      <w:pPr>
        <w:rPr>
          <w:rFonts w:ascii="Verdana" w:hAnsi="Verdana"/>
        </w:rPr>
      </w:pPr>
    </w:p>
    <w:p w14:paraId="236A07A7" w14:textId="77777777" w:rsidR="00052E08" w:rsidRDefault="00052E08" w:rsidP="00B4686D">
      <w:pPr>
        <w:rPr>
          <w:rFonts w:ascii="Verdana" w:hAnsi="Verdana"/>
        </w:rPr>
      </w:pPr>
    </w:p>
    <w:p w14:paraId="0429166C" w14:textId="77777777" w:rsidR="00052E08" w:rsidRDefault="00052E08" w:rsidP="00B4686D">
      <w:pPr>
        <w:rPr>
          <w:rFonts w:ascii="Verdana" w:hAnsi="Verdana"/>
        </w:rPr>
      </w:pPr>
    </w:p>
    <w:p w14:paraId="109E2237" w14:textId="2E3DAF7E" w:rsidR="00052E08" w:rsidRPr="00052E08" w:rsidRDefault="00052E08" w:rsidP="00052E08">
      <w:pPr>
        <w:ind w:left="708" w:firstLine="708"/>
        <w:rPr>
          <w:rFonts w:ascii="Verdana" w:hAnsi="Verdana"/>
          <w:b/>
        </w:rPr>
      </w:pPr>
      <w:r w:rsidRPr="00052E08">
        <w:rPr>
          <w:rFonts w:ascii="Verdana" w:hAnsi="Verdana"/>
          <w:b/>
        </w:rPr>
        <w:t>For professional use</w:t>
      </w:r>
      <w:r w:rsidR="00587A27">
        <w:rPr>
          <w:rFonts w:ascii="Verdana" w:hAnsi="Verdana"/>
          <w:b/>
        </w:rPr>
        <w:t xml:space="preserve"> against mice</w:t>
      </w:r>
      <w:r w:rsidRPr="00052E08">
        <w:rPr>
          <w:rFonts w:ascii="Verdana" w:hAnsi="Verdana"/>
          <w:b/>
        </w:rPr>
        <w:t>:</w:t>
      </w:r>
    </w:p>
    <w:p w14:paraId="374DD8EB" w14:textId="77777777" w:rsidR="00052E08" w:rsidRPr="00052E08" w:rsidRDefault="00052E08" w:rsidP="00B4686D">
      <w:pPr>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278"/>
      </w:tblGrid>
      <w:tr w:rsidR="00052E08" w:rsidRPr="00052E08" w14:paraId="33920EAA" w14:textId="77777777" w:rsidTr="00ED189C">
        <w:trPr>
          <w:trHeight w:val="416"/>
          <w:jc w:val="center"/>
        </w:trPr>
        <w:tc>
          <w:tcPr>
            <w:tcW w:w="2836" w:type="dxa"/>
          </w:tcPr>
          <w:p w14:paraId="4272E05A" w14:textId="253EEAB4" w:rsidR="00052E08" w:rsidRPr="00052E08" w:rsidRDefault="00BD0DD2" w:rsidP="00ED189C">
            <w:pPr>
              <w:widowControl w:val="0"/>
              <w:snapToGrid w:val="0"/>
              <w:rPr>
                <w:rFonts w:ascii="Verdana" w:hAnsi="Verdana"/>
                <w:color w:val="000000"/>
                <w:sz w:val="20"/>
                <w:szCs w:val="20"/>
              </w:rPr>
            </w:pPr>
            <w:r>
              <w:rPr>
                <w:rFonts w:ascii="Verdana" w:hAnsi="Verdana"/>
                <w:color w:val="000000"/>
                <w:sz w:val="20"/>
                <w:szCs w:val="20"/>
              </w:rPr>
              <w:t>Packaging sizes and packaging materials</w:t>
            </w:r>
          </w:p>
        </w:tc>
        <w:tc>
          <w:tcPr>
            <w:tcW w:w="6390" w:type="dxa"/>
          </w:tcPr>
          <w:p w14:paraId="7C6AE199" w14:textId="42A47BD2" w:rsidR="00BD0DD2" w:rsidRDefault="00BD0DD2" w:rsidP="00ED189C">
            <w:pPr>
              <w:ind w:left="318" w:hanging="318"/>
              <w:jc w:val="both"/>
              <w:rPr>
                <w:rFonts w:ascii="Verdana" w:hAnsi="Verdana"/>
                <w:b/>
                <w:sz w:val="20"/>
                <w:szCs w:val="20"/>
              </w:rPr>
            </w:pPr>
            <w:r>
              <w:rPr>
                <w:rFonts w:ascii="Verdana" w:hAnsi="Verdana"/>
                <w:b/>
                <w:sz w:val="20"/>
                <w:szCs w:val="20"/>
              </w:rPr>
              <w:t>The minimum pack size is 1 kg.</w:t>
            </w:r>
          </w:p>
          <w:p w14:paraId="4087853D" w14:textId="3B2EF537" w:rsidR="00052E08" w:rsidRDefault="00BD0DD2" w:rsidP="00ED189C">
            <w:pPr>
              <w:ind w:left="318" w:hanging="318"/>
              <w:jc w:val="both"/>
              <w:rPr>
                <w:rFonts w:ascii="Verdana" w:hAnsi="Verdana"/>
                <w:b/>
                <w:sz w:val="20"/>
                <w:szCs w:val="20"/>
              </w:rPr>
            </w:pPr>
            <w:r>
              <w:rPr>
                <w:rFonts w:ascii="Verdana" w:hAnsi="Verdana"/>
                <w:b/>
                <w:sz w:val="20"/>
                <w:szCs w:val="20"/>
              </w:rPr>
              <w:t>The maximum pack size is  25 kg.</w:t>
            </w:r>
            <w:r w:rsidR="00052E08" w:rsidRPr="00052E08">
              <w:rPr>
                <w:rFonts w:ascii="Verdana" w:hAnsi="Verdana"/>
                <w:b/>
                <w:sz w:val="20"/>
                <w:szCs w:val="20"/>
              </w:rPr>
              <w:t xml:space="preserve"> </w:t>
            </w:r>
          </w:p>
          <w:p w14:paraId="26529364" w14:textId="77777777" w:rsidR="001F39C3" w:rsidRPr="001F39C3" w:rsidRDefault="001F39C3" w:rsidP="00BD0DD2">
            <w:pPr>
              <w:pStyle w:val="punktorwtabeliSPCmetaSPC"/>
              <w:numPr>
                <w:ilvl w:val="0"/>
                <w:numId w:val="31"/>
              </w:numPr>
              <w:rPr>
                <w:rFonts w:ascii="Verdana" w:hAnsi="Verdana"/>
                <w:sz w:val="20"/>
                <w:szCs w:val="20"/>
              </w:rPr>
            </w:pPr>
            <w:r>
              <w:rPr>
                <w:rFonts w:ascii="Verdana" w:hAnsi="Verdana"/>
                <w:sz w:val="20"/>
              </w:rPr>
              <w:t>Bait in sachets (polypropylene/paper film, PET/polyethylene film</w:t>
            </w:r>
            <w:r w:rsidR="00BD0DD2" w:rsidRPr="00BD0DD2">
              <w:rPr>
                <w:rFonts w:ascii="Verdana" w:hAnsi="Verdana"/>
                <w:sz w:val="20"/>
              </w:rPr>
              <w:t>,</w:t>
            </w:r>
            <w:r>
              <w:rPr>
                <w:rFonts w:ascii="Verdana" w:hAnsi="Verdana"/>
                <w:sz w:val="20"/>
              </w:rPr>
              <w:t xml:space="preserve"> polyethylene/paper film,</w:t>
            </w:r>
            <w:r w:rsidR="00BD0DD2" w:rsidRPr="00BD0DD2">
              <w:rPr>
                <w:rFonts w:ascii="Verdana" w:hAnsi="Verdana"/>
                <w:sz w:val="20"/>
              </w:rPr>
              <w:t xml:space="preserve"> poly</w:t>
            </w:r>
            <w:r>
              <w:rPr>
                <w:rFonts w:ascii="Verdana" w:hAnsi="Verdana"/>
                <w:sz w:val="20"/>
              </w:rPr>
              <w:t xml:space="preserve">ethylene/aluminised film) </w:t>
            </w:r>
            <w:r w:rsidR="00BD0DD2" w:rsidRPr="00BD0DD2">
              <w:rPr>
                <w:rFonts w:ascii="Verdana" w:hAnsi="Verdana"/>
                <w:sz w:val="20"/>
              </w:rPr>
              <w:t>10 g, 25 g, 30 g, 40 g</w:t>
            </w:r>
            <w:r>
              <w:rPr>
                <w:rFonts w:ascii="Verdana" w:hAnsi="Verdana"/>
                <w:sz w:val="20"/>
              </w:rPr>
              <w:t xml:space="preserve"> </w:t>
            </w:r>
            <w:r w:rsidR="00BD0DD2" w:rsidRPr="00BD0DD2">
              <w:rPr>
                <w:rFonts w:ascii="Verdana" w:hAnsi="Verdana"/>
                <w:sz w:val="20"/>
              </w:rPr>
              <w:t xml:space="preserve">supplied in the following outer packs: </w:t>
            </w:r>
          </w:p>
          <w:p w14:paraId="6CDFA3BC" w14:textId="77777777" w:rsidR="001F39C3" w:rsidRDefault="001F39C3" w:rsidP="001F39C3">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Sachet (PE or PE/PP or PP or paper/PE) packed in cardboard outer pack/carton box. Up to 20 kg</w:t>
            </w:r>
            <w:r>
              <w:rPr>
                <w:rFonts w:ascii="Verdana" w:hAnsi="Verdana"/>
                <w:sz w:val="20"/>
              </w:rPr>
              <w:t>,</w:t>
            </w:r>
            <w:r w:rsidR="00BD0DD2" w:rsidRPr="00BD0DD2">
              <w:rPr>
                <w:rFonts w:ascii="Verdana" w:hAnsi="Verdana"/>
                <w:sz w:val="20"/>
              </w:rPr>
              <w:t xml:space="preserve"> </w:t>
            </w:r>
          </w:p>
          <w:p w14:paraId="48CA5FD6" w14:textId="77777777" w:rsidR="001F39C3" w:rsidRDefault="001F39C3" w:rsidP="001F39C3">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 xml:space="preserve">PE or PP packs. Up to 25 kg. </w:t>
            </w:r>
          </w:p>
          <w:p w14:paraId="427EAC7A" w14:textId="77777777" w:rsidR="001F39C3" w:rsidRDefault="001F39C3" w:rsidP="001F39C3">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 xml:space="preserve">HDPE container. Up to 25 kg. </w:t>
            </w:r>
          </w:p>
          <w:p w14:paraId="391F950F" w14:textId="77777777" w:rsidR="001F39C3" w:rsidRDefault="001F39C3" w:rsidP="001F39C3">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 xml:space="preserve">Natron bag. Up to 25 kg. </w:t>
            </w:r>
          </w:p>
          <w:p w14:paraId="065A73A5" w14:textId="77777777" w:rsidR="001F39C3" w:rsidRDefault="001F39C3" w:rsidP="001F39C3">
            <w:pPr>
              <w:pStyle w:val="punktorwtabeliSPCmetaSPC"/>
              <w:numPr>
                <w:ilvl w:val="0"/>
                <w:numId w:val="0"/>
              </w:numPr>
              <w:rPr>
                <w:rFonts w:ascii="Verdana" w:hAnsi="Verdana"/>
                <w:sz w:val="20"/>
              </w:rPr>
            </w:pPr>
            <w:r>
              <w:rPr>
                <w:rFonts w:ascii="Verdana" w:hAnsi="Verdana"/>
                <w:sz w:val="20"/>
              </w:rPr>
              <w:t>-Polypropylene woven sack u</w:t>
            </w:r>
            <w:r w:rsidR="00BD0DD2" w:rsidRPr="00BD0DD2">
              <w:rPr>
                <w:rFonts w:ascii="Verdana" w:hAnsi="Verdana"/>
                <w:sz w:val="20"/>
              </w:rPr>
              <w:t>p to 25 kg</w:t>
            </w:r>
            <w:r>
              <w:rPr>
                <w:rFonts w:ascii="Verdana" w:hAnsi="Verdana"/>
                <w:sz w:val="20"/>
              </w:rPr>
              <w:t>,</w:t>
            </w:r>
            <w:r w:rsidR="00BD0DD2" w:rsidRPr="00BD0DD2">
              <w:rPr>
                <w:rFonts w:ascii="Verdana" w:hAnsi="Verdana"/>
                <w:sz w:val="20"/>
              </w:rPr>
              <w:t xml:space="preserve"> </w:t>
            </w:r>
          </w:p>
          <w:p w14:paraId="1FD1C0D5" w14:textId="77777777" w:rsidR="001F39C3" w:rsidRDefault="001F39C3" w:rsidP="001F39C3">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Polypropylene pai</w:t>
            </w:r>
            <w:r>
              <w:rPr>
                <w:rFonts w:ascii="Verdana" w:hAnsi="Verdana"/>
                <w:sz w:val="20"/>
              </w:rPr>
              <w:t>l or PP or PE, u</w:t>
            </w:r>
            <w:r w:rsidR="00BD0DD2" w:rsidRPr="00BD0DD2">
              <w:rPr>
                <w:rFonts w:ascii="Verdana" w:hAnsi="Verdana"/>
                <w:sz w:val="20"/>
              </w:rPr>
              <w:t>p to 20 kg</w:t>
            </w:r>
            <w:r>
              <w:rPr>
                <w:rFonts w:ascii="Verdana" w:hAnsi="Verdana"/>
                <w:sz w:val="20"/>
              </w:rPr>
              <w:t>,</w:t>
            </w:r>
            <w:r w:rsidR="00BD0DD2" w:rsidRPr="00BD0DD2">
              <w:rPr>
                <w:rFonts w:ascii="Verdana" w:hAnsi="Verdana"/>
                <w:sz w:val="20"/>
              </w:rPr>
              <w:t xml:space="preserve"> </w:t>
            </w:r>
          </w:p>
          <w:p w14:paraId="4337E7F9" w14:textId="77777777" w:rsidR="0025549D" w:rsidRDefault="001F39C3" w:rsidP="001F39C3">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Prefilled or refillable tamper-resistant HDPE or PP rat or mouse bait station</w:t>
            </w:r>
            <w:r>
              <w:rPr>
                <w:rFonts w:ascii="Verdana" w:hAnsi="Verdana"/>
                <w:sz w:val="20"/>
              </w:rPr>
              <w:t xml:space="preserve"> (20g-40g)</w:t>
            </w:r>
            <w:r w:rsidR="00BD0DD2" w:rsidRPr="00BD0DD2">
              <w:rPr>
                <w:rFonts w:ascii="Verdana" w:hAnsi="Verdana"/>
                <w:sz w:val="20"/>
              </w:rPr>
              <w:t xml:space="preserve">, Bait stations packed in cardboard outer or plastic heat-sealed container or thermo seal foil Up to 20 kg. </w:t>
            </w:r>
          </w:p>
          <w:p w14:paraId="0E471F40" w14:textId="77777777" w:rsidR="0025549D" w:rsidRDefault="0025549D" w:rsidP="001F39C3">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PET/polyethylene, polypropylene/polyethylene or paper/polyethylene pouch. Up to 10 kg</w:t>
            </w:r>
            <w:r>
              <w:rPr>
                <w:rFonts w:ascii="Verdana" w:hAnsi="Verdana"/>
                <w:sz w:val="20"/>
              </w:rPr>
              <w:t>,</w:t>
            </w:r>
          </w:p>
          <w:p w14:paraId="7562445E" w14:textId="77777777" w:rsidR="0025549D" w:rsidRDefault="0025549D" w:rsidP="001F39C3">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Jerry can</w:t>
            </w:r>
            <w:r>
              <w:rPr>
                <w:rFonts w:ascii="Verdana" w:hAnsi="Verdana"/>
                <w:sz w:val="20"/>
              </w:rPr>
              <w:t xml:space="preserve"> (PP)</w:t>
            </w:r>
            <w:r w:rsidR="00BD0DD2" w:rsidRPr="00BD0DD2">
              <w:rPr>
                <w:rFonts w:ascii="Verdana" w:hAnsi="Verdana"/>
                <w:sz w:val="20"/>
              </w:rPr>
              <w:t>, with tamper-evident scre</w:t>
            </w:r>
            <w:r>
              <w:rPr>
                <w:rFonts w:ascii="Verdana" w:hAnsi="Verdana"/>
                <w:sz w:val="20"/>
              </w:rPr>
              <w:t>w-top lid, u</w:t>
            </w:r>
            <w:r w:rsidR="00BD0DD2" w:rsidRPr="00BD0DD2">
              <w:rPr>
                <w:rFonts w:ascii="Verdana" w:hAnsi="Verdana"/>
                <w:sz w:val="20"/>
              </w:rPr>
              <w:t>p to 10 kg</w:t>
            </w:r>
            <w:r>
              <w:rPr>
                <w:rFonts w:ascii="Verdana" w:hAnsi="Verdana"/>
                <w:sz w:val="20"/>
              </w:rPr>
              <w:t>,</w:t>
            </w:r>
            <w:r w:rsidR="00BD0DD2" w:rsidRPr="00BD0DD2">
              <w:rPr>
                <w:rFonts w:ascii="Verdana" w:hAnsi="Verdana"/>
                <w:sz w:val="20"/>
              </w:rPr>
              <w:t xml:space="preserve"> </w:t>
            </w:r>
          </w:p>
          <w:p w14:paraId="31819899" w14:textId="77777777" w:rsidR="0025549D" w:rsidRDefault="0025549D" w:rsidP="001F39C3">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 xml:space="preserve"> Cardboard or fibreboa</w:t>
            </w:r>
            <w:r>
              <w:rPr>
                <w:rFonts w:ascii="Verdana" w:hAnsi="Verdana"/>
                <w:sz w:val="20"/>
              </w:rPr>
              <w:t>rd with PE or PP bag or liner, u</w:t>
            </w:r>
            <w:r w:rsidR="00BD0DD2" w:rsidRPr="00BD0DD2">
              <w:rPr>
                <w:rFonts w:ascii="Verdana" w:hAnsi="Verdana"/>
                <w:sz w:val="20"/>
              </w:rPr>
              <w:t>p to 20 kg</w:t>
            </w:r>
            <w:r>
              <w:rPr>
                <w:rFonts w:ascii="Verdana" w:hAnsi="Verdana"/>
                <w:sz w:val="20"/>
              </w:rPr>
              <w:t>,</w:t>
            </w:r>
            <w:r w:rsidR="00BD0DD2" w:rsidRPr="00BD0DD2">
              <w:rPr>
                <w:rFonts w:ascii="Verdana" w:hAnsi="Verdana"/>
                <w:sz w:val="20"/>
              </w:rPr>
              <w:t xml:space="preserve"> </w:t>
            </w:r>
          </w:p>
          <w:p w14:paraId="287D5921" w14:textId="77777777" w:rsidR="0025549D" w:rsidRDefault="0025549D" w:rsidP="001F39C3">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Plastic bags (polyethylene (PE) or polypropylene (PP) or PE/PP or paper/PE) with natron bag or PP/HDPE buckets with lid or cardb</w:t>
            </w:r>
            <w:r>
              <w:rPr>
                <w:rFonts w:ascii="Verdana" w:hAnsi="Verdana"/>
                <w:sz w:val="20"/>
              </w:rPr>
              <w:t>oard or fibreboard boxes, up to 25 kg,</w:t>
            </w:r>
          </w:p>
          <w:p w14:paraId="31E57588" w14:textId="2BECB8FE" w:rsidR="00052E08" w:rsidRPr="00BD0DD2" w:rsidRDefault="0025549D" w:rsidP="001F39C3">
            <w:pPr>
              <w:pStyle w:val="punktorwtabeliSPCmetaSPC"/>
              <w:numPr>
                <w:ilvl w:val="0"/>
                <w:numId w:val="0"/>
              </w:numPr>
              <w:rPr>
                <w:rFonts w:ascii="Verdana" w:hAnsi="Verdana"/>
                <w:sz w:val="20"/>
                <w:szCs w:val="20"/>
              </w:rPr>
            </w:pPr>
            <w:r>
              <w:rPr>
                <w:rFonts w:ascii="Verdana" w:hAnsi="Verdana"/>
                <w:sz w:val="20"/>
              </w:rPr>
              <w:lastRenderedPageBreak/>
              <w:t>-</w:t>
            </w:r>
            <w:r w:rsidR="00BD0DD2" w:rsidRPr="00BD0DD2">
              <w:rPr>
                <w:rFonts w:ascii="Verdana" w:hAnsi="Verdana"/>
                <w:sz w:val="20"/>
              </w:rPr>
              <w:t xml:space="preserve">Bait (40 g) in trays (PVC or polystyrene or polypropylene or PET) with heat sealed lid (PET/polypropylene or PET/polyethylene or polypropylene) supplied in the following outer packs: Single-use or multi-use tamper-proof HDPE or PP bait station, packed in cardboard outer or plastic heat-sealed </w:t>
            </w:r>
            <w:r>
              <w:rPr>
                <w:rFonts w:ascii="Verdana" w:hAnsi="Verdana"/>
                <w:sz w:val="20"/>
              </w:rPr>
              <w:t>container or thermo seal foil, u</w:t>
            </w:r>
            <w:r w:rsidR="00BD0DD2" w:rsidRPr="00BD0DD2">
              <w:rPr>
                <w:rFonts w:ascii="Verdana" w:hAnsi="Verdana"/>
                <w:sz w:val="20"/>
              </w:rPr>
              <w:t>p to 20 kg.</w:t>
            </w:r>
          </w:p>
          <w:p w14:paraId="3381BF7E" w14:textId="77777777" w:rsidR="0025549D" w:rsidRPr="0025549D" w:rsidRDefault="00BD0DD2" w:rsidP="00052E08">
            <w:pPr>
              <w:pStyle w:val="punktorwtabeliSPCmetaSPC"/>
              <w:numPr>
                <w:ilvl w:val="0"/>
                <w:numId w:val="31"/>
              </w:numPr>
              <w:rPr>
                <w:rFonts w:ascii="Verdana" w:hAnsi="Verdana"/>
                <w:sz w:val="20"/>
                <w:szCs w:val="20"/>
              </w:rPr>
            </w:pPr>
            <w:r w:rsidRPr="00BD0DD2">
              <w:rPr>
                <w:rFonts w:ascii="Verdana" w:hAnsi="Verdana"/>
                <w:sz w:val="20"/>
              </w:rPr>
              <w:t xml:space="preserve">Loose bait packed in: </w:t>
            </w:r>
          </w:p>
          <w:p w14:paraId="3DC4D021" w14:textId="77777777" w:rsidR="0025549D" w:rsidRDefault="0025549D" w:rsidP="0025549D">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Polyethylene (PE)-lined polypropylene (P</w:t>
            </w:r>
            <w:r>
              <w:rPr>
                <w:rFonts w:ascii="Verdana" w:hAnsi="Verdana"/>
                <w:sz w:val="20"/>
              </w:rPr>
              <w:t>P) sack or multi-ply paper sack,</w:t>
            </w:r>
            <w:r w:rsidR="00BD0DD2" w:rsidRPr="00BD0DD2">
              <w:rPr>
                <w:rFonts w:ascii="Verdana" w:hAnsi="Verdana"/>
                <w:sz w:val="20"/>
              </w:rPr>
              <w:t xml:space="preserve"> up to 10 kg. </w:t>
            </w:r>
          </w:p>
          <w:p w14:paraId="48504497" w14:textId="77777777" w:rsidR="0025549D" w:rsidRDefault="0025549D" w:rsidP="0025549D">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PE o</w:t>
            </w:r>
            <w:r>
              <w:rPr>
                <w:rFonts w:ascii="Verdana" w:hAnsi="Verdana"/>
                <w:sz w:val="20"/>
              </w:rPr>
              <w:t>r PP packs u</w:t>
            </w:r>
            <w:r w:rsidR="00BD0DD2" w:rsidRPr="00BD0DD2">
              <w:rPr>
                <w:rFonts w:ascii="Verdana" w:hAnsi="Verdana"/>
                <w:sz w:val="20"/>
              </w:rPr>
              <w:t xml:space="preserve">p to 10 kg. </w:t>
            </w:r>
          </w:p>
          <w:p w14:paraId="0D8A8938" w14:textId="77777777" w:rsidR="0025549D" w:rsidRDefault="0025549D" w:rsidP="0025549D">
            <w:pPr>
              <w:pStyle w:val="punktorwtabeliSPCmetaSPC"/>
              <w:numPr>
                <w:ilvl w:val="0"/>
                <w:numId w:val="0"/>
              </w:numPr>
              <w:rPr>
                <w:rFonts w:ascii="Verdana" w:hAnsi="Verdana"/>
                <w:sz w:val="20"/>
              </w:rPr>
            </w:pPr>
            <w:r>
              <w:rPr>
                <w:rFonts w:ascii="Verdana" w:hAnsi="Verdana"/>
                <w:sz w:val="20"/>
              </w:rPr>
              <w:t>-Natron bag u</w:t>
            </w:r>
            <w:r w:rsidR="00BD0DD2" w:rsidRPr="00BD0DD2">
              <w:rPr>
                <w:rFonts w:ascii="Verdana" w:hAnsi="Verdana"/>
                <w:sz w:val="20"/>
              </w:rPr>
              <w:t>p to 10 kg.</w:t>
            </w:r>
          </w:p>
          <w:p w14:paraId="45B6BB37" w14:textId="77777777" w:rsidR="0025549D" w:rsidRDefault="0025549D" w:rsidP="0025549D">
            <w:pPr>
              <w:pStyle w:val="punktorwtabeliSPCmetaSPC"/>
              <w:numPr>
                <w:ilvl w:val="0"/>
                <w:numId w:val="0"/>
              </w:numPr>
              <w:rPr>
                <w:rFonts w:ascii="Verdana" w:hAnsi="Verdana"/>
                <w:sz w:val="20"/>
              </w:rPr>
            </w:pPr>
            <w:r>
              <w:rPr>
                <w:rFonts w:ascii="Verdana" w:hAnsi="Verdana"/>
                <w:sz w:val="20"/>
              </w:rPr>
              <w:t>-PP or PE bucket with lid u</w:t>
            </w:r>
            <w:r w:rsidR="00BD0DD2" w:rsidRPr="00BD0DD2">
              <w:rPr>
                <w:rFonts w:ascii="Verdana" w:hAnsi="Verdana"/>
                <w:sz w:val="20"/>
              </w:rPr>
              <w:t xml:space="preserve">p to 10 kg. </w:t>
            </w:r>
          </w:p>
          <w:p w14:paraId="10B4B3AE" w14:textId="77777777" w:rsidR="004E2A65" w:rsidRDefault="0025549D" w:rsidP="0025549D">
            <w:pPr>
              <w:pStyle w:val="punktorwtabeliSPCmetaSPC"/>
              <w:numPr>
                <w:ilvl w:val="0"/>
                <w:numId w:val="0"/>
              </w:numPr>
              <w:rPr>
                <w:rFonts w:ascii="Verdana" w:hAnsi="Verdana"/>
                <w:sz w:val="20"/>
              </w:rPr>
            </w:pPr>
            <w:r>
              <w:rPr>
                <w:rFonts w:ascii="Verdana" w:hAnsi="Verdana"/>
                <w:sz w:val="20"/>
              </w:rPr>
              <w:t>-</w:t>
            </w:r>
            <w:r w:rsidR="00BD0DD2" w:rsidRPr="00BD0DD2">
              <w:rPr>
                <w:rFonts w:ascii="Verdana" w:hAnsi="Verdana"/>
                <w:sz w:val="20"/>
              </w:rPr>
              <w:t xml:space="preserve">Cardboard or fibreboard or carton boxes with PE or PP bag or liner. Up to 10 kg. </w:t>
            </w:r>
          </w:p>
          <w:p w14:paraId="020C7931" w14:textId="5ED5381B" w:rsidR="00BD0DD2" w:rsidRPr="00BD0DD2" w:rsidRDefault="004E2A65" w:rsidP="004E2A65">
            <w:pPr>
              <w:pStyle w:val="punktorwtabeliSPCmetaSPC"/>
              <w:numPr>
                <w:ilvl w:val="0"/>
                <w:numId w:val="0"/>
              </w:numPr>
              <w:rPr>
                <w:rFonts w:ascii="Verdana" w:hAnsi="Verdana"/>
                <w:sz w:val="20"/>
                <w:szCs w:val="20"/>
              </w:rPr>
            </w:pPr>
            <w:r>
              <w:rPr>
                <w:rFonts w:ascii="Verdana" w:hAnsi="Verdana"/>
                <w:sz w:val="20"/>
              </w:rPr>
              <w:t>-</w:t>
            </w:r>
            <w:r w:rsidR="00BD0DD2" w:rsidRPr="00BD0DD2">
              <w:rPr>
                <w:rFonts w:ascii="Verdana" w:hAnsi="Verdana"/>
                <w:sz w:val="20"/>
              </w:rPr>
              <w:t xml:space="preserve"> Plastic bags (polyethylene (PE) or polypropylene (PP) or PE/PP or paper/PE) with natron bag or PP/HDPE buckets with lid </w:t>
            </w:r>
            <w:r>
              <w:rPr>
                <w:rFonts w:ascii="Verdana" w:hAnsi="Verdana"/>
                <w:sz w:val="20"/>
              </w:rPr>
              <w:t xml:space="preserve">up </w:t>
            </w:r>
            <w:r w:rsidR="00BD0DD2" w:rsidRPr="00BD0DD2">
              <w:rPr>
                <w:rFonts w:ascii="Verdana" w:hAnsi="Verdana"/>
                <w:sz w:val="20"/>
              </w:rPr>
              <w:t>to 10 kg.</w:t>
            </w:r>
          </w:p>
        </w:tc>
      </w:tr>
    </w:tbl>
    <w:p w14:paraId="210F19E7" w14:textId="6BD11B35" w:rsidR="00052E08" w:rsidRDefault="00052E08" w:rsidP="00B4686D">
      <w:pPr>
        <w:rPr>
          <w:rFonts w:ascii="Verdana" w:hAnsi="Verdana"/>
          <w:b/>
          <w:sz w:val="24"/>
          <w:lang w:val="pl-PL" w:eastAsia="sv-SE"/>
        </w:rPr>
      </w:pPr>
    </w:p>
    <w:p w14:paraId="511E3F3F" w14:textId="7FD182F4" w:rsidR="007B6717" w:rsidRPr="00052E08" w:rsidRDefault="007B6717" w:rsidP="007B6717">
      <w:pPr>
        <w:ind w:left="708" w:firstLine="708"/>
        <w:rPr>
          <w:rFonts w:ascii="Verdana" w:hAnsi="Verdana"/>
          <w:b/>
        </w:rPr>
      </w:pPr>
      <w:r w:rsidRPr="00052E08">
        <w:rPr>
          <w:rFonts w:ascii="Verdana" w:hAnsi="Verdana"/>
          <w:b/>
        </w:rPr>
        <w:t>For professional use</w:t>
      </w:r>
      <w:r>
        <w:rPr>
          <w:rFonts w:ascii="Verdana" w:hAnsi="Verdana"/>
          <w:b/>
        </w:rPr>
        <w:t xml:space="preserve"> against rats</w:t>
      </w:r>
      <w:r w:rsidRPr="00052E08">
        <w:rPr>
          <w:rFonts w:ascii="Verdana" w:hAnsi="Verdana"/>
          <w:b/>
        </w:rPr>
        <w:t>:</w:t>
      </w:r>
    </w:p>
    <w:p w14:paraId="106D3B24" w14:textId="77777777" w:rsidR="007B6717" w:rsidRPr="00052E08" w:rsidRDefault="007B6717" w:rsidP="007B6717">
      <w:pPr>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278"/>
      </w:tblGrid>
      <w:tr w:rsidR="007B6717" w:rsidRPr="00052E08" w14:paraId="6B53D07D" w14:textId="77777777" w:rsidTr="00FE738E">
        <w:trPr>
          <w:trHeight w:val="416"/>
          <w:jc w:val="center"/>
        </w:trPr>
        <w:tc>
          <w:tcPr>
            <w:tcW w:w="2836" w:type="dxa"/>
          </w:tcPr>
          <w:p w14:paraId="49829318" w14:textId="77777777" w:rsidR="007B6717" w:rsidRPr="00052E08" w:rsidRDefault="007B6717" w:rsidP="00FE738E">
            <w:pPr>
              <w:widowControl w:val="0"/>
              <w:snapToGrid w:val="0"/>
              <w:rPr>
                <w:rFonts w:ascii="Verdana" w:hAnsi="Verdana"/>
                <w:color w:val="000000"/>
                <w:sz w:val="20"/>
                <w:szCs w:val="20"/>
              </w:rPr>
            </w:pPr>
            <w:r>
              <w:rPr>
                <w:rFonts w:ascii="Verdana" w:hAnsi="Verdana"/>
                <w:color w:val="000000"/>
                <w:sz w:val="20"/>
                <w:szCs w:val="20"/>
              </w:rPr>
              <w:t>Packaging sizes and packaging materials</w:t>
            </w:r>
          </w:p>
        </w:tc>
        <w:tc>
          <w:tcPr>
            <w:tcW w:w="6390" w:type="dxa"/>
          </w:tcPr>
          <w:p w14:paraId="3151D058" w14:textId="77777777" w:rsidR="007B6717" w:rsidRDefault="007B6717" w:rsidP="00FE738E">
            <w:pPr>
              <w:ind w:left="318" w:hanging="318"/>
              <w:jc w:val="both"/>
              <w:rPr>
                <w:rFonts w:ascii="Verdana" w:hAnsi="Verdana"/>
                <w:b/>
                <w:sz w:val="20"/>
                <w:szCs w:val="20"/>
              </w:rPr>
            </w:pPr>
            <w:r>
              <w:rPr>
                <w:rFonts w:ascii="Verdana" w:hAnsi="Verdana"/>
                <w:b/>
                <w:sz w:val="20"/>
                <w:szCs w:val="20"/>
              </w:rPr>
              <w:t>The minimum pack size is 1 kg.</w:t>
            </w:r>
          </w:p>
          <w:p w14:paraId="2AB28488" w14:textId="77777777" w:rsidR="007B6717" w:rsidRDefault="007B6717" w:rsidP="00FE738E">
            <w:pPr>
              <w:ind w:left="318" w:hanging="318"/>
              <w:jc w:val="both"/>
              <w:rPr>
                <w:rFonts w:ascii="Verdana" w:hAnsi="Verdana"/>
                <w:b/>
                <w:sz w:val="20"/>
                <w:szCs w:val="20"/>
              </w:rPr>
            </w:pPr>
            <w:r>
              <w:rPr>
                <w:rFonts w:ascii="Verdana" w:hAnsi="Verdana"/>
                <w:b/>
                <w:sz w:val="20"/>
                <w:szCs w:val="20"/>
              </w:rPr>
              <w:t>The maximum pack size is  25 kg.</w:t>
            </w:r>
            <w:r w:rsidRPr="00052E08">
              <w:rPr>
                <w:rFonts w:ascii="Verdana" w:hAnsi="Verdana"/>
                <w:b/>
                <w:sz w:val="20"/>
                <w:szCs w:val="20"/>
              </w:rPr>
              <w:t xml:space="preserve"> </w:t>
            </w:r>
          </w:p>
          <w:p w14:paraId="1D93109A" w14:textId="57D66A6E" w:rsidR="007B6717" w:rsidRPr="001F39C3" w:rsidRDefault="007B6717" w:rsidP="007B6717">
            <w:pPr>
              <w:pStyle w:val="punktorwtabeliSPCmetaSPC"/>
              <w:numPr>
                <w:ilvl w:val="0"/>
                <w:numId w:val="33"/>
              </w:numPr>
              <w:rPr>
                <w:rFonts w:ascii="Verdana" w:hAnsi="Verdana"/>
                <w:sz w:val="20"/>
                <w:szCs w:val="20"/>
              </w:rPr>
            </w:pPr>
            <w:r>
              <w:rPr>
                <w:rFonts w:ascii="Verdana" w:hAnsi="Verdana"/>
                <w:sz w:val="20"/>
              </w:rPr>
              <w:t>Bait in sachets (polypropylene/paper film, PET/polyethylene film</w:t>
            </w:r>
            <w:r w:rsidRPr="00BD0DD2">
              <w:rPr>
                <w:rFonts w:ascii="Verdana" w:hAnsi="Verdana"/>
                <w:sz w:val="20"/>
              </w:rPr>
              <w:t>,</w:t>
            </w:r>
            <w:r>
              <w:rPr>
                <w:rFonts w:ascii="Verdana" w:hAnsi="Verdana"/>
                <w:sz w:val="20"/>
              </w:rPr>
              <w:t xml:space="preserve"> polyethylene/paper film,</w:t>
            </w:r>
            <w:r w:rsidRPr="00BD0DD2">
              <w:rPr>
                <w:rFonts w:ascii="Verdana" w:hAnsi="Verdana"/>
                <w:sz w:val="20"/>
              </w:rPr>
              <w:t xml:space="preserve"> poly</w:t>
            </w:r>
            <w:r>
              <w:rPr>
                <w:rFonts w:ascii="Verdana" w:hAnsi="Verdana"/>
                <w:sz w:val="20"/>
              </w:rPr>
              <w:t xml:space="preserve">ethylene/aluminised film) </w:t>
            </w:r>
            <w:r w:rsidRPr="00BD0DD2">
              <w:rPr>
                <w:rFonts w:ascii="Verdana" w:hAnsi="Verdana"/>
                <w:sz w:val="20"/>
              </w:rPr>
              <w:t>10 g, 25 g, 30 g, 40 g</w:t>
            </w:r>
            <w:r>
              <w:rPr>
                <w:rFonts w:ascii="Verdana" w:hAnsi="Verdana"/>
                <w:sz w:val="20"/>
              </w:rPr>
              <w:t xml:space="preserve">, 50g, 100g, 200g </w:t>
            </w:r>
            <w:r w:rsidRPr="00BD0DD2">
              <w:rPr>
                <w:rFonts w:ascii="Verdana" w:hAnsi="Verdana"/>
                <w:sz w:val="20"/>
              </w:rPr>
              <w:t xml:space="preserve">supplied in the following outer packs: </w:t>
            </w:r>
          </w:p>
          <w:p w14:paraId="2DF0AA74" w14:textId="77777777"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Sachet (PE or PE/PP or PP or paper/PE) packed in cardboard outer pack/carton box. Up to 20 kg</w:t>
            </w:r>
            <w:r>
              <w:rPr>
                <w:rFonts w:ascii="Verdana" w:hAnsi="Verdana"/>
                <w:sz w:val="20"/>
              </w:rPr>
              <w:t>,</w:t>
            </w:r>
            <w:r w:rsidRPr="00BD0DD2">
              <w:rPr>
                <w:rFonts w:ascii="Verdana" w:hAnsi="Verdana"/>
                <w:sz w:val="20"/>
              </w:rPr>
              <w:t xml:space="preserve"> </w:t>
            </w:r>
          </w:p>
          <w:p w14:paraId="04C7FB10" w14:textId="77777777"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 xml:space="preserve">PE or PP packs. Up to 25 kg. </w:t>
            </w:r>
          </w:p>
          <w:p w14:paraId="06F73CE7" w14:textId="77777777"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 xml:space="preserve">HDPE container. Up to 25 kg. </w:t>
            </w:r>
          </w:p>
          <w:p w14:paraId="55E82436" w14:textId="77777777"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 xml:space="preserve">Natron bag. Up to 25 kg. </w:t>
            </w:r>
          </w:p>
          <w:p w14:paraId="45C21198" w14:textId="77777777" w:rsidR="007B6717" w:rsidRDefault="007B6717" w:rsidP="00FE738E">
            <w:pPr>
              <w:pStyle w:val="punktorwtabeliSPCmetaSPC"/>
              <w:numPr>
                <w:ilvl w:val="0"/>
                <w:numId w:val="0"/>
              </w:numPr>
              <w:rPr>
                <w:rFonts w:ascii="Verdana" w:hAnsi="Verdana"/>
                <w:sz w:val="20"/>
              </w:rPr>
            </w:pPr>
            <w:r>
              <w:rPr>
                <w:rFonts w:ascii="Verdana" w:hAnsi="Verdana"/>
                <w:sz w:val="20"/>
              </w:rPr>
              <w:t>-Polypropylene woven sack u</w:t>
            </w:r>
            <w:r w:rsidRPr="00BD0DD2">
              <w:rPr>
                <w:rFonts w:ascii="Verdana" w:hAnsi="Verdana"/>
                <w:sz w:val="20"/>
              </w:rPr>
              <w:t>p to 25 kg</w:t>
            </w:r>
            <w:r>
              <w:rPr>
                <w:rFonts w:ascii="Verdana" w:hAnsi="Verdana"/>
                <w:sz w:val="20"/>
              </w:rPr>
              <w:t>,</w:t>
            </w:r>
            <w:r w:rsidRPr="00BD0DD2">
              <w:rPr>
                <w:rFonts w:ascii="Verdana" w:hAnsi="Verdana"/>
                <w:sz w:val="20"/>
              </w:rPr>
              <w:t xml:space="preserve"> </w:t>
            </w:r>
          </w:p>
          <w:p w14:paraId="4129D63A" w14:textId="77777777"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Polypropylene pai</w:t>
            </w:r>
            <w:r>
              <w:rPr>
                <w:rFonts w:ascii="Verdana" w:hAnsi="Verdana"/>
                <w:sz w:val="20"/>
              </w:rPr>
              <w:t>l or PP or PE, u</w:t>
            </w:r>
            <w:r w:rsidRPr="00BD0DD2">
              <w:rPr>
                <w:rFonts w:ascii="Verdana" w:hAnsi="Verdana"/>
                <w:sz w:val="20"/>
              </w:rPr>
              <w:t>p to 20 kg</w:t>
            </w:r>
            <w:r>
              <w:rPr>
                <w:rFonts w:ascii="Verdana" w:hAnsi="Verdana"/>
                <w:sz w:val="20"/>
              </w:rPr>
              <w:t>,</w:t>
            </w:r>
            <w:r w:rsidRPr="00BD0DD2">
              <w:rPr>
                <w:rFonts w:ascii="Verdana" w:hAnsi="Verdana"/>
                <w:sz w:val="20"/>
              </w:rPr>
              <w:t xml:space="preserve"> </w:t>
            </w:r>
          </w:p>
          <w:p w14:paraId="7D0C3905" w14:textId="18427638"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Prefilled or refillable tamper-resistant HDPE or PP rat or mouse bait station</w:t>
            </w:r>
            <w:r>
              <w:rPr>
                <w:rFonts w:ascii="Verdana" w:hAnsi="Verdana"/>
                <w:sz w:val="20"/>
              </w:rPr>
              <w:t xml:space="preserve"> (up to 200g)</w:t>
            </w:r>
            <w:r w:rsidRPr="00BD0DD2">
              <w:rPr>
                <w:rFonts w:ascii="Verdana" w:hAnsi="Verdana"/>
                <w:sz w:val="20"/>
              </w:rPr>
              <w:t xml:space="preserve">, Bait stations packed in cardboard outer or plastic heat-sealed container or thermo seal foil Up to 20 kg. </w:t>
            </w:r>
          </w:p>
          <w:p w14:paraId="58F47FBB" w14:textId="77777777"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PET/polyethylene, polypropylene/polyethylene or paper/polyethylene pouch. Up to 10 kg</w:t>
            </w:r>
            <w:r>
              <w:rPr>
                <w:rFonts w:ascii="Verdana" w:hAnsi="Verdana"/>
                <w:sz w:val="20"/>
              </w:rPr>
              <w:t>,</w:t>
            </w:r>
          </w:p>
          <w:p w14:paraId="36D52025" w14:textId="77777777"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Jerry can</w:t>
            </w:r>
            <w:r>
              <w:rPr>
                <w:rFonts w:ascii="Verdana" w:hAnsi="Verdana"/>
                <w:sz w:val="20"/>
              </w:rPr>
              <w:t xml:space="preserve"> (PP)</w:t>
            </w:r>
            <w:r w:rsidRPr="00BD0DD2">
              <w:rPr>
                <w:rFonts w:ascii="Verdana" w:hAnsi="Verdana"/>
                <w:sz w:val="20"/>
              </w:rPr>
              <w:t>, with tamper-evident scre</w:t>
            </w:r>
            <w:r>
              <w:rPr>
                <w:rFonts w:ascii="Verdana" w:hAnsi="Verdana"/>
                <w:sz w:val="20"/>
              </w:rPr>
              <w:t>w-top lid, u</w:t>
            </w:r>
            <w:r w:rsidRPr="00BD0DD2">
              <w:rPr>
                <w:rFonts w:ascii="Verdana" w:hAnsi="Verdana"/>
                <w:sz w:val="20"/>
              </w:rPr>
              <w:t>p to 10 kg</w:t>
            </w:r>
            <w:r>
              <w:rPr>
                <w:rFonts w:ascii="Verdana" w:hAnsi="Verdana"/>
                <w:sz w:val="20"/>
              </w:rPr>
              <w:t>,</w:t>
            </w:r>
            <w:r w:rsidRPr="00BD0DD2">
              <w:rPr>
                <w:rFonts w:ascii="Verdana" w:hAnsi="Verdana"/>
                <w:sz w:val="20"/>
              </w:rPr>
              <w:t xml:space="preserve"> </w:t>
            </w:r>
          </w:p>
          <w:p w14:paraId="293F04E8" w14:textId="77777777"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 xml:space="preserve"> Cardboard or fibreboa</w:t>
            </w:r>
            <w:r>
              <w:rPr>
                <w:rFonts w:ascii="Verdana" w:hAnsi="Verdana"/>
                <w:sz w:val="20"/>
              </w:rPr>
              <w:t>rd with PE or PP bag or liner, u</w:t>
            </w:r>
            <w:r w:rsidRPr="00BD0DD2">
              <w:rPr>
                <w:rFonts w:ascii="Verdana" w:hAnsi="Verdana"/>
                <w:sz w:val="20"/>
              </w:rPr>
              <w:t>p to 20 kg</w:t>
            </w:r>
            <w:r>
              <w:rPr>
                <w:rFonts w:ascii="Verdana" w:hAnsi="Verdana"/>
                <w:sz w:val="20"/>
              </w:rPr>
              <w:t>,</w:t>
            </w:r>
            <w:r w:rsidRPr="00BD0DD2">
              <w:rPr>
                <w:rFonts w:ascii="Verdana" w:hAnsi="Verdana"/>
                <w:sz w:val="20"/>
              </w:rPr>
              <w:t xml:space="preserve"> </w:t>
            </w:r>
          </w:p>
          <w:p w14:paraId="71AC0D79" w14:textId="77777777"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Plastic bags (polyethylene (PE) or polypropylene (PP) or PE/PP or paper/PE) with natron bag or PP/HDPE buckets with lid or cardb</w:t>
            </w:r>
            <w:r>
              <w:rPr>
                <w:rFonts w:ascii="Verdana" w:hAnsi="Verdana"/>
                <w:sz w:val="20"/>
              </w:rPr>
              <w:t>oard or fibreboard boxes, up to 25 kg,</w:t>
            </w:r>
          </w:p>
          <w:p w14:paraId="708DC8F3" w14:textId="578214A0" w:rsidR="007B6717" w:rsidRPr="00BD0DD2" w:rsidRDefault="007B6717" w:rsidP="00FE738E">
            <w:pPr>
              <w:pStyle w:val="punktorwtabeliSPCmetaSPC"/>
              <w:numPr>
                <w:ilvl w:val="0"/>
                <w:numId w:val="0"/>
              </w:numPr>
              <w:rPr>
                <w:rFonts w:ascii="Verdana" w:hAnsi="Verdana"/>
                <w:sz w:val="20"/>
                <w:szCs w:val="20"/>
              </w:rPr>
            </w:pPr>
            <w:r>
              <w:rPr>
                <w:rFonts w:ascii="Verdana" w:hAnsi="Verdana"/>
                <w:sz w:val="20"/>
              </w:rPr>
              <w:t>-Bait (up to 200</w:t>
            </w:r>
            <w:r w:rsidRPr="00BD0DD2">
              <w:rPr>
                <w:rFonts w:ascii="Verdana" w:hAnsi="Verdana"/>
                <w:sz w:val="20"/>
              </w:rPr>
              <w:t xml:space="preserve"> g) in trays (PVC or polystyrene or polypropylene or PET) with heat sealed lid (PET/polypropylene or PET/polyethylene or polypropylene) supplied in the following outer packs: Single-use or multi-</w:t>
            </w:r>
            <w:r w:rsidRPr="00BD0DD2">
              <w:rPr>
                <w:rFonts w:ascii="Verdana" w:hAnsi="Verdana"/>
                <w:sz w:val="20"/>
              </w:rPr>
              <w:lastRenderedPageBreak/>
              <w:t xml:space="preserve">use tamper-proof HDPE or PP bait station, packed in cardboard outer or plastic heat-sealed </w:t>
            </w:r>
            <w:r>
              <w:rPr>
                <w:rFonts w:ascii="Verdana" w:hAnsi="Verdana"/>
                <w:sz w:val="20"/>
              </w:rPr>
              <w:t>container or thermo seal foil, u</w:t>
            </w:r>
            <w:r w:rsidRPr="00BD0DD2">
              <w:rPr>
                <w:rFonts w:ascii="Verdana" w:hAnsi="Verdana"/>
                <w:sz w:val="20"/>
              </w:rPr>
              <w:t>p to 20 kg.</w:t>
            </w:r>
          </w:p>
          <w:p w14:paraId="0A6304FF" w14:textId="2D06375D" w:rsidR="007B6717" w:rsidRPr="0025549D" w:rsidRDefault="007B6717" w:rsidP="007B6717">
            <w:pPr>
              <w:pStyle w:val="punktorwtabeliSPCmetaSPC"/>
              <w:numPr>
                <w:ilvl w:val="0"/>
                <w:numId w:val="33"/>
              </w:numPr>
              <w:rPr>
                <w:rFonts w:ascii="Verdana" w:hAnsi="Verdana"/>
                <w:sz w:val="20"/>
                <w:szCs w:val="20"/>
              </w:rPr>
            </w:pPr>
            <w:r w:rsidRPr="00BD0DD2">
              <w:rPr>
                <w:rFonts w:ascii="Verdana" w:hAnsi="Verdana"/>
                <w:sz w:val="20"/>
              </w:rPr>
              <w:t xml:space="preserve">Loose bait packed in: </w:t>
            </w:r>
          </w:p>
          <w:p w14:paraId="13C361B6" w14:textId="77777777"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Polyethylene (PE)-lined polypropylene (P</w:t>
            </w:r>
            <w:r>
              <w:rPr>
                <w:rFonts w:ascii="Verdana" w:hAnsi="Verdana"/>
                <w:sz w:val="20"/>
              </w:rPr>
              <w:t>P) sack or multi-ply paper sack,</w:t>
            </w:r>
            <w:r w:rsidRPr="00BD0DD2">
              <w:rPr>
                <w:rFonts w:ascii="Verdana" w:hAnsi="Verdana"/>
                <w:sz w:val="20"/>
              </w:rPr>
              <w:t xml:space="preserve"> up to 10 kg. </w:t>
            </w:r>
          </w:p>
          <w:p w14:paraId="49884A00" w14:textId="77777777"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PE o</w:t>
            </w:r>
            <w:r>
              <w:rPr>
                <w:rFonts w:ascii="Verdana" w:hAnsi="Verdana"/>
                <w:sz w:val="20"/>
              </w:rPr>
              <w:t>r PP packs u</w:t>
            </w:r>
            <w:r w:rsidRPr="00BD0DD2">
              <w:rPr>
                <w:rFonts w:ascii="Verdana" w:hAnsi="Verdana"/>
                <w:sz w:val="20"/>
              </w:rPr>
              <w:t xml:space="preserve">p to 10 kg. </w:t>
            </w:r>
          </w:p>
          <w:p w14:paraId="0C8BB566" w14:textId="77777777" w:rsidR="007B6717" w:rsidRDefault="007B6717" w:rsidP="00FE738E">
            <w:pPr>
              <w:pStyle w:val="punktorwtabeliSPCmetaSPC"/>
              <w:numPr>
                <w:ilvl w:val="0"/>
                <w:numId w:val="0"/>
              </w:numPr>
              <w:rPr>
                <w:rFonts w:ascii="Verdana" w:hAnsi="Verdana"/>
                <w:sz w:val="20"/>
              </w:rPr>
            </w:pPr>
            <w:r>
              <w:rPr>
                <w:rFonts w:ascii="Verdana" w:hAnsi="Verdana"/>
                <w:sz w:val="20"/>
              </w:rPr>
              <w:t>-Natron bag u</w:t>
            </w:r>
            <w:r w:rsidRPr="00BD0DD2">
              <w:rPr>
                <w:rFonts w:ascii="Verdana" w:hAnsi="Verdana"/>
                <w:sz w:val="20"/>
              </w:rPr>
              <w:t>p to 10 kg.</w:t>
            </w:r>
          </w:p>
          <w:p w14:paraId="66BAC3E6" w14:textId="77777777" w:rsidR="007B6717" w:rsidRDefault="007B6717" w:rsidP="00FE738E">
            <w:pPr>
              <w:pStyle w:val="punktorwtabeliSPCmetaSPC"/>
              <w:numPr>
                <w:ilvl w:val="0"/>
                <w:numId w:val="0"/>
              </w:numPr>
              <w:rPr>
                <w:rFonts w:ascii="Verdana" w:hAnsi="Verdana"/>
                <w:sz w:val="20"/>
              </w:rPr>
            </w:pPr>
            <w:r>
              <w:rPr>
                <w:rFonts w:ascii="Verdana" w:hAnsi="Verdana"/>
                <w:sz w:val="20"/>
              </w:rPr>
              <w:t>-PP or PE bucket with lid u</w:t>
            </w:r>
            <w:r w:rsidRPr="00BD0DD2">
              <w:rPr>
                <w:rFonts w:ascii="Verdana" w:hAnsi="Verdana"/>
                <w:sz w:val="20"/>
              </w:rPr>
              <w:t xml:space="preserve">p to 10 kg. </w:t>
            </w:r>
          </w:p>
          <w:p w14:paraId="25FA3116" w14:textId="77777777" w:rsidR="007B6717" w:rsidRDefault="007B6717" w:rsidP="00FE738E">
            <w:pPr>
              <w:pStyle w:val="punktorwtabeliSPCmetaSPC"/>
              <w:numPr>
                <w:ilvl w:val="0"/>
                <w:numId w:val="0"/>
              </w:numPr>
              <w:rPr>
                <w:rFonts w:ascii="Verdana" w:hAnsi="Verdana"/>
                <w:sz w:val="20"/>
              </w:rPr>
            </w:pPr>
            <w:r>
              <w:rPr>
                <w:rFonts w:ascii="Verdana" w:hAnsi="Verdana"/>
                <w:sz w:val="20"/>
              </w:rPr>
              <w:t>-</w:t>
            </w:r>
            <w:r w:rsidRPr="00BD0DD2">
              <w:rPr>
                <w:rFonts w:ascii="Verdana" w:hAnsi="Verdana"/>
                <w:sz w:val="20"/>
              </w:rPr>
              <w:t xml:space="preserve">Cardboard or fibreboard or carton boxes with PE or PP bag or liner. Up to 10 kg. </w:t>
            </w:r>
          </w:p>
          <w:p w14:paraId="0A39ED5D" w14:textId="77777777" w:rsidR="007B6717" w:rsidRPr="00BD0DD2" w:rsidRDefault="007B6717" w:rsidP="00FE738E">
            <w:pPr>
              <w:pStyle w:val="punktorwtabeliSPCmetaSPC"/>
              <w:numPr>
                <w:ilvl w:val="0"/>
                <w:numId w:val="0"/>
              </w:numPr>
              <w:rPr>
                <w:rFonts w:ascii="Verdana" w:hAnsi="Verdana"/>
                <w:sz w:val="20"/>
                <w:szCs w:val="20"/>
              </w:rPr>
            </w:pPr>
            <w:r>
              <w:rPr>
                <w:rFonts w:ascii="Verdana" w:hAnsi="Verdana"/>
                <w:sz w:val="20"/>
              </w:rPr>
              <w:t>-</w:t>
            </w:r>
            <w:r w:rsidRPr="00BD0DD2">
              <w:rPr>
                <w:rFonts w:ascii="Verdana" w:hAnsi="Verdana"/>
                <w:sz w:val="20"/>
              </w:rPr>
              <w:t xml:space="preserve"> Plastic bags (polyethylene (PE) or polypropylene (PP) or PE/PP or paper/PE) with natron bag or PP/HDPE buckets with lid </w:t>
            </w:r>
            <w:r>
              <w:rPr>
                <w:rFonts w:ascii="Verdana" w:hAnsi="Verdana"/>
                <w:sz w:val="20"/>
              </w:rPr>
              <w:t xml:space="preserve">up </w:t>
            </w:r>
            <w:r w:rsidRPr="00BD0DD2">
              <w:rPr>
                <w:rFonts w:ascii="Verdana" w:hAnsi="Verdana"/>
                <w:sz w:val="20"/>
              </w:rPr>
              <w:t>to 10 kg.</w:t>
            </w:r>
          </w:p>
        </w:tc>
      </w:tr>
    </w:tbl>
    <w:p w14:paraId="4CA55C29" w14:textId="77777777" w:rsidR="007B6717" w:rsidRPr="00873437" w:rsidRDefault="007B6717" w:rsidP="00B4686D">
      <w:pPr>
        <w:rPr>
          <w:rFonts w:ascii="Verdana" w:hAnsi="Verdana"/>
          <w:b/>
          <w:sz w:val="24"/>
          <w:lang w:val="pl-PL" w:eastAsia="sv-SE"/>
        </w:rPr>
      </w:pPr>
    </w:p>
    <w:bookmarkEnd w:id="2"/>
    <w:bookmarkEnd w:id="3"/>
    <w:bookmarkEnd w:id="4"/>
    <w:p w14:paraId="7BF22E14" w14:textId="77777777" w:rsidR="006E665B" w:rsidRPr="00052E08" w:rsidRDefault="006E665B" w:rsidP="005860E8">
      <w:pPr>
        <w:ind w:left="318" w:hanging="318"/>
        <w:jc w:val="both"/>
        <w:rPr>
          <w:rFonts w:ascii="Verdana" w:eastAsia="Calibri" w:hAnsi="Verdana"/>
          <w:sz w:val="24"/>
          <w:lang w:val="pl-PL" w:eastAsia="en-US"/>
        </w:rPr>
      </w:pPr>
    </w:p>
    <w:p w14:paraId="14DEB000" w14:textId="0F6EB140" w:rsidR="006E665B" w:rsidRPr="00052E08" w:rsidRDefault="006E665B" w:rsidP="005860E8">
      <w:pPr>
        <w:spacing w:line="276" w:lineRule="auto"/>
        <w:jc w:val="both"/>
        <w:rPr>
          <w:rFonts w:ascii="Verdana" w:eastAsia="Calibri" w:hAnsi="Verdana"/>
          <w:sz w:val="24"/>
          <w:lang w:val="en-US" w:eastAsia="en-US"/>
        </w:rPr>
      </w:pPr>
      <w:r w:rsidRPr="00052E08">
        <w:rPr>
          <w:rFonts w:ascii="Verdana" w:eastAsia="Calibri" w:hAnsi="Verdana"/>
          <w:sz w:val="24"/>
          <w:lang w:val="en-US" w:eastAsia="en-US"/>
        </w:rPr>
        <w:t>New packaging</w:t>
      </w:r>
      <w:r w:rsidR="00117D18" w:rsidRPr="00052E08">
        <w:rPr>
          <w:rFonts w:ascii="Verdana" w:eastAsia="Calibri" w:hAnsi="Verdana"/>
          <w:sz w:val="24"/>
          <w:lang w:val="en-US" w:eastAsia="en-US"/>
        </w:rPr>
        <w:t>s are</w:t>
      </w:r>
      <w:r w:rsidRPr="00052E08">
        <w:rPr>
          <w:rFonts w:ascii="Verdana" w:eastAsia="Calibri" w:hAnsi="Verdana"/>
          <w:sz w:val="24"/>
          <w:lang w:val="en-US" w:eastAsia="en-US"/>
        </w:rPr>
        <w:t xml:space="preserve"> co</w:t>
      </w:r>
      <w:r w:rsidR="00A211D9" w:rsidRPr="00052E08">
        <w:rPr>
          <w:rFonts w:ascii="Verdana" w:eastAsia="Calibri" w:hAnsi="Verdana"/>
          <w:sz w:val="24"/>
          <w:lang w:val="en-US" w:eastAsia="en-US"/>
        </w:rPr>
        <w:t>nsistent with packaging</w:t>
      </w:r>
      <w:r w:rsidRPr="00052E08">
        <w:rPr>
          <w:rFonts w:ascii="Verdana" w:eastAsia="Calibri" w:hAnsi="Verdana"/>
          <w:sz w:val="24"/>
          <w:lang w:val="en-US" w:eastAsia="en-US"/>
        </w:rPr>
        <w:t xml:space="preserve"> mater</w:t>
      </w:r>
      <w:r w:rsidR="001B220B" w:rsidRPr="00052E08">
        <w:rPr>
          <w:rFonts w:ascii="Verdana" w:eastAsia="Calibri" w:hAnsi="Verdana"/>
          <w:sz w:val="24"/>
          <w:lang w:val="en-US" w:eastAsia="en-US"/>
        </w:rPr>
        <w:t xml:space="preserve">ial as approved in the summary </w:t>
      </w:r>
      <w:r w:rsidRPr="00052E08">
        <w:rPr>
          <w:rFonts w:ascii="Verdana" w:eastAsia="Calibri" w:hAnsi="Verdana"/>
          <w:sz w:val="24"/>
          <w:lang w:val="en-US" w:eastAsia="en-US"/>
        </w:rPr>
        <w:t>of the biocidal product characteristics. There is no change of user category. The same risk-mitigation measures apply.</w:t>
      </w:r>
    </w:p>
    <w:p w14:paraId="3E12B7DB" w14:textId="77777777" w:rsidR="006E665B" w:rsidRPr="00052E08" w:rsidRDefault="006E665B" w:rsidP="005860E8">
      <w:pPr>
        <w:ind w:left="318" w:hanging="318"/>
        <w:jc w:val="both"/>
        <w:rPr>
          <w:rFonts w:ascii="Verdana" w:eastAsia="Calibri" w:hAnsi="Verdana"/>
          <w:sz w:val="24"/>
          <w:lang w:val="en-US" w:eastAsia="en-US"/>
        </w:rPr>
      </w:pPr>
    </w:p>
    <w:p w14:paraId="6F242DD0" w14:textId="2846D447" w:rsidR="006E665B" w:rsidRPr="00052E08" w:rsidRDefault="00E009E9" w:rsidP="005860E8">
      <w:pPr>
        <w:spacing w:line="276" w:lineRule="auto"/>
        <w:jc w:val="both"/>
        <w:rPr>
          <w:rFonts w:ascii="Verdana" w:hAnsi="Verdana"/>
          <w:sz w:val="24"/>
          <w:lang w:val="en-GB"/>
        </w:rPr>
      </w:pPr>
      <w:r w:rsidRPr="00052E08">
        <w:rPr>
          <w:rFonts w:ascii="Verdana" w:hAnsi="Verdana"/>
          <w:sz w:val="24"/>
          <w:lang w:val="en-GB"/>
        </w:rPr>
        <w:t>The addition of a new materials</w:t>
      </w:r>
      <w:r w:rsidR="006E665B" w:rsidRPr="00052E08">
        <w:rPr>
          <w:rFonts w:ascii="Verdana" w:hAnsi="Verdana"/>
          <w:sz w:val="24"/>
          <w:lang w:val="en-GB"/>
        </w:rPr>
        <w:t xml:space="preserve"> of packaging is considered acceptable.</w:t>
      </w:r>
    </w:p>
    <w:p w14:paraId="59FE7BEC" w14:textId="77777777" w:rsidR="006E665B" w:rsidRPr="00052E08" w:rsidRDefault="006E665B" w:rsidP="005860E8">
      <w:pPr>
        <w:spacing w:line="276" w:lineRule="auto"/>
        <w:jc w:val="both"/>
        <w:rPr>
          <w:rFonts w:ascii="Verdana" w:hAnsi="Verdana"/>
          <w:sz w:val="24"/>
          <w:lang w:val="en-GB"/>
        </w:rPr>
      </w:pPr>
    </w:p>
    <w:p w14:paraId="5F4F8F16" w14:textId="202F2604" w:rsidR="009C5B57" w:rsidRDefault="009C5B57" w:rsidP="005860E8">
      <w:pPr>
        <w:jc w:val="both"/>
        <w:rPr>
          <w:rFonts w:ascii="Verdana" w:hAnsi="Verdana"/>
          <w:b/>
          <w:sz w:val="24"/>
          <w:lang w:val="en-GB"/>
        </w:rPr>
      </w:pPr>
      <w:r>
        <w:rPr>
          <w:rFonts w:ascii="Verdana" w:hAnsi="Verdana"/>
          <w:b/>
          <w:sz w:val="24"/>
          <w:lang w:val="en-GB"/>
        </w:rPr>
        <w:t>Conclusion of p</w:t>
      </w:r>
      <w:r w:rsidRPr="009C5B57">
        <w:rPr>
          <w:rFonts w:ascii="Verdana" w:hAnsi="Verdana"/>
          <w:b/>
          <w:sz w:val="24"/>
          <w:lang w:val="en-GB"/>
        </w:rPr>
        <w:t>hysical, chemical and technical properties</w:t>
      </w:r>
    </w:p>
    <w:p w14:paraId="7FA7DFAD" w14:textId="77777777" w:rsidR="009C5B57" w:rsidRPr="00052E08" w:rsidRDefault="009C5B57" w:rsidP="005860E8">
      <w:pPr>
        <w:jc w:val="both"/>
        <w:rPr>
          <w:rFonts w:ascii="Verdana" w:hAnsi="Verdana"/>
          <w:sz w:val="24"/>
          <w:lang w:val="en-GB"/>
        </w:rPr>
      </w:pPr>
    </w:p>
    <w:p w14:paraId="3EA5E116" w14:textId="7CB8CFF2" w:rsidR="00117D18" w:rsidRPr="009C5B57" w:rsidRDefault="00117D18" w:rsidP="00117D18">
      <w:pPr>
        <w:jc w:val="both"/>
        <w:rPr>
          <w:rFonts w:ascii="Verdana" w:hAnsi="Verdana"/>
          <w:i/>
          <w:sz w:val="24"/>
          <w:lang w:val="en-GB"/>
        </w:rPr>
      </w:pPr>
      <w:r w:rsidRPr="009C5B57">
        <w:rPr>
          <w:rFonts w:ascii="Verdana" w:hAnsi="Verdana"/>
          <w:i/>
          <w:sz w:val="24"/>
          <w:lang w:val="en-GB"/>
        </w:rPr>
        <w:t>According to Guidance on the Biocidal Products Regulation: Volume I Parts A+B+C Version 2.1 March 2022 and Technical Monograph N</w:t>
      </w:r>
      <w:r w:rsidRPr="009C5B57">
        <w:rPr>
          <w:rFonts w:ascii="Verdana" w:hAnsi="Verdana"/>
          <w:i/>
          <w:sz w:val="24"/>
          <w:vertAlign w:val="superscript"/>
          <w:lang w:val="en-GB"/>
        </w:rPr>
        <w:t>o</w:t>
      </w:r>
      <w:r w:rsidRPr="009C5B57">
        <w:rPr>
          <w:rFonts w:ascii="Verdana" w:hAnsi="Verdana"/>
          <w:i/>
          <w:sz w:val="24"/>
          <w:lang w:val="en-GB"/>
        </w:rPr>
        <w:t>17 (3</w:t>
      </w:r>
      <w:r w:rsidRPr="009C5B57">
        <w:rPr>
          <w:rFonts w:ascii="Verdana" w:hAnsi="Verdana"/>
          <w:i/>
          <w:sz w:val="24"/>
          <w:vertAlign w:val="superscript"/>
          <w:lang w:val="en-GB"/>
        </w:rPr>
        <w:t>rd</w:t>
      </w:r>
      <w:r w:rsidRPr="009C5B57">
        <w:rPr>
          <w:rFonts w:ascii="Verdana" w:hAnsi="Verdana"/>
          <w:i/>
          <w:sz w:val="24"/>
          <w:lang w:val="en-GB"/>
        </w:rPr>
        <w:t xml:space="preserve"> edition) Guidelines for specifying and managing shelf life and expiry date of crop protection products the change of packaging carried out by the applicant is possible between all types of packaging materials as long they are waterproof or have waterproof lining or where the formulation is not moisture sensitive. Therefore the new data to confirm the stability of the product in new packaging is not required. </w:t>
      </w:r>
    </w:p>
    <w:p w14:paraId="35719E3F" w14:textId="77777777" w:rsidR="005860E8" w:rsidRPr="00052E08" w:rsidRDefault="005860E8" w:rsidP="005860E8">
      <w:pPr>
        <w:rPr>
          <w:rFonts w:ascii="Verdana" w:hAnsi="Verdana"/>
          <w:sz w:val="20"/>
          <w:szCs w:val="20"/>
          <w:lang w:val="en-GB"/>
        </w:rPr>
      </w:pPr>
    </w:p>
    <w:p w14:paraId="454E1384" w14:textId="77777777" w:rsidR="009C5B57" w:rsidRPr="00052E08" w:rsidRDefault="009C5B57" w:rsidP="009C5B57">
      <w:pPr>
        <w:spacing w:line="276" w:lineRule="auto"/>
        <w:jc w:val="both"/>
        <w:rPr>
          <w:rFonts w:ascii="Verdana" w:hAnsi="Verdana"/>
          <w:sz w:val="24"/>
          <w:lang w:val="en-GB"/>
        </w:rPr>
      </w:pPr>
      <w:r w:rsidRPr="00052E08">
        <w:rPr>
          <w:rFonts w:ascii="Verdana" w:hAnsi="Verdana"/>
          <w:sz w:val="24"/>
          <w:lang w:val="en-GB"/>
        </w:rPr>
        <w:t>Detailed description of the conditions for this minor change is presented in the summary of product characteristics (SPC) and includes Poland’s national requirements.</w:t>
      </w:r>
    </w:p>
    <w:p w14:paraId="6E90F7DC" w14:textId="77777777" w:rsidR="00C25007" w:rsidRPr="00052E08" w:rsidRDefault="00C25007" w:rsidP="005860E8">
      <w:pPr>
        <w:jc w:val="both"/>
        <w:rPr>
          <w:rFonts w:ascii="Verdana" w:hAnsi="Verdana"/>
          <w:sz w:val="24"/>
          <w:lang w:val="en-GB"/>
        </w:rPr>
      </w:pPr>
    </w:p>
    <w:p w14:paraId="4A81ADE1" w14:textId="77777777" w:rsidR="00C25007" w:rsidRPr="00052E08" w:rsidRDefault="00C25007" w:rsidP="005860E8">
      <w:pPr>
        <w:jc w:val="both"/>
        <w:rPr>
          <w:rFonts w:ascii="Verdana" w:hAnsi="Verdana"/>
          <w:sz w:val="24"/>
          <w:lang w:val="en-GB"/>
        </w:rPr>
      </w:pPr>
    </w:p>
    <w:p w14:paraId="3854DAC4" w14:textId="77777777" w:rsidR="00C25007" w:rsidRPr="00052E08" w:rsidRDefault="00C25007" w:rsidP="005860E8">
      <w:pPr>
        <w:autoSpaceDE w:val="0"/>
        <w:autoSpaceDN w:val="0"/>
        <w:adjustRightInd w:val="0"/>
        <w:jc w:val="both"/>
        <w:rPr>
          <w:rFonts w:ascii="Verdana" w:eastAsia="CIDFont+F1" w:hAnsi="Verdana" w:cstheme="minorHAnsi"/>
          <w:i/>
          <w:sz w:val="24"/>
          <w:lang w:val="pl-PL"/>
        </w:rPr>
        <w:sectPr w:rsidR="00C25007" w:rsidRPr="00052E08" w:rsidSect="0041132F">
          <w:pgSz w:w="11906" w:h="16838"/>
          <w:pgMar w:top="1418" w:right="1418" w:bottom="1418" w:left="1418" w:header="709" w:footer="709" w:gutter="0"/>
          <w:cols w:space="708"/>
          <w:docGrid w:linePitch="360"/>
        </w:sectPr>
      </w:pPr>
    </w:p>
    <w:p w14:paraId="406298F1" w14:textId="77777777" w:rsidR="00680EA4" w:rsidRPr="00052E08" w:rsidRDefault="00680EA4">
      <w:pPr>
        <w:rPr>
          <w:rFonts w:ascii="Verdana" w:hAnsi="Verdana"/>
        </w:rPr>
        <w:sectPr w:rsidR="00680EA4" w:rsidRPr="00052E08" w:rsidSect="002A6661">
          <w:pgSz w:w="11906" w:h="16838"/>
          <w:pgMar w:top="1418" w:right="1418" w:bottom="1418" w:left="1418" w:header="709" w:footer="709" w:gutter="0"/>
          <w:cols w:space="708"/>
          <w:docGrid w:linePitch="360"/>
        </w:sectPr>
      </w:pPr>
    </w:p>
    <w:p w14:paraId="58890498" w14:textId="72DB4C95" w:rsidR="00E009E9" w:rsidRPr="00052E08" w:rsidRDefault="00E009E9" w:rsidP="00BD3E3C">
      <w:pPr>
        <w:autoSpaceDE w:val="0"/>
        <w:autoSpaceDN w:val="0"/>
        <w:adjustRightInd w:val="0"/>
        <w:rPr>
          <w:rFonts w:ascii="Verdana" w:eastAsia="CIDFont+F1" w:hAnsi="Verdana" w:cstheme="minorHAnsi"/>
          <w:i/>
          <w:sz w:val="24"/>
          <w:lang w:val="pl-PL"/>
        </w:rPr>
      </w:pPr>
    </w:p>
    <w:sectPr w:rsidR="00E009E9" w:rsidRPr="00052E08" w:rsidSect="000C6E0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5B003" w14:textId="77777777" w:rsidR="002B48AE" w:rsidRDefault="002B48AE">
      <w:r>
        <w:separator/>
      </w:r>
    </w:p>
  </w:endnote>
  <w:endnote w:type="continuationSeparator" w:id="0">
    <w:p w14:paraId="2C6E5CE2" w14:textId="77777777" w:rsidR="002B48AE" w:rsidRDefault="002B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DFont+F1">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E2A5" w14:textId="77777777" w:rsidR="00611570" w:rsidRPr="00615473" w:rsidRDefault="00611570" w:rsidP="006154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78FCE" w14:textId="77777777" w:rsidR="002B48AE" w:rsidRDefault="002B48AE">
      <w:r>
        <w:separator/>
      </w:r>
    </w:p>
  </w:footnote>
  <w:footnote w:type="continuationSeparator" w:id="0">
    <w:p w14:paraId="7BB3B771" w14:textId="77777777" w:rsidR="002B48AE" w:rsidRDefault="002B4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96C1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20F63"/>
    <w:multiLevelType w:val="hybridMultilevel"/>
    <w:tmpl w:val="D4EC0F8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 w15:restartNumberingAfterBreak="0">
    <w:nsid w:val="07EB6868"/>
    <w:multiLevelType w:val="hybridMultilevel"/>
    <w:tmpl w:val="40C4EE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F6FEF"/>
    <w:multiLevelType w:val="hybridMultilevel"/>
    <w:tmpl w:val="D108BBC0"/>
    <w:lvl w:ilvl="0" w:tplc="A56CA2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5B3242"/>
    <w:multiLevelType w:val="hybridMultilevel"/>
    <w:tmpl w:val="1FF0BDC6"/>
    <w:lvl w:ilvl="0" w:tplc="6B7AB74A">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886412"/>
    <w:multiLevelType w:val="hybridMultilevel"/>
    <w:tmpl w:val="3C5CEC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05DCD"/>
    <w:multiLevelType w:val="hybridMultilevel"/>
    <w:tmpl w:val="8BE425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649D0"/>
    <w:multiLevelType w:val="hybridMultilevel"/>
    <w:tmpl w:val="2AD6BDEA"/>
    <w:lvl w:ilvl="0" w:tplc="50BE067E">
      <w:start w:val="1"/>
      <w:numFmt w:val="decimal"/>
      <w:lvlText w:val="%1."/>
      <w:lvlJc w:val="left"/>
      <w:pPr>
        <w:ind w:left="375" w:hanging="375"/>
      </w:pPr>
      <w:rPr>
        <w:rFonts w:ascii="Verdana" w:eastAsia="Times New Roman" w:hAnsi="Verdan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704612"/>
    <w:multiLevelType w:val="hybridMultilevel"/>
    <w:tmpl w:val="C0B8D51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285F20"/>
    <w:multiLevelType w:val="hybridMultilevel"/>
    <w:tmpl w:val="A57E57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246E70"/>
    <w:multiLevelType w:val="hybridMultilevel"/>
    <w:tmpl w:val="1BF01F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FCF4DE9"/>
    <w:multiLevelType w:val="hybridMultilevel"/>
    <w:tmpl w:val="DABAB12E"/>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900105"/>
    <w:multiLevelType w:val="hybridMultilevel"/>
    <w:tmpl w:val="976C99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76A0ED0"/>
    <w:multiLevelType w:val="multilevel"/>
    <w:tmpl w:val="C1F2E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3811CF"/>
    <w:multiLevelType w:val="hybridMultilevel"/>
    <w:tmpl w:val="A42CD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321A06"/>
    <w:multiLevelType w:val="hybridMultilevel"/>
    <w:tmpl w:val="108E6F12"/>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16" w15:restartNumberingAfterBreak="0">
    <w:nsid w:val="3F462B6A"/>
    <w:multiLevelType w:val="hybridMultilevel"/>
    <w:tmpl w:val="9A868832"/>
    <w:lvl w:ilvl="0" w:tplc="A36E5796">
      <w:start w:val="3"/>
      <w:numFmt w:val="lowerLetter"/>
      <w:lvlText w:val="(%1)"/>
      <w:lvlJc w:val="left"/>
      <w:pPr>
        <w:tabs>
          <w:tab w:val="num" w:pos="567"/>
        </w:tabs>
        <w:ind w:left="567" w:hanging="567"/>
      </w:pPr>
      <w:rPr>
        <w:rFonts w:ascii="Times New Roman" w:hAnsi="Times New Roman" w:hint="default"/>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9A637F1"/>
    <w:multiLevelType w:val="hybridMultilevel"/>
    <w:tmpl w:val="E632CF84"/>
    <w:lvl w:ilvl="0" w:tplc="F21CA10C">
      <w:start w:val="16"/>
      <w:numFmt w:val="bullet"/>
      <w:lvlText w:val="-"/>
      <w:lvlJc w:val="left"/>
      <w:pPr>
        <w:ind w:left="720" w:hanging="360"/>
      </w:pPr>
      <w:rPr>
        <w:rFonts w:ascii="Arial" w:eastAsia="Calibri" w:hAnsi="Arial" w:cs="Arial" w:hint="default"/>
        <w:sz w:val="5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37656C"/>
    <w:multiLevelType w:val="hybridMultilevel"/>
    <w:tmpl w:val="6458F45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831C82"/>
    <w:multiLevelType w:val="hybridMultilevel"/>
    <w:tmpl w:val="F482A4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6B5F68"/>
    <w:multiLevelType w:val="hybridMultilevel"/>
    <w:tmpl w:val="C9C66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7843380"/>
    <w:multiLevelType w:val="hybridMultilevel"/>
    <w:tmpl w:val="1F405712"/>
    <w:lvl w:ilvl="0" w:tplc="C7989E96">
      <w:start w:val="1"/>
      <w:numFmt w:val="bullet"/>
      <w:pStyle w:val="punktorwtabeliSPCmetaSPC"/>
      <w:lvlText w:val=""/>
      <w:lvlJc w:val="left"/>
      <w:pPr>
        <w:ind w:left="1400" w:hanging="360"/>
      </w:pPr>
      <w:rPr>
        <w:rFonts w:ascii="Symbol" w:hAnsi="Symbol" w:hint="default"/>
        <w:sz w:val="24"/>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2" w15:restartNumberingAfterBreak="0">
    <w:nsid w:val="5C30666F"/>
    <w:multiLevelType w:val="hybridMultilevel"/>
    <w:tmpl w:val="1AD26B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CB310DD"/>
    <w:multiLevelType w:val="hybridMultilevel"/>
    <w:tmpl w:val="3E326C3E"/>
    <w:lvl w:ilvl="0" w:tplc="5776B46C">
      <w:start w:val="1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FD117C"/>
    <w:multiLevelType w:val="hybridMultilevel"/>
    <w:tmpl w:val="2828FC84"/>
    <w:lvl w:ilvl="0" w:tplc="0B2CDFD8">
      <w:start w:val="1"/>
      <w:numFmt w:val="bullet"/>
      <w:lvlText w:val=""/>
      <w:lvlJc w:val="left"/>
      <w:pPr>
        <w:ind w:left="392" w:hanging="360"/>
      </w:pPr>
      <w:rPr>
        <w:rFonts w:ascii="Symbol" w:hAnsi="Symbol" w:hint="default"/>
        <w:sz w:val="24"/>
      </w:rPr>
    </w:lvl>
    <w:lvl w:ilvl="1" w:tplc="04150003" w:tentative="1">
      <w:start w:val="1"/>
      <w:numFmt w:val="bullet"/>
      <w:lvlText w:val="o"/>
      <w:lvlJc w:val="left"/>
      <w:pPr>
        <w:ind w:left="1112" w:hanging="360"/>
      </w:pPr>
      <w:rPr>
        <w:rFonts w:ascii="Courier New" w:hAnsi="Courier New" w:hint="default"/>
      </w:rPr>
    </w:lvl>
    <w:lvl w:ilvl="2" w:tplc="04150005" w:tentative="1">
      <w:start w:val="1"/>
      <w:numFmt w:val="bullet"/>
      <w:lvlText w:val=""/>
      <w:lvlJc w:val="left"/>
      <w:pPr>
        <w:ind w:left="1832" w:hanging="360"/>
      </w:pPr>
      <w:rPr>
        <w:rFonts w:ascii="Wingdings" w:hAnsi="Wingdings" w:hint="default"/>
      </w:rPr>
    </w:lvl>
    <w:lvl w:ilvl="3" w:tplc="04150001" w:tentative="1">
      <w:start w:val="1"/>
      <w:numFmt w:val="bullet"/>
      <w:lvlText w:val=""/>
      <w:lvlJc w:val="left"/>
      <w:pPr>
        <w:ind w:left="2552" w:hanging="360"/>
      </w:pPr>
      <w:rPr>
        <w:rFonts w:ascii="Symbol" w:hAnsi="Symbol" w:hint="default"/>
      </w:rPr>
    </w:lvl>
    <w:lvl w:ilvl="4" w:tplc="04150003" w:tentative="1">
      <w:start w:val="1"/>
      <w:numFmt w:val="bullet"/>
      <w:lvlText w:val="o"/>
      <w:lvlJc w:val="left"/>
      <w:pPr>
        <w:ind w:left="3272" w:hanging="360"/>
      </w:pPr>
      <w:rPr>
        <w:rFonts w:ascii="Courier New" w:hAnsi="Courier New" w:hint="default"/>
      </w:rPr>
    </w:lvl>
    <w:lvl w:ilvl="5" w:tplc="04150005" w:tentative="1">
      <w:start w:val="1"/>
      <w:numFmt w:val="bullet"/>
      <w:lvlText w:val=""/>
      <w:lvlJc w:val="left"/>
      <w:pPr>
        <w:ind w:left="3992" w:hanging="360"/>
      </w:pPr>
      <w:rPr>
        <w:rFonts w:ascii="Wingdings" w:hAnsi="Wingdings" w:hint="default"/>
      </w:rPr>
    </w:lvl>
    <w:lvl w:ilvl="6" w:tplc="04150001" w:tentative="1">
      <w:start w:val="1"/>
      <w:numFmt w:val="bullet"/>
      <w:lvlText w:val=""/>
      <w:lvlJc w:val="left"/>
      <w:pPr>
        <w:ind w:left="4712" w:hanging="360"/>
      </w:pPr>
      <w:rPr>
        <w:rFonts w:ascii="Symbol" w:hAnsi="Symbol" w:hint="default"/>
      </w:rPr>
    </w:lvl>
    <w:lvl w:ilvl="7" w:tplc="04150003" w:tentative="1">
      <w:start w:val="1"/>
      <w:numFmt w:val="bullet"/>
      <w:lvlText w:val="o"/>
      <w:lvlJc w:val="left"/>
      <w:pPr>
        <w:ind w:left="5432" w:hanging="360"/>
      </w:pPr>
      <w:rPr>
        <w:rFonts w:ascii="Courier New" w:hAnsi="Courier New" w:hint="default"/>
      </w:rPr>
    </w:lvl>
    <w:lvl w:ilvl="8" w:tplc="04150005" w:tentative="1">
      <w:start w:val="1"/>
      <w:numFmt w:val="bullet"/>
      <w:lvlText w:val=""/>
      <w:lvlJc w:val="left"/>
      <w:pPr>
        <w:ind w:left="6152" w:hanging="360"/>
      </w:pPr>
      <w:rPr>
        <w:rFonts w:ascii="Wingdings" w:hAnsi="Wingdings" w:hint="default"/>
      </w:rPr>
    </w:lvl>
  </w:abstractNum>
  <w:abstractNum w:abstractNumId="25" w15:restartNumberingAfterBreak="0">
    <w:nsid w:val="680F5B79"/>
    <w:multiLevelType w:val="hybridMultilevel"/>
    <w:tmpl w:val="58064322"/>
    <w:lvl w:ilvl="0" w:tplc="04150001">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C67101"/>
    <w:multiLevelType w:val="hybridMultilevel"/>
    <w:tmpl w:val="E19235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FC773CD"/>
    <w:multiLevelType w:val="hybridMultilevel"/>
    <w:tmpl w:val="EA9AD96A"/>
    <w:lvl w:ilvl="0" w:tplc="CAAEF6E8">
      <w:start w:val="16"/>
      <w:numFmt w:val="bullet"/>
      <w:lvlText w:val="-"/>
      <w:lvlJc w:val="left"/>
      <w:pPr>
        <w:ind w:left="720" w:hanging="360"/>
      </w:pPr>
      <w:rPr>
        <w:rFonts w:ascii="Arial" w:eastAsia="Times New Roman" w:hAnsi="Arial" w:cs="Arial" w:hint="default"/>
        <w:b/>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14F297C"/>
    <w:multiLevelType w:val="hybridMultilevel"/>
    <w:tmpl w:val="4E6E5E4C"/>
    <w:lvl w:ilvl="0" w:tplc="04150001">
      <w:start w:val="1"/>
      <w:numFmt w:val="bullet"/>
      <w:lvlText w:val=""/>
      <w:lvlJc w:val="left"/>
      <w:pPr>
        <w:ind w:left="673" w:hanging="360"/>
      </w:pPr>
      <w:rPr>
        <w:rFonts w:ascii="Symbol" w:hAnsi="Symbol" w:hint="default"/>
      </w:rPr>
    </w:lvl>
    <w:lvl w:ilvl="1" w:tplc="04150003" w:tentative="1">
      <w:start w:val="1"/>
      <w:numFmt w:val="bullet"/>
      <w:lvlText w:val="o"/>
      <w:lvlJc w:val="left"/>
      <w:pPr>
        <w:ind w:left="1393" w:hanging="360"/>
      </w:pPr>
      <w:rPr>
        <w:rFonts w:ascii="Courier New" w:hAnsi="Courier New" w:cs="Courier New" w:hint="default"/>
      </w:rPr>
    </w:lvl>
    <w:lvl w:ilvl="2" w:tplc="04150005" w:tentative="1">
      <w:start w:val="1"/>
      <w:numFmt w:val="bullet"/>
      <w:lvlText w:val=""/>
      <w:lvlJc w:val="left"/>
      <w:pPr>
        <w:ind w:left="2113" w:hanging="360"/>
      </w:pPr>
      <w:rPr>
        <w:rFonts w:ascii="Wingdings" w:hAnsi="Wingdings" w:hint="default"/>
      </w:rPr>
    </w:lvl>
    <w:lvl w:ilvl="3" w:tplc="04150001" w:tentative="1">
      <w:start w:val="1"/>
      <w:numFmt w:val="bullet"/>
      <w:lvlText w:val=""/>
      <w:lvlJc w:val="left"/>
      <w:pPr>
        <w:ind w:left="2833" w:hanging="360"/>
      </w:pPr>
      <w:rPr>
        <w:rFonts w:ascii="Symbol" w:hAnsi="Symbol" w:hint="default"/>
      </w:rPr>
    </w:lvl>
    <w:lvl w:ilvl="4" w:tplc="04150003" w:tentative="1">
      <w:start w:val="1"/>
      <w:numFmt w:val="bullet"/>
      <w:lvlText w:val="o"/>
      <w:lvlJc w:val="left"/>
      <w:pPr>
        <w:ind w:left="3553" w:hanging="360"/>
      </w:pPr>
      <w:rPr>
        <w:rFonts w:ascii="Courier New" w:hAnsi="Courier New" w:cs="Courier New" w:hint="default"/>
      </w:rPr>
    </w:lvl>
    <w:lvl w:ilvl="5" w:tplc="04150005" w:tentative="1">
      <w:start w:val="1"/>
      <w:numFmt w:val="bullet"/>
      <w:lvlText w:val=""/>
      <w:lvlJc w:val="left"/>
      <w:pPr>
        <w:ind w:left="4273" w:hanging="360"/>
      </w:pPr>
      <w:rPr>
        <w:rFonts w:ascii="Wingdings" w:hAnsi="Wingdings" w:hint="default"/>
      </w:rPr>
    </w:lvl>
    <w:lvl w:ilvl="6" w:tplc="04150001" w:tentative="1">
      <w:start w:val="1"/>
      <w:numFmt w:val="bullet"/>
      <w:lvlText w:val=""/>
      <w:lvlJc w:val="left"/>
      <w:pPr>
        <w:ind w:left="4993" w:hanging="360"/>
      </w:pPr>
      <w:rPr>
        <w:rFonts w:ascii="Symbol" w:hAnsi="Symbol" w:hint="default"/>
      </w:rPr>
    </w:lvl>
    <w:lvl w:ilvl="7" w:tplc="04150003" w:tentative="1">
      <w:start w:val="1"/>
      <w:numFmt w:val="bullet"/>
      <w:lvlText w:val="o"/>
      <w:lvlJc w:val="left"/>
      <w:pPr>
        <w:ind w:left="5713" w:hanging="360"/>
      </w:pPr>
      <w:rPr>
        <w:rFonts w:ascii="Courier New" w:hAnsi="Courier New" w:cs="Courier New" w:hint="default"/>
      </w:rPr>
    </w:lvl>
    <w:lvl w:ilvl="8" w:tplc="04150005" w:tentative="1">
      <w:start w:val="1"/>
      <w:numFmt w:val="bullet"/>
      <w:lvlText w:val=""/>
      <w:lvlJc w:val="left"/>
      <w:pPr>
        <w:ind w:left="6433" w:hanging="360"/>
      </w:pPr>
      <w:rPr>
        <w:rFonts w:ascii="Wingdings" w:hAnsi="Wingdings" w:hint="default"/>
      </w:rPr>
    </w:lvl>
  </w:abstractNum>
  <w:abstractNum w:abstractNumId="29" w15:restartNumberingAfterBreak="0">
    <w:nsid w:val="727B3AF5"/>
    <w:multiLevelType w:val="hybridMultilevel"/>
    <w:tmpl w:val="11B838A2"/>
    <w:lvl w:ilvl="0" w:tplc="04626908">
      <w:start w:val="1"/>
      <w:numFmt w:val="bullet"/>
      <w:lvlText w:val=""/>
      <w:lvlJc w:val="left"/>
      <w:pPr>
        <w:ind w:left="1033" w:hanging="360"/>
      </w:pPr>
      <w:rPr>
        <w:rFonts w:ascii="Symbol" w:hAnsi="Symbol" w:hint="default"/>
        <w:sz w:val="20"/>
        <w:szCs w:val="20"/>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30" w15:restartNumberingAfterBreak="0">
    <w:nsid w:val="72C41465"/>
    <w:multiLevelType w:val="hybridMultilevel"/>
    <w:tmpl w:val="277AE3E8"/>
    <w:lvl w:ilvl="0" w:tplc="041D0001">
      <w:start w:val="1"/>
      <w:numFmt w:val="bullet"/>
      <w:lvlText w:val=""/>
      <w:lvlJc w:val="left"/>
      <w:pPr>
        <w:tabs>
          <w:tab w:val="num" w:pos="390"/>
        </w:tabs>
        <w:ind w:left="390" w:hanging="390"/>
      </w:pPr>
      <w:rPr>
        <w:rFonts w:ascii="Symbol" w:hAnsi="Symbol" w:hint="default"/>
      </w:rPr>
    </w:lvl>
    <w:lvl w:ilvl="1" w:tplc="041D0003">
      <w:start w:val="1"/>
      <w:numFmt w:val="decimal"/>
      <w:lvlText w:val="%2."/>
      <w:lvlJc w:val="left"/>
      <w:pPr>
        <w:tabs>
          <w:tab w:val="num" w:pos="1080"/>
        </w:tabs>
        <w:ind w:left="1080" w:hanging="360"/>
      </w:pPr>
      <w:rPr>
        <w:rFonts w:cs="Times New Roman"/>
      </w:rPr>
    </w:lvl>
    <w:lvl w:ilvl="2" w:tplc="041D0005">
      <w:start w:val="1"/>
      <w:numFmt w:val="decimal"/>
      <w:lvlText w:val="%3."/>
      <w:lvlJc w:val="left"/>
      <w:pPr>
        <w:tabs>
          <w:tab w:val="num" w:pos="1800"/>
        </w:tabs>
        <w:ind w:left="1800" w:hanging="360"/>
      </w:pPr>
      <w:rPr>
        <w:rFonts w:cs="Times New Roman"/>
      </w:rPr>
    </w:lvl>
    <w:lvl w:ilvl="3" w:tplc="041D0001">
      <w:start w:val="1"/>
      <w:numFmt w:val="decimal"/>
      <w:lvlText w:val="%4."/>
      <w:lvlJc w:val="left"/>
      <w:pPr>
        <w:tabs>
          <w:tab w:val="num" w:pos="2520"/>
        </w:tabs>
        <w:ind w:left="2520" w:hanging="360"/>
      </w:pPr>
      <w:rPr>
        <w:rFonts w:cs="Times New Roman"/>
      </w:rPr>
    </w:lvl>
    <w:lvl w:ilvl="4" w:tplc="041D0003">
      <w:start w:val="1"/>
      <w:numFmt w:val="decimal"/>
      <w:lvlText w:val="%5."/>
      <w:lvlJc w:val="left"/>
      <w:pPr>
        <w:tabs>
          <w:tab w:val="num" w:pos="3240"/>
        </w:tabs>
        <w:ind w:left="3240" w:hanging="360"/>
      </w:pPr>
      <w:rPr>
        <w:rFonts w:cs="Times New Roman"/>
      </w:rPr>
    </w:lvl>
    <w:lvl w:ilvl="5" w:tplc="041D0005">
      <w:start w:val="1"/>
      <w:numFmt w:val="decimal"/>
      <w:lvlText w:val="%6."/>
      <w:lvlJc w:val="left"/>
      <w:pPr>
        <w:tabs>
          <w:tab w:val="num" w:pos="3960"/>
        </w:tabs>
        <w:ind w:left="3960" w:hanging="360"/>
      </w:pPr>
      <w:rPr>
        <w:rFonts w:cs="Times New Roman"/>
      </w:rPr>
    </w:lvl>
    <w:lvl w:ilvl="6" w:tplc="041D0001">
      <w:start w:val="1"/>
      <w:numFmt w:val="decimal"/>
      <w:lvlText w:val="%7."/>
      <w:lvlJc w:val="left"/>
      <w:pPr>
        <w:tabs>
          <w:tab w:val="num" w:pos="4680"/>
        </w:tabs>
        <w:ind w:left="4680" w:hanging="360"/>
      </w:pPr>
      <w:rPr>
        <w:rFonts w:cs="Times New Roman"/>
      </w:rPr>
    </w:lvl>
    <w:lvl w:ilvl="7" w:tplc="041D0003">
      <w:start w:val="1"/>
      <w:numFmt w:val="decimal"/>
      <w:lvlText w:val="%8."/>
      <w:lvlJc w:val="left"/>
      <w:pPr>
        <w:tabs>
          <w:tab w:val="num" w:pos="5400"/>
        </w:tabs>
        <w:ind w:left="5400" w:hanging="360"/>
      </w:pPr>
      <w:rPr>
        <w:rFonts w:cs="Times New Roman"/>
      </w:rPr>
    </w:lvl>
    <w:lvl w:ilvl="8" w:tplc="041D0005">
      <w:start w:val="1"/>
      <w:numFmt w:val="decimal"/>
      <w:lvlText w:val="%9."/>
      <w:lvlJc w:val="left"/>
      <w:pPr>
        <w:tabs>
          <w:tab w:val="num" w:pos="6120"/>
        </w:tabs>
        <w:ind w:left="6120" w:hanging="360"/>
      </w:pPr>
      <w:rPr>
        <w:rFonts w:cs="Times New Roman"/>
      </w:rPr>
    </w:lvl>
  </w:abstractNum>
  <w:abstractNum w:abstractNumId="31" w15:restartNumberingAfterBreak="0">
    <w:nsid w:val="74506CFF"/>
    <w:multiLevelType w:val="hybridMultilevel"/>
    <w:tmpl w:val="D64E16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abstractNumId w:val="30"/>
  </w:num>
  <w:num w:numId="2">
    <w:abstractNumId w:val="32"/>
  </w:num>
  <w:num w:numId="3">
    <w:abstractNumId w:val="18"/>
  </w:num>
  <w:num w:numId="4">
    <w:abstractNumId w:val="8"/>
  </w:num>
  <w:num w:numId="5">
    <w:abstractNumId w:val="20"/>
  </w:num>
  <w:num w:numId="6">
    <w:abstractNumId w:val="15"/>
  </w:num>
  <w:num w:numId="7">
    <w:abstractNumId w:val="2"/>
  </w:num>
  <w:num w:numId="8">
    <w:abstractNumId w:val="6"/>
  </w:num>
  <w:num w:numId="9">
    <w:abstractNumId w:val="16"/>
  </w:num>
  <w:num w:numId="10">
    <w:abstractNumId w:val="0"/>
  </w:num>
  <w:num w:numId="11">
    <w:abstractNumId w:val="10"/>
  </w:num>
  <w:num w:numId="12">
    <w:abstractNumId w:val="22"/>
  </w:num>
  <w:num w:numId="13">
    <w:abstractNumId w:val="11"/>
  </w:num>
  <w:num w:numId="14">
    <w:abstractNumId w:val="4"/>
  </w:num>
  <w:num w:numId="15">
    <w:abstractNumId w:val="26"/>
  </w:num>
  <w:num w:numId="16">
    <w:abstractNumId w:val="24"/>
  </w:num>
  <w:num w:numId="17">
    <w:abstractNumId w:val="23"/>
  </w:num>
  <w:num w:numId="18">
    <w:abstractNumId w:val="17"/>
  </w:num>
  <w:num w:numId="19">
    <w:abstractNumId w:val="27"/>
  </w:num>
  <w:num w:numId="20">
    <w:abstractNumId w:val="14"/>
  </w:num>
  <w:num w:numId="21">
    <w:abstractNumId w:val="13"/>
  </w:num>
  <w:num w:numId="22">
    <w:abstractNumId w:val="12"/>
  </w:num>
  <w:num w:numId="23">
    <w:abstractNumId w:val="3"/>
  </w:num>
  <w:num w:numId="24">
    <w:abstractNumId w:val="1"/>
  </w:num>
  <w:num w:numId="25">
    <w:abstractNumId w:val="25"/>
  </w:num>
  <w:num w:numId="26">
    <w:abstractNumId w:val="19"/>
  </w:num>
  <w:num w:numId="27">
    <w:abstractNumId w:val="29"/>
  </w:num>
  <w:num w:numId="28">
    <w:abstractNumId w:val="28"/>
  </w:num>
  <w:num w:numId="29">
    <w:abstractNumId w:val="9"/>
  </w:num>
  <w:num w:numId="30">
    <w:abstractNumId w:val="21"/>
  </w:num>
  <w:num w:numId="31">
    <w:abstractNumId w:val="7"/>
  </w:num>
  <w:num w:numId="32">
    <w:abstractNumId w:val="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5F"/>
    <w:rsid w:val="00013B2D"/>
    <w:rsid w:val="00015F5B"/>
    <w:rsid w:val="00016656"/>
    <w:rsid w:val="000336C2"/>
    <w:rsid w:val="00052E08"/>
    <w:rsid w:val="00057667"/>
    <w:rsid w:val="00067C3A"/>
    <w:rsid w:val="00071142"/>
    <w:rsid w:val="000736F3"/>
    <w:rsid w:val="000754BD"/>
    <w:rsid w:val="00083376"/>
    <w:rsid w:val="00091721"/>
    <w:rsid w:val="00097895"/>
    <w:rsid w:val="000A3F0C"/>
    <w:rsid w:val="000C1EC9"/>
    <w:rsid w:val="000C6E06"/>
    <w:rsid w:val="000D6869"/>
    <w:rsid w:val="000E2A6E"/>
    <w:rsid w:val="000E68B4"/>
    <w:rsid w:val="000F2DD5"/>
    <w:rsid w:val="00103932"/>
    <w:rsid w:val="0011432F"/>
    <w:rsid w:val="00116B35"/>
    <w:rsid w:val="00117D18"/>
    <w:rsid w:val="00130FB1"/>
    <w:rsid w:val="00133EA8"/>
    <w:rsid w:val="00135AB4"/>
    <w:rsid w:val="00144987"/>
    <w:rsid w:val="00146BB1"/>
    <w:rsid w:val="0015516D"/>
    <w:rsid w:val="00156756"/>
    <w:rsid w:val="00165BAD"/>
    <w:rsid w:val="00173D55"/>
    <w:rsid w:val="00176785"/>
    <w:rsid w:val="0018513A"/>
    <w:rsid w:val="00195971"/>
    <w:rsid w:val="001A0BDA"/>
    <w:rsid w:val="001A0FEA"/>
    <w:rsid w:val="001A1364"/>
    <w:rsid w:val="001A6619"/>
    <w:rsid w:val="001B220B"/>
    <w:rsid w:val="001B34AA"/>
    <w:rsid w:val="001B39C7"/>
    <w:rsid w:val="001B3ADD"/>
    <w:rsid w:val="001F05D6"/>
    <w:rsid w:val="001F39C3"/>
    <w:rsid w:val="001F5D1A"/>
    <w:rsid w:val="002056D2"/>
    <w:rsid w:val="00224522"/>
    <w:rsid w:val="0023075A"/>
    <w:rsid w:val="002329F9"/>
    <w:rsid w:val="00233017"/>
    <w:rsid w:val="00233CCF"/>
    <w:rsid w:val="0024510B"/>
    <w:rsid w:val="0024762D"/>
    <w:rsid w:val="0025549D"/>
    <w:rsid w:val="002660B4"/>
    <w:rsid w:val="0027331A"/>
    <w:rsid w:val="00291E17"/>
    <w:rsid w:val="002A3EFF"/>
    <w:rsid w:val="002A74F3"/>
    <w:rsid w:val="002B48AE"/>
    <w:rsid w:val="002C621D"/>
    <w:rsid w:val="002D6EAE"/>
    <w:rsid w:val="002E5308"/>
    <w:rsid w:val="003124DF"/>
    <w:rsid w:val="003131CE"/>
    <w:rsid w:val="00333F21"/>
    <w:rsid w:val="00335FD7"/>
    <w:rsid w:val="003634D6"/>
    <w:rsid w:val="00364ECD"/>
    <w:rsid w:val="00367212"/>
    <w:rsid w:val="00370E61"/>
    <w:rsid w:val="00371F1A"/>
    <w:rsid w:val="00382884"/>
    <w:rsid w:val="003D7A72"/>
    <w:rsid w:val="003E1E85"/>
    <w:rsid w:val="003E3C91"/>
    <w:rsid w:val="003E55B0"/>
    <w:rsid w:val="003E566A"/>
    <w:rsid w:val="003E5EC2"/>
    <w:rsid w:val="00400D99"/>
    <w:rsid w:val="00404171"/>
    <w:rsid w:val="004079E5"/>
    <w:rsid w:val="004200FC"/>
    <w:rsid w:val="00420302"/>
    <w:rsid w:val="00422746"/>
    <w:rsid w:val="00427C68"/>
    <w:rsid w:val="004316A2"/>
    <w:rsid w:val="004457CB"/>
    <w:rsid w:val="004664B8"/>
    <w:rsid w:val="00482E77"/>
    <w:rsid w:val="00493104"/>
    <w:rsid w:val="004D647E"/>
    <w:rsid w:val="004E2629"/>
    <w:rsid w:val="004E2A65"/>
    <w:rsid w:val="004E7EAD"/>
    <w:rsid w:val="00514BC4"/>
    <w:rsid w:val="00526E0E"/>
    <w:rsid w:val="00537CB5"/>
    <w:rsid w:val="00557D5F"/>
    <w:rsid w:val="00564FF9"/>
    <w:rsid w:val="00566EDC"/>
    <w:rsid w:val="005860E8"/>
    <w:rsid w:val="00586B25"/>
    <w:rsid w:val="00587A27"/>
    <w:rsid w:val="00597D14"/>
    <w:rsid w:val="005A1D91"/>
    <w:rsid w:val="005A70A4"/>
    <w:rsid w:val="005E0726"/>
    <w:rsid w:val="00602973"/>
    <w:rsid w:val="0060417B"/>
    <w:rsid w:val="00611570"/>
    <w:rsid w:val="00615473"/>
    <w:rsid w:val="00631214"/>
    <w:rsid w:val="00641A43"/>
    <w:rsid w:val="0064423F"/>
    <w:rsid w:val="00670482"/>
    <w:rsid w:val="00680EA4"/>
    <w:rsid w:val="00695077"/>
    <w:rsid w:val="006A4683"/>
    <w:rsid w:val="006A763C"/>
    <w:rsid w:val="006B2A03"/>
    <w:rsid w:val="006B5923"/>
    <w:rsid w:val="006C77E1"/>
    <w:rsid w:val="006D03F2"/>
    <w:rsid w:val="006D3E6C"/>
    <w:rsid w:val="006E0A59"/>
    <w:rsid w:val="006E665B"/>
    <w:rsid w:val="006F53C0"/>
    <w:rsid w:val="00706202"/>
    <w:rsid w:val="00707B87"/>
    <w:rsid w:val="00720CCF"/>
    <w:rsid w:val="00723138"/>
    <w:rsid w:val="00740481"/>
    <w:rsid w:val="00741E0C"/>
    <w:rsid w:val="00745D25"/>
    <w:rsid w:val="00750503"/>
    <w:rsid w:val="0075116E"/>
    <w:rsid w:val="007633DF"/>
    <w:rsid w:val="0076537D"/>
    <w:rsid w:val="00766045"/>
    <w:rsid w:val="0077128B"/>
    <w:rsid w:val="0077429D"/>
    <w:rsid w:val="0077579E"/>
    <w:rsid w:val="007825FF"/>
    <w:rsid w:val="0079787C"/>
    <w:rsid w:val="007B0192"/>
    <w:rsid w:val="007B21AD"/>
    <w:rsid w:val="007B6717"/>
    <w:rsid w:val="007C23C1"/>
    <w:rsid w:val="007C38E5"/>
    <w:rsid w:val="007E6F33"/>
    <w:rsid w:val="007E759D"/>
    <w:rsid w:val="00803E5F"/>
    <w:rsid w:val="00805E38"/>
    <w:rsid w:val="00831BF0"/>
    <w:rsid w:val="008326DB"/>
    <w:rsid w:val="00837C82"/>
    <w:rsid w:val="00842B59"/>
    <w:rsid w:val="00842F0A"/>
    <w:rsid w:val="008503EF"/>
    <w:rsid w:val="008634F8"/>
    <w:rsid w:val="0087148B"/>
    <w:rsid w:val="00873437"/>
    <w:rsid w:val="00877D90"/>
    <w:rsid w:val="008807AD"/>
    <w:rsid w:val="00885E8F"/>
    <w:rsid w:val="00894BC0"/>
    <w:rsid w:val="008A0051"/>
    <w:rsid w:val="008A53AE"/>
    <w:rsid w:val="008B4D1D"/>
    <w:rsid w:val="008C156D"/>
    <w:rsid w:val="008F1585"/>
    <w:rsid w:val="008F5F8E"/>
    <w:rsid w:val="009012CA"/>
    <w:rsid w:val="00914E53"/>
    <w:rsid w:val="00915300"/>
    <w:rsid w:val="00932F3B"/>
    <w:rsid w:val="009568A7"/>
    <w:rsid w:val="009838EE"/>
    <w:rsid w:val="009A18CD"/>
    <w:rsid w:val="009B33A0"/>
    <w:rsid w:val="009C5B57"/>
    <w:rsid w:val="009E2C62"/>
    <w:rsid w:val="009F0CBB"/>
    <w:rsid w:val="00A05AE9"/>
    <w:rsid w:val="00A11DBD"/>
    <w:rsid w:val="00A165C0"/>
    <w:rsid w:val="00A211D9"/>
    <w:rsid w:val="00A21CE5"/>
    <w:rsid w:val="00A334AC"/>
    <w:rsid w:val="00A43A8D"/>
    <w:rsid w:val="00A7013E"/>
    <w:rsid w:val="00A827C5"/>
    <w:rsid w:val="00AA2188"/>
    <w:rsid w:val="00AA6D1A"/>
    <w:rsid w:val="00AD4870"/>
    <w:rsid w:val="00AE4B3F"/>
    <w:rsid w:val="00AF3D0C"/>
    <w:rsid w:val="00B062D4"/>
    <w:rsid w:val="00B07DF7"/>
    <w:rsid w:val="00B15CFF"/>
    <w:rsid w:val="00B15D3E"/>
    <w:rsid w:val="00B2300A"/>
    <w:rsid w:val="00B269BC"/>
    <w:rsid w:val="00B27265"/>
    <w:rsid w:val="00B36268"/>
    <w:rsid w:val="00B37C4B"/>
    <w:rsid w:val="00B37CE0"/>
    <w:rsid w:val="00B4686D"/>
    <w:rsid w:val="00B550E0"/>
    <w:rsid w:val="00B640EB"/>
    <w:rsid w:val="00B76033"/>
    <w:rsid w:val="00B874E3"/>
    <w:rsid w:val="00BA27F3"/>
    <w:rsid w:val="00BD0DD2"/>
    <w:rsid w:val="00BD147E"/>
    <w:rsid w:val="00BD3E3C"/>
    <w:rsid w:val="00BD5093"/>
    <w:rsid w:val="00BE1483"/>
    <w:rsid w:val="00BE1486"/>
    <w:rsid w:val="00BE6AF3"/>
    <w:rsid w:val="00C11C8C"/>
    <w:rsid w:val="00C25007"/>
    <w:rsid w:val="00C30F6B"/>
    <w:rsid w:val="00C76274"/>
    <w:rsid w:val="00C95365"/>
    <w:rsid w:val="00CA051D"/>
    <w:rsid w:val="00CB4106"/>
    <w:rsid w:val="00CC12D5"/>
    <w:rsid w:val="00CC6DAE"/>
    <w:rsid w:val="00CC70EF"/>
    <w:rsid w:val="00CD299F"/>
    <w:rsid w:val="00CD5B9D"/>
    <w:rsid w:val="00CD76B9"/>
    <w:rsid w:val="00D17B65"/>
    <w:rsid w:val="00D3028A"/>
    <w:rsid w:val="00D3586B"/>
    <w:rsid w:val="00D47D93"/>
    <w:rsid w:val="00D64425"/>
    <w:rsid w:val="00D76A2F"/>
    <w:rsid w:val="00DA36C9"/>
    <w:rsid w:val="00DB78E1"/>
    <w:rsid w:val="00DD305F"/>
    <w:rsid w:val="00DE09FD"/>
    <w:rsid w:val="00DE3E97"/>
    <w:rsid w:val="00DF0DD2"/>
    <w:rsid w:val="00E009E9"/>
    <w:rsid w:val="00E1135A"/>
    <w:rsid w:val="00E11D7B"/>
    <w:rsid w:val="00E13587"/>
    <w:rsid w:val="00E24AAC"/>
    <w:rsid w:val="00E2567E"/>
    <w:rsid w:val="00E35E77"/>
    <w:rsid w:val="00E448CE"/>
    <w:rsid w:val="00E50328"/>
    <w:rsid w:val="00E54913"/>
    <w:rsid w:val="00E569A7"/>
    <w:rsid w:val="00E71AE0"/>
    <w:rsid w:val="00E869B3"/>
    <w:rsid w:val="00E9275D"/>
    <w:rsid w:val="00E92A14"/>
    <w:rsid w:val="00E945A5"/>
    <w:rsid w:val="00EB1C48"/>
    <w:rsid w:val="00EB22E7"/>
    <w:rsid w:val="00EB4F92"/>
    <w:rsid w:val="00EB79B6"/>
    <w:rsid w:val="00ED18EE"/>
    <w:rsid w:val="00ED5907"/>
    <w:rsid w:val="00EF7026"/>
    <w:rsid w:val="00F05406"/>
    <w:rsid w:val="00F213E1"/>
    <w:rsid w:val="00F368CA"/>
    <w:rsid w:val="00F52F94"/>
    <w:rsid w:val="00F67475"/>
    <w:rsid w:val="00F7214E"/>
    <w:rsid w:val="00F87B4F"/>
    <w:rsid w:val="00F91087"/>
    <w:rsid w:val="00FB017D"/>
    <w:rsid w:val="00FC3D75"/>
    <w:rsid w:val="00FE7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8D9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10B"/>
    <w:rPr>
      <w:rFonts w:ascii="Arial" w:hAnsi="Arial"/>
      <w:sz w:val="22"/>
      <w:szCs w:val="24"/>
    </w:rPr>
  </w:style>
  <w:style w:type="paragraph" w:styleId="Nagwek1">
    <w:name w:val="heading 1"/>
    <w:basedOn w:val="Normalny"/>
    <w:next w:val="Normalny"/>
    <w:link w:val="Nagwek1Znak"/>
    <w:qFormat/>
    <w:rsid w:val="00915300"/>
    <w:pPr>
      <w:keepNext/>
      <w:widowControl w:val="0"/>
      <w:tabs>
        <w:tab w:val="left" w:pos="1304"/>
      </w:tabs>
      <w:suppressAutoHyphens/>
      <w:autoSpaceDE w:val="0"/>
      <w:autoSpaceDN w:val="0"/>
      <w:adjustRightInd w:val="0"/>
      <w:spacing w:before="480" w:after="120" w:line="400" w:lineRule="atLeast"/>
      <w:ind w:left="1304" w:hanging="1304"/>
      <w:outlineLvl w:val="0"/>
    </w:pPr>
    <w:rPr>
      <w:rFonts w:eastAsia="Calibri"/>
      <w:b/>
      <w:bCs/>
      <w:sz w:val="32"/>
      <w:lang w:val="sv-SE" w:eastAsia="sv-SE"/>
    </w:rPr>
  </w:style>
  <w:style w:type="paragraph" w:styleId="Nagwek2">
    <w:name w:val="heading 2"/>
    <w:basedOn w:val="Normalny"/>
    <w:next w:val="Normalny"/>
    <w:link w:val="Nagwek2Znak"/>
    <w:qFormat/>
    <w:rsid w:val="00915300"/>
    <w:pPr>
      <w:keepNext/>
      <w:tabs>
        <w:tab w:val="left" w:pos="1304"/>
      </w:tabs>
      <w:spacing w:before="240" w:after="60" w:line="280" w:lineRule="atLeast"/>
      <w:ind w:left="1304" w:hanging="1304"/>
      <w:outlineLvl w:val="1"/>
    </w:pPr>
    <w:rPr>
      <w:rFonts w:eastAsia="Calibri" w:cs="Arial"/>
      <w:b/>
      <w:bCs/>
      <w:iCs/>
      <w:sz w:val="28"/>
      <w:szCs w:val="28"/>
      <w:lang w:val="sv-SE" w:eastAsia="sv-SE"/>
    </w:rPr>
  </w:style>
  <w:style w:type="paragraph" w:styleId="Nagwek3">
    <w:name w:val="heading 3"/>
    <w:basedOn w:val="Normalny"/>
    <w:next w:val="Normalny"/>
    <w:link w:val="Nagwek3Znak"/>
    <w:qFormat/>
    <w:rsid w:val="0024510B"/>
    <w:pPr>
      <w:keepNext/>
      <w:spacing w:before="240" w:after="60"/>
      <w:outlineLvl w:val="2"/>
    </w:pPr>
    <w:rPr>
      <w:rFonts w:cs="Arial"/>
      <w:b/>
      <w:bCs/>
      <w:sz w:val="26"/>
      <w:szCs w:val="26"/>
    </w:rPr>
  </w:style>
  <w:style w:type="paragraph" w:styleId="Nagwek4">
    <w:name w:val="heading 4"/>
    <w:basedOn w:val="Normalny"/>
    <w:next w:val="Normalny"/>
    <w:link w:val="Nagwek4Znak"/>
    <w:qFormat/>
    <w:rsid w:val="00915300"/>
    <w:pPr>
      <w:keepNext/>
      <w:tabs>
        <w:tab w:val="left" w:pos="1304"/>
      </w:tabs>
      <w:spacing w:before="240" w:after="60" w:line="240" w:lineRule="atLeast"/>
      <w:ind w:left="1304" w:hanging="1304"/>
      <w:outlineLvl w:val="3"/>
    </w:pPr>
    <w:rPr>
      <w:rFonts w:eastAsia="Calibri"/>
      <w:b/>
      <w:bCs/>
      <w:sz w:val="20"/>
      <w:szCs w:val="28"/>
      <w:lang w:val="sv-SE" w:eastAsia="sv-SE"/>
    </w:rPr>
  </w:style>
  <w:style w:type="paragraph" w:styleId="Nagwek5">
    <w:name w:val="heading 5"/>
    <w:basedOn w:val="Normalny"/>
    <w:next w:val="Normalny"/>
    <w:link w:val="Nagwek5Znak"/>
    <w:qFormat/>
    <w:rsid w:val="00915300"/>
    <w:pPr>
      <w:spacing w:before="240" w:after="60" w:line="240" w:lineRule="atLeast"/>
      <w:ind w:left="1304" w:hanging="1304"/>
      <w:outlineLvl w:val="4"/>
    </w:pPr>
    <w:rPr>
      <w:rFonts w:eastAsia="Calibri"/>
      <w:b/>
      <w:bCs/>
      <w:i/>
      <w:iCs/>
      <w:sz w:val="20"/>
      <w:szCs w:val="26"/>
      <w:lang w:val="sv-SE" w:eastAsia="sv-SE"/>
    </w:rPr>
  </w:style>
  <w:style w:type="paragraph" w:styleId="Nagwek6">
    <w:name w:val="heading 6"/>
    <w:basedOn w:val="Normalny"/>
    <w:next w:val="Tekstpodstawowy"/>
    <w:link w:val="Nagwek6Znak"/>
    <w:qFormat/>
    <w:rsid w:val="00915300"/>
    <w:pPr>
      <w:spacing w:before="240" w:after="60" w:line="260" w:lineRule="atLeast"/>
      <w:ind w:left="1304" w:hanging="1304"/>
      <w:outlineLvl w:val="5"/>
    </w:pPr>
    <w:rPr>
      <w:rFonts w:eastAsia="Calibri"/>
      <w:iCs/>
      <w:sz w:val="20"/>
      <w:szCs w:val="22"/>
      <w:lang w:val="fr-FR" w:eastAsia="sv-SE"/>
    </w:rPr>
  </w:style>
  <w:style w:type="paragraph" w:styleId="Nagwek7">
    <w:name w:val="heading 7"/>
    <w:basedOn w:val="Normalny"/>
    <w:next w:val="Tekstpodstawowy"/>
    <w:link w:val="Nagwek7Znak"/>
    <w:qFormat/>
    <w:rsid w:val="00915300"/>
    <w:pPr>
      <w:spacing w:before="240" w:after="60" w:line="260" w:lineRule="atLeast"/>
      <w:ind w:left="1304" w:hanging="1304"/>
      <w:outlineLvl w:val="6"/>
    </w:pPr>
    <w:rPr>
      <w:rFonts w:ascii="Times New Roman" w:eastAsia="Calibri" w:hAnsi="Times New Roman"/>
      <w:i/>
      <w:szCs w:val="20"/>
      <w:lang w:val="fr-FR" w:eastAsia="sv-SE"/>
    </w:rPr>
  </w:style>
  <w:style w:type="paragraph" w:styleId="Nagwek8">
    <w:name w:val="heading 8"/>
    <w:basedOn w:val="Normalny"/>
    <w:next w:val="Normalny"/>
    <w:link w:val="Nagwek8Znak"/>
    <w:qFormat/>
    <w:rsid w:val="00915300"/>
    <w:pPr>
      <w:spacing w:before="120" w:line="260" w:lineRule="atLeast"/>
      <w:ind w:left="1304" w:hanging="1304"/>
      <w:outlineLvl w:val="7"/>
    </w:pPr>
    <w:rPr>
      <w:rFonts w:ascii="Times New Roman" w:eastAsia="Calibri" w:hAnsi="Times New Roman"/>
      <w:iCs/>
      <w:szCs w:val="20"/>
      <w:u w:val="single"/>
      <w:lang w:val="fr-FR" w:eastAsia="sv-SE"/>
    </w:rPr>
  </w:style>
  <w:style w:type="paragraph" w:styleId="Nagwek9">
    <w:name w:val="heading 9"/>
    <w:basedOn w:val="Normalny"/>
    <w:next w:val="Normalny"/>
    <w:link w:val="Nagwek9Znak"/>
    <w:qFormat/>
    <w:rsid w:val="00915300"/>
    <w:pPr>
      <w:spacing w:before="360" w:after="240" w:line="260" w:lineRule="atLeast"/>
      <w:ind w:left="1304" w:hanging="1304"/>
      <w:outlineLvl w:val="8"/>
    </w:pPr>
    <w:rPr>
      <w:rFonts w:ascii="Times New Roman" w:eastAsia="Calibri" w:hAnsi="Times New Roman"/>
      <w:b/>
      <w:bCs/>
      <w:iCs/>
      <w:szCs w:val="18"/>
      <w:lang w:val="fr-FR"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15300"/>
    <w:rPr>
      <w:rFonts w:ascii="Arial" w:eastAsia="Calibri" w:hAnsi="Arial"/>
      <w:b/>
      <w:bCs/>
      <w:sz w:val="32"/>
      <w:szCs w:val="24"/>
      <w:lang w:val="sv-SE" w:eastAsia="sv-SE" w:bidi="ar-SA"/>
    </w:rPr>
  </w:style>
  <w:style w:type="character" w:customStyle="1" w:styleId="Nagwek2Znak">
    <w:name w:val="Nagłówek 2 Znak"/>
    <w:link w:val="Nagwek2"/>
    <w:locked/>
    <w:rsid w:val="00915300"/>
    <w:rPr>
      <w:rFonts w:ascii="Arial" w:eastAsia="Calibri" w:hAnsi="Arial" w:cs="Arial"/>
      <w:b/>
      <w:bCs/>
      <w:iCs/>
      <w:sz w:val="28"/>
      <w:szCs w:val="28"/>
      <w:lang w:val="sv-SE" w:eastAsia="sv-SE" w:bidi="ar-SA"/>
    </w:rPr>
  </w:style>
  <w:style w:type="character" w:customStyle="1" w:styleId="Nagwek3Znak">
    <w:name w:val="Nagłówek 3 Znak"/>
    <w:link w:val="Nagwek3"/>
    <w:locked/>
    <w:rsid w:val="00915300"/>
    <w:rPr>
      <w:rFonts w:ascii="Arial" w:hAnsi="Arial" w:cs="Arial"/>
      <w:b/>
      <w:bCs/>
      <w:sz w:val="26"/>
      <w:szCs w:val="26"/>
      <w:lang w:val="nl-NL" w:eastAsia="nl-NL" w:bidi="ar-SA"/>
    </w:rPr>
  </w:style>
  <w:style w:type="character" w:customStyle="1" w:styleId="Nagwek4Znak">
    <w:name w:val="Nagłówek 4 Znak"/>
    <w:link w:val="Nagwek4"/>
    <w:locked/>
    <w:rsid w:val="00915300"/>
    <w:rPr>
      <w:rFonts w:ascii="Arial" w:eastAsia="Calibri" w:hAnsi="Arial"/>
      <w:b/>
      <w:bCs/>
      <w:szCs w:val="28"/>
      <w:lang w:val="sv-SE" w:eastAsia="sv-SE" w:bidi="ar-SA"/>
    </w:rPr>
  </w:style>
  <w:style w:type="character" w:customStyle="1" w:styleId="Nagwek5Znak">
    <w:name w:val="Nagłówek 5 Znak"/>
    <w:link w:val="Nagwek5"/>
    <w:locked/>
    <w:rsid w:val="00915300"/>
    <w:rPr>
      <w:rFonts w:ascii="Arial" w:eastAsia="Calibri" w:hAnsi="Arial"/>
      <w:b/>
      <w:bCs/>
      <w:i/>
      <w:iCs/>
      <w:szCs w:val="26"/>
      <w:lang w:val="sv-SE" w:eastAsia="sv-SE" w:bidi="ar-SA"/>
    </w:rPr>
  </w:style>
  <w:style w:type="paragraph" w:styleId="Tekstpodstawowy">
    <w:name w:val="Body Text"/>
    <w:basedOn w:val="Normalny"/>
    <w:link w:val="TekstpodstawowyZnak"/>
    <w:rsid w:val="00915300"/>
    <w:pPr>
      <w:spacing w:line="360" w:lineRule="auto"/>
    </w:pPr>
    <w:rPr>
      <w:rFonts w:ascii="Times New Roman" w:eastAsia="Calibri" w:hAnsi="Times New Roman"/>
      <w:bCs/>
      <w:szCs w:val="48"/>
      <w:lang w:val="sv-SE" w:eastAsia="sv-SE"/>
    </w:rPr>
  </w:style>
  <w:style w:type="character" w:customStyle="1" w:styleId="TekstpodstawowyZnak">
    <w:name w:val="Tekst podstawowy Znak"/>
    <w:link w:val="Tekstpodstawowy"/>
    <w:locked/>
    <w:rsid w:val="00915300"/>
    <w:rPr>
      <w:rFonts w:eastAsia="Calibri"/>
      <w:bCs/>
      <w:sz w:val="22"/>
      <w:szCs w:val="48"/>
      <w:lang w:val="sv-SE" w:eastAsia="sv-SE" w:bidi="ar-SA"/>
    </w:rPr>
  </w:style>
  <w:style w:type="character" w:customStyle="1" w:styleId="Nagwek6Znak">
    <w:name w:val="Nagłówek 6 Znak"/>
    <w:link w:val="Nagwek6"/>
    <w:locked/>
    <w:rsid w:val="00915300"/>
    <w:rPr>
      <w:rFonts w:ascii="Arial" w:eastAsia="Calibri" w:hAnsi="Arial"/>
      <w:iCs/>
      <w:szCs w:val="22"/>
      <w:lang w:val="fr-FR" w:eastAsia="sv-SE" w:bidi="ar-SA"/>
    </w:rPr>
  </w:style>
  <w:style w:type="character" w:customStyle="1" w:styleId="Nagwek7Znak">
    <w:name w:val="Nagłówek 7 Znak"/>
    <w:link w:val="Nagwek7"/>
    <w:locked/>
    <w:rsid w:val="00915300"/>
    <w:rPr>
      <w:rFonts w:eastAsia="Calibri"/>
      <w:i/>
      <w:sz w:val="22"/>
      <w:lang w:val="fr-FR" w:eastAsia="sv-SE" w:bidi="ar-SA"/>
    </w:rPr>
  </w:style>
  <w:style w:type="character" w:customStyle="1" w:styleId="Nagwek8Znak">
    <w:name w:val="Nagłówek 8 Znak"/>
    <w:link w:val="Nagwek8"/>
    <w:locked/>
    <w:rsid w:val="00915300"/>
    <w:rPr>
      <w:rFonts w:eastAsia="Calibri"/>
      <w:iCs/>
      <w:sz w:val="22"/>
      <w:u w:val="single"/>
      <w:lang w:val="fr-FR" w:eastAsia="sv-SE" w:bidi="ar-SA"/>
    </w:rPr>
  </w:style>
  <w:style w:type="character" w:customStyle="1" w:styleId="Nagwek9Znak">
    <w:name w:val="Nagłówek 9 Znak"/>
    <w:link w:val="Nagwek9"/>
    <w:locked/>
    <w:rsid w:val="00915300"/>
    <w:rPr>
      <w:rFonts w:eastAsia="Calibri"/>
      <w:b/>
      <w:bCs/>
      <w:iCs/>
      <w:sz w:val="22"/>
      <w:szCs w:val="18"/>
      <w:lang w:val="fr-FR" w:eastAsia="sv-SE" w:bidi="ar-SA"/>
    </w:rPr>
  </w:style>
  <w:style w:type="paragraph" w:styleId="Spistreci2">
    <w:name w:val="toc 2"/>
    <w:basedOn w:val="Normalny"/>
    <w:next w:val="Normalny"/>
    <w:autoRedefine/>
    <w:uiPriority w:val="39"/>
    <w:rsid w:val="00915300"/>
    <w:pPr>
      <w:tabs>
        <w:tab w:val="left" w:pos="567"/>
        <w:tab w:val="right" w:leader="dot" w:pos="8364"/>
      </w:tabs>
      <w:spacing w:before="40" w:line="260" w:lineRule="atLeast"/>
      <w:ind w:left="567" w:right="567" w:hanging="567"/>
    </w:pPr>
    <w:rPr>
      <w:rFonts w:eastAsia="Calibri"/>
      <w:noProof/>
      <w:sz w:val="20"/>
      <w:lang w:val="sv-SE" w:eastAsia="sv-SE"/>
    </w:rPr>
  </w:style>
  <w:style w:type="paragraph" w:styleId="Spistreci1">
    <w:name w:val="toc 1"/>
    <w:basedOn w:val="Normalny"/>
    <w:next w:val="Normalny"/>
    <w:autoRedefine/>
    <w:uiPriority w:val="39"/>
    <w:rsid w:val="00915300"/>
    <w:pPr>
      <w:tabs>
        <w:tab w:val="left" w:pos="567"/>
        <w:tab w:val="right" w:leader="dot" w:pos="8364"/>
      </w:tabs>
      <w:spacing w:before="240" w:line="260" w:lineRule="atLeast"/>
      <w:ind w:left="567" w:right="567" w:hanging="567"/>
    </w:pPr>
    <w:rPr>
      <w:rFonts w:eastAsia="Calibri"/>
      <w:b/>
      <w:noProof/>
      <w:sz w:val="26"/>
      <w:lang w:val="sv-SE" w:eastAsia="sv-SE"/>
    </w:rPr>
  </w:style>
  <w:style w:type="paragraph" w:styleId="Spistreci3">
    <w:name w:val="toc 3"/>
    <w:basedOn w:val="Normalny"/>
    <w:next w:val="Normalny"/>
    <w:autoRedefine/>
    <w:rsid w:val="00915300"/>
    <w:pPr>
      <w:tabs>
        <w:tab w:val="left" w:pos="1276"/>
        <w:tab w:val="right" w:leader="dot" w:pos="8364"/>
      </w:tabs>
      <w:spacing w:line="260" w:lineRule="atLeast"/>
      <w:ind w:left="1276" w:right="567" w:hanging="709"/>
    </w:pPr>
    <w:rPr>
      <w:rFonts w:eastAsia="Calibri"/>
      <w:noProof/>
      <w:sz w:val="20"/>
      <w:lang w:val="sv-SE" w:eastAsia="sv-SE"/>
    </w:rPr>
  </w:style>
  <w:style w:type="character" w:styleId="Hipercze">
    <w:name w:val="Hyperlink"/>
    <w:uiPriority w:val="99"/>
    <w:rsid w:val="00915300"/>
    <w:rPr>
      <w:rFonts w:ascii="Arial" w:hAnsi="Arial" w:cs="Times New Roman"/>
      <w:color w:val="0000FF"/>
      <w:u w:val="single"/>
    </w:rPr>
  </w:style>
  <w:style w:type="paragraph" w:customStyle="1" w:styleId="Titel1">
    <w:name w:val="Titel 1"/>
    <w:basedOn w:val="Nagwek1"/>
    <w:next w:val="Normalny"/>
    <w:rsid w:val="00915300"/>
    <w:pPr>
      <w:ind w:left="0" w:firstLine="0"/>
      <w:outlineLvl w:val="9"/>
    </w:pPr>
  </w:style>
  <w:style w:type="paragraph" w:styleId="Tekstdymka">
    <w:name w:val="Balloon Text"/>
    <w:basedOn w:val="Normalny"/>
    <w:link w:val="TekstdymkaZnak"/>
    <w:semiHidden/>
    <w:rsid w:val="00915300"/>
    <w:rPr>
      <w:rFonts w:ascii="Tahoma" w:eastAsia="Calibri" w:hAnsi="Tahoma" w:cs="Tahoma"/>
      <w:sz w:val="16"/>
      <w:szCs w:val="16"/>
      <w:lang w:val="sv-SE" w:eastAsia="sv-SE"/>
    </w:rPr>
  </w:style>
  <w:style w:type="character" w:customStyle="1" w:styleId="TekstdymkaZnak">
    <w:name w:val="Tekst dymka Znak"/>
    <w:link w:val="Tekstdymka"/>
    <w:semiHidden/>
    <w:locked/>
    <w:rsid w:val="00915300"/>
    <w:rPr>
      <w:rFonts w:ascii="Tahoma" w:eastAsia="Calibri" w:hAnsi="Tahoma" w:cs="Tahoma"/>
      <w:sz w:val="16"/>
      <w:szCs w:val="16"/>
      <w:lang w:val="sv-SE" w:eastAsia="sv-SE" w:bidi="ar-SA"/>
    </w:rPr>
  </w:style>
  <w:style w:type="paragraph" w:styleId="Tekstprzypisudolnego">
    <w:name w:val="footnote text"/>
    <w:basedOn w:val="Normalny"/>
    <w:link w:val="TekstprzypisudolnegoZnak"/>
    <w:semiHidden/>
    <w:rsid w:val="00915300"/>
    <w:rPr>
      <w:rFonts w:ascii="Times New Roman" w:eastAsia="Calibri" w:hAnsi="Times New Roman"/>
      <w:sz w:val="20"/>
      <w:szCs w:val="20"/>
      <w:lang w:val="sv-SE" w:eastAsia="sv-SE"/>
    </w:rPr>
  </w:style>
  <w:style w:type="character" w:customStyle="1" w:styleId="TekstprzypisudolnegoZnak">
    <w:name w:val="Tekst przypisu dolnego Znak"/>
    <w:link w:val="Tekstprzypisudolnego"/>
    <w:semiHidden/>
    <w:locked/>
    <w:rsid w:val="00915300"/>
    <w:rPr>
      <w:rFonts w:eastAsia="Calibri"/>
      <w:lang w:val="sv-SE" w:eastAsia="sv-SE" w:bidi="ar-SA"/>
    </w:rPr>
  </w:style>
  <w:style w:type="character" w:styleId="Odwoanieprzypisudolnego">
    <w:name w:val="footnote reference"/>
    <w:semiHidden/>
    <w:rsid w:val="00915300"/>
    <w:rPr>
      <w:rFonts w:cs="Times New Roman"/>
      <w:vertAlign w:val="superscript"/>
    </w:rPr>
  </w:style>
  <w:style w:type="paragraph" w:styleId="Nagwek">
    <w:name w:val="header"/>
    <w:basedOn w:val="Normalny"/>
    <w:link w:val="NagwekZnak"/>
    <w:semiHidden/>
    <w:rsid w:val="00915300"/>
    <w:pPr>
      <w:tabs>
        <w:tab w:val="center" w:pos="4536"/>
        <w:tab w:val="right" w:pos="9072"/>
      </w:tabs>
    </w:pPr>
    <w:rPr>
      <w:rFonts w:ascii="Times New Roman" w:eastAsia="Calibri" w:hAnsi="Times New Roman"/>
      <w:lang w:val="sv-SE" w:eastAsia="sv-SE"/>
    </w:rPr>
  </w:style>
  <w:style w:type="character" w:customStyle="1" w:styleId="NagwekZnak">
    <w:name w:val="Nagłówek Znak"/>
    <w:link w:val="Nagwek"/>
    <w:semiHidden/>
    <w:locked/>
    <w:rsid w:val="00915300"/>
    <w:rPr>
      <w:rFonts w:eastAsia="Calibri"/>
      <w:sz w:val="22"/>
      <w:szCs w:val="24"/>
      <w:lang w:val="sv-SE" w:eastAsia="sv-SE" w:bidi="ar-SA"/>
    </w:rPr>
  </w:style>
  <w:style w:type="paragraph" w:styleId="Stopka">
    <w:name w:val="footer"/>
    <w:basedOn w:val="Normalny"/>
    <w:link w:val="StopkaZnak"/>
    <w:rsid w:val="00915300"/>
    <w:pPr>
      <w:tabs>
        <w:tab w:val="center" w:pos="4536"/>
        <w:tab w:val="right" w:pos="9072"/>
      </w:tabs>
    </w:pPr>
    <w:rPr>
      <w:rFonts w:ascii="Times New Roman" w:eastAsia="Calibri" w:hAnsi="Times New Roman"/>
      <w:lang w:val="sv-SE" w:eastAsia="sv-SE"/>
    </w:rPr>
  </w:style>
  <w:style w:type="character" w:customStyle="1" w:styleId="StopkaZnak">
    <w:name w:val="Stopka Znak"/>
    <w:link w:val="Stopka"/>
    <w:locked/>
    <w:rsid w:val="00915300"/>
    <w:rPr>
      <w:rFonts w:eastAsia="Calibri"/>
      <w:sz w:val="22"/>
      <w:szCs w:val="24"/>
      <w:lang w:val="sv-SE" w:eastAsia="sv-SE" w:bidi="ar-SA"/>
    </w:rPr>
  </w:style>
  <w:style w:type="paragraph" w:styleId="Tekstkomentarza">
    <w:name w:val="annotation text"/>
    <w:basedOn w:val="Normalny"/>
    <w:link w:val="TekstkomentarzaZnak"/>
    <w:uiPriority w:val="99"/>
    <w:rsid w:val="00915300"/>
    <w:rPr>
      <w:rFonts w:ascii="Times New Roman" w:eastAsia="Calibri" w:hAnsi="Times New Roman"/>
      <w:sz w:val="20"/>
      <w:szCs w:val="20"/>
      <w:lang w:val="sv-SE" w:eastAsia="sv-SE"/>
    </w:rPr>
  </w:style>
  <w:style w:type="character" w:customStyle="1" w:styleId="TekstkomentarzaZnak">
    <w:name w:val="Tekst komentarza Znak"/>
    <w:link w:val="Tekstkomentarza"/>
    <w:uiPriority w:val="99"/>
    <w:locked/>
    <w:rsid w:val="00915300"/>
    <w:rPr>
      <w:rFonts w:eastAsia="Calibri"/>
      <w:lang w:val="sv-SE" w:eastAsia="sv-SE" w:bidi="ar-SA"/>
    </w:rPr>
  </w:style>
  <w:style w:type="paragraph" w:styleId="Tematkomentarza">
    <w:name w:val="annotation subject"/>
    <w:basedOn w:val="Tekstkomentarza"/>
    <w:next w:val="Tekstkomentarza"/>
    <w:link w:val="TematkomentarzaZnak"/>
    <w:semiHidden/>
    <w:rsid w:val="00915300"/>
    <w:rPr>
      <w:b/>
      <w:bCs/>
    </w:rPr>
  </w:style>
  <w:style w:type="character" w:customStyle="1" w:styleId="TematkomentarzaZnak">
    <w:name w:val="Temat komentarza Znak"/>
    <w:link w:val="Tematkomentarza"/>
    <w:semiHidden/>
    <w:locked/>
    <w:rsid w:val="00915300"/>
    <w:rPr>
      <w:rFonts w:eastAsia="Calibri"/>
      <w:b/>
      <w:bCs/>
      <w:lang w:val="sv-SE" w:eastAsia="sv-SE" w:bidi="ar-SA"/>
    </w:rPr>
  </w:style>
  <w:style w:type="paragraph" w:customStyle="1" w:styleId="Punkt-Liste">
    <w:name w:val="Punkt-Liste"/>
    <w:basedOn w:val="Normalny"/>
    <w:rsid w:val="00915300"/>
    <w:pPr>
      <w:numPr>
        <w:numId w:val="2"/>
      </w:numPr>
      <w:spacing w:before="60" w:after="60" w:line="360" w:lineRule="auto"/>
      <w:ind w:left="2013" w:hanging="284"/>
    </w:pPr>
    <w:rPr>
      <w:rFonts w:ascii="Times New Roman" w:eastAsia="Calibri" w:hAnsi="Times New Roman"/>
      <w:szCs w:val="20"/>
      <w:lang w:val="de-DE" w:eastAsia="en-US"/>
    </w:rPr>
  </w:style>
  <w:style w:type="paragraph" w:customStyle="1" w:styleId="Tablehead">
    <w:name w:val="Tablehead"/>
    <w:basedOn w:val="Normalny"/>
    <w:link w:val="TableheadZchn"/>
    <w:rsid w:val="00915300"/>
    <w:rPr>
      <w:rFonts w:ascii="Times New Roman" w:eastAsia="Calibri" w:hAnsi="Times New Roman"/>
      <w:b/>
      <w:sz w:val="20"/>
      <w:lang w:val="en-US" w:eastAsia="de-DE"/>
    </w:rPr>
  </w:style>
  <w:style w:type="character" w:customStyle="1" w:styleId="TableheadZchn">
    <w:name w:val="Tablehead Zchn"/>
    <w:link w:val="Tablehead"/>
    <w:locked/>
    <w:rsid w:val="00915300"/>
    <w:rPr>
      <w:rFonts w:eastAsia="Calibri"/>
      <w:b/>
      <w:szCs w:val="24"/>
      <w:lang w:val="en-US" w:eastAsia="de-DE" w:bidi="ar-SA"/>
    </w:rPr>
  </w:style>
  <w:style w:type="paragraph" w:customStyle="1" w:styleId="Tablebody">
    <w:name w:val="Tablebody"/>
    <w:basedOn w:val="Normalny"/>
    <w:rsid w:val="00915300"/>
    <w:rPr>
      <w:rFonts w:ascii="Times New Roman" w:eastAsia="Calibri" w:hAnsi="Times New Roman"/>
      <w:sz w:val="20"/>
      <w:lang w:val="en-US" w:eastAsia="de-DE"/>
    </w:rPr>
  </w:style>
  <w:style w:type="paragraph" w:customStyle="1" w:styleId="Tabpclist">
    <w:name w:val="Tab_pc_list"/>
    <w:basedOn w:val="Tablehead"/>
    <w:rsid w:val="00915300"/>
  </w:style>
  <w:style w:type="paragraph" w:customStyle="1" w:styleId="BfRBBStandard">
    <w:name w:val="BfR BB Standard"/>
    <w:link w:val="BfRBBStandardZchn"/>
    <w:rsid w:val="00915300"/>
    <w:pPr>
      <w:autoSpaceDE w:val="0"/>
      <w:autoSpaceDN w:val="0"/>
      <w:jc w:val="both"/>
    </w:pPr>
    <w:rPr>
      <w:rFonts w:ascii="Arial" w:eastAsia="Calibri" w:hAnsi="Arial" w:cs="Arial"/>
      <w:noProof/>
      <w:sz w:val="22"/>
      <w:szCs w:val="22"/>
      <w:lang w:val="en-US" w:eastAsia="de-DE"/>
    </w:rPr>
  </w:style>
  <w:style w:type="character" w:customStyle="1" w:styleId="BfRBBStandardZchn">
    <w:name w:val="BfR BB Standard Zchn"/>
    <w:link w:val="BfRBBStandard"/>
    <w:locked/>
    <w:rsid w:val="00915300"/>
    <w:rPr>
      <w:rFonts w:ascii="Arial" w:eastAsia="Calibri" w:hAnsi="Arial" w:cs="Arial"/>
      <w:noProof/>
      <w:sz w:val="22"/>
      <w:szCs w:val="22"/>
      <w:lang w:val="en-US" w:eastAsia="de-DE" w:bidi="ar-SA"/>
    </w:rPr>
  </w:style>
  <w:style w:type="paragraph" w:customStyle="1" w:styleId="BfRBBberschrift2">
    <w:name w:val="BfR BB Überschrift 2"/>
    <w:next w:val="BfRBBStandard"/>
    <w:rsid w:val="0091530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paragraph" w:customStyle="1" w:styleId="BfRBBberschrift3">
    <w:name w:val="BfR BB Überschrift 3"/>
    <w:basedOn w:val="Normalny"/>
    <w:next w:val="BfRBBStandard"/>
    <w:rsid w:val="00915300"/>
    <w:pPr>
      <w:tabs>
        <w:tab w:val="num" w:pos="643"/>
        <w:tab w:val="num" w:pos="720"/>
      </w:tabs>
      <w:autoSpaceDE w:val="0"/>
      <w:autoSpaceDN w:val="0"/>
      <w:ind w:left="720" w:hanging="720"/>
      <w:jc w:val="both"/>
      <w:outlineLvl w:val="2"/>
    </w:pPr>
    <w:rPr>
      <w:rFonts w:eastAsia="Calibri" w:cs="Arial"/>
      <w:i/>
      <w:iCs/>
      <w:szCs w:val="22"/>
      <w:lang w:val="de-DE" w:eastAsia="de-DE"/>
    </w:rPr>
  </w:style>
  <w:style w:type="paragraph" w:customStyle="1" w:styleId="ListParagraph1">
    <w:name w:val="List Paragraph1"/>
    <w:basedOn w:val="Normalny"/>
    <w:rsid w:val="00915300"/>
    <w:pPr>
      <w:spacing w:line="260" w:lineRule="atLeast"/>
      <w:ind w:left="720"/>
      <w:contextualSpacing/>
    </w:pPr>
    <w:rPr>
      <w:rFonts w:ascii="Times New Roman" w:eastAsia="Calibri" w:hAnsi="Times New Roman"/>
      <w:lang w:val="sv-SE" w:eastAsia="sv-SE"/>
    </w:rPr>
  </w:style>
  <w:style w:type="paragraph" w:customStyle="1" w:styleId="Revision1">
    <w:name w:val="Revision1"/>
    <w:hidden/>
    <w:semiHidden/>
    <w:rsid w:val="00915300"/>
    <w:rPr>
      <w:rFonts w:eastAsia="Calibri"/>
      <w:sz w:val="22"/>
      <w:szCs w:val="24"/>
      <w:lang w:val="sv-SE" w:eastAsia="sv-SE"/>
    </w:rPr>
  </w:style>
  <w:style w:type="paragraph" w:customStyle="1" w:styleId="BfRBBTabelle">
    <w:name w:val="BfR BB Tabelle"/>
    <w:rsid w:val="00915300"/>
    <w:pPr>
      <w:autoSpaceDE w:val="0"/>
      <w:autoSpaceDN w:val="0"/>
      <w:spacing w:before="60" w:after="60"/>
      <w:ind w:left="57" w:right="57"/>
    </w:pPr>
    <w:rPr>
      <w:rFonts w:ascii="Arial" w:eastAsia="Calibri" w:hAnsi="Arial" w:cs="Arial"/>
      <w:noProof/>
      <w:lang w:val="en-US" w:eastAsia="de-DE"/>
    </w:rPr>
  </w:style>
  <w:style w:type="paragraph" w:customStyle="1" w:styleId="BfRBBTitel">
    <w:name w:val="BfR BB Titel"/>
    <w:rsid w:val="0091530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91530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LoEheadingboldChar">
    <w:name w:val="_LoE_heading_bold Char"/>
    <w:rsid w:val="00915300"/>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customStyle="1" w:styleId="LoEtextChar">
    <w:name w:val="_LoE_text Char"/>
    <w:rsid w:val="00915300"/>
    <w:pPr>
      <w:numPr>
        <w:ilvl w:val="12"/>
      </w:numPr>
      <w:autoSpaceDE w:val="0"/>
      <w:autoSpaceDN w:val="0"/>
      <w:spacing w:line="240" w:lineRule="atLeast"/>
    </w:pPr>
    <w:rPr>
      <w:rFonts w:ascii="Arial" w:eastAsia="Calibri" w:hAnsi="Arial" w:cs="Arial"/>
      <w:lang w:val="en-GB" w:eastAsia="de-DE"/>
    </w:rPr>
  </w:style>
  <w:style w:type="paragraph" w:customStyle="1" w:styleId="BfRBBberschrift1">
    <w:name w:val="BfR BB Überschrift 1"/>
    <w:next w:val="BfRBBStandard"/>
    <w:rsid w:val="0091530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915300"/>
    <w:pPr>
      <w:autoSpaceDE w:val="0"/>
      <w:autoSpaceDN w:val="0"/>
      <w:jc w:val="both"/>
    </w:pPr>
    <w:rPr>
      <w:rFonts w:ascii="Arial" w:eastAsia="Calibri" w:hAnsi="Arial" w:cs="Arial"/>
      <w:b/>
      <w:bCs/>
      <w:noProof/>
      <w:lang w:val="en-US" w:eastAsia="de-DE"/>
    </w:rPr>
  </w:style>
  <w:style w:type="paragraph" w:styleId="Spistreci4">
    <w:name w:val="toc 4"/>
    <w:basedOn w:val="Normalny"/>
    <w:next w:val="Normalny"/>
    <w:autoRedefine/>
    <w:rsid w:val="00915300"/>
    <w:pPr>
      <w:spacing w:after="100" w:line="276" w:lineRule="auto"/>
      <w:ind w:left="660"/>
    </w:pPr>
    <w:rPr>
      <w:rFonts w:ascii="Calibri" w:eastAsia="Calibri" w:hAnsi="Calibri"/>
      <w:szCs w:val="22"/>
      <w:lang w:val="sv-SE" w:eastAsia="sv-SE"/>
    </w:rPr>
  </w:style>
  <w:style w:type="paragraph" w:styleId="Spistreci5">
    <w:name w:val="toc 5"/>
    <w:basedOn w:val="Normalny"/>
    <w:next w:val="Normalny"/>
    <w:autoRedefine/>
    <w:rsid w:val="00915300"/>
    <w:pPr>
      <w:spacing w:after="100" w:line="276" w:lineRule="auto"/>
      <w:ind w:left="880"/>
    </w:pPr>
    <w:rPr>
      <w:rFonts w:ascii="Calibri" w:eastAsia="Calibri" w:hAnsi="Calibri"/>
      <w:szCs w:val="22"/>
      <w:lang w:val="sv-SE" w:eastAsia="sv-SE"/>
    </w:rPr>
  </w:style>
  <w:style w:type="paragraph" w:styleId="Spistreci6">
    <w:name w:val="toc 6"/>
    <w:basedOn w:val="Normalny"/>
    <w:next w:val="Normalny"/>
    <w:autoRedefine/>
    <w:rsid w:val="00915300"/>
    <w:pPr>
      <w:spacing w:after="100" w:line="276" w:lineRule="auto"/>
      <w:ind w:left="1100"/>
    </w:pPr>
    <w:rPr>
      <w:rFonts w:ascii="Calibri" w:eastAsia="Calibri" w:hAnsi="Calibri"/>
      <w:szCs w:val="22"/>
      <w:lang w:val="sv-SE" w:eastAsia="sv-SE"/>
    </w:rPr>
  </w:style>
  <w:style w:type="paragraph" w:styleId="Spistreci7">
    <w:name w:val="toc 7"/>
    <w:basedOn w:val="Normalny"/>
    <w:next w:val="Normalny"/>
    <w:autoRedefine/>
    <w:rsid w:val="00915300"/>
    <w:pPr>
      <w:spacing w:after="100" w:line="276" w:lineRule="auto"/>
      <w:ind w:left="1320"/>
    </w:pPr>
    <w:rPr>
      <w:rFonts w:ascii="Calibri" w:eastAsia="Calibri" w:hAnsi="Calibri"/>
      <w:szCs w:val="22"/>
      <w:lang w:val="sv-SE" w:eastAsia="sv-SE"/>
    </w:rPr>
  </w:style>
  <w:style w:type="paragraph" w:styleId="Spistreci8">
    <w:name w:val="toc 8"/>
    <w:basedOn w:val="Normalny"/>
    <w:next w:val="Normalny"/>
    <w:autoRedefine/>
    <w:rsid w:val="00915300"/>
    <w:pPr>
      <w:spacing w:after="100" w:line="276" w:lineRule="auto"/>
      <w:ind w:left="1540"/>
    </w:pPr>
    <w:rPr>
      <w:rFonts w:ascii="Calibri" w:eastAsia="Calibri" w:hAnsi="Calibri"/>
      <w:szCs w:val="22"/>
      <w:lang w:val="sv-SE" w:eastAsia="sv-SE"/>
    </w:rPr>
  </w:style>
  <w:style w:type="paragraph" w:styleId="Spistreci9">
    <w:name w:val="toc 9"/>
    <w:basedOn w:val="Normalny"/>
    <w:next w:val="Normalny"/>
    <w:autoRedefine/>
    <w:rsid w:val="00915300"/>
    <w:pPr>
      <w:spacing w:after="100" w:line="276" w:lineRule="auto"/>
      <w:ind w:left="1760"/>
    </w:pPr>
    <w:rPr>
      <w:rFonts w:ascii="Calibri" w:eastAsia="Calibri" w:hAnsi="Calibri"/>
      <w:szCs w:val="22"/>
      <w:lang w:val="sv-SE" w:eastAsia="sv-SE"/>
    </w:rPr>
  </w:style>
  <w:style w:type="paragraph" w:customStyle="1" w:styleId="Point1">
    <w:name w:val="Point 1"/>
    <w:basedOn w:val="Normalny"/>
    <w:rsid w:val="00915300"/>
    <w:pPr>
      <w:spacing w:before="120" w:after="120"/>
      <w:ind w:left="1417" w:hanging="567"/>
      <w:jc w:val="both"/>
    </w:pPr>
    <w:rPr>
      <w:rFonts w:ascii="Times New Roman" w:hAnsi="Times New Roman"/>
      <w:sz w:val="24"/>
      <w:lang w:val="en-GB" w:eastAsia="de-DE"/>
    </w:rPr>
  </w:style>
  <w:style w:type="paragraph" w:styleId="Tekstpodstawowywcity2">
    <w:name w:val="Body Text Indent 2"/>
    <w:basedOn w:val="Normalny"/>
    <w:rsid w:val="00915300"/>
    <w:pPr>
      <w:spacing w:after="120" w:line="480" w:lineRule="auto"/>
      <w:ind w:left="283"/>
      <w:jc w:val="both"/>
    </w:pPr>
    <w:rPr>
      <w:rFonts w:ascii="Times New Roman" w:hAnsi="Times New Roman"/>
      <w:sz w:val="24"/>
      <w:szCs w:val="20"/>
      <w:lang w:val="en-GB" w:eastAsia="en-US"/>
    </w:rPr>
  </w:style>
  <w:style w:type="paragraph" w:styleId="NormalnyWeb">
    <w:name w:val="Normal (Web)"/>
    <w:basedOn w:val="Normalny"/>
    <w:rsid w:val="00915300"/>
    <w:pPr>
      <w:spacing w:before="100" w:beforeAutospacing="1" w:after="119"/>
    </w:pPr>
    <w:rPr>
      <w:rFonts w:ascii="Arial Unicode MS" w:eastAsia="Arial Unicode MS" w:hAnsi="Arial Unicode MS" w:cs="Arial Unicode MS"/>
      <w:sz w:val="24"/>
      <w:lang w:val="en-GB" w:eastAsia="en-US"/>
    </w:rPr>
  </w:style>
  <w:style w:type="paragraph" w:customStyle="1" w:styleId="CharChar2">
    <w:name w:val="Char Char2"/>
    <w:basedOn w:val="Normalny"/>
    <w:rsid w:val="004316A2"/>
    <w:rPr>
      <w:rFonts w:ascii="Times New Roman" w:hAnsi="Times New Roman"/>
      <w:sz w:val="24"/>
      <w:lang w:val="pl-PL" w:eastAsia="pl-PL"/>
    </w:rPr>
  </w:style>
  <w:style w:type="character" w:customStyle="1" w:styleId="center">
    <w:name w:val="center"/>
    <w:basedOn w:val="Domylnaczcionkaakapitu"/>
    <w:rsid w:val="004316A2"/>
  </w:style>
  <w:style w:type="character" w:styleId="Odwoaniedokomentarza">
    <w:name w:val="annotation reference"/>
    <w:uiPriority w:val="99"/>
    <w:semiHidden/>
    <w:rsid w:val="00805E38"/>
    <w:rPr>
      <w:sz w:val="16"/>
      <w:szCs w:val="16"/>
    </w:rPr>
  </w:style>
  <w:style w:type="paragraph" w:customStyle="1" w:styleId="Default">
    <w:name w:val="Default"/>
    <w:rsid w:val="00894BC0"/>
    <w:pPr>
      <w:autoSpaceDE w:val="0"/>
      <w:autoSpaceDN w:val="0"/>
      <w:adjustRightInd w:val="0"/>
    </w:pPr>
    <w:rPr>
      <w:rFonts w:ascii="Arial" w:hAnsi="Arial" w:cs="Arial"/>
      <w:color w:val="000000"/>
      <w:sz w:val="24"/>
      <w:szCs w:val="24"/>
    </w:rPr>
  </w:style>
  <w:style w:type="paragraph" w:styleId="Akapitzlist">
    <w:name w:val="List Paragraph"/>
    <w:aliases w:val="Akapit z listą SPC meta SPC"/>
    <w:basedOn w:val="Normalny"/>
    <w:link w:val="AkapitzlistZnak"/>
    <w:uiPriority w:val="34"/>
    <w:qFormat/>
    <w:rsid w:val="00E24AAC"/>
    <w:pPr>
      <w:ind w:left="720"/>
      <w:contextualSpacing/>
    </w:pPr>
  </w:style>
  <w:style w:type="table" w:styleId="Tabela-Siatka">
    <w:name w:val="Table Grid"/>
    <w:basedOn w:val="Standardowy"/>
    <w:rsid w:val="00AF3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SPC meta SPC Znak"/>
    <w:link w:val="Akapitzlist"/>
    <w:uiPriority w:val="34"/>
    <w:locked/>
    <w:rsid w:val="00AF3D0C"/>
    <w:rPr>
      <w:rFonts w:ascii="Arial" w:hAnsi="Arial"/>
      <w:sz w:val="22"/>
      <w:szCs w:val="24"/>
    </w:rPr>
  </w:style>
  <w:style w:type="paragraph" w:customStyle="1" w:styleId="punktorwtabeliSPCmetaSPC">
    <w:name w:val="punktor w tabeli SPC meta SPC"/>
    <w:basedOn w:val="Akapitzlist"/>
    <w:link w:val="punktorwtabeliSPCmetaSPCZnak"/>
    <w:qFormat/>
    <w:rsid w:val="00052E08"/>
    <w:pPr>
      <w:numPr>
        <w:numId w:val="30"/>
      </w:numPr>
      <w:spacing w:before="60" w:after="60"/>
      <w:ind w:left="284" w:hanging="284"/>
      <w:contextualSpacing w:val="0"/>
      <w:outlineLvl w:val="1"/>
    </w:pPr>
    <w:rPr>
      <w:rFonts w:ascii="Times New Roman" w:hAnsi="Times New Roman"/>
      <w:sz w:val="24"/>
      <w:lang w:val="pl-PL" w:eastAsia="fi-FI"/>
    </w:rPr>
  </w:style>
  <w:style w:type="character" w:customStyle="1" w:styleId="punktorwtabeliSPCmetaSPCZnak">
    <w:name w:val="punktor w tabeli SPC meta SPC Znak"/>
    <w:link w:val="punktorwtabeliSPCmetaSPC"/>
    <w:rsid w:val="00052E08"/>
    <w:rPr>
      <w:sz w:val="24"/>
      <w:szCs w:val="24"/>
      <w:lang w:val="pl-PL"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B069-BDDC-4144-BB3B-5026F177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1537</Words>
  <Characters>9224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10740</CharactersWithSpaces>
  <SharedDoc>false</SharedDoc>
  <HLinks>
    <vt:vector size="24" baseType="variant">
      <vt:variant>
        <vt:i4>1179705</vt:i4>
      </vt:variant>
      <vt:variant>
        <vt:i4>20</vt:i4>
      </vt:variant>
      <vt:variant>
        <vt:i4>0</vt:i4>
      </vt:variant>
      <vt:variant>
        <vt:i4>5</vt:i4>
      </vt:variant>
      <vt:variant>
        <vt:lpwstr/>
      </vt:variant>
      <vt:variant>
        <vt:lpwstr>_Toc439776377</vt:lpwstr>
      </vt:variant>
      <vt:variant>
        <vt:i4>1179705</vt:i4>
      </vt:variant>
      <vt:variant>
        <vt:i4>14</vt:i4>
      </vt:variant>
      <vt:variant>
        <vt:i4>0</vt:i4>
      </vt:variant>
      <vt:variant>
        <vt:i4>5</vt:i4>
      </vt:variant>
      <vt:variant>
        <vt:lpwstr/>
      </vt:variant>
      <vt:variant>
        <vt:lpwstr>_Toc439776376</vt:lpwstr>
      </vt:variant>
      <vt:variant>
        <vt:i4>1179705</vt:i4>
      </vt:variant>
      <vt:variant>
        <vt:i4>8</vt:i4>
      </vt:variant>
      <vt:variant>
        <vt:i4>0</vt:i4>
      </vt:variant>
      <vt:variant>
        <vt:i4>5</vt:i4>
      </vt:variant>
      <vt:variant>
        <vt:lpwstr/>
      </vt:variant>
      <vt:variant>
        <vt:lpwstr>_Toc439776375</vt:lpwstr>
      </vt:variant>
      <vt:variant>
        <vt:i4>1179705</vt:i4>
      </vt:variant>
      <vt:variant>
        <vt:i4>2</vt:i4>
      </vt:variant>
      <vt:variant>
        <vt:i4>0</vt:i4>
      </vt:variant>
      <vt:variant>
        <vt:i4>5</vt:i4>
      </vt:variant>
      <vt:variant>
        <vt:lpwstr/>
      </vt:variant>
      <vt:variant>
        <vt:lpwstr>_Toc439776374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2024-01-24T10:22:00Z</dcterms:created>
  <dcterms:modified xsi:type="dcterms:W3CDTF">2024-01-24T11:27:00Z</dcterms:modified>
</cp:coreProperties>
</file>